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8EFF8D4" wp14:editId="192999A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445F0C">
            <w:t>FINAL</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3C5A87">
            <w:t>4</w:t>
          </w:r>
          <w:r w:rsidR="000474DF">
            <w:t xml:space="preserve"> </w:t>
          </w:r>
          <w:r w:rsidR="00185BA5">
            <w:t>–</w:t>
          </w:r>
          <w:r w:rsidR="000474DF">
            <w:t xml:space="preserve"> </w:t>
          </w:r>
          <w:r w:rsidR="003C5A87">
            <w:t>Value of imputation credits</w:t>
          </w:r>
        </w:p>
        <w:p w:rsidR="000A6C7B" w:rsidRPr="00327A1E" w:rsidRDefault="00445F0C"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7E6764">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0A565E" w:rsidRDefault="000A565E" w:rsidP="000A565E">
      <w:r>
        <w:t>Tel: 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0815590"/>
      <w:r>
        <w:lastRenderedPageBreak/>
        <w:t>Note</w:t>
      </w:r>
      <w:bookmarkEnd w:id="1"/>
      <w:bookmarkEnd w:id="2"/>
      <w:bookmarkEnd w:id="3"/>
    </w:p>
    <w:p w:rsidR="000A565E" w:rsidRDefault="000A565E" w:rsidP="000A565E">
      <w:pPr>
        <w:numPr>
          <w:ilvl w:val="0"/>
          <w:numId w:val="24"/>
        </w:numPr>
      </w:pPr>
      <w:r>
        <w:t>This attachment forms part of the AER's final decision on TasNetworks' distribution determination for 2017</w:t>
      </w:r>
      <w:r w:rsidRPr="00F02D30">
        <w:t>–</w:t>
      </w:r>
      <w:r>
        <w:t>19. It should be read with all other parts of the final decision.</w:t>
      </w:r>
    </w:p>
    <w:p w:rsidR="000A565E" w:rsidRDefault="000A565E" w:rsidP="000A565E">
      <w:r>
        <w:t xml:space="preserve">This final decision consists of an Overview </w:t>
      </w:r>
      <w:r w:rsidRPr="00F238A0">
        <w:t xml:space="preserve">and </w:t>
      </w:r>
      <w:r>
        <w:t>8</w:t>
      </w:r>
      <w:r w:rsidRPr="00F238A0">
        <w:t xml:space="preserve"> attachments. As</w:t>
      </w:r>
      <w:r>
        <w:t xml:space="preserve"> many issues were settled at the draft decision stage or required only minor updates we have not prepared final decision attachments for: </w:t>
      </w:r>
    </w:p>
    <w:p w:rsidR="000A565E" w:rsidRDefault="000A565E" w:rsidP="000A565E">
      <w:pPr>
        <w:pStyle w:val="AERbulletlistfirststyle"/>
      </w:pPr>
      <w:r>
        <w:t xml:space="preserve">Regulatory asset base </w:t>
      </w:r>
    </w:p>
    <w:p w:rsidR="000A565E" w:rsidRDefault="000A565E" w:rsidP="000A565E">
      <w:pPr>
        <w:pStyle w:val="AERbulletlistfirststyle"/>
      </w:pPr>
      <w:r>
        <w:t>Regulatory depreciation</w:t>
      </w:r>
    </w:p>
    <w:p w:rsidR="000A565E" w:rsidRDefault="000A565E" w:rsidP="000A565E">
      <w:pPr>
        <w:pStyle w:val="AERbulletlistfirststyle"/>
      </w:pPr>
      <w:r>
        <w:t>Capital expenditure</w:t>
      </w:r>
    </w:p>
    <w:p w:rsidR="000A565E" w:rsidRDefault="000A565E" w:rsidP="000A565E">
      <w:pPr>
        <w:pStyle w:val="AERbulletlistfirststyle"/>
      </w:pPr>
      <w:r>
        <w:t>Operating expenditure</w:t>
      </w:r>
    </w:p>
    <w:p w:rsidR="000A565E" w:rsidRDefault="000A565E" w:rsidP="000A565E">
      <w:pPr>
        <w:pStyle w:val="AERbulletlistfirststyle"/>
      </w:pPr>
      <w:r>
        <w:t>Corporate income tax</w:t>
      </w:r>
    </w:p>
    <w:p w:rsidR="000A565E" w:rsidRDefault="000A565E" w:rsidP="000A565E">
      <w:pPr>
        <w:pStyle w:val="AERbulletlistfirststyle"/>
      </w:pPr>
      <w:r>
        <w:t>Capital expenditure sharing scheme</w:t>
      </w:r>
    </w:p>
    <w:p w:rsidR="000A565E" w:rsidRDefault="000A565E" w:rsidP="000A565E">
      <w:pPr>
        <w:pStyle w:val="AERbulletlistfirststyle"/>
      </w:pPr>
      <w:r>
        <w:t>Service target performance incentive scheme</w:t>
      </w:r>
    </w:p>
    <w:p w:rsidR="000A565E" w:rsidRDefault="000A565E" w:rsidP="000A565E">
      <w:pPr>
        <w:pStyle w:val="AERbulletlistfirststyle"/>
      </w:pPr>
      <w:r>
        <w:t>Demand management incentive scheme</w:t>
      </w:r>
    </w:p>
    <w:p w:rsidR="000A565E" w:rsidRDefault="000A565E" w:rsidP="000A565E">
      <w:pPr>
        <w:pStyle w:val="AERbulletlistfirststyle"/>
      </w:pPr>
      <w:r>
        <w:t>Classification of services</w:t>
      </w:r>
    </w:p>
    <w:p w:rsidR="000A565E" w:rsidRDefault="000A565E" w:rsidP="000A565E">
      <w:pPr>
        <w:pStyle w:val="AERbulletlistfirststyle"/>
      </w:pPr>
      <w:r>
        <w:t>Pass through events</w:t>
      </w:r>
    </w:p>
    <w:p w:rsidR="000A565E" w:rsidRDefault="000A565E" w:rsidP="000A565E">
      <w:pPr>
        <w:pStyle w:val="AERbulletlistfirststyle"/>
      </w:pPr>
      <w:r>
        <w:t xml:space="preserve">Connection policy. </w:t>
      </w:r>
    </w:p>
    <w:p w:rsidR="000A565E" w:rsidRDefault="000A565E" w:rsidP="000A565E">
      <w:pPr>
        <w:numPr>
          <w:ilvl w:val="0"/>
          <w:numId w:val="24"/>
        </w:numPr>
      </w:pPr>
      <w:r>
        <w:t xml:space="preserve">The AER's final decision on these matters is set out in the Overview. For ease of reference the remaining attachments have been numbered consistently with the attachment numbering in our draft decision. </w:t>
      </w:r>
    </w:p>
    <w:p w:rsidR="000A565E" w:rsidRDefault="000A565E" w:rsidP="000A565E">
      <w:pPr>
        <w:numPr>
          <w:ilvl w:val="0"/>
          <w:numId w:val="24"/>
        </w:numPr>
      </w:pPr>
      <w:r>
        <w:t>The final decision therefore includes the following documents:</w:t>
      </w:r>
    </w:p>
    <w:p w:rsidR="000A565E" w:rsidRDefault="000A565E" w:rsidP="000A565E">
      <w:pPr>
        <w:numPr>
          <w:ilvl w:val="0"/>
          <w:numId w:val="24"/>
        </w:numPr>
      </w:pPr>
      <w:r>
        <w:t>Overview</w:t>
      </w:r>
    </w:p>
    <w:p w:rsidR="000A565E" w:rsidRDefault="000A565E" w:rsidP="000A565E">
      <w:pPr>
        <w:numPr>
          <w:ilvl w:val="0"/>
          <w:numId w:val="24"/>
        </w:numPr>
      </w:pPr>
      <w:r>
        <w:t>Attachment 1 – Annual revenue requirement</w:t>
      </w:r>
    </w:p>
    <w:p w:rsidR="000A565E" w:rsidRDefault="000A565E" w:rsidP="000A565E">
      <w:pPr>
        <w:numPr>
          <w:ilvl w:val="0"/>
          <w:numId w:val="24"/>
        </w:numPr>
      </w:pPr>
      <w:r>
        <w:t>Attachment 3 – Rate of return</w:t>
      </w:r>
    </w:p>
    <w:p w:rsidR="000A565E" w:rsidRDefault="000A565E" w:rsidP="000A565E">
      <w:pPr>
        <w:numPr>
          <w:ilvl w:val="0"/>
          <w:numId w:val="24"/>
        </w:numPr>
      </w:pPr>
      <w:r>
        <w:t>Attachment 4 – Value of imputation credits</w:t>
      </w:r>
    </w:p>
    <w:p w:rsidR="000A565E" w:rsidRDefault="000A565E" w:rsidP="000A565E">
      <w:pPr>
        <w:numPr>
          <w:ilvl w:val="0"/>
          <w:numId w:val="24"/>
        </w:numPr>
      </w:pPr>
      <w:r>
        <w:t>Attachment 9 – Efficiency benefit sharing scheme</w:t>
      </w:r>
    </w:p>
    <w:p w:rsidR="000A565E" w:rsidRDefault="000A565E" w:rsidP="000A565E">
      <w:pPr>
        <w:numPr>
          <w:ilvl w:val="0"/>
          <w:numId w:val="24"/>
        </w:numPr>
      </w:pPr>
      <w:r>
        <w:t>Attachment 14 – Control mechanisms</w:t>
      </w:r>
    </w:p>
    <w:p w:rsidR="000A565E" w:rsidRDefault="000A565E" w:rsidP="000A565E">
      <w:pPr>
        <w:numPr>
          <w:ilvl w:val="0"/>
          <w:numId w:val="24"/>
        </w:numPr>
      </w:pPr>
      <w:r>
        <w:t>Attachment 16 – Alternative control services</w:t>
      </w:r>
    </w:p>
    <w:p w:rsidR="000A565E" w:rsidRDefault="000A565E" w:rsidP="000A565E">
      <w:pPr>
        <w:numPr>
          <w:ilvl w:val="0"/>
          <w:numId w:val="24"/>
        </w:numPr>
      </w:pPr>
      <w:r>
        <w:t>Attachment 17 – Negotiated services framework and criteria</w:t>
      </w:r>
    </w:p>
    <w:p w:rsidR="004523B2" w:rsidRPr="00F02D30" w:rsidRDefault="000A565E" w:rsidP="00761454">
      <w:pPr>
        <w:numPr>
          <w:ilvl w:val="0"/>
          <w:numId w:val="24"/>
        </w:numPr>
      </w:pPr>
      <w:r>
        <w:t>Attachment 19 – Tariff structure statement</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lastRenderedPageBreak/>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0815591"/>
      <w:r>
        <w:lastRenderedPageBreak/>
        <w:t>Contents</w:t>
      </w:r>
      <w:bookmarkEnd w:id="8"/>
      <w:bookmarkEnd w:id="9"/>
    </w:p>
    <w:p w:rsidR="00CE2A23" w:rsidRDefault="00CE2A23" w:rsidP="00CE2A23"/>
    <w:sdt>
      <w:sdtPr>
        <w:id w:val="1269200322"/>
        <w:docPartObj>
          <w:docPartGallery w:val="Table of Contents"/>
          <w:docPartUnique/>
        </w:docPartObj>
      </w:sdtPr>
      <w:sdtEndPr/>
      <w:sdtContent>
        <w:p w:rsidR="00E729A5"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0815590" w:history="1">
            <w:r w:rsidR="00E729A5" w:rsidRPr="00821851">
              <w:rPr>
                <w:rStyle w:val="Hyperlink"/>
              </w:rPr>
              <w:t>Note</w:t>
            </w:r>
            <w:r w:rsidR="00E729A5">
              <w:rPr>
                <w:webHidden/>
              </w:rPr>
              <w:tab/>
            </w:r>
            <w:r w:rsidR="00E729A5">
              <w:rPr>
                <w:webHidden/>
              </w:rPr>
              <w:fldChar w:fldCharType="begin"/>
            </w:r>
            <w:r w:rsidR="00E729A5">
              <w:rPr>
                <w:webHidden/>
              </w:rPr>
              <w:instrText xml:space="preserve"> PAGEREF _Toc480815590 \h </w:instrText>
            </w:r>
            <w:r w:rsidR="00E729A5">
              <w:rPr>
                <w:webHidden/>
              </w:rPr>
            </w:r>
            <w:r w:rsidR="00E729A5">
              <w:rPr>
                <w:webHidden/>
              </w:rPr>
              <w:fldChar w:fldCharType="separate"/>
            </w:r>
            <w:r w:rsidR="003E419A">
              <w:rPr>
                <w:webHidden/>
              </w:rPr>
              <w:t>4-2</w:t>
            </w:r>
            <w:r w:rsidR="00E729A5">
              <w:rPr>
                <w:webHidden/>
              </w:rPr>
              <w:fldChar w:fldCharType="end"/>
            </w:r>
          </w:hyperlink>
        </w:p>
        <w:p w:rsidR="00E729A5" w:rsidRDefault="003E419A">
          <w:pPr>
            <w:pStyle w:val="TOC1"/>
            <w:rPr>
              <w:rFonts w:asciiTheme="minorHAnsi" w:eastAsiaTheme="minorEastAsia" w:hAnsiTheme="minorHAnsi"/>
              <w:b w:val="0"/>
              <w:color w:val="auto"/>
              <w:sz w:val="22"/>
              <w:lang w:val="en-AU" w:eastAsia="en-AU"/>
            </w:rPr>
          </w:pPr>
          <w:hyperlink w:anchor="_Toc480815591" w:history="1">
            <w:r w:rsidR="00E729A5" w:rsidRPr="00821851">
              <w:rPr>
                <w:rStyle w:val="Hyperlink"/>
              </w:rPr>
              <w:t>Contents</w:t>
            </w:r>
            <w:r w:rsidR="00E729A5">
              <w:rPr>
                <w:webHidden/>
              </w:rPr>
              <w:tab/>
            </w:r>
            <w:r w:rsidR="00E729A5">
              <w:rPr>
                <w:webHidden/>
              </w:rPr>
              <w:fldChar w:fldCharType="begin"/>
            </w:r>
            <w:r w:rsidR="00E729A5">
              <w:rPr>
                <w:webHidden/>
              </w:rPr>
              <w:instrText xml:space="preserve"> PAGEREF _Toc480815591 \h </w:instrText>
            </w:r>
            <w:r w:rsidR="00E729A5">
              <w:rPr>
                <w:webHidden/>
              </w:rPr>
            </w:r>
            <w:r w:rsidR="00E729A5">
              <w:rPr>
                <w:webHidden/>
              </w:rPr>
              <w:fldChar w:fldCharType="separate"/>
            </w:r>
            <w:r>
              <w:rPr>
                <w:webHidden/>
              </w:rPr>
              <w:t>4-4</w:t>
            </w:r>
            <w:r w:rsidR="00E729A5">
              <w:rPr>
                <w:webHidden/>
              </w:rPr>
              <w:fldChar w:fldCharType="end"/>
            </w:r>
          </w:hyperlink>
        </w:p>
        <w:p w:rsidR="00E729A5" w:rsidRDefault="003E419A">
          <w:pPr>
            <w:pStyle w:val="TOC1"/>
            <w:rPr>
              <w:rFonts w:asciiTheme="minorHAnsi" w:eastAsiaTheme="minorEastAsia" w:hAnsiTheme="minorHAnsi"/>
              <w:b w:val="0"/>
              <w:color w:val="auto"/>
              <w:sz w:val="22"/>
              <w:lang w:val="en-AU" w:eastAsia="en-AU"/>
            </w:rPr>
          </w:pPr>
          <w:hyperlink w:anchor="_Toc480815592" w:history="1">
            <w:r w:rsidR="00E729A5" w:rsidRPr="00821851">
              <w:rPr>
                <w:rStyle w:val="Hyperlink"/>
              </w:rPr>
              <w:t>Shortened forms</w:t>
            </w:r>
            <w:r w:rsidR="00E729A5">
              <w:rPr>
                <w:webHidden/>
              </w:rPr>
              <w:tab/>
            </w:r>
            <w:r w:rsidR="00E729A5">
              <w:rPr>
                <w:webHidden/>
              </w:rPr>
              <w:fldChar w:fldCharType="begin"/>
            </w:r>
            <w:r w:rsidR="00E729A5">
              <w:rPr>
                <w:webHidden/>
              </w:rPr>
              <w:instrText xml:space="preserve"> PAGEREF _Toc480815592 \h </w:instrText>
            </w:r>
            <w:r w:rsidR="00E729A5">
              <w:rPr>
                <w:webHidden/>
              </w:rPr>
            </w:r>
            <w:r w:rsidR="00E729A5">
              <w:rPr>
                <w:webHidden/>
              </w:rPr>
              <w:fldChar w:fldCharType="separate"/>
            </w:r>
            <w:r>
              <w:rPr>
                <w:webHidden/>
              </w:rPr>
              <w:t>4-7</w:t>
            </w:r>
            <w:r w:rsidR="00E729A5">
              <w:rPr>
                <w:webHidden/>
              </w:rPr>
              <w:fldChar w:fldCharType="end"/>
            </w:r>
          </w:hyperlink>
        </w:p>
        <w:p w:rsidR="00E729A5" w:rsidRDefault="003E419A">
          <w:pPr>
            <w:pStyle w:val="TOC1"/>
            <w:rPr>
              <w:rFonts w:asciiTheme="minorHAnsi" w:eastAsiaTheme="minorEastAsia" w:hAnsiTheme="minorHAnsi"/>
              <w:b w:val="0"/>
              <w:color w:val="auto"/>
              <w:sz w:val="22"/>
              <w:lang w:val="en-AU" w:eastAsia="en-AU"/>
            </w:rPr>
          </w:pPr>
          <w:hyperlink w:anchor="_Toc480815593" w:history="1">
            <w:r w:rsidR="00E729A5" w:rsidRPr="00821851">
              <w:rPr>
                <w:rStyle w:val="Hyperlink"/>
              </w:rPr>
              <w:t>4</w:t>
            </w:r>
            <w:r w:rsidR="00E729A5">
              <w:rPr>
                <w:rFonts w:asciiTheme="minorHAnsi" w:eastAsiaTheme="minorEastAsia" w:hAnsiTheme="minorHAnsi"/>
                <w:b w:val="0"/>
                <w:color w:val="auto"/>
                <w:sz w:val="22"/>
                <w:lang w:val="en-AU" w:eastAsia="en-AU"/>
              </w:rPr>
              <w:tab/>
            </w:r>
            <w:r w:rsidR="00E729A5" w:rsidRPr="00821851">
              <w:rPr>
                <w:rStyle w:val="Hyperlink"/>
              </w:rPr>
              <w:t>Value of imputation credits</w:t>
            </w:r>
            <w:r w:rsidR="00E729A5">
              <w:rPr>
                <w:webHidden/>
              </w:rPr>
              <w:tab/>
            </w:r>
            <w:r w:rsidR="00E729A5">
              <w:rPr>
                <w:webHidden/>
              </w:rPr>
              <w:fldChar w:fldCharType="begin"/>
            </w:r>
            <w:r w:rsidR="00E729A5">
              <w:rPr>
                <w:webHidden/>
              </w:rPr>
              <w:instrText xml:space="preserve"> PAGEREF _Toc480815593 \h </w:instrText>
            </w:r>
            <w:r w:rsidR="00E729A5">
              <w:rPr>
                <w:webHidden/>
              </w:rPr>
            </w:r>
            <w:r w:rsidR="00E729A5">
              <w:rPr>
                <w:webHidden/>
              </w:rPr>
              <w:fldChar w:fldCharType="separate"/>
            </w:r>
            <w:r>
              <w:rPr>
                <w:webHidden/>
              </w:rPr>
              <w:t>4-9</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594" w:history="1">
            <w:r w:rsidR="00E729A5" w:rsidRPr="00821851">
              <w:rPr>
                <w:rStyle w:val="Hyperlink"/>
              </w:rPr>
              <w:t>4.1</w:t>
            </w:r>
            <w:r w:rsidR="00E729A5">
              <w:rPr>
                <w:rFonts w:asciiTheme="minorHAnsi" w:eastAsiaTheme="minorEastAsia" w:hAnsiTheme="minorHAnsi"/>
                <w:b w:val="0"/>
                <w:color w:val="auto"/>
                <w:sz w:val="22"/>
                <w:lang w:eastAsia="en-AU"/>
              </w:rPr>
              <w:tab/>
            </w:r>
            <w:r w:rsidR="00E729A5" w:rsidRPr="00821851">
              <w:rPr>
                <w:rStyle w:val="Hyperlink"/>
              </w:rPr>
              <w:t>Final decision</w:t>
            </w:r>
            <w:r w:rsidR="00E729A5">
              <w:rPr>
                <w:webHidden/>
              </w:rPr>
              <w:tab/>
            </w:r>
            <w:r w:rsidR="00E729A5">
              <w:rPr>
                <w:webHidden/>
              </w:rPr>
              <w:fldChar w:fldCharType="begin"/>
            </w:r>
            <w:r w:rsidR="00E729A5">
              <w:rPr>
                <w:webHidden/>
              </w:rPr>
              <w:instrText xml:space="preserve"> PAGEREF _Toc480815594 \h </w:instrText>
            </w:r>
            <w:r w:rsidR="00E729A5">
              <w:rPr>
                <w:webHidden/>
              </w:rPr>
            </w:r>
            <w:r w:rsidR="00E729A5">
              <w:rPr>
                <w:webHidden/>
              </w:rPr>
              <w:fldChar w:fldCharType="separate"/>
            </w:r>
            <w:r>
              <w:rPr>
                <w:webHidden/>
              </w:rPr>
              <w:t>4-9</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595" w:history="1">
            <w:r w:rsidR="00E729A5" w:rsidRPr="00821851">
              <w:rPr>
                <w:rStyle w:val="Hyperlink"/>
              </w:rPr>
              <w:t>4.2</w:t>
            </w:r>
            <w:r w:rsidR="00E729A5">
              <w:rPr>
                <w:rFonts w:asciiTheme="minorHAnsi" w:eastAsiaTheme="minorEastAsia" w:hAnsiTheme="minorHAnsi"/>
                <w:b w:val="0"/>
                <w:color w:val="auto"/>
                <w:sz w:val="22"/>
                <w:lang w:eastAsia="en-AU"/>
              </w:rPr>
              <w:tab/>
            </w:r>
            <w:r w:rsidR="00E729A5" w:rsidRPr="00821851">
              <w:rPr>
                <w:rStyle w:val="Hyperlink"/>
              </w:rPr>
              <w:t>TasNetworks' revised proposal</w:t>
            </w:r>
            <w:r w:rsidR="00E729A5">
              <w:rPr>
                <w:webHidden/>
              </w:rPr>
              <w:tab/>
            </w:r>
            <w:r w:rsidR="00E729A5">
              <w:rPr>
                <w:webHidden/>
              </w:rPr>
              <w:fldChar w:fldCharType="begin"/>
            </w:r>
            <w:r w:rsidR="00E729A5">
              <w:rPr>
                <w:webHidden/>
              </w:rPr>
              <w:instrText xml:space="preserve"> PAGEREF _Toc480815595 \h </w:instrText>
            </w:r>
            <w:r w:rsidR="00E729A5">
              <w:rPr>
                <w:webHidden/>
              </w:rPr>
            </w:r>
            <w:r w:rsidR="00E729A5">
              <w:rPr>
                <w:webHidden/>
              </w:rPr>
              <w:fldChar w:fldCharType="separate"/>
            </w:r>
            <w:r>
              <w:rPr>
                <w:webHidden/>
              </w:rPr>
              <w:t>4-16</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596" w:history="1">
            <w:r w:rsidR="00E729A5" w:rsidRPr="00821851">
              <w:rPr>
                <w:rStyle w:val="Hyperlink"/>
              </w:rPr>
              <w:t>4.3</w:t>
            </w:r>
            <w:r w:rsidR="00E729A5">
              <w:rPr>
                <w:rFonts w:asciiTheme="minorHAnsi" w:eastAsiaTheme="minorEastAsia" w:hAnsiTheme="minorHAnsi"/>
                <w:b w:val="0"/>
                <w:color w:val="auto"/>
                <w:sz w:val="22"/>
                <w:lang w:eastAsia="en-AU"/>
              </w:rPr>
              <w:tab/>
            </w:r>
            <w:r w:rsidR="00E729A5" w:rsidRPr="00821851">
              <w:rPr>
                <w:rStyle w:val="Hyperlink"/>
              </w:rPr>
              <w:t>Assessment approach</w:t>
            </w:r>
            <w:r w:rsidR="00E729A5">
              <w:rPr>
                <w:webHidden/>
              </w:rPr>
              <w:tab/>
            </w:r>
            <w:r w:rsidR="00E729A5">
              <w:rPr>
                <w:webHidden/>
              </w:rPr>
              <w:fldChar w:fldCharType="begin"/>
            </w:r>
            <w:r w:rsidR="00E729A5">
              <w:rPr>
                <w:webHidden/>
              </w:rPr>
              <w:instrText xml:space="preserve"> PAGEREF _Toc480815596 \h </w:instrText>
            </w:r>
            <w:r w:rsidR="00E729A5">
              <w:rPr>
                <w:webHidden/>
              </w:rPr>
            </w:r>
            <w:r w:rsidR="00E729A5">
              <w:rPr>
                <w:webHidden/>
              </w:rPr>
              <w:fldChar w:fldCharType="separate"/>
            </w:r>
            <w:r>
              <w:rPr>
                <w:webHidden/>
              </w:rPr>
              <w:t>4-17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597" w:history="1">
            <w:r w:rsidR="00E729A5" w:rsidRPr="00821851">
              <w:rPr>
                <w:rStyle w:val="Hyperlink"/>
              </w:rPr>
              <w:t>4.3.1</w:t>
            </w:r>
            <w:r w:rsidR="00E729A5">
              <w:rPr>
                <w:rFonts w:asciiTheme="minorHAnsi" w:eastAsiaTheme="minorEastAsia" w:hAnsiTheme="minorHAnsi"/>
                <w:lang w:eastAsia="en-AU"/>
              </w:rPr>
              <w:tab/>
            </w:r>
            <w:r w:rsidR="00E729A5" w:rsidRPr="00821851">
              <w:rPr>
                <w:rStyle w:val="Hyperlink"/>
              </w:rPr>
              <w:t>Requirements of the NEL/NGL and NER/NGR</w:t>
            </w:r>
            <w:r w:rsidR="00E729A5">
              <w:rPr>
                <w:webHidden/>
              </w:rPr>
              <w:tab/>
            </w:r>
            <w:r w:rsidR="00E729A5">
              <w:rPr>
                <w:webHidden/>
              </w:rPr>
              <w:fldChar w:fldCharType="begin"/>
            </w:r>
            <w:r w:rsidR="00E729A5">
              <w:rPr>
                <w:webHidden/>
              </w:rPr>
              <w:instrText xml:space="preserve"> PAGEREF _Toc480815597 \h </w:instrText>
            </w:r>
            <w:r w:rsidR="00E729A5">
              <w:rPr>
                <w:webHidden/>
              </w:rPr>
            </w:r>
            <w:r w:rsidR="00E729A5">
              <w:rPr>
                <w:webHidden/>
              </w:rPr>
              <w:fldChar w:fldCharType="separate"/>
            </w:r>
            <w:r>
              <w:rPr>
                <w:webHidden/>
              </w:rPr>
              <w:t>4-17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598" w:history="1">
            <w:r w:rsidR="00E729A5" w:rsidRPr="00821851">
              <w:rPr>
                <w:rStyle w:val="Hyperlink"/>
              </w:rPr>
              <w:t>4.3.2</w:t>
            </w:r>
            <w:r w:rsidR="00E729A5">
              <w:rPr>
                <w:rFonts w:asciiTheme="minorHAnsi" w:eastAsiaTheme="minorEastAsia" w:hAnsiTheme="minorHAnsi"/>
                <w:lang w:eastAsia="en-AU"/>
              </w:rPr>
              <w:tab/>
            </w:r>
            <w:r w:rsidR="00E729A5" w:rsidRPr="00821851">
              <w:rPr>
                <w:rStyle w:val="Hyperlink"/>
              </w:rPr>
              <w:t>Rate of return Guideline</w:t>
            </w:r>
            <w:r w:rsidR="00E729A5">
              <w:rPr>
                <w:webHidden/>
              </w:rPr>
              <w:tab/>
            </w:r>
            <w:r w:rsidR="00E729A5">
              <w:rPr>
                <w:webHidden/>
              </w:rPr>
              <w:fldChar w:fldCharType="begin"/>
            </w:r>
            <w:r w:rsidR="00E729A5">
              <w:rPr>
                <w:webHidden/>
              </w:rPr>
              <w:instrText xml:space="preserve"> PAGEREF _Toc480815598 \h </w:instrText>
            </w:r>
            <w:r w:rsidR="00E729A5">
              <w:rPr>
                <w:webHidden/>
              </w:rPr>
            </w:r>
            <w:r w:rsidR="00E729A5">
              <w:rPr>
                <w:webHidden/>
              </w:rPr>
              <w:fldChar w:fldCharType="separate"/>
            </w:r>
            <w:r>
              <w:rPr>
                <w:webHidden/>
              </w:rPr>
              <w:t>4-20</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599" w:history="1">
            <w:r w:rsidR="00E729A5" w:rsidRPr="00821851">
              <w:rPr>
                <w:rStyle w:val="Hyperlink"/>
              </w:rPr>
              <w:t>4.3.3</w:t>
            </w:r>
            <w:r w:rsidR="00E729A5">
              <w:rPr>
                <w:rFonts w:asciiTheme="minorHAnsi" w:eastAsiaTheme="minorEastAsia" w:hAnsiTheme="minorHAnsi"/>
                <w:lang w:eastAsia="en-AU"/>
              </w:rPr>
              <w:tab/>
            </w:r>
            <w:r w:rsidR="00E729A5" w:rsidRPr="00821851">
              <w:rPr>
                <w:rStyle w:val="Hyperlink"/>
              </w:rPr>
              <w:t>Definition of a benchmark efficient entity</w:t>
            </w:r>
            <w:r w:rsidR="00E729A5">
              <w:rPr>
                <w:webHidden/>
              </w:rPr>
              <w:tab/>
            </w:r>
            <w:r w:rsidR="00E729A5">
              <w:rPr>
                <w:webHidden/>
              </w:rPr>
              <w:fldChar w:fldCharType="begin"/>
            </w:r>
            <w:r w:rsidR="00E729A5">
              <w:rPr>
                <w:webHidden/>
              </w:rPr>
              <w:instrText xml:space="preserve"> PAGEREF _Toc480815599 \h </w:instrText>
            </w:r>
            <w:r w:rsidR="00E729A5">
              <w:rPr>
                <w:webHidden/>
              </w:rPr>
            </w:r>
            <w:r w:rsidR="00E729A5">
              <w:rPr>
                <w:webHidden/>
              </w:rPr>
              <w:fldChar w:fldCharType="separate"/>
            </w:r>
            <w:r>
              <w:rPr>
                <w:webHidden/>
              </w:rPr>
              <w:t>4-20</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00" w:history="1">
            <w:r w:rsidR="00E729A5" w:rsidRPr="00821851">
              <w:rPr>
                <w:rStyle w:val="Hyperlink"/>
              </w:rPr>
              <w:t>4.3.4</w:t>
            </w:r>
            <w:r w:rsidR="00E729A5">
              <w:rPr>
                <w:rFonts w:asciiTheme="minorHAnsi" w:eastAsiaTheme="minorEastAsia" w:hAnsiTheme="minorHAnsi"/>
                <w:lang w:eastAsia="en-AU"/>
              </w:rPr>
              <w:tab/>
            </w:r>
            <w:r w:rsidR="00E729A5" w:rsidRPr="00821851">
              <w:rPr>
                <w:rStyle w:val="Hyperlink"/>
              </w:rPr>
              <w:t>Interrelationships</w:t>
            </w:r>
            <w:r w:rsidR="00E729A5">
              <w:rPr>
                <w:webHidden/>
              </w:rPr>
              <w:tab/>
            </w:r>
            <w:r w:rsidR="00E729A5">
              <w:rPr>
                <w:webHidden/>
              </w:rPr>
              <w:fldChar w:fldCharType="begin"/>
            </w:r>
            <w:r w:rsidR="00E729A5">
              <w:rPr>
                <w:webHidden/>
              </w:rPr>
              <w:instrText xml:space="preserve"> PAGEREF _Toc480815600 \h </w:instrText>
            </w:r>
            <w:r w:rsidR="00E729A5">
              <w:rPr>
                <w:webHidden/>
              </w:rPr>
            </w:r>
            <w:r w:rsidR="00E729A5">
              <w:rPr>
                <w:webHidden/>
              </w:rPr>
              <w:fldChar w:fldCharType="separate"/>
            </w:r>
            <w:r>
              <w:rPr>
                <w:webHidden/>
              </w:rPr>
              <w:t>4-21</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01" w:history="1">
            <w:r w:rsidR="00E729A5" w:rsidRPr="00821851">
              <w:rPr>
                <w:rStyle w:val="Hyperlink"/>
              </w:rPr>
              <w:t>4.3.5</w:t>
            </w:r>
            <w:r w:rsidR="00E729A5">
              <w:rPr>
                <w:rFonts w:asciiTheme="minorHAnsi" w:eastAsiaTheme="minorEastAsia" w:hAnsiTheme="minorHAnsi"/>
                <w:lang w:eastAsia="en-AU"/>
              </w:rPr>
              <w:tab/>
            </w:r>
            <w:r w:rsidR="00E729A5" w:rsidRPr="00821851">
              <w:rPr>
                <w:rStyle w:val="Hyperlink"/>
              </w:rPr>
              <w:t>Expert reports</w:t>
            </w:r>
            <w:r w:rsidR="00E729A5">
              <w:rPr>
                <w:webHidden/>
              </w:rPr>
              <w:tab/>
            </w:r>
            <w:r w:rsidR="00E729A5">
              <w:rPr>
                <w:webHidden/>
              </w:rPr>
              <w:fldChar w:fldCharType="begin"/>
            </w:r>
            <w:r w:rsidR="00E729A5">
              <w:rPr>
                <w:webHidden/>
              </w:rPr>
              <w:instrText xml:space="preserve"> PAGEREF _Toc480815601 \h </w:instrText>
            </w:r>
            <w:r w:rsidR="00E729A5">
              <w:rPr>
                <w:webHidden/>
              </w:rPr>
            </w:r>
            <w:r w:rsidR="00E729A5">
              <w:rPr>
                <w:webHidden/>
              </w:rPr>
              <w:fldChar w:fldCharType="separate"/>
            </w:r>
            <w:r>
              <w:rPr>
                <w:webHidden/>
              </w:rPr>
              <w:t>4-22</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02" w:history="1">
            <w:r w:rsidR="00E729A5" w:rsidRPr="00821851">
              <w:rPr>
                <w:rStyle w:val="Hyperlink"/>
              </w:rPr>
              <w:t>4.3.6</w:t>
            </w:r>
            <w:r w:rsidR="00E729A5">
              <w:rPr>
                <w:rFonts w:asciiTheme="minorHAnsi" w:eastAsiaTheme="minorEastAsia" w:hAnsiTheme="minorHAnsi"/>
                <w:lang w:eastAsia="en-AU"/>
              </w:rPr>
              <w:tab/>
            </w:r>
            <w:r w:rsidR="00E729A5" w:rsidRPr="00821851">
              <w:rPr>
                <w:rStyle w:val="Hyperlink"/>
              </w:rPr>
              <w:t>Approach to determining the value of imputation credits</w:t>
            </w:r>
            <w:r w:rsidR="00E729A5">
              <w:rPr>
                <w:webHidden/>
              </w:rPr>
              <w:tab/>
            </w:r>
            <w:r w:rsidR="00E729A5">
              <w:rPr>
                <w:webHidden/>
              </w:rPr>
              <w:fldChar w:fldCharType="begin"/>
            </w:r>
            <w:r w:rsidR="00E729A5">
              <w:rPr>
                <w:webHidden/>
              </w:rPr>
              <w:instrText xml:space="preserve"> PAGEREF _Toc480815602 \h </w:instrText>
            </w:r>
            <w:r w:rsidR="00E729A5">
              <w:rPr>
                <w:webHidden/>
              </w:rPr>
            </w:r>
            <w:r w:rsidR="00E729A5">
              <w:rPr>
                <w:webHidden/>
              </w:rPr>
              <w:fldChar w:fldCharType="separate"/>
            </w:r>
            <w:r>
              <w:rPr>
                <w:webHidden/>
              </w:rPr>
              <w:t>4-23</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03" w:history="1">
            <w:r w:rsidR="00E729A5" w:rsidRPr="00821851">
              <w:rPr>
                <w:rStyle w:val="Hyperlink"/>
              </w:rPr>
              <w:t>4.4</w:t>
            </w:r>
            <w:r w:rsidR="00E729A5">
              <w:rPr>
                <w:rFonts w:asciiTheme="minorHAnsi" w:eastAsiaTheme="minorEastAsia" w:hAnsiTheme="minorHAnsi"/>
                <w:b w:val="0"/>
                <w:color w:val="auto"/>
                <w:sz w:val="22"/>
                <w:lang w:eastAsia="en-AU"/>
              </w:rPr>
              <w:tab/>
            </w:r>
            <w:r w:rsidR="00E729A5" w:rsidRPr="00821851">
              <w:rPr>
                <w:rStyle w:val="Hyperlink"/>
              </w:rPr>
              <w:t>Reasons for final decision</w:t>
            </w:r>
            <w:r w:rsidR="00E729A5">
              <w:rPr>
                <w:webHidden/>
              </w:rPr>
              <w:tab/>
            </w:r>
            <w:r w:rsidR="00E729A5">
              <w:rPr>
                <w:webHidden/>
              </w:rPr>
              <w:fldChar w:fldCharType="begin"/>
            </w:r>
            <w:r w:rsidR="00E729A5">
              <w:rPr>
                <w:webHidden/>
              </w:rPr>
              <w:instrText xml:space="preserve"> PAGEREF _Toc480815603 \h </w:instrText>
            </w:r>
            <w:r w:rsidR="00E729A5">
              <w:rPr>
                <w:webHidden/>
              </w:rPr>
            </w:r>
            <w:r w:rsidR="00E729A5">
              <w:rPr>
                <w:webHidden/>
              </w:rPr>
              <w:fldChar w:fldCharType="separate"/>
            </w:r>
            <w:r>
              <w:rPr>
                <w:webHidden/>
              </w:rPr>
              <w:t>4-25</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04" w:history="1">
            <w:r w:rsidR="00E729A5" w:rsidRPr="00821851">
              <w:rPr>
                <w:rStyle w:val="Hyperlink"/>
              </w:rPr>
              <w:t>4.4.1</w:t>
            </w:r>
            <w:r w:rsidR="00E729A5">
              <w:rPr>
                <w:rFonts w:asciiTheme="minorHAnsi" w:eastAsiaTheme="minorEastAsia" w:hAnsiTheme="minorHAnsi"/>
                <w:lang w:eastAsia="en-AU"/>
              </w:rPr>
              <w:tab/>
            </w:r>
            <w:r w:rsidR="00E729A5" w:rsidRPr="00821851">
              <w:rPr>
                <w:rStyle w:val="Hyperlink"/>
              </w:rPr>
              <w:t>Evidence underlying our estimate of the value of imputation credits</w:t>
            </w:r>
            <w:r w:rsidR="00E729A5">
              <w:rPr>
                <w:webHidden/>
              </w:rPr>
              <w:tab/>
            </w:r>
            <w:r w:rsidR="00E729A5">
              <w:rPr>
                <w:webHidden/>
              </w:rPr>
              <w:fldChar w:fldCharType="begin"/>
            </w:r>
            <w:r w:rsidR="00E729A5">
              <w:rPr>
                <w:webHidden/>
              </w:rPr>
              <w:instrText xml:space="preserve"> PAGEREF _Toc480815604 \h </w:instrText>
            </w:r>
            <w:r w:rsidR="00E729A5">
              <w:rPr>
                <w:webHidden/>
              </w:rPr>
            </w:r>
            <w:r w:rsidR="00E729A5">
              <w:rPr>
                <w:webHidden/>
              </w:rPr>
              <w:fldChar w:fldCharType="separate"/>
            </w:r>
            <w:r>
              <w:rPr>
                <w:webHidden/>
              </w:rPr>
              <w:t>4-31</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05" w:history="1">
            <w:r w:rsidR="00E729A5" w:rsidRPr="00821851">
              <w:rPr>
                <w:rStyle w:val="Hyperlink"/>
              </w:rPr>
              <w:t>4.4.2</w:t>
            </w:r>
            <w:r w:rsidR="00E729A5">
              <w:rPr>
                <w:rFonts w:asciiTheme="minorHAnsi" w:eastAsiaTheme="minorEastAsia" w:hAnsiTheme="minorHAnsi"/>
                <w:lang w:eastAsia="en-AU"/>
              </w:rPr>
              <w:tab/>
            </w:r>
            <w:r w:rsidR="00E729A5" w:rsidRPr="00821851">
              <w:rPr>
                <w:rStyle w:val="Hyperlink"/>
              </w:rPr>
              <w:t>X-factor adjustment</w:t>
            </w:r>
            <w:r w:rsidR="00E729A5">
              <w:rPr>
                <w:webHidden/>
              </w:rPr>
              <w:tab/>
            </w:r>
            <w:r w:rsidR="00E729A5">
              <w:rPr>
                <w:webHidden/>
              </w:rPr>
              <w:fldChar w:fldCharType="begin"/>
            </w:r>
            <w:r w:rsidR="00E729A5">
              <w:rPr>
                <w:webHidden/>
              </w:rPr>
              <w:instrText xml:space="preserve"> PAGEREF _Toc480815605 \h </w:instrText>
            </w:r>
            <w:r w:rsidR="00E729A5">
              <w:rPr>
                <w:webHidden/>
              </w:rPr>
            </w:r>
            <w:r w:rsidR="00E729A5">
              <w:rPr>
                <w:webHidden/>
              </w:rPr>
              <w:fldChar w:fldCharType="separate"/>
            </w:r>
            <w:r>
              <w:rPr>
                <w:webHidden/>
              </w:rPr>
              <w:t>4-43</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06" w:history="1">
            <w:r w:rsidR="00E729A5" w:rsidRPr="00821851">
              <w:rPr>
                <w:rStyle w:val="Hyperlink"/>
              </w:rPr>
              <w:t>4.4.3</w:t>
            </w:r>
            <w:r w:rsidR="00E729A5">
              <w:rPr>
                <w:rFonts w:asciiTheme="minorHAnsi" w:eastAsiaTheme="minorEastAsia" w:hAnsiTheme="minorHAnsi"/>
                <w:lang w:eastAsia="en-AU"/>
              </w:rPr>
              <w:tab/>
            </w:r>
            <w:r w:rsidR="00E729A5" w:rsidRPr="00821851">
              <w:rPr>
                <w:rStyle w:val="Hyperlink"/>
              </w:rPr>
              <w:t>Response to submissions by stakeholders</w:t>
            </w:r>
            <w:r w:rsidR="00E729A5">
              <w:rPr>
                <w:webHidden/>
              </w:rPr>
              <w:tab/>
            </w:r>
            <w:r w:rsidR="00E729A5">
              <w:rPr>
                <w:webHidden/>
              </w:rPr>
              <w:fldChar w:fldCharType="begin"/>
            </w:r>
            <w:r w:rsidR="00E729A5">
              <w:rPr>
                <w:webHidden/>
              </w:rPr>
              <w:instrText xml:space="preserve"> PAGEREF _Toc480815606 \h </w:instrText>
            </w:r>
            <w:r w:rsidR="00E729A5">
              <w:rPr>
                <w:webHidden/>
              </w:rPr>
            </w:r>
            <w:r w:rsidR="00E729A5">
              <w:rPr>
                <w:webHidden/>
              </w:rPr>
              <w:fldChar w:fldCharType="separate"/>
            </w:r>
            <w:r>
              <w:rPr>
                <w:webHidden/>
              </w:rPr>
              <w:t>4-45</w:t>
            </w:r>
            <w:r w:rsidR="00E729A5">
              <w:rPr>
                <w:webHidden/>
              </w:rPr>
              <w:fldChar w:fldCharType="end"/>
            </w:r>
          </w:hyperlink>
        </w:p>
        <w:p w:rsidR="00E729A5" w:rsidRDefault="003E419A">
          <w:pPr>
            <w:pStyle w:val="TOC1"/>
            <w:rPr>
              <w:rFonts w:asciiTheme="minorHAnsi" w:eastAsiaTheme="minorEastAsia" w:hAnsiTheme="minorHAnsi"/>
              <w:b w:val="0"/>
              <w:color w:val="auto"/>
              <w:sz w:val="22"/>
              <w:lang w:val="en-AU" w:eastAsia="en-AU"/>
            </w:rPr>
          </w:pPr>
          <w:hyperlink w:anchor="_Toc480815607" w:history="1">
            <w:r w:rsidR="00E729A5" w:rsidRPr="00821851">
              <w:rPr>
                <w:rStyle w:val="Hyperlink"/>
              </w:rPr>
              <w:t>A</w:t>
            </w:r>
            <w:r w:rsidR="00E729A5">
              <w:rPr>
                <w:rFonts w:asciiTheme="minorHAnsi" w:eastAsiaTheme="minorEastAsia" w:hAnsiTheme="minorHAnsi"/>
                <w:b w:val="0"/>
                <w:color w:val="auto"/>
                <w:sz w:val="22"/>
                <w:lang w:val="en-AU" w:eastAsia="en-AU"/>
              </w:rPr>
              <w:tab/>
            </w:r>
            <w:r w:rsidR="00E729A5" w:rsidRPr="00821851">
              <w:rPr>
                <w:rStyle w:val="Hyperlink"/>
              </w:rPr>
              <w:t>Value of imputation credits: Detailed analysis</w:t>
            </w:r>
            <w:r w:rsidR="00E729A5">
              <w:rPr>
                <w:webHidden/>
              </w:rPr>
              <w:tab/>
            </w:r>
            <w:r w:rsidR="00E729A5">
              <w:rPr>
                <w:webHidden/>
              </w:rPr>
              <w:fldChar w:fldCharType="begin"/>
            </w:r>
            <w:r w:rsidR="00E729A5">
              <w:rPr>
                <w:webHidden/>
              </w:rPr>
              <w:instrText xml:space="preserve"> PAGEREF _Toc480815607 \h </w:instrText>
            </w:r>
            <w:r w:rsidR="00E729A5">
              <w:rPr>
                <w:webHidden/>
              </w:rPr>
            </w:r>
            <w:r w:rsidR="00E729A5">
              <w:rPr>
                <w:webHidden/>
              </w:rPr>
              <w:fldChar w:fldCharType="separate"/>
            </w:r>
            <w:r>
              <w:rPr>
                <w:webHidden/>
              </w:rPr>
              <w:t>4-58</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08" w:history="1">
            <w:r w:rsidR="00E729A5" w:rsidRPr="00821851">
              <w:rPr>
                <w:rStyle w:val="Hyperlink"/>
              </w:rPr>
              <w:t>A.1</w:t>
            </w:r>
            <w:r w:rsidR="00E729A5">
              <w:rPr>
                <w:rFonts w:asciiTheme="minorHAnsi" w:eastAsiaTheme="minorEastAsia" w:hAnsiTheme="minorHAnsi"/>
                <w:b w:val="0"/>
                <w:color w:val="auto"/>
                <w:sz w:val="22"/>
                <w:lang w:eastAsia="en-AU"/>
              </w:rPr>
              <w:tab/>
            </w:r>
            <w:r w:rsidR="00E729A5" w:rsidRPr="00821851">
              <w:rPr>
                <w:rStyle w:val="Hyperlink"/>
              </w:rPr>
              <w:t>Expert views on the value of imputation credits</w:t>
            </w:r>
            <w:r w:rsidR="00E729A5">
              <w:rPr>
                <w:webHidden/>
              </w:rPr>
              <w:tab/>
            </w:r>
            <w:r w:rsidR="00E729A5">
              <w:rPr>
                <w:webHidden/>
              </w:rPr>
              <w:fldChar w:fldCharType="begin"/>
            </w:r>
            <w:r w:rsidR="00E729A5">
              <w:rPr>
                <w:webHidden/>
              </w:rPr>
              <w:instrText xml:space="preserve"> PAGEREF _Toc480815608 \h </w:instrText>
            </w:r>
            <w:r w:rsidR="00E729A5">
              <w:rPr>
                <w:webHidden/>
              </w:rPr>
            </w:r>
            <w:r w:rsidR="00E729A5">
              <w:rPr>
                <w:webHidden/>
              </w:rPr>
              <w:fldChar w:fldCharType="separate"/>
            </w:r>
            <w:r>
              <w:rPr>
                <w:webHidden/>
              </w:rPr>
              <w:t>4-59</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09" w:history="1">
            <w:r w:rsidR="00E729A5" w:rsidRPr="00821851">
              <w:rPr>
                <w:rStyle w:val="Hyperlink"/>
              </w:rPr>
              <w:t>A.2</w:t>
            </w:r>
            <w:r w:rsidR="00E729A5">
              <w:rPr>
                <w:rFonts w:asciiTheme="minorHAnsi" w:eastAsiaTheme="minorEastAsia" w:hAnsiTheme="minorHAnsi"/>
                <w:b w:val="0"/>
                <w:color w:val="auto"/>
                <w:sz w:val="22"/>
                <w:lang w:eastAsia="en-AU"/>
              </w:rPr>
              <w:tab/>
            </w:r>
            <w:r w:rsidR="00E729A5" w:rsidRPr="00821851">
              <w:rPr>
                <w:rStyle w:val="Hyperlink"/>
              </w:rPr>
              <w:t>The value of imputation credits used by other regulators</w:t>
            </w:r>
            <w:r w:rsidR="00E729A5">
              <w:rPr>
                <w:webHidden/>
              </w:rPr>
              <w:tab/>
            </w:r>
            <w:r w:rsidR="00E729A5">
              <w:rPr>
                <w:webHidden/>
              </w:rPr>
              <w:fldChar w:fldCharType="begin"/>
            </w:r>
            <w:r w:rsidR="00E729A5">
              <w:rPr>
                <w:webHidden/>
              </w:rPr>
              <w:instrText xml:space="preserve"> PAGEREF _Toc480815609 \h </w:instrText>
            </w:r>
            <w:r w:rsidR="00E729A5">
              <w:rPr>
                <w:webHidden/>
              </w:rPr>
            </w:r>
            <w:r w:rsidR="00E729A5">
              <w:rPr>
                <w:webHidden/>
              </w:rPr>
              <w:fldChar w:fldCharType="separate"/>
            </w:r>
            <w:r>
              <w:rPr>
                <w:webHidden/>
              </w:rPr>
              <w:t>4-61</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10" w:history="1">
            <w:r w:rsidR="00E729A5" w:rsidRPr="00821851">
              <w:rPr>
                <w:rStyle w:val="Hyperlink"/>
              </w:rPr>
              <w:t>A.3</w:t>
            </w:r>
            <w:r w:rsidR="00E729A5">
              <w:rPr>
                <w:rFonts w:asciiTheme="minorHAnsi" w:eastAsiaTheme="minorEastAsia" w:hAnsiTheme="minorHAnsi"/>
                <w:b w:val="0"/>
                <w:color w:val="auto"/>
                <w:sz w:val="22"/>
                <w:lang w:eastAsia="en-AU"/>
              </w:rPr>
              <w:tab/>
            </w:r>
            <w:r w:rsidR="00E729A5" w:rsidRPr="00821851">
              <w:rPr>
                <w:rStyle w:val="Hyperlink"/>
              </w:rPr>
              <w:t>Previous Australian Competition Tribunal considerations</w:t>
            </w:r>
            <w:r w:rsidR="00E729A5">
              <w:rPr>
                <w:webHidden/>
              </w:rPr>
              <w:tab/>
            </w:r>
            <w:r w:rsidR="00E729A5">
              <w:rPr>
                <w:webHidden/>
              </w:rPr>
              <w:fldChar w:fldCharType="begin"/>
            </w:r>
            <w:r w:rsidR="00E729A5">
              <w:rPr>
                <w:webHidden/>
              </w:rPr>
              <w:instrText xml:space="preserve"> PAGEREF _Toc480815610 \h </w:instrText>
            </w:r>
            <w:r w:rsidR="00E729A5">
              <w:rPr>
                <w:webHidden/>
              </w:rPr>
            </w:r>
            <w:r w:rsidR="00E729A5">
              <w:rPr>
                <w:webHidden/>
              </w:rPr>
              <w:fldChar w:fldCharType="separate"/>
            </w:r>
            <w:r>
              <w:rPr>
                <w:webHidden/>
              </w:rPr>
              <w:t>4-63</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1" w:history="1">
            <w:r w:rsidR="00E729A5" w:rsidRPr="00821851">
              <w:rPr>
                <w:rStyle w:val="Hyperlink"/>
              </w:rPr>
              <w:t>A.3.1</w:t>
            </w:r>
            <w:r w:rsidR="00E729A5">
              <w:rPr>
                <w:rFonts w:asciiTheme="minorHAnsi" w:eastAsiaTheme="minorEastAsia" w:hAnsiTheme="minorHAnsi"/>
                <w:lang w:eastAsia="en-AU"/>
              </w:rPr>
              <w:tab/>
            </w:r>
            <w:r w:rsidR="00E729A5" w:rsidRPr="00821851">
              <w:rPr>
                <w:rStyle w:val="Hyperlink"/>
              </w:rPr>
              <w:t>SA Power Networks</w:t>
            </w:r>
            <w:r w:rsidR="00E729A5">
              <w:rPr>
                <w:webHidden/>
              </w:rPr>
              <w:tab/>
            </w:r>
            <w:r w:rsidR="00E729A5">
              <w:rPr>
                <w:webHidden/>
              </w:rPr>
              <w:fldChar w:fldCharType="begin"/>
            </w:r>
            <w:r w:rsidR="00E729A5">
              <w:rPr>
                <w:webHidden/>
              </w:rPr>
              <w:instrText xml:space="preserve"> PAGEREF _Toc480815611 \h </w:instrText>
            </w:r>
            <w:r w:rsidR="00E729A5">
              <w:rPr>
                <w:webHidden/>
              </w:rPr>
            </w:r>
            <w:r w:rsidR="00E729A5">
              <w:rPr>
                <w:webHidden/>
              </w:rPr>
              <w:fldChar w:fldCharType="separate"/>
            </w:r>
            <w:r>
              <w:rPr>
                <w:webHidden/>
              </w:rPr>
              <w:t>4-63</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2" w:history="1">
            <w:r w:rsidR="00E729A5" w:rsidRPr="00821851">
              <w:rPr>
                <w:rStyle w:val="Hyperlink"/>
              </w:rPr>
              <w:t>A.3.2</w:t>
            </w:r>
            <w:r w:rsidR="00E729A5">
              <w:rPr>
                <w:rFonts w:asciiTheme="minorHAnsi" w:eastAsiaTheme="minorEastAsia" w:hAnsiTheme="minorHAnsi"/>
                <w:lang w:eastAsia="en-AU"/>
              </w:rPr>
              <w:tab/>
            </w:r>
            <w:r w:rsidR="00E729A5" w:rsidRPr="00821851">
              <w:rPr>
                <w:rStyle w:val="Hyperlink"/>
              </w:rPr>
              <w:t>ActewAGL Distribution, Ausgrid, Endeavour Energy, Essential Energy and Jemena Gas Networks</w:t>
            </w:r>
            <w:r w:rsidR="00E729A5">
              <w:rPr>
                <w:webHidden/>
              </w:rPr>
              <w:tab/>
            </w:r>
            <w:r w:rsidR="00E729A5">
              <w:rPr>
                <w:webHidden/>
              </w:rPr>
              <w:fldChar w:fldCharType="begin"/>
            </w:r>
            <w:r w:rsidR="00E729A5">
              <w:rPr>
                <w:webHidden/>
              </w:rPr>
              <w:instrText xml:space="preserve"> PAGEREF _Toc480815612 \h </w:instrText>
            </w:r>
            <w:r w:rsidR="00E729A5">
              <w:rPr>
                <w:webHidden/>
              </w:rPr>
            </w:r>
            <w:r w:rsidR="00E729A5">
              <w:rPr>
                <w:webHidden/>
              </w:rPr>
              <w:fldChar w:fldCharType="separate"/>
            </w:r>
            <w:r>
              <w:rPr>
                <w:webHidden/>
              </w:rPr>
              <w:t>4-68</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3" w:history="1">
            <w:r w:rsidR="00E729A5" w:rsidRPr="00821851">
              <w:rPr>
                <w:rStyle w:val="Hyperlink"/>
              </w:rPr>
              <w:t>A.3.3</w:t>
            </w:r>
            <w:r w:rsidR="00E729A5">
              <w:rPr>
                <w:rFonts w:asciiTheme="minorHAnsi" w:eastAsiaTheme="minorEastAsia" w:hAnsiTheme="minorHAnsi"/>
                <w:lang w:eastAsia="en-AU"/>
              </w:rPr>
              <w:tab/>
            </w:r>
            <w:r w:rsidR="00E729A5" w:rsidRPr="00821851">
              <w:rPr>
                <w:rStyle w:val="Hyperlink"/>
              </w:rPr>
              <w:t>Energex</w:t>
            </w:r>
            <w:r w:rsidR="00E729A5">
              <w:rPr>
                <w:webHidden/>
              </w:rPr>
              <w:tab/>
            </w:r>
            <w:r w:rsidR="00E729A5">
              <w:rPr>
                <w:webHidden/>
              </w:rPr>
              <w:fldChar w:fldCharType="begin"/>
            </w:r>
            <w:r w:rsidR="00E729A5">
              <w:rPr>
                <w:webHidden/>
              </w:rPr>
              <w:instrText xml:space="preserve"> PAGEREF _Toc480815613 \h </w:instrText>
            </w:r>
            <w:r w:rsidR="00E729A5">
              <w:rPr>
                <w:webHidden/>
              </w:rPr>
            </w:r>
            <w:r w:rsidR="00E729A5">
              <w:rPr>
                <w:webHidden/>
              </w:rPr>
              <w:fldChar w:fldCharType="separate"/>
            </w:r>
            <w:r>
              <w:rPr>
                <w:webHidden/>
              </w:rPr>
              <w:t>4-76</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4" w:history="1">
            <w:r w:rsidR="00E729A5" w:rsidRPr="00821851">
              <w:rPr>
                <w:rStyle w:val="Hyperlink"/>
              </w:rPr>
              <w:t>A.3.4</w:t>
            </w:r>
            <w:r w:rsidR="00E729A5">
              <w:rPr>
                <w:rFonts w:asciiTheme="minorHAnsi" w:eastAsiaTheme="minorEastAsia" w:hAnsiTheme="minorHAnsi"/>
                <w:lang w:eastAsia="en-AU"/>
              </w:rPr>
              <w:tab/>
            </w:r>
            <w:r w:rsidR="00E729A5" w:rsidRPr="00821851">
              <w:rPr>
                <w:rStyle w:val="Hyperlink"/>
              </w:rPr>
              <w:t>DBNGP and WA Gas Networks</w:t>
            </w:r>
            <w:r w:rsidR="00E729A5">
              <w:rPr>
                <w:webHidden/>
              </w:rPr>
              <w:tab/>
            </w:r>
            <w:r w:rsidR="00E729A5">
              <w:rPr>
                <w:webHidden/>
              </w:rPr>
              <w:fldChar w:fldCharType="begin"/>
            </w:r>
            <w:r w:rsidR="00E729A5">
              <w:rPr>
                <w:webHidden/>
              </w:rPr>
              <w:instrText xml:space="preserve"> PAGEREF _Toc480815614 \h </w:instrText>
            </w:r>
            <w:r w:rsidR="00E729A5">
              <w:rPr>
                <w:webHidden/>
              </w:rPr>
            </w:r>
            <w:r w:rsidR="00E729A5">
              <w:rPr>
                <w:webHidden/>
              </w:rPr>
              <w:fldChar w:fldCharType="separate"/>
            </w:r>
            <w:r>
              <w:rPr>
                <w:webHidden/>
              </w:rPr>
              <w:t>4-80</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15" w:history="1">
            <w:r w:rsidR="00E729A5" w:rsidRPr="00821851">
              <w:rPr>
                <w:rStyle w:val="Hyperlink"/>
              </w:rPr>
              <w:t>A.4</w:t>
            </w:r>
            <w:r w:rsidR="00E729A5">
              <w:rPr>
                <w:rFonts w:asciiTheme="minorHAnsi" w:eastAsiaTheme="minorEastAsia" w:hAnsiTheme="minorHAnsi"/>
                <w:b w:val="0"/>
                <w:color w:val="auto"/>
                <w:sz w:val="22"/>
                <w:lang w:eastAsia="en-AU"/>
              </w:rPr>
              <w:tab/>
            </w:r>
            <w:r w:rsidR="00E729A5" w:rsidRPr="00821851">
              <w:rPr>
                <w:rStyle w:val="Hyperlink"/>
              </w:rPr>
              <w:t>Key concerns of the service providers</w:t>
            </w:r>
            <w:r w:rsidR="00E729A5">
              <w:rPr>
                <w:webHidden/>
              </w:rPr>
              <w:tab/>
            </w:r>
            <w:r w:rsidR="00E729A5">
              <w:rPr>
                <w:webHidden/>
              </w:rPr>
              <w:fldChar w:fldCharType="begin"/>
            </w:r>
            <w:r w:rsidR="00E729A5">
              <w:rPr>
                <w:webHidden/>
              </w:rPr>
              <w:instrText xml:space="preserve"> PAGEREF _Toc480815615 \h </w:instrText>
            </w:r>
            <w:r w:rsidR="00E729A5">
              <w:rPr>
                <w:webHidden/>
              </w:rPr>
            </w:r>
            <w:r w:rsidR="00E729A5">
              <w:rPr>
                <w:webHidden/>
              </w:rPr>
              <w:fldChar w:fldCharType="separate"/>
            </w:r>
            <w:r>
              <w:rPr>
                <w:webHidden/>
              </w:rPr>
              <w:t>4-81</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6" w:history="1">
            <w:r w:rsidR="00E729A5" w:rsidRPr="00821851">
              <w:rPr>
                <w:rStyle w:val="Hyperlink"/>
              </w:rPr>
              <w:t>A.4.1</w:t>
            </w:r>
            <w:r w:rsidR="00E729A5">
              <w:rPr>
                <w:rFonts w:asciiTheme="minorHAnsi" w:eastAsiaTheme="minorEastAsia" w:hAnsiTheme="minorHAnsi"/>
                <w:lang w:eastAsia="en-AU"/>
              </w:rPr>
              <w:tab/>
            </w:r>
            <w:r w:rsidR="00E729A5" w:rsidRPr="00821851">
              <w:rPr>
                <w:rStyle w:val="Hyperlink"/>
              </w:rPr>
              <w:t>Ausgrid, Endeavour Energy, Essential Energy, ActewAGL, TransGrid, Directlink, Jemena Gas Networks</w:t>
            </w:r>
            <w:r w:rsidR="00E729A5">
              <w:rPr>
                <w:webHidden/>
              </w:rPr>
              <w:tab/>
            </w:r>
            <w:r w:rsidR="00E729A5">
              <w:rPr>
                <w:webHidden/>
              </w:rPr>
              <w:fldChar w:fldCharType="begin"/>
            </w:r>
            <w:r w:rsidR="00E729A5">
              <w:rPr>
                <w:webHidden/>
              </w:rPr>
              <w:instrText xml:space="preserve"> PAGEREF _Toc480815616 \h </w:instrText>
            </w:r>
            <w:r w:rsidR="00E729A5">
              <w:rPr>
                <w:webHidden/>
              </w:rPr>
            </w:r>
            <w:r w:rsidR="00E729A5">
              <w:rPr>
                <w:webHidden/>
              </w:rPr>
              <w:fldChar w:fldCharType="separate"/>
            </w:r>
            <w:r>
              <w:rPr>
                <w:webHidden/>
              </w:rPr>
              <w:t>4-82</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7" w:history="1">
            <w:r w:rsidR="00E729A5" w:rsidRPr="00821851">
              <w:rPr>
                <w:rStyle w:val="Hyperlink"/>
              </w:rPr>
              <w:t>A.4.2</w:t>
            </w:r>
            <w:r w:rsidR="00E729A5">
              <w:rPr>
                <w:rFonts w:asciiTheme="minorHAnsi" w:eastAsiaTheme="minorEastAsia" w:hAnsiTheme="minorHAnsi"/>
                <w:lang w:eastAsia="en-AU"/>
              </w:rPr>
              <w:tab/>
            </w:r>
            <w:r w:rsidR="00E729A5" w:rsidRPr="00821851">
              <w:rPr>
                <w:rStyle w:val="Hyperlink"/>
              </w:rPr>
              <w:t>SA Power Networks, Ergon Energy, Energex</w:t>
            </w:r>
            <w:r w:rsidR="00E729A5">
              <w:rPr>
                <w:webHidden/>
              </w:rPr>
              <w:tab/>
            </w:r>
            <w:r w:rsidR="00E729A5">
              <w:rPr>
                <w:webHidden/>
              </w:rPr>
              <w:fldChar w:fldCharType="begin"/>
            </w:r>
            <w:r w:rsidR="00E729A5">
              <w:rPr>
                <w:webHidden/>
              </w:rPr>
              <w:instrText xml:space="preserve"> PAGEREF _Toc480815617 \h </w:instrText>
            </w:r>
            <w:r w:rsidR="00E729A5">
              <w:rPr>
                <w:webHidden/>
              </w:rPr>
            </w:r>
            <w:r w:rsidR="00E729A5">
              <w:rPr>
                <w:webHidden/>
              </w:rPr>
              <w:fldChar w:fldCharType="separate"/>
            </w:r>
            <w:r>
              <w:rPr>
                <w:webHidden/>
              </w:rPr>
              <w:t>4-83</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8" w:history="1">
            <w:r w:rsidR="00E729A5" w:rsidRPr="00821851">
              <w:rPr>
                <w:rStyle w:val="Hyperlink"/>
              </w:rPr>
              <w:t>A.4.3</w:t>
            </w:r>
            <w:r w:rsidR="00E729A5">
              <w:rPr>
                <w:rFonts w:asciiTheme="minorHAnsi" w:eastAsiaTheme="minorEastAsia" w:hAnsiTheme="minorHAnsi"/>
                <w:lang w:eastAsia="en-AU"/>
              </w:rPr>
              <w:tab/>
            </w:r>
            <w:r w:rsidR="00E729A5" w:rsidRPr="00821851">
              <w:rPr>
                <w:rStyle w:val="Hyperlink"/>
              </w:rPr>
              <w:t>Australian Gas Networks, ActewAGL, AusNet Services, CitiPower, Jemena Electricity, United Energy, Powercor</w:t>
            </w:r>
            <w:r w:rsidR="00E729A5">
              <w:rPr>
                <w:webHidden/>
              </w:rPr>
              <w:tab/>
            </w:r>
            <w:r w:rsidR="00E729A5">
              <w:rPr>
                <w:webHidden/>
              </w:rPr>
              <w:fldChar w:fldCharType="begin"/>
            </w:r>
            <w:r w:rsidR="00E729A5">
              <w:rPr>
                <w:webHidden/>
              </w:rPr>
              <w:instrText xml:space="preserve"> PAGEREF _Toc480815618 \h </w:instrText>
            </w:r>
            <w:r w:rsidR="00E729A5">
              <w:rPr>
                <w:webHidden/>
              </w:rPr>
            </w:r>
            <w:r w:rsidR="00E729A5">
              <w:rPr>
                <w:webHidden/>
              </w:rPr>
              <w:fldChar w:fldCharType="separate"/>
            </w:r>
            <w:r>
              <w:rPr>
                <w:webHidden/>
              </w:rPr>
              <w:t>4-84</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19" w:history="1">
            <w:r w:rsidR="00E729A5" w:rsidRPr="00821851">
              <w:rPr>
                <w:rStyle w:val="Hyperlink"/>
              </w:rPr>
              <w:t>A.4.4</w:t>
            </w:r>
            <w:r w:rsidR="00E729A5">
              <w:rPr>
                <w:rFonts w:asciiTheme="minorHAnsi" w:eastAsiaTheme="minorEastAsia" w:hAnsiTheme="minorHAnsi"/>
                <w:lang w:eastAsia="en-AU"/>
              </w:rPr>
              <w:tab/>
            </w:r>
            <w:r w:rsidR="00E729A5" w:rsidRPr="00821851">
              <w:rPr>
                <w:rStyle w:val="Hyperlink"/>
              </w:rPr>
              <w:t>AusNet Transmission, TasNetworks, Powerlink</w:t>
            </w:r>
            <w:r w:rsidR="00E729A5">
              <w:rPr>
                <w:webHidden/>
              </w:rPr>
              <w:tab/>
            </w:r>
            <w:r w:rsidR="00E729A5">
              <w:rPr>
                <w:webHidden/>
              </w:rPr>
              <w:fldChar w:fldCharType="begin"/>
            </w:r>
            <w:r w:rsidR="00E729A5">
              <w:rPr>
                <w:webHidden/>
              </w:rPr>
              <w:instrText xml:space="preserve"> PAGEREF _Toc480815619 \h </w:instrText>
            </w:r>
            <w:r w:rsidR="00E729A5">
              <w:rPr>
                <w:webHidden/>
              </w:rPr>
            </w:r>
            <w:r w:rsidR="00E729A5">
              <w:rPr>
                <w:webHidden/>
              </w:rPr>
              <w:fldChar w:fldCharType="separate"/>
            </w:r>
            <w:r>
              <w:rPr>
                <w:webHidden/>
              </w:rPr>
              <w:t>4-86</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20" w:history="1">
            <w:r w:rsidR="00E729A5" w:rsidRPr="00821851">
              <w:rPr>
                <w:rStyle w:val="Hyperlink"/>
              </w:rPr>
              <w:t>A.5</w:t>
            </w:r>
            <w:r w:rsidR="00E729A5">
              <w:rPr>
                <w:rFonts w:asciiTheme="minorHAnsi" w:eastAsiaTheme="minorEastAsia" w:hAnsiTheme="minorHAnsi"/>
                <w:b w:val="0"/>
                <w:color w:val="auto"/>
                <w:sz w:val="22"/>
                <w:lang w:eastAsia="en-AU"/>
              </w:rPr>
              <w:tab/>
            </w:r>
            <w:r w:rsidR="00E729A5" w:rsidRPr="00821851">
              <w:rPr>
                <w:rStyle w:val="Hyperlink"/>
              </w:rPr>
              <w:t>The role of the value of imputation credits in the regulatory framework</w:t>
            </w:r>
            <w:r w:rsidR="00E729A5">
              <w:rPr>
                <w:webHidden/>
              </w:rPr>
              <w:tab/>
            </w:r>
            <w:r w:rsidR="00E729A5">
              <w:rPr>
                <w:webHidden/>
              </w:rPr>
              <w:fldChar w:fldCharType="begin"/>
            </w:r>
            <w:r w:rsidR="00E729A5">
              <w:rPr>
                <w:webHidden/>
              </w:rPr>
              <w:instrText xml:space="preserve"> PAGEREF _Toc480815620 \h </w:instrText>
            </w:r>
            <w:r w:rsidR="00E729A5">
              <w:rPr>
                <w:webHidden/>
              </w:rPr>
            </w:r>
            <w:r w:rsidR="00E729A5">
              <w:rPr>
                <w:webHidden/>
              </w:rPr>
              <w:fldChar w:fldCharType="separate"/>
            </w:r>
            <w:r>
              <w:rPr>
                <w:webHidden/>
              </w:rPr>
              <w:t>4-87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21" w:history="1">
            <w:r w:rsidR="00E729A5" w:rsidRPr="00821851">
              <w:rPr>
                <w:rStyle w:val="Hyperlink"/>
              </w:rPr>
              <w:t>A.5.1</w:t>
            </w:r>
            <w:r w:rsidR="00E729A5">
              <w:rPr>
                <w:rFonts w:asciiTheme="minorHAnsi" w:eastAsiaTheme="minorEastAsia" w:hAnsiTheme="minorHAnsi"/>
                <w:lang w:eastAsia="en-AU"/>
              </w:rPr>
              <w:tab/>
            </w:r>
            <w:r w:rsidR="00E729A5" w:rsidRPr="00821851">
              <w:rPr>
                <w:rStyle w:val="Hyperlink"/>
              </w:rPr>
              <w:t>The building block framework</w:t>
            </w:r>
            <w:r w:rsidR="00E729A5">
              <w:rPr>
                <w:webHidden/>
              </w:rPr>
              <w:tab/>
            </w:r>
            <w:r w:rsidR="00E729A5">
              <w:rPr>
                <w:webHidden/>
              </w:rPr>
              <w:fldChar w:fldCharType="begin"/>
            </w:r>
            <w:r w:rsidR="00E729A5">
              <w:rPr>
                <w:webHidden/>
              </w:rPr>
              <w:instrText xml:space="preserve"> PAGEREF _Toc480815621 \h </w:instrText>
            </w:r>
            <w:r w:rsidR="00E729A5">
              <w:rPr>
                <w:webHidden/>
              </w:rPr>
            </w:r>
            <w:r w:rsidR="00E729A5">
              <w:rPr>
                <w:webHidden/>
              </w:rPr>
              <w:fldChar w:fldCharType="separate"/>
            </w:r>
            <w:r>
              <w:rPr>
                <w:webHidden/>
              </w:rPr>
              <w:t>4-87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22" w:history="1">
            <w:r w:rsidR="00E729A5" w:rsidRPr="00821851">
              <w:rPr>
                <w:rStyle w:val="Hyperlink"/>
              </w:rPr>
              <w:t>A.5.2</w:t>
            </w:r>
            <w:r w:rsidR="00E729A5">
              <w:rPr>
                <w:rFonts w:asciiTheme="minorHAnsi" w:eastAsiaTheme="minorEastAsia" w:hAnsiTheme="minorHAnsi"/>
                <w:lang w:eastAsia="en-AU"/>
              </w:rPr>
              <w:tab/>
            </w:r>
            <w:r w:rsidR="00E729A5" w:rsidRPr="00821851">
              <w:rPr>
                <w:rStyle w:val="Hyperlink"/>
              </w:rPr>
              <w:t>The tax building block</w:t>
            </w:r>
            <w:r w:rsidR="00E729A5">
              <w:rPr>
                <w:webHidden/>
              </w:rPr>
              <w:tab/>
            </w:r>
            <w:r w:rsidR="00E729A5">
              <w:rPr>
                <w:webHidden/>
              </w:rPr>
              <w:fldChar w:fldCharType="begin"/>
            </w:r>
            <w:r w:rsidR="00E729A5">
              <w:rPr>
                <w:webHidden/>
              </w:rPr>
              <w:instrText xml:space="preserve"> PAGEREF _Toc480815622 \h </w:instrText>
            </w:r>
            <w:r w:rsidR="00E729A5">
              <w:rPr>
                <w:webHidden/>
              </w:rPr>
            </w:r>
            <w:r w:rsidR="00E729A5">
              <w:rPr>
                <w:webHidden/>
              </w:rPr>
              <w:fldChar w:fldCharType="separate"/>
            </w:r>
            <w:r>
              <w:rPr>
                <w:webHidden/>
              </w:rPr>
              <w:t>4-90</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23" w:history="1">
            <w:r w:rsidR="00E729A5" w:rsidRPr="00821851">
              <w:rPr>
                <w:rStyle w:val="Hyperlink"/>
              </w:rPr>
              <w:t>A.6</w:t>
            </w:r>
            <w:r w:rsidR="00E729A5">
              <w:rPr>
                <w:rFonts w:asciiTheme="minorHAnsi" w:eastAsiaTheme="minorEastAsia" w:hAnsiTheme="minorHAnsi"/>
                <w:b w:val="0"/>
                <w:color w:val="auto"/>
                <w:sz w:val="22"/>
                <w:lang w:eastAsia="en-AU"/>
              </w:rPr>
              <w:tab/>
            </w:r>
            <w:r w:rsidR="00E729A5" w:rsidRPr="00821851">
              <w:rPr>
                <w:rStyle w:val="Hyperlink"/>
              </w:rPr>
              <w:t>The conceptual framework for the value of imputation credits</w:t>
            </w:r>
            <w:r w:rsidR="00E729A5">
              <w:rPr>
                <w:webHidden/>
              </w:rPr>
              <w:tab/>
            </w:r>
            <w:r w:rsidR="00E729A5">
              <w:rPr>
                <w:webHidden/>
              </w:rPr>
              <w:fldChar w:fldCharType="begin"/>
            </w:r>
            <w:r w:rsidR="00E729A5">
              <w:rPr>
                <w:webHidden/>
              </w:rPr>
              <w:instrText xml:space="preserve"> PAGEREF _Toc480815623 \h </w:instrText>
            </w:r>
            <w:r w:rsidR="00E729A5">
              <w:rPr>
                <w:webHidden/>
              </w:rPr>
            </w:r>
            <w:r w:rsidR="00E729A5">
              <w:rPr>
                <w:webHidden/>
              </w:rPr>
              <w:fldChar w:fldCharType="separate"/>
            </w:r>
            <w:r>
              <w:rPr>
                <w:webHidden/>
              </w:rPr>
              <w:t>4-90</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24" w:history="1">
            <w:r w:rsidR="00E729A5" w:rsidRPr="00821851">
              <w:rPr>
                <w:rStyle w:val="Hyperlink"/>
              </w:rPr>
              <w:t>A.7</w:t>
            </w:r>
            <w:r w:rsidR="00E729A5">
              <w:rPr>
                <w:rFonts w:asciiTheme="minorHAnsi" w:eastAsiaTheme="minorEastAsia" w:hAnsiTheme="minorHAnsi"/>
                <w:b w:val="0"/>
                <w:color w:val="auto"/>
                <w:sz w:val="22"/>
                <w:lang w:eastAsia="en-AU"/>
              </w:rPr>
              <w:tab/>
            </w:r>
            <w:r w:rsidR="00E729A5" w:rsidRPr="00821851">
              <w:rPr>
                <w:rStyle w:val="Hyperlink"/>
              </w:rPr>
              <w:t>Gray's comments on the conceptual framework</w:t>
            </w:r>
            <w:r w:rsidR="00E729A5">
              <w:rPr>
                <w:webHidden/>
              </w:rPr>
              <w:tab/>
            </w:r>
            <w:r w:rsidR="00E729A5">
              <w:rPr>
                <w:webHidden/>
              </w:rPr>
              <w:fldChar w:fldCharType="begin"/>
            </w:r>
            <w:r w:rsidR="00E729A5">
              <w:rPr>
                <w:webHidden/>
              </w:rPr>
              <w:instrText xml:space="preserve"> PAGEREF _Toc480815624 \h </w:instrText>
            </w:r>
            <w:r w:rsidR="00E729A5">
              <w:rPr>
                <w:webHidden/>
              </w:rPr>
            </w:r>
            <w:r w:rsidR="00E729A5">
              <w:rPr>
                <w:webHidden/>
              </w:rPr>
              <w:fldChar w:fldCharType="separate"/>
            </w:r>
            <w:r>
              <w:rPr>
                <w:webHidden/>
              </w:rPr>
              <w:t>4-97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25" w:history="1">
            <w:r w:rsidR="00E729A5" w:rsidRPr="00821851">
              <w:rPr>
                <w:rStyle w:val="Hyperlink"/>
              </w:rPr>
              <w:t>A.7.1</w:t>
            </w:r>
            <w:r w:rsidR="00E729A5">
              <w:rPr>
                <w:rFonts w:asciiTheme="minorHAnsi" w:eastAsiaTheme="minorEastAsia" w:hAnsiTheme="minorHAnsi"/>
                <w:lang w:eastAsia="en-AU"/>
              </w:rPr>
              <w:tab/>
            </w:r>
            <w:r w:rsidR="00E729A5" w:rsidRPr="00821851">
              <w:rPr>
                <w:rStyle w:val="Hyperlink"/>
              </w:rPr>
              <w:t>Gray's comments on the AER's position</w:t>
            </w:r>
            <w:r w:rsidR="00E729A5">
              <w:rPr>
                <w:webHidden/>
              </w:rPr>
              <w:tab/>
            </w:r>
            <w:r w:rsidR="00E729A5">
              <w:rPr>
                <w:webHidden/>
              </w:rPr>
              <w:fldChar w:fldCharType="begin"/>
            </w:r>
            <w:r w:rsidR="00E729A5">
              <w:rPr>
                <w:webHidden/>
              </w:rPr>
              <w:instrText xml:space="preserve"> PAGEREF _Toc480815625 \h </w:instrText>
            </w:r>
            <w:r w:rsidR="00E729A5">
              <w:rPr>
                <w:webHidden/>
              </w:rPr>
            </w:r>
            <w:r w:rsidR="00E729A5">
              <w:rPr>
                <w:webHidden/>
              </w:rPr>
              <w:fldChar w:fldCharType="separate"/>
            </w:r>
            <w:r>
              <w:rPr>
                <w:webHidden/>
              </w:rPr>
              <w:t>4-97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26" w:history="1">
            <w:r w:rsidR="00E729A5" w:rsidRPr="00821851">
              <w:rPr>
                <w:rStyle w:val="Hyperlink"/>
              </w:rPr>
              <w:t>A.7.2</w:t>
            </w:r>
            <w:r w:rsidR="00E729A5">
              <w:rPr>
                <w:rFonts w:asciiTheme="minorHAnsi" w:eastAsiaTheme="minorEastAsia" w:hAnsiTheme="minorHAnsi"/>
                <w:lang w:eastAsia="en-AU"/>
              </w:rPr>
              <w:tab/>
            </w:r>
            <w:r w:rsidR="00E729A5" w:rsidRPr="00821851">
              <w:rPr>
                <w:rStyle w:val="Hyperlink"/>
              </w:rPr>
              <w:t>Gray's comments on certain evidence and advice cited in the Guideline</w:t>
            </w:r>
            <w:r w:rsidR="00E729A5">
              <w:rPr>
                <w:webHidden/>
              </w:rPr>
              <w:tab/>
            </w:r>
            <w:r w:rsidR="00E729A5">
              <w:rPr>
                <w:webHidden/>
              </w:rPr>
              <w:fldChar w:fldCharType="begin"/>
            </w:r>
            <w:r w:rsidR="00E729A5">
              <w:rPr>
                <w:webHidden/>
              </w:rPr>
              <w:instrText xml:space="preserve"> PAGEREF _Toc480815626 \h </w:instrText>
            </w:r>
            <w:r w:rsidR="00E729A5">
              <w:rPr>
                <w:webHidden/>
              </w:rPr>
            </w:r>
            <w:r w:rsidR="00E729A5">
              <w:rPr>
                <w:webHidden/>
              </w:rPr>
              <w:fldChar w:fldCharType="separate"/>
            </w:r>
            <w:r>
              <w:rPr>
                <w:webHidden/>
              </w:rPr>
              <w:t>4-99</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27" w:history="1">
            <w:r w:rsidR="00E729A5" w:rsidRPr="00821851">
              <w:rPr>
                <w:rStyle w:val="Hyperlink"/>
              </w:rPr>
              <w:t>A.7.3</w:t>
            </w:r>
            <w:r w:rsidR="00E729A5">
              <w:rPr>
                <w:rFonts w:asciiTheme="minorHAnsi" w:eastAsiaTheme="minorEastAsia" w:hAnsiTheme="minorHAnsi"/>
                <w:lang w:eastAsia="en-AU"/>
              </w:rPr>
              <w:tab/>
            </w:r>
            <w:r w:rsidR="00E729A5" w:rsidRPr="00821851">
              <w:rPr>
                <w:rStyle w:val="Hyperlink"/>
              </w:rPr>
              <w:t>Gray's comments on Officer (1994)</w:t>
            </w:r>
            <w:r w:rsidR="00E729A5">
              <w:rPr>
                <w:webHidden/>
              </w:rPr>
              <w:tab/>
            </w:r>
            <w:r w:rsidR="00E729A5">
              <w:rPr>
                <w:webHidden/>
              </w:rPr>
              <w:fldChar w:fldCharType="begin"/>
            </w:r>
            <w:r w:rsidR="00E729A5">
              <w:rPr>
                <w:webHidden/>
              </w:rPr>
              <w:instrText xml:space="preserve"> PAGEREF _Toc480815627 \h </w:instrText>
            </w:r>
            <w:r w:rsidR="00E729A5">
              <w:rPr>
                <w:webHidden/>
              </w:rPr>
            </w:r>
            <w:r w:rsidR="00E729A5">
              <w:rPr>
                <w:webHidden/>
              </w:rPr>
              <w:fldChar w:fldCharType="separate"/>
            </w:r>
            <w:r>
              <w:rPr>
                <w:webHidden/>
              </w:rPr>
              <w:t>4-99</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28" w:history="1">
            <w:r w:rsidR="00E729A5" w:rsidRPr="00821851">
              <w:rPr>
                <w:rStyle w:val="Hyperlink"/>
              </w:rPr>
              <w:t>A.7.4</w:t>
            </w:r>
            <w:r w:rsidR="00E729A5">
              <w:rPr>
                <w:rFonts w:asciiTheme="minorHAnsi" w:eastAsiaTheme="minorEastAsia" w:hAnsiTheme="minorHAnsi"/>
                <w:lang w:eastAsia="en-AU"/>
              </w:rPr>
              <w:tab/>
            </w:r>
            <w:r w:rsidR="00E729A5" w:rsidRPr="00821851">
              <w:rPr>
                <w:rStyle w:val="Hyperlink"/>
              </w:rPr>
              <w:t>Gray's comments on the Monkhouse framework</w:t>
            </w:r>
            <w:r w:rsidR="00E729A5">
              <w:rPr>
                <w:webHidden/>
              </w:rPr>
              <w:tab/>
            </w:r>
            <w:r w:rsidR="00E729A5">
              <w:rPr>
                <w:webHidden/>
              </w:rPr>
              <w:fldChar w:fldCharType="begin"/>
            </w:r>
            <w:r w:rsidR="00E729A5">
              <w:rPr>
                <w:webHidden/>
              </w:rPr>
              <w:instrText xml:space="preserve"> PAGEREF _Toc480815628 \h </w:instrText>
            </w:r>
            <w:r w:rsidR="00E729A5">
              <w:rPr>
                <w:webHidden/>
              </w:rPr>
            </w:r>
            <w:r w:rsidR="00E729A5">
              <w:rPr>
                <w:webHidden/>
              </w:rPr>
              <w:fldChar w:fldCharType="separate"/>
            </w:r>
            <w:r>
              <w:rPr>
                <w:webHidden/>
              </w:rPr>
              <w:t>4-108</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29" w:history="1">
            <w:r w:rsidR="00E729A5" w:rsidRPr="00821851">
              <w:rPr>
                <w:rStyle w:val="Hyperlink"/>
              </w:rPr>
              <w:t>A.8</w:t>
            </w:r>
            <w:r w:rsidR="00E729A5">
              <w:rPr>
                <w:rFonts w:asciiTheme="minorHAnsi" w:eastAsiaTheme="minorEastAsia" w:hAnsiTheme="minorHAnsi"/>
                <w:b w:val="0"/>
                <w:color w:val="auto"/>
                <w:sz w:val="22"/>
                <w:lang w:eastAsia="en-AU"/>
              </w:rPr>
              <w:tab/>
            </w:r>
            <w:r w:rsidR="00E729A5" w:rsidRPr="00821851">
              <w:rPr>
                <w:rStyle w:val="Hyperlink"/>
              </w:rPr>
              <w:t>Further issues relating to the utilisation rate</w:t>
            </w:r>
            <w:r w:rsidR="00E729A5">
              <w:rPr>
                <w:webHidden/>
              </w:rPr>
              <w:tab/>
            </w:r>
            <w:r w:rsidR="00E729A5">
              <w:rPr>
                <w:webHidden/>
              </w:rPr>
              <w:fldChar w:fldCharType="begin"/>
            </w:r>
            <w:r w:rsidR="00E729A5">
              <w:rPr>
                <w:webHidden/>
              </w:rPr>
              <w:instrText xml:space="preserve"> PAGEREF _Toc480815629 \h </w:instrText>
            </w:r>
            <w:r w:rsidR="00E729A5">
              <w:rPr>
                <w:webHidden/>
              </w:rPr>
            </w:r>
            <w:r w:rsidR="00E729A5">
              <w:rPr>
                <w:webHidden/>
              </w:rPr>
              <w:fldChar w:fldCharType="separate"/>
            </w:r>
            <w:r>
              <w:rPr>
                <w:webHidden/>
              </w:rPr>
              <w:t>4-110</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0" w:history="1">
            <w:r w:rsidR="00E729A5" w:rsidRPr="00821851">
              <w:rPr>
                <w:rStyle w:val="Hyperlink"/>
              </w:rPr>
              <w:t>A.8.1</w:t>
            </w:r>
            <w:r w:rsidR="00E729A5">
              <w:rPr>
                <w:rFonts w:asciiTheme="minorHAnsi" w:eastAsiaTheme="minorEastAsia" w:hAnsiTheme="minorHAnsi"/>
                <w:lang w:eastAsia="en-AU"/>
              </w:rPr>
              <w:tab/>
            </w:r>
            <w:r w:rsidR="00E729A5" w:rsidRPr="00821851">
              <w:rPr>
                <w:rStyle w:val="Hyperlink"/>
              </w:rPr>
              <w:t>Consistency with the building block framework</w:t>
            </w:r>
            <w:r w:rsidR="00E729A5">
              <w:rPr>
                <w:webHidden/>
              </w:rPr>
              <w:tab/>
            </w:r>
            <w:r w:rsidR="00E729A5">
              <w:rPr>
                <w:webHidden/>
              </w:rPr>
              <w:fldChar w:fldCharType="begin"/>
            </w:r>
            <w:r w:rsidR="00E729A5">
              <w:rPr>
                <w:webHidden/>
              </w:rPr>
              <w:instrText xml:space="preserve"> PAGEREF _Toc480815630 \h </w:instrText>
            </w:r>
            <w:r w:rsidR="00E729A5">
              <w:rPr>
                <w:webHidden/>
              </w:rPr>
            </w:r>
            <w:r w:rsidR="00E729A5">
              <w:rPr>
                <w:webHidden/>
              </w:rPr>
              <w:fldChar w:fldCharType="separate"/>
            </w:r>
            <w:r>
              <w:rPr>
                <w:webHidden/>
              </w:rPr>
              <w:t>4-111</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1" w:history="1">
            <w:r w:rsidR="00E729A5" w:rsidRPr="00821851">
              <w:rPr>
                <w:rStyle w:val="Hyperlink"/>
              </w:rPr>
              <w:t>A.8.2</w:t>
            </w:r>
            <w:r w:rsidR="00E729A5">
              <w:rPr>
                <w:rFonts w:asciiTheme="minorHAnsi" w:eastAsiaTheme="minorEastAsia" w:hAnsiTheme="minorHAnsi"/>
                <w:lang w:eastAsia="en-AU"/>
              </w:rPr>
              <w:tab/>
            </w:r>
            <w:r w:rsidR="00E729A5" w:rsidRPr="00821851">
              <w:rPr>
                <w:rStyle w:val="Hyperlink"/>
              </w:rPr>
              <w:t>Consistency with other allowed rate of return parameters</w:t>
            </w:r>
            <w:r w:rsidR="00E729A5">
              <w:rPr>
                <w:webHidden/>
              </w:rPr>
              <w:tab/>
            </w:r>
            <w:r w:rsidR="00E729A5">
              <w:rPr>
                <w:webHidden/>
              </w:rPr>
              <w:fldChar w:fldCharType="begin"/>
            </w:r>
            <w:r w:rsidR="00E729A5">
              <w:rPr>
                <w:webHidden/>
              </w:rPr>
              <w:instrText xml:space="preserve"> PAGEREF _Toc480815631 \h </w:instrText>
            </w:r>
            <w:r w:rsidR="00E729A5">
              <w:rPr>
                <w:webHidden/>
              </w:rPr>
            </w:r>
            <w:r w:rsidR="00E729A5">
              <w:rPr>
                <w:webHidden/>
              </w:rPr>
              <w:fldChar w:fldCharType="separate"/>
            </w:r>
            <w:r>
              <w:rPr>
                <w:webHidden/>
              </w:rPr>
              <w:t>4-114</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2" w:history="1">
            <w:r w:rsidR="00E729A5" w:rsidRPr="00821851">
              <w:rPr>
                <w:rStyle w:val="Hyperlink"/>
              </w:rPr>
              <w:t>A.8.3</w:t>
            </w:r>
            <w:r w:rsidR="00E729A5">
              <w:rPr>
                <w:rFonts w:asciiTheme="minorHAnsi" w:eastAsiaTheme="minorEastAsia" w:hAnsiTheme="minorHAnsi"/>
                <w:lang w:eastAsia="en-AU"/>
              </w:rPr>
              <w:tab/>
            </w:r>
            <w:r w:rsidR="00E729A5" w:rsidRPr="00821851">
              <w:rPr>
                <w:rStyle w:val="Hyperlink"/>
              </w:rPr>
              <w:t>Market Risk Premium adjustment for gamma</w:t>
            </w:r>
            <w:r w:rsidR="00E729A5">
              <w:rPr>
                <w:webHidden/>
              </w:rPr>
              <w:tab/>
            </w:r>
            <w:r w:rsidR="00E729A5">
              <w:rPr>
                <w:webHidden/>
              </w:rPr>
              <w:fldChar w:fldCharType="begin"/>
            </w:r>
            <w:r w:rsidR="00E729A5">
              <w:rPr>
                <w:webHidden/>
              </w:rPr>
              <w:instrText xml:space="preserve"> PAGEREF _Toc480815632 \h </w:instrText>
            </w:r>
            <w:r w:rsidR="00E729A5">
              <w:rPr>
                <w:webHidden/>
              </w:rPr>
            </w:r>
            <w:r w:rsidR="00E729A5">
              <w:rPr>
                <w:webHidden/>
              </w:rPr>
              <w:fldChar w:fldCharType="separate"/>
            </w:r>
            <w:r>
              <w:rPr>
                <w:webHidden/>
              </w:rPr>
              <w:t>4-118</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3" w:history="1">
            <w:r w:rsidR="00E729A5" w:rsidRPr="00821851">
              <w:rPr>
                <w:rStyle w:val="Hyperlink"/>
              </w:rPr>
              <w:t>A.8.4</w:t>
            </w:r>
            <w:r w:rsidR="00E729A5">
              <w:rPr>
                <w:rFonts w:asciiTheme="minorHAnsi" w:eastAsiaTheme="minorEastAsia" w:hAnsiTheme="minorHAnsi"/>
                <w:lang w:eastAsia="en-AU"/>
              </w:rPr>
              <w:tab/>
            </w:r>
            <w:r w:rsidR="00E729A5" w:rsidRPr="00821851">
              <w:rPr>
                <w:rStyle w:val="Hyperlink"/>
              </w:rPr>
              <w:t>Factors affecting investors' valuation of imputation credits</w:t>
            </w:r>
            <w:r w:rsidR="00E729A5">
              <w:rPr>
                <w:webHidden/>
              </w:rPr>
              <w:tab/>
            </w:r>
            <w:r w:rsidR="00E729A5">
              <w:rPr>
                <w:webHidden/>
              </w:rPr>
              <w:fldChar w:fldCharType="begin"/>
            </w:r>
            <w:r w:rsidR="00E729A5">
              <w:rPr>
                <w:webHidden/>
              </w:rPr>
              <w:instrText xml:space="preserve"> PAGEREF _Toc480815633 \h </w:instrText>
            </w:r>
            <w:r w:rsidR="00E729A5">
              <w:rPr>
                <w:webHidden/>
              </w:rPr>
            </w:r>
            <w:r w:rsidR="00E729A5">
              <w:rPr>
                <w:webHidden/>
              </w:rPr>
              <w:fldChar w:fldCharType="separate"/>
            </w:r>
            <w:r>
              <w:rPr>
                <w:webHidden/>
              </w:rPr>
              <w:t>4-120</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4" w:history="1">
            <w:r w:rsidR="00E729A5" w:rsidRPr="00821851">
              <w:rPr>
                <w:rStyle w:val="Hyperlink"/>
              </w:rPr>
              <w:t>A.8.5</w:t>
            </w:r>
            <w:r w:rsidR="00E729A5">
              <w:rPr>
                <w:rFonts w:asciiTheme="minorHAnsi" w:eastAsiaTheme="minorEastAsia" w:hAnsiTheme="minorHAnsi"/>
                <w:lang w:eastAsia="en-AU"/>
              </w:rPr>
              <w:tab/>
            </w:r>
            <w:r w:rsidR="00E729A5" w:rsidRPr="00821851">
              <w:rPr>
                <w:rStyle w:val="Hyperlink"/>
              </w:rPr>
              <w:t>NERA's comments on the utilisation rate</w:t>
            </w:r>
            <w:r w:rsidR="00E729A5">
              <w:rPr>
                <w:webHidden/>
              </w:rPr>
              <w:tab/>
            </w:r>
            <w:r w:rsidR="00E729A5">
              <w:rPr>
                <w:webHidden/>
              </w:rPr>
              <w:fldChar w:fldCharType="begin"/>
            </w:r>
            <w:r w:rsidR="00E729A5">
              <w:rPr>
                <w:webHidden/>
              </w:rPr>
              <w:instrText xml:space="preserve"> PAGEREF _Toc480815634 \h </w:instrText>
            </w:r>
            <w:r w:rsidR="00E729A5">
              <w:rPr>
                <w:webHidden/>
              </w:rPr>
            </w:r>
            <w:r w:rsidR="00E729A5">
              <w:rPr>
                <w:webHidden/>
              </w:rPr>
              <w:fldChar w:fldCharType="separate"/>
            </w:r>
            <w:r>
              <w:rPr>
                <w:webHidden/>
              </w:rPr>
              <w:t>4-135</w:t>
            </w:r>
            <w:r w:rsidR="00E729A5">
              <w:rPr>
                <w:webHidden/>
              </w:rPr>
              <w:fldChar w:fldCharType="end"/>
            </w:r>
          </w:hyperlink>
        </w:p>
        <w:p w:rsidR="00E729A5" w:rsidRDefault="003E419A">
          <w:pPr>
            <w:pStyle w:val="TOC2"/>
            <w:rPr>
              <w:rFonts w:asciiTheme="minorHAnsi" w:eastAsiaTheme="minorEastAsia" w:hAnsiTheme="minorHAnsi"/>
              <w:b w:val="0"/>
              <w:color w:val="auto"/>
              <w:sz w:val="22"/>
              <w:lang w:eastAsia="en-AU"/>
            </w:rPr>
          </w:pPr>
          <w:hyperlink w:anchor="_Toc480815635" w:history="1">
            <w:r w:rsidR="00E729A5" w:rsidRPr="00821851">
              <w:rPr>
                <w:rStyle w:val="Hyperlink"/>
              </w:rPr>
              <w:t>A.9</w:t>
            </w:r>
            <w:r w:rsidR="00E729A5">
              <w:rPr>
                <w:rFonts w:asciiTheme="minorHAnsi" w:eastAsiaTheme="minorEastAsia" w:hAnsiTheme="minorHAnsi"/>
                <w:b w:val="0"/>
                <w:color w:val="auto"/>
                <w:sz w:val="22"/>
                <w:lang w:eastAsia="en-AU"/>
              </w:rPr>
              <w:tab/>
            </w:r>
            <w:r w:rsidR="00E729A5" w:rsidRPr="00821851">
              <w:rPr>
                <w:rStyle w:val="Hyperlink"/>
              </w:rPr>
              <w:t>Estimation approach considerations</w:t>
            </w:r>
            <w:r w:rsidR="00E729A5">
              <w:rPr>
                <w:webHidden/>
              </w:rPr>
              <w:tab/>
            </w:r>
            <w:r w:rsidR="00E729A5">
              <w:rPr>
                <w:webHidden/>
              </w:rPr>
              <w:fldChar w:fldCharType="begin"/>
            </w:r>
            <w:r w:rsidR="00E729A5">
              <w:rPr>
                <w:webHidden/>
              </w:rPr>
              <w:instrText xml:space="preserve"> PAGEREF _Toc480815635 \h </w:instrText>
            </w:r>
            <w:r w:rsidR="00E729A5">
              <w:rPr>
                <w:webHidden/>
              </w:rPr>
            </w:r>
            <w:r w:rsidR="00E729A5">
              <w:rPr>
                <w:webHidden/>
              </w:rPr>
              <w:fldChar w:fldCharType="separate"/>
            </w:r>
            <w:r>
              <w:rPr>
                <w:webHidden/>
              </w:rPr>
              <w:t>4-138</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6" w:history="1">
            <w:r w:rsidR="00E729A5" w:rsidRPr="00821851">
              <w:rPr>
                <w:rStyle w:val="Hyperlink"/>
              </w:rPr>
              <w:t>A.9.1</w:t>
            </w:r>
            <w:r w:rsidR="00E729A5">
              <w:rPr>
                <w:rFonts w:asciiTheme="minorHAnsi" w:eastAsiaTheme="minorEastAsia" w:hAnsiTheme="minorHAnsi"/>
                <w:lang w:eastAsia="en-AU"/>
              </w:rPr>
              <w:tab/>
            </w:r>
            <w:r w:rsidR="00E729A5" w:rsidRPr="00821851">
              <w:rPr>
                <w:rStyle w:val="Hyperlink"/>
              </w:rPr>
              <w:t>Evidence from all equity or only listed equity</w:t>
            </w:r>
            <w:r w:rsidR="00E729A5">
              <w:rPr>
                <w:webHidden/>
              </w:rPr>
              <w:tab/>
            </w:r>
            <w:r w:rsidR="00E729A5">
              <w:rPr>
                <w:webHidden/>
              </w:rPr>
              <w:fldChar w:fldCharType="begin"/>
            </w:r>
            <w:r w:rsidR="00E729A5">
              <w:rPr>
                <w:webHidden/>
              </w:rPr>
              <w:instrText xml:space="preserve"> PAGEREF _Toc480815636 \h </w:instrText>
            </w:r>
            <w:r w:rsidR="00E729A5">
              <w:rPr>
                <w:webHidden/>
              </w:rPr>
            </w:r>
            <w:r w:rsidR="00E729A5">
              <w:rPr>
                <w:webHidden/>
              </w:rPr>
              <w:fldChar w:fldCharType="separate"/>
            </w:r>
            <w:r>
              <w:rPr>
                <w:webHidden/>
              </w:rPr>
              <w:t>4-138</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7" w:history="1">
            <w:r w:rsidR="00E729A5" w:rsidRPr="00821851">
              <w:rPr>
                <w:rStyle w:val="Hyperlink"/>
              </w:rPr>
              <w:t>A.9.2</w:t>
            </w:r>
            <w:r w:rsidR="00E729A5">
              <w:rPr>
                <w:rFonts w:asciiTheme="minorHAnsi" w:eastAsiaTheme="minorEastAsia" w:hAnsiTheme="minorHAnsi"/>
                <w:lang w:eastAsia="en-AU"/>
              </w:rPr>
              <w:tab/>
            </w:r>
            <w:r w:rsidR="00E729A5" w:rsidRPr="00821851">
              <w:rPr>
                <w:rStyle w:val="Hyperlink"/>
              </w:rPr>
              <w:t>Relationship between the distribution rate and the utilisation value</w:t>
            </w:r>
            <w:r w:rsidR="00E729A5">
              <w:rPr>
                <w:webHidden/>
              </w:rPr>
              <w:tab/>
            </w:r>
            <w:r w:rsidR="00E729A5">
              <w:rPr>
                <w:webHidden/>
              </w:rPr>
              <w:fldChar w:fldCharType="begin"/>
            </w:r>
            <w:r w:rsidR="00E729A5">
              <w:rPr>
                <w:webHidden/>
              </w:rPr>
              <w:instrText xml:space="preserve"> PAGEREF _Toc480815637 \h </w:instrText>
            </w:r>
            <w:r w:rsidR="00E729A5">
              <w:rPr>
                <w:webHidden/>
              </w:rPr>
            </w:r>
            <w:r w:rsidR="00E729A5">
              <w:rPr>
                <w:webHidden/>
              </w:rPr>
              <w:fldChar w:fldCharType="separate"/>
            </w:r>
            <w:r>
              <w:rPr>
                <w:webHidden/>
              </w:rPr>
              <w:t>4-141</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38" w:history="1">
            <w:r w:rsidR="00E729A5" w:rsidRPr="00821851">
              <w:rPr>
                <w:rStyle w:val="Hyperlink"/>
              </w:rPr>
              <w:t>A.10</w:t>
            </w:r>
            <w:r w:rsidR="00E729A5">
              <w:rPr>
                <w:rFonts w:asciiTheme="minorHAnsi" w:eastAsiaTheme="minorEastAsia" w:hAnsiTheme="minorHAnsi"/>
                <w:b w:val="0"/>
                <w:color w:val="auto"/>
                <w:sz w:val="22"/>
                <w:lang w:eastAsia="en-AU"/>
              </w:rPr>
              <w:tab/>
            </w:r>
            <w:r w:rsidR="00E729A5" w:rsidRPr="00821851">
              <w:rPr>
                <w:rStyle w:val="Hyperlink"/>
              </w:rPr>
              <w:t>Estimating the distribution rate</w:t>
            </w:r>
            <w:r w:rsidR="00E729A5">
              <w:rPr>
                <w:webHidden/>
              </w:rPr>
              <w:tab/>
            </w:r>
            <w:r w:rsidR="00E729A5">
              <w:rPr>
                <w:webHidden/>
              </w:rPr>
              <w:fldChar w:fldCharType="begin"/>
            </w:r>
            <w:r w:rsidR="00E729A5">
              <w:rPr>
                <w:webHidden/>
              </w:rPr>
              <w:instrText xml:space="preserve"> PAGEREF _Toc480815638 \h </w:instrText>
            </w:r>
            <w:r w:rsidR="00E729A5">
              <w:rPr>
                <w:webHidden/>
              </w:rPr>
            </w:r>
            <w:r w:rsidR="00E729A5">
              <w:rPr>
                <w:webHidden/>
              </w:rPr>
              <w:fldChar w:fldCharType="separate"/>
            </w:r>
            <w:r>
              <w:rPr>
                <w:webHidden/>
              </w:rPr>
              <w:t>4-144</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39" w:history="1">
            <w:r w:rsidR="00E729A5" w:rsidRPr="00821851">
              <w:rPr>
                <w:rStyle w:val="Hyperlink"/>
              </w:rPr>
              <w:t>A.10.1</w:t>
            </w:r>
            <w:r w:rsidR="00E729A5">
              <w:rPr>
                <w:rFonts w:asciiTheme="minorHAnsi" w:eastAsiaTheme="minorEastAsia" w:hAnsiTheme="minorHAnsi"/>
                <w:lang w:eastAsia="en-AU"/>
              </w:rPr>
              <w:tab/>
            </w:r>
            <w:r w:rsidR="00E729A5" w:rsidRPr="00821851">
              <w:rPr>
                <w:rStyle w:val="Hyperlink"/>
              </w:rPr>
              <w:t>Service providers', Gray's and NERA's comments on the distribution rate</w:t>
            </w:r>
            <w:r w:rsidR="00E729A5">
              <w:rPr>
                <w:webHidden/>
              </w:rPr>
              <w:tab/>
            </w:r>
            <w:r w:rsidR="00E729A5">
              <w:rPr>
                <w:webHidden/>
              </w:rPr>
              <w:fldChar w:fldCharType="begin"/>
            </w:r>
            <w:r w:rsidR="00E729A5">
              <w:rPr>
                <w:webHidden/>
              </w:rPr>
              <w:instrText xml:space="preserve"> PAGEREF _Toc480815639 \h </w:instrText>
            </w:r>
            <w:r w:rsidR="00E729A5">
              <w:rPr>
                <w:webHidden/>
              </w:rPr>
            </w:r>
            <w:r w:rsidR="00E729A5">
              <w:rPr>
                <w:webHidden/>
              </w:rPr>
              <w:fldChar w:fldCharType="separate"/>
            </w:r>
            <w:r>
              <w:rPr>
                <w:webHidden/>
              </w:rPr>
              <w:t>4-146</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40" w:history="1">
            <w:r w:rsidR="00E729A5" w:rsidRPr="00821851">
              <w:rPr>
                <w:rStyle w:val="Hyperlink"/>
              </w:rPr>
              <w:t>A.10.2</w:t>
            </w:r>
            <w:r w:rsidR="00E729A5">
              <w:rPr>
                <w:rFonts w:asciiTheme="minorHAnsi" w:eastAsiaTheme="minorEastAsia" w:hAnsiTheme="minorHAnsi"/>
                <w:lang w:eastAsia="en-AU"/>
              </w:rPr>
              <w:tab/>
            </w:r>
            <w:r w:rsidR="00E729A5" w:rsidRPr="00821851">
              <w:rPr>
                <w:rStyle w:val="Hyperlink"/>
              </w:rPr>
              <w:t>The cumulative payout ratio approach</w:t>
            </w:r>
            <w:r w:rsidR="00E729A5">
              <w:rPr>
                <w:webHidden/>
              </w:rPr>
              <w:tab/>
            </w:r>
            <w:r w:rsidR="00E729A5">
              <w:rPr>
                <w:webHidden/>
              </w:rPr>
              <w:fldChar w:fldCharType="begin"/>
            </w:r>
            <w:r w:rsidR="00E729A5">
              <w:rPr>
                <w:webHidden/>
              </w:rPr>
              <w:instrText xml:space="preserve"> PAGEREF _Toc480815640 \h </w:instrText>
            </w:r>
            <w:r w:rsidR="00E729A5">
              <w:rPr>
                <w:webHidden/>
              </w:rPr>
            </w:r>
            <w:r w:rsidR="00E729A5">
              <w:rPr>
                <w:webHidden/>
              </w:rPr>
              <w:fldChar w:fldCharType="separate"/>
            </w:r>
            <w:r>
              <w:rPr>
                <w:webHidden/>
              </w:rPr>
              <w:t>4-154</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41" w:history="1">
            <w:r w:rsidR="00E729A5" w:rsidRPr="00821851">
              <w:rPr>
                <w:rStyle w:val="Hyperlink"/>
              </w:rPr>
              <w:t>A.10.3</w:t>
            </w:r>
            <w:r w:rsidR="00E729A5">
              <w:rPr>
                <w:rFonts w:asciiTheme="minorHAnsi" w:eastAsiaTheme="minorEastAsia" w:hAnsiTheme="minorHAnsi"/>
                <w:lang w:eastAsia="en-AU"/>
              </w:rPr>
              <w:tab/>
            </w:r>
            <w:r w:rsidR="00E729A5" w:rsidRPr="00821851">
              <w:rPr>
                <w:rStyle w:val="Hyperlink"/>
              </w:rPr>
              <w:t>Alternative approaches</w:t>
            </w:r>
            <w:r w:rsidR="00E729A5">
              <w:rPr>
                <w:webHidden/>
              </w:rPr>
              <w:tab/>
            </w:r>
            <w:r w:rsidR="00E729A5">
              <w:rPr>
                <w:webHidden/>
              </w:rPr>
              <w:fldChar w:fldCharType="begin"/>
            </w:r>
            <w:r w:rsidR="00E729A5">
              <w:rPr>
                <w:webHidden/>
              </w:rPr>
              <w:instrText xml:space="preserve"> PAGEREF _Toc480815641 \h </w:instrText>
            </w:r>
            <w:r w:rsidR="00E729A5">
              <w:rPr>
                <w:webHidden/>
              </w:rPr>
            </w:r>
            <w:r w:rsidR="00E729A5">
              <w:rPr>
                <w:webHidden/>
              </w:rPr>
              <w:fldChar w:fldCharType="separate"/>
            </w:r>
            <w:r>
              <w:rPr>
                <w:webHidden/>
              </w:rPr>
              <w:t>4-155</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42" w:history="1">
            <w:r w:rsidR="00E729A5" w:rsidRPr="00821851">
              <w:rPr>
                <w:rStyle w:val="Hyperlink"/>
              </w:rPr>
              <w:t>A.10.4</w:t>
            </w:r>
            <w:r w:rsidR="00E729A5">
              <w:rPr>
                <w:rFonts w:asciiTheme="minorHAnsi" w:eastAsiaTheme="minorEastAsia" w:hAnsiTheme="minorHAnsi"/>
                <w:lang w:eastAsia="en-AU"/>
              </w:rPr>
              <w:tab/>
            </w:r>
            <w:r w:rsidR="00E729A5" w:rsidRPr="00821851">
              <w:rPr>
                <w:rStyle w:val="Hyperlink"/>
              </w:rPr>
              <w:t>Hathaway (2014)</w:t>
            </w:r>
            <w:r w:rsidR="00E729A5">
              <w:rPr>
                <w:webHidden/>
              </w:rPr>
              <w:tab/>
            </w:r>
            <w:r w:rsidR="00E729A5">
              <w:rPr>
                <w:webHidden/>
              </w:rPr>
              <w:fldChar w:fldCharType="begin"/>
            </w:r>
            <w:r w:rsidR="00E729A5">
              <w:rPr>
                <w:webHidden/>
              </w:rPr>
              <w:instrText xml:space="preserve"> PAGEREF _Toc480815642 \h </w:instrText>
            </w:r>
            <w:r w:rsidR="00E729A5">
              <w:rPr>
                <w:webHidden/>
              </w:rPr>
            </w:r>
            <w:r w:rsidR="00E729A5">
              <w:rPr>
                <w:webHidden/>
              </w:rPr>
              <w:fldChar w:fldCharType="separate"/>
            </w:r>
            <w:r>
              <w:rPr>
                <w:webHidden/>
              </w:rPr>
              <w:t>4-155</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43" w:history="1">
            <w:r w:rsidR="00E729A5" w:rsidRPr="00821851">
              <w:rPr>
                <w:rStyle w:val="Hyperlink"/>
              </w:rPr>
              <w:t>A.11</w:t>
            </w:r>
            <w:r w:rsidR="00E729A5">
              <w:rPr>
                <w:rFonts w:asciiTheme="minorHAnsi" w:eastAsiaTheme="minorEastAsia" w:hAnsiTheme="minorHAnsi"/>
                <w:b w:val="0"/>
                <w:color w:val="auto"/>
                <w:sz w:val="22"/>
                <w:lang w:eastAsia="en-AU"/>
              </w:rPr>
              <w:tab/>
            </w:r>
            <w:r w:rsidR="00E729A5" w:rsidRPr="00821851">
              <w:rPr>
                <w:rStyle w:val="Hyperlink"/>
              </w:rPr>
              <w:t>Application of rate of return criteria to evidence on the utilisation rate</w:t>
            </w:r>
            <w:r w:rsidR="00E729A5">
              <w:rPr>
                <w:webHidden/>
              </w:rPr>
              <w:tab/>
            </w:r>
            <w:r w:rsidR="00E729A5">
              <w:rPr>
                <w:webHidden/>
              </w:rPr>
              <w:fldChar w:fldCharType="begin"/>
            </w:r>
            <w:r w:rsidR="00E729A5">
              <w:rPr>
                <w:webHidden/>
              </w:rPr>
              <w:instrText xml:space="preserve"> PAGEREF _Toc480815643 \h </w:instrText>
            </w:r>
            <w:r w:rsidR="00E729A5">
              <w:rPr>
                <w:webHidden/>
              </w:rPr>
            </w:r>
            <w:r w:rsidR="00E729A5">
              <w:rPr>
                <w:webHidden/>
              </w:rPr>
              <w:fldChar w:fldCharType="separate"/>
            </w:r>
            <w:r>
              <w:rPr>
                <w:webHidden/>
              </w:rPr>
              <w:t>4-156</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44" w:history="1">
            <w:r w:rsidR="00E729A5" w:rsidRPr="00821851">
              <w:rPr>
                <w:rStyle w:val="Hyperlink"/>
              </w:rPr>
              <w:t>A.12</w:t>
            </w:r>
            <w:r w:rsidR="00E729A5">
              <w:rPr>
                <w:rFonts w:asciiTheme="minorHAnsi" w:eastAsiaTheme="minorEastAsia" w:hAnsiTheme="minorHAnsi"/>
                <w:b w:val="0"/>
                <w:color w:val="auto"/>
                <w:sz w:val="22"/>
                <w:lang w:eastAsia="en-AU"/>
              </w:rPr>
              <w:tab/>
            </w:r>
            <w:r w:rsidR="00E729A5" w:rsidRPr="00821851">
              <w:rPr>
                <w:rStyle w:val="Hyperlink"/>
              </w:rPr>
              <w:t>The equity ownership approach</w:t>
            </w:r>
            <w:r w:rsidR="00E729A5">
              <w:rPr>
                <w:webHidden/>
              </w:rPr>
              <w:tab/>
            </w:r>
            <w:r w:rsidR="00E729A5">
              <w:rPr>
                <w:webHidden/>
              </w:rPr>
              <w:fldChar w:fldCharType="begin"/>
            </w:r>
            <w:r w:rsidR="00E729A5">
              <w:rPr>
                <w:webHidden/>
              </w:rPr>
              <w:instrText xml:space="preserve"> PAGEREF _Toc480815644 \h </w:instrText>
            </w:r>
            <w:r w:rsidR="00E729A5">
              <w:rPr>
                <w:webHidden/>
              </w:rPr>
            </w:r>
            <w:r w:rsidR="00E729A5">
              <w:rPr>
                <w:webHidden/>
              </w:rPr>
              <w:fldChar w:fldCharType="separate"/>
            </w:r>
            <w:r>
              <w:rPr>
                <w:webHidden/>
              </w:rPr>
              <w:t>4-159</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45" w:history="1">
            <w:r w:rsidR="00E729A5" w:rsidRPr="00821851">
              <w:rPr>
                <w:rStyle w:val="Hyperlink"/>
              </w:rPr>
              <w:t>A.13</w:t>
            </w:r>
            <w:r w:rsidR="00E729A5">
              <w:rPr>
                <w:rFonts w:asciiTheme="minorHAnsi" w:eastAsiaTheme="minorEastAsia" w:hAnsiTheme="minorHAnsi"/>
                <w:b w:val="0"/>
                <w:color w:val="auto"/>
                <w:sz w:val="22"/>
                <w:lang w:eastAsia="en-AU"/>
              </w:rPr>
              <w:tab/>
            </w:r>
            <w:r w:rsidR="00E729A5" w:rsidRPr="00821851">
              <w:rPr>
                <w:rStyle w:val="Hyperlink"/>
              </w:rPr>
              <w:t>Tax statistics</w:t>
            </w:r>
            <w:r w:rsidR="00E729A5">
              <w:rPr>
                <w:webHidden/>
              </w:rPr>
              <w:tab/>
            </w:r>
            <w:r w:rsidR="00E729A5">
              <w:rPr>
                <w:webHidden/>
              </w:rPr>
              <w:fldChar w:fldCharType="begin"/>
            </w:r>
            <w:r w:rsidR="00E729A5">
              <w:rPr>
                <w:webHidden/>
              </w:rPr>
              <w:instrText xml:space="preserve"> PAGEREF _Toc480815645 \h </w:instrText>
            </w:r>
            <w:r w:rsidR="00E729A5">
              <w:rPr>
                <w:webHidden/>
              </w:rPr>
            </w:r>
            <w:r w:rsidR="00E729A5">
              <w:rPr>
                <w:webHidden/>
              </w:rPr>
              <w:fldChar w:fldCharType="separate"/>
            </w:r>
            <w:r>
              <w:rPr>
                <w:webHidden/>
              </w:rPr>
              <w:t>4-165</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46" w:history="1">
            <w:r w:rsidR="00E729A5" w:rsidRPr="00821851">
              <w:rPr>
                <w:rStyle w:val="Hyperlink"/>
              </w:rPr>
              <w:t>A.14</w:t>
            </w:r>
            <w:r w:rsidR="00E729A5">
              <w:rPr>
                <w:rFonts w:asciiTheme="minorHAnsi" w:eastAsiaTheme="minorEastAsia" w:hAnsiTheme="minorHAnsi"/>
                <w:b w:val="0"/>
                <w:color w:val="auto"/>
                <w:sz w:val="22"/>
                <w:lang w:eastAsia="en-AU"/>
              </w:rPr>
              <w:tab/>
            </w:r>
            <w:r w:rsidR="00E729A5" w:rsidRPr="00821851">
              <w:rPr>
                <w:rStyle w:val="Hyperlink"/>
              </w:rPr>
              <w:t>Difference between equity ownership approach and tax statistics</w:t>
            </w:r>
            <w:r w:rsidR="00E729A5">
              <w:rPr>
                <w:webHidden/>
              </w:rPr>
              <w:tab/>
            </w:r>
            <w:r w:rsidR="00E729A5">
              <w:rPr>
                <w:webHidden/>
              </w:rPr>
              <w:fldChar w:fldCharType="begin"/>
            </w:r>
            <w:r w:rsidR="00E729A5">
              <w:rPr>
                <w:webHidden/>
              </w:rPr>
              <w:instrText xml:space="preserve"> PAGEREF _Toc480815646 \h </w:instrText>
            </w:r>
            <w:r w:rsidR="00E729A5">
              <w:rPr>
                <w:webHidden/>
              </w:rPr>
            </w:r>
            <w:r w:rsidR="00E729A5">
              <w:rPr>
                <w:webHidden/>
              </w:rPr>
              <w:fldChar w:fldCharType="separate"/>
            </w:r>
            <w:r>
              <w:rPr>
                <w:webHidden/>
              </w:rPr>
              <w:t>4-170</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47" w:history="1">
            <w:r w:rsidR="00E729A5" w:rsidRPr="00821851">
              <w:rPr>
                <w:rStyle w:val="Hyperlink"/>
              </w:rPr>
              <w:t>A.15</w:t>
            </w:r>
            <w:r w:rsidR="00E729A5">
              <w:rPr>
                <w:rFonts w:asciiTheme="minorHAnsi" w:eastAsiaTheme="minorEastAsia" w:hAnsiTheme="minorHAnsi"/>
                <w:b w:val="0"/>
                <w:color w:val="auto"/>
                <w:sz w:val="22"/>
                <w:lang w:eastAsia="en-AU"/>
              </w:rPr>
              <w:tab/>
            </w:r>
            <w:r w:rsidR="00E729A5" w:rsidRPr="00821851">
              <w:rPr>
                <w:rStyle w:val="Hyperlink"/>
              </w:rPr>
              <w:t>Implied market value studies</w:t>
            </w:r>
            <w:r w:rsidR="00E729A5">
              <w:rPr>
                <w:webHidden/>
              </w:rPr>
              <w:tab/>
            </w:r>
            <w:r w:rsidR="00E729A5">
              <w:rPr>
                <w:webHidden/>
              </w:rPr>
              <w:fldChar w:fldCharType="begin"/>
            </w:r>
            <w:r w:rsidR="00E729A5">
              <w:rPr>
                <w:webHidden/>
              </w:rPr>
              <w:instrText xml:space="preserve"> PAGEREF _Toc480815647 \h </w:instrText>
            </w:r>
            <w:r w:rsidR="00E729A5">
              <w:rPr>
                <w:webHidden/>
              </w:rPr>
            </w:r>
            <w:r w:rsidR="00E729A5">
              <w:rPr>
                <w:webHidden/>
              </w:rPr>
              <w:fldChar w:fldCharType="separate"/>
            </w:r>
            <w:r>
              <w:rPr>
                <w:webHidden/>
              </w:rPr>
              <w:t>4-172</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48" w:history="1">
            <w:r w:rsidR="00E729A5" w:rsidRPr="00821851">
              <w:rPr>
                <w:rStyle w:val="Hyperlink"/>
              </w:rPr>
              <w:t>A.15.1</w:t>
            </w:r>
            <w:r w:rsidR="00E729A5">
              <w:rPr>
                <w:rFonts w:asciiTheme="minorHAnsi" w:eastAsiaTheme="minorEastAsia" w:hAnsiTheme="minorHAnsi"/>
                <w:lang w:eastAsia="en-AU"/>
              </w:rPr>
              <w:tab/>
            </w:r>
            <w:r w:rsidR="00E729A5" w:rsidRPr="00821851">
              <w:rPr>
                <w:rStyle w:val="Hyperlink"/>
              </w:rPr>
              <w:t>Types of implied market value studies</w:t>
            </w:r>
            <w:r w:rsidR="00E729A5">
              <w:rPr>
                <w:webHidden/>
              </w:rPr>
              <w:tab/>
            </w:r>
            <w:r w:rsidR="00E729A5">
              <w:rPr>
                <w:webHidden/>
              </w:rPr>
              <w:fldChar w:fldCharType="begin"/>
            </w:r>
            <w:r w:rsidR="00E729A5">
              <w:rPr>
                <w:webHidden/>
              </w:rPr>
              <w:instrText xml:space="preserve"> PAGEREF _Toc480815648 \h </w:instrText>
            </w:r>
            <w:r w:rsidR="00E729A5">
              <w:rPr>
                <w:webHidden/>
              </w:rPr>
            </w:r>
            <w:r w:rsidR="00E729A5">
              <w:rPr>
                <w:webHidden/>
              </w:rPr>
              <w:fldChar w:fldCharType="separate"/>
            </w:r>
            <w:r>
              <w:rPr>
                <w:webHidden/>
              </w:rPr>
              <w:t>4-172</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49" w:history="1">
            <w:r w:rsidR="00E729A5" w:rsidRPr="00821851">
              <w:rPr>
                <w:rStyle w:val="Hyperlink"/>
              </w:rPr>
              <w:t>A.15.2</w:t>
            </w:r>
            <w:r w:rsidR="00E729A5">
              <w:rPr>
                <w:rFonts w:asciiTheme="minorHAnsi" w:eastAsiaTheme="minorEastAsia" w:hAnsiTheme="minorHAnsi"/>
                <w:lang w:eastAsia="en-AU"/>
              </w:rPr>
              <w:tab/>
            </w:r>
            <w:r w:rsidR="00E729A5" w:rsidRPr="00821851">
              <w:rPr>
                <w:rStyle w:val="Hyperlink"/>
              </w:rPr>
              <w:t>Estimates from implied market value studies</w:t>
            </w:r>
            <w:r w:rsidR="00E729A5">
              <w:rPr>
                <w:webHidden/>
              </w:rPr>
              <w:tab/>
            </w:r>
            <w:r w:rsidR="00E729A5">
              <w:rPr>
                <w:webHidden/>
              </w:rPr>
              <w:fldChar w:fldCharType="begin"/>
            </w:r>
            <w:r w:rsidR="00E729A5">
              <w:rPr>
                <w:webHidden/>
              </w:rPr>
              <w:instrText xml:space="preserve"> PAGEREF _Toc480815649 \h </w:instrText>
            </w:r>
            <w:r w:rsidR="00E729A5">
              <w:rPr>
                <w:webHidden/>
              </w:rPr>
            </w:r>
            <w:r w:rsidR="00E729A5">
              <w:rPr>
                <w:webHidden/>
              </w:rPr>
              <w:fldChar w:fldCharType="separate"/>
            </w:r>
            <w:r>
              <w:rPr>
                <w:webHidden/>
              </w:rPr>
              <w:t>4-176</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50" w:history="1">
            <w:r w:rsidR="00E729A5" w:rsidRPr="00821851">
              <w:rPr>
                <w:rStyle w:val="Hyperlink"/>
              </w:rPr>
              <w:t>A.15.3</w:t>
            </w:r>
            <w:r w:rsidR="00E729A5">
              <w:rPr>
                <w:rFonts w:asciiTheme="minorHAnsi" w:eastAsiaTheme="minorEastAsia" w:hAnsiTheme="minorHAnsi"/>
                <w:lang w:eastAsia="en-AU"/>
              </w:rPr>
              <w:tab/>
            </w:r>
            <w:r w:rsidR="00E729A5" w:rsidRPr="00821851">
              <w:rPr>
                <w:rStyle w:val="Hyperlink"/>
              </w:rPr>
              <w:t>Comparison with other market-based estimation approaches</w:t>
            </w:r>
            <w:r w:rsidR="00E729A5">
              <w:rPr>
                <w:webHidden/>
              </w:rPr>
              <w:tab/>
            </w:r>
            <w:r w:rsidR="00E729A5">
              <w:rPr>
                <w:webHidden/>
              </w:rPr>
              <w:fldChar w:fldCharType="begin"/>
            </w:r>
            <w:r w:rsidR="00E729A5">
              <w:rPr>
                <w:webHidden/>
              </w:rPr>
              <w:instrText xml:space="preserve"> PAGEREF _Toc480815650 \h </w:instrText>
            </w:r>
            <w:r w:rsidR="00E729A5">
              <w:rPr>
                <w:webHidden/>
              </w:rPr>
            </w:r>
            <w:r w:rsidR="00E729A5">
              <w:rPr>
                <w:webHidden/>
              </w:rPr>
              <w:fldChar w:fldCharType="separate"/>
            </w:r>
            <w:r>
              <w:rPr>
                <w:webHidden/>
              </w:rPr>
              <w:t>4-185</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51" w:history="1">
            <w:r w:rsidR="00E729A5" w:rsidRPr="00821851">
              <w:rPr>
                <w:rStyle w:val="Hyperlink"/>
              </w:rPr>
              <w:t>A.15.4</w:t>
            </w:r>
            <w:r w:rsidR="00E729A5">
              <w:rPr>
                <w:rFonts w:asciiTheme="minorHAnsi" w:eastAsiaTheme="minorEastAsia" w:hAnsiTheme="minorHAnsi"/>
                <w:lang w:eastAsia="en-AU"/>
              </w:rPr>
              <w:tab/>
            </w:r>
            <w:r w:rsidR="00E729A5" w:rsidRPr="00821851">
              <w:rPr>
                <w:rStyle w:val="Hyperlink"/>
              </w:rPr>
              <w:t>Adjustment of estimates from implied market value studies</w:t>
            </w:r>
            <w:r w:rsidR="00E729A5">
              <w:rPr>
                <w:webHidden/>
              </w:rPr>
              <w:tab/>
            </w:r>
            <w:r w:rsidR="00E729A5">
              <w:rPr>
                <w:webHidden/>
              </w:rPr>
              <w:fldChar w:fldCharType="begin"/>
            </w:r>
            <w:r w:rsidR="00E729A5">
              <w:rPr>
                <w:webHidden/>
              </w:rPr>
              <w:instrText xml:space="preserve"> PAGEREF _Toc480815651 \h </w:instrText>
            </w:r>
            <w:r w:rsidR="00E729A5">
              <w:rPr>
                <w:webHidden/>
              </w:rPr>
            </w:r>
            <w:r w:rsidR="00E729A5">
              <w:rPr>
                <w:webHidden/>
              </w:rPr>
              <w:fldChar w:fldCharType="separate"/>
            </w:r>
            <w:r>
              <w:rPr>
                <w:webHidden/>
              </w:rPr>
              <w:t>4-195</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52" w:history="1">
            <w:r w:rsidR="00E729A5" w:rsidRPr="00821851">
              <w:rPr>
                <w:rStyle w:val="Hyperlink"/>
              </w:rPr>
              <w:t>A.15.5</w:t>
            </w:r>
            <w:r w:rsidR="00E729A5">
              <w:rPr>
                <w:rFonts w:asciiTheme="minorHAnsi" w:eastAsiaTheme="minorEastAsia" w:hAnsiTheme="minorHAnsi"/>
                <w:lang w:eastAsia="en-AU"/>
              </w:rPr>
              <w:tab/>
            </w:r>
            <w:r w:rsidR="00E729A5" w:rsidRPr="00821851">
              <w:rPr>
                <w:rStyle w:val="Hyperlink"/>
              </w:rPr>
              <w:t>Limitations of SFG's dividend drop off study</w:t>
            </w:r>
            <w:r w:rsidR="00E729A5">
              <w:rPr>
                <w:webHidden/>
              </w:rPr>
              <w:tab/>
            </w:r>
            <w:r w:rsidR="00E729A5">
              <w:rPr>
                <w:webHidden/>
              </w:rPr>
              <w:fldChar w:fldCharType="begin"/>
            </w:r>
            <w:r w:rsidR="00E729A5">
              <w:rPr>
                <w:webHidden/>
              </w:rPr>
              <w:instrText xml:space="preserve"> PAGEREF _Toc480815652 \h </w:instrText>
            </w:r>
            <w:r w:rsidR="00E729A5">
              <w:rPr>
                <w:webHidden/>
              </w:rPr>
            </w:r>
            <w:r w:rsidR="00E729A5">
              <w:rPr>
                <w:webHidden/>
              </w:rPr>
              <w:fldChar w:fldCharType="separate"/>
            </w:r>
            <w:r>
              <w:rPr>
                <w:webHidden/>
              </w:rPr>
              <w:t>4-197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53" w:history="1">
            <w:r w:rsidR="00E729A5" w:rsidRPr="00821851">
              <w:rPr>
                <w:rStyle w:val="Hyperlink"/>
              </w:rPr>
              <w:t>A.15.6</w:t>
            </w:r>
            <w:r w:rsidR="00E729A5">
              <w:rPr>
                <w:rFonts w:asciiTheme="minorHAnsi" w:eastAsiaTheme="minorEastAsia" w:hAnsiTheme="minorHAnsi"/>
                <w:lang w:eastAsia="en-AU"/>
              </w:rPr>
              <w:tab/>
            </w:r>
            <w:r w:rsidR="00E729A5" w:rsidRPr="00821851">
              <w:rPr>
                <w:rStyle w:val="Hyperlink"/>
              </w:rPr>
              <w:t>The views of academics and other regulators on dividend drop off studies</w:t>
            </w:r>
            <w:r w:rsidR="00E729A5">
              <w:rPr>
                <w:webHidden/>
              </w:rPr>
              <w:tab/>
            </w:r>
            <w:r w:rsidR="00E729A5">
              <w:rPr>
                <w:webHidden/>
              </w:rPr>
              <w:fldChar w:fldCharType="begin"/>
            </w:r>
            <w:r w:rsidR="00E729A5">
              <w:rPr>
                <w:webHidden/>
              </w:rPr>
              <w:instrText xml:space="preserve"> PAGEREF _Toc480815653 \h </w:instrText>
            </w:r>
            <w:r w:rsidR="00E729A5">
              <w:rPr>
                <w:webHidden/>
              </w:rPr>
            </w:r>
            <w:r w:rsidR="00E729A5">
              <w:rPr>
                <w:webHidden/>
              </w:rPr>
              <w:fldChar w:fldCharType="separate"/>
            </w:r>
            <w:r>
              <w:rPr>
                <w:webHidden/>
              </w:rPr>
              <w:t>4-202</w:t>
            </w:r>
            <w:r w:rsidR="00E729A5">
              <w:rPr>
                <w:webHidden/>
              </w:rPr>
              <w:fldChar w:fldCharType="end"/>
            </w:r>
          </w:hyperlink>
        </w:p>
        <w:p w:rsidR="00E729A5" w:rsidRDefault="003E419A">
          <w:pPr>
            <w:pStyle w:val="TOC2"/>
            <w:tabs>
              <w:tab w:val="left" w:pos="1276"/>
            </w:tabs>
            <w:rPr>
              <w:rFonts w:asciiTheme="minorHAnsi" w:eastAsiaTheme="minorEastAsia" w:hAnsiTheme="minorHAnsi"/>
              <w:b w:val="0"/>
              <w:color w:val="auto"/>
              <w:sz w:val="22"/>
              <w:lang w:eastAsia="en-AU"/>
            </w:rPr>
          </w:pPr>
          <w:hyperlink w:anchor="_Toc480815654" w:history="1">
            <w:r w:rsidR="00E729A5" w:rsidRPr="00821851">
              <w:rPr>
                <w:rStyle w:val="Hyperlink"/>
              </w:rPr>
              <w:t>A.16</w:t>
            </w:r>
            <w:r w:rsidR="00E729A5">
              <w:rPr>
                <w:rFonts w:asciiTheme="minorHAnsi" w:eastAsiaTheme="minorEastAsia" w:hAnsiTheme="minorHAnsi"/>
                <w:b w:val="0"/>
                <w:color w:val="auto"/>
                <w:sz w:val="22"/>
                <w:lang w:eastAsia="en-AU"/>
              </w:rPr>
              <w:tab/>
            </w:r>
            <w:r w:rsidR="00E729A5" w:rsidRPr="00821851">
              <w:rPr>
                <w:rStyle w:val="Hyperlink"/>
              </w:rPr>
              <w:t>Revised consideration of the conceptual goalposts approach</w:t>
            </w:r>
            <w:r w:rsidR="00E729A5">
              <w:rPr>
                <w:webHidden/>
              </w:rPr>
              <w:tab/>
            </w:r>
            <w:r w:rsidR="00E729A5">
              <w:rPr>
                <w:webHidden/>
              </w:rPr>
              <w:fldChar w:fldCharType="begin"/>
            </w:r>
            <w:r w:rsidR="00E729A5">
              <w:rPr>
                <w:webHidden/>
              </w:rPr>
              <w:instrText xml:space="preserve"> PAGEREF _Toc480815654 \h </w:instrText>
            </w:r>
            <w:r w:rsidR="00E729A5">
              <w:rPr>
                <w:webHidden/>
              </w:rPr>
            </w:r>
            <w:r w:rsidR="00E729A5">
              <w:rPr>
                <w:webHidden/>
              </w:rPr>
              <w:fldChar w:fldCharType="separate"/>
            </w:r>
            <w:r>
              <w:rPr>
                <w:webHidden/>
              </w:rPr>
              <w:t>4-207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55" w:history="1">
            <w:r w:rsidR="00E729A5" w:rsidRPr="00821851">
              <w:rPr>
                <w:rStyle w:val="Hyperlink"/>
              </w:rPr>
              <w:t>A.16.1</w:t>
            </w:r>
            <w:r w:rsidR="00E729A5">
              <w:rPr>
                <w:rFonts w:asciiTheme="minorHAnsi" w:eastAsiaTheme="minorEastAsia" w:hAnsiTheme="minorHAnsi"/>
                <w:lang w:eastAsia="en-AU"/>
              </w:rPr>
              <w:tab/>
            </w:r>
            <w:r w:rsidR="00E729A5" w:rsidRPr="00821851">
              <w:rPr>
                <w:rStyle w:val="Hyperlink"/>
              </w:rPr>
              <w:t>Description of the approach</w:t>
            </w:r>
            <w:r w:rsidR="00E729A5">
              <w:rPr>
                <w:webHidden/>
              </w:rPr>
              <w:tab/>
            </w:r>
            <w:r w:rsidR="00E729A5">
              <w:rPr>
                <w:webHidden/>
              </w:rPr>
              <w:fldChar w:fldCharType="begin"/>
            </w:r>
            <w:r w:rsidR="00E729A5">
              <w:rPr>
                <w:webHidden/>
              </w:rPr>
              <w:instrText xml:space="preserve"> PAGEREF _Toc480815655 \h </w:instrText>
            </w:r>
            <w:r w:rsidR="00E729A5">
              <w:rPr>
                <w:webHidden/>
              </w:rPr>
            </w:r>
            <w:r w:rsidR="00E729A5">
              <w:rPr>
                <w:webHidden/>
              </w:rPr>
              <w:fldChar w:fldCharType="separate"/>
            </w:r>
            <w:r>
              <w:rPr>
                <w:webHidden/>
              </w:rPr>
              <w:t>4-207</w:t>
            </w:r>
            <w:r w:rsidR="00E729A5">
              <w:rPr>
                <w:webHidden/>
              </w:rPr>
              <w:fldChar w:fldCharType="end"/>
            </w:r>
          </w:hyperlink>
        </w:p>
        <w:p w:rsidR="00E729A5" w:rsidRDefault="003E419A">
          <w:pPr>
            <w:pStyle w:val="TOC3"/>
            <w:rPr>
              <w:rFonts w:asciiTheme="minorHAnsi" w:eastAsiaTheme="minorEastAsia" w:hAnsiTheme="minorHAnsi"/>
              <w:lang w:eastAsia="en-AU"/>
            </w:rPr>
          </w:pPr>
          <w:hyperlink w:anchor="_Toc480815656" w:history="1">
            <w:r w:rsidR="00E729A5" w:rsidRPr="00821851">
              <w:rPr>
                <w:rStyle w:val="Hyperlink"/>
              </w:rPr>
              <w:t>A.16.2</w:t>
            </w:r>
            <w:r w:rsidR="00E729A5">
              <w:rPr>
                <w:rFonts w:asciiTheme="minorHAnsi" w:eastAsiaTheme="minorEastAsia" w:hAnsiTheme="minorHAnsi"/>
                <w:lang w:eastAsia="en-AU"/>
              </w:rPr>
              <w:tab/>
            </w:r>
            <w:r w:rsidR="00E729A5" w:rsidRPr="00821851">
              <w:rPr>
                <w:rStyle w:val="Hyperlink"/>
              </w:rPr>
              <w:t>Advice received since the Guideline</w:t>
            </w:r>
            <w:r w:rsidR="00E729A5">
              <w:rPr>
                <w:webHidden/>
              </w:rPr>
              <w:tab/>
            </w:r>
            <w:r w:rsidR="00E729A5">
              <w:rPr>
                <w:webHidden/>
              </w:rPr>
              <w:fldChar w:fldCharType="begin"/>
            </w:r>
            <w:r w:rsidR="00E729A5">
              <w:rPr>
                <w:webHidden/>
              </w:rPr>
              <w:instrText xml:space="preserve"> PAGEREF _Toc480815656 \h </w:instrText>
            </w:r>
            <w:r w:rsidR="00E729A5">
              <w:rPr>
                <w:webHidden/>
              </w:rPr>
            </w:r>
            <w:r w:rsidR="00E729A5">
              <w:rPr>
                <w:webHidden/>
              </w:rPr>
              <w:fldChar w:fldCharType="separate"/>
            </w:r>
            <w:r>
              <w:rPr>
                <w:webHidden/>
              </w:rPr>
              <w:t>4-210</w:t>
            </w:r>
            <w:r w:rsidR="00E729A5">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0" w:name="_Toc404700925"/>
      <w:bookmarkStart w:id="11" w:name="_Toc480815592"/>
      <w:r>
        <w:lastRenderedPageBreak/>
        <w:t>Shortened forms</w:t>
      </w:r>
      <w:bookmarkEnd w:id="10"/>
      <w:bookmarkEnd w:id="11"/>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3C5A87" w:rsidP="003C5A87">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80815593"/>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lastRenderedPageBreak/>
        <w:t>Value of imputation credits</w:t>
      </w:r>
      <w:bookmarkEnd w:id="70"/>
    </w:p>
    <w:p w:rsidR="00B95D2A" w:rsidRDefault="00B95D2A" w:rsidP="00B95D2A">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exceeds an investor's tax liability, that investor can receive</w:t>
      </w:r>
      <w:r w:rsidR="0090223E">
        <w:t xml:space="preserve"> a cash refund for the balance.</w:t>
      </w:r>
    </w:p>
    <w:p w:rsidR="00B95D2A" w:rsidRDefault="00B95D2A" w:rsidP="00B95D2A">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B95D2A" w:rsidRPr="00E356F9" w:rsidRDefault="00B95D2A" w:rsidP="00B95D2A">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B95D2A" w:rsidRPr="00132D43" w:rsidRDefault="00B95D2A" w:rsidP="00132D43">
      <w:pPr>
        <w:numPr>
          <w:ilvl w:val="0"/>
          <w:numId w:val="24"/>
        </w:numPr>
      </w:pPr>
      <w:r>
        <w:t>In this attachment, we set out our final decision on the value of imputation credits and our key reasons for this decision. We also consider TasNetworks</w:t>
      </w:r>
      <w:r w:rsidR="000A565E">
        <w:t>'</w:t>
      </w:r>
      <w:r>
        <w:t xml:space="preserve"> proposed value of imputation credits and the key reasons for its proposal. In appendix A, we include further supporting detail on our position on the value of imputation credits and also respond to TasNetworks</w:t>
      </w:r>
      <w:r w:rsidR="000A565E">
        <w:t>'</w:t>
      </w:r>
      <w:r>
        <w:t xml:space="preserve"> proposal in detail.</w:t>
      </w:r>
    </w:p>
    <w:p w:rsidR="00132D43" w:rsidRDefault="00445F0C" w:rsidP="00132D43">
      <w:pPr>
        <w:pStyle w:val="Heading2"/>
      </w:pPr>
      <w:bookmarkStart w:id="71" w:name="_Toc480815594"/>
      <w:r>
        <w:t>Final</w:t>
      </w:r>
      <w:r w:rsidR="00132D43">
        <w:t xml:space="preserve"> decision</w:t>
      </w:r>
      <w:bookmarkEnd w:id="71"/>
    </w:p>
    <w:p w:rsidR="00B95D2A" w:rsidRPr="00C94AE8" w:rsidRDefault="00B95D2A" w:rsidP="00B95D2A">
      <w:pPr>
        <w:numPr>
          <w:ilvl w:val="0"/>
          <w:numId w:val="24"/>
        </w:numPr>
      </w:pPr>
      <w:r w:rsidRPr="00883125">
        <w:t>We</w:t>
      </w:r>
      <w:r>
        <w:t xml:space="preserve"> </w:t>
      </w:r>
      <w:r w:rsidRPr="00883125">
        <w:t xml:space="preserve">accept </w:t>
      </w:r>
      <w:r w:rsidR="00D42E5D">
        <w:t>TasNetworks</w:t>
      </w:r>
      <w:r w:rsidR="000A565E">
        <w:t>'</w:t>
      </w:r>
      <w:r>
        <w:t xml:space="preserve"> </w:t>
      </w:r>
      <w:r w:rsidRPr="00883125">
        <w:t>proposed value of imputation credits</w:t>
      </w:r>
      <w:r>
        <w:t xml:space="preserve"> (or gamma)</w:t>
      </w:r>
      <w:r w:rsidRPr="00883125">
        <w:t xml:space="preserve"> of 0.</w:t>
      </w:r>
      <w:r w:rsidR="00D42E5D">
        <w:t>4</w:t>
      </w:r>
      <w:r w:rsidRPr="00883125">
        <w:t>.</w:t>
      </w:r>
      <w:r w:rsidR="00D42E5D">
        <w:t xml:space="preserve"> </w:t>
      </w:r>
      <w:r w:rsidRPr="00C94AE8">
        <w:t xml:space="preserve">We consider that the use of a value for imputation credits of 0.4 will result in equity investors in </w:t>
      </w:r>
      <w:r w:rsidRPr="00C94AE8">
        <w:lastRenderedPageBreak/>
        <w:t xml:space="preserve">the benchmark efficient entity receiving an ex ante total return (inclusive of the value of imputation credits) commensurate with the efficient equity financing costs of </w:t>
      </w:r>
      <w:r>
        <w:t>a</w:t>
      </w:r>
      <w:r w:rsidRPr="00C94AE8">
        <w:t xml:space="preserve"> benchmark efficient entity.</w:t>
      </w:r>
    </w:p>
    <w:p w:rsidR="00B95D2A" w:rsidRPr="00883125" w:rsidRDefault="00B95D2A" w:rsidP="00B95D2A">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D42E5D" w:rsidRDefault="00D42E5D" w:rsidP="00B95D2A">
      <w:r>
        <w:t>We note TasNetworks</w:t>
      </w:r>
      <w:r w:rsidR="000A565E">
        <w:t>'</w:t>
      </w:r>
      <w:r>
        <w:t xml:space="preserve"> submission that the X-factor definition should be changed to allow for any changes in gamma, following the conclusion of the court proceedings relating to the merit review sought by ActewAGL Distribution, Ausgrid, Endeavour Energy, Essential Energy and Jemena Gas Networks.</w:t>
      </w:r>
      <w:r>
        <w:rPr>
          <w:rStyle w:val="FootnoteReference"/>
        </w:rPr>
        <w:footnoteReference w:id="6"/>
      </w:r>
      <w:r w:rsidRPr="009B20EA">
        <w:rPr>
          <w:rStyle w:val="FootnoteReference"/>
        </w:rPr>
        <w:t xml:space="preserve"> </w:t>
      </w:r>
      <w:r>
        <w:t xml:space="preserve"> However, as discussed in section </w:t>
      </w:r>
      <w:r>
        <w:fldChar w:fldCharType="begin"/>
      </w:r>
      <w:r>
        <w:instrText xml:space="preserve"> REF _Ref479785279 \r \h </w:instrText>
      </w:r>
      <w:r>
        <w:fldChar w:fldCharType="separate"/>
      </w:r>
      <w:r w:rsidR="003E419A">
        <w:t>4.4.2</w:t>
      </w:r>
      <w:r>
        <w:fldChar w:fldCharType="end"/>
      </w:r>
      <w:r>
        <w:t xml:space="preserve">, we do not </w:t>
      </w:r>
      <w:r w:rsidR="009B1202">
        <w:t xml:space="preserve">consider </w:t>
      </w:r>
      <w:r>
        <w:t>such an approach is appropriate.</w:t>
      </w:r>
    </w:p>
    <w:p w:rsidR="00B95D2A" w:rsidRPr="005942A6" w:rsidRDefault="00B95D2A" w:rsidP="00B95D2A">
      <w:pPr>
        <w:rPr>
          <w:rStyle w:val="AERbody"/>
        </w:rPr>
      </w:pPr>
      <w:r w:rsidRPr="005942A6">
        <w:rPr>
          <w:rStyle w:val="AERbody"/>
        </w:rPr>
        <w:t>In coming to a value of imputation credits of 0.4:</w:t>
      </w:r>
    </w:p>
    <w:p w:rsidR="00B95D2A" w:rsidRPr="001D37D5" w:rsidRDefault="00B95D2A" w:rsidP="00B95D2A">
      <w:pPr>
        <w:pStyle w:val="AERbulletlistfirststyle"/>
      </w:pPr>
      <w:r w:rsidRPr="00DD1139">
        <w:t>We a</w:t>
      </w:r>
      <w:r w:rsidRPr="001D37D5">
        <w:t>dopt a conceptual approach consistent with the Officer framework,</w:t>
      </w:r>
      <w:r w:rsidRPr="00247000">
        <w:rPr>
          <w:rStyle w:val="FootnoteReference"/>
        </w:rPr>
        <w:footnoteReference w:id="7"/>
      </w:r>
      <w:r w:rsidRPr="001D37D5">
        <w:t xml:space="preserve"> which we consider best promotes the objectives and requirements of the NER/NGR. This approach considers the value of imputation credits is a post-tax value before the impact of personal taxes and transaction costs.</w:t>
      </w:r>
      <w:r>
        <w:rPr>
          <w:rStyle w:val="FootnoteReference"/>
        </w:rPr>
        <w:footnoteReference w:id="8"/>
      </w:r>
      <w:r w:rsidRPr="001D37D5">
        <w:t xml:space="preserve"> As such, we view the value of imputation credits as the proportion of company tax returned to investors through the utilisation of imputation credits.</w:t>
      </w:r>
      <w:r w:rsidRPr="001D37D5">
        <w:rPr>
          <w:rStyle w:val="FootnoteReference"/>
        </w:rPr>
        <w:footnoteReference w:id="9"/>
      </w:r>
    </w:p>
    <w:p w:rsidR="00B95D2A" w:rsidRPr="001D37D5" w:rsidRDefault="00B95D2A" w:rsidP="00B95D2A">
      <w:pPr>
        <w:pStyle w:val="AERbulletlistfirststyle"/>
      </w:pPr>
      <w:r w:rsidRPr="00DD1139">
        <w:t>We consider our</w:t>
      </w:r>
      <w:r w:rsidRPr="001D37D5">
        <w:t xml:space="preserve"> conceptual approach allows for the value of imputation credits to be estimated on a consistent basis with the allowed rate of return and allowed revenues under the post-tax framework in the NER/NGR.</w:t>
      </w:r>
      <w:r w:rsidRPr="001D37D5">
        <w:rPr>
          <w:rStyle w:val="FootnoteReference"/>
        </w:rPr>
        <w:footnoteReference w:id="10"/>
      </w:r>
      <w:r w:rsidRPr="001D37D5">
        <w:t xml:space="preserve"> </w:t>
      </w:r>
    </w:p>
    <w:p w:rsidR="00B95D2A" w:rsidRPr="001D37D5" w:rsidRDefault="00B95D2A" w:rsidP="00B95D2A">
      <w:pPr>
        <w:pStyle w:val="AERbulletlistfirststyle"/>
      </w:pPr>
      <w:r w:rsidRPr="00DD1139">
        <w:t xml:space="preserve">We use the widely accepted approach of estimating the value of imputation credits as the product of two sub-parameters: the 'distribution rate' and the 'utilisation </w:t>
      </w:r>
      <w:r w:rsidRPr="001D37D5">
        <w:t>rate'.</w:t>
      </w:r>
      <w:r w:rsidRPr="001D37D5">
        <w:rPr>
          <w:rStyle w:val="FootnoteReference"/>
        </w:rPr>
        <w:footnoteReference w:id="11"/>
      </w:r>
      <w:r w:rsidRPr="001D37D5">
        <w:t xml:space="preserve"> Our definition of, and estimation approach for, these sub-parameters is set out in </w:t>
      </w:r>
      <w:r w:rsidRPr="001D37D5">
        <w:fldChar w:fldCharType="begin"/>
      </w:r>
      <w:r w:rsidRPr="001D37D5">
        <w:instrText xml:space="preserve"> REF  _Ref450662555 \* Lower \h  \* MERGEFORMAT </w:instrText>
      </w:r>
      <w:r w:rsidRPr="001D37D5">
        <w:fldChar w:fldCharType="separate"/>
      </w:r>
      <w:r w:rsidR="003E419A">
        <w:t>table 4</w:t>
      </w:r>
      <w:r w:rsidR="003E419A">
        <w:noBreakHyphen/>
        <w:t>1</w:t>
      </w:r>
      <w:r w:rsidRPr="001D37D5">
        <w:fldChar w:fldCharType="end"/>
      </w:r>
      <w:r w:rsidRPr="001D37D5">
        <w:t>.</w:t>
      </w:r>
    </w:p>
    <w:p w:rsidR="00B95D2A" w:rsidRDefault="00B95D2A" w:rsidP="00B95D2A">
      <w:pPr>
        <w:pStyle w:val="Caption"/>
      </w:pPr>
      <w:bookmarkStart w:id="72" w:name="_Ref450662555"/>
      <w:r>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w:t>
      </w:r>
      <w:r w:rsidRPr="001D37D5">
        <w:fldChar w:fldCharType="end"/>
      </w:r>
      <w:bookmarkEnd w:id="72"/>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B95D2A" w:rsidTr="00AC29DB">
        <w:trPr>
          <w:cnfStyle w:val="100000000000" w:firstRow="1" w:lastRow="0" w:firstColumn="0" w:lastColumn="0" w:oddVBand="0" w:evenVBand="0" w:oddHBand="0" w:evenHBand="0" w:firstRowFirstColumn="0" w:firstRowLastColumn="0" w:lastRowFirstColumn="0" w:lastRowLastColumn="0"/>
        </w:trPr>
        <w:tc>
          <w:tcPr>
            <w:tcW w:w="2518" w:type="dxa"/>
          </w:tcPr>
          <w:p w:rsidR="00B95D2A" w:rsidRDefault="00B95D2A" w:rsidP="00B95D2A">
            <w:pPr>
              <w:numPr>
                <w:ilvl w:val="0"/>
                <w:numId w:val="24"/>
              </w:numPr>
            </w:pPr>
            <w:r>
              <w:t>Sub-parameter</w:t>
            </w:r>
          </w:p>
        </w:tc>
        <w:tc>
          <w:tcPr>
            <w:tcW w:w="2977" w:type="dxa"/>
          </w:tcPr>
          <w:p w:rsidR="00B95D2A" w:rsidRDefault="00B95D2A" w:rsidP="00B95D2A">
            <w:pPr>
              <w:numPr>
                <w:ilvl w:val="0"/>
                <w:numId w:val="24"/>
              </w:numPr>
            </w:pPr>
            <w:r>
              <w:t>Definition</w:t>
            </w:r>
          </w:p>
        </w:tc>
        <w:tc>
          <w:tcPr>
            <w:tcW w:w="3747" w:type="dxa"/>
          </w:tcPr>
          <w:p w:rsidR="00B95D2A" w:rsidRDefault="00B95D2A" w:rsidP="00B95D2A">
            <w:pPr>
              <w:numPr>
                <w:ilvl w:val="0"/>
                <w:numId w:val="24"/>
              </w:numPr>
            </w:pPr>
            <w:r>
              <w:t>Estimation approach</w:t>
            </w:r>
          </w:p>
        </w:tc>
      </w:tr>
      <w:tr w:rsidR="00B95D2A" w:rsidTr="00AC29DB">
        <w:tc>
          <w:tcPr>
            <w:tcW w:w="2518" w:type="dxa"/>
          </w:tcPr>
          <w:p w:rsidR="00B95D2A" w:rsidRDefault="00B95D2A" w:rsidP="00B95D2A">
            <w:pPr>
              <w:numPr>
                <w:ilvl w:val="0"/>
                <w:numId w:val="24"/>
              </w:numPr>
            </w:pPr>
            <w:r>
              <w:t>Distribution rate (or payout ratio)</w:t>
            </w:r>
          </w:p>
        </w:tc>
        <w:tc>
          <w:tcPr>
            <w:tcW w:w="2977" w:type="dxa"/>
          </w:tcPr>
          <w:p w:rsidR="00B95D2A" w:rsidRDefault="00B95D2A" w:rsidP="00B95D2A">
            <w:pPr>
              <w:numPr>
                <w:ilvl w:val="0"/>
                <w:numId w:val="24"/>
              </w:numPr>
            </w:pPr>
            <w:r>
              <w:t>T</w:t>
            </w:r>
            <w:r w:rsidRPr="004746B6">
              <w:t>he proportion of imputation credits generated that is distributed to investors</w:t>
            </w:r>
          </w:p>
        </w:tc>
        <w:tc>
          <w:tcPr>
            <w:tcW w:w="3747" w:type="dxa"/>
          </w:tcPr>
          <w:p w:rsidR="00B95D2A" w:rsidRDefault="00B95D2A" w:rsidP="00B95D2A">
            <w:pPr>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2518" w:type="dxa"/>
          </w:tcPr>
          <w:p w:rsidR="00B95D2A" w:rsidRDefault="00B95D2A" w:rsidP="00B95D2A">
            <w:pPr>
              <w:numPr>
                <w:ilvl w:val="0"/>
                <w:numId w:val="24"/>
              </w:numPr>
            </w:pPr>
            <w:r>
              <w:t>Utilisation rate (or theta)</w:t>
            </w:r>
          </w:p>
        </w:tc>
        <w:tc>
          <w:tcPr>
            <w:tcW w:w="2977" w:type="dxa"/>
          </w:tcPr>
          <w:p w:rsidR="00B95D2A" w:rsidRDefault="00B95D2A" w:rsidP="00B95D2A">
            <w:pPr>
              <w:numPr>
                <w:ilvl w:val="0"/>
                <w:numId w:val="24"/>
              </w:numPr>
            </w:pPr>
            <w:r>
              <w:t>T</w:t>
            </w:r>
            <w:r w:rsidRPr="004746B6">
              <w:t>he utilisation value to investors in the market per dollar of imputation credits distributed</w:t>
            </w:r>
            <w:r>
              <w:rPr>
                <w:rStyle w:val="FootnoteReference"/>
              </w:rPr>
              <w:footnoteReference w:id="12"/>
            </w:r>
          </w:p>
        </w:tc>
        <w:tc>
          <w:tcPr>
            <w:tcW w:w="3747" w:type="dxa"/>
          </w:tcPr>
          <w:p w:rsidR="00B95D2A" w:rsidRDefault="00B95D2A" w:rsidP="00B95D2A">
            <w:pPr>
              <w:numPr>
                <w:ilvl w:val="0"/>
                <w:numId w:val="24"/>
              </w:numPr>
            </w:pPr>
            <w:r>
              <w:t>A range of approaches, with due regard to the merit of each approach:</w:t>
            </w:r>
          </w:p>
          <w:p w:rsidR="00B95D2A" w:rsidRPr="00B95D2A" w:rsidRDefault="00B95D2A" w:rsidP="00B95D2A">
            <w:pPr>
              <w:pStyle w:val="AERbulletlistfirststyle"/>
            </w:pPr>
            <w:r>
              <w:t>equity ownership approach</w:t>
            </w:r>
          </w:p>
          <w:p w:rsidR="00B95D2A" w:rsidRPr="00B95D2A" w:rsidRDefault="00B95D2A" w:rsidP="00B95D2A">
            <w:pPr>
              <w:pStyle w:val="AERbulletlistfirststyle"/>
            </w:pPr>
            <w:r>
              <w:t>tax statistics</w:t>
            </w:r>
          </w:p>
          <w:p w:rsidR="00B95D2A" w:rsidRPr="00B95D2A" w:rsidRDefault="00B95D2A" w:rsidP="00B95D2A">
            <w:pPr>
              <w:pStyle w:val="AERbulletlistfirststyle"/>
            </w:pPr>
            <w:r>
              <w:t>implied market value studies</w:t>
            </w:r>
          </w:p>
        </w:tc>
      </w:tr>
    </w:tbl>
    <w:p w:rsidR="00B95D2A" w:rsidRPr="00CA67C0" w:rsidRDefault="00B95D2A" w:rsidP="00B95D2A">
      <w:pPr>
        <w:pStyle w:val="AERtablesource"/>
      </w:pPr>
      <w:r>
        <w:t>Source:</w:t>
      </w:r>
      <w:r>
        <w:tab/>
        <w:t xml:space="preserve">AER analysis, see section </w:t>
      </w:r>
      <w:r w:rsidRPr="00CA67C0">
        <w:fldChar w:fldCharType="begin"/>
      </w:r>
      <w:r w:rsidRPr="00CA67C0">
        <w:instrText xml:space="preserve"> REF _Ref401133206 \r \h </w:instrText>
      </w:r>
      <w:r w:rsidRPr="00CA67C0">
        <w:fldChar w:fldCharType="separate"/>
      </w:r>
      <w:r w:rsidR="003E419A">
        <w:t>A.10</w:t>
      </w:r>
      <w:r w:rsidRPr="00CA67C0">
        <w:fldChar w:fldCharType="end"/>
      </w:r>
      <w:r w:rsidRPr="00CA67C0">
        <w:t xml:space="preserve">, </w:t>
      </w:r>
      <w:r w:rsidRPr="00CA67C0">
        <w:fldChar w:fldCharType="begin"/>
      </w:r>
      <w:r w:rsidRPr="00CA67C0">
        <w:instrText xml:space="preserve"> REF _Ref415049811 \r \h </w:instrText>
      </w:r>
      <w:r w:rsidRPr="00CA67C0">
        <w:fldChar w:fldCharType="separate"/>
      </w:r>
      <w:r w:rsidR="003E419A">
        <w:t>A.12</w:t>
      </w:r>
      <w:r w:rsidRPr="00CA67C0">
        <w:fldChar w:fldCharType="end"/>
      </w:r>
      <w:r w:rsidRPr="00CA67C0">
        <w:t xml:space="preserve">, </w:t>
      </w:r>
      <w:r w:rsidRPr="00CA67C0">
        <w:fldChar w:fldCharType="begin"/>
      </w:r>
      <w:r w:rsidRPr="00CA67C0">
        <w:instrText xml:space="preserve"> REF _Ref402179420 \r \h </w:instrText>
      </w:r>
      <w:r w:rsidRPr="00CA67C0">
        <w:fldChar w:fldCharType="separate"/>
      </w:r>
      <w:r w:rsidR="003E419A">
        <w:t>A.13</w:t>
      </w:r>
      <w:r w:rsidRPr="00CA67C0">
        <w:fldChar w:fldCharType="end"/>
      </w:r>
      <w:r w:rsidRPr="00CA67C0">
        <w:t xml:space="preserve"> and </w:t>
      </w:r>
      <w:r w:rsidRPr="00CA67C0">
        <w:fldChar w:fldCharType="begin"/>
      </w:r>
      <w:r w:rsidRPr="00CA67C0">
        <w:instrText xml:space="preserve"> REF _Ref451184082 \r \h </w:instrText>
      </w:r>
      <w:r w:rsidRPr="00CA67C0">
        <w:fldChar w:fldCharType="separate"/>
      </w:r>
      <w:r w:rsidR="003E419A">
        <w:t>A.15</w:t>
      </w:r>
      <w:r w:rsidRPr="00CA67C0">
        <w:fldChar w:fldCharType="end"/>
      </w:r>
      <w:r w:rsidRPr="00CA67C0">
        <w:t>.</w:t>
      </w:r>
    </w:p>
    <w:p w:rsidR="00B95D2A" w:rsidRPr="00883125" w:rsidRDefault="00B95D2A" w:rsidP="00B95D2A">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B95D2A" w:rsidRDefault="00B95D2A" w:rsidP="00B95D2A">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B95D2A" w:rsidRPr="00883125" w:rsidRDefault="00B95D2A" w:rsidP="00B95D2A">
      <w:pPr>
        <w:pStyle w:val="HeadingBoldBlue"/>
      </w:pPr>
      <w:bookmarkStart w:id="73" w:name="_Toc479693938"/>
      <w:bookmarkStart w:id="74" w:name="_Toc456614271"/>
      <w:r>
        <w:t>Recent litigation</w:t>
      </w:r>
      <w:bookmarkEnd w:id="73"/>
    </w:p>
    <w:p w:rsidR="00B95D2A" w:rsidRDefault="00B95D2A" w:rsidP="00B95D2A">
      <w:pPr>
        <w:rPr>
          <w:rStyle w:val="AERbody"/>
        </w:rPr>
      </w:pPr>
      <w:r>
        <w:rPr>
          <w:rStyle w:val="AERbody"/>
        </w:rPr>
        <w:t xml:space="preserve">In February 2016 the Australian Competition Tribunal (the Ausgrid Tribunal) handed down its decision for </w:t>
      </w:r>
      <w:r w:rsidR="009619EF">
        <w:rPr>
          <w:rStyle w:val="AERbody"/>
        </w:rPr>
        <w:t>ActewAGL</w:t>
      </w:r>
      <w:r w:rsidRPr="005942A6">
        <w:rPr>
          <w:rStyle w:val="AERbody"/>
        </w:rPr>
        <w:t xml:space="preserve"> Distribution, Ausgrid, Endeavour Energy, Essential Energy and Jemena Gas Networks</w:t>
      </w:r>
      <w:r>
        <w:rPr>
          <w:rStyle w:val="AERbody"/>
        </w:rPr>
        <w:t>.</w:t>
      </w:r>
      <w:r>
        <w:rPr>
          <w:rStyle w:val="FootnoteReference"/>
        </w:rPr>
        <w:footnoteReference w:id="13"/>
      </w:r>
      <w:r>
        <w:rPr>
          <w:rStyle w:val="AERbody"/>
        </w:rPr>
        <w:t xml:space="preserve"> </w:t>
      </w:r>
      <w:r w:rsidRPr="005942A6">
        <w:rPr>
          <w:rStyle w:val="AERbody"/>
        </w:rPr>
        <w:t xml:space="preserve">The </w:t>
      </w:r>
      <w:r>
        <w:rPr>
          <w:rStyle w:val="AERbody"/>
        </w:rPr>
        <w:t xml:space="preserve">Ausgrid </w:t>
      </w:r>
      <w:r w:rsidRPr="005942A6">
        <w:rPr>
          <w:rStyle w:val="AERbody"/>
        </w:rPr>
        <w:t xml:space="preserve">Tribunal ordered the remittal of our final decisions for these service providers, with directions to remake our decision by reference to an estimated cost of corporate income tax based on a </w:t>
      </w:r>
      <w:r>
        <w:rPr>
          <w:rStyle w:val="AERbody"/>
        </w:rPr>
        <w:t xml:space="preserve">value of </w:t>
      </w:r>
      <w:r w:rsidRPr="005942A6">
        <w:rPr>
          <w:rStyle w:val="AERbody"/>
        </w:rPr>
        <w:t>gamma of 0.25.</w:t>
      </w:r>
    </w:p>
    <w:p w:rsidR="00B95D2A" w:rsidRDefault="00B95D2A" w:rsidP="00B95D2A">
      <w:pPr>
        <w:rPr>
          <w:rStyle w:val="AERbody"/>
        </w:rPr>
      </w:pPr>
      <w:r>
        <w:rPr>
          <w:rStyle w:val="AERbody"/>
        </w:rPr>
        <w:t>We sought review of the Ausgrid Tribunal's decision in the Full Federal Court and our ma</w:t>
      </w:r>
      <w:r w:rsidR="00363C82">
        <w:rPr>
          <w:rStyle w:val="AERbody"/>
        </w:rPr>
        <w:t xml:space="preserve">tter was heard in </w:t>
      </w:r>
      <w:r>
        <w:rPr>
          <w:rStyle w:val="AERbody"/>
        </w:rPr>
        <w:t xml:space="preserve">October 2016. Currently, we are awaiting the outcome of that review. </w:t>
      </w:r>
    </w:p>
    <w:p w:rsidR="00B95D2A" w:rsidRPr="00BD61CE" w:rsidRDefault="00B95D2A" w:rsidP="00B95D2A">
      <w:pPr>
        <w:rPr>
          <w:rStyle w:val="AERbody"/>
        </w:rPr>
      </w:pPr>
      <w:r w:rsidRPr="00BD61CE">
        <w:rPr>
          <w:rStyle w:val="AERbody"/>
        </w:rPr>
        <w:t xml:space="preserve">In October 2016 the </w:t>
      </w:r>
      <w:r>
        <w:rPr>
          <w:rStyle w:val="AERbody"/>
        </w:rPr>
        <w:t xml:space="preserve">Australian Competition </w:t>
      </w:r>
      <w:r w:rsidRPr="00BD61CE">
        <w:rPr>
          <w:rStyle w:val="AERbody"/>
        </w:rPr>
        <w:t>Tribunal (</w:t>
      </w:r>
      <w:r>
        <w:rPr>
          <w:rStyle w:val="AERbody"/>
        </w:rPr>
        <w:t xml:space="preserve">the </w:t>
      </w:r>
      <w:r w:rsidRPr="00BD61CE">
        <w:rPr>
          <w:rStyle w:val="AERbody"/>
        </w:rPr>
        <w:t>SAPN Tribunal) handed down its decision for SA Power Networks.</w:t>
      </w:r>
      <w:r>
        <w:rPr>
          <w:rStyle w:val="FootnoteReference"/>
        </w:rPr>
        <w:footnoteReference w:id="14"/>
      </w:r>
      <w:r w:rsidRPr="00BD61CE">
        <w:rPr>
          <w:rStyle w:val="AERbody"/>
        </w:rPr>
        <w:t xml:space="preserve"> </w:t>
      </w:r>
      <w:r>
        <w:rPr>
          <w:rStyle w:val="AERbody"/>
        </w:rPr>
        <w:t>T</w:t>
      </w:r>
      <w:r w:rsidRPr="00BD61CE">
        <w:rPr>
          <w:rStyle w:val="AERbody"/>
        </w:rPr>
        <w:t>he SAPN Tribunal upheld the AER's</w:t>
      </w:r>
      <w:r>
        <w:rPr>
          <w:rStyle w:val="AERbody"/>
        </w:rPr>
        <w:t xml:space="preserve"> decision to value gamma at 0.4. The SAPN Tribunal was invited to follow the decision and reasoning of the </w:t>
      </w:r>
      <w:r>
        <w:rPr>
          <w:rStyle w:val="AERbody"/>
        </w:rPr>
        <w:lastRenderedPageBreak/>
        <w:t>Ausgrid Tribunal but chose not to do so. It found there was no error in the AER’s approach or conclusion.</w:t>
      </w:r>
    </w:p>
    <w:p w:rsidR="00B95D2A" w:rsidRDefault="00B95D2A" w:rsidP="00B95D2A">
      <w:pPr>
        <w:rPr>
          <w:rStyle w:val="AERbody"/>
        </w:rPr>
      </w:pPr>
      <w:r w:rsidRPr="00BD61CE">
        <w:rPr>
          <w:rStyle w:val="AERbody"/>
        </w:rPr>
        <w:t xml:space="preserve">SA Power Networks has subsequently </w:t>
      </w:r>
      <w:r>
        <w:rPr>
          <w:rStyle w:val="AERbody"/>
        </w:rPr>
        <w:t>sought review of</w:t>
      </w:r>
      <w:r w:rsidRPr="00BD61CE">
        <w:rPr>
          <w:rStyle w:val="AERbody"/>
        </w:rPr>
        <w:t xml:space="preserve"> the SAPN Tribunal's decision to the Full Federal Court and </w:t>
      </w:r>
      <w:r>
        <w:rPr>
          <w:rStyle w:val="AERbody"/>
        </w:rPr>
        <w:t xml:space="preserve">the </w:t>
      </w:r>
      <w:r w:rsidRPr="00BD61CE">
        <w:rPr>
          <w:rStyle w:val="AERbody"/>
        </w:rPr>
        <w:t>ma</w:t>
      </w:r>
      <w:r>
        <w:rPr>
          <w:rStyle w:val="AERbody"/>
        </w:rPr>
        <w:t>tter will be heard in May 2017.</w:t>
      </w:r>
    </w:p>
    <w:p w:rsidR="00B95D2A" w:rsidRDefault="00B95D2A" w:rsidP="00B95D2A">
      <w:pPr>
        <w:rPr>
          <w:rStyle w:val="AERbody"/>
        </w:rPr>
      </w:pPr>
      <w:r>
        <w:rPr>
          <w:rStyle w:val="AERbody"/>
        </w:rPr>
        <w:t>There are therefore conflicting decisions from two differently constituted Tribunals as to both the value of gamma and the approach to valuing gamma, with each decision being subject to further applications for review.</w:t>
      </w:r>
    </w:p>
    <w:p w:rsidR="00B95D2A" w:rsidRPr="005F293C" w:rsidRDefault="00B95D2A" w:rsidP="00B95D2A">
      <w:pPr>
        <w:pStyle w:val="HeadingBoldBlue"/>
      </w:pPr>
      <w:bookmarkStart w:id="75" w:name="_Toc479693939"/>
      <w:r w:rsidRPr="005F293C">
        <w:t xml:space="preserve">Summary of </w:t>
      </w:r>
      <w:r>
        <w:t xml:space="preserve">our </w:t>
      </w:r>
      <w:r w:rsidRPr="005F293C">
        <w:t>conclusions</w:t>
      </w:r>
      <w:bookmarkEnd w:id="75"/>
    </w:p>
    <w:p w:rsidR="00B95D2A" w:rsidRPr="005764F6" w:rsidRDefault="00B95D2A" w:rsidP="00B95D2A">
      <w:pPr>
        <w:rPr>
          <w:rStyle w:val="AERbody"/>
        </w:rPr>
      </w:pPr>
      <w:r>
        <w:rPr>
          <w:rStyle w:val="AERbody"/>
        </w:rPr>
        <w:t>W</w:t>
      </w:r>
      <w:r w:rsidRPr="005764F6">
        <w:rPr>
          <w:rStyle w:val="AERbody"/>
        </w:rPr>
        <w:t xml:space="preserve">e consider the use of a gamma of 0.4 is appropriate for the reasons set out in this decision. These reasons are substantively </w:t>
      </w:r>
      <w:r>
        <w:rPr>
          <w:rStyle w:val="AERbody"/>
        </w:rPr>
        <w:t>similar to</w:t>
      </w:r>
      <w:r w:rsidRPr="005764F6">
        <w:rPr>
          <w:rStyle w:val="AERbody"/>
        </w:rPr>
        <w:t xml:space="preserve"> the reasons we </w:t>
      </w:r>
      <w:r>
        <w:rPr>
          <w:rStyle w:val="AERbody"/>
        </w:rPr>
        <w:t xml:space="preserve">have </w:t>
      </w:r>
      <w:r w:rsidRPr="005764F6">
        <w:rPr>
          <w:rStyle w:val="AERbody"/>
        </w:rPr>
        <w:t xml:space="preserve">set out in prior decisions, but we have clarified our reasoning in response to issues </w:t>
      </w:r>
      <w:r>
        <w:rPr>
          <w:rStyle w:val="AERbody"/>
        </w:rPr>
        <w:t xml:space="preserve">that have been </w:t>
      </w:r>
      <w:r w:rsidRPr="005764F6">
        <w:rPr>
          <w:rStyle w:val="AERbody"/>
        </w:rPr>
        <w:t>raised</w:t>
      </w:r>
      <w:r>
        <w:rPr>
          <w:rStyle w:val="AERbody"/>
        </w:rPr>
        <w:t xml:space="preserve"> by the service providers, other stakeholders and</w:t>
      </w:r>
      <w:r w:rsidRPr="005764F6">
        <w:rPr>
          <w:rStyle w:val="AERbody"/>
        </w:rPr>
        <w:t xml:space="preserve"> in </w:t>
      </w:r>
      <w:r>
        <w:rPr>
          <w:rStyle w:val="AERbody"/>
        </w:rPr>
        <w:t>recent litigation.</w:t>
      </w:r>
    </w:p>
    <w:p w:rsidR="00B95D2A" w:rsidRPr="001D37D5" w:rsidRDefault="00B95D2A" w:rsidP="00B95D2A">
      <w:pPr>
        <w:pStyle w:val="AERbulletlistfirststyle"/>
      </w:pPr>
      <w:r w:rsidRPr="005F293C">
        <w:t xml:space="preserve">We take the view </w:t>
      </w:r>
      <w:r>
        <w:t xml:space="preserve">that </w:t>
      </w:r>
      <w:r w:rsidRPr="00E44473">
        <w:t xml:space="preserve">there is no consensus amongst experts as to the best approach to estimating </w:t>
      </w:r>
      <w:r>
        <w:t xml:space="preserve">the value of </w:t>
      </w:r>
      <w:r w:rsidRPr="00E44473">
        <w:t>gamma</w:t>
      </w:r>
      <w:r>
        <w:t>, or to the correct value of gamma. We</w:t>
      </w:r>
      <w:r w:rsidRPr="001D37D5">
        <w:t xml:space="preserve"> must therefore choose an appropriate value for gamma </w:t>
      </w:r>
      <w:r>
        <w:t>based on our own assessment of all the relevant evidence.</w:t>
      </w:r>
    </w:p>
    <w:p w:rsidR="00B95D2A" w:rsidRDefault="00B95D2A" w:rsidP="00B95D2A">
      <w:pPr>
        <w:pStyle w:val="AERbulletlistfirststyle"/>
      </w:pPr>
      <w:r w:rsidRPr="005764F6">
        <w:t xml:space="preserve">Our conceptual approach considers the value of gamma </w:t>
      </w:r>
      <w:r>
        <w:t>as</w:t>
      </w:r>
      <w:r w:rsidRPr="005764F6">
        <w:t xml:space="preserve"> a post</w:t>
      </w:r>
      <w:r>
        <w:t xml:space="preserve"> (company) </w:t>
      </w:r>
      <w:r w:rsidRPr="005764F6">
        <w:t>tax</w:t>
      </w:r>
      <w:r>
        <w:t xml:space="preserve"> </w:t>
      </w:r>
      <w:r w:rsidRPr="005764F6">
        <w:t xml:space="preserve">value before the impact of personal taxes and </w:t>
      </w:r>
      <w:r>
        <w:t>personal</w:t>
      </w:r>
      <w:r w:rsidRPr="005764F6">
        <w:t xml:space="preserve"> costs. </w:t>
      </w:r>
      <w:r>
        <w:t>This is because we use a post-tax revenue model for revenue regulation for each regulated entity. The value of gamma has to be understood, and consistently estimated and applied, in that overall context.</w:t>
      </w:r>
    </w:p>
    <w:p w:rsidR="00B95D2A" w:rsidRPr="001D37D5" w:rsidRDefault="00B95D2A" w:rsidP="00B95D2A">
      <w:pPr>
        <w:pStyle w:val="AERbulletlistfirststyle"/>
      </w:pPr>
      <w:r>
        <w:t xml:space="preserve">It follows that our estimate of the value of gamma should be </w:t>
      </w:r>
      <w:r w:rsidRPr="001D37D5">
        <w:t xml:space="preserve">consistent with </w:t>
      </w:r>
      <w:r>
        <w:t>each interrelated element of the regulatory scheme, such as the</w:t>
      </w:r>
      <w:r w:rsidRPr="001D37D5">
        <w:t xml:space="preserve"> allowed rate of return and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1D37D5">
        <w:fldChar w:fldCharType="begin"/>
      </w:r>
      <w:r w:rsidRPr="001D37D5">
        <w:instrText xml:space="preserve"> REF _Ref450298425 \r \h  \* MERGEFORMAT </w:instrText>
      </w:r>
      <w:r w:rsidRPr="001D37D5">
        <w:fldChar w:fldCharType="separate"/>
      </w:r>
      <w:r w:rsidR="003E419A">
        <w:t>A.8.2</w:t>
      </w:r>
      <w:r w:rsidRPr="001D37D5">
        <w:fldChar w:fldCharType="end"/>
      </w:r>
      <w:r w:rsidRPr="001D37D5">
        <w:t xml:space="preserve">). Our interpretation of the post-tax framework in the NER/NGR is covered in section </w:t>
      </w:r>
      <w:r w:rsidRPr="001D37D5">
        <w:fldChar w:fldCharType="begin"/>
      </w:r>
      <w:r w:rsidRPr="001D37D5">
        <w:instrText xml:space="preserve"> REF _Ref400965182 \r \h  \* MERGEFORMAT </w:instrText>
      </w:r>
      <w:r w:rsidRPr="001D37D5">
        <w:fldChar w:fldCharType="separate"/>
      </w:r>
      <w:r w:rsidR="003E419A">
        <w:t>A.6</w:t>
      </w:r>
      <w:r w:rsidRPr="001D37D5">
        <w:fldChar w:fldCharType="end"/>
      </w:r>
      <w:r w:rsidRPr="001D37D5">
        <w:t xml:space="preserve">. </w:t>
      </w:r>
    </w:p>
    <w:p w:rsidR="00B95D2A" w:rsidRPr="001D37D5" w:rsidRDefault="00B95D2A" w:rsidP="00B95D2A">
      <w:pPr>
        <w:pStyle w:val="AERbulletlistfirststyle"/>
      </w:pPr>
      <w:r w:rsidRPr="005764F6">
        <w:t xml:space="preserve">Our approach considers gamma to be equal to the product of the </w:t>
      </w:r>
      <w:r w:rsidRPr="001D37D5">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1D37D5">
        <w:fldChar w:fldCharType="begin"/>
      </w:r>
      <w:r w:rsidRPr="001D37D5">
        <w:instrText xml:space="preserve"> REF _Ref415144114 \r \h  \* MERGEFORMAT </w:instrText>
      </w:r>
      <w:r w:rsidRPr="001D37D5">
        <w:fldChar w:fldCharType="separate"/>
      </w:r>
      <w:r w:rsidR="003E419A">
        <w:t>A.5</w:t>
      </w:r>
      <w:r w:rsidRPr="001D37D5">
        <w:fldChar w:fldCharType="end"/>
      </w:r>
      <w:r w:rsidRPr="001D37D5">
        <w:t xml:space="preserve"> and </w:t>
      </w:r>
      <w:r w:rsidRPr="001D37D5">
        <w:fldChar w:fldCharType="begin"/>
      </w:r>
      <w:r w:rsidRPr="001D37D5">
        <w:instrText xml:space="preserve"> REF _Ref400965182 \r \h  \* MERGEFORMAT </w:instrText>
      </w:r>
      <w:r w:rsidRPr="001D37D5">
        <w:fldChar w:fldCharType="separate"/>
      </w:r>
      <w:r w:rsidR="003E419A">
        <w:t>A.6</w:t>
      </w:r>
      <w:r w:rsidRPr="001D37D5">
        <w:fldChar w:fldCharType="end"/>
      </w:r>
      <w:r w:rsidRPr="001D37D5">
        <w:t>.</w:t>
      </w:r>
    </w:p>
    <w:p w:rsidR="00B95D2A" w:rsidRPr="001D37D5" w:rsidRDefault="00B95D2A" w:rsidP="00B95D2A">
      <w:pPr>
        <w:pStyle w:val="AERbulletlistfirststyle"/>
      </w:pPr>
      <w:r w:rsidRPr="005764F6">
        <w:t>We use a range of relevant evidence to estimate the utilisation</w:t>
      </w:r>
      <w:r w:rsidRPr="001D37D5">
        <w:t xml:space="preserve"> rate. We consider:</w:t>
      </w:r>
    </w:p>
    <w:p w:rsidR="00B95D2A" w:rsidRPr="005764F6" w:rsidRDefault="00B95D2A" w:rsidP="00B95D2A">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3E419A">
        <w:t>A.12</w:t>
      </w:r>
      <w:r w:rsidRPr="005764F6">
        <w:fldChar w:fldCharType="end"/>
      </w:r>
      <w:r w:rsidRPr="005764F6">
        <w:t>).</w:t>
      </w:r>
      <w:r w:rsidRPr="00F07FE8">
        <w:t xml:space="preserve"> </w:t>
      </w:r>
      <w:r w:rsidRPr="005764F6">
        <w:t xml:space="preserve">There is no data to suggest the redemption of imputation credits is </w:t>
      </w:r>
      <w:r w:rsidRPr="005764F6">
        <w:lastRenderedPageBreak/>
        <w:t xml:space="preserve">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3E419A">
        <w:t>A.8.3</w:t>
      </w:r>
      <w:r w:rsidRPr="005764F6">
        <w:fldChar w:fldCharType="end"/>
      </w:r>
      <w:r w:rsidRPr="005764F6">
        <w:t>.</w:t>
      </w:r>
      <w:r w:rsidRPr="00F07FE8">
        <w:t xml:space="preserve"> </w:t>
      </w: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B95D2A" w:rsidRPr="005764F6" w:rsidRDefault="00B95D2A" w:rsidP="00B95D2A">
      <w:pPr>
        <w:pStyle w:val="AERbulletlistsecondstyle"/>
      </w:pPr>
      <w:r w:rsidRPr="005764F6">
        <w:t>Taxation statistics (tax statistics) can also provide a</w:t>
      </w:r>
      <w:r w:rsidR="009619EF">
        <w:t>n</w:t>
      </w:r>
      <w:r w:rsidRPr="005764F6">
        <w:t xml:space="preserv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AC29DB">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w:t>
      </w:r>
      <w:r w:rsidR="00E729A5">
        <w:t xml:space="preserve"> we place less reliance upon it (s</w:t>
      </w:r>
      <w:r w:rsidRPr="005764F6">
        <w:t xml:space="preserve">ee section </w:t>
      </w:r>
      <w:r w:rsidRPr="005764F6">
        <w:fldChar w:fldCharType="begin"/>
      </w:r>
      <w:r w:rsidRPr="005764F6">
        <w:instrText xml:space="preserve"> REF _Ref402179420 \r \h  \* MERGEFORMAT </w:instrText>
      </w:r>
      <w:r w:rsidRPr="005764F6">
        <w:fldChar w:fldCharType="separate"/>
      </w:r>
      <w:r w:rsidR="003E419A">
        <w:t>A.13</w:t>
      </w:r>
      <w:r w:rsidRPr="005764F6">
        <w:fldChar w:fldCharType="end"/>
      </w:r>
      <w:r w:rsidRPr="005764F6">
        <w:t>).</w:t>
      </w:r>
      <w:r>
        <w:t xml:space="preserve"> One issue that has arisen during litigation about gamma is whether t</w:t>
      </w:r>
      <w:r w:rsidRPr="005764F6">
        <w:t xml:space="preserve">ax statistics </w:t>
      </w:r>
      <w:r w:rsidRPr="001D37D5">
        <w:t>provide an upper bound estimate for gamma</w:t>
      </w:r>
      <w:r>
        <w:t>. T</w:t>
      </w:r>
      <w:r w:rsidRPr="001D37D5">
        <w:t>he</w:t>
      </w:r>
      <w:r>
        <w:t xml:space="preserve"> Ausgrid</w:t>
      </w:r>
      <w:r w:rsidRPr="001D37D5">
        <w:t xml:space="preserve"> Tribunal found</w:t>
      </w:r>
      <w:r>
        <w:t xml:space="preserve"> that it did provide an upper bound</w:t>
      </w:r>
      <w:r w:rsidRPr="001D37D5">
        <w:t>.</w:t>
      </w:r>
      <w:r w:rsidRPr="00AC29DB">
        <w:rPr>
          <w:rStyle w:val="FootnoteReference"/>
        </w:rPr>
        <w:footnoteReference w:id="16"/>
      </w:r>
      <w:r w:rsidRPr="001D37D5">
        <w:t xml:space="preserve"> </w:t>
      </w:r>
      <w:r>
        <w:t>In contrast, the SAPN Tribunal found that it did not.</w:t>
      </w:r>
      <w:r w:rsidRPr="0088743A">
        <w:rPr>
          <w:rStyle w:val="FootnoteReference"/>
        </w:rPr>
        <w:footnoteReference w:id="17"/>
      </w:r>
      <w:r>
        <w:t xml:space="preserve"> A report we received from </w:t>
      </w:r>
      <w:r w:rsidRPr="001D37D5">
        <w:t>Lally</w:t>
      </w:r>
      <w:r>
        <w:t>, after we had made our Ausgrid and SAPN decisions</w:t>
      </w:r>
      <w:r w:rsidRPr="001D37D5">
        <w:t xml:space="preserve"> supports </w:t>
      </w:r>
      <w:r>
        <w:t>the</w:t>
      </w:r>
      <w:r w:rsidRPr="001D37D5">
        <w:t xml:space="preserve"> view</w:t>
      </w:r>
      <w:r>
        <w:t xml:space="preserve"> that tax statistics do not provide an upper bound to the value of gamma</w:t>
      </w:r>
      <w:r w:rsidRPr="001D37D5">
        <w:t>.</w:t>
      </w:r>
      <w:r w:rsidRPr="00AC29DB">
        <w:rPr>
          <w:rStyle w:val="FootnoteReference"/>
        </w:rPr>
        <w:footnoteReference w:id="18"/>
      </w:r>
      <w:r w:rsidRPr="001D37D5">
        <w:t xml:space="preserve"> We consider tax statistics provide a point estimate of the utilisation rate</w:t>
      </w:r>
      <w:r w:rsidR="009619EF">
        <w:t xml:space="preserve"> of questionable reliability</w:t>
      </w:r>
      <w:r w:rsidRPr="001D37D5">
        <w:t>.</w:t>
      </w:r>
    </w:p>
    <w:p w:rsidR="00B95D2A" w:rsidRPr="005764F6" w:rsidRDefault="00B95D2A" w:rsidP="00B95D2A">
      <w:pPr>
        <w:pStyle w:val="AERbulletlistsecondstyle"/>
      </w:pPr>
      <w:r>
        <w:t>I</w:t>
      </w:r>
      <w:r w:rsidRPr="005764F6">
        <w:t>mplied market value studies are</w:t>
      </w:r>
      <w:r>
        <w:t xml:space="preserve"> another source of evidence but they are</w:t>
      </w:r>
      <w:r w:rsidRPr="005764F6">
        <w:t xml:space="preserve"> affected by factors such as differential personal taxation and </w:t>
      </w:r>
      <w:r>
        <w:t xml:space="preserve">other </w:t>
      </w:r>
      <w:r w:rsidRPr="005764F6">
        <w:t xml:space="preserve">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3E419A">
        <w:t>A.15</w:t>
      </w:r>
      <w:r w:rsidRPr="005764F6">
        <w:fldChar w:fldCharType="end"/>
      </w:r>
      <w:r w:rsidRPr="005764F6">
        <w:t>).</w:t>
      </w:r>
      <w:r w:rsidRPr="00583683">
        <w:rPr>
          <w:rStyle w:val="FootnoteReference"/>
        </w:rPr>
        <w:footnoteReference w:id="19"/>
      </w:r>
    </w:p>
    <w:p w:rsidR="00B95D2A" w:rsidRPr="001D37D5" w:rsidRDefault="00B95D2A" w:rsidP="00B95D2A">
      <w:pPr>
        <w:pStyle w:val="AERbulletlistfirststyle"/>
      </w:pPr>
      <w:r>
        <w:t>We</w:t>
      </w:r>
      <w:r w:rsidRPr="005764F6">
        <w:t xml:space="preserve"> </w:t>
      </w:r>
      <w:r w:rsidRPr="001D37D5">
        <w:t>have regard to a listed equity measure of the distribution rate, which we consider is reasonably reflective of a benchmark efficient entity</w:t>
      </w:r>
      <w:r>
        <w:t>,</w:t>
      </w:r>
      <w:r w:rsidRPr="001D37D5">
        <w:t xml:space="preserve"> given the trade-offs associated with choosing an appropriate dataset (see section </w:t>
      </w:r>
      <w:r w:rsidRPr="001D37D5">
        <w:fldChar w:fldCharType="begin"/>
      </w:r>
      <w:r w:rsidRPr="001D37D5">
        <w:instrText xml:space="preserve"> REF _Ref401133206 \r \h  \* MERGEFORMAT </w:instrText>
      </w:r>
      <w:r w:rsidRPr="001D37D5">
        <w:fldChar w:fldCharType="separate"/>
      </w:r>
      <w:r w:rsidR="003E419A">
        <w:t>A.10</w:t>
      </w:r>
      <w:r w:rsidRPr="001D37D5">
        <w:fldChar w:fldCharType="end"/>
      </w:r>
      <w:r w:rsidRPr="001D37D5">
        <w:t>).</w:t>
      </w:r>
      <w:r w:rsidRPr="001D37D5">
        <w:rPr>
          <w:rStyle w:val="FootnoteReference"/>
        </w:rPr>
        <w:footnoteReference w:id="20"/>
      </w:r>
      <w:r w:rsidRPr="001D37D5">
        <w:t xml:space="preserve"> </w:t>
      </w:r>
      <w:r>
        <w:t xml:space="preserve">While our consultant's advice is </w:t>
      </w:r>
      <w:r>
        <w:lastRenderedPageBreak/>
        <w:t xml:space="preserve">that there is no necessity to combine </w:t>
      </w:r>
      <w:r w:rsidRPr="001D37D5">
        <w:t>estimates of the distribution rate and utilisation rate from the same dataset</w:t>
      </w:r>
      <w:r>
        <w:t xml:space="preserve"> and good reason not for not doing so, we have continued to principally match datasets.</w:t>
      </w:r>
      <w:r>
        <w:rPr>
          <w:rStyle w:val="FootnoteReference"/>
        </w:rPr>
        <w:footnoteReference w:id="21"/>
      </w:r>
      <w:r>
        <w:t xml:space="preserve"> Our approach leads to conservative estimate (in favour of the service providers), as Lally considers only listed firms should be used to determine the distribution rate and all equity should be used to estimate the utilisation value which results in a gamma estimate of 0.5. W</w:t>
      </w:r>
      <w:r w:rsidRPr="001D37D5">
        <w:t>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1D37D5">
        <w:rPr>
          <w:rStyle w:val="FootnoteReference"/>
        </w:rPr>
        <w:footnoteReference w:id="22"/>
      </w:r>
      <w:r w:rsidRPr="001D37D5">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r>
        <w:t xml:space="preserve"> This additional evidence also supports a value of gamma of 0.4.</w:t>
      </w:r>
    </w:p>
    <w:p w:rsidR="00B95D2A" w:rsidRDefault="00B95D2A" w:rsidP="00B95D2A">
      <w:pPr>
        <w:pStyle w:val="AERbulletlistfirststyle"/>
      </w:pPr>
      <w:r w:rsidRPr="00C64627">
        <w:t>Lally supports, among other things, our conceptual approach to estimating gamma and the relative reliance we place on different sources of evidence to estimate the utilisation rate.</w:t>
      </w:r>
      <w:r w:rsidRPr="00AC29DB">
        <w:rPr>
          <w:rStyle w:val="FootnoteReference"/>
        </w:rPr>
        <w:footnoteReference w:id="23"/>
      </w:r>
      <w:r w:rsidRPr="00C64627">
        <w:t xml:space="preserve"> However, he recommended an estimate of the value of gamma of at least 0.5. This is higher than the estimate of 0.4 we adopt in this decision. </w:t>
      </w:r>
      <w:r>
        <w:t xml:space="preserve">Other expert reports argue for a lower value. </w:t>
      </w:r>
      <w:r w:rsidRPr="00C64627">
        <w:t xml:space="preserve">We maintain our approach </w:t>
      </w:r>
      <w:r>
        <w:t xml:space="preserve">in recent previous decisions to value gamma at 0.4 </w:t>
      </w:r>
      <w:r w:rsidRPr="00C64627">
        <w:t xml:space="preserve">because we consider </w:t>
      </w:r>
      <w:r>
        <w:t>a value of 0.4</w:t>
      </w:r>
      <w:r w:rsidRPr="00C64627">
        <w:t xml:space="preserve"> </w:t>
      </w:r>
      <w:r>
        <w:t xml:space="preserve">reflects our best judgement in the circumstances. It is based on our assessment of the available evidence having regard to </w:t>
      </w:r>
      <w:r w:rsidRPr="00C64627">
        <w:t>the requirements of the NER/NGR</w:t>
      </w:r>
      <w:r>
        <w:t>.</w:t>
      </w:r>
    </w:p>
    <w:p w:rsidR="00B95D2A" w:rsidRPr="00B95D2A" w:rsidRDefault="00B95D2A">
      <w:pPr>
        <w:pStyle w:val="AERbulletlistfirststyle"/>
      </w:pPr>
      <w:r>
        <w:t xml:space="preserve">We do not approve TasNetworks proposed X-factor </w:t>
      </w:r>
      <w:r w:rsidRPr="00B95D2A">
        <w:t xml:space="preserve">adjustment mechanism to adjust the Total Revenue in the event the Full Federal Court in </w:t>
      </w:r>
      <w:r w:rsidRPr="00F2175D">
        <w:rPr>
          <w:rStyle w:val="Emphasis"/>
        </w:rPr>
        <w:t>Australian Energy Regulator v Australian Competition Tribunal &amp; Anor</w:t>
      </w:r>
      <w:r w:rsidRPr="00B95D2A">
        <w:rPr>
          <w:rStyle w:val="FootnoteReference"/>
        </w:rPr>
        <w:footnoteReference w:id="24"/>
      </w:r>
      <w:r w:rsidRPr="00B95D2A">
        <w:t xml:space="preserve"> makes a decision that results in the AER using a different value for gamma following this decision</w:t>
      </w:r>
      <w:r w:rsidRPr="00F2175D">
        <w:rPr>
          <w:rStyle w:val="Emphasis"/>
        </w:rPr>
        <w:t xml:space="preserve">. Australian Energy Regulator v Australian Competition Tribunal &amp; Anor </w:t>
      </w:r>
      <w:r w:rsidRPr="00B95D2A">
        <w:t>is the AER's Full Federal Court review of the Ausgrid Tribunal decision related to AER determinations for ActewAGL Distribution, Ausgrid, Endeavour Energy, Essential Energy and Jemena Gas Network.</w:t>
      </w:r>
      <w:bookmarkEnd w:id="74"/>
    </w:p>
    <w:p w:rsidR="00B95D2A" w:rsidRDefault="00B95D2A" w:rsidP="00B95D2A">
      <w:pPr>
        <w:pStyle w:val="HeadingBoldBlue"/>
      </w:pPr>
      <w:bookmarkStart w:id="76" w:name="_Toc456614272"/>
      <w:bookmarkStart w:id="77" w:name="_Toc479693940"/>
      <w:r>
        <w:t>The use of taxation statistics</w:t>
      </w:r>
      <w:bookmarkEnd w:id="76"/>
      <w:bookmarkEnd w:id="77"/>
    </w:p>
    <w:p w:rsidR="00B95D2A" w:rsidRDefault="00B95D2A" w:rsidP="00B95D2A">
      <w:r>
        <w:t>In response to the Ausgrid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w:t>
      </w:r>
      <w:r w:rsidR="00E729A5">
        <w:t>ses our views on these matters.</w:t>
      </w:r>
    </w:p>
    <w:p w:rsidR="00B95D2A" w:rsidRPr="00243100" w:rsidRDefault="00B95D2A" w:rsidP="00B95D2A">
      <w:r w:rsidRPr="00243100">
        <w:lastRenderedPageBreak/>
        <w:t xml:space="preserve">In this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w:t>
      </w:r>
      <w:r>
        <w:t xml:space="preserve"> and</w:t>
      </w:r>
      <w:r w:rsidRPr="00243100">
        <w:t xml:space="preserve"> Handley.</w:t>
      </w:r>
      <w:r>
        <w:rPr>
          <w:rStyle w:val="FootnoteReference"/>
        </w:rPr>
        <w:footnoteReference w:id="25"/>
      </w:r>
      <w:r>
        <w:t xml:space="preserve"> Frontier has submitted that tax statistics can estimate gamma reliably as the ratio of imputation credits redeemed to imputation credit created.</w:t>
      </w:r>
      <w:r>
        <w:rPr>
          <w:rStyle w:val="FootnoteReference"/>
        </w:rPr>
        <w:footnoteReference w:id="26"/>
      </w:r>
      <w:r>
        <w:t xml:space="preserve"> However, we are not convinced following our review of the Hathaway paper and our recent advice from Lally (see section </w:t>
      </w:r>
      <w:r>
        <w:fldChar w:fldCharType="begin"/>
      </w:r>
      <w:r>
        <w:instrText xml:space="preserve"> REF _Ref402179420 \n \h </w:instrText>
      </w:r>
      <w:r>
        <w:fldChar w:fldCharType="separate"/>
      </w:r>
      <w:r w:rsidR="003E419A">
        <w:t>A.13</w:t>
      </w:r>
      <w:r>
        <w:fldChar w:fldCharType="end"/>
      </w:r>
      <w:r>
        <w:t>). For this reason, in this decision, we have placed limited weight on tax statistics.</w:t>
      </w:r>
    </w:p>
    <w:p w:rsidR="00B95D2A" w:rsidRDefault="00B95D2A" w:rsidP="00B95D2A">
      <w:r w:rsidRPr="00243100">
        <w:t xml:space="preserve">Lally considers tax statistics </w:t>
      </w:r>
      <w:r>
        <w:t xml:space="preserve">do not provide a reliable </w:t>
      </w:r>
      <w:r w:rsidRPr="00243100">
        <w:t>estimate of the utilisation rate.</w:t>
      </w:r>
      <w:r>
        <w:rPr>
          <w:rStyle w:val="FootnoteReference"/>
        </w:rPr>
        <w:footnoteReference w:id="27"/>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8"/>
      </w:r>
      <w:r>
        <w:t xml:space="preserve"> We consider that any uncertain estimate is not an upper bound.</w:t>
      </w:r>
    </w:p>
    <w:p w:rsidR="00E729A5" w:rsidRDefault="00B95D2A" w:rsidP="00B95D2A">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3E419A" w:rsidRPr="00883125">
        <w:t xml:space="preserve">Table </w:t>
      </w:r>
      <w:r w:rsidR="003E419A">
        <w:rPr>
          <w:noProof/>
        </w:rPr>
        <w:t>4</w:t>
      </w:r>
      <w:r w:rsidR="003E419A">
        <w:noBreakHyphen/>
      </w:r>
      <w:r w:rsidR="003E419A">
        <w:rPr>
          <w:noProof/>
        </w:rPr>
        <w:t>2</w:t>
      </w:r>
      <w:r>
        <w:fldChar w:fldCharType="end"/>
      </w:r>
      <w:r>
        <w:t>.</w:t>
      </w:r>
    </w:p>
    <w:p w:rsidR="00B95D2A" w:rsidRPr="00883125" w:rsidRDefault="00B95D2A" w:rsidP="00B95D2A">
      <w:pPr>
        <w:pStyle w:val="Caption"/>
      </w:pPr>
      <w:bookmarkStart w:id="78" w:name="_Ref451627331"/>
      <w:r w:rsidRPr="00883125">
        <w:t xml:space="preserve">Table </w:t>
      </w:r>
      <w:r w:rsidRPr="00962162">
        <w:fldChar w:fldCharType="begin"/>
      </w:r>
      <w:r>
        <w:instrText xml:space="preserve"> STYLEREF 1 \s </w:instrText>
      </w:r>
      <w:r w:rsidRPr="00962162">
        <w:fldChar w:fldCharType="separate"/>
      </w:r>
      <w:r w:rsidR="003E419A">
        <w:rPr>
          <w:noProof/>
        </w:rPr>
        <w:t>4</w:t>
      </w:r>
      <w:r w:rsidRPr="00962162">
        <w:fldChar w:fldCharType="end"/>
      </w:r>
      <w:r>
        <w:noBreakHyphen/>
      </w:r>
      <w:r w:rsidRPr="00962162">
        <w:fldChar w:fldCharType="begin"/>
      </w:r>
      <w:r>
        <w:instrText xml:space="preserve"> SEQ Table \* ARABIC \s 1 </w:instrText>
      </w:r>
      <w:r w:rsidRPr="00962162">
        <w:fldChar w:fldCharType="separate"/>
      </w:r>
      <w:r w:rsidR="003E419A">
        <w:rPr>
          <w:noProof/>
        </w:rPr>
        <w:t>2</w:t>
      </w:r>
      <w:r w:rsidRPr="00962162">
        <w:fldChar w:fldCharType="end"/>
      </w:r>
      <w:bookmarkEnd w:id="78"/>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B95D2A"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p>
        </w:tc>
        <w:tc>
          <w:tcPr>
            <w:tcW w:w="2052"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B95D2A">
              <w:t>rate</w:t>
            </w:r>
          </w:p>
        </w:tc>
        <w:tc>
          <w:tcPr>
            <w:tcW w:w="2052"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883125">
              <w:t xml:space="preserve">Value of </w:t>
            </w:r>
            <w:r w:rsidRPr="00B95D2A">
              <w:t>Imputation Credits</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t>All equity</w:t>
            </w:r>
          </w:p>
        </w:tc>
        <w:tc>
          <w:tcPr>
            <w:tcW w:w="205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w:t>
            </w:r>
            <w:r w:rsidRPr="00B95D2A">
              <w:t>48</w:t>
            </w:r>
          </w:p>
        </w:tc>
        <w:tc>
          <w:tcPr>
            <w:tcW w:w="205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9"/>
            </w:r>
          </w:p>
        </w:tc>
        <w:tc>
          <w:tcPr>
            <w:tcW w:w="205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t>Listed equity</w:t>
            </w:r>
          </w:p>
        </w:tc>
        <w:tc>
          <w:tcPr>
            <w:tcW w:w="205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t>0.</w:t>
            </w:r>
            <w:r w:rsidRPr="00B95D2A">
              <w:t>48</w:t>
            </w:r>
            <w:r w:rsidR="00425DD6">
              <w:rPr>
                <w:rStyle w:val="FootnoteReference"/>
              </w:rPr>
              <w:footnoteReference w:id="30"/>
            </w:r>
          </w:p>
        </w:tc>
        <w:tc>
          <w:tcPr>
            <w:tcW w:w="205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t>0.7</w:t>
            </w:r>
            <w:r w:rsidRPr="00B95D2A">
              <w:t>5</w:t>
            </w:r>
            <w:r w:rsidRPr="00B95D2A">
              <w:rPr>
                <w:rStyle w:val="FootnoteReference"/>
              </w:rPr>
              <w:footnoteReference w:id="31"/>
            </w:r>
          </w:p>
        </w:tc>
        <w:tc>
          <w:tcPr>
            <w:tcW w:w="2053"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t>0.36</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t>Australian Securities Exchange (ASX) top 20 firms</w:t>
            </w:r>
          </w:p>
        </w:tc>
        <w:tc>
          <w:tcPr>
            <w:tcW w:w="205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w:t>
            </w:r>
            <w:r w:rsidRPr="00B95D2A">
              <w:t>48 to 0.62</w:t>
            </w:r>
            <w:r w:rsidR="00EC2610">
              <w:rPr>
                <w:rStyle w:val="FootnoteReference"/>
              </w:rPr>
              <w:footnoteReference w:id="32"/>
            </w:r>
          </w:p>
        </w:tc>
        <w:tc>
          <w:tcPr>
            <w:tcW w:w="205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t>0.83</w:t>
            </w:r>
            <w:r w:rsidRPr="00B95D2A">
              <w:rPr>
                <w:rStyle w:val="FootnoteReference"/>
              </w:rPr>
              <w:footnoteReference w:id="33"/>
            </w:r>
          </w:p>
        </w:tc>
        <w:tc>
          <w:tcPr>
            <w:tcW w:w="2053"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t>0.40</w:t>
            </w:r>
            <w:r w:rsidRPr="00B95D2A">
              <w:t xml:space="preserve"> to 0.51</w:t>
            </w:r>
            <w:r w:rsidRPr="00B95D2A">
              <w:rPr>
                <w:rStyle w:val="FootnoteReference"/>
              </w:rPr>
              <w:footnoteReference w:id="34"/>
            </w:r>
          </w:p>
        </w:tc>
      </w:tr>
    </w:tbl>
    <w:p w:rsidR="00B95D2A" w:rsidRPr="00CA67C0" w:rsidRDefault="00B95D2A" w:rsidP="00B95D2A">
      <w:pPr>
        <w:pStyle w:val="AERtablesource"/>
      </w:pPr>
      <w:r w:rsidRPr="00883125">
        <w:lastRenderedPageBreak/>
        <w:t>Source:</w:t>
      </w:r>
      <w:r w:rsidRPr="00883125">
        <w:tab/>
        <w:t>AER analysis</w:t>
      </w:r>
      <w:r w:rsidRPr="00CA67C0">
        <w:t xml:space="preserve">; Lally, </w:t>
      </w:r>
      <w:r w:rsidRPr="00CA67C0">
        <w:rPr>
          <w:rStyle w:val="AERtextitalic"/>
        </w:rPr>
        <w:t>Gamma and the ACT Decision</w:t>
      </w:r>
      <w:r w:rsidRPr="00CA67C0">
        <w:t>, May 2016, p. 6.</w:t>
      </w:r>
    </w:p>
    <w:p w:rsidR="00B95D2A" w:rsidRDefault="00B95D2A" w:rsidP="00B95D2A">
      <w:r>
        <w:t>Using different distribution rates, tax statistics can potentially provide a range for gamma of 0.34 to 0.51 for the benchmark efficient entity. When Lally's preferred distribution rate is used, this implies a gamma of at least 0.4.</w:t>
      </w:r>
    </w:p>
    <w:p w:rsidR="00B95D2A" w:rsidRPr="00243100" w:rsidRDefault="00B95D2A" w:rsidP="00B95D2A">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5"/>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6"/>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7"/>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8"/>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132D43" w:rsidRDefault="00B95D2A" w:rsidP="00132D43">
      <w:r>
        <w:t xml:space="preserve">For the reasons explained above (and in section </w:t>
      </w:r>
      <w:r w:rsidR="00B50891">
        <w:t>4.4</w:t>
      </w:r>
      <w:r>
        <w:t xml:space="preserve"> and section </w:t>
      </w:r>
      <w:r>
        <w:fldChar w:fldCharType="begin"/>
      </w:r>
      <w:r>
        <w:instrText xml:space="preserve"> REF _Ref402179420 \r \h </w:instrText>
      </w:r>
      <w:r>
        <w:fldChar w:fldCharType="separate"/>
      </w:r>
      <w:r w:rsidR="003E419A">
        <w:t>A.13</w:t>
      </w:r>
      <w:r>
        <w:fldChar w:fldCharType="end"/>
      </w:r>
      <w:r>
        <w:t>), we consider tax statistics do not demonstrate our gamma value of 0.4 is unreasonable.</w:t>
      </w:r>
    </w:p>
    <w:p w:rsidR="00132D43" w:rsidRDefault="004523B2" w:rsidP="00132D43">
      <w:pPr>
        <w:pStyle w:val="Heading2"/>
      </w:pPr>
      <w:bookmarkStart w:id="79" w:name="_Toc480815595"/>
      <w:r>
        <w:t>TasNetworks'</w:t>
      </w:r>
      <w:r w:rsidR="00445F0C">
        <w:t xml:space="preserve"> revised</w:t>
      </w:r>
      <w:r w:rsidR="00132D43">
        <w:t xml:space="preserve"> proposal</w:t>
      </w:r>
      <w:bookmarkEnd w:id="79"/>
    </w:p>
    <w:p w:rsidR="00B95D2A" w:rsidRDefault="00B95D2A" w:rsidP="00B95D2A">
      <w:r>
        <w:t>TasNetworks</w:t>
      </w:r>
      <w:r w:rsidR="009D1F91">
        <w:t>'</w:t>
      </w:r>
      <w:r>
        <w:t xml:space="preserve"> proposed a gamma estimate of 0.4 con</w:t>
      </w:r>
      <w:bookmarkStart w:id="80" w:name="_GoBack"/>
      <w:bookmarkEnd w:id="80"/>
      <w:r>
        <w:t>sistent with the SAPN Tribunal decision.</w:t>
      </w:r>
      <w:r>
        <w:rPr>
          <w:rStyle w:val="FootnoteReference"/>
        </w:rPr>
        <w:footnoteReference w:id="39"/>
      </w:r>
      <w:r>
        <w:t xml:space="preserve"> This is consistent with our </w:t>
      </w:r>
      <w:r w:rsidRPr="00883125">
        <w:t xml:space="preserve">Guideline based approach to estimating gamma as reflected in our decisions released in </w:t>
      </w:r>
      <w:r>
        <w:t>2014 (</w:t>
      </w:r>
      <w:r w:rsidRPr="00883125">
        <w:t>November</w:t>
      </w:r>
      <w:r>
        <w:t>) and 2015 (April and June). We also adopted our Guideline based approached in decisions released in 2015 (October and November) and 2016 (May and July). Throughout this document we refer to our decisions released from Nov 2014 to July 2016 as our recent decisions.</w:t>
      </w:r>
    </w:p>
    <w:p w:rsidR="00B95D2A" w:rsidRDefault="00B95D2A" w:rsidP="00B95D2A">
      <w:r>
        <w:t>However, TasNetworks consider</w:t>
      </w:r>
      <w:r w:rsidR="009D1F91">
        <w:t>ed</w:t>
      </w:r>
      <w:r>
        <w:t xml:space="preserve"> the X-factor definition should be changed to allow for any changes in gamma, following the conclusion of the court proceedings relating to the merit </w:t>
      </w:r>
      <w:r>
        <w:lastRenderedPageBreak/>
        <w:t>review sought by ActewAGL Distribution, Ausgrid, Endeavour Energy, Essential Energy and Jemena Gas Networks.</w:t>
      </w:r>
      <w:r>
        <w:rPr>
          <w:rStyle w:val="FootnoteReference"/>
        </w:rPr>
        <w:footnoteReference w:id="40"/>
      </w:r>
      <w:r w:rsidRPr="009B20EA">
        <w:rPr>
          <w:rStyle w:val="FootnoteReference"/>
        </w:rPr>
        <w:t xml:space="preserve"> </w:t>
      </w:r>
    </w:p>
    <w:p w:rsidR="00132D43" w:rsidRDefault="00132D43" w:rsidP="00132D43">
      <w:pPr>
        <w:pStyle w:val="Heading2"/>
      </w:pPr>
      <w:bookmarkStart w:id="81" w:name="_Toc480815596"/>
      <w:r>
        <w:t>Assessment approach</w:t>
      </w:r>
      <w:bookmarkEnd w:id="81"/>
    </w:p>
    <w:p w:rsidR="00B95D2A" w:rsidRPr="00883125" w:rsidRDefault="00B95D2A" w:rsidP="00B95D2A">
      <w:pPr>
        <w:numPr>
          <w:ilvl w:val="0"/>
          <w:numId w:val="24"/>
        </w:numPr>
      </w:pPr>
      <w:r w:rsidRPr="00883125">
        <w:t>In this section we set out the approach we have taken to assessing proposals on the value of imputation credits. This approach includes consideration of:</w:t>
      </w:r>
    </w:p>
    <w:p w:rsidR="00B95D2A" w:rsidRPr="00883125" w:rsidRDefault="00B95D2A" w:rsidP="00B95D2A">
      <w:pPr>
        <w:pStyle w:val="AERbulletlistfirststyle"/>
      </w:pPr>
      <w:r w:rsidRPr="00883125">
        <w:t>the requirements of the NEL/NGL and NER/NGR</w:t>
      </w:r>
    </w:p>
    <w:p w:rsidR="00B95D2A" w:rsidRPr="00883125" w:rsidRDefault="00B95D2A" w:rsidP="00B95D2A">
      <w:pPr>
        <w:pStyle w:val="AERbulletlistfirststyle"/>
      </w:pPr>
      <w:r w:rsidRPr="00883125">
        <w:t>the Guideline</w:t>
      </w:r>
    </w:p>
    <w:p w:rsidR="00B95D2A" w:rsidRPr="00883125" w:rsidRDefault="00B95D2A" w:rsidP="00B95D2A">
      <w:pPr>
        <w:pStyle w:val="AERbulletlistfirststyle"/>
      </w:pPr>
      <w:r w:rsidRPr="00883125">
        <w:t>our definition of the benchmark efficient entity</w:t>
      </w:r>
    </w:p>
    <w:p w:rsidR="00B95D2A" w:rsidRPr="00883125" w:rsidRDefault="00B95D2A" w:rsidP="00B95D2A">
      <w:pPr>
        <w:pStyle w:val="AERbulletlistfirststyle"/>
      </w:pPr>
      <w:r w:rsidRPr="00883125">
        <w:t>interrelationships with other aspects of the decision</w:t>
      </w:r>
    </w:p>
    <w:p w:rsidR="00B95D2A" w:rsidRPr="00883125" w:rsidRDefault="00B95D2A" w:rsidP="00B95D2A">
      <w:pPr>
        <w:pStyle w:val="AERbulletlistfirststyle"/>
      </w:pPr>
      <w:r w:rsidRPr="00883125">
        <w:t>expert reports</w:t>
      </w:r>
    </w:p>
    <w:p w:rsidR="00B95D2A" w:rsidRPr="00883125" w:rsidRDefault="00B95D2A" w:rsidP="00B95D2A">
      <w:pPr>
        <w:pStyle w:val="AERbulletlistfirststyle"/>
      </w:pPr>
      <w:r w:rsidRPr="00883125">
        <w:t>our approach to determining the value of imputation credits.</w:t>
      </w:r>
    </w:p>
    <w:p w:rsidR="00B95D2A" w:rsidRPr="00B95D2A" w:rsidRDefault="00B95D2A" w:rsidP="00B95D2A">
      <w:pPr>
        <w:pStyle w:val="Heading3"/>
      </w:pPr>
      <w:bookmarkStart w:id="82" w:name="_Ref400272912"/>
      <w:bookmarkStart w:id="83" w:name="_Ref416802130"/>
      <w:bookmarkStart w:id="84" w:name="_Ref416802459"/>
      <w:bookmarkStart w:id="85" w:name="_Toc451842236"/>
      <w:bookmarkStart w:id="86" w:name="_Toc451938292"/>
      <w:bookmarkStart w:id="87" w:name="_Toc456614275"/>
      <w:bookmarkStart w:id="88" w:name="_Toc462823298"/>
      <w:bookmarkStart w:id="89" w:name="_Toc479693943"/>
      <w:bookmarkStart w:id="90" w:name="_Toc480815597"/>
      <w:r w:rsidRPr="00883125">
        <w:t xml:space="preserve">Requirements of the </w:t>
      </w:r>
      <w:bookmarkEnd w:id="82"/>
      <w:r w:rsidRPr="00883125">
        <w:t>NEL/NGL and NER/NGR</w:t>
      </w:r>
      <w:bookmarkEnd w:id="83"/>
      <w:bookmarkEnd w:id="84"/>
      <w:bookmarkEnd w:id="85"/>
      <w:bookmarkEnd w:id="86"/>
      <w:bookmarkEnd w:id="87"/>
      <w:bookmarkEnd w:id="88"/>
      <w:bookmarkEnd w:id="89"/>
      <w:bookmarkEnd w:id="90"/>
    </w:p>
    <w:p w:rsidR="00B95D2A" w:rsidRPr="00883125" w:rsidRDefault="00B95D2A" w:rsidP="00B95D2A">
      <w:pPr>
        <w:numPr>
          <w:ilvl w:val="0"/>
          <w:numId w:val="24"/>
        </w:numPr>
      </w:pPr>
      <w:r w:rsidRPr="00883125">
        <w:t>The NER/NGR require that the estimated cost of corporate income tax of a service provider for each regulatory year (</w:t>
      </w:r>
      <w:bookmarkStart w:id="91"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91"/>
      <w:r w:rsidRPr="00883125">
        <w:t>) must be estimated in accordance with the following formula:</w:t>
      </w:r>
      <w:r>
        <w:rPr>
          <w:rStyle w:val="FootnoteReference"/>
        </w:rPr>
        <w:footnoteReference w:id="41"/>
      </w:r>
    </w:p>
    <w:p w:rsidR="00B95D2A" w:rsidRPr="00883125" w:rsidRDefault="003E419A" w:rsidP="00B95D2A">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95D2A" w:rsidRPr="00883125" w:rsidRDefault="00B95D2A" w:rsidP="00B95D2A">
      <w:pPr>
        <w:numPr>
          <w:ilvl w:val="0"/>
          <w:numId w:val="24"/>
        </w:numPr>
      </w:pPr>
      <w:r w:rsidRPr="00883125">
        <w:t>where:</w:t>
      </w:r>
    </w:p>
    <w:p w:rsidR="00B95D2A" w:rsidRPr="001D37D5" w:rsidRDefault="003E419A" w:rsidP="00B95D2A">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B95D2A" w:rsidRPr="001D37D5">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B95D2A" w:rsidRPr="001D37D5" w:rsidRDefault="003E419A" w:rsidP="00B95D2A">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B95D2A" w:rsidRPr="001D37D5">
        <w:t> is the expected statutory income tax rate for that regulatory year as determined by the AER.</w:t>
      </w:r>
    </w:p>
    <w:p w:rsidR="00B95D2A" w:rsidRPr="001D37D5" w:rsidRDefault="00B95D2A" w:rsidP="00B95D2A">
      <w:pPr>
        <w:pStyle w:val="AERbulletlistfirststyle"/>
      </w:pPr>
      <m:oMath>
        <m:r>
          <w:rPr>
            <w:rFonts w:ascii="Cambria Math" w:hAnsi="Cambria Math"/>
          </w:rPr>
          <m:t>γ</m:t>
        </m:r>
      </m:oMath>
      <w:r w:rsidRPr="001D37D5">
        <w:t> is the value of imputation credits.</w:t>
      </w:r>
    </w:p>
    <w:p w:rsidR="00B95D2A" w:rsidRPr="00883125" w:rsidRDefault="00B95D2A" w:rsidP="00B95D2A">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B95D2A" w:rsidRPr="00883125" w:rsidRDefault="00B95D2A" w:rsidP="00B95D2A">
      <w:pPr>
        <w:numPr>
          <w:ilvl w:val="0"/>
          <w:numId w:val="24"/>
        </w:numPr>
      </w:pPr>
      <w:r w:rsidRPr="00883125">
        <w:lastRenderedPageBreak/>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B95D2A" w:rsidRPr="001D37D5" w:rsidRDefault="00B95D2A" w:rsidP="00B95D2A">
      <w:pPr>
        <w:pStyle w:val="AERbulletlistfirststyle"/>
      </w:pPr>
      <w:r w:rsidRPr="00883125">
        <w:t>The NER/NGR's cost of corporate income tax formula (shown above) mirrors Officer's framework for the treatment of imputation credits, including through the use of the parameter denoted by the Greek letter 'gamma'.</w:t>
      </w:r>
      <w:r w:rsidRPr="001D37D5">
        <w:rPr>
          <w:rStyle w:val="FootnoteReference"/>
        </w:rPr>
        <w:footnoteReference w:id="44"/>
      </w:r>
    </w:p>
    <w:p w:rsidR="00B95D2A" w:rsidRPr="001D37D5" w:rsidRDefault="00B95D2A" w:rsidP="00B95D2A">
      <w:pPr>
        <w:pStyle w:val="AERbulletlistfirststyle"/>
      </w:pPr>
      <w:r w:rsidRPr="00883125">
        <w:t>We have received expert advice that Officer's definition of the nominal vanilla rate of return provides the basis for the rate of return framework in the NER/NGR.</w:t>
      </w:r>
      <w:r w:rsidRPr="001D37D5">
        <w:rPr>
          <w:rStyle w:val="FootnoteReference"/>
        </w:rPr>
        <w:footnoteReference w:id="45"/>
      </w:r>
      <w:r w:rsidRPr="001D37D5">
        <w:t xml:space="preserve"> Previous statements by the consultant for the majority of the service providers', Gray, and their industry association appear to support this consideration:</w:t>
      </w:r>
    </w:p>
    <w:p w:rsidR="00B95D2A" w:rsidRPr="00883125" w:rsidRDefault="00B95D2A" w:rsidP="00B95D2A">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B95D2A" w:rsidRPr="00883125" w:rsidRDefault="00B95D2A" w:rsidP="00B95D2A">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B95D2A" w:rsidRPr="00883125" w:rsidRDefault="00B95D2A" w:rsidP="00B95D2A">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B95D2A" w:rsidRPr="00883125" w:rsidRDefault="00B95D2A" w:rsidP="00B95D2A">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t>
      </w:r>
      <w:r w:rsidRPr="00883125">
        <w:lastRenderedPageBreak/>
        <w:t xml:space="preserve">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B95D2A" w:rsidRPr="00883125" w:rsidRDefault="00B95D2A" w:rsidP="00B95D2A">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3E419A">
        <w:t>A.7.3</w:t>
      </w:r>
      <w:r w:rsidRPr="00883125">
        <w:fldChar w:fldCharType="end"/>
      </w:r>
      <w:r w:rsidRPr="00883125">
        <w:t>, we accept Handley's expert advice on the Officer framework. An important aspect of this advice is that 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B95D2A" w:rsidRPr="00883125" w:rsidRDefault="00B95D2A" w:rsidP="00B95D2A">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B95D2A" w:rsidRPr="00883125" w:rsidRDefault="00B95D2A" w:rsidP="00B95D2A">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B95D2A" w:rsidRPr="00883125" w:rsidRDefault="00B95D2A" w:rsidP="00B95D2A">
      <w:pPr>
        <w:pStyle w:val="AERbulletlistfirststyle"/>
      </w:pPr>
      <w:r w:rsidRPr="00883125">
        <w:t xml:space="preserve">a service provider should be provided with effective incentives in order to promote economic efficiency with respect to the regulated services it provides, and </w:t>
      </w:r>
    </w:p>
    <w:p w:rsidR="00B95D2A" w:rsidRPr="00883125" w:rsidRDefault="00B95D2A" w:rsidP="00B95D2A">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B95D2A" w:rsidRPr="00883125" w:rsidRDefault="00B95D2A" w:rsidP="00B95D2A">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B95D2A" w:rsidRPr="00883125" w:rsidRDefault="00B95D2A" w:rsidP="00B95D2A">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B95D2A" w:rsidRPr="00883125" w:rsidRDefault="00B95D2A" w:rsidP="00B95D2A">
      <w:pPr>
        <w:pStyle w:val="AERbulletlistfirststyle"/>
      </w:pPr>
      <w:r w:rsidRPr="00883125">
        <w:t>not too low, in that it contributes to providing a reasonable opportunity to recover at least efficient corporate tax costs</w:t>
      </w:r>
    </w:p>
    <w:p w:rsidR="00B95D2A" w:rsidRPr="00883125" w:rsidRDefault="00B95D2A" w:rsidP="00B95D2A">
      <w:pPr>
        <w:pStyle w:val="AERbulletlistfirststyle"/>
      </w:pPr>
      <w:r w:rsidRPr="00883125">
        <w:lastRenderedPageBreak/>
        <w:t>not too high, in that it contributes to a return that is not excessive and is commensurate with the relevant risks.</w:t>
      </w:r>
    </w:p>
    <w:p w:rsidR="00B95D2A" w:rsidRPr="00883125" w:rsidRDefault="00B95D2A" w:rsidP="00B95D2A">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B95D2A" w:rsidRPr="00B95D2A" w:rsidRDefault="00B95D2A" w:rsidP="00B95D2A">
      <w:pPr>
        <w:pStyle w:val="Heading3"/>
      </w:pPr>
      <w:bookmarkStart w:id="92" w:name="_Ref401234016"/>
      <w:bookmarkStart w:id="93" w:name="_Toc451842237"/>
      <w:bookmarkStart w:id="94" w:name="_Toc451938293"/>
      <w:bookmarkStart w:id="95" w:name="_Toc456614276"/>
      <w:bookmarkStart w:id="96" w:name="_Toc462823299"/>
      <w:bookmarkStart w:id="97" w:name="_Toc479693944"/>
      <w:bookmarkStart w:id="98" w:name="_Toc480815598"/>
      <w:r w:rsidRPr="00883125">
        <w:t>Rate of return Guideline</w:t>
      </w:r>
      <w:bookmarkEnd w:id="92"/>
      <w:bookmarkEnd w:id="93"/>
      <w:bookmarkEnd w:id="94"/>
      <w:bookmarkEnd w:id="95"/>
      <w:bookmarkEnd w:id="96"/>
      <w:bookmarkEnd w:id="97"/>
      <w:bookmarkEnd w:id="98"/>
    </w:p>
    <w:p w:rsidR="00B95D2A" w:rsidRPr="00883125" w:rsidRDefault="00B95D2A" w:rsidP="00B95D2A">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B95D2A" w:rsidRPr="001D37D5" w:rsidRDefault="00B95D2A" w:rsidP="00B95D2A">
      <w:pPr>
        <w:pStyle w:val="AERbulletlistfirststyle"/>
      </w:pPr>
      <w:r>
        <w:t>t</w:t>
      </w:r>
      <w:r w:rsidRPr="001D37D5">
        <w:t>he methodologies we propose to use to estimate the allowed rate of return (derived from the expected return on equity and the return on debt) for electricity and gas network service providers</w:t>
      </w:r>
    </w:p>
    <w:p w:rsidR="00B95D2A" w:rsidRPr="001D37D5" w:rsidRDefault="00B95D2A" w:rsidP="00B95D2A">
      <w:pPr>
        <w:pStyle w:val="AERbulletlistfirststyle"/>
      </w:pPr>
      <w:r>
        <w:t>t</w:t>
      </w:r>
      <w:r w:rsidRPr="001D37D5">
        <w:t>he method we propose to use to estimate the value of imputation credits</w:t>
      </w:r>
    </w:p>
    <w:p w:rsidR="00B95D2A" w:rsidRPr="001D37D5" w:rsidRDefault="00B95D2A" w:rsidP="00B95D2A">
      <w:pPr>
        <w:pStyle w:val="AERbulletlistfirststyle"/>
      </w:pPr>
      <w:r>
        <w:t>h</w:t>
      </w:r>
      <w:r w:rsidRPr="001D37D5">
        <w:t>ow these methods will result in an allowed return on equity and return on debt which we are satisfied achieve the allowed rate of return objective.</w:t>
      </w:r>
    </w:p>
    <w:p w:rsidR="00B95D2A" w:rsidRPr="00883125" w:rsidRDefault="00B95D2A" w:rsidP="00B95D2A">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attachment 3 of this decision.  </w:t>
      </w:r>
    </w:p>
    <w:p w:rsidR="00B95D2A" w:rsidRPr="00883125" w:rsidRDefault="00B95D2A" w:rsidP="00B95D2A">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B95D2A" w:rsidRPr="00B95D2A" w:rsidRDefault="00B95D2A" w:rsidP="00B95D2A">
      <w:pPr>
        <w:pStyle w:val="Heading3"/>
      </w:pPr>
      <w:bookmarkStart w:id="99" w:name="_Ref404065332"/>
      <w:bookmarkStart w:id="100" w:name="_Toc451842238"/>
      <w:bookmarkStart w:id="101" w:name="_Toc451938294"/>
      <w:bookmarkStart w:id="102" w:name="_Toc456614277"/>
      <w:bookmarkStart w:id="103" w:name="_Toc462823300"/>
      <w:bookmarkStart w:id="104" w:name="_Toc479693945"/>
      <w:bookmarkStart w:id="105" w:name="_Toc480815599"/>
      <w:r w:rsidRPr="00883125">
        <w:t xml:space="preserve">Definition of </w:t>
      </w:r>
      <w:r w:rsidRPr="00B95D2A">
        <w:t>a benchmark efficient entity</w:t>
      </w:r>
      <w:bookmarkEnd w:id="99"/>
      <w:bookmarkEnd w:id="100"/>
      <w:bookmarkEnd w:id="101"/>
      <w:bookmarkEnd w:id="102"/>
      <w:bookmarkEnd w:id="103"/>
      <w:bookmarkEnd w:id="104"/>
      <w:bookmarkEnd w:id="105"/>
    </w:p>
    <w:p w:rsidR="00B95D2A" w:rsidRPr="00883125" w:rsidRDefault="00B95D2A" w:rsidP="00B95D2A">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3E419A">
        <w:t>4.3.1</w:t>
      </w:r>
      <w:r w:rsidRPr="00883125">
        <w:fldChar w:fldCharType="end"/>
      </w:r>
      <w:r w:rsidRPr="00883125">
        <w:t xml:space="preserve">, the NER/NGR refer to a 'benchmark efficient entity'. </w:t>
      </w:r>
      <w:r>
        <w:t>W</w:t>
      </w:r>
      <w:r w:rsidRPr="00883125">
        <w:t>e have adopted:</w:t>
      </w:r>
    </w:p>
    <w:p w:rsidR="00B95D2A" w:rsidRPr="00883125" w:rsidRDefault="00B95D2A" w:rsidP="00B95D2A">
      <w:pPr>
        <w:pStyle w:val="AERbulletlistfirststyle"/>
      </w:pPr>
      <w:r w:rsidRPr="00883125">
        <w:t>a single benchmark across gas, electricity, transmission and distribution</w:t>
      </w:r>
    </w:p>
    <w:p w:rsidR="00B95D2A" w:rsidRPr="001D37D5" w:rsidRDefault="00B95D2A" w:rsidP="00B95D2A">
      <w:pPr>
        <w:pStyle w:val="AERbulletlistfirststyle"/>
      </w:pPr>
      <w:r w:rsidRPr="00883125">
        <w:lastRenderedPageBreak/>
        <w:t>a conceptual definition of the benchmark efficient entity as 'a 'pure play', regulated energy network business operating within Australia'.</w:t>
      </w:r>
      <w:r w:rsidRPr="001D37D5">
        <w:rPr>
          <w:rStyle w:val="FootnoteReference"/>
        </w:rPr>
        <w:footnoteReference w:id="61"/>
      </w:r>
    </w:p>
    <w:p w:rsidR="00B95D2A" w:rsidRDefault="00B95D2A" w:rsidP="00B95D2A">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B95D2A" w:rsidRPr="00FF606F" w:rsidRDefault="00B95D2A" w:rsidP="00B95D2A">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p>
    <w:p w:rsidR="00B95D2A" w:rsidRPr="00B95D2A" w:rsidRDefault="00B95D2A" w:rsidP="00B95D2A">
      <w:pPr>
        <w:pStyle w:val="Heading3"/>
      </w:pPr>
      <w:bookmarkStart w:id="106" w:name="_Ref415070818"/>
      <w:bookmarkStart w:id="107" w:name="_Toc451842239"/>
      <w:bookmarkStart w:id="108" w:name="_Toc451938295"/>
      <w:bookmarkStart w:id="109" w:name="_Toc456614278"/>
      <w:bookmarkStart w:id="110" w:name="_Toc462823301"/>
      <w:bookmarkStart w:id="111" w:name="_Toc479693946"/>
      <w:bookmarkStart w:id="112" w:name="_Toc480815600"/>
      <w:r w:rsidRPr="00883125">
        <w:t>Interrelationships</w:t>
      </w:r>
      <w:bookmarkEnd w:id="106"/>
      <w:bookmarkEnd w:id="107"/>
      <w:bookmarkEnd w:id="108"/>
      <w:bookmarkEnd w:id="109"/>
      <w:bookmarkEnd w:id="110"/>
      <w:bookmarkEnd w:id="111"/>
      <w:bookmarkEnd w:id="112"/>
    </w:p>
    <w:p w:rsidR="00B95D2A" w:rsidRPr="00883125" w:rsidRDefault="00B95D2A" w:rsidP="00B95D2A">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B95D2A" w:rsidRPr="00883125" w:rsidRDefault="00B95D2A" w:rsidP="00B95D2A">
      <w:r w:rsidRPr="00883125">
        <w:t>The CCP</w:t>
      </w:r>
      <w:r>
        <w:t xml:space="preserve"> for the NSW electricity distribution network</w:t>
      </w:r>
      <w:r w:rsidRPr="00883125">
        <w:t xml:space="preserve">'s view suggests that we should take into account the interrelationship with the corporate tax allowance when determining the value of imputation credits. The CCP </w:t>
      </w:r>
      <w:r>
        <w:t xml:space="preserve">for the NSW electricity network </w:t>
      </w:r>
      <w:r w:rsidRPr="00883125">
        <w:t>submitted evidence that our benchmark tax allowance was substantially higher than the corporate tax actually paid by service providers.</w:t>
      </w:r>
      <w:r w:rsidRPr="00883125">
        <w:rPr>
          <w:rStyle w:val="FootnoteReference"/>
        </w:rPr>
        <w:footnoteReference w:id="62"/>
      </w:r>
      <w:r w:rsidRPr="00883125">
        <w:t xml:space="preserve"> The CCP </w:t>
      </w:r>
      <w:r>
        <w:t xml:space="preserve">for the NSW electricity network </w:t>
      </w:r>
      <w:r w:rsidRPr="00883125">
        <w:t>then concluded:</w:t>
      </w:r>
      <w:r w:rsidRPr="00883125">
        <w:rPr>
          <w:rStyle w:val="FootnoteReference"/>
        </w:rPr>
        <w:footnoteReference w:id="63"/>
      </w:r>
    </w:p>
    <w:p w:rsidR="00B95D2A" w:rsidRPr="00883125" w:rsidRDefault="00B95D2A" w:rsidP="00B95D2A">
      <w:pPr>
        <w:pStyle w:val="AERquote"/>
      </w:pPr>
      <w:r w:rsidRPr="00883125">
        <w:lastRenderedPageBreak/>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B95D2A" w:rsidRPr="00883125" w:rsidRDefault="00B95D2A" w:rsidP="00B95D2A">
      <w:r w:rsidRPr="00883125">
        <w:t>We agree with the CCP</w:t>
      </w:r>
      <w:r>
        <w:t xml:space="preserve"> for the NSW electricity network</w:t>
      </w:r>
      <w:r w:rsidRPr="00883125">
        <w:t xml:space="preserve">'s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w:t>
      </w:r>
      <w:r>
        <w:t>final</w:t>
      </w:r>
      <w:r w:rsidRPr="00883125">
        <w:t xml:space="preserve">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B95D2A" w:rsidRPr="006E09A5" w:rsidRDefault="00B95D2A" w:rsidP="00B95D2A">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B95D2A" w:rsidRPr="00B95D2A" w:rsidRDefault="00B95D2A" w:rsidP="00B95D2A">
      <w:pPr>
        <w:pStyle w:val="Heading3"/>
      </w:pPr>
      <w:bookmarkStart w:id="113" w:name="_Toc451842240"/>
      <w:bookmarkStart w:id="114" w:name="_Toc451938296"/>
      <w:bookmarkStart w:id="115" w:name="_Toc456614279"/>
      <w:bookmarkStart w:id="116" w:name="_Toc462823302"/>
      <w:bookmarkStart w:id="117" w:name="_Toc479693947"/>
      <w:bookmarkStart w:id="118" w:name="_Toc480815601"/>
      <w:r w:rsidRPr="00883125">
        <w:t>Expert reports</w:t>
      </w:r>
      <w:bookmarkEnd w:id="113"/>
      <w:bookmarkEnd w:id="114"/>
      <w:bookmarkEnd w:id="115"/>
      <w:bookmarkEnd w:id="116"/>
      <w:bookmarkEnd w:id="117"/>
      <w:bookmarkEnd w:id="118"/>
    </w:p>
    <w:p w:rsidR="00B95D2A" w:rsidRPr="00883125" w:rsidRDefault="00B95D2A" w:rsidP="00B95D2A">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B95D2A" w:rsidRPr="00883125" w:rsidRDefault="00B95D2A" w:rsidP="00B95D2A">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B95D2A" w:rsidRPr="001D37D5" w:rsidRDefault="00B95D2A" w:rsidP="00B95D2A">
      <w:pPr>
        <w:pStyle w:val="AERbulletlistfirststyle"/>
      </w:pPr>
      <w:r w:rsidRPr="00883125">
        <w:t>the May 2014, February 2015,</w:t>
      </w:r>
      <w:r w:rsidRPr="001D37D5">
        <w:t xml:space="preserve"> June 2015</w:t>
      </w:r>
      <w:r>
        <w:t>,</w:t>
      </w:r>
      <w:r w:rsidR="00E729A5">
        <w:t xml:space="preserve"> </w:t>
      </w:r>
      <w:r w:rsidRPr="001D37D5">
        <w:t xml:space="preserve">January 2016 </w:t>
      </w:r>
      <w:r>
        <w:t xml:space="preserve">and September 2016 </w:t>
      </w:r>
      <w:r w:rsidRPr="001D37D5">
        <w:t>reports by Professor Stephen Gray that were commissioned by service providers.</w:t>
      </w:r>
      <w:r w:rsidRPr="001D37D5">
        <w:rPr>
          <w:rStyle w:val="FootnoteReference"/>
        </w:rPr>
        <w:footnoteReference w:id="67"/>
      </w:r>
    </w:p>
    <w:p w:rsidR="00B95D2A" w:rsidRPr="001D37D5" w:rsidRDefault="00B95D2A" w:rsidP="00B95D2A">
      <w:pPr>
        <w:pStyle w:val="AERbulletlistfirststyle"/>
      </w:pPr>
      <w:r w:rsidRPr="00883125">
        <w:t>the March 2015, April 2015 and June 2015 reports by NERA Economic Consulting (NERA) that were commissioned by service providers.</w:t>
      </w:r>
      <w:r w:rsidRPr="001D37D5">
        <w:rPr>
          <w:rStyle w:val="FootnoteReference"/>
        </w:rPr>
        <w:footnoteReference w:id="68"/>
      </w:r>
    </w:p>
    <w:p w:rsidR="00B95D2A" w:rsidRPr="001D37D5" w:rsidRDefault="00B95D2A" w:rsidP="00B95D2A">
      <w:pPr>
        <w:pStyle w:val="AERbulletlistfirststyle"/>
      </w:pPr>
      <w:r w:rsidRPr="00883125">
        <w:lastRenderedPageBreak/>
        <w:t>the November 2013 and March 2014 reports by Associate Professor Lally that were commissioned by the Queensland Competition Authority.</w:t>
      </w:r>
      <w:r w:rsidRPr="001D37D5">
        <w:rPr>
          <w:rStyle w:val="FootnoteReference"/>
        </w:rPr>
        <w:footnoteReference w:id="69"/>
      </w:r>
    </w:p>
    <w:p w:rsidR="00B95D2A" w:rsidRPr="001D37D5" w:rsidRDefault="00B95D2A" w:rsidP="00B95D2A">
      <w:pPr>
        <w:pStyle w:val="AERbulletlistfirststyle"/>
      </w:pPr>
      <w:r w:rsidRPr="00883125">
        <w:t>an October 2013 review of a network rail access undertaking by Professor Michael McKenzie of the University of Liverpool and Associate Professor Graham Partington of the University of Sydney.</w:t>
      </w:r>
      <w:r w:rsidRPr="001D37D5">
        <w:rPr>
          <w:rStyle w:val="FootnoteReference"/>
        </w:rPr>
        <w:footnoteReference w:id="70"/>
      </w:r>
      <w:r w:rsidRPr="001D37D5">
        <w:t xml:space="preserve"> This review was commissioned by the Queensland Resources Council and submitted to the Queensland Competition Authority.</w:t>
      </w:r>
    </w:p>
    <w:p w:rsidR="00B95D2A" w:rsidRPr="001D37D5" w:rsidRDefault="00B95D2A" w:rsidP="00B95D2A">
      <w:pPr>
        <w:pStyle w:val="AERbulletlistfirststyle"/>
      </w:pPr>
      <w:r w:rsidRPr="00883125">
        <w:t>a September 2013 report on tax statistics by Dr. Neville Hathaway that was commissioned by the Energy Networks Association.</w:t>
      </w:r>
      <w:r w:rsidRPr="001D37D5">
        <w:rPr>
          <w:rStyle w:val="FootnoteReference"/>
        </w:rPr>
        <w:footnoteReference w:id="71"/>
      </w:r>
    </w:p>
    <w:p w:rsidR="00B95D2A" w:rsidRPr="001D37D5" w:rsidRDefault="00B95D2A" w:rsidP="00B95D2A">
      <w:pPr>
        <w:pStyle w:val="AERbulletlistfirststyle"/>
      </w:pPr>
      <w:r w:rsidRPr="00883125">
        <w:t>a June 2013 report on the distribution rate by NERA that was commissioned by the Energy Networks Association.</w:t>
      </w:r>
      <w:r w:rsidRPr="001D37D5">
        <w:rPr>
          <w:rStyle w:val="FootnoteReference"/>
        </w:rPr>
        <w:footnoteReference w:id="72"/>
      </w:r>
    </w:p>
    <w:p w:rsidR="00B95D2A" w:rsidRPr="00B95D2A" w:rsidRDefault="00B95D2A" w:rsidP="00B95D2A">
      <w:pPr>
        <w:pStyle w:val="Heading3"/>
      </w:pPr>
      <w:bookmarkStart w:id="119" w:name="_Ref415048973"/>
      <w:bookmarkStart w:id="120" w:name="_Toc451842241"/>
      <w:bookmarkStart w:id="121" w:name="_Toc451938297"/>
      <w:bookmarkStart w:id="122" w:name="_Toc456614280"/>
      <w:bookmarkStart w:id="123" w:name="_Toc462823303"/>
      <w:bookmarkStart w:id="124" w:name="_Toc479693948"/>
      <w:bookmarkStart w:id="125" w:name="_Toc480815602"/>
      <w:r w:rsidRPr="00883125">
        <w:t>Approach to determining the value of imputation credits</w:t>
      </w:r>
      <w:bookmarkEnd w:id="119"/>
      <w:bookmarkEnd w:id="120"/>
      <w:bookmarkEnd w:id="121"/>
      <w:bookmarkEnd w:id="122"/>
      <w:bookmarkEnd w:id="123"/>
      <w:bookmarkEnd w:id="124"/>
      <w:bookmarkEnd w:id="125"/>
    </w:p>
    <w:p w:rsidR="00B95D2A" w:rsidRPr="00883125" w:rsidRDefault="00B95D2A" w:rsidP="00B95D2A">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B95D2A" w:rsidRPr="001D37D5" w:rsidRDefault="00B95D2A" w:rsidP="00B95D2A">
      <w:pPr>
        <w:pStyle w:val="AERbulletlistfirststyle"/>
      </w:pPr>
      <w:r>
        <w:t>T</w:t>
      </w:r>
      <w:r w:rsidRPr="001D37D5">
        <w:t xml:space="preserve">he requirements of the NER/NGR—see section </w:t>
      </w:r>
      <w:r w:rsidRPr="001D37D5">
        <w:fldChar w:fldCharType="begin"/>
      </w:r>
      <w:r w:rsidRPr="001D37D5">
        <w:instrText xml:space="preserve"> REF _Ref400272912 \r \h </w:instrText>
      </w:r>
      <w:r w:rsidRPr="001D37D5">
        <w:fldChar w:fldCharType="separate"/>
      </w:r>
      <w:r w:rsidR="003E419A">
        <w:t>4.3.1</w:t>
      </w:r>
      <w:r w:rsidRPr="001D37D5">
        <w:fldChar w:fldCharType="end"/>
      </w:r>
      <w:r w:rsidRPr="001D37D5">
        <w:t>.</w:t>
      </w:r>
    </w:p>
    <w:p w:rsidR="00B95D2A" w:rsidRPr="001D37D5" w:rsidRDefault="00B95D2A" w:rsidP="00B95D2A">
      <w:pPr>
        <w:pStyle w:val="AERbulletlistfirststyle"/>
      </w:pPr>
      <w:r>
        <w:t>T</w:t>
      </w:r>
      <w:r w:rsidRPr="001D37D5">
        <w:t>he role of the value of the imputation credits in the revenue building block framework—this suggests that the value of imputation credits is intended to reflect the value of imputation credits to investors in the benchmark efficient entity.</w:t>
      </w:r>
      <w:r w:rsidRPr="001D37D5">
        <w:rPr>
          <w:rStyle w:val="FootnoteReference"/>
        </w:rPr>
        <w:footnoteReference w:id="74"/>
      </w:r>
    </w:p>
    <w:p w:rsidR="00B95D2A" w:rsidRPr="001D37D5" w:rsidRDefault="00B95D2A" w:rsidP="00B95D2A">
      <w:pPr>
        <w:pStyle w:val="AERbulletlistfirststyle"/>
      </w:pPr>
      <w:r>
        <w:t>R</w:t>
      </w:r>
      <w:r w:rsidRPr="001D37D5">
        <w:t>elevant academic literature (Officer)—the framework developed in a 1994 paper by Officer is widely recognised as providing the basis for the value of imputation credits in the building block framework.</w:t>
      </w:r>
      <w:r w:rsidRPr="001D37D5">
        <w:rPr>
          <w:rStyle w:val="FootnoteReference"/>
        </w:rPr>
        <w:footnoteReference w:id="75"/>
      </w:r>
      <w:r w:rsidRPr="001D37D5">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B95D2A" w:rsidRPr="001D37D5" w:rsidRDefault="00B95D2A" w:rsidP="00B95D2A">
      <w:pPr>
        <w:pStyle w:val="AERbulletlistfirststyle"/>
      </w:pPr>
      <w:r>
        <w:lastRenderedPageBreak/>
        <w:t>Relevant academic literature (Monkhouse)—t</w:t>
      </w:r>
      <w:r w:rsidRPr="001D37D5">
        <w:t>he work of Monkhouse (and others) extends the Officer framework, and shows that the value of imputation credits can be estimated as the product of two parameters:</w:t>
      </w:r>
    </w:p>
    <w:p w:rsidR="00B95D2A" w:rsidRPr="00883125" w:rsidRDefault="00B95D2A" w:rsidP="00B95D2A">
      <w:pPr>
        <w:pStyle w:val="AERbulletlistsecondstyle"/>
      </w:pPr>
      <w:r w:rsidRPr="00883125">
        <w:t xml:space="preserve">the proportion of imputation credits generated that is distributed to investors (the distribution rate) </w:t>
      </w:r>
    </w:p>
    <w:p w:rsidR="00B95D2A" w:rsidRPr="00883125" w:rsidRDefault="00B95D2A" w:rsidP="00B95D2A">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B95D2A" w:rsidRPr="00883125" w:rsidRDefault="00B95D2A" w:rsidP="00B95D2A">
      <w:pPr>
        <w:pStyle w:val="ListContinue"/>
      </w:pPr>
      <w:r w:rsidRPr="00883125">
        <w:t>Consistent with this literature, we determine the value of imputation credits as the product of these two parameters.</w:t>
      </w:r>
    </w:p>
    <w:p w:rsidR="00B95D2A" w:rsidRPr="001D37D5" w:rsidRDefault="00B95D2A" w:rsidP="00B95D2A">
      <w:pPr>
        <w:pStyle w:val="AERbulletlistfirststyle"/>
      </w:pPr>
      <w:r>
        <w:t>A</w:t>
      </w:r>
      <w:r w:rsidRPr="001D37D5">
        <w:t xml:space="preserve"> wide range of relevant evidence—we use this range of evidence to estimate the distribution rate and utilisation rate. In particular:</w:t>
      </w:r>
    </w:p>
    <w:p w:rsidR="00B95D2A" w:rsidRDefault="00B95D2A" w:rsidP="00B95D2A">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B95D2A" w:rsidRPr="00883125" w:rsidRDefault="00B95D2A" w:rsidP="00B95D2A">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B95D2A" w:rsidRPr="00883125" w:rsidRDefault="00B95D2A" w:rsidP="00B95D2A">
      <w:pPr>
        <w:pStyle w:val="AERbulletlistthirdstyle"/>
      </w:pPr>
      <w:r w:rsidRPr="00883125">
        <w:t>the proportion of Australian equity held by domestic investors (the 'equity ownership approach')</w:t>
      </w:r>
      <w:r>
        <w:rPr>
          <w:rStyle w:val="FootnoteReference"/>
        </w:rPr>
        <w:footnoteReference w:id="78"/>
      </w:r>
    </w:p>
    <w:p w:rsidR="00B95D2A" w:rsidRPr="00883125" w:rsidRDefault="00B95D2A" w:rsidP="00B95D2A">
      <w:pPr>
        <w:pStyle w:val="AERbulletlistthirdstyle"/>
      </w:pPr>
      <w:r w:rsidRPr="00883125">
        <w:t>the reported value of credits utilised by investors in Australian Taxation Office (ATO) statistics ('tax statistics')</w:t>
      </w:r>
      <w:r>
        <w:rPr>
          <w:rStyle w:val="FootnoteReference"/>
        </w:rPr>
        <w:footnoteReference w:id="79"/>
      </w:r>
    </w:p>
    <w:p w:rsidR="00B95D2A" w:rsidRDefault="00B95D2A" w:rsidP="00B95D2A">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B95D2A" w:rsidRDefault="00B95D2A" w:rsidP="00B95D2A">
      <w:pPr>
        <w:pStyle w:val="ListContinue3"/>
      </w:pPr>
      <w:r>
        <w:t>We place varying levels of reliance on these sources of evidence (which is supported by Lally).</w:t>
      </w:r>
      <w:r w:rsidRPr="00A316AD">
        <w:rPr>
          <w:rStyle w:val="FootnoteReference"/>
        </w:rPr>
        <w:footnoteReference w:id="81"/>
      </w:r>
      <w:r>
        <w:t xml:space="preserve"> That is:</w:t>
      </w:r>
    </w:p>
    <w:p w:rsidR="00B95D2A" w:rsidRDefault="00B95D2A" w:rsidP="00B95D2A">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B95D2A" w:rsidRDefault="00B95D2A" w:rsidP="00B95D2A">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B95D2A" w:rsidRDefault="00B95D2A" w:rsidP="00B95D2A">
      <w:pPr>
        <w:pStyle w:val="AERbulletlistthirdstyle"/>
      </w:pPr>
      <w:r>
        <w:lastRenderedPageBreak/>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p>
    <w:p w:rsidR="00B95D2A" w:rsidRDefault="00B95D2A" w:rsidP="00B95D2A">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B95D2A" w:rsidRPr="00883125" w:rsidRDefault="00B95D2A" w:rsidP="00B95D2A">
      <w:pPr>
        <w:pStyle w:val="AERbulletlistfirststyle"/>
      </w:pPr>
      <w:r w:rsidRPr="00883125">
        <w:t>the views of experts—experts differ in their interpretations of the:</w:t>
      </w:r>
    </w:p>
    <w:p w:rsidR="00B95D2A" w:rsidRPr="00883125" w:rsidRDefault="00B95D2A" w:rsidP="00B95D2A">
      <w:pPr>
        <w:pStyle w:val="AERbulletlistsecondstyle"/>
      </w:pPr>
      <w:r w:rsidRPr="00883125">
        <w:t>role of the value of imputation credits in the regulatory framework</w:t>
      </w:r>
    </w:p>
    <w:p w:rsidR="00B95D2A" w:rsidRPr="00883125" w:rsidRDefault="00B95D2A" w:rsidP="00B95D2A">
      <w:pPr>
        <w:pStyle w:val="AERbulletlistsecondstyle"/>
      </w:pPr>
      <w:r w:rsidRPr="00883125">
        <w:t>underlying theory and academic literature</w:t>
      </w:r>
    </w:p>
    <w:p w:rsidR="00B95D2A" w:rsidRDefault="00B95D2A" w:rsidP="00B95D2A">
      <w:pPr>
        <w:pStyle w:val="AERbulletlistsecondstyle"/>
      </w:pPr>
      <w:r w:rsidRPr="00883125">
        <w:t>relevance of different estimation techniques, particularly for the utilisation rate</w:t>
      </w:r>
      <w:r>
        <w:t>.</w:t>
      </w:r>
    </w:p>
    <w:p w:rsidR="00132D43" w:rsidRDefault="00132D43" w:rsidP="00132D43">
      <w:pPr>
        <w:pStyle w:val="Heading2"/>
      </w:pPr>
      <w:bookmarkStart w:id="126" w:name="_Toc480815603"/>
      <w:r>
        <w:t xml:space="preserve">Reasons for </w:t>
      </w:r>
      <w:r w:rsidR="00445F0C">
        <w:t>final</w:t>
      </w:r>
      <w:r>
        <w:t xml:space="preserve"> decision</w:t>
      </w:r>
      <w:bookmarkEnd w:id="126"/>
    </w:p>
    <w:p w:rsidR="00B95D2A" w:rsidRPr="005764F6" w:rsidRDefault="00B95D2A" w:rsidP="00B95D2A">
      <w:pPr>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3E419A">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B95D2A" w:rsidRPr="001D37D5" w:rsidRDefault="00B95D2A" w:rsidP="00B95D2A">
      <w:pPr>
        <w:pStyle w:val="AERbulletlistfirststyle"/>
      </w:pPr>
      <w:r w:rsidRPr="005764F6">
        <w:t xml:space="preserve">It </w:t>
      </w:r>
      <w:r w:rsidRPr="001D37D5">
        <w:t>is within the range of values indicated by the evidence, and the relevance of the evidence is supported by the expert opinion of Handley, Lally, and McKenzie and Partington.</w:t>
      </w:r>
    </w:p>
    <w:p w:rsidR="00B95D2A" w:rsidRPr="001D37D5" w:rsidRDefault="00B95D2A" w:rsidP="00B95D2A">
      <w:pPr>
        <w:pStyle w:val="AERbulletlistfirststyle"/>
      </w:pPr>
      <w:r w:rsidRPr="005764F6">
        <w:t xml:space="preserve">It </w:t>
      </w:r>
      <w:r w:rsidRPr="001D37D5">
        <w:t>primarily reflects an estimate of the utilisation rate from the equity ownership approach. Handley considered this the most important approach to estimating the utilisation rate, relative to the alternatives of tax statistics and implied market value studies.</w:t>
      </w:r>
      <w:r w:rsidRPr="001D37D5">
        <w:rPr>
          <w:rStyle w:val="FootnoteReference"/>
        </w:rPr>
        <w:footnoteReference w:id="84"/>
      </w:r>
      <w:r w:rsidRPr="001D37D5">
        <w:t xml:space="preserve"> The equity ownership approach was Lally's second preference after his recommendation for a utilisation rate of 1.</w:t>
      </w:r>
      <w:r w:rsidRPr="001D37D5">
        <w:rPr>
          <w:rStyle w:val="FootnoteReference"/>
        </w:rPr>
        <w:footnoteReference w:id="85"/>
      </w:r>
    </w:p>
    <w:p w:rsidR="00B95D2A" w:rsidRPr="001D37D5" w:rsidRDefault="00B95D2A" w:rsidP="00B95D2A">
      <w:pPr>
        <w:pStyle w:val="AERbulletlistfirststyle"/>
      </w:pPr>
      <w:r w:rsidRPr="005764F6">
        <w:lastRenderedPageBreak/>
        <w:t xml:space="preserve">It </w:t>
      </w:r>
      <w:r w:rsidRPr="001D37D5">
        <w:t>is within the 'preferred' range for the value of imputation credits (0.4 to 0.5) in Handley's September 2014 advice.</w:t>
      </w:r>
      <w:r w:rsidRPr="001D37D5">
        <w:rPr>
          <w:rStyle w:val="FootnoteReference"/>
        </w:rPr>
        <w:footnoteReference w:id="86"/>
      </w:r>
    </w:p>
    <w:p w:rsidR="00B95D2A" w:rsidRPr="001D37D5" w:rsidRDefault="00B95D2A" w:rsidP="00B95D2A">
      <w:pPr>
        <w:pStyle w:val="AERbulletlistfirststyle"/>
      </w:pPr>
      <w:r w:rsidRPr="005764F6">
        <w:t xml:space="preserve">It is </w:t>
      </w:r>
      <w:r w:rsidRPr="001D37D5">
        <w:t>slightly below the Lally's recommended application of the equity ownership approach.</w:t>
      </w:r>
      <w:r w:rsidRPr="001D37D5">
        <w:rPr>
          <w:rStyle w:val="FootnoteReference"/>
        </w:rPr>
        <w:footnoteReference w:id="87"/>
      </w:r>
      <w:r w:rsidRPr="001D37D5">
        <w:t xml:space="preserve"> This suggests a gamma of at least 0.50 based on Lally's preferred estimate of the distribution rate and using the equity ownership data based on all equity (which L</w:t>
      </w:r>
      <w:r w:rsidR="00E729A5">
        <w:t>ally prefers).</w:t>
      </w:r>
    </w:p>
    <w:p w:rsidR="00B95D2A" w:rsidRPr="001D37D5" w:rsidRDefault="00B95D2A" w:rsidP="00B95D2A">
      <w:pPr>
        <w:pStyle w:val="AERbulletlistfirststyle"/>
      </w:pPr>
      <w:r w:rsidRPr="005764F6">
        <w:t>It is consistent with providing regulatory certainty given it is consistent with the value we used for all regulatory decisions released in 2015</w:t>
      </w:r>
      <w:r>
        <w:t xml:space="preserve"> and 2016.</w:t>
      </w:r>
    </w:p>
    <w:p w:rsidR="00B95D2A" w:rsidRPr="001D37D5" w:rsidRDefault="00B95D2A" w:rsidP="00B95D2A">
      <w:pPr>
        <w:pStyle w:val="AERbulletlistfirststyle"/>
      </w:pPr>
      <w:r w:rsidRPr="005764F6">
        <w:t xml:space="preserve">Based </w:t>
      </w:r>
      <w:r w:rsidRPr="001D37D5">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1D37D5">
        <w:rPr>
          <w:rStyle w:val="FootnoteReference"/>
        </w:rPr>
        <w:footnoteReference w:id="88"/>
      </w:r>
      <w:r w:rsidRPr="001D37D5">
        <w:t xml:space="preserve"> The imprecision of determining the value of imputation credits was emphasised by Handley.</w:t>
      </w:r>
      <w:r w:rsidRPr="001D37D5">
        <w:rPr>
          <w:rStyle w:val="FootnoteReference"/>
        </w:rPr>
        <w:footnoteReference w:id="89"/>
      </w:r>
    </w:p>
    <w:p w:rsidR="00B95D2A" w:rsidRPr="005764F6" w:rsidRDefault="00B95D2A" w:rsidP="00B95D2A">
      <w:pPr>
        <w:numPr>
          <w:ilvl w:val="0"/>
          <w:numId w:val="24"/>
        </w:numPr>
        <w:rPr>
          <w:rStyle w:val="AERbody"/>
        </w:rPr>
      </w:pPr>
      <w:r w:rsidRPr="005764F6">
        <w:rPr>
          <w:rStyle w:val="AERbody"/>
        </w:rPr>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B95D2A" w:rsidRPr="005764F6" w:rsidRDefault="00B95D2A" w:rsidP="00B95D2A">
      <w:pPr>
        <w:numPr>
          <w:ilvl w:val="0"/>
          <w:numId w:val="24"/>
        </w:numPr>
        <w:rPr>
          <w:rStyle w:val="AERbody"/>
        </w:rPr>
      </w:pPr>
      <w:r w:rsidRPr="005764F6">
        <w:rPr>
          <w:rStyle w:val="AERbody"/>
        </w:rPr>
        <w:t xml:space="preserve">Further to the Guideline approach, in this </w:t>
      </w:r>
      <w:r>
        <w:rPr>
          <w:rStyle w:val="AERbody"/>
        </w:rPr>
        <w:t xml:space="preserve">final </w:t>
      </w:r>
      <w:r w:rsidRPr="005764F6">
        <w:rPr>
          <w:rStyle w:val="AERbody"/>
        </w:rPr>
        <w:t xml:space="preserve">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3E419A">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3E419A">
        <w:rPr>
          <w:rStyle w:val="AERbody"/>
        </w:rPr>
        <w:t>A.8.5</w:t>
      </w:r>
      <w:r w:rsidRPr="005764F6">
        <w:rPr>
          <w:rStyle w:val="AERbody"/>
        </w:rPr>
        <w:fldChar w:fldCharType="end"/>
      </w:r>
      <w:r w:rsidRPr="005764F6">
        <w:rPr>
          <w:rStyle w:val="AERbody"/>
        </w:rPr>
        <w:t>. We did not consider this issue in the Guideline.</w:t>
      </w:r>
    </w:p>
    <w:p w:rsidR="00B95D2A" w:rsidRPr="005764F6" w:rsidRDefault="00B95D2A" w:rsidP="00B95D2A">
      <w:pPr>
        <w:pStyle w:val="ListParagraph"/>
        <w:numPr>
          <w:ilvl w:val="0"/>
          <w:numId w:val="24"/>
        </w:numPr>
        <w:rPr>
          <w:rStyle w:val="AERbody"/>
        </w:rPr>
      </w:pPr>
      <w:r w:rsidRPr="00CF4EC3">
        <w:t>Lally considered that there is no necessity to combine estimates of the distribution rate and utilisation rate from the same dataset and good reason not for not doing so.</w:t>
      </w:r>
      <w:r w:rsidRPr="00CF4EC3">
        <w:rPr>
          <w:rStyle w:val="FootnoteReference"/>
        </w:rPr>
        <w:footnoteReference w:id="90"/>
      </w:r>
      <w:r w:rsidRPr="00CF4EC3">
        <w:t xml:space="preserve"> </w:t>
      </w:r>
      <w:r>
        <w:t xml:space="preserve">However, we note given Lally's advice our approach appears to lead to a conservative gamma estimate </w:t>
      </w:r>
      <w:r>
        <w:lastRenderedPageBreak/>
        <w:t>(in favour of the service provider)</w:t>
      </w:r>
      <w:r w:rsidRPr="00CF4EC3">
        <w:t xml:space="preserve">, as Lally considered that only listed firms should be used to determine the distribution rate and all equity </w:t>
      </w:r>
      <w:r>
        <w:t xml:space="preserve">firms </w:t>
      </w:r>
      <w:r w:rsidRPr="00CF4EC3">
        <w:t>should be used to estimate the utilisation value which result</w:t>
      </w:r>
      <w:r>
        <w:t>s</w:t>
      </w:r>
      <w:r w:rsidRPr="00CF4EC3">
        <w:t xml:space="preserve"> in a gamma estimate of 0.5</w:t>
      </w:r>
      <w:r>
        <w:t xml:space="preserve">. </w:t>
      </w:r>
      <w:r w:rsidRPr="005764F6">
        <w:rPr>
          <w:rStyle w:val="AERbody"/>
        </w:rPr>
        <w:t xml:space="preserve">Following </w:t>
      </w:r>
      <w:r>
        <w:rPr>
          <w:rStyle w:val="AERbody"/>
        </w:rPr>
        <w:t>Lally's most recent advice</w:t>
      </w:r>
      <w:r w:rsidRPr="005764F6">
        <w:rPr>
          <w:rStyle w:val="AERbody"/>
        </w:rPr>
        <w:t xml:space="preserve"> we </w:t>
      </w:r>
      <w:r>
        <w:rPr>
          <w:rStyle w:val="AERbody"/>
        </w:rPr>
        <w:t>remain of the view</w:t>
      </w:r>
      <w:r w:rsidRPr="005764F6">
        <w:rPr>
          <w:rStyle w:val="AERbody"/>
        </w:rPr>
        <w:t xml:space="preserve">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still consider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3E419A">
        <w:rPr>
          <w:rStyle w:val="AERbody"/>
        </w:rPr>
        <w:t>A.9.2</w:t>
      </w:r>
      <w:r w:rsidRPr="005764F6">
        <w:rPr>
          <w:rStyle w:val="AERbody"/>
        </w:rPr>
        <w:fldChar w:fldCharType="end"/>
      </w:r>
      <w:r w:rsidRPr="005764F6">
        <w:rPr>
          <w:rStyle w:val="AERbody"/>
        </w:rPr>
        <w:t>.</w:t>
      </w:r>
    </w:p>
    <w:p w:rsidR="00B95D2A" w:rsidRPr="005764F6" w:rsidRDefault="00B95D2A" w:rsidP="00B95D2A">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p>
    <w:p w:rsidR="00B95D2A" w:rsidRPr="005764F6" w:rsidRDefault="00B95D2A" w:rsidP="00B95D2A">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3E419A" w:rsidRPr="003E419A">
        <w:rPr>
          <w:rStyle w:val="AERbody"/>
        </w:rPr>
        <w:t>table 4</w:t>
      </w:r>
      <w:r w:rsidR="003E419A" w:rsidRPr="003E419A">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3E419A" w:rsidRPr="003E419A">
        <w:rPr>
          <w:rStyle w:val="AERbody"/>
        </w:rPr>
        <w:t>table 4</w:t>
      </w:r>
      <w:r w:rsidR="003E419A" w:rsidRPr="003E419A">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B95D2A" w:rsidRPr="00883125" w:rsidRDefault="00B95D2A" w:rsidP="00B95D2A">
      <w:pPr>
        <w:pStyle w:val="Caption"/>
      </w:pPr>
      <w:bookmarkStart w:id="127" w:name="_Ref400900366"/>
      <w:bookmarkStart w:id="128" w:name="_Ref400900335"/>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3</w:t>
      </w:r>
      <w:r w:rsidRPr="001D37D5">
        <w:fldChar w:fldCharType="end"/>
      </w:r>
      <w:bookmarkEnd w:id="127"/>
      <w:r w:rsidRPr="00883125">
        <w:tab/>
        <w:t>Estimates of the value of imputation credits—evidence from all equity</w:t>
      </w:r>
      <w:bookmarkEnd w:id="128"/>
    </w:p>
    <w:tbl>
      <w:tblPr>
        <w:tblStyle w:val="AERtable-numbers"/>
        <w:tblW w:w="0" w:type="auto"/>
        <w:tblLook w:val="04A0" w:firstRow="1" w:lastRow="0" w:firstColumn="1" w:lastColumn="0" w:noHBand="0" w:noVBand="1"/>
      </w:tblPr>
      <w:tblGrid>
        <w:gridCol w:w="3085"/>
        <w:gridCol w:w="2052"/>
        <w:gridCol w:w="2052"/>
        <w:gridCol w:w="2053"/>
      </w:tblGrid>
      <w:tr w:rsidR="00B95D2A"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rsidRPr="00883125">
              <w:t xml:space="preserve">Evidence on utilisation </w:t>
            </w:r>
            <w:r>
              <w:t>rate</w:t>
            </w:r>
          </w:p>
        </w:tc>
        <w:tc>
          <w:tcPr>
            <w:tcW w:w="2052"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B95D2A">
              <w:t>rate</w:t>
            </w:r>
          </w:p>
        </w:tc>
        <w:tc>
          <w:tcPr>
            <w:tcW w:w="2052"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883125">
              <w:t>Distribution</w:t>
            </w:r>
            <w:r w:rsidRPr="00B95D2A">
              <w:t xml:space="preserve"> rate</w:t>
            </w:r>
          </w:p>
        </w:tc>
        <w:tc>
          <w:tcPr>
            <w:tcW w:w="2053"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rsidRPr="00883125">
              <w:t>Equity ownership approach</w:t>
            </w:r>
          </w:p>
        </w:tc>
        <w:tc>
          <w:tcPr>
            <w:tcW w:w="205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B95D2A" w:rsidRDefault="00B95D2A" w:rsidP="00B95D2A">
            <w:r w:rsidRPr="000C3267">
              <w:t xml:space="preserve">Equity ownership approach (Lally recommended distribution </w:t>
            </w:r>
            <w:r w:rsidRPr="00B95D2A">
              <w:t>rate)</w:t>
            </w:r>
          </w:p>
        </w:tc>
        <w:tc>
          <w:tcPr>
            <w:tcW w:w="205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0C3267">
              <w:t>0.56 to 0.68</w:t>
            </w:r>
            <w:r w:rsidR="00EC2610">
              <w:rPr>
                <w:rStyle w:val="FootnoteReference"/>
              </w:rPr>
              <w:footnoteReference w:id="93"/>
            </w:r>
          </w:p>
        </w:tc>
        <w:tc>
          <w:tcPr>
            <w:tcW w:w="205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0C3267">
              <w:t>0.8</w:t>
            </w:r>
            <w:r w:rsidRPr="00B95D2A">
              <w:t>3</w:t>
            </w:r>
          </w:p>
        </w:tc>
        <w:tc>
          <w:tcPr>
            <w:tcW w:w="2053"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0C3267">
              <w:t>0.4</w:t>
            </w:r>
            <w:r w:rsidRPr="00B95D2A">
              <w:t>6 to 0.56</w:t>
            </w:r>
            <w:r w:rsidRPr="00B95D2A">
              <w:rPr>
                <w:rStyle w:val="FootnoteReference"/>
              </w:rPr>
              <w:footnoteReference w:id="94"/>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rsidRPr="00883125">
              <w:t>Tax statistics</w:t>
            </w:r>
          </w:p>
        </w:tc>
        <w:tc>
          <w:tcPr>
            <w:tcW w:w="205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0.34</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B95D2A" w:rsidRPr="00883125" w:rsidRDefault="00B95D2A" w:rsidP="00B95D2A">
            <w:pPr>
              <w:numPr>
                <w:ilvl w:val="0"/>
                <w:numId w:val="24"/>
              </w:numPr>
            </w:pPr>
            <w:r w:rsidRPr="00883125">
              <w:t>Tax statistics</w:t>
            </w:r>
            <w:r>
              <w:t xml:space="preserve"> (Lally recommended distribution rate)</w:t>
            </w:r>
          </w:p>
        </w:tc>
        <w:tc>
          <w:tcPr>
            <w:tcW w:w="205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t>0.40</w:t>
            </w:r>
          </w:p>
        </w:tc>
      </w:tr>
    </w:tbl>
    <w:p w:rsidR="00B95D2A" w:rsidRPr="00883125" w:rsidRDefault="00B95D2A" w:rsidP="00B95D2A">
      <w:pPr>
        <w:pStyle w:val="AERtablesource"/>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29" w:name="_Ref400900373"/>
    </w:p>
    <w:p w:rsidR="00B95D2A" w:rsidRPr="00883125" w:rsidRDefault="00B95D2A" w:rsidP="00B95D2A">
      <w:pPr>
        <w:pStyle w:val="Caption"/>
      </w:pPr>
      <w:bookmarkStart w:id="130" w:name="_Ref404072148"/>
      <w:r w:rsidRPr="00883125">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4</w:t>
      </w:r>
      <w:r w:rsidRPr="001D37D5">
        <w:fldChar w:fldCharType="end"/>
      </w:r>
      <w:bookmarkEnd w:id="129"/>
      <w:bookmarkEnd w:id="130"/>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B95D2A"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B95D2A" w:rsidRPr="00883125" w:rsidRDefault="00B95D2A" w:rsidP="00B95D2A">
            <w:pPr>
              <w:numPr>
                <w:ilvl w:val="0"/>
                <w:numId w:val="24"/>
              </w:numPr>
            </w:pPr>
            <w:r w:rsidRPr="00883125">
              <w:t xml:space="preserve">Evidence on utilisation </w:t>
            </w:r>
            <w:r>
              <w:t>rate</w:t>
            </w:r>
          </w:p>
        </w:tc>
        <w:tc>
          <w:tcPr>
            <w:tcW w:w="2146"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2802" w:type="dxa"/>
          </w:tcPr>
          <w:p w:rsidR="00B95D2A" w:rsidRPr="00883125" w:rsidRDefault="00B95D2A" w:rsidP="00B95D2A">
            <w:pPr>
              <w:numPr>
                <w:ilvl w:val="0"/>
                <w:numId w:val="24"/>
              </w:numPr>
            </w:pPr>
            <w:r w:rsidRPr="00883125">
              <w:t>Equity ownership approach</w:t>
            </w:r>
          </w:p>
        </w:tc>
        <w:tc>
          <w:tcPr>
            <w:tcW w:w="2146"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B95D2A" w:rsidRPr="00B95D2A" w:rsidRDefault="00B95D2A" w:rsidP="00B95D2A">
            <w:r w:rsidRPr="00883125">
              <w:t>Implied market value studies</w:t>
            </w:r>
          </w:p>
          <w:p w:rsidR="00B95D2A" w:rsidRPr="00B95D2A" w:rsidRDefault="00B95D2A" w:rsidP="00B95D2A">
            <w:pPr>
              <w:rPr>
                <w:rStyle w:val="AERtextitalic"/>
              </w:rPr>
            </w:pPr>
            <w:r w:rsidRPr="00883125">
              <w:rPr>
                <w:rStyle w:val="AERtextitalic"/>
              </w:rPr>
              <w:t>SFG dividend drop off study</w:t>
            </w:r>
          </w:p>
        </w:tc>
        <w:tc>
          <w:tcPr>
            <w:tcW w:w="2146" w:type="dxa"/>
            <w:vAlign w:val="top"/>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t>0 to 1</w:t>
            </w:r>
          </w:p>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B95D2A">
              <w:rPr>
                <w:rStyle w:val="AERsuperscript"/>
              </w:rPr>
              <w:t>(a)</w:t>
            </w:r>
          </w:p>
        </w:tc>
        <w:tc>
          <w:tcPr>
            <w:tcW w:w="2147" w:type="dxa"/>
            <w:vAlign w:val="top"/>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t>0 to 0.75</w:t>
            </w:r>
          </w:p>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883125">
              <w:rPr>
                <w:rStyle w:val="AERtextitalic"/>
              </w:rPr>
              <w:t xml:space="preserve">0.26 </w:t>
            </w:r>
            <w:r w:rsidRPr="00B95D2A">
              <w:rPr>
                <w:rStyle w:val="AERtextitalic"/>
              </w:rPr>
              <w:t>(0.30)</w:t>
            </w:r>
            <w:r w:rsidRPr="00B95D2A">
              <w:rPr>
                <w:rStyle w:val="AERsuperscript"/>
              </w:rPr>
              <w:t>(b)</w:t>
            </w:r>
          </w:p>
        </w:tc>
      </w:tr>
    </w:tbl>
    <w:p w:rsidR="00B95D2A" w:rsidRPr="00883125" w:rsidRDefault="00B95D2A" w:rsidP="00B95D2A">
      <w:pPr>
        <w:pStyle w:val="AERtablesource"/>
      </w:pPr>
      <w:r w:rsidRPr="00883125">
        <w:t>Source:</w:t>
      </w:r>
      <w:r w:rsidRPr="00883125">
        <w:tab/>
        <w:t>AER analysis.</w:t>
      </w:r>
    </w:p>
    <w:p w:rsidR="00B95D2A" w:rsidRDefault="00B95D2A" w:rsidP="00B95D2A">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B95D2A" w:rsidRPr="00883125" w:rsidRDefault="00B95D2A" w:rsidP="00B95D2A">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3E419A">
        <w:t>A.15.4</w:t>
      </w:r>
      <w:r>
        <w:fldChar w:fldCharType="end"/>
      </w:r>
      <w:r w:rsidRPr="00883125">
        <w:t xml:space="preserve">. </w:t>
      </w:r>
    </w:p>
    <w:p w:rsidR="00B95D2A" w:rsidRPr="005764F6" w:rsidRDefault="00B95D2A" w:rsidP="00B95D2A">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5"/>
      </w:r>
      <w:r w:rsidRPr="005764F6">
        <w:rPr>
          <w:rStyle w:val="AERbody"/>
        </w:rPr>
        <w:t xml:space="preserve"> From within these possible ranges, we choose a value for gamma of 0.4 based o</w:t>
      </w:r>
      <w:r w:rsidR="00E729A5">
        <w:rPr>
          <w:rStyle w:val="AERbody"/>
        </w:rPr>
        <w:t>n the following considerations:</w:t>
      </w:r>
    </w:p>
    <w:p w:rsidR="00B95D2A" w:rsidRPr="001D37D5" w:rsidRDefault="00B95D2A" w:rsidP="00B95D2A">
      <w:pPr>
        <w:pStyle w:val="AERbulletlistfirststyle"/>
      </w:pPr>
      <w:r w:rsidRPr="005764F6">
        <w:t>T</w:t>
      </w:r>
      <w:r w:rsidRPr="001D37D5">
        <w:t>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from the equity ownership approach with a distribution rate for listed equity from financial reports of the top 20 listed firms.</w:t>
      </w:r>
    </w:p>
    <w:p w:rsidR="00B95D2A" w:rsidRPr="001D37D5" w:rsidRDefault="00B95D2A" w:rsidP="00B95D2A">
      <w:pPr>
        <w:pStyle w:val="AERbulletlistfirststyle"/>
      </w:pPr>
      <w:r w:rsidRPr="005764F6">
        <w:t>T</w:t>
      </w:r>
      <w:r w:rsidRPr="001D37D5">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B95D2A" w:rsidRPr="001D37D5" w:rsidRDefault="00B95D2A" w:rsidP="00B95D2A">
      <w:pPr>
        <w:pStyle w:val="AERbulletlistfirststyle"/>
      </w:pPr>
      <w:r w:rsidRPr="005764F6">
        <w:t>The evidence from implied market value studies, on which we place even less reliance, suggests a value between 0 and 0.75. In particular, SFG's dividend drop off study</w:t>
      </w:r>
      <w:r w:rsidRPr="001D37D5" w:rsidDel="000467B0">
        <w:t xml:space="preserve"> </w:t>
      </w:r>
      <w:r w:rsidRPr="001D37D5">
        <w:t xml:space="preserve">suggests a value of 0.26 or 0.30. This is around the bottom end of the 'matched' equity ownership approach range of 0.28 to 0.47, below the overlap of 0.40 to 0.41, and well below Lally's recommended gamma estimate of at least 0.5. Evidence from implied </w:t>
      </w:r>
      <w:r w:rsidRPr="001D37D5">
        <w:lastRenderedPageBreak/>
        <w:t>market value studies more generally suggests the value could be higher than 0.5 or lower than 0.28.</w:t>
      </w:r>
    </w:p>
    <w:p w:rsidR="00B95D2A" w:rsidRPr="005764F6" w:rsidRDefault="00B95D2A" w:rsidP="00B95D2A">
      <w:pPr>
        <w:rPr>
          <w:rStyle w:val="AERbody"/>
        </w:rPr>
      </w:pPr>
      <w:r w:rsidRPr="005764F6">
        <w:rPr>
          <w:rStyle w:val="AERbody"/>
        </w:rPr>
        <w:t xml:space="preserve">On balance, we have considered it appropriate to continue to apply a value of imputation credits of 0.4 in this </w:t>
      </w:r>
      <w:r>
        <w:rPr>
          <w:rStyle w:val="AERbody"/>
        </w:rPr>
        <w:t xml:space="preserve">final </w:t>
      </w:r>
      <w:r w:rsidRPr="005764F6">
        <w:rPr>
          <w:rStyle w:val="AERbody"/>
        </w:rPr>
        <w:t>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B95D2A" w:rsidRPr="005764F6" w:rsidRDefault="00B95D2A" w:rsidP="00B95D2A">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w:t>
      </w:r>
      <w:r>
        <w:rPr>
          <w:rStyle w:val="FootnoteReference"/>
        </w:rPr>
        <w:footnoteReference w:id="96"/>
      </w:r>
      <w:r w:rsidRPr="005764F6">
        <w:rPr>
          <w:rStyle w:val="AERbody"/>
        </w:rPr>
        <w:t xml:space="preserve"> In maintaining the use of a gamma value of 0.4 we have given particular consideration to the desirability of regulatory certainty and predictability. We also note we have used a value of 0.4 for all decisions released in 2015 and </w:t>
      </w:r>
      <w:r>
        <w:rPr>
          <w:rStyle w:val="AERbody"/>
        </w:rPr>
        <w:t>2016</w:t>
      </w:r>
      <w:r w:rsidRPr="005764F6">
        <w:rPr>
          <w:rStyle w:val="AERbody"/>
        </w:rPr>
        <w:t xml:space="preserve">. Given these considerations, we would be reluctant to depart from the value of 0.4 used in our </w:t>
      </w:r>
      <w:r>
        <w:rPr>
          <w:rStyle w:val="AERbody"/>
        </w:rPr>
        <w:t>recent</w:t>
      </w:r>
      <w:r w:rsidRPr="005764F6">
        <w:rPr>
          <w:rStyle w:val="AERbody"/>
        </w:rPr>
        <w:t xml:space="preserve"> decision</w:t>
      </w:r>
      <w:r>
        <w:rPr>
          <w:rStyle w:val="AERbody"/>
        </w:rPr>
        <w:t>s</w:t>
      </w:r>
      <w:r w:rsidRPr="005764F6">
        <w:rPr>
          <w:rStyle w:val="AERbody"/>
        </w:rPr>
        <w:t xml:space="preserve"> without broad stakeholder consultation. We also </w:t>
      </w:r>
      <w:r>
        <w:rPr>
          <w:rStyle w:val="AERbody"/>
        </w:rPr>
        <w:t>remain of the view</w:t>
      </w:r>
      <w:r w:rsidRPr="005764F6">
        <w:rPr>
          <w:rStyle w:val="AERbody"/>
        </w:rPr>
        <w:t xml:space="preserve"> Lally's </w:t>
      </w:r>
      <w:r>
        <w:rPr>
          <w:rStyle w:val="AERbody"/>
        </w:rPr>
        <w:t>advice does not indicate</w:t>
      </w:r>
      <w:r w:rsidRPr="005764F6">
        <w:rPr>
          <w:rStyle w:val="AERbody"/>
        </w:rPr>
        <w:t xml:space="preserve"> 0.4 is not open to us to choose when exercising our regulatory discretion.</w:t>
      </w:r>
    </w:p>
    <w:p w:rsidR="00B95D2A" w:rsidRPr="005764F6" w:rsidRDefault="00B95D2A" w:rsidP="00B95D2A">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B95D2A" w:rsidRPr="005764F6" w:rsidRDefault="00B95D2A" w:rsidP="00B95D2A">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3E419A">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3E419A" w:rsidRPr="003E419A">
        <w:rPr>
          <w:rStyle w:val="AERbody"/>
        </w:rPr>
        <w:t>table 4</w:t>
      </w:r>
      <w:r w:rsidR="003E419A" w:rsidRPr="003E419A">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3E419A" w:rsidRPr="003E419A">
        <w:rPr>
          <w:rStyle w:val="AERbody"/>
        </w:rPr>
        <w:t>table 4</w:t>
      </w:r>
      <w:r w:rsidR="003E419A" w:rsidRPr="003E419A">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D42E5D" w:rsidRDefault="00B95D2A" w:rsidP="00D42E5D">
      <w:r w:rsidRPr="005764F6">
        <w:rPr>
          <w:rStyle w:val="AERbody"/>
        </w:rPr>
        <w:t xml:space="preserve">We accept </w:t>
      </w:r>
      <w:r w:rsidR="00D42E5D">
        <w:rPr>
          <w:rStyle w:val="AERbody"/>
        </w:rPr>
        <w:t>TasNetworks</w:t>
      </w:r>
      <w:r w:rsidR="00121AD7">
        <w:rPr>
          <w:rStyle w:val="AERbody"/>
        </w:rPr>
        <w:t>'</w:t>
      </w:r>
      <w:r w:rsidR="00D42E5D" w:rsidRPr="005764F6">
        <w:rPr>
          <w:rStyle w:val="AERbody"/>
        </w:rPr>
        <w:t xml:space="preserve"> </w:t>
      </w:r>
      <w:r w:rsidRPr="005764F6">
        <w:rPr>
          <w:rStyle w:val="AERbody"/>
        </w:rPr>
        <w:t>proposed value of imputation credits of 0.</w:t>
      </w:r>
      <w:r>
        <w:rPr>
          <w:rStyle w:val="AERbody"/>
        </w:rPr>
        <w:t>4</w:t>
      </w:r>
      <w:r w:rsidRPr="005764F6">
        <w:rPr>
          <w:rStyle w:val="AERbody"/>
        </w:rPr>
        <w:t xml:space="preserve">. </w:t>
      </w:r>
      <w:r w:rsidR="00D42E5D">
        <w:t>We note TasNetworks</w:t>
      </w:r>
      <w:r w:rsidR="00121AD7">
        <w:t>'</w:t>
      </w:r>
      <w:r w:rsidR="00D42E5D">
        <w:t xml:space="preserve"> submission that the X-factor definition should be changed to allow for any changes in gamma, following the conclusion of the court proceedings relating to the merit review sought by ActewAGL Distribution, Ausgrid, Endeavour Energy, Essential Energy and Jemena Gas Networks.</w:t>
      </w:r>
      <w:r w:rsidR="00D42E5D">
        <w:rPr>
          <w:rStyle w:val="FootnoteReference"/>
        </w:rPr>
        <w:footnoteReference w:id="97"/>
      </w:r>
      <w:r w:rsidR="00D42E5D" w:rsidRPr="009B20EA">
        <w:rPr>
          <w:rStyle w:val="FootnoteReference"/>
        </w:rPr>
        <w:t xml:space="preserve"> </w:t>
      </w:r>
      <w:r w:rsidR="00D42E5D">
        <w:t xml:space="preserve"> However, as discussed in section </w:t>
      </w:r>
      <w:r w:rsidR="00D42E5D">
        <w:fldChar w:fldCharType="begin"/>
      </w:r>
      <w:r w:rsidR="00D42E5D">
        <w:instrText xml:space="preserve"> REF _Ref479785279 \r \h </w:instrText>
      </w:r>
      <w:r w:rsidR="00D42E5D">
        <w:fldChar w:fldCharType="separate"/>
      </w:r>
      <w:r w:rsidR="003E419A">
        <w:t>4.4.2</w:t>
      </w:r>
      <w:r w:rsidR="00D42E5D">
        <w:fldChar w:fldCharType="end"/>
      </w:r>
      <w:r w:rsidR="00D42E5D">
        <w:t xml:space="preserve">, we do not </w:t>
      </w:r>
      <w:r w:rsidR="00121AD7">
        <w:t xml:space="preserve">consider </w:t>
      </w:r>
      <w:r w:rsidR="00D42E5D">
        <w:t>such an approach is appropriate.</w:t>
      </w:r>
    </w:p>
    <w:p w:rsidR="00B95D2A" w:rsidRPr="000C3267" w:rsidRDefault="00B95D2A" w:rsidP="00B95D2A">
      <w:pPr>
        <w:rPr>
          <w:rStyle w:val="AERbody"/>
        </w:rPr>
      </w:pPr>
      <w:r w:rsidRPr="00DB68C3">
        <w:t xml:space="preserve">We </w:t>
      </w:r>
      <w:r w:rsidRPr="005764F6">
        <w:rPr>
          <w:rStyle w:val="AERbody"/>
        </w:rPr>
        <w:t xml:space="preserve">do not accept </w:t>
      </w:r>
      <w:r>
        <w:rPr>
          <w:rStyle w:val="AERbody"/>
        </w:rPr>
        <w:t xml:space="preserve">the recent Ausgrid Tribunals decision that </w:t>
      </w:r>
      <w:r w:rsidRPr="005764F6">
        <w:rPr>
          <w:rStyle w:val="AERbody"/>
        </w:rPr>
        <w:t>the</w:t>
      </w:r>
      <w:r>
        <w:rPr>
          <w:rStyle w:val="AERbody"/>
        </w:rPr>
        <w:t xml:space="preserve"> estimated</w:t>
      </w:r>
      <w:r w:rsidRPr="005764F6">
        <w:rPr>
          <w:rStyle w:val="AERbody"/>
        </w:rPr>
        <w:t xml:space="preserve"> utilisation rate of 0.35</w:t>
      </w:r>
      <w:r>
        <w:rPr>
          <w:rStyle w:val="AERbody"/>
        </w:rPr>
        <w:t xml:space="preserve"> from the SFG dividend drop off study should be used to estimate gamma</w:t>
      </w:r>
      <w:r w:rsidRPr="005764F6">
        <w:rPr>
          <w:rStyle w:val="AERbody"/>
        </w:rPr>
        <w:t>. This is because we do not consider it appropriate to rely exclusively on implied market value studies (or SFG's single dividend drop off study). This position is supported by a number of experts.</w:t>
      </w:r>
      <w:r w:rsidRPr="006D590A">
        <w:rPr>
          <w:rStyle w:val="FootnoteReference"/>
        </w:rPr>
        <w:footnoteReference w:id="98"/>
      </w:r>
      <w:r w:rsidRPr="000C3267">
        <w:rPr>
          <w:rStyle w:val="AERbody"/>
        </w:rPr>
        <w:t xml:space="preserve"> The South Australian Centre for Economic Studies suggested that dividend drop off studies be disregarded entirely.</w:t>
      </w:r>
      <w:r w:rsidRPr="006D590A">
        <w:rPr>
          <w:rStyle w:val="FootnoteReference"/>
        </w:rPr>
        <w:footnoteReference w:id="99"/>
      </w:r>
    </w:p>
    <w:p w:rsidR="00B95D2A" w:rsidRPr="00883125" w:rsidRDefault="00B95D2A" w:rsidP="00B95D2A">
      <w:pPr>
        <w:numPr>
          <w:ilvl w:val="0"/>
          <w:numId w:val="24"/>
        </w:numPr>
      </w:pPr>
      <w:r w:rsidRPr="00883125">
        <w:lastRenderedPageBreak/>
        <w:t>Even if we were to rely solely on the estimate of the utilisation rate of 0.35 from SFG's study, we consider that a value of imputation credits of 0.25 is unreasonable. This is because:</w:t>
      </w:r>
    </w:p>
    <w:p w:rsidR="00B95D2A" w:rsidRPr="001D37D5" w:rsidRDefault="00B95D2A" w:rsidP="00B95D2A">
      <w:pPr>
        <w:pStyle w:val="AERbulletlistfirststyle"/>
      </w:pPr>
      <w:r w:rsidRPr="005764F6">
        <w:t>Handley and Lally advised that the proper use of this estimate of the utilisation rate requires its adjustment to 0.4. We agree with this adjustment which is required to correct for the incorrect post</w:t>
      </w:r>
      <w:r>
        <w:t>-company pre-personal</w:t>
      </w:r>
      <w:r w:rsidRPr="001D37D5">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w:t>
      </w:r>
      <w:r>
        <w:t xml:space="preserve"> (pre-personal tax)</w:t>
      </w:r>
      <w:r w:rsidRPr="001D37D5">
        <w:t>. This is clear from Officer's definition of after tax net cash flows consistent with the post-tax vanilla WACC in formula (12) of his 1994 paper.</w:t>
      </w:r>
      <w:r w:rsidRPr="001D37D5">
        <w:rPr>
          <w:rStyle w:val="FootnoteReference"/>
        </w:rPr>
        <w:footnoteReference w:id="100"/>
      </w:r>
      <w:r w:rsidRPr="001D37D5">
        <w:t xml:space="preserve"> The incorrect post </w:t>
      </w:r>
      <w:r>
        <w:t xml:space="preserve">(company) </w:t>
      </w:r>
      <w:r w:rsidRPr="001D37D5">
        <w:t>tax</w:t>
      </w:r>
      <w:r>
        <w:t xml:space="preserve"> (pre-personal tax)</w:t>
      </w:r>
      <w:r w:rsidRPr="001D37D5">
        <w:t xml:space="preserve"> valuation of dividends (that will also be reflected in the estimated utilisation rate) is most likely due to differential personal taxes on dividends and capital gains which impact dividend drop off studies.</w:t>
      </w:r>
    </w:p>
    <w:p w:rsidR="00B95D2A" w:rsidRPr="001D37D5" w:rsidRDefault="00B95D2A" w:rsidP="00B95D2A">
      <w:pPr>
        <w:pStyle w:val="AERbulletlistfirststyle"/>
      </w:pPr>
      <w:r w:rsidRPr="00883125">
        <w:t xml:space="preserve">This is an estimate of the utilisation rate of investors in only listed equity, and therefore </w:t>
      </w:r>
      <w:r w:rsidRPr="001D37D5">
        <w:t xml:space="preserve">we remain of the view it should be paired with either an estimate of the distribution rate from only listed equity using the cumulative payout approach (that is, 0.75); or Lally's estimate for only listed equity estimated using the top 20 listed firms (that is, 0.83). </w:t>
      </w:r>
    </w:p>
    <w:p w:rsidR="00B95D2A" w:rsidRDefault="00B95D2A" w:rsidP="00B95D2A">
      <w:pPr>
        <w:numPr>
          <w:ilvl w:val="0"/>
          <w:numId w:val="24"/>
        </w:numPr>
      </w:pPr>
      <w:r w:rsidRPr="00883125">
        <w:t>Therefore, even if</w:t>
      </w:r>
      <w:r>
        <w:t xml:space="preserve"> dividend drop off studies can be used to determine the utilisation rate</w:t>
      </w:r>
      <w:r w:rsidRPr="00883125">
        <w:t xml:space="preserve">,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3E419A">
        <w:t>4.4.1</w:t>
      </w:r>
      <w:r>
        <w:fldChar w:fldCharType="end"/>
      </w:r>
      <w:r>
        <w:t>).</w:t>
      </w:r>
    </w:p>
    <w:p w:rsidR="00B95D2A" w:rsidRPr="000C3267" w:rsidRDefault="00B95D2A" w:rsidP="00B95D2A">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studies are unlikely to provide an appropriate estimate for the utilisation rate. Therefore, given the data reliability issues with tax statistics, we consider the equity ownership </w:t>
      </w:r>
      <w:r w:rsidRPr="000C3267">
        <w:rPr>
          <w:rStyle w:val="AERbody"/>
        </w:rPr>
        <w:lastRenderedPageBreak/>
        <w:t>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w:t>
      </w:r>
      <w:r>
        <w:rPr>
          <w:rStyle w:val="AERbody"/>
        </w:rPr>
        <w:t xml:space="preserve"> post-company</w:t>
      </w:r>
      <w:r w:rsidRPr="000C3267">
        <w:rPr>
          <w:rStyle w:val="AERbody"/>
        </w:rPr>
        <w:t xml:space="preserve"> pre-personal tax and pre-personal costs basis.</w:t>
      </w:r>
      <w:r w:rsidRPr="005764F6">
        <w:rPr>
          <w:rStyle w:val="FootnoteReference"/>
        </w:rPr>
        <w:footnoteReference w:id="101"/>
      </w:r>
      <w:r w:rsidRPr="000C3267">
        <w:rPr>
          <w:rStyle w:val="AERbody"/>
        </w:rPr>
        <w:t xml:space="preserve"> We remain of the view the 45 day holding rule does not be have a material impact on the utilisation of imputation credits by otherwise eligible (that is, domestic) investors.</w:t>
      </w:r>
    </w:p>
    <w:p w:rsidR="00B95D2A" w:rsidRPr="00E43EA2" w:rsidRDefault="00B95D2A" w:rsidP="00B95D2A">
      <w:r>
        <w:t xml:space="preserve">In section </w:t>
      </w:r>
      <w:r>
        <w:fldChar w:fldCharType="begin"/>
      </w:r>
      <w:r>
        <w:instrText xml:space="preserve"> REF _Ref479785279 \r \h </w:instrText>
      </w:r>
      <w:r>
        <w:fldChar w:fldCharType="separate"/>
      </w:r>
      <w:r w:rsidR="003E419A">
        <w:t>4.4.2</w:t>
      </w:r>
      <w:r>
        <w:fldChar w:fldCharType="end"/>
      </w:r>
      <w:r>
        <w:t xml:space="preserve"> we address TasNetworks</w:t>
      </w:r>
      <w:r w:rsidR="00121AD7">
        <w:t>'</w:t>
      </w:r>
      <w:r>
        <w:t xml:space="preserve"> proposed X factor </w:t>
      </w:r>
      <w:r w:rsidR="00933988">
        <w:t xml:space="preserve">adjustment </w:t>
      </w:r>
      <w:r>
        <w:t>and i</w:t>
      </w:r>
      <w:r w:rsidRPr="00E43EA2">
        <w:t xml:space="preserve">n section </w:t>
      </w:r>
      <w:r w:rsidRPr="00E43EA2">
        <w:fldChar w:fldCharType="begin"/>
      </w:r>
      <w:r w:rsidRPr="00E43EA2">
        <w:instrText xml:space="preserve"> REF _Ref451240961 \r \h </w:instrText>
      </w:r>
      <w:r w:rsidRPr="00E43EA2">
        <w:fldChar w:fldCharType="separate"/>
      </w:r>
      <w:r w:rsidR="003E419A">
        <w:t>4.4.3</w:t>
      </w:r>
      <w:r w:rsidRPr="00E43EA2">
        <w:fldChar w:fldCharType="end"/>
      </w:r>
      <w:r w:rsidRPr="00E43EA2">
        <w:t xml:space="preserve"> (and appendix A) we </w:t>
      </w:r>
      <w:r>
        <w:t>address</w:t>
      </w:r>
      <w:r w:rsidRPr="00E43EA2">
        <w:t xml:space="preserve"> </w:t>
      </w:r>
      <w:r w:rsidR="009B1202">
        <w:t>TasNetworks</w:t>
      </w:r>
      <w:r w:rsidR="00121AD7">
        <w:t>'</w:t>
      </w:r>
      <w:r>
        <w:t xml:space="preserve"> </w:t>
      </w:r>
      <w:r w:rsidRPr="00E43EA2">
        <w:t xml:space="preserve">proposal in more detail. We also </w:t>
      </w:r>
      <w:r>
        <w:t>address</w:t>
      </w:r>
      <w:r w:rsidRPr="00E43EA2">
        <w:t xml:space="preserve"> other service providers</w:t>
      </w:r>
      <w:r>
        <w:t>'</w:t>
      </w:r>
      <w:r w:rsidRPr="00E43EA2">
        <w:t xml:space="preserve"> proposals</w:t>
      </w:r>
      <w:r>
        <w:t xml:space="preserve"> submitted prior to </w:t>
      </w:r>
      <w:r w:rsidR="00D42E5D">
        <w:t>TasNetworks</w:t>
      </w:r>
      <w:r w:rsidR="00121AD7">
        <w:t>'</w:t>
      </w:r>
      <w:r>
        <w:t xml:space="preserve"> proposal and at the same time </w:t>
      </w:r>
      <w:r w:rsidR="00D42E5D">
        <w:t>TasNetworks</w:t>
      </w:r>
      <w:r>
        <w:t xml:space="preserve"> submitted its proposal.</w:t>
      </w:r>
    </w:p>
    <w:p w:rsidR="00B95D2A" w:rsidRPr="00B95D2A" w:rsidRDefault="00B95D2A" w:rsidP="00B95D2A">
      <w:pPr>
        <w:pStyle w:val="Heading3"/>
      </w:pPr>
      <w:bookmarkStart w:id="131" w:name="_Ref450761230"/>
      <w:bookmarkStart w:id="132" w:name="_Toc451842243"/>
      <w:bookmarkStart w:id="133" w:name="_Toc451938299"/>
      <w:bookmarkStart w:id="134" w:name="_Toc456614282"/>
      <w:bookmarkStart w:id="135" w:name="_Toc462823305"/>
      <w:bookmarkStart w:id="136" w:name="_Toc479693950"/>
      <w:bookmarkStart w:id="137" w:name="_Toc480815604"/>
      <w:r>
        <w:t>Evidence underlying our estimate of the value of imputation credits</w:t>
      </w:r>
      <w:bookmarkEnd w:id="131"/>
      <w:bookmarkEnd w:id="132"/>
      <w:bookmarkEnd w:id="133"/>
      <w:bookmarkEnd w:id="134"/>
      <w:bookmarkEnd w:id="135"/>
      <w:bookmarkEnd w:id="136"/>
      <w:bookmarkEnd w:id="137"/>
      <w:r>
        <w:t xml:space="preserve"> </w:t>
      </w:r>
    </w:p>
    <w:p w:rsidR="00B95D2A" w:rsidRDefault="00B95D2A" w:rsidP="00B95D2A">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B95D2A" w:rsidRDefault="00B95D2A" w:rsidP="00B95D2A">
      <w:pPr>
        <w:pStyle w:val="HeadingBoldBlue"/>
      </w:pPr>
      <w:bookmarkStart w:id="138" w:name="_Toc456614283"/>
      <w:bookmarkStart w:id="139" w:name="_Toc479693951"/>
      <w:r>
        <w:t>The distribution rate</w:t>
      </w:r>
      <w:bookmarkEnd w:id="138"/>
      <w:bookmarkEnd w:id="139"/>
    </w:p>
    <w:p w:rsidR="00B95D2A" w:rsidRDefault="00B95D2A" w:rsidP="00B95D2A">
      <w:r w:rsidRPr="00883125">
        <w:t>The distribution rate is the proportion of imputation credits generated by the benchmark efficient entity that is distributed to investors.</w:t>
      </w:r>
      <w:r w:rsidRPr="00883125">
        <w:rPr>
          <w:rStyle w:val="FootnoteReference"/>
        </w:rPr>
        <w:footnoteReference w:id="102"/>
      </w:r>
      <w:r w:rsidRPr="00883125">
        <w:t xml:space="preserve"> We consider</w:t>
      </w:r>
      <w:r>
        <w:t>:</w:t>
      </w:r>
    </w:p>
    <w:p w:rsidR="00B95D2A" w:rsidRPr="001D37D5" w:rsidRDefault="00B95D2A" w:rsidP="00B95D2A">
      <w:pPr>
        <w:pStyle w:val="AERbulletlistfirststyle"/>
      </w:pPr>
      <w:r w:rsidRPr="00856171">
        <w:t xml:space="preserve">an estimate of 0.75 for the distribution rate is </w:t>
      </w:r>
      <w:r w:rsidRPr="001D37D5">
        <w:t>reasonable when considering estimates of the utilisation rate tha</w:t>
      </w:r>
      <w:r w:rsidR="006808CC">
        <w:t>t relate to only listed equity.</w:t>
      </w:r>
    </w:p>
    <w:p w:rsidR="00B95D2A" w:rsidRPr="001D37D5" w:rsidRDefault="00B95D2A" w:rsidP="00B95D2A">
      <w:pPr>
        <w:pStyle w:val="AERbulletlistfirststyle"/>
      </w:pPr>
      <w:r w:rsidRPr="00856171">
        <w:t xml:space="preserve">an estimate of 0.7 for the distribution rate is </w:t>
      </w:r>
      <w:r w:rsidRPr="001D37D5">
        <w:t xml:space="preserve">reasonable when considering estimates of the utilisation </w:t>
      </w:r>
      <w:r w:rsidR="006808CC">
        <w:t>rate that relate to all equity.</w:t>
      </w:r>
    </w:p>
    <w:p w:rsidR="00B95D2A" w:rsidRDefault="00B95D2A" w:rsidP="00B95D2A">
      <w:pPr>
        <w:numPr>
          <w:ilvl w:val="0"/>
          <w:numId w:val="24"/>
        </w:numPr>
      </w:pPr>
      <w:r>
        <w:t xml:space="preserve">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w:t>
      </w:r>
      <w:r>
        <w:lastRenderedPageBreak/>
        <w:t>appropriate (firm specific) estimate of the distribution rate for a benchmark efficient entity (of 0.83).</w:t>
      </w:r>
      <w:r>
        <w:rPr>
          <w:rStyle w:val="FootnoteReference"/>
        </w:rPr>
        <w:footnoteReference w:id="103"/>
      </w:r>
    </w:p>
    <w:p w:rsidR="00B95D2A" w:rsidRPr="00883125" w:rsidRDefault="00B95D2A" w:rsidP="00B95D2A">
      <w:pPr>
        <w:numPr>
          <w:ilvl w:val="0"/>
          <w:numId w:val="24"/>
        </w:numPr>
      </w:pPr>
      <w:r w:rsidRPr="00883125">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4"/>
      </w:r>
      <w:r w:rsidRPr="00AE6B35">
        <w:t xml:space="preserve"> </w:t>
      </w:r>
      <w:r w:rsidRPr="00883125">
        <w:t>We use the cumulative payout ratio approach because it:</w:t>
      </w:r>
    </w:p>
    <w:p w:rsidR="00B95D2A" w:rsidRPr="00883125" w:rsidRDefault="00B95D2A" w:rsidP="00B95D2A">
      <w:pPr>
        <w:pStyle w:val="AERbulletlistfirststyle"/>
      </w:pPr>
      <w:r w:rsidRPr="00883125">
        <w:t>uses long-term, published data</w:t>
      </w:r>
    </w:p>
    <w:p w:rsidR="00B95D2A" w:rsidRPr="001D37D5" w:rsidRDefault="00B95D2A" w:rsidP="00B95D2A">
      <w:pPr>
        <w:pStyle w:val="AERbulletlistfirststyle"/>
      </w:pPr>
      <w:r w:rsidRPr="00883125">
        <w:t>is supported by the service providers, Gray (for SFG), Handley, and McKenzie and Partington</w:t>
      </w:r>
      <w:r w:rsidRPr="001D37D5">
        <w:rPr>
          <w:rStyle w:val="FootnoteReference"/>
        </w:rPr>
        <w:footnoteReference w:id="105"/>
      </w:r>
    </w:p>
    <w:p w:rsidR="00B95D2A" w:rsidRPr="00883125" w:rsidRDefault="00B95D2A" w:rsidP="00B95D2A">
      <w:pPr>
        <w:pStyle w:val="AERbulletlistfirststyle"/>
      </w:pPr>
      <w:r w:rsidRPr="00883125">
        <w:t>is simple and intuitive.</w:t>
      </w:r>
    </w:p>
    <w:p w:rsidR="00B95D2A" w:rsidRPr="00856171" w:rsidRDefault="00B95D2A" w:rsidP="00B95D2A">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6"/>
      </w:r>
      <w:r w:rsidRPr="00856171">
        <w:t xml:space="preserve"> Hathaway found a similar estimate for the period 2004 to 2011.</w:t>
      </w:r>
      <w:r w:rsidRPr="00856171">
        <w:rPr>
          <w:rStyle w:val="FootnoteReference"/>
        </w:rPr>
        <w:footnoteReference w:id="107"/>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8"/>
      </w:r>
      <w:r w:rsidRPr="00856171">
        <w:t xml:space="preserve"> </w:t>
      </w:r>
    </w:p>
    <w:p w:rsidR="00B95D2A" w:rsidRPr="00856171" w:rsidRDefault="00B95D2A" w:rsidP="00B95D2A">
      <w:r w:rsidRPr="00883125">
        <w:t xml:space="preserve">Gray </w:t>
      </w:r>
      <w:r w:rsidRPr="00856171">
        <w:t xml:space="preserve">(for Frontier) updated the ATO data up to 2012-13 and found that the payout ratio for all equity latest year is </w:t>
      </w:r>
      <w:r>
        <w:t>0.64</w:t>
      </w:r>
      <w:r w:rsidRPr="00856171">
        <w:t xml:space="preserve"> and the cumulative ratio is </w:t>
      </w:r>
      <w:r>
        <w:t>0.67</w:t>
      </w:r>
      <w:r w:rsidRPr="00856171">
        <w:t>.</w:t>
      </w:r>
      <w:r w:rsidRPr="00856171">
        <w:rPr>
          <w:rStyle w:val="FootnoteReference"/>
        </w:rPr>
        <w:footnoteReference w:id="109"/>
      </w:r>
      <w:r w:rsidRPr="00856171">
        <w:t xml:space="preserve"> However, recognising the volatility in the data Frontier considered that 0.7 distribution rate still remained appropriate for all equity.</w:t>
      </w:r>
      <w:r w:rsidRPr="00856171">
        <w:rPr>
          <w:rStyle w:val="FootnoteReference"/>
        </w:rPr>
        <w:footnoteReference w:id="110"/>
      </w:r>
      <w:r w:rsidRPr="00856171">
        <w:t xml:space="preserve"> We have updated this data to 2014 and find the cumulative payout ratio for listed equity is 0.75 and for all equity is 0.68. However, we remain of the view that a distribution rate of 0.7 is appropriate for all equity.</w:t>
      </w:r>
    </w:p>
    <w:p w:rsidR="00B95D2A" w:rsidRPr="00883125" w:rsidRDefault="00B95D2A" w:rsidP="00B95D2A">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11"/>
      </w:r>
      <w:r w:rsidRPr="00883125">
        <w:t xml:space="preserve"> We found a similar estimate for the period 2004 to 2011.</w:t>
      </w:r>
      <w:r w:rsidRPr="00883125">
        <w:rPr>
          <w:rStyle w:val="FootnoteReference"/>
        </w:rPr>
        <w:footnoteReference w:id="112"/>
      </w:r>
      <w:r w:rsidRPr="00883125">
        <w:t xml:space="preserve"> We relied on these estimates in the decisions we released in November 2014 and </w:t>
      </w:r>
      <w:r w:rsidRPr="00883125">
        <w:lastRenderedPageBreak/>
        <w:t>April 2015. Updated analysis of the ATO data to the 2012 tax year by NERA and Handley indicates that the distribution rate over only listed equity has fallen slightly.</w:t>
      </w:r>
      <w:r w:rsidRPr="00883125">
        <w:rPr>
          <w:rStyle w:val="FootnoteReference"/>
        </w:rPr>
        <w:footnoteReference w:id="113"/>
      </w:r>
      <w:r w:rsidRPr="00883125">
        <w:t xml:space="preserve"> In this </w:t>
      </w:r>
      <w:r>
        <w:t xml:space="preserve">final </w:t>
      </w:r>
      <w:r w:rsidRPr="00883125">
        <w:t xml:space="preserve">decision following a further update incorporating 2013 and 2014 data we consider an appropriate estimate of the distribution rate over only listed equity is 0.75. This is slightly lower than the value of 0.77 we used in </w:t>
      </w:r>
      <w:r>
        <w:t xml:space="preserve">our </w:t>
      </w:r>
      <w:r w:rsidRPr="00883125">
        <w:t>October and November 2015 decisions.</w:t>
      </w:r>
    </w:p>
    <w:p w:rsidR="00B95D2A" w:rsidRDefault="00B95D2A" w:rsidP="00B95D2A">
      <w:pPr>
        <w:pStyle w:val="AERbulletlistfirststyle"/>
        <w:numPr>
          <w:ilvl w:val="0"/>
          <w:numId w:val="24"/>
        </w:numPr>
      </w:pPr>
      <w:r w:rsidRPr="00883125">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3E419A">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3E419A">
        <w:t>A.10</w:t>
      </w:r>
      <w:r>
        <w:fldChar w:fldCharType="end"/>
      </w:r>
      <w:r>
        <w:t>).</w:t>
      </w:r>
      <w:r>
        <w:rPr>
          <w:rStyle w:val="FootnoteReference"/>
        </w:rPr>
        <w:footnoteReference w:id="114"/>
      </w:r>
      <w:r>
        <w:t xml:space="preserve"> </w:t>
      </w:r>
    </w:p>
    <w:p w:rsidR="00B95D2A" w:rsidRDefault="00B95D2A" w:rsidP="00B95D2A">
      <w:pPr>
        <w:pStyle w:val="AERbulletlistfirststyle"/>
        <w:numPr>
          <w:ilvl w:val="0"/>
          <w:numId w:val="24"/>
        </w:numPr>
      </w:pPr>
      <w:r>
        <w:t>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5"/>
      </w:r>
    </w:p>
    <w:p w:rsidR="00B95D2A" w:rsidRPr="001D37D5" w:rsidRDefault="00B95D2A" w:rsidP="00B95D2A">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B95D2A" w:rsidRPr="00663AD0" w:rsidRDefault="00B95D2A" w:rsidP="00B95D2A">
      <w:pPr>
        <w:pStyle w:val="AERbulletlistfirststyle"/>
        <w:numPr>
          <w:ilvl w:val="0"/>
          <w:numId w:val="24"/>
        </w:numPr>
        <w:rPr>
          <w:rStyle w:val="AERtexthighlight"/>
        </w:rPr>
      </w:pPr>
      <w:r>
        <w:t xml:space="preserve">Lally also </w:t>
      </w:r>
      <w:r w:rsidRPr="005764F6">
        <w:t xml:space="preserve">considered </w:t>
      </w:r>
      <w:r>
        <w:t xml:space="preserve">that there is no necessity to combine </w:t>
      </w:r>
      <w:r w:rsidRPr="001D37D5">
        <w:t>estimates of the distribution rate and utilisation rate from the same dataset</w:t>
      </w:r>
      <w:r>
        <w:t xml:space="preserve"> and good reason not for not doing so</w:t>
      </w:r>
      <w:r w:rsidRPr="005764F6">
        <w:t>.</w:t>
      </w:r>
      <w:r>
        <w:rPr>
          <w:rStyle w:val="FootnoteReference"/>
        </w:rPr>
        <w:footnoteReference w:id="116"/>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7"/>
      </w:r>
      <w:r w:rsidRPr="005764F6">
        <w:t xml:space="preserve"> Following this, </w:t>
      </w:r>
      <w:r>
        <w:t xml:space="preserve">Lally's most recent advice </w:t>
      </w:r>
      <w:r w:rsidRPr="005764F6">
        <w:t xml:space="preserve">we </w:t>
      </w:r>
      <w:r>
        <w:t xml:space="preserve">remain of the view </w:t>
      </w:r>
      <w:r w:rsidRPr="005764F6">
        <w:t>it is not necessary to 'match' estimates of distribution rates and utilisation rates based on the dataset used</w:t>
      </w:r>
      <w:r>
        <w:rPr>
          <w:rStyle w:val="AERbody"/>
        </w:rPr>
        <w:t>; although we still consider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8"/>
      </w:r>
      <w:r>
        <w:t xml:space="preserve"> We note that using Lally's preferred approach results in a significantly higher gamma estimate than 0.4.</w:t>
      </w:r>
      <w:r>
        <w:rPr>
          <w:rStyle w:val="FootnoteReference"/>
        </w:rPr>
        <w:footnoteReference w:id="119"/>
      </w:r>
      <w:r>
        <w:t xml:space="preserve"> While we have given this limited weight, Lally's advice does provide further support for our view that our use of gamma value of 0.4 should result in an overall return (inclusive of the value of imputation credits) that is (at least) sufficient to compensate</w:t>
      </w:r>
      <w:r w:rsidR="00D42E5D">
        <w:t xml:space="preserve"> TasNetworks</w:t>
      </w:r>
      <w:r w:rsidR="00121AD7">
        <w:t>'</w:t>
      </w:r>
      <w:r>
        <w:t xml:space="preserve"> investors.</w:t>
      </w:r>
    </w:p>
    <w:p w:rsidR="00B95D2A" w:rsidRDefault="00B95D2A" w:rsidP="00B95D2A">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3E419A">
        <w:t>A.8</w:t>
      </w:r>
      <w:r>
        <w:fldChar w:fldCharType="end"/>
      </w:r>
      <w:r>
        <w:t xml:space="preserve"> and </w:t>
      </w:r>
      <w:r>
        <w:fldChar w:fldCharType="begin"/>
      </w:r>
      <w:r>
        <w:instrText xml:space="preserve"> REF _Ref415068711 \r \h </w:instrText>
      </w:r>
      <w:r>
        <w:fldChar w:fldCharType="separate"/>
      </w:r>
      <w:r w:rsidR="003E419A">
        <w:t>A.8.5</w:t>
      </w:r>
      <w:r>
        <w:fldChar w:fldCharType="end"/>
      </w:r>
      <w:r w:rsidRPr="00883125">
        <w:t>.</w:t>
      </w:r>
    </w:p>
    <w:p w:rsidR="00B95D2A" w:rsidRPr="00856171" w:rsidRDefault="00B95D2A" w:rsidP="00B95D2A">
      <w:pPr>
        <w:pStyle w:val="HeadingBoldBlue"/>
      </w:pPr>
      <w:bookmarkStart w:id="140" w:name="_Toc456614284"/>
      <w:bookmarkStart w:id="141" w:name="_Toc479693952"/>
      <w:r>
        <w:lastRenderedPageBreak/>
        <w:t>The utilisation</w:t>
      </w:r>
      <w:r w:rsidRPr="00856171">
        <w:t xml:space="preserve"> rate</w:t>
      </w:r>
      <w:bookmarkEnd w:id="140"/>
      <w:bookmarkEnd w:id="141"/>
      <w:r w:rsidRPr="00856171">
        <w:t xml:space="preserve"> </w:t>
      </w:r>
    </w:p>
    <w:p w:rsidR="00B95D2A" w:rsidRPr="00883125" w:rsidRDefault="00B95D2A" w:rsidP="00B95D2A">
      <w:pPr>
        <w:numPr>
          <w:ilvl w:val="0"/>
          <w:numId w:val="24"/>
        </w:numPr>
      </w:pPr>
      <w:r w:rsidRPr="00883125">
        <w:t>We understand the utilisation rate to be the utilisation value to investors in the market per dollar of imputation credits distributed.</w:t>
      </w:r>
      <w:r>
        <w:rPr>
          <w:rStyle w:val="FootnoteReference"/>
        </w:rPr>
        <w:footnoteReference w:id="120"/>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21"/>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w:t>
      </w:r>
      <w:r w:rsidR="00E729A5">
        <w:t>e their tax or obtain a refund.</w:t>
      </w:r>
    </w:p>
    <w:p w:rsidR="00B95D2A" w:rsidRPr="00883125" w:rsidRDefault="00B95D2A" w:rsidP="00B95D2A">
      <w:pPr>
        <w:pStyle w:val="AERbulletlistfirststyle"/>
        <w:numPr>
          <w:ilvl w:val="0"/>
          <w:numId w:val="24"/>
        </w:numPr>
      </w:pPr>
      <w:r>
        <w:t>This means</w:t>
      </w:r>
      <w:r w:rsidRPr="00883125">
        <w:t xml:space="preserve"> imputation credits expected to be utilised should be valued at full face value on a</w:t>
      </w:r>
      <w:r>
        <w:t xml:space="preserve"> post-company</w:t>
      </w:r>
      <w:r w:rsidRPr="00883125">
        <w:t xml:space="preserve">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B95D2A" w:rsidRPr="00883125" w:rsidRDefault="00B95D2A" w:rsidP="00B95D2A">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w:t>
      </w:r>
      <w:r>
        <w:t xml:space="preserve"> due to differential taxes</w:t>
      </w:r>
      <w:r w:rsidRPr="00856171">
        <w:t xml:space="preserve">. </w:t>
      </w:r>
      <w:r>
        <w:t>Our consultant supports that market value studies need to be adjusted to correct for the biases in the estimates (likely to be principally driven by differential taxation).</w:t>
      </w:r>
      <w:r>
        <w:rPr>
          <w:rStyle w:val="FootnoteReference"/>
        </w:rPr>
        <w:footnoteReference w:id="122"/>
      </w:r>
      <w:r>
        <w:t xml:space="preserve"> As a result, w</w:t>
      </w:r>
      <w:r w:rsidRPr="00856171">
        <w:t xml:space="preserve">e do not consider this is appropriate </w:t>
      </w:r>
      <w:r>
        <w:t xml:space="preserve">to use implied market value studies to estimate the utilisation value </w:t>
      </w:r>
      <w:r w:rsidRPr="00856171">
        <w:t>given our post (corporate) tax regulatory framework based on Officer 1994.</w:t>
      </w:r>
      <w:r w:rsidRPr="00856171">
        <w:rPr>
          <w:rStyle w:val="FootnoteReference"/>
        </w:rPr>
        <w:footnoteReference w:id="123"/>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24"/>
      </w:r>
    </w:p>
    <w:p w:rsidR="00B95D2A" w:rsidRPr="00883125" w:rsidRDefault="00B95D2A" w:rsidP="00B95D2A">
      <w:pPr>
        <w:numPr>
          <w:ilvl w:val="0"/>
          <w:numId w:val="24"/>
        </w:numPr>
      </w:pPr>
      <w:r w:rsidRPr="00883125">
        <w:t>Consistent with the Guideline, when estimating the utilisation rate we place:</w:t>
      </w:r>
    </w:p>
    <w:p w:rsidR="00B95D2A" w:rsidRPr="00883125" w:rsidRDefault="00B95D2A" w:rsidP="00B95D2A">
      <w:pPr>
        <w:pStyle w:val="AERbulletlistfirststyle"/>
      </w:pPr>
      <w:r w:rsidRPr="00883125">
        <w:t>significant reliance upon the equity ownership approach</w:t>
      </w:r>
    </w:p>
    <w:p w:rsidR="00B95D2A" w:rsidRPr="00883125" w:rsidRDefault="00B95D2A" w:rsidP="00B95D2A">
      <w:pPr>
        <w:pStyle w:val="AERbulletlistfirststyle"/>
      </w:pPr>
      <w:r w:rsidRPr="00883125">
        <w:t>some reliance upon tax statistics</w:t>
      </w:r>
    </w:p>
    <w:p w:rsidR="00B95D2A" w:rsidRPr="001D37D5" w:rsidRDefault="00B95D2A" w:rsidP="00B95D2A">
      <w:pPr>
        <w:pStyle w:val="AERbulletlistfirststyle"/>
      </w:pPr>
      <w:r w:rsidRPr="00883125">
        <w:t>less reliance upon implied market value studies.</w:t>
      </w:r>
    </w:p>
    <w:p w:rsidR="00B95D2A" w:rsidRPr="00883125" w:rsidRDefault="00B95D2A" w:rsidP="00B95D2A">
      <w:r>
        <w:lastRenderedPageBreak/>
        <w:t>This weighting is supported by Lally.</w:t>
      </w:r>
      <w:r>
        <w:rPr>
          <w:rStyle w:val="FootnoteReference"/>
        </w:rPr>
        <w:footnoteReference w:id="125"/>
      </w:r>
      <w:r>
        <w:t xml:space="preserve"> The SAPN Tribunal also considered the AER did not err, nor was it unreasonable, in giving most weight to the "utilisation" approach.</w:t>
      </w:r>
      <w:r>
        <w:rPr>
          <w:rStyle w:val="FootnoteReference"/>
        </w:rPr>
        <w:footnoteReference w:id="126"/>
      </w:r>
    </w:p>
    <w:p w:rsidR="00B95D2A" w:rsidRDefault="00B95D2A" w:rsidP="00B95D2A">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3E419A" w:rsidRPr="00883125">
        <w:t xml:space="preserve">table </w:t>
      </w:r>
      <w:r w:rsidR="003E419A">
        <w:rPr>
          <w:noProof/>
        </w:rPr>
        <w:t>4</w:t>
      </w:r>
      <w:r w:rsidR="003E419A">
        <w:noBreakHyphen/>
      </w:r>
      <w:r w:rsidR="003E419A">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3E419A" w:rsidRPr="00883125">
        <w:t xml:space="preserve">table </w:t>
      </w:r>
      <w:r w:rsidR="003E419A">
        <w:rPr>
          <w:noProof/>
        </w:rPr>
        <w:t>4</w:t>
      </w:r>
      <w:r w:rsidR="003E419A">
        <w:noBreakHyphen/>
      </w:r>
      <w:r w:rsidR="003E419A">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7"/>
      </w:r>
      <w:r w:rsidRPr="00883125">
        <w:t xml:space="preserve"> We discuss each approach in the sections below.</w:t>
      </w:r>
      <w:r w:rsidRPr="00883125">
        <w:rPr>
          <w:rStyle w:val="FootnoteReference"/>
        </w:rPr>
        <w:footnoteReference w:id="128"/>
      </w:r>
      <w:r w:rsidRPr="00883125">
        <w:t xml:space="preserve"> We depart from the Guideline by not relying upon the 'conceptual goalposts approach'.</w:t>
      </w:r>
    </w:p>
    <w:p w:rsidR="00B95D2A" w:rsidRDefault="00B95D2A" w:rsidP="00B95D2A">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3E419A">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3E419A">
        <w:t>A.8</w:t>
      </w:r>
      <w:r w:rsidRPr="00883125">
        <w:fldChar w:fldCharType="end"/>
      </w:r>
      <w:r w:rsidRPr="00883125">
        <w:t xml:space="preserve">. </w:t>
      </w:r>
    </w:p>
    <w:p w:rsidR="00B95D2A" w:rsidRPr="00856171" w:rsidRDefault="00B95D2A" w:rsidP="00B95D2A">
      <w:pPr>
        <w:pStyle w:val="HeadingBoldItalic"/>
      </w:pPr>
      <w:bookmarkStart w:id="142" w:name="_Toc456614285"/>
      <w:bookmarkStart w:id="143" w:name="_Toc479693953"/>
      <w:r>
        <w:t>The equity ownership approach</w:t>
      </w:r>
      <w:bookmarkEnd w:id="142"/>
      <w:bookmarkEnd w:id="143"/>
    </w:p>
    <w:p w:rsidR="00B95D2A" w:rsidRPr="00883125" w:rsidRDefault="00B95D2A" w:rsidP="00B95D2A">
      <w:pPr>
        <w:numPr>
          <w:ilvl w:val="0"/>
          <w:numId w:val="24"/>
        </w:numPr>
      </w:pPr>
      <w:r w:rsidRPr="00883125">
        <w:t>We consider that the value-weighted proportion of domestic investors in the Australian equity market is a reasonable estimate of the utilisation rate. This is because, in general, domestic 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9"/>
      </w:r>
    </w:p>
    <w:p w:rsidR="00B95D2A" w:rsidRPr="00883125" w:rsidRDefault="00B95D2A" w:rsidP="00B95D2A">
      <w:pPr>
        <w:numPr>
          <w:ilvl w:val="0"/>
          <w:numId w:val="24"/>
        </w:numPr>
      </w:pPr>
      <w:r w:rsidRPr="00883125">
        <w:t>We place significant reliance upon the equity ownership approach when considering estimates of the utilisation rate. This is because:</w:t>
      </w:r>
    </w:p>
    <w:p w:rsidR="00B95D2A" w:rsidRPr="00883125" w:rsidRDefault="00B95D2A" w:rsidP="00B95D2A">
      <w:pPr>
        <w:pStyle w:val="AERbulletlistfirststyle"/>
      </w:pPr>
      <w:r w:rsidRPr="00883125">
        <w:t>it is well aligned with the definition of the utilisation rate in the Monkhouse framework</w:t>
      </w:r>
    </w:p>
    <w:p w:rsidR="00B95D2A" w:rsidRPr="00883125" w:rsidRDefault="00B95D2A" w:rsidP="00B95D2A">
      <w:pPr>
        <w:pStyle w:val="AERbulletlistfirststyle"/>
      </w:pPr>
      <w:r w:rsidRPr="00883125">
        <w:t>it employs a relatively simple and intuitive methodology</w:t>
      </w:r>
    </w:p>
    <w:p w:rsidR="00B95D2A" w:rsidRPr="00883125" w:rsidRDefault="00B95D2A" w:rsidP="00B95D2A">
      <w:pPr>
        <w:pStyle w:val="AERbulletlistfirststyle"/>
      </w:pPr>
      <w:r w:rsidRPr="00883125">
        <w:t>it uses a reliable and transparent source of data</w:t>
      </w:r>
    </w:p>
    <w:p w:rsidR="00B95D2A" w:rsidRPr="001D37D5" w:rsidRDefault="00B95D2A" w:rsidP="00B95D2A">
      <w:pPr>
        <w:pStyle w:val="AERbulletlistfirststyle"/>
      </w:pPr>
      <w:r w:rsidRPr="00883125">
        <w:t>it provides estimates of the utilisation rate for investors in both all equity and only listed equity</w:t>
      </w:r>
    </w:p>
    <w:p w:rsidR="00B95D2A" w:rsidRDefault="00B95D2A" w:rsidP="00B95D2A">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w:t>
      </w:r>
      <w:r w:rsidRPr="00883125">
        <w:lastRenderedPageBreak/>
        <w:t>dividend date</w:t>
      </w:r>
      <w:r>
        <w:t xml:space="preserve"> (the 45 day rule)</w:t>
      </w:r>
      <w:r w:rsidRPr="00883125">
        <w:t>.</w:t>
      </w:r>
      <w:r w:rsidRPr="00883125">
        <w:rPr>
          <w:rStyle w:val="FootnoteReference"/>
        </w:rPr>
        <w:footnoteReference w:id="130"/>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B95D2A" w:rsidRDefault="00B95D2A" w:rsidP="00B95D2A">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31"/>
      </w:r>
      <w:r w:rsidRPr="004F21F7">
        <w:t xml:space="preserve"> </w:t>
      </w:r>
      <w:r>
        <w:t>We also note Lally's statement that:</w:t>
      </w:r>
      <w:r>
        <w:rPr>
          <w:rStyle w:val="FootnoteReference"/>
        </w:rPr>
        <w:footnoteReference w:id="132"/>
      </w:r>
    </w:p>
    <w:p w:rsidR="00B95D2A" w:rsidRPr="00883125" w:rsidRDefault="00B95D2A" w:rsidP="00B95D2A">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B95D2A" w:rsidRPr="00883125" w:rsidRDefault="00B95D2A" w:rsidP="00B95D2A">
      <w:pPr>
        <w:numPr>
          <w:ilvl w:val="0"/>
          <w:numId w:val="24"/>
        </w:numPr>
      </w:pPr>
      <w:r w:rsidRPr="00883125">
        <w:t>We consider that a reasonable estimate for the utilisation rate from the equity ownership approach is between:</w:t>
      </w:r>
    </w:p>
    <w:p w:rsidR="00B95D2A" w:rsidRPr="00883125" w:rsidRDefault="00B95D2A" w:rsidP="00B95D2A">
      <w:pPr>
        <w:pStyle w:val="AERbulletlistfirststyle"/>
      </w:pPr>
      <w:r w:rsidRPr="00883125">
        <w:t>0.56 and 0.68, if all equity is considered</w:t>
      </w:r>
    </w:p>
    <w:p w:rsidR="00B95D2A" w:rsidRPr="00883125" w:rsidRDefault="00B95D2A" w:rsidP="00B95D2A">
      <w:pPr>
        <w:pStyle w:val="AERbulletlistfirststyle"/>
      </w:pPr>
      <w:r w:rsidRPr="00883125">
        <w:t>0.38 and 0.55, if only listed equity is considered.</w:t>
      </w:r>
    </w:p>
    <w:p w:rsidR="00B95D2A" w:rsidRDefault="00B95D2A" w:rsidP="00B95D2A">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B95D2A" w:rsidRDefault="00B95D2A" w:rsidP="00B95D2A">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3E419A">
        <w:t>A.12</w:t>
      </w:r>
      <w:r w:rsidRPr="00883125">
        <w:fldChar w:fldCharType="end"/>
      </w:r>
      <w:r w:rsidRPr="00883125">
        <w:t>.</w:t>
      </w:r>
    </w:p>
    <w:p w:rsidR="00B95D2A" w:rsidRPr="00856171" w:rsidRDefault="00B95D2A" w:rsidP="00B95D2A">
      <w:pPr>
        <w:pStyle w:val="HeadingBoldItalic"/>
      </w:pPr>
      <w:bookmarkStart w:id="144" w:name="_Toc456614286"/>
      <w:bookmarkStart w:id="145" w:name="_Toc479693954"/>
      <w:r>
        <w:t>Tax statistics</w:t>
      </w:r>
      <w:bookmarkEnd w:id="144"/>
      <w:bookmarkEnd w:id="145"/>
    </w:p>
    <w:p w:rsidR="00B95D2A" w:rsidRPr="00883125" w:rsidRDefault="00B95D2A" w:rsidP="00B95D2A">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33"/>
      </w:r>
      <w:r w:rsidRPr="00883125">
        <w:t xml:space="preserve"> In theory, these statistics can </w:t>
      </w:r>
      <w:r w:rsidRPr="00883125">
        <w:lastRenderedPageBreak/>
        <w:t>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an estimate of the utilisation rate</w:t>
      </w:r>
      <w:r>
        <w:t>.</w:t>
      </w:r>
    </w:p>
    <w:p w:rsidR="00B95D2A" w:rsidRDefault="00B95D2A" w:rsidP="00B95D2A">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34"/>
      </w:r>
      <w:r w:rsidRPr="00883125">
        <w:t xml:space="preserve"> Lally considered that the tax statistics approach lacks precision, and he did not prefer it to the equity ownership approach.</w:t>
      </w:r>
      <w:r w:rsidRPr="00883125">
        <w:rPr>
          <w:rStyle w:val="FootnoteReference"/>
        </w:rPr>
        <w:footnoteReference w:id="135"/>
      </w:r>
      <w:r w:rsidRPr="00883125">
        <w:t xml:space="preserve"> However, Lally still preferred tax statistics to implied market value studies.</w:t>
      </w:r>
      <w:r w:rsidRPr="00883125">
        <w:rPr>
          <w:rStyle w:val="FootnoteReference"/>
        </w:rPr>
        <w:footnoteReference w:id="136"/>
      </w:r>
    </w:p>
    <w:p w:rsidR="00B95D2A" w:rsidRPr="00883125" w:rsidRDefault="00B95D2A" w:rsidP="00B95D2A">
      <w:pPr>
        <w:numPr>
          <w:ilvl w:val="0"/>
          <w:numId w:val="24"/>
        </w:numPr>
      </w:pPr>
      <w:r w:rsidRPr="00883125">
        <w:t>We have placed less reliance upon tax statistics compared with the equity ownership approach because we consider that tax statistics have a number of limitations:</w:t>
      </w:r>
    </w:p>
    <w:p w:rsidR="00B95D2A" w:rsidRPr="001D37D5" w:rsidRDefault="00B95D2A" w:rsidP="00B95D2A">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1D37D5">
        <w:t>. Hathaway also identified a significant discrepancy associated with the tracking of imputation credits in the data that led him to 'urge all caution in using ATO statistics for any estimates of parameters concerned with [imputation] credits'.</w:t>
      </w:r>
      <w:r w:rsidRPr="001D37D5">
        <w:rPr>
          <w:rStyle w:val="FootnoteReference"/>
        </w:rPr>
        <w:footnoteReference w:id="137"/>
      </w:r>
    </w:p>
    <w:p w:rsidR="00B95D2A" w:rsidRPr="00883125" w:rsidRDefault="00B95D2A" w:rsidP="00B95D2A">
      <w:pPr>
        <w:pStyle w:val="AERbulletlistfirststyle"/>
      </w:pPr>
      <w:r w:rsidRPr="00883125">
        <w:t>They do not reflect the amount of credits refunded to individuals that do not have to fill out a tax return.</w:t>
      </w:r>
    </w:p>
    <w:p w:rsidR="00B95D2A" w:rsidRPr="001D37D5" w:rsidRDefault="00B95D2A" w:rsidP="00B95D2A">
      <w:pPr>
        <w:pStyle w:val="AERbulletlistfirststyle"/>
      </w:pPr>
      <w:r w:rsidRPr="00883125">
        <w:t>They might not reflect the amount of credits refunded to certain types of entities.</w:t>
      </w:r>
      <w:r w:rsidRPr="001D37D5">
        <w:rPr>
          <w:rStyle w:val="FootnoteReference"/>
        </w:rPr>
        <w:footnoteReference w:id="138"/>
      </w:r>
      <w:r w:rsidRPr="001D37D5">
        <w:t xml:space="preserve"> </w:t>
      </w:r>
    </w:p>
    <w:p w:rsidR="00B95D2A" w:rsidRPr="001D37D5" w:rsidRDefault="00B95D2A" w:rsidP="00B95D2A">
      <w:pPr>
        <w:pStyle w:val="AERbulletlistfirststyle"/>
      </w:pPr>
      <w:r w:rsidRPr="00883125">
        <w:t>They do not provide estimates of the utilisation rate for investors in only listed equity. Handley suggested that evidence from listed equity is more relevant to the benchmark efficient entity.</w:t>
      </w:r>
      <w:r w:rsidRPr="001D37D5">
        <w:rPr>
          <w:rStyle w:val="FootnoteReference"/>
        </w:rPr>
        <w:footnoteReference w:id="139"/>
      </w:r>
    </w:p>
    <w:p w:rsidR="00B95D2A" w:rsidRPr="001D37D5" w:rsidRDefault="00B95D2A" w:rsidP="00B95D2A">
      <w:pPr>
        <w:pStyle w:val="AERbulletlistfirststyle"/>
      </w:pPr>
      <w:r w:rsidRPr="005764F6">
        <w:lastRenderedPageBreak/>
        <w:t>Lally</w:t>
      </w:r>
      <w:r>
        <w:t xml:space="preserve"> </w:t>
      </w:r>
      <w:r w:rsidRPr="005764F6">
        <w:t xml:space="preserve">considered tax statistics </w:t>
      </w:r>
      <w:r w:rsidRPr="001D37D5">
        <w:t>based estimates of the utilisation rate are unreliable and potentially biased.</w:t>
      </w:r>
      <w:r w:rsidRPr="001D37D5">
        <w:rPr>
          <w:rStyle w:val="FootnoteReference"/>
        </w:rPr>
        <w:footnoteReference w:id="140"/>
      </w:r>
      <w:r w:rsidRPr="001D37D5">
        <w:t xml:space="preserve"> </w:t>
      </w:r>
    </w:p>
    <w:p w:rsidR="00B95D2A" w:rsidRPr="00883125" w:rsidRDefault="00B95D2A" w:rsidP="00B95D2A">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41"/>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B95D2A" w:rsidRPr="00883125" w:rsidRDefault="00B95D2A" w:rsidP="00B95D2A">
      <w:pPr>
        <w:numPr>
          <w:ilvl w:val="0"/>
          <w:numId w:val="24"/>
        </w:numPr>
      </w:pPr>
      <w:r w:rsidRPr="00883125">
        <w:t>Since the Guideline, we have continued to examine this evidence. We now consider that greater reliance should be placed upon estimates that are:</w:t>
      </w:r>
    </w:p>
    <w:p w:rsidR="00B95D2A" w:rsidRPr="001D37D5" w:rsidRDefault="00B95D2A" w:rsidP="00B95D2A">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142"/>
      </w:r>
    </w:p>
    <w:p w:rsidR="00B95D2A" w:rsidRPr="001D37D5" w:rsidRDefault="00B95D2A" w:rsidP="00B95D2A">
      <w:pPr>
        <w:pStyle w:val="AERbulletlistfirststyle"/>
      </w:pPr>
      <w:r w:rsidRPr="00883125">
        <w:t>consistent with our estimates of the distribution rate</w:t>
      </w:r>
      <w:r w:rsidRPr="001D37D5">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1D37D5">
        <w:rPr>
          <w:rStyle w:val="FootnoteReference"/>
        </w:rPr>
        <w:footnoteReference w:id="143"/>
      </w:r>
      <w:r w:rsidRPr="001D37D5">
        <w:t xml:space="preserve"> </w:t>
      </w:r>
    </w:p>
    <w:p w:rsidR="00B95D2A" w:rsidRPr="00856171" w:rsidRDefault="00B95D2A" w:rsidP="00B95D2A">
      <w:r w:rsidRPr="00883125">
        <w:t xml:space="preserve">In this </w:t>
      </w:r>
      <w:r>
        <w:t xml:space="preserve">final </w:t>
      </w:r>
      <w:r w:rsidRPr="00856171">
        <w:t>decision, we have regard to NERA's updated analysis of the ATO data to the 2012 tax year.</w:t>
      </w:r>
      <w:r w:rsidRPr="00856171">
        <w:rPr>
          <w:rStyle w:val="FootnoteReference"/>
        </w:rPr>
        <w:footnoteReference w:id="144"/>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ATO data up to 2013-14 and estimates a slightly higher utilisation rate of 0.48 for the period 2004 to 2014.</w:t>
      </w:r>
    </w:p>
    <w:p w:rsidR="00B95D2A" w:rsidRDefault="00B95D2A" w:rsidP="00B95D2A">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We note that Frontier has submitted that gamma can be estimate reliably from tax statistics as the ratio of credits redeemed to credit credits created.</w:t>
      </w:r>
      <w:r>
        <w:rPr>
          <w:rStyle w:val="FootnoteReference"/>
        </w:rPr>
        <w:footnoteReference w:id="145"/>
      </w:r>
      <w:r>
        <w:t xml:space="preserve"> However, after reviewing the Hathaway paper and Lally's advice, we are not convinced. This is further discussed in section </w:t>
      </w:r>
      <w:r>
        <w:fldChar w:fldCharType="begin"/>
      </w:r>
      <w:r>
        <w:instrText xml:space="preserve"> REF _Ref402179420 \r \h </w:instrText>
      </w:r>
      <w:r>
        <w:fldChar w:fldCharType="separate"/>
      </w:r>
      <w:r w:rsidR="003E419A">
        <w:t>A.13</w:t>
      </w:r>
      <w:r>
        <w:fldChar w:fldCharType="end"/>
      </w:r>
      <w:r>
        <w:t>.</w:t>
      </w:r>
    </w:p>
    <w:p w:rsidR="00B95D2A" w:rsidRPr="00856171" w:rsidRDefault="00B95D2A" w:rsidP="00B95D2A">
      <w:r>
        <w:lastRenderedPageBreak/>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B95D2A" w:rsidRDefault="00B95D2A" w:rsidP="00B95D2A">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3E419A">
        <w:t>A.13</w:t>
      </w:r>
      <w:r w:rsidRPr="00883125">
        <w:fldChar w:fldCharType="end"/>
      </w:r>
      <w:r w:rsidRPr="00883125">
        <w:t>.</w:t>
      </w:r>
    </w:p>
    <w:p w:rsidR="00B95D2A" w:rsidRPr="00856171" w:rsidRDefault="00B95D2A" w:rsidP="00B95D2A">
      <w:pPr>
        <w:pStyle w:val="HeadingBoldItalic"/>
      </w:pPr>
      <w:bookmarkStart w:id="146" w:name="_Toc456614287"/>
      <w:bookmarkStart w:id="147" w:name="_Toc479693955"/>
      <w:r>
        <w:t>Implied market value studies</w:t>
      </w:r>
      <w:bookmarkEnd w:id="146"/>
      <w:bookmarkEnd w:id="147"/>
    </w:p>
    <w:p w:rsidR="00B95D2A" w:rsidRPr="00883125" w:rsidRDefault="00B95D2A" w:rsidP="00B95D2A">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3E419A">
        <w:t>A.15.1</w:t>
      </w:r>
      <w:r w:rsidRPr="00883125">
        <w:fldChar w:fldCharType="end"/>
      </w:r>
      <w:r w:rsidRPr="00883125">
        <w:t>.</w:t>
      </w:r>
    </w:p>
    <w:p w:rsidR="00B95D2A" w:rsidRPr="00883125" w:rsidRDefault="00B95D2A" w:rsidP="00B95D2A">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46"/>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7"/>
      </w:r>
      <w:r>
        <w:t xml:space="preserve"> Lally preferred both the equity ownership approach and tax statistics to dividend drop off studies.</w:t>
      </w:r>
      <w:r>
        <w:rPr>
          <w:rStyle w:val="FootnoteReference"/>
        </w:rPr>
        <w:footnoteReference w:id="148"/>
      </w:r>
    </w:p>
    <w:p w:rsidR="00B95D2A" w:rsidRPr="00883125" w:rsidRDefault="00B95D2A" w:rsidP="00B95D2A">
      <w:pPr>
        <w:numPr>
          <w:ilvl w:val="0"/>
          <w:numId w:val="24"/>
        </w:numPr>
      </w:pPr>
      <w:r w:rsidRPr="00883125">
        <w:t>We also consider that these studies can be subject to a number of limitations. The limitations of implied market value studies can include:</w:t>
      </w:r>
    </w:p>
    <w:p w:rsidR="00B95D2A" w:rsidRPr="00883125" w:rsidRDefault="00B95D2A" w:rsidP="00B95D2A">
      <w:pPr>
        <w:pStyle w:val="AERbulletlistfirststyle"/>
      </w:pPr>
      <w:r w:rsidRPr="00883125">
        <w:t>These studies can produce nonsensical estimates of the utilisation rate; that is, greater than one or less than zero.</w:t>
      </w:r>
    </w:p>
    <w:p w:rsidR="00B95D2A" w:rsidRPr="00883125" w:rsidRDefault="00B95D2A" w:rsidP="00B95D2A">
      <w:pPr>
        <w:pStyle w:val="AERbulletlistfirststyle"/>
      </w:pPr>
      <w:r w:rsidRPr="00883125">
        <w:t xml:space="preserve">The results of these studies can be influenced by factors, such as differential personal taxes and risk, which are not relevant to the utilisation rate. The utilisation rate should be estimated on a </w:t>
      </w:r>
      <w:r>
        <w:t xml:space="preserve">post-company </w:t>
      </w:r>
      <w:r w:rsidRPr="00883125">
        <w:t>pre-personal tax basis consistent with the allowed rate of return parameters and the post (corporate) tax framework in the NER/NGR.</w:t>
      </w:r>
    </w:p>
    <w:p w:rsidR="00B95D2A" w:rsidRPr="001D37D5" w:rsidRDefault="00B95D2A" w:rsidP="00B95D2A">
      <w:pPr>
        <w:pStyle w:val="AERbulletlistfirststyle"/>
      </w:pPr>
      <w:r w:rsidRPr="00883125">
        <w:t xml:space="preserve">The results of these studies might not be reflective of the value of imputation credits to investors in the market as a whole. For instance, in dividend drop off studies the value of </w:t>
      </w:r>
      <w:r w:rsidRPr="00883125">
        <w:lastRenderedPageBreak/>
        <w:t>imputation credits is determined by the marginal investor that trade around the ex-dividend date.</w:t>
      </w:r>
      <w:r w:rsidRPr="001D37D5">
        <w:rPr>
          <w:rStyle w:val="FootnoteReference"/>
        </w:rPr>
        <w:footnoteReference w:id="149"/>
      </w:r>
      <w:r w:rsidRPr="001D37D5">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1D37D5">
        <w:rPr>
          <w:rStyle w:val="FootnoteReference"/>
        </w:rPr>
        <w:footnoteReference w:id="150"/>
      </w:r>
    </w:p>
    <w:p w:rsidR="00B95D2A" w:rsidRPr="00883125" w:rsidRDefault="00B95D2A" w:rsidP="00B95D2A">
      <w:pPr>
        <w:pStyle w:val="AERbulletlistfirststyle"/>
      </w:pPr>
      <w:r w:rsidRPr="00883125">
        <w:t>These studies can be data intensive and employ complex and sometimes problematic estimation methodologies.</w:t>
      </w:r>
    </w:p>
    <w:p w:rsidR="00B95D2A" w:rsidRPr="00883125" w:rsidRDefault="00B95D2A" w:rsidP="00B95D2A">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B95D2A" w:rsidRDefault="00B95D2A" w:rsidP="00B95D2A">
      <w:pPr>
        <w:numPr>
          <w:ilvl w:val="0"/>
          <w:numId w:val="24"/>
        </w:numPr>
      </w:pPr>
      <w:r>
        <w:t>Lally, in his most recent report, has outlined eleven concerns with the SFG dividend drop off study and many of these concerns generally apply to all dividend-drop off studies.</w:t>
      </w:r>
      <w:r>
        <w:rPr>
          <w:rStyle w:val="FootnoteReference"/>
        </w:rPr>
        <w:footnoteReference w:id="151"/>
      </w:r>
    </w:p>
    <w:p w:rsidR="00B95D2A" w:rsidRDefault="00B95D2A" w:rsidP="00B95D2A">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3E419A">
        <w:t>A.15</w:t>
      </w:r>
      <w:r>
        <w:fldChar w:fldCharType="end"/>
      </w:r>
      <w:r w:rsidRPr="00883125">
        <w:t>.</w:t>
      </w:r>
      <w:r w:rsidRPr="00375E4D">
        <w:t xml:space="preserve"> </w:t>
      </w:r>
      <w:r>
        <w:t>However, we note here the following statement from Lally:</w:t>
      </w:r>
      <w:r>
        <w:rPr>
          <w:rStyle w:val="FootnoteReference"/>
        </w:rPr>
        <w:footnoteReference w:id="152"/>
      </w:r>
    </w:p>
    <w:p w:rsidR="00B95D2A" w:rsidRPr="00883125" w:rsidRDefault="00B95D2A" w:rsidP="00B95D2A">
      <w:pPr>
        <w:pStyle w:val="AERquote"/>
      </w:pPr>
      <w:r w:rsidRPr="00375E4D">
        <w:t>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behaviour around ex-days, and the need to correct the estimated coefficient on imputation credits for the difference in the tax rate on capital gains and dividends.</w:t>
      </w:r>
    </w:p>
    <w:p w:rsidR="00B95D2A" w:rsidRPr="00883125" w:rsidRDefault="00B95D2A" w:rsidP="00B95D2A">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3E419A">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B95D2A" w:rsidRPr="001D37D5" w:rsidRDefault="00B95D2A" w:rsidP="00B95D2A">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1D37D5">
        <w:rPr>
          <w:rStyle w:val="FootnoteReference"/>
        </w:rPr>
        <w:footnoteReference w:id="153"/>
      </w:r>
    </w:p>
    <w:p w:rsidR="00B95D2A" w:rsidRPr="001D37D5" w:rsidRDefault="00B95D2A" w:rsidP="00B95D2A">
      <w:pPr>
        <w:pStyle w:val="AERbulletlistfirststyle"/>
      </w:pPr>
      <w:r w:rsidRPr="00883125">
        <w:t>The Economic Regulation Authority of Western Australia (ERA) conducted its own dividend drop off study and concluded that a reasonable estimate is between 0.35 and 0.55.</w:t>
      </w:r>
      <w:r w:rsidRPr="001D37D5">
        <w:rPr>
          <w:rStyle w:val="FootnoteReference"/>
        </w:rPr>
        <w:footnoteReference w:id="154"/>
      </w:r>
    </w:p>
    <w:p w:rsidR="00B95D2A" w:rsidRPr="001D37D5" w:rsidRDefault="00B95D2A" w:rsidP="00B95D2A">
      <w:pPr>
        <w:pStyle w:val="AERbulletlistfirststyle"/>
      </w:pPr>
      <w:r w:rsidRPr="00883125">
        <w:t>Lally concurred with the view that implied market value studies 'warrant low weight', but suggested that some studies are more useful than others based on their characteristics.</w:t>
      </w:r>
      <w:r w:rsidRPr="001D37D5">
        <w:rPr>
          <w:rStyle w:val="FootnoteReference"/>
        </w:rPr>
        <w:footnoteReference w:id="155"/>
      </w:r>
      <w:r w:rsidRPr="001D37D5">
        <w:t xml:space="preserve"> Lally also raised a number of issues in relation to SFG's dividend drop off study.</w:t>
      </w:r>
      <w:r w:rsidRPr="001D37D5">
        <w:rPr>
          <w:rStyle w:val="FootnoteReference"/>
        </w:rPr>
        <w:footnoteReference w:id="156"/>
      </w:r>
      <w:r w:rsidRPr="001D37D5">
        <w:t xml:space="preserve"> Lally </w:t>
      </w:r>
      <w:r>
        <w:t>considers</w:t>
      </w:r>
      <w:r w:rsidRPr="001D37D5">
        <w:t xml:space="preserve"> that 'minimal weight' should be placed on dividend drop off studies.</w:t>
      </w:r>
      <w:r w:rsidRPr="001D37D5">
        <w:rPr>
          <w:rStyle w:val="FootnoteReference"/>
        </w:rPr>
        <w:footnoteReference w:id="157"/>
      </w:r>
    </w:p>
    <w:p w:rsidR="00B95D2A" w:rsidRPr="001D37D5" w:rsidRDefault="00B95D2A" w:rsidP="00B95D2A">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1D37D5">
        <w:rPr>
          <w:rStyle w:val="FootnoteReference"/>
        </w:rPr>
        <w:footnoteReference w:id="158"/>
      </w:r>
    </w:p>
    <w:p w:rsidR="00B95D2A" w:rsidRPr="001D37D5" w:rsidRDefault="00B95D2A" w:rsidP="00B95D2A">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1D37D5">
        <w:rPr>
          <w:rStyle w:val="FootnoteReference"/>
        </w:rPr>
        <w:footnoteReference w:id="159"/>
      </w:r>
      <w:r w:rsidRPr="001D37D5">
        <w:t xml:space="preserve"> </w:t>
      </w:r>
    </w:p>
    <w:p w:rsidR="00B95D2A" w:rsidRPr="005764F6" w:rsidRDefault="00B95D2A" w:rsidP="00B95D2A">
      <w:pPr>
        <w:rPr>
          <w:rStyle w:val="AERbody"/>
        </w:rPr>
      </w:pPr>
      <w:r w:rsidRPr="005764F6">
        <w:rPr>
          <w:rStyle w:val="AERbody"/>
        </w:rPr>
        <w:t xml:space="preserve">A further issue regarding implied market value studies is the appropriate interpretation of their results. Handley and Lally both advised that in the rate of return framework investors are assumed to value one dollar of dividends at one dollar (on a </w:t>
      </w:r>
      <w:r>
        <w:rPr>
          <w:rStyle w:val="AERbody"/>
        </w:rPr>
        <w:t xml:space="preserve">post-company </w:t>
      </w:r>
      <w:r w:rsidRPr="005764F6">
        <w:rPr>
          <w:rStyle w:val="AERbody"/>
        </w:rPr>
        <w:t>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60"/>
      </w:r>
      <w:r w:rsidRPr="005764F6">
        <w:rPr>
          <w:rStyle w:val="AERbody"/>
        </w:rPr>
        <w:t xml:space="preserve"> To remove the effect, they advised that the estimate of the utilisation rate from a given study can be divided by </w:t>
      </w:r>
      <w:r w:rsidRPr="005764F6">
        <w:rPr>
          <w:rStyle w:val="AERbody"/>
        </w:rPr>
        <w:lastRenderedPageBreak/>
        <w:t>investors' estimated valuation of dividends from the same study.</w:t>
      </w:r>
      <w:r w:rsidRPr="00CC0A37">
        <w:rPr>
          <w:rStyle w:val="FootnoteReference"/>
        </w:rPr>
        <w:footnoteReference w:id="161"/>
      </w:r>
      <w:r w:rsidRPr="005764F6">
        <w:rPr>
          <w:rStyle w:val="AERbody"/>
        </w:rPr>
        <w:t xml:space="preserve"> Therefore, Handley and Lally advised that the 0.35 estimate from SFG's dividend drop off study should in fact be interpreted as an estimate of around 0.4.</w:t>
      </w:r>
    </w:p>
    <w:p w:rsidR="00B95D2A" w:rsidRDefault="00B95D2A" w:rsidP="00B95D2A">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post-company pre-personal 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3E419A">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B95D2A" w:rsidRPr="00883125" w:rsidRDefault="00B95D2A" w:rsidP="00B95D2A">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B95D2A" w:rsidRPr="00883125" w:rsidRDefault="00B95D2A" w:rsidP="00B95D2A">
      <w:pPr>
        <w:pStyle w:val="AERbulletlistfirststyle"/>
      </w:pPr>
      <w:r w:rsidRPr="00883125">
        <w:t>used longer data periods</w:t>
      </w:r>
    </w:p>
    <w:p w:rsidR="00B95D2A" w:rsidRPr="00883125" w:rsidRDefault="00B95D2A" w:rsidP="00B95D2A">
      <w:pPr>
        <w:pStyle w:val="AERbulletlistfirststyle"/>
      </w:pPr>
      <w:r w:rsidRPr="00883125">
        <w:t>used data since 2000, when the change in tax law entitled eligible investors to a refund of credits that exceeded their tax liability</w:t>
      </w:r>
    </w:p>
    <w:p w:rsidR="00B95D2A" w:rsidRPr="00883125" w:rsidRDefault="00B95D2A" w:rsidP="00B95D2A">
      <w:pPr>
        <w:pStyle w:val="AERbulletlistfirststyle"/>
      </w:pPr>
      <w:r w:rsidRPr="00883125">
        <w:t>encompassed the breadth of the market instead of just selected firms, and</w:t>
      </w:r>
    </w:p>
    <w:p w:rsidR="00B95D2A" w:rsidRPr="00883125" w:rsidRDefault="00B95D2A" w:rsidP="00B95D2A">
      <w:pPr>
        <w:pStyle w:val="AERbulletlistfirststyle"/>
      </w:pPr>
      <w:r w:rsidRPr="00883125">
        <w:t>appeared to use more reasonable and robust econometric treatments.</w:t>
      </w:r>
    </w:p>
    <w:p w:rsidR="00B95D2A" w:rsidRPr="00883125" w:rsidRDefault="00B95D2A" w:rsidP="00B95D2A">
      <w:pPr>
        <w:numPr>
          <w:ilvl w:val="0"/>
          <w:numId w:val="24"/>
        </w:numPr>
      </w:pPr>
      <w:r w:rsidRPr="00883125">
        <w:t xml:space="preserve">However, in this </w:t>
      </w:r>
      <w:r>
        <w:t xml:space="preserve">final </w:t>
      </w:r>
      <w:r w:rsidRPr="00883125">
        <w:t>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62"/>
      </w:r>
      <w:r w:rsidRPr="00883125">
        <w:t xml:space="preserve"> In Gray's view (for SFG), there is no reasonable basis for adopting an estimate from dividend drop off analysis above the 0.35 estimate from SFG's study.</w:t>
      </w:r>
      <w:r w:rsidRPr="00883125">
        <w:rPr>
          <w:rStyle w:val="FootnoteReference"/>
        </w:rPr>
        <w:footnoteReference w:id="163"/>
      </w:r>
      <w:r w:rsidRPr="00883125">
        <w:t xml:space="preserve"> It appears that Gray (for Frontier) continues to hold this view.</w:t>
      </w:r>
      <w:r w:rsidRPr="00883125">
        <w:rPr>
          <w:rStyle w:val="FootnoteReference"/>
        </w:rPr>
        <w:footnoteReference w:id="164"/>
      </w:r>
      <w:r w:rsidRPr="00883125">
        <w:t xml:space="preserve"> </w:t>
      </w:r>
    </w:p>
    <w:p w:rsidR="00B95D2A" w:rsidRPr="00883125" w:rsidRDefault="00B95D2A" w:rsidP="00B95D2A">
      <w:pPr>
        <w:numPr>
          <w:ilvl w:val="0"/>
          <w:numId w:val="24"/>
        </w:numPr>
      </w:pPr>
      <w:r w:rsidRPr="00883125">
        <w:lastRenderedPageBreak/>
        <w:t xml:space="preserve">Ultimately, as discussed in section </w:t>
      </w:r>
      <w:r w:rsidRPr="00883125">
        <w:fldChar w:fldCharType="begin"/>
      </w:r>
      <w:r w:rsidRPr="00883125">
        <w:instrText xml:space="preserve"> REF _Ref414624721 \r \h </w:instrText>
      </w:r>
      <w:r w:rsidRPr="00883125">
        <w:fldChar w:fldCharType="separate"/>
      </w:r>
      <w:r w:rsidR="003E419A">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65"/>
      </w:r>
      <w:r>
        <w:t xml:space="preserve"> </w:t>
      </w:r>
      <w:r w:rsidRPr="00883125">
        <w:t xml:space="preserve">we note that our having regard to more studies since the Guideline, including those that use pre 2000 data and those that estimate a value for theta between 0.5 and 1, was not material to our decision to set gamma at 0.4, and that we have had particular regard to SFG's dividend drop off study in making our decision. </w:t>
      </w:r>
    </w:p>
    <w:p w:rsidR="00B95D2A" w:rsidRDefault="00B95D2A" w:rsidP="00B95D2A">
      <w:r>
        <w:t>We discuss our consideration of implied market value studies in detail in section A.15.</w:t>
      </w:r>
    </w:p>
    <w:p w:rsidR="00B95D2A" w:rsidRPr="00B95D2A" w:rsidRDefault="00B95D2A" w:rsidP="00AC29DB">
      <w:pPr>
        <w:pStyle w:val="Heading3"/>
      </w:pPr>
      <w:bookmarkStart w:id="148" w:name="_Ref479785279"/>
      <w:bookmarkStart w:id="149" w:name="_Toc480815605"/>
      <w:r>
        <w:t>X-factor adjustment</w:t>
      </w:r>
      <w:bookmarkEnd w:id="148"/>
      <w:bookmarkEnd w:id="149"/>
    </w:p>
    <w:p w:rsidR="00B95D2A" w:rsidRDefault="00B95D2A" w:rsidP="00B95D2A">
      <w:r>
        <w:t>In addition to proposing a gamma estimate of 0.4, TasNetworks has proposed to modify the definition of its X-factor in the control mechanism formula, in the event the Full Federal Court in its review of the Tribunal decisions for ActewAGL Distribution, Ausgrid, Endeavour Energy, Essential Energy and Jemena Gas Network makes a decision that results in the AER using a different value for gamma following this decision.</w:t>
      </w:r>
      <w:r>
        <w:rPr>
          <w:rStyle w:val="FootnoteReference"/>
        </w:rPr>
        <w:footnoteReference w:id="166"/>
      </w:r>
      <w:r>
        <w:t xml:space="preserve"> A change to the X-factor would require a change to</w:t>
      </w:r>
      <w:r w:rsidR="00276CAA">
        <w:t xml:space="preserve"> the control mechanism formula.</w:t>
      </w:r>
      <w:r>
        <w:t xml:space="preserve"> The control mechanism formula must be the same as set out in the framework and approach paper unless we consider that unforeseen circumstances justify departing from the formulae as out in that paper.</w:t>
      </w:r>
      <w:r>
        <w:rPr>
          <w:rStyle w:val="FootnoteReference"/>
        </w:rPr>
        <w:footnoteReference w:id="167"/>
      </w:r>
      <w:r>
        <w:t xml:space="preserve">  We are not satisfied that a departure is justified.</w:t>
      </w:r>
    </w:p>
    <w:p w:rsidR="00B95D2A" w:rsidRDefault="00B95D2A" w:rsidP="00B95D2A">
      <w:r>
        <w:t>Our reasons for rejecting TasNetworks proposal on this point are:</w:t>
      </w:r>
    </w:p>
    <w:p w:rsidR="00B95D2A" w:rsidRPr="00B95D2A" w:rsidRDefault="00B95D2A" w:rsidP="00AC29DB">
      <w:pPr>
        <w:pStyle w:val="AERbulletlistfirststyle"/>
      </w:pPr>
      <w:r>
        <w:t xml:space="preserve">Our current ‘best’ estimate for gamma is 0.4. As such, we consider a contingent approach to a gamma </w:t>
      </w:r>
      <w:r w:rsidRPr="00B95D2A">
        <w:t>proposal is not consistent with our current best estimate.</w:t>
      </w:r>
    </w:p>
    <w:p w:rsidR="00B95D2A" w:rsidRPr="00B95D2A" w:rsidRDefault="00B95D2A" w:rsidP="00AC29DB">
      <w:pPr>
        <w:pStyle w:val="AERbulletlistfirststyle"/>
      </w:pPr>
      <w:r>
        <w:t>Allowing contingent proposals would place</w:t>
      </w:r>
      <w:r w:rsidRPr="00B95D2A">
        <w:t xml:space="preserve"> a strong (and in our view undesirable) incentive on regulated business to make proposals contingent on current or future litiga</w:t>
      </w:r>
      <w:r w:rsidR="00276CAA">
        <w:t>tion taken by other parties.</w:t>
      </w:r>
      <w:r w:rsidRPr="00B95D2A">
        <w:t xml:space="preserve"> That litigation will nearly always be based on different review related material that may or may not have been considered in the applicable determination-making process. This form of contingent proposal could be used broadly across regulatory proposals including in relation to many rate of return parameters.</w:t>
      </w:r>
    </w:p>
    <w:p w:rsidR="00B95D2A" w:rsidRPr="00B95D2A" w:rsidRDefault="00B95D2A" w:rsidP="00AC29DB">
      <w:pPr>
        <w:pStyle w:val="AERbulletlistfirststyle"/>
      </w:pPr>
      <w:r>
        <w:t xml:space="preserve">Under the NER, </w:t>
      </w:r>
      <w:r w:rsidRPr="00B95D2A">
        <w:t>there is intended to be a finality to the decision-making process that helps</w:t>
      </w:r>
      <w:r w:rsidR="00276CAA">
        <w:t xml:space="preserve"> promote efficient investment. </w:t>
      </w:r>
      <w:r w:rsidRPr="00B95D2A">
        <w:t xml:space="preserve">The AER makes a final determination on the basis of the proposal, submissions and analysis it has before it. There is then a specific period of time for any affected stakeholders to seek a review of that decision by the Tribunal or a Court. The review is also conducted on the basis of the information that was available to the AER during the determination making process. While the decision-making and </w:t>
      </w:r>
      <w:r w:rsidRPr="00B95D2A">
        <w:lastRenderedPageBreak/>
        <w:t>review process can already be a lengthy process, at the conclusion of this process there is a decision that operates with finality and which is based solely on the arguments and information put forward during the consultative process for that specific determination or review. Allowing contingent proposals will not result in desirable regulatory certainty and as such is unlikely to promote efficient investment and use of infrastructure, or to be in the long term interests of energy consumers. It introduces the possibility of significant changes to revenue determinations being made through an X-factor, potentially much longer than after the decision-making process would have otherwise concluded.</w:t>
      </w:r>
    </w:p>
    <w:p w:rsidR="00B95D2A" w:rsidRPr="00B95D2A" w:rsidRDefault="00B95D2A" w:rsidP="00AC29DB">
      <w:pPr>
        <w:pStyle w:val="AERbulletlistfirststyle"/>
      </w:pPr>
      <w:r>
        <w:t xml:space="preserve">A </w:t>
      </w:r>
      <w:r w:rsidRPr="00B95D2A">
        <w:t>decision about the value of gamma in the Full Federal Court proceedings in Ausgrid Distribution (or in any other litigation) is unlikely to result in the AER being able to pass on a</w:t>
      </w:r>
      <w:r w:rsidR="00276CAA">
        <w:t xml:space="preserve">n automatic change to revenue. </w:t>
      </w:r>
      <w:r w:rsidRPr="00B95D2A">
        <w:t>A change to the value of gamma will have an interrelated impact on the estimated market risk premium (MRP) used to c</w:t>
      </w:r>
      <w:r w:rsidR="00276CAA">
        <w:t xml:space="preserve">alculate the return on equity. </w:t>
      </w:r>
      <w:r w:rsidRPr="00B95D2A">
        <w:t>The financial impact may be different for different businesses. The AER will need to exercise its regulatory judgement to determine what impact on the return on equity will be in each affected determination. This prima facie makes it an inappropriate driv</w:t>
      </w:r>
      <w:r w:rsidR="00AC29DB">
        <w:t xml:space="preserve">er for an X-factor adjustment. </w:t>
      </w:r>
      <w:r w:rsidRPr="00B95D2A">
        <w:t>The X-factor (and the control mechanism formula more generally) is intended to provide an automatic calculation of revenue that gives effect to the AER’s determination. The control mechanism formula is not intended to allow us to, in effect, remake or reopen discretionary aspects of our determination.  However, if the value of gamma were varied, the AER would have to re-make its determination on t</w:t>
      </w:r>
      <w:r w:rsidR="00276CAA">
        <w:t xml:space="preserve">he appropriate rate of return. </w:t>
      </w:r>
      <w:r w:rsidRPr="00B95D2A">
        <w:t>This would be necessary to ensure that the rate of return is determined on a basis that is consistent with the estimate used for the value of gamma.</w:t>
      </w:r>
      <w:r w:rsidRPr="00B95D2A">
        <w:rPr>
          <w:rStyle w:val="FootnoteReference"/>
        </w:rPr>
        <w:footnoteReference w:id="168"/>
      </w:r>
      <w:r w:rsidRPr="00B95D2A">
        <w:t xml:space="preserve"> We do not consider that to be within the scope of an X-factor adjustment. Even if it were, we do not consider that it would be appropriate to effectively make a new decision on the applicable rate of return through an X-factor adjustment rather than through a transparent consultative regulatory decision-making process. </w:t>
      </w:r>
    </w:p>
    <w:p w:rsidR="00B95D2A" w:rsidRPr="00B95D2A" w:rsidRDefault="00B95D2A" w:rsidP="00AC29DB">
      <w:pPr>
        <w:pStyle w:val="AERbulletlistfirststyle"/>
      </w:pPr>
      <w:r>
        <w:t>There are procedural fairness issues</w:t>
      </w:r>
      <w:r w:rsidRPr="00B95D2A">
        <w:t xml:space="preserve"> with this proposal. For instance, a Tasmanian business which accepts our determination on gamma may not meet the threshold requirements to challenge our decision on a contingent X-factor adjustment. Yet, long after their right to seek a review might have passed, their interests might be affected by the decision of a Court or Tribunal for a different NSP in a different jurisdiction, where the Tasmanian business has no relevant interest, and where the AER’s decision has been based on different information. This is relevant here, because our determination of gamma for this determination is based on information that was not available to us when making our determination for ActewAGL Distribution, Ausgrid, Endeavour Energy, Essential Energy and Jemena Gas Network. The X-factor adjustment would, in essence, bypass our whole consultative process for the TasNetworks determination, and arbitrarily adopt a decision from another process. As the Tribunal noted in the recent SAPN case, specifically in relation to the determination of gamma:</w:t>
      </w:r>
      <w:r w:rsidRPr="00B95D2A">
        <w:rPr>
          <w:rStyle w:val="FootnoteReference"/>
        </w:rPr>
        <w:footnoteReference w:id="169"/>
      </w:r>
    </w:p>
    <w:p w:rsidR="00B95D2A" w:rsidRPr="00B95D2A" w:rsidRDefault="00B95D2A" w:rsidP="00AC29DB">
      <w:pPr>
        <w:pStyle w:val="AERquoteindent1"/>
      </w:pPr>
      <w:r>
        <w:lastRenderedPageBreak/>
        <w:t>… Undoubtedly, each differently constituted Tribunal should consider the importance of consistency between Tribunal decisions, but this is not the sole determinative factor nor is consistency an unqualified value.  Consistency may lead to arbitrariness of decision-making, and may not produce the correct legal and just result in the particular case before the Tribunal.  Each Tribunal, considering the application before it, and dealing with the relevant parties, must in accordance with the law, the issues before it, and the evidence, consider and determine the matters raised before the Tribunal.</w:t>
      </w:r>
    </w:p>
    <w:p w:rsidR="00B95D2A" w:rsidRPr="00B95D2A" w:rsidRDefault="00B95D2A" w:rsidP="00AC29DB">
      <w:pPr>
        <w:pStyle w:val="AERbulletlistfirststyle"/>
      </w:pPr>
      <w:r>
        <w:t>The</w:t>
      </w:r>
      <w:r w:rsidRPr="00B95D2A">
        <w:t xml:space="preserve">se same considerations are also applicable to the AER when we examine the material available to us and make our determination for TasNetworks. We are guided by similar principles.  </w:t>
      </w:r>
    </w:p>
    <w:p w:rsidR="00B95D2A" w:rsidRPr="00B95D2A" w:rsidRDefault="00B95D2A" w:rsidP="00AC29DB">
      <w:pPr>
        <w:pStyle w:val="AERbulletlistfirststyle"/>
      </w:pPr>
      <w:r>
        <w:t>It</w:t>
      </w:r>
      <w:r w:rsidRPr="00B95D2A">
        <w:t xml:space="preserve"> is possible that the Full Court decision will not finally determine the value of gamma and this would pose significant difficulties for the applica</w:t>
      </w:r>
      <w:r w:rsidR="00276CAA">
        <w:t>tion of an X-factor adjustment.</w:t>
      </w:r>
      <w:r w:rsidRPr="00B95D2A">
        <w:t xml:space="preserve"> The Full Federal Court is currently reviewing different decisions of differently constituted Tribunals on issues related to the value of gamma.  The Tribunal in Ausgrid found that the value of gamma shou</w:t>
      </w:r>
      <w:r w:rsidR="00276CAA">
        <w:t xml:space="preserve">ld be 0.25. </w:t>
      </w:r>
      <w:r w:rsidRPr="00B95D2A">
        <w:t>The Tribunal in SAPN accepted our decision that a value of gamma of 0.4 was made without error. It is possible that the Full Federal Court could uphold the decision of the Tribunal in Ausgrid (0.25), and yet also uphold the value of gamma accepted by the Tribunal in SAPN (0.4), on the basis that neither of the differently constituted Tribunals made a</w:t>
      </w:r>
      <w:r w:rsidR="00276CAA">
        <w:t xml:space="preserve">ny ‘legally’ reviewable error. </w:t>
      </w:r>
      <w:r w:rsidRPr="00B95D2A">
        <w:t>Alternatively, the Full Federal Court could order a remittal of either or both decisions, without determining the actual value of gamma, or without requiring one particular value of gamma for all of the decisions under review.  It is also possible that any result might be appealed further. We note that in the period since the major electricity and gas reforms of 2012-13 commenced, a value of 0.4 for gamma has already been adopted in determinations for TasNetworks Transmission, Trans</w:t>
      </w:r>
      <w:r w:rsidR="004B0ED0">
        <w:t>G</w:t>
      </w:r>
      <w:r w:rsidRPr="00B95D2A">
        <w:t xml:space="preserve">rid, AGN, Energex and Ergon Energy without any subsequent review or option for change. In short, while we would consider it undesirable for different values of gamma to be applied to different but contemporaneously made determinations, it is not certain that the value of gamma will be settled by the Full Federal Court or that there will be one value of gamma applying to all AER determinations during this current round of resets. </w:t>
      </w:r>
    </w:p>
    <w:p w:rsidR="00B95D2A" w:rsidRDefault="00B95D2A" w:rsidP="00B95D2A">
      <w:r>
        <w:t>In these circumstances, we do not consider it is desirable or appropriate to incorporate an X-factor adjustment to deal with the potential outcome of litigation that is not specifically applicable to TasNetworks.</w:t>
      </w:r>
    </w:p>
    <w:p w:rsidR="00B95D2A" w:rsidRPr="00B95D2A" w:rsidRDefault="00B95D2A" w:rsidP="00B95D2A">
      <w:pPr>
        <w:pStyle w:val="Heading3"/>
      </w:pPr>
      <w:bookmarkStart w:id="150" w:name="_Ref451240961"/>
      <w:bookmarkStart w:id="151" w:name="_Ref451816460"/>
      <w:bookmarkStart w:id="152" w:name="_Toc451842244"/>
      <w:bookmarkStart w:id="153" w:name="_Toc451938300"/>
      <w:bookmarkStart w:id="154" w:name="_Toc456614288"/>
      <w:bookmarkStart w:id="155" w:name="_Toc462823306"/>
      <w:bookmarkStart w:id="156" w:name="_Toc479693956"/>
      <w:bookmarkStart w:id="157" w:name="_Toc480815606"/>
      <w:r>
        <w:t>Response to submissions by stakeholders</w:t>
      </w:r>
      <w:bookmarkEnd w:id="150"/>
      <w:bookmarkEnd w:id="151"/>
      <w:bookmarkEnd w:id="152"/>
      <w:bookmarkEnd w:id="153"/>
      <w:bookmarkEnd w:id="154"/>
      <w:bookmarkEnd w:id="155"/>
      <w:bookmarkEnd w:id="156"/>
      <w:bookmarkEnd w:id="157"/>
    </w:p>
    <w:p w:rsidR="00B95D2A" w:rsidRDefault="00B95D2A" w:rsidP="00B95D2A">
      <w:r>
        <w:t xml:space="preserve">In section </w:t>
      </w:r>
      <w:r>
        <w:fldChar w:fldCharType="begin"/>
      </w:r>
      <w:r>
        <w:instrText xml:space="preserve"> REF _Ref415070393 \r \h </w:instrText>
      </w:r>
      <w:r>
        <w:fldChar w:fldCharType="separate"/>
      </w:r>
      <w:r w:rsidR="003E419A">
        <w:t>A.4</w:t>
      </w:r>
      <w:r>
        <w:fldChar w:fldCharType="end"/>
      </w:r>
      <w:r>
        <w:t xml:space="preserve">, we set out the key issues raised by </w:t>
      </w:r>
      <w:r w:rsidR="00D42E5D">
        <w:t>TasNetworks</w:t>
      </w:r>
      <w:r>
        <w:t xml:space="preserve">, as well as the key issues raised by other service providers we have assessed recently (post-Guideline). The key issues raised are broadly consistent across the service providers. </w:t>
      </w:r>
    </w:p>
    <w:p w:rsidR="00B95D2A" w:rsidRPr="00E43EA2" w:rsidRDefault="00B95D2A" w:rsidP="00B95D2A">
      <w:pPr>
        <w:pStyle w:val="ListParagraph"/>
        <w:numPr>
          <w:ilvl w:val="0"/>
          <w:numId w:val="24"/>
        </w:numPr>
      </w:pPr>
      <w:r w:rsidRPr="00E43EA2">
        <w:fldChar w:fldCharType="begin"/>
      </w:r>
      <w:r w:rsidRPr="00E43EA2">
        <w:instrText xml:space="preserve"> REF _Ref450761546 \h </w:instrText>
      </w:r>
      <w:r w:rsidRPr="00E43EA2">
        <w:fldChar w:fldCharType="separate"/>
      </w:r>
      <w:r w:rsidR="003E419A">
        <w:t xml:space="preserve">Table </w:t>
      </w:r>
      <w:r w:rsidR="003E419A">
        <w:rPr>
          <w:noProof/>
        </w:rPr>
        <w:t>4</w:t>
      </w:r>
      <w:r w:rsidR="003E419A" w:rsidRPr="00856171">
        <w:noBreakHyphen/>
      </w:r>
      <w:r w:rsidR="003E419A">
        <w:rPr>
          <w:noProof/>
        </w:rPr>
        <w:t>5</w:t>
      </w:r>
      <w:r w:rsidRPr="00E43EA2">
        <w:fldChar w:fldCharType="end"/>
      </w:r>
      <w:r w:rsidRPr="00E43EA2">
        <w:t xml:space="preserve"> sets out the key issues raised by</w:t>
      </w:r>
      <w:r>
        <w:t xml:space="preserve"> </w:t>
      </w:r>
      <w:r w:rsidR="00D42E5D">
        <w:t>TasNetworks</w:t>
      </w:r>
      <w:r>
        <w:t xml:space="preserve"> and other</w:t>
      </w:r>
      <w:r w:rsidRPr="00E43EA2">
        <w:t xml:space="preserve"> service providers in their recent proposals. We also provide a summary of our response and a reference to our more detailed response. </w:t>
      </w:r>
    </w:p>
    <w:p w:rsidR="00B95D2A" w:rsidRPr="00856171" w:rsidRDefault="00B95D2A" w:rsidP="00B95D2A">
      <w:pPr>
        <w:pStyle w:val="Caption"/>
      </w:pPr>
      <w:bookmarkStart w:id="158" w:name="_Ref450761546"/>
      <w:r>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rsidRPr="00856171">
        <w:noBreakHyphen/>
      </w:r>
      <w:r w:rsidRPr="001D37D5">
        <w:fldChar w:fldCharType="begin"/>
      </w:r>
      <w:r>
        <w:instrText xml:space="preserve"> SEQ Table \* ARABIC \s 1 </w:instrText>
      </w:r>
      <w:r w:rsidRPr="001D37D5">
        <w:fldChar w:fldCharType="separate"/>
      </w:r>
      <w:r w:rsidR="003E419A">
        <w:rPr>
          <w:noProof/>
        </w:rPr>
        <w:t>5</w:t>
      </w:r>
      <w:r w:rsidRPr="001D37D5">
        <w:fldChar w:fldCharType="end"/>
      </w:r>
      <w:bookmarkEnd w:id="158"/>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990"/>
      </w:tblGrid>
      <w:tr w:rsidR="00B95D2A" w:rsidTr="00AC29DB">
        <w:trPr>
          <w:cnfStyle w:val="100000000000" w:firstRow="1" w:lastRow="0" w:firstColumn="0" w:lastColumn="0" w:oddVBand="0" w:evenVBand="0" w:oddHBand="0" w:evenHBand="0" w:firstRowFirstColumn="0" w:firstRowLastColumn="0" w:lastRowFirstColumn="0" w:lastRowLastColumn="0"/>
          <w:tblHeader/>
        </w:trPr>
        <w:tc>
          <w:tcPr>
            <w:tcW w:w="3652" w:type="dxa"/>
          </w:tcPr>
          <w:p w:rsidR="00B95D2A" w:rsidRPr="00B95D2A" w:rsidRDefault="00B95D2A" w:rsidP="00B95D2A">
            <w:r>
              <w:t>Issue</w:t>
            </w:r>
          </w:p>
        </w:tc>
        <w:tc>
          <w:tcPr>
            <w:tcW w:w="4394" w:type="dxa"/>
          </w:tcPr>
          <w:p w:rsidR="00B95D2A" w:rsidRPr="00B95D2A" w:rsidRDefault="00B95D2A" w:rsidP="00B95D2A">
            <w:r>
              <w:t>Summary of response</w:t>
            </w:r>
          </w:p>
        </w:tc>
        <w:tc>
          <w:tcPr>
            <w:tcW w:w="851" w:type="dxa"/>
          </w:tcPr>
          <w:p w:rsidR="00B95D2A" w:rsidRPr="00B95D2A" w:rsidRDefault="00B95D2A" w:rsidP="00B95D2A">
            <w:r>
              <w:t>S</w:t>
            </w:r>
            <w:r w:rsidRPr="00B95D2A">
              <w:t>ection</w:t>
            </w:r>
          </w:p>
        </w:tc>
      </w:tr>
      <w:tr w:rsidR="00B95D2A" w:rsidTr="00AC29DB">
        <w:tc>
          <w:tcPr>
            <w:tcW w:w="3652" w:type="dxa"/>
          </w:tcPr>
          <w:p w:rsidR="00B95D2A" w:rsidRPr="00B95D2A" w:rsidRDefault="00B95D2A" w:rsidP="00B95D2A">
            <w:pPr>
              <w:rPr>
                <w:rStyle w:val="Strong"/>
              </w:rPr>
            </w:pPr>
            <w:r w:rsidRPr="00E82D06">
              <w:rPr>
                <w:rStyle w:val="Strong"/>
              </w:rPr>
              <w:t xml:space="preserve">Conceptual </w:t>
            </w:r>
            <w:r w:rsidRPr="00B95D2A">
              <w:rPr>
                <w:rStyle w:val="Strong"/>
              </w:rPr>
              <w:t>framework</w:t>
            </w:r>
          </w:p>
        </w:tc>
        <w:tc>
          <w:tcPr>
            <w:tcW w:w="4394" w:type="dxa"/>
          </w:tcPr>
          <w:p w:rsidR="00B95D2A" w:rsidRDefault="00B95D2A" w:rsidP="00B95D2A"/>
        </w:tc>
        <w:tc>
          <w:tcPr>
            <w:tcW w:w="851" w:type="dxa"/>
          </w:tcPr>
          <w:p w:rsidR="00B95D2A" w:rsidRDefault="00B95D2A" w:rsidP="00B95D2A"/>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 xml:space="preserve">Our </w:t>
            </w:r>
            <w:r w:rsidRPr="00B95D2A">
              <w:t>conceptual approach to gamma, redefining it as the value of imputation credits that are available for redemption, is inconsistent with the concept of gamma in the Officer framework for the WACC and inconsistent with the requirements of the NGR/NER and the NGO/NEO. It is also inconsistent with the objective of ensuring a market rate of return on equity.</w:t>
            </w:r>
            <w:r w:rsidRPr="00B95D2A">
              <w:rPr>
                <w:rStyle w:val="FootnoteReference"/>
              </w:rPr>
              <w:footnoteReference w:id="170"/>
            </w:r>
            <w:r w:rsidRPr="00B95D2A">
              <w:t xml:space="preserve"> Frontier considers that theta should be measured as value and not the utilisation of imputation credits.</w:t>
            </w:r>
            <w:r w:rsidRPr="00B95D2A">
              <w:rPr>
                <w:rStyle w:val="FootnoteReference"/>
              </w:rPr>
              <w:footnoteReference w:id="171"/>
            </w:r>
            <w:r w:rsidRPr="00B95D2A">
              <w:t xml:space="preserve"> Frontier considers that if gamma is set anything other than value of imputation credits to investors, investors will be either over or under compensated.</w:t>
            </w:r>
            <w:r w:rsidRPr="00B95D2A">
              <w:rPr>
                <w:rStyle w:val="FootnoteReference"/>
              </w:rPr>
              <w:footnoteReference w:id="172"/>
            </w:r>
          </w:p>
          <w:p w:rsidR="00B95D2A" w:rsidRPr="00B95D2A" w:rsidRDefault="00B95D2A" w:rsidP="00B95D2A">
            <w:r>
              <w:t xml:space="preserve">The </w:t>
            </w:r>
            <w:r w:rsidRPr="00B95D2A">
              <w:t>Ausgrid Tribunal considered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B95D2A">
              <w:rPr>
                <w:rStyle w:val="FootnoteReference"/>
              </w:rPr>
              <w:footnoteReference w:id="173"/>
            </w:r>
          </w:p>
        </w:tc>
        <w:tc>
          <w:tcPr>
            <w:tcW w:w="4394" w:type="dxa"/>
          </w:tcPr>
          <w:p w:rsidR="00B95D2A" w:rsidRPr="00B95D2A" w:rsidRDefault="00B95D2A" w:rsidP="00B95D2A">
            <w:r w:rsidRPr="00365D40">
              <w:t xml:space="preserve">We have not redefined gamma as the value of imputation credits available for redemption. Rather, our conceptual approach considers </w:t>
            </w:r>
            <w:r w:rsidRPr="00B95D2A">
              <w:t xml:space="preserve">imputation credits should be valued on a post-company tax basis, before the impact of personal taxes and transaction costs. This corresponds to valuing imputation credits utilised by eligible investors at their face value and is consistent with the Officer framework. Based on this, we consider gamma to be equal to the product of the distribution rate and the utilisation rate to investors in the market per dollar of credits distributed (the 'utilisation rate'). </w:t>
            </w:r>
          </w:p>
          <w:p w:rsidR="00B95D2A" w:rsidRPr="00B95D2A" w:rsidRDefault="00B95D2A" w:rsidP="00B95D2A">
            <w:r>
              <w:t xml:space="preserve">The equity ownership approach and tax statistics are consistent with our conceptual approach. They value </w:t>
            </w:r>
            <w:r w:rsidRPr="00B95D2A">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B95D2A" w:rsidRPr="00B95D2A" w:rsidRDefault="00B95D2A" w:rsidP="00B95D2A">
            <w:r>
              <w:t>Also, v</w:t>
            </w:r>
            <w:r w:rsidRPr="00B95D2A">
              <w:t>aluing imputation credits at face value is consistent with how all inputs into the allowed rate of return are estimated.</w:t>
            </w:r>
          </w:p>
          <w:p w:rsidR="00B95D2A" w:rsidRPr="00B95D2A" w:rsidRDefault="00B95D2A" w:rsidP="00B95D2A">
            <w:r>
              <w:t>In regards to the 'factors', w</w:t>
            </w:r>
            <w:r w:rsidRPr="00B95D2A">
              <w:t>e have received advice from Handley on these factors. We consider such factors are either immaterial or should not be accounted for when estimating the properly defined utilisation rate.</w:t>
            </w:r>
          </w:p>
        </w:tc>
        <w:tc>
          <w:tcPr>
            <w:tcW w:w="851" w:type="dxa"/>
          </w:tcPr>
          <w:p w:rsidR="00B95D2A" w:rsidRPr="00B95D2A" w:rsidRDefault="00B95D2A" w:rsidP="00B95D2A">
            <w:r w:rsidRPr="00B95D2A">
              <w:fldChar w:fldCharType="begin"/>
            </w:r>
            <w:r w:rsidRPr="00B95D2A">
              <w:instrText xml:space="preserve"> REF _Ref476564330 \r \h </w:instrText>
            </w:r>
            <w:r w:rsidRPr="00B95D2A">
              <w:fldChar w:fldCharType="separate"/>
            </w:r>
            <w:r w:rsidR="003E419A">
              <w:rPr>
                <w:b/>
                <w:bCs/>
                <w:lang w:val="en-US"/>
              </w:rPr>
              <w:t>Error! Reference source not found.</w:t>
            </w:r>
            <w:r w:rsidRPr="00B95D2A">
              <w:fldChar w:fldCharType="end"/>
            </w:r>
          </w:p>
          <w:p w:rsidR="00B95D2A" w:rsidRPr="00B95D2A" w:rsidRDefault="00B95D2A" w:rsidP="00B95D2A">
            <w:r w:rsidRPr="00B95D2A">
              <w:fldChar w:fldCharType="begin"/>
            </w:r>
            <w:r w:rsidRPr="00B95D2A">
              <w:instrText xml:space="preserve"> REF _Ref416802130 \r \h </w:instrText>
            </w:r>
            <w:r w:rsidRPr="00B95D2A">
              <w:fldChar w:fldCharType="separate"/>
            </w:r>
            <w:r w:rsidR="003E419A">
              <w:t>4.3.1</w:t>
            </w:r>
            <w:r w:rsidRPr="00B95D2A">
              <w:fldChar w:fldCharType="end"/>
            </w:r>
          </w:p>
          <w:p w:rsidR="00B95D2A" w:rsidRPr="00B95D2A" w:rsidRDefault="00B95D2A" w:rsidP="00B95D2A">
            <w:r w:rsidRPr="00B95D2A">
              <w:fldChar w:fldCharType="begin"/>
            </w:r>
            <w:r w:rsidRPr="00B95D2A">
              <w:instrText xml:space="preserve"> REF _Ref415144114 \r \h </w:instrText>
            </w:r>
            <w:r w:rsidRPr="00B95D2A">
              <w:fldChar w:fldCharType="separate"/>
            </w:r>
            <w:r w:rsidR="003E419A">
              <w:t>A.5</w:t>
            </w:r>
            <w:r w:rsidRPr="00B95D2A">
              <w:fldChar w:fldCharType="end"/>
            </w:r>
          </w:p>
          <w:p w:rsidR="00B95D2A" w:rsidRPr="00B95D2A" w:rsidRDefault="00B95D2A" w:rsidP="00B95D2A">
            <w:r w:rsidRPr="00B95D2A">
              <w:fldChar w:fldCharType="begin"/>
            </w:r>
            <w:r w:rsidRPr="00B95D2A">
              <w:instrText xml:space="preserve"> REF _Ref400965182 \r \h </w:instrText>
            </w:r>
            <w:r w:rsidRPr="00B95D2A">
              <w:fldChar w:fldCharType="separate"/>
            </w:r>
            <w:r w:rsidR="003E419A">
              <w:t>A.6</w:t>
            </w:r>
            <w:r w:rsidRPr="00B95D2A">
              <w:fldChar w:fldCharType="end"/>
            </w:r>
          </w:p>
          <w:p w:rsidR="00B95D2A" w:rsidRPr="00B95D2A" w:rsidRDefault="00B95D2A" w:rsidP="00B95D2A">
            <w:r w:rsidRPr="00B95D2A">
              <w:fldChar w:fldCharType="begin"/>
            </w:r>
            <w:r w:rsidRPr="00B95D2A">
              <w:instrText xml:space="preserve"> REF _Ref451789926 \r \h </w:instrText>
            </w:r>
            <w:r w:rsidRPr="00B95D2A">
              <w:fldChar w:fldCharType="separate"/>
            </w:r>
            <w:r w:rsidR="003E419A">
              <w:t>A.7</w:t>
            </w:r>
            <w:r w:rsidRPr="00B95D2A">
              <w:fldChar w:fldCharType="end"/>
            </w:r>
          </w:p>
          <w:p w:rsidR="00B95D2A" w:rsidRPr="00B95D2A" w:rsidRDefault="00B95D2A" w:rsidP="00B95D2A">
            <w:r w:rsidRPr="00B95D2A">
              <w:fldChar w:fldCharType="begin"/>
            </w:r>
            <w:r w:rsidRPr="00B95D2A">
              <w:instrText xml:space="preserve"> REF _Ref414623120 \r \h </w:instrText>
            </w:r>
            <w:r w:rsidRPr="00B95D2A">
              <w:fldChar w:fldCharType="separate"/>
            </w:r>
            <w:r w:rsidR="003E419A">
              <w:t>A.8</w:t>
            </w:r>
            <w:r w:rsidRPr="00B95D2A">
              <w:fldChar w:fldCharType="end"/>
            </w:r>
          </w:p>
        </w:tc>
      </w:tr>
      <w:tr w:rsidR="00B95D2A" w:rsidTr="00AC29DB">
        <w:tc>
          <w:tcPr>
            <w:tcW w:w="3652" w:type="dxa"/>
          </w:tcPr>
          <w:p w:rsidR="00B95D2A" w:rsidRPr="00B95D2A" w:rsidRDefault="00B95D2A" w:rsidP="00B95D2A">
            <w:pPr>
              <w:rPr>
                <w:rStyle w:val="Strong"/>
              </w:rPr>
            </w:pPr>
            <w:r w:rsidRPr="00E82D06">
              <w:rPr>
                <w:rStyle w:val="Strong"/>
              </w:rPr>
              <w:t>Distribution rate</w:t>
            </w:r>
          </w:p>
        </w:tc>
        <w:tc>
          <w:tcPr>
            <w:tcW w:w="4394" w:type="dxa"/>
          </w:tcPr>
          <w:p w:rsidR="00B95D2A" w:rsidRDefault="00B95D2A" w:rsidP="00B95D2A"/>
        </w:tc>
        <w:tc>
          <w:tcPr>
            <w:tcW w:w="851" w:type="dxa"/>
          </w:tcPr>
          <w:p w:rsidR="00B95D2A" w:rsidRDefault="00B95D2A" w:rsidP="00B95D2A"/>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It is appropriate to use an all equity based estimate of the distribution rate.</w:t>
            </w:r>
            <w:r w:rsidRPr="00B95D2A">
              <w:rPr>
                <w:rStyle w:val="FootnoteReference"/>
              </w:rPr>
              <w:footnoteReference w:id="174"/>
            </w:r>
            <w:r w:rsidRPr="00B95D2A">
              <w:t xml:space="preserve"> The </w:t>
            </w:r>
            <w:r w:rsidRPr="00B95D2A">
              <w:lastRenderedPageBreak/>
              <w:t>distribution rate for listed equity is likely to be a poor proxy for a benchmark efficient entity.</w:t>
            </w:r>
            <w:r w:rsidRPr="00B95D2A">
              <w:rPr>
                <w:rStyle w:val="FootnoteReference"/>
              </w:rPr>
              <w:footnoteReference w:id="175"/>
            </w:r>
          </w:p>
          <w:p w:rsidR="00B95D2A" w:rsidRPr="00B95D2A" w:rsidRDefault="00B95D2A" w:rsidP="00B95D2A">
            <w:r w:rsidRPr="00692B72">
              <w:t xml:space="preserve">The </w:t>
            </w:r>
            <w:r w:rsidRPr="00B95D2A">
              <w:t>Ausgrid Tribunal considered we provided insufficient reasoning for introducing listed equity distribution rate.</w:t>
            </w:r>
            <w:r w:rsidRPr="00B95D2A">
              <w:rPr>
                <w:rStyle w:val="FootnoteReference"/>
              </w:rPr>
              <w:footnoteReference w:id="176"/>
            </w:r>
          </w:p>
        </w:tc>
        <w:tc>
          <w:tcPr>
            <w:tcW w:w="4394" w:type="dxa"/>
          </w:tcPr>
          <w:p w:rsidR="00B95D2A" w:rsidRPr="00B95D2A" w:rsidRDefault="00B95D2A" w:rsidP="00B95D2A">
            <w:r>
              <w:lastRenderedPageBreak/>
              <w:t xml:space="preserve">We consider the use of a </w:t>
            </w:r>
            <w:r w:rsidRPr="00B95D2A">
              <w:t xml:space="preserve">distribution rate for listed equity is open to us and reasonably reflective of a benchmark </w:t>
            </w:r>
            <w:r w:rsidRPr="00B95D2A">
              <w:lastRenderedPageBreak/>
              <w:t>efficient entity given the difficulties associated with choosing a representative dataset. Lally also recommends distribution rate based on listed equity for a benchmark efficient entity, although he estimates this using financial statements of the top 20 listed firms.</w:t>
            </w:r>
          </w:p>
          <w:p w:rsidR="00B95D2A" w:rsidRPr="00B95D2A" w:rsidRDefault="00B95D2A" w:rsidP="00B95D2A">
            <w:r>
              <w:t>Further, w</w:t>
            </w:r>
            <w:r w:rsidRPr="00B95D2A">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B95D2A" w:rsidRPr="00B95D2A" w:rsidRDefault="00B95D2A" w:rsidP="00B95D2A">
            <w:r w:rsidRPr="000076F2">
              <w:t>Finally, it is not clear that foreign income results in a higher imputation payout ratio. In fact, Lally's analysis suggests the opposite.</w:t>
            </w:r>
          </w:p>
        </w:tc>
        <w:tc>
          <w:tcPr>
            <w:tcW w:w="851" w:type="dxa"/>
          </w:tcPr>
          <w:p w:rsidR="00B95D2A" w:rsidRPr="00B95D2A" w:rsidRDefault="00B95D2A" w:rsidP="00B95D2A">
            <w:r w:rsidRPr="00B95D2A">
              <w:lastRenderedPageBreak/>
              <w:fldChar w:fldCharType="begin"/>
            </w:r>
            <w:r w:rsidRPr="00B95D2A">
              <w:instrText xml:space="preserve"> REF _Ref450761230 \r \h </w:instrText>
            </w:r>
            <w:r w:rsidRPr="00B95D2A">
              <w:fldChar w:fldCharType="separate"/>
            </w:r>
            <w:r w:rsidR="003E419A">
              <w:t>4.4.1</w:t>
            </w:r>
            <w:r w:rsidRPr="00B95D2A">
              <w:fldChar w:fldCharType="end"/>
            </w:r>
          </w:p>
          <w:p w:rsidR="00B95D2A" w:rsidRPr="00B95D2A" w:rsidRDefault="00B95D2A" w:rsidP="00B95D2A">
            <w:r w:rsidRPr="00B95D2A">
              <w:lastRenderedPageBreak/>
              <w:fldChar w:fldCharType="begin"/>
            </w:r>
            <w:r w:rsidRPr="00B95D2A">
              <w:instrText xml:space="preserve"> REF _Ref401133206 \r \h </w:instrText>
            </w:r>
            <w:r w:rsidRPr="00B95D2A">
              <w:fldChar w:fldCharType="separate"/>
            </w:r>
            <w:r w:rsidR="003E419A">
              <w:t>A.10</w:t>
            </w:r>
            <w:r w:rsidRPr="00B95D2A">
              <w:fldChar w:fldCharType="end"/>
            </w:r>
          </w:p>
        </w:tc>
      </w:tr>
      <w:tr w:rsidR="00B95D2A" w:rsidTr="00AC29DB">
        <w:tc>
          <w:tcPr>
            <w:tcW w:w="3652" w:type="dxa"/>
          </w:tcPr>
          <w:p w:rsidR="00B95D2A" w:rsidRPr="00B95D2A" w:rsidRDefault="00B95D2A" w:rsidP="00B95D2A">
            <w:r>
              <w:lastRenderedPageBreak/>
              <w:t>Estimates of the utilisation rate from listed equity (all equity) do not have to be paired with estimates of the distribution rate from listed equity (all equity).</w:t>
            </w:r>
            <w:r w:rsidRPr="00B95D2A">
              <w:rPr>
                <w:rStyle w:val="FootnoteReference"/>
              </w:rPr>
              <w:footnoteReference w:id="177"/>
            </w:r>
            <w:r w:rsidRPr="00B95D2A">
              <w:t xml:space="preserve"> </w:t>
            </w:r>
          </w:p>
        </w:tc>
        <w:tc>
          <w:tcPr>
            <w:tcW w:w="4394" w:type="dxa"/>
          </w:tcPr>
          <w:p w:rsidR="00B95D2A" w:rsidRPr="00B95D2A" w:rsidRDefault="00B95D2A" w:rsidP="00B95D2A">
            <w:r w:rsidRPr="00B95D2A">
              <w:t xml:space="preserve">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w:t>
            </w:r>
            <w:r w:rsidRPr="00B95D2A">
              <w:lastRenderedPageBreak/>
              <w:t>utilisation rate from the equity ownership approach and a distribution rate for listed equity from financial reports of the top 20 listed firms. Lally considered there is good reason not to match datasets.</w:t>
            </w:r>
            <w:r w:rsidRPr="00B95D2A">
              <w:rPr>
                <w:rStyle w:val="FootnoteReference"/>
              </w:rPr>
              <w:footnoteReference w:id="178"/>
            </w:r>
            <w:r w:rsidRPr="00B95D2A">
              <w:t xml:space="preserve"> However, we note given Lally's advice our approach appears to lead to a conservative gamma estimate (in favour of the service provider), as Lally's preferred gamma estimate is 0.5.</w:t>
            </w:r>
            <w:r w:rsidRPr="00B95D2A">
              <w:rPr>
                <w:rStyle w:val="FootnoteReference"/>
              </w:rPr>
              <w:footnoteReference w:id="179"/>
            </w:r>
          </w:p>
        </w:tc>
        <w:tc>
          <w:tcPr>
            <w:tcW w:w="851" w:type="dxa"/>
          </w:tcPr>
          <w:p w:rsidR="00B95D2A" w:rsidRPr="00B95D2A" w:rsidRDefault="00B95D2A" w:rsidP="00B95D2A">
            <w:r w:rsidRPr="00B95D2A">
              <w:lastRenderedPageBreak/>
              <w:fldChar w:fldCharType="begin"/>
            </w:r>
            <w:r w:rsidRPr="00B95D2A">
              <w:instrText xml:space="preserve"> REF _Ref450761230 \r \h </w:instrText>
            </w:r>
            <w:r w:rsidRPr="00B95D2A">
              <w:fldChar w:fldCharType="separate"/>
            </w:r>
            <w:r w:rsidR="003E419A">
              <w:t>4.4.1</w:t>
            </w:r>
            <w:r w:rsidRPr="00B95D2A">
              <w:fldChar w:fldCharType="end"/>
            </w:r>
          </w:p>
          <w:p w:rsidR="00B95D2A" w:rsidRPr="00B95D2A" w:rsidRDefault="00B95D2A" w:rsidP="00B95D2A">
            <w:r w:rsidRPr="00B95D2A">
              <w:fldChar w:fldCharType="begin"/>
            </w:r>
            <w:r w:rsidRPr="00B95D2A">
              <w:instrText xml:space="preserve"> REF _Ref451790065 \r \h </w:instrText>
            </w:r>
            <w:r w:rsidRPr="00B95D2A">
              <w:fldChar w:fldCharType="separate"/>
            </w:r>
            <w:r w:rsidR="003E419A">
              <w:t>A.9</w:t>
            </w:r>
            <w:r w:rsidRPr="00B95D2A">
              <w:fldChar w:fldCharType="end"/>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pPr>
              <w:rPr>
                <w:rStyle w:val="Strong"/>
              </w:rPr>
            </w:pPr>
            <w:r w:rsidRPr="00E82D06">
              <w:rPr>
                <w:rStyle w:val="Strong"/>
              </w:rPr>
              <w:lastRenderedPageBreak/>
              <w:t>Utilisation rate</w:t>
            </w:r>
          </w:p>
        </w:tc>
        <w:tc>
          <w:tcPr>
            <w:tcW w:w="4394" w:type="dxa"/>
          </w:tcPr>
          <w:p w:rsidR="00B95D2A" w:rsidRDefault="00B95D2A" w:rsidP="00B95D2A"/>
        </w:tc>
        <w:tc>
          <w:tcPr>
            <w:tcW w:w="851" w:type="dxa"/>
          </w:tcPr>
          <w:p w:rsidR="00B95D2A" w:rsidRDefault="00B95D2A" w:rsidP="00B95D2A"/>
        </w:tc>
      </w:tr>
      <w:tr w:rsidR="00B95D2A" w:rsidTr="00AC29DB">
        <w:tc>
          <w:tcPr>
            <w:tcW w:w="3652" w:type="dxa"/>
          </w:tcPr>
          <w:p w:rsidR="00B95D2A" w:rsidRPr="00B95D2A" w:rsidRDefault="00B95D2A" w:rsidP="00B95D2A">
            <w:r w:rsidRPr="006B5C23">
              <w:rPr>
                <w:rStyle w:val="AERtextitalic"/>
              </w:rPr>
              <w:t>Equity ownership approach</w:t>
            </w:r>
          </w:p>
        </w:tc>
        <w:tc>
          <w:tcPr>
            <w:tcW w:w="4394" w:type="dxa"/>
          </w:tcPr>
          <w:p w:rsidR="00B95D2A" w:rsidRDefault="00B95D2A" w:rsidP="00B95D2A"/>
        </w:tc>
        <w:tc>
          <w:tcPr>
            <w:tcW w:w="851" w:type="dxa"/>
          </w:tcPr>
          <w:p w:rsidR="00B95D2A" w:rsidRDefault="00B95D2A" w:rsidP="00B95D2A"/>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The equity ownership approach overstates the utilisation rate (</w:t>
            </w:r>
            <w:r w:rsidRPr="00B95D2A">
              <w:t>relative to an upper bound based on tax statistics).</w:t>
            </w:r>
            <w:r w:rsidRPr="00B95D2A">
              <w:rPr>
                <w:rStyle w:val="FootnoteReference"/>
              </w:rPr>
              <w:footnoteReference w:id="180"/>
            </w:r>
            <w:r w:rsidRPr="00B95D2A">
              <w:t xml:space="preserve"> </w:t>
            </w:r>
          </w:p>
          <w:p w:rsidR="00B95D2A" w:rsidRPr="00B95D2A" w:rsidRDefault="00B95D2A" w:rsidP="00B95D2A">
            <w:pPr>
              <w:rPr>
                <w:rStyle w:val="AERtextitalic"/>
              </w:rPr>
            </w:pPr>
            <w:r>
              <w:t>The</w:t>
            </w:r>
            <w:r w:rsidRPr="00B95D2A">
              <w:t xml:space="preserve"> Ausgrid Tribunal considered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B95D2A">
              <w:rPr>
                <w:rStyle w:val="FootnoteReference"/>
              </w:rPr>
              <w:footnoteReference w:id="181"/>
            </w:r>
          </w:p>
        </w:tc>
        <w:tc>
          <w:tcPr>
            <w:tcW w:w="4394" w:type="dxa"/>
          </w:tcPr>
          <w:p w:rsidR="00B95D2A" w:rsidRPr="00B95D2A" w:rsidRDefault="00B95D2A" w:rsidP="00B95D2A">
            <w:r>
              <w:t xml:space="preserve">We do not consider the estimate of the utilisation rate from tax statistics is an upper bound (see </w:t>
            </w:r>
            <w:r w:rsidRPr="00B95D2A">
              <w:t xml:space="preserve">response under 'Tax statistics'). </w:t>
            </w:r>
          </w:p>
          <w:p w:rsidR="00B95D2A" w:rsidRPr="00B95D2A" w:rsidRDefault="00B95D2A" w:rsidP="00B95D2A">
            <w:r>
              <w:t>We consider the 45 day rule</w:t>
            </w:r>
            <w:r w:rsidRPr="00B95D2A">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B95D2A">
              <w:rPr>
                <w:rStyle w:val="FootnoteReference"/>
              </w:rPr>
              <w:footnoteReference w:id="182"/>
            </w:r>
          </w:p>
          <w:p w:rsidR="00B95D2A" w:rsidRPr="00B95D2A" w:rsidRDefault="00B95D2A" w:rsidP="00B95D2A">
            <w:r>
              <w:t>We use an estimate of the utilisation rate below the top of the range from the equity ownership approach.</w:t>
            </w:r>
          </w:p>
        </w:tc>
        <w:tc>
          <w:tcPr>
            <w:tcW w:w="851" w:type="dxa"/>
          </w:tcPr>
          <w:p w:rsidR="00B95D2A" w:rsidRPr="00B95D2A" w:rsidRDefault="00B95D2A" w:rsidP="00B95D2A">
            <w:r w:rsidRPr="00B95D2A">
              <w:fldChar w:fldCharType="begin"/>
            </w:r>
            <w:r w:rsidRPr="00B95D2A">
              <w:instrText xml:space="preserve"> REF _Ref450761230 \r \h </w:instrText>
            </w:r>
            <w:r w:rsidRPr="00B95D2A">
              <w:fldChar w:fldCharType="separate"/>
            </w:r>
            <w:r w:rsidR="003E419A">
              <w:t>4.4.1</w:t>
            </w:r>
            <w:r w:rsidRPr="00B95D2A">
              <w:fldChar w:fldCharType="end"/>
            </w:r>
          </w:p>
          <w:p w:rsidR="00B95D2A" w:rsidRPr="00B95D2A" w:rsidRDefault="00B95D2A" w:rsidP="00B95D2A">
            <w:r w:rsidRPr="00B95D2A">
              <w:fldChar w:fldCharType="begin"/>
            </w:r>
            <w:r w:rsidRPr="00B95D2A">
              <w:instrText xml:space="preserve"> REF _Ref415049811 \r \h </w:instrText>
            </w:r>
            <w:r w:rsidRPr="00B95D2A">
              <w:fldChar w:fldCharType="separate"/>
            </w:r>
            <w:r w:rsidR="003E419A">
              <w:t>A.12</w:t>
            </w:r>
            <w:r w:rsidRPr="00B95D2A">
              <w:fldChar w:fldCharType="end"/>
            </w:r>
          </w:p>
          <w:p w:rsidR="00B95D2A" w:rsidRPr="00B95D2A" w:rsidRDefault="00B95D2A" w:rsidP="00B95D2A">
            <w:r w:rsidRPr="00B95D2A">
              <w:fldChar w:fldCharType="begin"/>
            </w:r>
            <w:r w:rsidRPr="00B95D2A">
              <w:instrText xml:space="preserve"> REF _Ref450298682 \r \h </w:instrText>
            </w:r>
            <w:r w:rsidRPr="00B95D2A">
              <w:fldChar w:fldCharType="separate"/>
            </w:r>
            <w:r w:rsidR="003E419A">
              <w:t>A.14</w:t>
            </w:r>
            <w:r w:rsidRPr="00B95D2A">
              <w:fldChar w:fldCharType="end"/>
            </w:r>
          </w:p>
          <w:p w:rsidR="00B95D2A" w:rsidRPr="00B95D2A" w:rsidRDefault="00B95D2A" w:rsidP="00B95D2A">
            <w:r w:rsidRPr="00B95D2A">
              <w:fldChar w:fldCharType="begin"/>
            </w:r>
            <w:r w:rsidRPr="00B95D2A">
              <w:instrText xml:space="preserve"> REF _Ref414099389 \r \h </w:instrText>
            </w:r>
            <w:r w:rsidRPr="00B95D2A">
              <w:fldChar w:fldCharType="separate"/>
            </w:r>
            <w:r w:rsidR="003E419A">
              <w:t>A.8.3</w:t>
            </w:r>
            <w:r w:rsidRPr="00B95D2A">
              <w:fldChar w:fldCharType="end"/>
            </w:r>
          </w:p>
        </w:tc>
      </w:tr>
      <w:tr w:rsidR="00B95D2A" w:rsidTr="00AC29DB">
        <w:tc>
          <w:tcPr>
            <w:tcW w:w="3652" w:type="dxa"/>
          </w:tcPr>
          <w:p w:rsidR="00B95D2A" w:rsidRPr="00B95D2A" w:rsidRDefault="00B95D2A" w:rsidP="00B95D2A">
            <w:r>
              <w:t>T</w:t>
            </w:r>
            <w:r w:rsidRPr="00B95D2A">
              <w:t>he equity ownership approach is inconsistent with the proper interpretation of the Officer framework.</w:t>
            </w:r>
            <w:r w:rsidRPr="00B95D2A">
              <w:rPr>
                <w:rStyle w:val="FootnoteReference"/>
              </w:rPr>
              <w:footnoteReference w:id="183"/>
            </w:r>
          </w:p>
          <w:p w:rsidR="00B95D2A" w:rsidRPr="00B95D2A" w:rsidRDefault="00B95D2A" w:rsidP="00B95D2A">
            <w:r>
              <w:t xml:space="preserve">The equity ownership approach does not </w:t>
            </w:r>
            <w:r w:rsidRPr="00B95D2A">
              <w:t>reflect factors which affect investors' valuation of imputation credits (below their full face value).</w:t>
            </w:r>
            <w:r w:rsidRPr="00B95D2A">
              <w:rPr>
                <w:rStyle w:val="FootnoteReference"/>
              </w:rPr>
              <w:footnoteReference w:id="184"/>
            </w:r>
          </w:p>
        </w:tc>
        <w:tc>
          <w:tcPr>
            <w:tcW w:w="4394" w:type="dxa"/>
          </w:tcPr>
          <w:p w:rsidR="00B95D2A" w:rsidRPr="00B95D2A" w:rsidRDefault="00B95D2A" w:rsidP="00B95D2A">
            <w:r>
              <w:t>See response under 'Conceptual framework'</w:t>
            </w:r>
            <w:r w:rsidRPr="00B95D2A">
              <w:t xml:space="preserve">. </w:t>
            </w:r>
          </w:p>
        </w:tc>
        <w:tc>
          <w:tcPr>
            <w:tcW w:w="851" w:type="dxa"/>
          </w:tcPr>
          <w:p w:rsidR="00B95D2A" w:rsidRPr="00B95D2A" w:rsidRDefault="00B95D2A" w:rsidP="00B95D2A">
            <w:r w:rsidRPr="00B95D2A">
              <w:fldChar w:fldCharType="begin"/>
            </w:r>
            <w:r w:rsidRPr="00B95D2A">
              <w:instrText xml:space="preserve"> REF _Ref414099389 \r \h </w:instrText>
            </w:r>
            <w:r w:rsidRPr="00B95D2A">
              <w:fldChar w:fldCharType="separate"/>
            </w:r>
            <w:r w:rsidR="003E419A">
              <w:t>A.8.3</w:t>
            </w:r>
            <w:r w:rsidRPr="00B95D2A">
              <w:fldChar w:fldCharType="end"/>
            </w:r>
          </w:p>
          <w:p w:rsidR="00B95D2A" w:rsidRPr="00B95D2A" w:rsidRDefault="00B95D2A" w:rsidP="00B95D2A">
            <w:r w:rsidRPr="00B95D2A">
              <w:fldChar w:fldCharType="begin"/>
            </w:r>
            <w:r w:rsidRPr="00B95D2A">
              <w:instrText xml:space="preserve"> REF _Ref415049811 \r \h </w:instrText>
            </w:r>
            <w:r w:rsidRPr="00B95D2A">
              <w:fldChar w:fldCharType="separate"/>
            </w:r>
            <w:r w:rsidR="003E419A">
              <w:t>A.12</w:t>
            </w:r>
            <w:r w:rsidRPr="00B95D2A">
              <w:fldChar w:fldCharType="end"/>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lastRenderedPageBreak/>
              <w:t>The equity ownership approach can only be used informatively</w:t>
            </w:r>
            <w:r w:rsidRPr="00B95D2A">
              <w:t xml:space="preserve"> as an upper bound or as a check on other estimates (like tax statistics).</w:t>
            </w:r>
            <w:r w:rsidRPr="00B95D2A">
              <w:rPr>
                <w:rStyle w:val="FootnoteReference"/>
              </w:rPr>
              <w:footnoteReference w:id="185"/>
            </w:r>
          </w:p>
        </w:tc>
        <w:tc>
          <w:tcPr>
            <w:tcW w:w="4394" w:type="dxa"/>
          </w:tcPr>
          <w:p w:rsidR="00B95D2A" w:rsidRPr="00B95D2A" w:rsidRDefault="00B95D2A" w:rsidP="00B95D2A">
            <w:r>
              <w:t>The equity ownership approach (and tax statistics) can</w:t>
            </w:r>
            <w:r w:rsidRPr="00B95D2A">
              <w:t xml:space="preserve"> used to generate a point estimate of the utilisation rate.</w:t>
            </w:r>
            <w:r w:rsidRPr="00B95D2A">
              <w:tab/>
            </w:r>
          </w:p>
        </w:tc>
        <w:tc>
          <w:tcPr>
            <w:tcW w:w="851" w:type="dxa"/>
          </w:tcPr>
          <w:p w:rsidR="00B95D2A" w:rsidRPr="00B95D2A" w:rsidRDefault="00B95D2A" w:rsidP="00B95D2A">
            <w:r w:rsidRPr="00B95D2A">
              <w:fldChar w:fldCharType="begin"/>
            </w:r>
            <w:r w:rsidRPr="00B95D2A">
              <w:instrText xml:space="preserve"> REF _Ref476520604 \r \h </w:instrText>
            </w:r>
            <w:r w:rsidRPr="00B95D2A">
              <w:fldChar w:fldCharType="separate"/>
            </w:r>
            <w:r w:rsidR="003E419A">
              <w:rPr>
                <w:b/>
                <w:bCs/>
                <w:lang w:val="en-US"/>
              </w:rPr>
              <w:t>Error! Reference source not found.</w:t>
            </w:r>
            <w:r w:rsidRPr="00B95D2A">
              <w:fldChar w:fldCharType="end"/>
            </w:r>
          </w:p>
          <w:p w:rsidR="00B95D2A" w:rsidRPr="00B95D2A" w:rsidRDefault="00B95D2A" w:rsidP="00B95D2A">
            <w:r w:rsidRPr="00B95D2A">
              <w:fldChar w:fldCharType="begin"/>
            </w:r>
            <w:r w:rsidRPr="00B95D2A">
              <w:instrText xml:space="preserve"> REF _Ref415049811 \r \h </w:instrText>
            </w:r>
            <w:r w:rsidRPr="00B95D2A">
              <w:fldChar w:fldCharType="separate"/>
            </w:r>
            <w:r w:rsidR="003E419A">
              <w:t>A.12</w:t>
            </w:r>
            <w:r w:rsidRPr="00B95D2A">
              <w:fldChar w:fldCharType="end"/>
            </w:r>
          </w:p>
        </w:tc>
      </w:tr>
      <w:tr w:rsidR="00B95D2A" w:rsidTr="00AC29DB">
        <w:tc>
          <w:tcPr>
            <w:tcW w:w="3652" w:type="dxa"/>
          </w:tcPr>
          <w:p w:rsidR="00B95D2A" w:rsidRPr="00B95D2A" w:rsidRDefault="00B95D2A" w:rsidP="00B95D2A">
            <w:r>
              <w:t>The equity ownership approach estimate of the utilisation rate should be based on listed equity</w:t>
            </w:r>
            <w:r w:rsidRPr="00B95D2A">
              <w:t>.</w:t>
            </w:r>
            <w:r w:rsidRPr="00B95D2A">
              <w:rPr>
                <w:rStyle w:val="FootnoteReference"/>
              </w:rPr>
              <w:footnoteReference w:id="186"/>
            </w:r>
          </w:p>
        </w:tc>
        <w:tc>
          <w:tcPr>
            <w:tcW w:w="4394" w:type="dxa"/>
          </w:tcPr>
          <w:p w:rsidR="00B95D2A" w:rsidRPr="00B95D2A" w:rsidRDefault="00B95D2A" w:rsidP="00B95D2A">
            <w:r>
              <w:t>We consider utilisation rates from the equity ownership approach based on listed equity and all equity.</w:t>
            </w:r>
          </w:p>
        </w:tc>
        <w:tc>
          <w:tcPr>
            <w:tcW w:w="851" w:type="dxa"/>
          </w:tcPr>
          <w:p w:rsidR="00B95D2A" w:rsidRPr="00B95D2A" w:rsidRDefault="00B95D2A" w:rsidP="00B95D2A">
            <w:r w:rsidRPr="00B95D2A">
              <w:fldChar w:fldCharType="begin"/>
            </w:r>
            <w:r w:rsidRPr="00B95D2A">
              <w:instrText xml:space="preserve"> REF _Ref401048631 \r \h </w:instrText>
            </w:r>
            <w:r w:rsidRPr="00B95D2A">
              <w:fldChar w:fldCharType="separate"/>
            </w:r>
            <w:r w:rsidR="003E419A">
              <w:t>A.9.1</w:t>
            </w:r>
            <w:r w:rsidRPr="00B95D2A">
              <w:fldChar w:fldCharType="end"/>
            </w:r>
          </w:p>
          <w:p w:rsidR="00B95D2A" w:rsidRPr="00B95D2A" w:rsidRDefault="00B95D2A" w:rsidP="00B95D2A">
            <w:r w:rsidRPr="00B95D2A">
              <w:fldChar w:fldCharType="begin"/>
            </w:r>
            <w:r w:rsidRPr="00B95D2A">
              <w:instrText xml:space="preserve"> REF _Ref415049811 \r \h </w:instrText>
            </w:r>
            <w:r w:rsidRPr="00B95D2A">
              <w:fldChar w:fldCharType="separate"/>
            </w:r>
            <w:r w:rsidR="003E419A">
              <w:t>A.12</w:t>
            </w:r>
            <w:r w:rsidRPr="00B95D2A">
              <w:fldChar w:fldCharType="end"/>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O</w:t>
            </w:r>
            <w:r w:rsidRPr="00B95D2A">
              <w:t>nly the most recent point estimates of the equity ownership share are relevant.</w:t>
            </w:r>
            <w:r w:rsidRPr="00B95D2A">
              <w:rPr>
                <w:rStyle w:val="FootnoteReference"/>
              </w:rPr>
              <w:footnoteReference w:id="187"/>
            </w:r>
          </w:p>
        </w:tc>
        <w:tc>
          <w:tcPr>
            <w:tcW w:w="4394" w:type="dxa"/>
          </w:tcPr>
          <w:p w:rsidR="00B95D2A" w:rsidRPr="00B95D2A" w:rsidRDefault="00B95D2A" w:rsidP="00B95D2A">
            <w:r w:rsidRPr="005B650B">
              <w:t xml:space="preserve">We disagree. Given that the series exhibits considerable volatility, we </w:t>
            </w:r>
            <w:r w:rsidRPr="00B95D2A">
              <w:t xml:space="preserve">consider it is reasonable to not rely solely on the most recent point estimate. Similarly, we estimate an MRP (for the return on equity) that reflects prevailing market conditions using a historical series of excess </w:t>
            </w:r>
            <w:r w:rsidRPr="00B95D2A">
              <w:lastRenderedPageBreak/>
              <w:t xml:space="preserve">returns. </w:t>
            </w:r>
          </w:p>
        </w:tc>
        <w:tc>
          <w:tcPr>
            <w:tcW w:w="851" w:type="dxa"/>
          </w:tcPr>
          <w:p w:rsidR="00B95D2A" w:rsidRPr="00B95D2A" w:rsidRDefault="00B95D2A" w:rsidP="00B95D2A">
            <w:r w:rsidRPr="00B95D2A">
              <w:lastRenderedPageBreak/>
              <w:fldChar w:fldCharType="begin"/>
            </w:r>
            <w:r w:rsidRPr="00B95D2A">
              <w:instrText xml:space="preserve"> REF _Ref415049811 \r \h </w:instrText>
            </w:r>
            <w:r w:rsidRPr="00B95D2A">
              <w:fldChar w:fldCharType="separate"/>
            </w:r>
            <w:r w:rsidR="003E419A">
              <w:t>A.12</w:t>
            </w:r>
            <w:r w:rsidRPr="00B95D2A">
              <w:fldChar w:fldCharType="end"/>
            </w:r>
          </w:p>
        </w:tc>
      </w:tr>
      <w:tr w:rsidR="00B95D2A" w:rsidTr="00AC29DB">
        <w:tc>
          <w:tcPr>
            <w:tcW w:w="3652" w:type="dxa"/>
          </w:tcPr>
          <w:p w:rsidR="00B95D2A" w:rsidRPr="00B95D2A" w:rsidRDefault="00B95D2A" w:rsidP="00B95D2A">
            <w:r w:rsidRPr="006B5C23">
              <w:rPr>
                <w:rStyle w:val="AERtextitalic"/>
              </w:rPr>
              <w:lastRenderedPageBreak/>
              <w:t>Tax statistics</w:t>
            </w:r>
          </w:p>
        </w:tc>
        <w:tc>
          <w:tcPr>
            <w:tcW w:w="4394" w:type="dxa"/>
          </w:tcPr>
          <w:p w:rsidR="00B95D2A" w:rsidRDefault="00B95D2A" w:rsidP="00B95D2A"/>
        </w:tc>
        <w:tc>
          <w:tcPr>
            <w:tcW w:w="851" w:type="dxa"/>
          </w:tcPr>
          <w:p w:rsidR="00B95D2A" w:rsidRDefault="00B95D2A" w:rsidP="00B95D2A"/>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 xml:space="preserve">Tax statistics are inconsistent with the </w:t>
            </w:r>
            <w:r w:rsidRPr="00B95D2A">
              <w:t>proper interpretation of the Officer framework</w:t>
            </w:r>
            <w:r w:rsidRPr="00B95D2A">
              <w:rPr>
                <w:rStyle w:val="FootnoteReference"/>
              </w:rPr>
              <w:footnoteReference w:id="188"/>
            </w:r>
          </w:p>
          <w:p w:rsidR="00B95D2A" w:rsidRPr="00B95D2A" w:rsidRDefault="00B95D2A" w:rsidP="00B95D2A">
            <w:r>
              <w:t>Tax statistics do</w:t>
            </w:r>
            <w:r w:rsidRPr="00B95D2A">
              <w:t xml:space="preserve"> not reflect factors which affect investors' valuation of imputation credits (below their full face value).</w:t>
            </w:r>
            <w:r w:rsidRPr="00B95D2A">
              <w:rPr>
                <w:rStyle w:val="FootnoteReference"/>
              </w:rPr>
              <w:footnoteReference w:id="189"/>
            </w:r>
          </w:p>
        </w:tc>
        <w:tc>
          <w:tcPr>
            <w:tcW w:w="4394" w:type="dxa"/>
          </w:tcPr>
          <w:p w:rsidR="00B95D2A" w:rsidRPr="00B95D2A" w:rsidRDefault="00B95D2A" w:rsidP="00B95D2A">
            <w:r>
              <w:t xml:space="preserve">See </w:t>
            </w:r>
            <w:r w:rsidRPr="00B95D2A">
              <w:t>response under 'Conceptual framework'.</w:t>
            </w:r>
          </w:p>
        </w:tc>
        <w:tc>
          <w:tcPr>
            <w:tcW w:w="851" w:type="dxa"/>
          </w:tcPr>
          <w:p w:rsidR="00B95D2A" w:rsidRPr="00B95D2A" w:rsidRDefault="00B95D2A" w:rsidP="00B95D2A">
            <w:r w:rsidRPr="00B95D2A">
              <w:fldChar w:fldCharType="begin"/>
            </w:r>
            <w:r w:rsidRPr="00B95D2A">
              <w:instrText xml:space="preserve"> REF _Ref476324220 \r \h </w:instrText>
            </w:r>
            <w:r w:rsidRPr="00B95D2A">
              <w:fldChar w:fldCharType="separate"/>
            </w:r>
            <w:r w:rsidR="003E419A">
              <w:rPr>
                <w:b/>
                <w:bCs/>
                <w:lang w:val="en-US"/>
              </w:rPr>
              <w:t>Error! Reference source not found.</w:t>
            </w:r>
            <w:r w:rsidRPr="00B95D2A">
              <w:fldChar w:fldCharType="end"/>
            </w:r>
          </w:p>
          <w:p w:rsidR="00B95D2A" w:rsidRPr="00B95D2A" w:rsidRDefault="00B95D2A" w:rsidP="00B95D2A">
            <w:r w:rsidRPr="00B95D2A">
              <w:fldChar w:fldCharType="begin"/>
            </w:r>
            <w:r w:rsidRPr="00B95D2A">
              <w:instrText xml:space="preserve"> REF _Ref414099389 \r \h </w:instrText>
            </w:r>
            <w:r w:rsidRPr="00B95D2A">
              <w:fldChar w:fldCharType="separate"/>
            </w:r>
            <w:r w:rsidR="003E419A">
              <w:t>A.8.3</w:t>
            </w:r>
            <w:r w:rsidRPr="00B95D2A">
              <w:fldChar w:fldCharType="end"/>
            </w:r>
          </w:p>
          <w:p w:rsidR="00B95D2A" w:rsidRPr="00B95D2A" w:rsidRDefault="00B95D2A" w:rsidP="00B95D2A">
            <w:r w:rsidRPr="00B95D2A">
              <w:fldChar w:fldCharType="begin"/>
            </w:r>
            <w:r w:rsidRPr="00B95D2A">
              <w:instrText xml:space="preserve"> REF _Ref402179420 \r \h </w:instrText>
            </w:r>
            <w:r w:rsidRPr="00B95D2A">
              <w:fldChar w:fldCharType="separate"/>
            </w:r>
            <w:r w:rsidR="003E419A">
              <w:t>A.13</w:t>
            </w:r>
            <w:r w:rsidRPr="00B95D2A">
              <w:fldChar w:fldCharType="end"/>
            </w:r>
          </w:p>
        </w:tc>
      </w:tr>
      <w:tr w:rsidR="00B95D2A" w:rsidTr="00AC29DB">
        <w:tc>
          <w:tcPr>
            <w:tcW w:w="3652" w:type="dxa"/>
          </w:tcPr>
          <w:p w:rsidR="00B95D2A" w:rsidRPr="00B95D2A" w:rsidRDefault="00B95D2A" w:rsidP="00B95D2A">
            <w:pPr>
              <w:rPr>
                <w:rStyle w:val="AERtextitalic"/>
              </w:rPr>
            </w:pPr>
            <w:r>
              <w:t>Tax statistics can only provide an upper bound for the estimate of</w:t>
            </w:r>
            <w:r w:rsidRPr="00B95D2A">
              <w:t xml:space="preserve"> the utilisation rate.</w:t>
            </w:r>
            <w:r w:rsidRPr="00B95D2A">
              <w:rPr>
                <w:rStyle w:val="FootnoteReference"/>
              </w:rPr>
              <w:footnoteReference w:id="190"/>
            </w:r>
          </w:p>
        </w:tc>
        <w:tc>
          <w:tcPr>
            <w:tcW w:w="4394" w:type="dxa"/>
          </w:tcPr>
          <w:p w:rsidR="00B95D2A" w:rsidRPr="00B95D2A" w:rsidRDefault="00B95D2A" w:rsidP="00B95D2A">
            <w:r>
              <w:t>We do not consider t</w:t>
            </w:r>
            <w:r w:rsidRPr="00B95D2A">
              <w:t>ax statistics provide an upper bound estimate. An upper bound is a value above which the true value cannot exceed.</w:t>
            </w:r>
            <w:r w:rsidRPr="00B95D2A">
              <w:rPr>
                <w:rStyle w:val="FootnoteReference"/>
              </w:rPr>
              <w:footnoteReference w:id="191"/>
            </w:r>
          </w:p>
          <w:p w:rsidR="00B95D2A" w:rsidRPr="00B95D2A" w:rsidRDefault="00B95D2A" w:rsidP="00B95D2A">
            <w:r w:rsidRPr="00C70506">
              <w:t xml:space="preserve">Rather, tax statistics provide one point estimate for the </w:t>
            </w:r>
            <w:r w:rsidRPr="00B95D2A">
              <w:t>utilisation rate. This estimate is, by definition, uncertain and dependant on the quality of the underlying data. As such, the true (unknown) value could be higher or lower. Importantly, the quality of the underlying taxation data is poor and experts consider it to be unreliable. Lally considers the tax statistic used by us is not an upper bound.</w:t>
            </w:r>
            <w:r w:rsidRPr="00B95D2A">
              <w:rPr>
                <w:rStyle w:val="FootnoteReference"/>
              </w:rPr>
              <w:footnoteReference w:id="192"/>
            </w:r>
          </w:p>
        </w:tc>
        <w:tc>
          <w:tcPr>
            <w:tcW w:w="851" w:type="dxa"/>
          </w:tcPr>
          <w:p w:rsidR="00B95D2A" w:rsidRPr="00B95D2A" w:rsidRDefault="00B95D2A" w:rsidP="00B95D2A">
            <w:r w:rsidRPr="00B95D2A">
              <w:fldChar w:fldCharType="begin"/>
            </w:r>
            <w:r w:rsidRPr="00B95D2A">
              <w:instrText xml:space="preserve"> REF _Ref450761230 \r \h </w:instrText>
            </w:r>
            <w:r w:rsidRPr="00B95D2A">
              <w:fldChar w:fldCharType="separate"/>
            </w:r>
            <w:r w:rsidR="003E419A">
              <w:t>4.4.1</w:t>
            </w:r>
            <w:r w:rsidRPr="00B95D2A">
              <w:fldChar w:fldCharType="end"/>
            </w:r>
          </w:p>
          <w:p w:rsidR="00B95D2A" w:rsidRPr="00B95D2A" w:rsidRDefault="00B95D2A" w:rsidP="00B95D2A">
            <w:r w:rsidRPr="00B95D2A">
              <w:fldChar w:fldCharType="begin"/>
            </w:r>
            <w:r w:rsidRPr="00B95D2A">
              <w:instrText xml:space="preserve"> REF _Ref402179420 \r \h </w:instrText>
            </w:r>
            <w:r w:rsidRPr="00B95D2A">
              <w:fldChar w:fldCharType="separate"/>
            </w:r>
            <w:r w:rsidR="003E419A">
              <w:t>A.13</w:t>
            </w:r>
            <w:r w:rsidRPr="00B95D2A">
              <w:fldChar w:fldCharType="end"/>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lastRenderedPageBreak/>
              <w:t>T</w:t>
            </w:r>
            <w:r w:rsidRPr="00B95D2A">
              <w:t>ax statistics can estimate gamma reliably as the ratio of credits redeemed to credits created.</w:t>
            </w:r>
            <w:r w:rsidRPr="00B95D2A">
              <w:rPr>
                <w:rStyle w:val="FootnoteReference"/>
              </w:rPr>
              <w:footnoteReference w:id="193"/>
            </w:r>
          </w:p>
        </w:tc>
        <w:tc>
          <w:tcPr>
            <w:tcW w:w="4394" w:type="dxa"/>
          </w:tcPr>
          <w:p w:rsidR="00B95D2A" w:rsidRPr="00B95D2A" w:rsidRDefault="00B95D2A" w:rsidP="00B95D2A">
            <w:r>
              <w:t xml:space="preserve">We do not agree and consistent with Hathaway's </w:t>
            </w:r>
            <w:r w:rsidRPr="00B95D2A">
              <w:t>paper, we consider that caution should be exercised when using ATO statistics to estimate any parameter associated with franking credits.</w:t>
            </w:r>
          </w:p>
        </w:tc>
        <w:tc>
          <w:tcPr>
            <w:tcW w:w="851" w:type="dxa"/>
          </w:tcPr>
          <w:p w:rsidR="00B95D2A" w:rsidRPr="00B95D2A" w:rsidRDefault="00B95D2A" w:rsidP="00B95D2A">
            <w:r w:rsidRPr="00B95D2A">
              <w:fldChar w:fldCharType="begin"/>
            </w:r>
            <w:r w:rsidRPr="00B95D2A">
              <w:instrText xml:space="preserve"> REF _Ref402179420 \r \h </w:instrText>
            </w:r>
            <w:r w:rsidRPr="00B95D2A">
              <w:fldChar w:fldCharType="separate"/>
            </w:r>
            <w:r w:rsidR="003E419A">
              <w:t>A.13</w:t>
            </w:r>
            <w:r w:rsidRPr="00B95D2A">
              <w:fldChar w:fldCharType="end"/>
            </w:r>
          </w:p>
        </w:tc>
      </w:tr>
      <w:tr w:rsidR="00B95D2A" w:rsidTr="00AC29DB">
        <w:tc>
          <w:tcPr>
            <w:tcW w:w="3652" w:type="dxa"/>
          </w:tcPr>
          <w:p w:rsidR="00B95D2A" w:rsidRPr="00B95D2A" w:rsidRDefault="00B95D2A" w:rsidP="00B95D2A">
            <w:r w:rsidRPr="006B5C23">
              <w:rPr>
                <w:rStyle w:val="AERtextitalic"/>
              </w:rPr>
              <w:t>Implied market value studies</w:t>
            </w:r>
          </w:p>
        </w:tc>
        <w:tc>
          <w:tcPr>
            <w:tcW w:w="4394" w:type="dxa"/>
          </w:tcPr>
          <w:p w:rsidR="00B95D2A" w:rsidRDefault="00B95D2A" w:rsidP="00B95D2A"/>
        </w:tc>
        <w:tc>
          <w:tcPr>
            <w:tcW w:w="851" w:type="dxa"/>
          </w:tcPr>
          <w:p w:rsidR="00B95D2A" w:rsidRDefault="00B95D2A" w:rsidP="00B95D2A"/>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W</w:t>
            </w:r>
            <w:r w:rsidRPr="00B95D2A">
              <w:t>e should rely more on estimates of the utilisation rate from implied market value studies as they are direct evidence on the value of imputation credits to investors.</w:t>
            </w:r>
            <w:r w:rsidRPr="00B95D2A">
              <w:rPr>
                <w:rStyle w:val="FootnoteReference"/>
              </w:rPr>
              <w:footnoteReference w:id="194"/>
            </w:r>
            <w:r w:rsidRPr="00B95D2A">
              <w:t xml:space="preserve"> If the value interpretation is adopted, gamma must be estimated with a market based approach.</w:t>
            </w:r>
            <w:r w:rsidRPr="00B95D2A">
              <w:rPr>
                <w:rStyle w:val="FootnoteReference"/>
              </w:rPr>
              <w:footnoteReference w:id="195"/>
            </w:r>
          </w:p>
          <w:p w:rsidR="00B95D2A" w:rsidRPr="00B95D2A" w:rsidRDefault="00B95D2A" w:rsidP="00B95D2A">
            <w:pPr>
              <w:rPr>
                <w:rStyle w:val="AERtextitalic"/>
              </w:rPr>
            </w:pPr>
            <w:r>
              <w:t>T</w:t>
            </w:r>
            <w:r w:rsidRPr="00B95D2A">
              <w:t>he Ausgrid Tribunal considered implied market value studies are best placed to capture the considerations investors make in determining the utilisation rate (or the worth of imputation credits to them).</w:t>
            </w:r>
            <w:r w:rsidRPr="00B95D2A">
              <w:rPr>
                <w:rStyle w:val="FootnoteReference"/>
              </w:rPr>
              <w:footnoteReference w:id="196"/>
            </w:r>
          </w:p>
        </w:tc>
        <w:tc>
          <w:tcPr>
            <w:tcW w:w="4394" w:type="dxa"/>
          </w:tcPr>
          <w:p w:rsidR="00B95D2A" w:rsidRPr="00B95D2A" w:rsidRDefault="00B95D2A" w:rsidP="00B95D2A">
            <w:r>
              <w:t xml:space="preserve">See </w:t>
            </w:r>
            <w:r w:rsidRPr="00B95D2A">
              <w:t>response under 'Conceptual framework'.</w:t>
            </w:r>
          </w:p>
          <w:p w:rsidR="00B95D2A" w:rsidRPr="00B95D2A" w:rsidRDefault="00B95D2A" w:rsidP="00B95D2A">
            <w:r>
              <w:t>E</w:t>
            </w:r>
            <w:r w:rsidRPr="00B95D2A">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B95D2A" w:rsidRPr="00B95D2A" w:rsidRDefault="00B95D2A" w:rsidP="00B95D2A">
            <w:r>
              <w:t>We consider m</w:t>
            </w:r>
            <w:r w:rsidRPr="00B95D2A">
              <w:t>arket value studies do not provide a post-company pre-personal tax estimate of the utilisation rate unless they are corrected for the impact of differential personal taxation on capital gains and dividend income. Without this adjustment they are inconsistent with the Officer framework.</w:t>
            </w:r>
          </w:p>
          <w:p w:rsidR="00B95D2A" w:rsidRDefault="00B95D2A" w:rsidP="00B95D2A"/>
        </w:tc>
        <w:tc>
          <w:tcPr>
            <w:tcW w:w="851" w:type="dxa"/>
          </w:tcPr>
          <w:p w:rsidR="00B95D2A" w:rsidRPr="00B95D2A" w:rsidRDefault="00B95D2A" w:rsidP="00B95D2A">
            <w:r w:rsidRPr="00B95D2A">
              <w:fldChar w:fldCharType="begin"/>
            </w:r>
            <w:r w:rsidRPr="00B95D2A">
              <w:instrText xml:space="preserve"> REF _Ref450761230 \r \h </w:instrText>
            </w:r>
            <w:r w:rsidRPr="00B95D2A">
              <w:fldChar w:fldCharType="separate"/>
            </w:r>
            <w:r w:rsidR="003E419A">
              <w:t>4.4.1</w:t>
            </w:r>
            <w:r w:rsidRPr="00B95D2A">
              <w:fldChar w:fldCharType="end"/>
            </w:r>
          </w:p>
          <w:p w:rsidR="00B95D2A" w:rsidRPr="00B95D2A" w:rsidRDefault="00B95D2A" w:rsidP="00B95D2A">
            <w:r>
              <w:t>A.15</w:t>
            </w:r>
          </w:p>
        </w:tc>
      </w:tr>
      <w:tr w:rsidR="00B95D2A" w:rsidTr="00AC29DB">
        <w:tc>
          <w:tcPr>
            <w:tcW w:w="3652" w:type="dxa"/>
          </w:tcPr>
          <w:p w:rsidR="00B95D2A" w:rsidRPr="00B95D2A" w:rsidRDefault="00B95D2A" w:rsidP="00B95D2A">
            <w:r w:rsidRPr="00B95D2A">
              <w:t>We should exclusively rely on SFG's study, which suggests a best estimate of 0.35 for the utilisation rate.</w:t>
            </w:r>
            <w:r w:rsidRPr="00B95D2A">
              <w:rPr>
                <w:rStyle w:val="FootnoteReference"/>
              </w:rPr>
              <w:footnoteReference w:id="197"/>
            </w:r>
          </w:p>
        </w:tc>
        <w:tc>
          <w:tcPr>
            <w:tcW w:w="4394" w:type="dxa"/>
          </w:tcPr>
          <w:p w:rsidR="00B95D2A" w:rsidRPr="00B95D2A" w:rsidRDefault="00B95D2A" w:rsidP="00B95D2A">
            <w:r>
              <w:t>See response to '</w:t>
            </w:r>
            <w:r w:rsidRPr="00B95D2A">
              <w:t>We should rely more on estimates of the utilisation rate from implied market value studies'.</w:t>
            </w:r>
          </w:p>
          <w:p w:rsidR="00B95D2A" w:rsidRPr="00B95D2A" w:rsidRDefault="00B95D2A" w:rsidP="00B95D2A">
            <w:r>
              <w:t>W</w:t>
            </w:r>
            <w:r w:rsidRPr="00B95D2A">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w:t>
            </w:r>
            <w:r w:rsidRPr="00B95D2A">
              <w:lastRenderedPageBreak/>
              <w:t xml:space="preserve">an adjustment for factors that suggest investors value a dollar of dividends at less than one dollar. </w:t>
            </w:r>
          </w:p>
        </w:tc>
        <w:tc>
          <w:tcPr>
            <w:tcW w:w="851" w:type="dxa"/>
          </w:tcPr>
          <w:p w:rsidR="00B95D2A" w:rsidRPr="00B95D2A" w:rsidRDefault="00B95D2A" w:rsidP="00B95D2A">
            <w:r>
              <w:lastRenderedPageBreak/>
              <w:t>4.4</w:t>
            </w:r>
          </w:p>
          <w:p w:rsidR="00B95D2A" w:rsidRPr="00B95D2A" w:rsidRDefault="00B95D2A" w:rsidP="00B95D2A">
            <w:r>
              <w:t>4.4.1</w:t>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lastRenderedPageBreak/>
              <w:t>T</w:t>
            </w:r>
            <w:r w:rsidRPr="00B95D2A">
              <w:t>he use of implied market value studies to estimate the utilisation rate (and thus gamma) is consistent with the approach to estimating other rate of return parameters.</w:t>
            </w:r>
            <w:r w:rsidRPr="00B95D2A">
              <w:rPr>
                <w:rStyle w:val="FootnoteReference"/>
              </w:rPr>
              <w:footnoteReference w:id="198"/>
            </w:r>
          </w:p>
        </w:tc>
        <w:tc>
          <w:tcPr>
            <w:tcW w:w="4394" w:type="dxa"/>
          </w:tcPr>
          <w:p w:rsidR="00B95D2A" w:rsidRPr="00B95D2A" w:rsidRDefault="00B95D2A" w:rsidP="00B95D2A">
            <w:r>
              <w:t xml:space="preserve">We disagree. See </w:t>
            </w:r>
            <w:r w:rsidRPr="00B95D2A">
              <w:t>response under 'Conceptual framework'.</w:t>
            </w:r>
          </w:p>
        </w:tc>
        <w:tc>
          <w:tcPr>
            <w:tcW w:w="851" w:type="dxa"/>
          </w:tcPr>
          <w:p w:rsidR="00B95D2A" w:rsidRPr="00B95D2A" w:rsidRDefault="00B95D2A" w:rsidP="00B95D2A">
            <w:r w:rsidRPr="00B95D2A">
              <w:fldChar w:fldCharType="begin"/>
            </w:r>
            <w:r w:rsidRPr="00B95D2A">
              <w:instrText xml:space="preserve"> REF _Ref450298425 \r \h </w:instrText>
            </w:r>
            <w:r w:rsidRPr="00B95D2A">
              <w:fldChar w:fldCharType="separate"/>
            </w:r>
            <w:r w:rsidR="003E419A">
              <w:t>A.8.2</w:t>
            </w:r>
            <w:r w:rsidRPr="00B95D2A">
              <w:fldChar w:fldCharType="end"/>
            </w:r>
          </w:p>
          <w:p w:rsidR="00B95D2A" w:rsidRPr="00B95D2A" w:rsidRDefault="00B95D2A" w:rsidP="00B95D2A">
            <w:r>
              <w:t>A.15</w:t>
            </w:r>
          </w:p>
        </w:tc>
      </w:tr>
      <w:tr w:rsidR="00B95D2A" w:rsidTr="00AC29DB">
        <w:tc>
          <w:tcPr>
            <w:tcW w:w="3652" w:type="dxa"/>
          </w:tcPr>
          <w:p w:rsidR="00B95D2A" w:rsidRPr="00B95D2A" w:rsidRDefault="00B95D2A" w:rsidP="00B95D2A">
            <w:r>
              <w:t xml:space="preserve">Under our conceptual approach to gamma, the appropriate adjustment to </w:t>
            </w:r>
            <w:r w:rsidRPr="00B95D2A">
              <w:t>the results of SFG's study results in a gamma of 0.3. However, this adjustment is not necessary because our conceptual approach is incorrect.</w:t>
            </w:r>
            <w:r w:rsidRPr="00B95D2A">
              <w:rPr>
                <w:rStyle w:val="FootnoteReference"/>
              </w:rPr>
              <w:footnoteReference w:id="199"/>
            </w:r>
          </w:p>
        </w:tc>
        <w:tc>
          <w:tcPr>
            <w:tcW w:w="4394" w:type="dxa"/>
          </w:tcPr>
          <w:p w:rsidR="00B95D2A" w:rsidRPr="00B95D2A" w:rsidRDefault="00B95D2A" w:rsidP="00B95D2A">
            <w:r>
              <w:t xml:space="preserve">See </w:t>
            </w:r>
            <w:r w:rsidRPr="00B95D2A">
              <w:t>response under 'Conceptual framework'.</w:t>
            </w:r>
          </w:p>
          <w:p w:rsidR="00B95D2A" w:rsidRPr="00B95D2A" w:rsidRDefault="00B95D2A" w:rsidP="00B95D2A">
            <w:r>
              <w:t xml:space="preserve">We </w:t>
            </w:r>
            <w:r w:rsidRPr="00B95D2A">
              <w:t>disagree and consider the Handley/Lally adjustment is necessary.</w:t>
            </w:r>
          </w:p>
        </w:tc>
        <w:tc>
          <w:tcPr>
            <w:tcW w:w="851" w:type="dxa"/>
          </w:tcPr>
          <w:p w:rsidR="00B95D2A" w:rsidRPr="00B95D2A" w:rsidRDefault="00B95D2A" w:rsidP="00B95D2A">
            <w:r w:rsidRPr="00B95D2A">
              <w:fldChar w:fldCharType="begin"/>
            </w:r>
            <w:r w:rsidRPr="00B95D2A">
              <w:instrText xml:space="preserve"> REF _Ref450761230 \r \h </w:instrText>
            </w:r>
            <w:r w:rsidRPr="00B95D2A">
              <w:fldChar w:fldCharType="separate"/>
            </w:r>
            <w:r w:rsidR="003E419A">
              <w:t>4.4.1</w:t>
            </w:r>
            <w:r w:rsidRPr="00B95D2A">
              <w:fldChar w:fldCharType="end"/>
            </w:r>
          </w:p>
          <w:p w:rsidR="00B95D2A" w:rsidRPr="00B95D2A" w:rsidRDefault="00B95D2A" w:rsidP="00B95D2A">
            <w:r>
              <w:t>A.15</w:t>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t>S</w:t>
            </w:r>
            <w:r w:rsidRPr="00B95D2A">
              <w:t>everal of the limitations that we have identified as applying to implied market value studies do not apply to SFG's study, which has not been assessed individually on its merits.</w:t>
            </w:r>
            <w:r w:rsidRPr="00B95D2A">
              <w:rPr>
                <w:rStyle w:val="FootnoteReference"/>
              </w:rPr>
              <w:footnoteReference w:id="200"/>
            </w:r>
          </w:p>
        </w:tc>
        <w:tc>
          <w:tcPr>
            <w:tcW w:w="4394" w:type="dxa"/>
          </w:tcPr>
          <w:p w:rsidR="00B95D2A" w:rsidRPr="00B95D2A" w:rsidRDefault="00B95D2A" w:rsidP="00B95D2A">
            <w:r>
              <w:t>We consider the key limitations that apply to implied market value studies also apply to SFG's study.</w:t>
            </w:r>
          </w:p>
        </w:tc>
        <w:tc>
          <w:tcPr>
            <w:tcW w:w="851" w:type="dxa"/>
          </w:tcPr>
          <w:p w:rsidR="00B95D2A" w:rsidRPr="00B95D2A" w:rsidRDefault="00B95D2A" w:rsidP="00B95D2A">
            <w:r>
              <w:t>A.15</w:t>
            </w:r>
          </w:p>
        </w:tc>
      </w:tr>
      <w:tr w:rsidR="00B95D2A" w:rsidTr="00AC29DB">
        <w:tc>
          <w:tcPr>
            <w:tcW w:w="3652" w:type="dxa"/>
          </w:tcPr>
          <w:p w:rsidR="00B95D2A" w:rsidRPr="00B95D2A" w:rsidRDefault="00B95D2A" w:rsidP="00B95D2A">
            <w:r>
              <w:t xml:space="preserve">Instead of adjusting the estimate of the utilisation rate (theta) to correct for </w:t>
            </w:r>
            <w:r w:rsidRPr="00B95D2A">
              <w:t>the apparent incorrect valuation of cash dividends, the appropriate response is not to adjust the theta estimate. Rather it is to adjust the allowed return on equity.</w:t>
            </w:r>
            <w:r w:rsidRPr="00B95D2A">
              <w:rPr>
                <w:rStyle w:val="FootnoteReference"/>
              </w:rPr>
              <w:footnoteReference w:id="201"/>
            </w:r>
          </w:p>
        </w:tc>
        <w:tc>
          <w:tcPr>
            <w:tcW w:w="4394" w:type="dxa"/>
          </w:tcPr>
          <w:p w:rsidR="00B95D2A" w:rsidRPr="00B95D2A" w:rsidRDefault="00B95D2A" w:rsidP="00B95D2A">
            <w:r w:rsidRPr="00C80AFF">
              <w:t>We consider that such an adjustment to the allowed return on equity would not be appropriate. The post-co</w:t>
            </w:r>
            <w:r w:rsidRPr="00B95D2A">
              <w:t xml:space="preserve">mpany tax and pre-personal tax required return on the equities market is reflective of the face value of dividends paid in the market, not a higher amount. We also note the equities market sets equilibrium prices based on the expected post-company pre-personal tax returns to shareholders (post-tax dividends, post-tax capital gains and post-tax </w:t>
            </w:r>
            <w:r w:rsidRPr="00B95D2A">
              <w:lastRenderedPageBreak/>
              <w:t>imputation credits).</w:t>
            </w:r>
          </w:p>
          <w:p w:rsidR="00B95D2A" w:rsidRPr="00B95D2A" w:rsidRDefault="00B95D2A" w:rsidP="00B95D2A">
            <w:r>
              <w:t>Lally considers that if dividend drop</w:t>
            </w:r>
            <w:r w:rsidRPr="00B95D2A">
              <w:t>-off studies produce an estimate of cash dividends of less than one, this implies that shareholders do not value dividends as highly as capital gain and this does not suggest that revenue should be increased.</w:t>
            </w:r>
            <w:r w:rsidRPr="00B95D2A">
              <w:rPr>
                <w:rStyle w:val="FootnoteReference"/>
              </w:rPr>
              <w:footnoteReference w:id="202"/>
            </w:r>
          </w:p>
        </w:tc>
        <w:tc>
          <w:tcPr>
            <w:tcW w:w="851" w:type="dxa"/>
          </w:tcPr>
          <w:p w:rsidR="00B95D2A" w:rsidRPr="00B95D2A" w:rsidRDefault="00B95D2A" w:rsidP="00B95D2A">
            <w:r w:rsidRPr="00B95D2A">
              <w:lastRenderedPageBreak/>
              <w:fldChar w:fldCharType="begin"/>
            </w:r>
            <w:r w:rsidRPr="00B95D2A">
              <w:instrText xml:space="preserve"> REF _Ref435171205 \r \h </w:instrText>
            </w:r>
            <w:r w:rsidRPr="00B95D2A">
              <w:fldChar w:fldCharType="separate"/>
            </w:r>
            <w:r w:rsidR="003E419A">
              <w:t>A.15.3</w:t>
            </w:r>
            <w:r w:rsidRPr="00B95D2A">
              <w:fldChar w:fldCharType="end"/>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3652" w:type="dxa"/>
          </w:tcPr>
          <w:p w:rsidR="00B95D2A" w:rsidRPr="00B95D2A" w:rsidRDefault="00B95D2A" w:rsidP="00B95D2A">
            <w:r w:rsidRPr="006B5C23">
              <w:rPr>
                <w:rStyle w:val="Strong"/>
              </w:rPr>
              <w:lastRenderedPageBreak/>
              <w:t>Other</w:t>
            </w:r>
          </w:p>
        </w:tc>
        <w:tc>
          <w:tcPr>
            <w:tcW w:w="4394" w:type="dxa"/>
          </w:tcPr>
          <w:p w:rsidR="00B95D2A" w:rsidRDefault="00B95D2A" w:rsidP="00B95D2A"/>
        </w:tc>
        <w:tc>
          <w:tcPr>
            <w:tcW w:w="851" w:type="dxa"/>
          </w:tcPr>
          <w:p w:rsidR="00B95D2A" w:rsidRDefault="00B95D2A" w:rsidP="00B95D2A"/>
        </w:tc>
      </w:tr>
      <w:tr w:rsidR="00B95D2A" w:rsidTr="00AC29DB">
        <w:tc>
          <w:tcPr>
            <w:tcW w:w="3652" w:type="dxa"/>
          </w:tcPr>
          <w:p w:rsidR="00B95D2A" w:rsidRPr="00B95D2A" w:rsidRDefault="00B95D2A" w:rsidP="00B95D2A">
            <w:r w:rsidRPr="00E82D06">
              <w:t>There is an inconsistency between the corporate income tax and the allowed rate of return.</w:t>
            </w:r>
            <w:r w:rsidRPr="00B95D2A">
              <w:rPr>
                <w:rStyle w:val="FootnoteReference"/>
              </w:rPr>
              <w:footnoteReference w:id="203"/>
            </w:r>
          </w:p>
        </w:tc>
        <w:tc>
          <w:tcPr>
            <w:tcW w:w="4394" w:type="dxa"/>
          </w:tcPr>
          <w:p w:rsidR="00B95D2A" w:rsidRPr="00B95D2A" w:rsidRDefault="00B95D2A" w:rsidP="00B95D2A">
            <w:r>
              <w:t>We disagree. We discuss this</w:t>
            </w:r>
            <w:r w:rsidRPr="00B95D2A">
              <w:t xml:space="preserve"> in detail in section C.6 of Attachment 3.</w:t>
            </w:r>
          </w:p>
        </w:tc>
        <w:tc>
          <w:tcPr>
            <w:tcW w:w="851" w:type="dxa"/>
          </w:tcPr>
          <w:p w:rsidR="00B95D2A" w:rsidRDefault="00B95D2A" w:rsidP="00B95D2A"/>
        </w:tc>
      </w:tr>
    </w:tbl>
    <w:p w:rsidR="00B95D2A" w:rsidRDefault="00B95D2A" w:rsidP="00B95D2A">
      <w:pPr>
        <w:pStyle w:val="AERtablesource"/>
      </w:pPr>
      <w:r>
        <w:t>Source:</w:t>
      </w:r>
      <w:r>
        <w:tab/>
        <w:t>AER analysis; service providers' initial and revised proposals; Tribunal decisions.</w:t>
      </w:r>
    </w:p>
    <w:p w:rsidR="00B95D2A" w:rsidRPr="00883125" w:rsidRDefault="00B95D2A" w:rsidP="00B95D2A">
      <w:r>
        <w:t>We have also received a number of submissions on gamma from consumer representatives. These are</w:t>
      </w:r>
      <w:r w:rsidRPr="00031E20">
        <w:t xml:space="preserve"> </w:t>
      </w:r>
      <w:r w:rsidRPr="00883125">
        <w:t>summarised below:</w:t>
      </w:r>
    </w:p>
    <w:p w:rsidR="00B95D2A" w:rsidRPr="001D37D5" w:rsidRDefault="00B95D2A" w:rsidP="00B95D2A">
      <w:pPr>
        <w:pStyle w:val="AERbulletlistfirststyle"/>
      </w:pPr>
      <w:r w:rsidRPr="00883125">
        <w:t xml:space="preserve">The CCP </w:t>
      </w:r>
      <w:r>
        <w:t xml:space="preserve">for the NSW electricity networks </w:t>
      </w:r>
      <w:r w:rsidRPr="00883125">
        <w:t>expressed a view that suggests we should take into account the interrelationship with the corporate tax allowance when determining the value of imputation credits.</w:t>
      </w:r>
      <w:r w:rsidRPr="001D37D5">
        <w:rPr>
          <w:rStyle w:val="FootnoteReference"/>
        </w:rPr>
        <w:footnoteReference w:id="204"/>
      </w:r>
      <w:r w:rsidRPr="001D37D5">
        <w:t xml:space="preserve"> We address this in section </w:t>
      </w:r>
      <w:r w:rsidRPr="001D37D5">
        <w:fldChar w:fldCharType="begin"/>
      </w:r>
      <w:r w:rsidRPr="001D37D5">
        <w:instrText xml:space="preserve"> REF _Ref415070818 \r \h </w:instrText>
      </w:r>
      <w:r w:rsidRPr="001D37D5">
        <w:fldChar w:fldCharType="separate"/>
      </w:r>
      <w:r w:rsidR="003E419A">
        <w:t>4.3.4</w:t>
      </w:r>
      <w:r w:rsidRPr="001D37D5">
        <w:fldChar w:fldCharType="end"/>
      </w:r>
      <w:r w:rsidRPr="001D37D5">
        <w:t>.</w:t>
      </w:r>
    </w:p>
    <w:p w:rsidR="00B95D2A" w:rsidRPr="001D37D5" w:rsidRDefault="00B95D2A" w:rsidP="00B95D2A">
      <w:pPr>
        <w:pStyle w:val="AERbulletlistfirststyle"/>
      </w:pPr>
      <w:r w:rsidRPr="00883125">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1D37D5">
        <w:rPr>
          <w:rStyle w:val="FootnoteReference"/>
        </w:rPr>
        <w:footnoteReference w:id="205"/>
      </w:r>
      <w:r w:rsidRPr="001D37D5">
        <w:t xml:space="preserve"> We agree with these comments in light of the Tribunal's finding that:</w:t>
      </w:r>
      <w:r w:rsidRPr="001D37D5">
        <w:rPr>
          <w:rStyle w:val="FootnoteReference"/>
        </w:rPr>
        <w:footnoteReference w:id="206"/>
      </w:r>
    </w:p>
    <w:p w:rsidR="00B95D2A" w:rsidRPr="00883125" w:rsidRDefault="00B95D2A" w:rsidP="00B95D2A">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B95D2A" w:rsidRPr="001D37D5" w:rsidRDefault="00B95D2A" w:rsidP="00B95D2A">
      <w:pPr>
        <w:pStyle w:val="AERbulletlistfirststyle"/>
      </w:pPr>
      <w:r w:rsidRPr="00883125">
        <w:t>PIAC also submitted that our draft decisions adequately set out the reasons for departing from the value of imputation credits in the Guideline.</w:t>
      </w:r>
      <w:r w:rsidRPr="001D37D5">
        <w:rPr>
          <w:rStyle w:val="FootnoteReference"/>
        </w:rPr>
        <w:footnoteReference w:id="207"/>
      </w:r>
    </w:p>
    <w:p w:rsidR="00B95D2A" w:rsidRPr="001D37D5" w:rsidRDefault="00B95D2A" w:rsidP="00B95D2A">
      <w:pPr>
        <w:pStyle w:val="AERbulletlistfirststyle"/>
      </w:pPr>
      <w:r w:rsidRPr="00883125">
        <w:lastRenderedPageBreak/>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1D37D5">
        <w:rPr>
          <w:rStyle w:val="FootnoteReference"/>
        </w:rPr>
        <w:footnoteReference w:id="208"/>
      </w:r>
      <w:r w:rsidRPr="001D37D5">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1D37D5">
        <w:rPr>
          <w:rStyle w:val="FootnoteReference"/>
        </w:rPr>
        <w:footnoteReference w:id="209"/>
      </w:r>
      <w:r w:rsidRPr="001D37D5">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1D37D5">
        <w:rPr>
          <w:rStyle w:val="FootnoteReference"/>
        </w:rPr>
        <w:footnoteReference w:id="210"/>
      </w:r>
    </w:p>
    <w:p w:rsidR="00B95D2A" w:rsidRPr="001D37D5" w:rsidRDefault="00B95D2A" w:rsidP="00B95D2A">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1D37D5">
        <w:rPr>
          <w:rStyle w:val="FootnoteReference"/>
        </w:rPr>
        <w:footnoteReference w:id="211"/>
      </w:r>
      <w:r w:rsidRPr="001D37D5">
        <w:t xml:space="preserve"> SACOSS supported a value of imputation credits of at least 0.4. In a subsequent submission on the AER's preliminary decision for SA Power Networks</w:t>
      </w:r>
      <w:r w:rsidR="004B0ED0">
        <w:t>,</w:t>
      </w:r>
      <w:r w:rsidRPr="001D37D5">
        <w:t xml:space="preserve"> SACOSS supported the AER's decision to use the lower estimate of gamma than in the rate of return guideline, although noting its preferred estimate was for a gamma of 0.36. However, given the AER is reporting gamma to one decimal place SACOSS acknowledged that its preferred estimate of 0.36 concurs with the AER's estimate of 0.4 to one decimal place.</w:t>
      </w:r>
      <w:r w:rsidRPr="001D37D5">
        <w:rPr>
          <w:rStyle w:val="FootnoteReference"/>
        </w:rPr>
        <w:footnoteReference w:id="212"/>
      </w:r>
    </w:p>
    <w:p w:rsidR="00B95D2A" w:rsidRPr="001D37D5" w:rsidRDefault="00B95D2A" w:rsidP="00B95D2A">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1D37D5">
        <w:rPr>
          <w:rStyle w:val="FootnoteReference"/>
        </w:rPr>
        <w:footnoteReference w:id="213"/>
      </w:r>
      <w:r w:rsidRPr="001D37D5">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w:t>
      </w:r>
      <w:r w:rsidRPr="001D37D5">
        <w:lastRenderedPageBreak/>
        <w:t>lower utilisation and distribution rates than would otherwise be the case for a pure play energy network which is the benchmark entity for setting the WACC.</w:t>
      </w:r>
      <w:r w:rsidRPr="001D37D5">
        <w:rPr>
          <w:rStyle w:val="FootnoteReference"/>
        </w:rPr>
        <w:footnoteReference w:id="214"/>
      </w:r>
    </w:p>
    <w:p w:rsidR="00B95D2A" w:rsidRPr="001D37D5" w:rsidRDefault="00B95D2A" w:rsidP="00B95D2A">
      <w:pPr>
        <w:pStyle w:val="AERbulletlistfirststyle"/>
      </w:pPr>
      <w:r w:rsidRPr="00883125">
        <w:t xml:space="preserve">In a submission on </w:t>
      </w:r>
      <w:r w:rsidRPr="001D37D5">
        <w:t>our draft decision for Australian Gas Networks, the ECCSA consider that imposing an assumption that the benchmark entity would frank its dividend to the market average is a conservative assumption.</w:t>
      </w:r>
      <w:r w:rsidRPr="001D37D5">
        <w:rPr>
          <w:rStyle w:val="FootnoteReference"/>
        </w:rPr>
        <w:footnoteReference w:id="215"/>
      </w:r>
      <w:r w:rsidRPr="001D37D5">
        <w:t xml:space="preserve"> The AER considers that the benchmark selected to estimate gamma is appropriate. In section </w:t>
      </w:r>
      <w:r w:rsidRPr="001D37D5">
        <w:fldChar w:fldCharType="begin"/>
      </w:r>
      <w:r w:rsidRPr="001D37D5">
        <w:instrText xml:space="preserve"> REF _Ref403481194 \r \h </w:instrText>
      </w:r>
      <w:r w:rsidRPr="001D37D5">
        <w:fldChar w:fldCharType="separate"/>
      </w:r>
      <w:r w:rsidR="003E419A">
        <w:t>A.9.2</w:t>
      </w:r>
      <w:r w:rsidRPr="001D37D5">
        <w:fldChar w:fldCharType="end"/>
      </w:r>
      <w:r w:rsidRPr="001D37D5">
        <w:t xml:space="preserve"> and section </w:t>
      </w:r>
      <w:r w:rsidRPr="001D37D5">
        <w:fldChar w:fldCharType="begin"/>
      </w:r>
      <w:r w:rsidRPr="001D37D5">
        <w:instrText xml:space="preserve"> REF _Ref414289334 \r \h </w:instrText>
      </w:r>
      <w:r w:rsidRPr="001D37D5">
        <w:fldChar w:fldCharType="separate"/>
      </w:r>
      <w:r w:rsidR="003E419A">
        <w:t>A.10.1</w:t>
      </w:r>
      <w:r w:rsidRPr="001D37D5">
        <w:fldChar w:fldCharType="end"/>
      </w:r>
      <w:r w:rsidRPr="001D37D5">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1D37D5">
        <w:rPr>
          <w:rStyle w:val="FootnoteReference"/>
        </w:rPr>
        <w:footnoteReference w:id="216"/>
      </w:r>
      <w:r w:rsidRPr="001D37D5">
        <w:t xml:space="preserve"> In response, the AER considers that gamma and the return on equity are estimated on a consistent basis.</w:t>
      </w:r>
    </w:p>
    <w:p w:rsidR="00B95D2A" w:rsidRPr="001D37D5" w:rsidRDefault="00B95D2A" w:rsidP="00B95D2A">
      <w:pPr>
        <w:pStyle w:val="AERbulletlistfirststyle"/>
      </w:pPr>
      <w:r w:rsidRPr="00883125">
        <w:t>The Queensland Council of Social Service (QCOSS) submitted a 'more even-handed and consistent approach' would be a value of imputation credits of 0.5 as per the Guideline.</w:t>
      </w:r>
      <w:r w:rsidRPr="001D37D5">
        <w:rPr>
          <w:rStyle w:val="FootnoteReference"/>
        </w:rPr>
        <w:footnoteReference w:id="217"/>
      </w:r>
      <w:r w:rsidRPr="001D37D5">
        <w:t xml:space="preserve"> QCOSS had regard to a recent decision by the Queensland Competition Authority for a value of 0.47. We set out in this decision why we consider 0.4 to be the best estimate from within the range 0.3 to 0.5.</w:t>
      </w:r>
    </w:p>
    <w:p w:rsidR="00B95D2A" w:rsidRPr="001D37D5" w:rsidRDefault="00B95D2A" w:rsidP="00B95D2A">
      <w:pPr>
        <w:pStyle w:val="AERbulletlistfirststyle"/>
      </w:pPr>
      <w:r w:rsidRPr="00883125">
        <w:t>The Alliance of Electricity Consumers (the Alliance) employed a value of imputation credits of 0.25 in its estimation of an efficient rate of return.</w:t>
      </w:r>
      <w:r w:rsidRPr="001D37D5">
        <w:rPr>
          <w:rStyle w:val="FootnoteReference"/>
        </w:rPr>
        <w:footnoteReference w:id="218"/>
      </w:r>
      <w:r w:rsidRPr="001D37D5">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B95D2A" w:rsidRDefault="00B95D2A" w:rsidP="00B95D2A">
      <w:pPr>
        <w:pStyle w:val="AERbulletlistfirststyle"/>
      </w:pPr>
      <w:r w:rsidRPr="00883125">
        <w:t>UnitingCare Australia supported our value for gamma, if a value for gamma is necessary.</w:t>
      </w:r>
      <w:r w:rsidRPr="001D37D5">
        <w:rPr>
          <w:rStyle w:val="FootnoteReference"/>
        </w:rPr>
        <w:footnoteReference w:id="219"/>
      </w:r>
      <w:bookmarkStart w:id="159" w:name="_Toc450119234"/>
      <w:bookmarkStart w:id="160" w:name="_Toc450119396"/>
      <w:bookmarkStart w:id="161" w:name="_Toc450119236"/>
      <w:bookmarkStart w:id="162" w:name="_Toc450119398"/>
      <w:bookmarkStart w:id="163" w:name="_Toc450119239"/>
      <w:bookmarkStart w:id="164" w:name="_Toc450119401"/>
      <w:bookmarkEnd w:id="159"/>
      <w:bookmarkEnd w:id="160"/>
      <w:bookmarkEnd w:id="161"/>
      <w:bookmarkEnd w:id="162"/>
      <w:bookmarkEnd w:id="163"/>
      <w:bookmarkEnd w:id="164"/>
    </w:p>
    <w:p w:rsidR="00B95D2A" w:rsidRDefault="00B95D2A" w:rsidP="00B95D2A">
      <w:pPr>
        <w:pStyle w:val="AERbulletlistfirststyle"/>
      </w:pPr>
      <w:r>
        <w:t>The CCP for AusNet Service Transmission sees no clear reason for a further downward departure from the guideline gamma estimate of 0.5.</w:t>
      </w:r>
      <w:r>
        <w:rPr>
          <w:rStyle w:val="FootnoteReference"/>
        </w:rPr>
        <w:footnoteReference w:id="220"/>
      </w:r>
      <w:r>
        <w:t xml:space="preserve"> Their view is that gamma should be at least 0.5 because a higher gamma better meets the NEO and given the imprecision around estimating this input in the revenue calculation.</w:t>
      </w:r>
      <w:r>
        <w:rPr>
          <w:rStyle w:val="FootnoteReference"/>
        </w:rPr>
        <w:footnoteReference w:id="221"/>
      </w:r>
      <w:r>
        <w:t xml:space="preserve"> We agree that </w:t>
      </w:r>
      <w:r>
        <w:lastRenderedPageBreak/>
        <w:t>estimating gamma is an imprecise exercise. However, we consider that a gamma estimate of 0.4 meets the requirement of the NEO.</w:t>
      </w:r>
    </w:p>
    <w:p w:rsidR="00B95D2A" w:rsidRPr="007E0D5C" w:rsidRDefault="00B95D2A" w:rsidP="00B95D2A">
      <w:pPr>
        <w:pStyle w:val="AERbulletlistfirststyle"/>
      </w:pPr>
      <w:r w:rsidRPr="007E0D5C">
        <w:t xml:space="preserve">Tasmanian Counsel of Social Service (TasCOSS) </w:t>
      </w:r>
      <w:r w:rsidR="00276CAA">
        <w:t>believes</w:t>
      </w:r>
      <w:r w:rsidR="009B1202" w:rsidRPr="007E0D5C">
        <w:t xml:space="preserve"> </w:t>
      </w:r>
      <w:r>
        <w:t xml:space="preserve">that gamma should be set consistently with </w:t>
      </w:r>
      <w:r w:rsidRPr="007E0D5C">
        <w:t>the AER's rate of return guideline which was developed by the independent regulator after broad consultation and consideration.</w:t>
      </w:r>
      <w:r w:rsidRPr="007E0D5C">
        <w:rPr>
          <w:rStyle w:val="FootnoteReference"/>
        </w:rPr>
        <w:footnoteReference w:id="222"/>
      </w:r>
      <w:r w:rsidRPr="007E0D5C">
        <w:t xml:space="preserve"> Further, the Tasmanian Small Business Council has strong reservations about the AER's decision to depart from its own guideline in moving </w:t>
      </w:r>
      <w:r w:rsidRPr="00A96789">
        <w:t xml:space="preserve">its gamma estimate </w:t>
      </w:r>
      <w:r w:rsidRPr="007E0D5C">
        <w:t xml:space="preserve">down to 0.4 from </w:t>
      </w:r>
      <w:r>
        <w:t xml:space="preserve">the </w:t>
      </w:r>
      <w:r w:rsidRPr="007E0D5C">
        <w:t xml:space="preserve">0.5 </w:t>
      </w:r>
      <w:r>
        <w:t xml:space="preserve">value </w:t>
      </w:r>
      <w:r w:rsidRPr="007E0D5C">
        <w:t>it originally set.</w:t>
      </w:r>
      <w:r w:rsidRPr="007E0D5C">
        <w:rPr>
          <w:rStyle w:val="FootnoteReference"/>
        </w:rPr>
        <w:footnoteReference w:id="223"/>
      </w:r>
      <w:r w:rsidRPr="007E0D5C">
        <w:t xml:space="preserve"> However, the AER considers there is persuasive evidence to move away from the 0.5 gamma estimate in the rate of return guideline</w:t>
      </w:r>
      <w:r>
        <w:t>, as set out in this chapter</w:t>
      </w:r>
      <w:r w:rsidRPr="007E0D5C">
        <w:t>. The AER considers that a gamma of 0.4 is currently appropriate.</w:t>
      </w:r>
    </w:p>
    <w:p w:rsidR="00B95D2A" w:rsidRPr="00C52695" w:rsidRDefault="00B95D2A" w:rsidP="00B95D2A">
      <w:pPr>
        <w:pStyle w:val="AERbulletlistfirststyle"/>
      </w:pPr>
      <w:r w:rsidRPr="007E0D5C">
        <w:t>The CCP</w:t>
      </w:r>
      <w:r>
        <w:t>4</w:t>
      </w:r>
      <w:r w:rsidRPr="007E0D5C">
        <w:t xml:space="preserve"> </w:t>
      </w:r>
      <w:r>
        <w:t xml:space="preserve">for TasNetworks </w:t>
      </w:r>
      <w:r w:rsidR="00276CAA">
        <w:t>considered</w:t>
      </w:r>
      <w:r w:rsidRPr="007E0D5C">
        <w:t xml:space="preserve"> the AER guideline </w:t>
      </w:r>
      <w:r w:rsidRPr="00C52695">
        <w:t>should be applied in respect to gamma, especially as gamma only has value where there are shareholders subject to the Commonwealth tax on business profits. For regulated businesses that are government owned and not subject to this tax, setting gamma at a level lower than unity merely increases the revenue to these businesses with little legitimate basis and therefore this is an unnecessary cost that is being transferred to consumers.</w:t>
      </w:r>
      <w:r w:rsidRPr="00C52695">
        <w:rPr>
          <w:rStyle w:val="FootnoteReference"/>
        </w:rPr>
        <w:footnoteReference w:id="224"/>
      </w:r>
      <w:r w:rsidRPr="00C52695">
        <w:t xml:space="preserve"> </w:t>
      </w:r>
      <w:r>
        <w:t>In its submission on the AER draft decision and TasNetworks revised proposal, the CCP4 for TasNetworks continues to hold this view.</w:t>
      </w:r>
      <w:r>
        <w:rPr>
          <w:rStyle w:val="FootnoteReference"/>
        </w:rPr>
        <w:footnoteReference w:id="225"/>
      </w:r>
      <w:r>
        <w:t xml:space="preserve"> </w:t>
      </w:r>
      <w:r w:rsidRPr="00C52695">
        <w:t>The AER does not agree and considers there should a single benchmark for the rate of return for the reasons set out in Attachment 3 to this decision. The requirement to estimate gamma consistently with the rate of return means gamma should be determined based on the same single benchmark.</w:t>
      </w:r>
    </w:p>
    <w:p w:rsidR="00B95D2A" w:rsidRDefault="00B95D2A" w:rsidP="00B95D2A">
      <w:pPr>
        <w:pStyle w:val="AERbulletlistfirststyle"/>
      </w:pPr>
      <w:r>
        <w:t>The CCP for AusNet Services' Transmission considers there is no correct value for gamma and there is considerable imprecision around estimating it. The CCP for AusNet Services' Transmission considers the AER's approach is more robust than the methodology sought by the regulated businesses and that the AER should not buy into technical arguments from the regulated businesses that contain many debateable assumptions.</w:t>
      </w:r>
      <w:r>
        <w:rPr>
          <w:rStyle w:val="FootnoteReference"/>
        </w:rPr>
        <w:footnoteReference w:id="226"/>
      </w:r>
      <w:r>
        <w:t xml:space="preserve"> We agree that gamma is a parameter that is imprecise to measure. We have assessed the regulated businesses submissions and overall consider a gamma estimate of 0.4 still remains appropriate.</w:t>
      </w:r>
    </w:p>
    <w:p w:rsidR="00B95D2A" w:rsidRDefault="00B95D2A" w:rsidP="00B95D2A">
      <w:pPr>
        <w:pStyle w:val="AERbulletlistfirststyle"/>
      </w:pPr>
      <w:r>
        <w:t xml:space="preserve">The CCP4 (Headberry) for TasNetworks considers that the AER's gamma estimate is conservative and it should be reassessed in the next guideline review in the next 2 </w:t>
      </w:r>
      <w:r>
        <w:lastRenderedPageBreak/>
        <w:t>years. Given this, the current guideline estimate should apply to TasNetworks.</w:t>
      </w:r>
      <w:r>
        <w:rPr>
          <w:rStyle w:val="FootnoteReference"/>
        </w:rPr>
        <w:footnoteReference w:id="227"/>
      </w:r>
      <w:r>
        <w:t xml:space="preserve"> We do not agree as we have moved away from the guidelines gamma estimate of 0.5. Reassessing the evidence before us since the guideline review, we consider a gamma estimate of 0.4 is appropriate.</w:t>
      </w:r>
    </w:p>
    <w:p w:rsidR="00B95D2A" w:rsidRDefault="00B95D2A" w:rsidP="00B95D2A">
      <w:pPr>
        <w:pStyle w:val="AERbulletlistfirststyle"/>
      </w:pPr>
      <w:r>
        <w:t xml:space="preserve">The </w:t>
      </w:r>
      <w:r w:rsidRPr="007E0D5C">
        <w:t xml:space="preserve">Tasmanian Small Business Council </w:t>
      </w:r>
      <w:r>
        <w:t xml:space="preserve">supports the AER's gamma estimate of 0.4, and notes that this value has been set with extensive and wide ranging consultation. It </w:t>
      </w:r>
      <w:r w:rsidR="00276CAA">
        <w:t>believes</w:t>
      </w:r>
      <w:r>
        <w:t xml:space="preserve"> the 0.4 gamma value should stand unless it is overturned by the eventual outcome of the appeals process.</w:t>
      </w:r>
      <w:r>
        <w:rPr>
          <w:rStyle w:val="FootnoteReference"/>
        </w:rPr>
        <w:footnoteReference w:id="228"/>
      </w:r>
      <w:r>
        <w:t xml:space="preserve"> The CCP4 (Headberry) for Powerlink notes that despite the SAPN Tribunal upholding the 0.4 gamma estimate, Powerlink expresses a desire to benefit from a lower gamma estimate if this is the result of the Full Federal Court.</w:t>
      </w:r>
      <w:r>
        <w:rPr>
          <w:rStyle w:val="FootnoteReference"/>
        </w:rPr>
        <w:footnoteReference w:id="229"/>
      </w:r>
      <w:r>
        <w:t xml:space="preserve"> At the time we released this final decision, the outcome of both Full Federal Court decisions was unknown. As a result, we have been unable to incorporate the Full Federal Court</w:t>
      </w:r>
      <w:r w:rsidR="00276CAA">
        <w:t>'</w:t>
      </w:r>
      <w:r>
        <w:t xml:space="preserve">s decision in this final decision. Further, we </w:t>
      </w:r>
      <w:r w:rsidR="009619EF">
        <w:t>consider</w:t>
      </w:r>
      <w:r>
        <w:t xml:space="preserve"> it is inappropriate to adjust the total revenue for the service providers within the access arrangement (either via cost pass through or x-factor mechanism) for the outcome of the Full Federal Court decision on gamma.</w:t>
      </w:r>
    </w:p>
    <w:p w:rsidR="00132D43" w:rsidRDefault="00132D43" w:rsidP="00132D43"/>
    <w:p w:rsidR="00AC29DB" w:rsidRPr="00883125" w:rsidRDefault="00AC29DB" w:rsidP="00AC29DB">
      <w:pPr>
        <w:pStyle w:val="Heading7"/>
      </w:pPr>
      <w:bookmarkStart w:id="165" w:name="_Toc436049441"/>
      <w:bookmarkStart w:id="166" w:name="_Toc451842245"/>
      <w:bookmarkStart w:id="167" w:name="_Toc451938301"/>
      <w:bookmarkStart w:id="168" w:name="_Toc456614289"/>
      <w:bookmarkStart w:id="169" w:name="_Toc462823307"/>
      <w:bookmarkStart w:id="170" w:name="_Toc479693957"/>
      <w:bookmarkStart w:id="171" w:name="_Toc480815607"/>
      <w:r w:rsidRPr="008919F2">
        <w:lastRenderedPageBreak/>
        <w:t>Value</w:t>
      </w:r>
      <w:r w:rsidRPr="00883125">
        <w:t xml:space="preserve"> of imputation credits: Detailed analysis</w:t>
      </w:r>
      <w:bookmarkEnd w:id="165"/>
      <w:bookmarkEnd w:id="166"/>
      <w:bookmarkEnd w:id="167"/>
      <w:bookmarkEnd w:id="168"/>
      <w:bookmarkEnd w:id="169"/>
      <w:bookmarkEnd w:id="170"/>
      <w:bookmarkEnd w:id="171"/>
    </w:p>
    <w:p w:rsidR="00B95D2A" w:rsidRPr="00883125" w:rsidRDefault="00B95D2A" w:rsidP="00B95D2A">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B95D2A" w:rsidRDefault="00B95D2A" w:rsidP="00B95D2A">
      <w:r>
        <w:t>TasNetworks</w:t>
      </w:r>
      <w:r w:rsidR="00492EFD">
        <w:t>'</w:t>
      </w:r>
      <w:r>
        <w:t xml:space="preserve"> proposed a gamma estimate of 0.4 consistent with the SAPN Tribunal decision.</w:t>
      </w:r>
      <w:r>
        <w:rPr>
          <w:rStyle w:val="FootnoteReference"/>
        </w:rPr>
        <w:footnoteReference w:id="230"/>
      </w:r>
      <w:r>
        <w:t xml:space="preserve"> This is consistent with our </w:t>
      </w:r>
      <w:r w:rsidRPr="00883125">
        <w:t xml:space="preserve">Guideline based approach to estimating gamma as reflected in our decisions released in </w:t>
      </w:r>
      <w:r>
        <w:t>2014 (</w:t>
      </w:r>
      <w:r w:rsidRPr="00883125">
        <w:t>November</w:t>
      </w:r>
      <w:r>
        <w:t>) and 2015 (April and June). We also adopted our Guideline based approached in decisions released in 2015 (October and November) and 2016 (May and July). Throughout this document we refer to our decisions released from Nov 2014 to July 2016 as our recent decisions.</w:t>
      </w:r>
      <w:r w:rsidRPr="00883125">
        <w:rPr>
          <w:rStyle w:val="FootnoteReference"/>
        </w:rPr>
        <w:t xml:space="preserve"> </w:t>
      </w:r>
    </w:p>
    <w:p w:rsidR="00B95D2A" w:rsidRDefault="00B95D2A" w:rsidP="00B95D2A">
      <w:r>
        <w:t>However, TasNetworks consider</w:t>
      </w:r>
      <w:r w:rsidR="00492EFD">
        <w:t>ed</w:t>
      </w:r>
      <w:r>
        <w:t xml:space="preserve"> the X-factor definition should be change to allow for any changes in gamma, following the conclusion of the court proceedings relating to the merit review sought by ActewAGL Distribution, Ausgrid, Endeavour Energy, Essential Energy and Jemena Gas Networks.</w:t>
      </w:r>
      <w:r w:rsidRPr="009B20EA">
        <w:rPr>
          <w:rStyle w:val="FootnoteReference"/>
        </w:rPr>
        <w:t xml:space="preserve"> </w:t>
      </w:r>
      <w:r>
        <w:rPr>
          <w:rStyle w:val="FootnoteReference"/>
        </w:rPr>
        <w:footnoteReference w:id="231"/>
      </w:r>
    </w:p>
    <w:p w:rsidR="00B95D2A" w:rsidRPr="00883125" w:rsidRDefault="00B95D2A" w:rsidP="00B95D2A">
      <w:r w:rsidRPr="00883125">
        <w:t xml:space="preserve">Consistent with our </w:t>
      </w:r>
      <w:r>
        <w:t>recent 2016</w:t>
      </w:r>
      <w:r w:rsidRPr="00883125">
        <w:t xml:space="preserve"> decision</w:t>
      </w:r>
      <w:r>
        <w:t>s</w:t>
      </w:r>
      <w:r w:rsidRPr="00883125">
        <w:t xml:space="preserve">, in </w:t>
      </w:r>
      <w:r>
        <w:t>this final</w:t>
      </w:r>
      <w:r w:rsidRPr="00883125">
        <w:t xml:space="preserve"> decision we have adopted a value of 0.4 for gamma. We remain of the view 0.4 is appropriate having given careful consideration to all the material before us. </w:t>
      </w:r>
    </w:p>
    <w:p w:rsidR="00B95D2A" w:rsidRDefault="00B95D2A" w:rsidP="00B95D2A">
      <w:r>
        <w:t>This appendix is structured under the following headings:</w:t>
      </w:r>
    </w:p>
    <w:p w:rsidR="00B95D2A" w:rsidRPr="001D37D5" w:rsidRDefault="00B95D2A" w:rsidP="00B95D2A">
      <w:pPr>
        <w:pStyle w:val="AERbulletlistfirststyle"/>
      </w:pPr>
      <w:r>
        <w:t>expert views</w:t>
      </w:r>
      <w:r w:rsidRPr="001D37D5">
        <w:t xml:space="preserve"> on the value of imputation credits</w:t>
      </w:r>
      <w:r w:rsidRPr="001D37D5" w:rsidDel="00BD4879">
        <w:t xml:space="preserve"> </w:t>
      </w:r>
    </w:p>
    <w:p w:rsidR="00B95D2A" w:rsidRPr="001D37D5" w:rsidRDefault="00B95D2A" w:rsidP="00B95D2A">
      <w:pPr>
        <w:pStyle w:val="AERbulletlistfirststyle"/>
      </w:pPr>
      <w:r>
        <w:t xml:space="preserve">the </w:t>
      </w:r>
      <w:r w:rsidRPr="001D37D5">
        <w:t>value of imputation credits used by other regulators</w:t>
      </w:r>
      <w:r w:rsidRPr="001D37D5" w:rsidDel="00BD4879">
        <w:t xml:space="preserve"> </w:t>
      </w:r>
    </w:p>
    <w:p w:rsidR="00B95D2A" w:rsidRPr="001D37D5" w:rsidRDefault="00B95D2A" w:rsidP="00B95D2A">
      <w:pPr>
        <w:pStyle w:val="AERbulletlistfirststyle"/>
      </w:pPr>
      <w:r>
        <w:t xml:space="preserve">previous </w:t>
      </w:r>
      <w:r w:rsidRPr="001D37D5">
        <w:t>Australian Competition Tribunal (Tribunal) considerations</w:t>
      </w:r>
    </w:p>
    <w:p w:rsidR="00B95D2A" w:rsidRPr="001D37D5" w:rsidRDefault="00B95D2A" w:rsidP="00B95D2A">
      <w:pPr>
        <w:pStyle w:val="AERbulletlistfirststyle"/>
      </w:pPr>
      <w:r>
        <w:t>key</w:t>
      </w:r>
      <w:r w:rsidRPr="001D37D5" w:rsidDel="00BD4879">
        <w:t xml:space="preserve"> </w:t>
      </w:r>
      <w:r w:rsidRPr="001D37D5">
        <w:t>concerns of the service providers</w:t>
      </w:r>
      <w:r w:rsidRPr="001D37D5" w:rsidDel="00BD4879">
        <w:t xml:space="preserve"> </w:t>
      </w:r>
    </w:p>
    <w:p w:rsidR="00B95D2A" w:rsidRPr="001D37D5" w:rsidRDefault="00B95D2A" w:rsidP="00B95D2A">
      <w:pPr>
        <w:pStyle w:val="AERbulletlistfirststyle"/>
      </w:pPr>
      <w:r>
        <w:t xml:space="preserve">the </w:t>
      </w:r>
      <w:r w:rsidRPr="001D37D5">
        <w:t>role of the value of imputation credits in the regulatory framework</w:t>
      </w:r>
      <w:r w:rsidRPr="001D37D5" w:rsidDel="00BD4879">
        <w:t xml:space="preserve"> </w:t>
      </w:r>
    </w:p>
    <w:p w:rsidR="00B95D2A" w:rsidRPr="001D37D5" w:rsidRDefault="00B95D2A" w:rsidP="00B95D2A">
      <w:pPr>
        <w:pStyle w:val="AERbulletlistfirststyle"/>
      </w:pPr>
      <w:r>
        <w:t xml:space="preserve">the </w:t>
      </w:r>
      <w:r w:rsidRPr="001D37D5">
        <w:t>conceptual framework for the value of imputation credits</w:t>
      </w:r>
      <w:r w:rsidRPr="001D37D5" w:rsidDel="00BD4879">
        <w:t xml:space="preserve"> </w:t>
      </w:r>
    </w:p>
    <w:p w:rsidR="00B95D2A" w:rsidRPr="001D37D5" w:rsidRDefault="00B95D2A" w:rsidP="00B95D2A">
      <w:pPr>
        <w:pStyle w:val="AERbulletlistfirststyle"/>
      </w:pPr>
      <w:r>
        <w:t xml:space="preserve">Professor Stephen Gray's (Gray's) </w:t>
      </w:r>
      <w:r w:rsidRPr="001D37D5">
        <w:t>comments on the conceptual framework</w:t>
      </w:r>
    </w:p>
    <w:p w:rsidR="00B95D2A" w:rsidRPr="001D37D5" w:rsidRDefault="00B95D2A" w:rsidP="00B95D2A">
      <w:pPr>
        <w:pStyle w:val="AERbulletlistfirststyle"/>
      </w:pPr>
      <w:r>
        <w:t>further</w:t>
      </w:r>
      <w:r w:rsidRPr="001D37D5" w:rsidDel="00BD4879">
        <w:t xml:space="preserve"> </w:t>
      </w:r>
      <w:r w:rsidRPr="001D37D5">
        <w:t>issues relating to the utilisation rate</w:t>
      </w:r>
      <w:r w:rsidRPr="001D37D5" w:rsidDel="00BD4879">
        <w:t xml:space="preserve"> </w:t>
      </w:r>
    </w:p>
    <w:p w:rsidR="00B95D2A" w:rsidRPr="001D37D5" w:rsidRDefault="00B95D2A" w:rsidP="00B95D2A">
      <w:pPr>
        <w:pStyle w:val="AERbulletlistfirststyle"/>
      </w:pPr>
      <w:r>
        <w:t xml:space="preserve">estimation </w:t>
      </w:r>
      <w:r w:rsidRPr="001D37D5">
        <w:t>approach considerations</w:t>
      </w:r>
      <w:r w:rsidRPr="001D37D5" w:rsidDel="00BD4879">
        <w:t xml:space="preserve"> </w:t>
      </w:r>
    </w:p>
    <w:p w:rsidR="00B95D2A" w:rsidRPr="001D37D5" w:rsidRDefault="00B95D2A" w:rsidP="00B95D2A">
      <w:pPr>
        <w:pStyle w:val="AERbulletlistfirststyle"/>
      </w:pPr>
      <w:r>
        <w:t xml:space="preserve">estimating </w:t>
      </w:r>
      <w:r w:rsidRPr="001D37D5">
        <w:t>the distribution rate</w:t>
      </w:r>
    </w:p>
    <w:p w:rsidR="00B95D2A" w:rsidRPr="001D37D5" w:rsidRDefault="00B95D2A" w:rsidP="00B95D2A">
      <w:pPr>
        <w:pStyle w:val="AERbulletlistfirststyle"/>
      </w:pPr>
      <w:r>
        <w:lastRenderedPageBreak/>
        <w:t xml:space="preserve">application </w:t>
      </w:r>
      <w:r w:rsidRPr="001D37D5">
        <w:t>of rate of return criteria to evidence on the utilisation rate</w:t>
      </w:r>
    </w:p>
    <w:p w:rsidR="00B95D2A" w:rsidRPr="001D37D5" w:rsidRDefault="00B95D2A" w:rsidP="00B95D2A">
      <w:pPr>
        <w:pStyle w:val="AERbulletlistfirststyle"/>
      </w:pPr>
      <w:r>
        <w:t xml:space="preserve">the </w:t>
      </w:r>
      <w:r w:rsidRPr="001D37D5">
        <w:t>equity ownership approach</w:t>
      </w:r>
    </w:p>
    <w:p w:rsidR="00B95D2A" w:rsidRPr="001D37D5" w:rsidRDefault="00B95D2A" w:rsidP="00B95D2A">
      <w:pPr>
        <w:pStyle w:val="AERbulletlistfirststyle"/>
      </w:pPr>
      <w:r>
        <w:t>tax statistics</w:t>
      </w:r>
    </w:p>
    <w:p w:rsidR="00B95D2A" w:rsidRPr="001D37D5" w:rsidRDefault="00B95D2A" w:rsidP="00B95D2A">
      <w:pPr>
        <w:pStyle w:val="AERbulletlistfirststyle"/>
      </w:pPr>
      <w:r>
        <w:t xml:space="preserve">the </w:t>
      </w:r>
      <w:r w:rsidRPr="001D37D5">
        <w:t>difference between equity ownership approach and tax statistics</w:t>
      </w:r>
    </w:p>
    <w:p w:rsidR="00B95D2A" w:rsidRDefault="00B95D2A" w:rsidP="00B95D2A">
      <w:pPr>
        <w:pStyle w:val="AERbulletlistfirststyle"/>
      </w:pPr>
      <w:r w:rsidRPr="00B27BE5">
        <w:t>implied market value studies</w:t>
      </w:r>
    </w:p>
    <w:p w:rsidR="00B95D2A" w:rsidRPr="00B27BE5" w:rsidRDefault="00276CAA" w:rsidP="00B95D2A">
      <w:pPr>
        <w:pStyle w:val="AERbulletlistfirststyle"/>
      </w:pPr>
      <w:r>
        <w:t>r</w:t>
      </w:r>
      <w:r w:rsidR="00B95D2A">
        <w:t>evised consideration of the conceptual goalposts approach</w:t>
      </w:r>
      <w:r w:rsidR="00492EFD">
        <w:t>.</w:t>
      </w:r>
    </w:p>
    <w:p w:rsidR="00B95D2A" w:rsidRPr="00883125" w:rsidRDefault="00B95D2A" w:rsidP="00B95D2A">
      <w:pPr>
        <w:pStyle w:val="Heading8"/>
      </w:pPr>
      <w:bookmarkStart w:id="172" w:name="_Ref414621676"/>
      <w:bookmarkStart w:id="173" w:name="_Toc436049442"/>
      <w:bookmarkStart w:id="174" w:name="_Toc451842246"/>
      <w:bookmarkStart w:id="175" w:name="_Toc451938302"/>
      <w:bookmarkStart w:id="176" w:name="_Toc456614290"/>
      <w:bookmarkStart w:id="177" w:name="_Toc462823308"/>
      <w:bookmarkStart w:id="178" w:name="_Toc479693958"/>
      <w:bookmarkStart w:id="179" w:name="_Toc480815608"/>
      <w:r w:rsidRPr="00883125">
        <w:t>Expert views on the value of imputation credits</w:t>
      </w:r>
      <w:bookmarkEnd w:id="172"/>
      <w:bookmarkEnd w:id="173"/>
      <w:bookmarkEnd w:id="174"/>
      <w:bookmarkEnd w:id="175"/>
      <w:bookmarkEnd w:id="176"/>
      <w:bookmarkEnd w:id="177"/>
      <w:bookmarkEnd w:id="178"/>
      <w:bookmarkEnd w:id="179"/>
    </w:p>
    <w:p w:rsidR="00B95D2A" w:rsidRPr="00883125" w:rsidRDefault="00B95D2A" w:rsidP="00B95D2A">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3E419A" w:rsidRPr="00883125">
        <w:t xml:space="preserve">Table </w:t>
      </w:r>
      <w:r w:rsidR="003E419A">
        <w:rPr>
          <w:noProof/>
        </w:rPr>
        <w:t>4</w:t>
      </w:r>
      <w:r w:rsidR="003E419A">
        <w:noBreakHyphen/>
      </w:r>
      <w:r w:rsidR="003E419A">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decision </w:t>
      </w:r>
      <w:r>
        <w:t>we have</w:t>
      </w:r>
      <w:r w:rsidRPr="00883125">
        <w:t xml:space="preserve"> considered the new expert report </w:t>
      </w:r>
      <w:r>
        <w:t>submitted by several</w:t>
      </w:r>
      <w:r w:rsidRPr="00883125">
        <w:t xml:space="preserve"> </w:t>
      </w:r>
      <w:r>
        <w:t>service provider</w:t>
      </w:r>
      <w:r w:rsidRPr="00883125">
        <w:t>s</w:t>
      </w:r>
      <w:r>
        <w:t xml:space="preserve"> in January 2016 and September 2016.</w:t>
      </w:r>
      <w:r>
        <w:rPr>
          <w:rStyle w:val="FootnoteReference"/>
        </w:rPr>
        <w:footnoteReference w:id="232"/>
      </w:r>
      <w:r>
        <w:t xml:space="preserve"> We</w:t>
      </w:r>
      <w:r w:rsidRPr="00883125">
        <w:t xml:space="preserve"> </w:t>
      </w:r>
      <w:r>
        <w:t>have</w:t>
      </w:r>
      <w:r w:rsidRPr="00883125">
        <w:t xml:space="preserve"> </w:t>
      </w:r>
      <w:r>
        <w:t xml:space="preserve">also </w:t>
      </w:r>
      <w:r w:rsidRPr="00883125">
        <w:t>commissioned expert advice</w:t>
      </w:r>
      <w:r>
        <w:t xml:space="preserve"> from Lally</w:t>
      </w:r>
      <w:r w:rsidRPr="00883125">
        <w:t>.</w:t>
      </w:r>
      <w:r>
        <w:rPr>
          <w:rStyle w:val="FootnoteReference"/>
        </w:rPr>
        <w:footnoteReference w:id="233"/>
      </w:r>
      <w:r w:rsidRPr="00883125">
        <w:t xml:space="preserve"> We consider the new expert report</w:t>
      </w:r>
      <w:r>
        <w:t>s</w:t>
      </w:r>
      <w:r w:rsidRPr="00883125">
        <w:t xml:space="preserve"> do not provide new evidence to justify a departure from the position we adopted in the decisions we released in </w:t>
      </w:r>
      <w:r>
        <w:t>2016</w:t>
      </w:r>
      <w:r w:rsidRPr="00883125">
        <w:t>.</w:t>
      </w:r>
    </w:p>
    <w:p w:rsidR="00B95D2A" w:rsidRPr="00883125" w:rsidRDefault="00B95D2A" w:rsidP="00B95D2A">
      <w:pPr>
        <w:pStyle w:val="Caption"/>
      </w:pPr>
      <w:bookmarkStart w:id="180" w:name="_Ref400609043"/>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6</w:t>
      </w:r>
      <w:r w:rsidRPr="001D37D5">
        <w:fldChar w:fldCharType="end"/>
      </w:r>
      <w:bookmarkEnd w:id="180"/>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B95D2A" w:rsidTr="00AC29DB">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B95D2A" w:rsidRPr="00883125" w:rsidRDefault="00B95D2A" w:rsidP="00B95D2A">
            <w:pPr>
              <w:numPr>
                <w:ilvl w:val="0"/>
                <w:numId w:val="24"/>
              </w:numPr>
            </w:pPr>
            <w:r w:rsidRPr="00883125">
              <w:t>Expert</w:t>
            </w:r>
          </w:p>
        </w:tc>
        <w:tc>
          <w:tcPr>
            <w:tcW w:w="2560" w:type="dxa"/>
          </w:tcPr>
          <w:p w:rsidR="00B95D2A" w:rsidRPr="00883125" w:rsidRDefault="00B95D2A" w:rsidP="00B95D2A">
            <w:pPr>
              <w:numPr>
                <w:ilvl w:val="0"/>
                <w:numId w:val="24"/>
              </w:numPr>
            </w:pPr>
            <w:r w:rsidRPr="00883125">
              <w:t>Distribution rate</w:t>
            </w:r>
          </w:p>
        </w:tc>
        <w:tc>
          <w:tcPr>
            <w:tcW w:w="2560" w:type="dxa"/>
          </w:tcPr>
          <w:p w:rsidR="00B95D2A" w:rsidRPr="00883125" w:rsidRDefault="00B95D2A" w:rsidP="00B95D2A">
            <w:pPr>
              <w:numPr>
                <w:ilvl w:val="0"/>
                <w:numId w:val="24"/>
              </w:numPr>
            </w:pPr>
            <w:r w:rsidRPr="00883125">
              <w:t>Utilisation rate</w:t>
            </w:r>
          </w:p>
        </w:tc>
        <w:tc>
          <w:tcPr>
            <w:tcW w:w="2560" w:type="dxa"/>
          </w:tcPr>
          <w:p w:rsidR="00B95D2A" w:rsidRPr="00883125" w:rsidRDefault="00B95D2A" w:rsidP="00B95D2A">
            <w:pPr>
              <w:numPr>
                <w:ilvl w:val="0"/>
                <w:numId w:val="24"/>
              </w:numPr>
            </w:pPr>
            <w:r w:rsidRPr="00883125">
              <w:t>Value of imputation credits</w:t>
            </w:r>
          </w:p>
        </w:tc>
      </w:tr>
      <w:tr w:rsidR="00B95D2A" w:rsidTr="00AC29DB">
        <w:trPr>
          <w:cantSplit/>
        </w:trPr>
        <w:tc>
          <w:tcPr>
            <w:tcW w:w="1562" w:type="dxa"/>
          </w:tcPr>
          <w:p w:rsidR="00B95D2A" w:rsidRPr="00883125" w:rsidRDefault="00B95D2A" w:rsidP="00B95D2A">
            <w:pPr>
              <w:numPr>
                <w:ilvl w:val="0"/>
                <w:numId w:val="24"/>
              </w:numPr>
            </w:pPr>
            <w:r>
              <w:t>Lally (2016a, 2017)</w:t>
            </w:r>
            <w:r>
              <w:rPr>
                <w:rStyle w:val="FootnoteReference"/>
              </w:rPr>
              <w:footnoteReference w:id="234"/>
            </w:r>
          </w:p>
        </w:tc>
        <w:tc>
          <w:tcPr>
            <w:tcW w:w="2560" w:type="dxa"/>
          </w:tcPr>
          <w:p w:rsidR="00B95D2A" w:rsidRPr="00883125" w:rsidRDefault="00B95D2A" w:rsidP="00B95D2A">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B95D2A" w:rsidRPr="00883125" w:rsidRDefault="00B95D2A" w:rsidP="00B95D2A">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B95D2A" w:rsidRPr="00B95D2A" w:rsidRDefault="00B95D2A" w:rsidP="00B95D2A">
            <w:pPr>
              <w:rPr>
                <w:rStyle w:val="Strong"/>
              </w:rPr>
            </w:pPr>
            <w:r>
              <w:rPr>
                <w:rStyle w:val="Strong"/>
              </w:rPr>
              <w:t>At least 0.5</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1562" w:type="dxa"/>
          </w:tcPr>
          <w:p w:rsidR="00B95D2A" w:rsidRPr="00883125" w:rsidRDefault="00B95D2A" w:rsidP="00B95D2A">
            <w:pPr>
              <w:numPr>
                <w:ilvl w:val="0"/>
                <w:numId w:val="24"/>
              </w:numPr>
            </w:pPr>
            <w:r w:rsidRPr="00883125">
              <w:t>Lally (2013a, 2013b, 2014)</w:t>
            </w:r>
            <w:r w:rsidRPr="00883125">
              <w:rPr>
                <w:rStyle w:val="FootnoteReference"/>
              </w:rPr>
              <w:footnoteReference w:id="235"/>
            </w:r>
          </w:p>
        </w:tc>
        <w:tc>
          <w:tcPr>
            <w:tcW w:w="2560" w:type="dxa"/>
          </w:tcPr>
          <w:p w:rsidR="00B95D2A" w:rsidRPr="00883125" w:rsidRDefault="00B95D2A" w:rsidP="00B95D2A">
            <w:pPr>
              <w:numPr>
                <w:ilvl w:val="0"/>
                <w:numId w:val="24"/>
              </w:numPr>
            </w:pPr>
            <w:r w:rsidRPr="00883125">
              <w:rPr>
                <w:rStyle w:val="Strong"/>
              </w:rPr>
              <w:t>0.84</w:t>
            </w:r>
            <w:r w:rsidRPr="00883125">
              <w:t xml:space="preserve"> using the financial statements of 20 largest ASX-listed companies</w:t>
            </w:r>
          </w:p>
        </w:tc>
        <w:tc>
          <w:tcPr>
            <w:tcW w:w="2560" w:type="dxa"/>
          </w:tcPr>
          <w:p w:rsidR="00B95D2A" w:rsidRPr="00883125" w:rsidRDefault="00B95D2A" w:rsidP="00B95D2A">
            <w:pPr>
              <w:numPr>
                <w:ilvl w:val="0"/>
                <w:numId w:val="24"/>
              </w:numPr>
            </w:pPr>
            <w:r w:rsidRPr="00883125">
              <w:rPr>
                <w:rStyle w:val="Strong"/>
              </w:rPr>
              <w:t>1.0</w:t>
            </w:r>
            <w:r w:rsidRPr="00883125">
              <w:t>, based on assumption that all investors in the Officer CAPM are domestic investors</w:t>
            </w:r>
          </w:p>
          <w:p w:rsidR="00B95D2A" w:rsidRPr="00883125" w:rsidRDefault="00B95D2A" w:rsidP="00B95D2A">
            <w:pPr>
              <w:numPr>
                <w:ilvl w:val="0"/>
                <w:numId w:val="24"/>
              </w:numPr>
            </w:pPr>
            <w:r w:rsidRPr="00883125">
              <w:t>0.54 to 0.7, using equity ownership as second preference</w:t>
            </w:r>
          </w:p>
        </w:tc>
        <w:tc>
          <w:tcPr>
            <w:tcW w:w="2560" w:type="dxa"/>
          </w:tcPr>
          <w:p w:rsidR="00B95D2A" w:rsidRPr="00B95D2A" w:rsidRDefault="00B95D2A" w:rsidP="00B95D2A">
            <w:pPr>
              <w:rPr>
                <w:rStyle w:val="Strong"/>
              </w:rPr>
            </w:pPr>
            <w:r w:rsidRPr="00883125">
              <w:rPr>
                <w:rStyle w:val="Strong"/>
              </w:rPr>
              <w:t>0.84</w:t>
            </w:r>
          </w:p>
          <w:p w:rsidR="00B95D2A" w:rsidRPr="00B95D2A" w:rsidRDefault="00B95D2A" w:rsidP="00B95D2A">
            <w:pPr>
              <w:rPr>
                <w:rStyle w:val="Strong"/>
              </w:rPr>
            </w:pPr>
            <w:r w:rsidRPr="00883125">
              <w:t xml:space="preserve">0.45 to 0.59 using second preference utilisation </w:t>
            </w:r>
            <w:r w:rsidRPr="00B95D2A">
              <w:t>rate</w:t>
            </w:r>
          </w:p>
        </w:tc>
      </w:tr>
      <w:tr w:rsidR="00B95D2A" w:rsidTr="00AC29DB">
        <w:trPr>
          <w:cantSplit/>
        </w:trPr>
        <w:tc>
          <w:tcPr>
            <w:tcW w:w="1562" w:type="dxa"/>
          </w:tcPr>
          <w:p w:rsidR="00B95D2A" w:rsidRPr="00883125" w:rsidRDefault="00B95D2A" w:rsidP="00B95D2A">
            <w:pPr>
              <w:numPr>
                <w:ilvl w:val="0"/>
                <w:numId w:val="24"/>
              </w:numPr>
            </w:pPr>
            <w:r w:rsidRPr="00883125">
              <w:lastRenderedPageBreak/>
              <w:t>McKenzie and Partington (2013)</w:t>
            </w:r>
            <w:r w:rsidRPr="00883125">
              <w:rPr>
                <w:rStyle w:val="FootnoteReference"/>
              </w:rPr>
              <w:footnoteReference w:id="236"/>
            </w:r>
          </w:p>
        </w:tc>
        <w:tc>
          <w:tcPr>
            <w:tcW w:w="2560" w:type="dxa"/>
          </w:tcPr>
          <w:p w:rsidR="00B95D2A" w:rsidRPr="00883125" w:rsidRDefault="00B95D2A" w:rsidP="00B95D2A">
            <w:pPr>
              <w:numPr>
                <w:ilvl w:val="0"/>
                <w:numId w:val="24"/>
              </w:numPr>
            </w:pPr>
            <w:r w:rsidRPr="00883125">
              <w:rPr>
                <w:rStyle w:val="Strong"/>
              </w:rPr>
              <w:t>0.7</w:t>
            </w:r>
            <w:r w:rsidRPr="00883125">
              <w:t>, using cumulative payout ratio approach over all equity</w:t>
            </w:r>
          </w:p>
        </w:tc>
        <w:tc>
          <w:tcPr>
            <w:tcW w:w="2560" w:type="dxa"/>
          </w:tcPr>
          <w:p w:rsidR="00B95D2A" w:rsidRPr="00883125" w:rsidRDefault="00B95D2A" w:rsidP="00B95D2A">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B95D2A" w:rsidRPr="00B95D2A" w:rsidRDefault="00B95D2A" w:rsidP="00B95D2A">
            <w:pPr>
              <w:rPr>
                <w:rStyle w:val="Strong"/>
              </w:rPr>
            </w:pPr>
            <w:r w:rsidRPr="001A60DE">
              <w:t>Evidence not compelling enough to depart from</w:t>
            </w:r>
            <w:r w:rsidRPr="00B95D2A">
              <w:rPr>
                <w:rStyle w:val="Strong"/>
              </w:rPr>
              <w:t xml:space="preserve"> 0.5</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1562" w:type="dxa"/>
          </w:tcPr>
          <w:p w:rsidR="00B95D2A" w:rsidRPr="00883125" w:rsidRDefault="00B95D2A" w:rsidP="00B95D2A">
            <w:pPr>
              <w:numPr>
                <w:ilvl w:val="0"/>
                <w:numId w:val="24"/>
              </w:numPr>
            </w:pPr>
            <w:r w:rsidRPr="00883125">
              <w:t>Handley (2014)</w:t>
            </w:r>
            <w:r w:rsidRPr="00883125">
              <w:rPr>
                <w:rStyle w:val="FootnoteReference"/>
              </w:rPr>
              <w:footnoteReference w:id="237"/>
            </w:r>
          </w:p>
        </w:tc>
        <w:tc>
          <w:tcPr>
            <w:tcW w:w="2560" w:type="dxa"/>
          </w:tcPr>
          <w:p w:rsidR="00B95D2A" w:rsidRPr="00883125" w:rsidRDefault="00B95D2A" w:rsidP="00B95D2A">
            <w:pPr>
              <w:numPr>
                <w:ilvl w:val="0"/>
                <w:numId w:val="24"/>
              </w:numPr>
            </w:pPr>
            <w:r w:rsidRPr="00883125">
              <w:rPr>
                <w:rStyle w:val="Strong"/>
              </w:rPr>
              <w:t>0.8</w:t>
            </w:r>
            <w:r w:rsidRPr="00883125">
              <w:t xml:space="preserve">, using cumulative payout ratio approach over only listed equity </w:t>
            </w:r>
          </w:p>
        </w:tc>
        <w:tc>
          <w:tcPr>
            <w:tcW w:w="2560" w:type="dxa"/>
          </w:tcPr>
          <w:p w:rsidR="00B95D2A" w:rsidRPr="00883125" w:rsidRDefault="00B95D2A" w:rsidP="00B95D2A">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B95D2A" w:rsidRPr="00883125" w:rsidRDefault="00B95D2A" w:rsidP="00B95D2A">
            <w:pPr>
              <w:numPr>
                <w:ilvl w:val="0"/>
                <w:numId w:val="24"/>
              </w:numPr>
              <w:rPr>
                <w:rStyle w:val="Strong"/>
              </w:rPr>
            </w:pPr>
            <w:r w:rsidRPr="00883125">
              <w:rPr>
                <w:rStyle w:val="Strong"/>
              </w:rPr>
              <w:t>0.4 to 0.5</w:t>
            </w:r>
          </w:p>
        </w:tc>
      </w:tr>
      <w:tr w:rsidR="00B95D2A" w:rsidTr="00AC29DB">
        <w:trPr>
          <w:cantSplit/>
        </w:trPr>
        <w:tc>
          <w:tcPr>
            <w:tcW w:w="1562" w:type="dxa"/>
          </w:tcPr>
          <w:p w:rsidR="00B95D2A" w:rsidRPr="00883125" w:rsidRDefault="00B95D2A" w:rsidP="00B95D2A">
            <w:pPr>
              <w:numPr>
                <w:ilvl w:val="0"/>
                <w:numId w:val="24"/>
              </w:numPr>
            </w:pPr>
            <w:r w:rsidRPr="00883125">
              <w:t>SACES (2015)</w:t>
            </w:r>
            <w:r w:rsidRPr="00883125">
              <w:rPr>
                <w:rStyle w:val="FootnoteReference"/>
              </w:rPr>
              <w:footnoteReference w:id="238"/>
            </w:r>
          </w:p>
        </w:tc>
        <w:tc>
          <w:tcPr>
            <w:tcW w:w="2560" w:type="dxa"/>
          </w:tcPr>
          <w:p w:rsidR="00B95D2A" w:rsidRPr="00B95D2A" w:rsidRDefault="00B95D2A" w:rsidP="00B95D2A">
            <w:pPr>
              <w:rPr>
                <w:rStyle w:val="Strong"/>
              </w:rPr>
            </w:pPr>
            <w:r w:rsidRPr="00883125">
              <w:rPr>
                <w:rStyle w:val="Strong"/>
              </w:rPr>
              <w:t>0.8</w:t>
            </w:r>
            <w:r w:rsidRPr="00B95D2A">
              <w:t>, using cumulative payout ratio approach over only listed equity</w:t>
            </w:r>
          </w:p>
        </w:tc>
        <w:tc>
          <w:tcPr>
            <w:tcW w:w="2560" w:type="dxa"/>
          </w:tcPr>
          <w:p w:rsidR="00B95D2A" w:rsidRPr="00883125" w:rsidRDefault="00B95D2A" w:rsidP="00B95D2A">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B95D2A" w:rsidRPr="00883125" w:rsidRDefault="00B95D2A" w:rsidP="00B95D2A">
            <w:pPr>
              <w:numPr>
                <w:ilvl w:val="0"/>
                <w:numId w:val="24"/>
              </w:numPr>
              <w:rPr>
                <w:rStyle w:val="Strong"/>
              </w:rPr>
            </w:pPr>
            <w:r w:rsidRPr="00883125">
              <w:rPr>
                <w:rStyle w:val="Strong"/>
              </w:rPr>
              <w:t>0.36</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1562" w:type="dxa"/>
          </w:tcPr>
          <w:p w:rsidR="00B95D2A" w:rsidRPr="00883125" w:rsidRDefault="00B95D2A" w:rsidP="00B95D2A">
            <w:pPr>
              <w:numPr>
                <w:ilvl w:val="0"/>
                <w:numId w:val="24"/>
              </w:numPr>
            </w:pPr>
            <w:r w:rsidRPr="00883125">
              <w:t>CEG (2014)</w:t>
            </w:r>
            <w:r w:rsidRPr="00883125">
              <w:rPr>
                <w:rStyle w:val="FootnoteReference"/>
              </w:rPr>
              <w:footnoteReference w:id="239"/>
            </w:r>
          </w:p>
        </w:tc>
        <w:tc>
          <w:tcPr>
            <w:tcW w:w="2560" w:type="dxa"/>
          </w:tcPr>
          <w:p w:rsidR="00B95D2A" w:rsidRPr="00883125" w:rsidRDefault="00B95D2A" w:rsidP="00B95D2A">
            <w:pPr>
              <w:numPr>
                <w:ilvl w:val="0"/>
                <w:numId w:val="24"/>
              </w:numPr>
            </w:pPr>
            <w:r w:rsidRPr="00883125">
              <w:rPr>
                <w:rStyle w:val="Strong"/>
              </w:rPr>
              <w:t>0.7</w:t>
            </w:r>
            <w:r w:rsidRPr="00883125">
              <w:t>, using cumulative payout ratio approach over all equity</w:t>
            </w:r>
          </w:p>
        </w:tc>
        <w:tc>
          <w:tcPr>
            <w:tcW w:w="2560" w:type="dxa"/>
          </w:tcPr>
          <w:p w:rsidR="00B95D2A" w:rsidRPr="00883125" w:rsidRDefault="00B95D2A" w:rsidP="00B95D2A">
            <w:pPr>
              <w:numPr>
                <w:ilvl w:val="0"/>
                <w:numId w:val="24"/>
              </w:numPr>
            </w:pPr>
            <w:r w:rsidRPr="00883125">
              <w:rPr>
                <w:rStyle w:val="Strong"/>
              </w:rPr>
              <w:t>0.35</w:t>
            </w:r>
            <w:r w:rsidRPr="00883125">
              <w:t>, based on SFG's dividend drop off study</w:t>
            </w:r>
          </w:p>
        </w:tc>
        <w:tc>
          <w:tcPr>
            <w:tcW w:w="2560" w:type="dxa"/>
          </w:tcPr>
          <w:p w:rsidR="00B95D2A" w:rsidRPr="00883125" w:rsidRDefault="00B95D2A" w:rsidP="00B95D2A">
            <w:pPr>
              <w:numPr>
                <w:ilvl w:val="0"/>
                <w:numId w:val="24"/>
              </w:numPr>
              <w:rPr>
                <w:rStyle w:val="Strong"/>
              </w:rPr>
            </w:pPr>
            <w:r w:rsidRPr="00883125">
              <w:rPr>
                <w:rStyle w:val="Strong"/>
              </w:rPr>
              <w:t>0.25</w:t>
            </w:r>
          </w:p>
        </w:tc>
      </w:tr>
      <w:tr w:rsidR="00B95D2A" w:rsidTr="00AC29DB">
        <w:trPr>
          <w:cantSplit/>
        </w:trPr>
        <w:tc>
          <w:tcPr>
            <w:tcW w:w="1562" w:type="dxa"/>
          </w:tcPr>
          <w:p w:rsidR="00B95D2A" w:rsidRPr="00883125" w:rsidRDefault="00B95D2A" w:rsidP="00B95D2A">
            <w:pPr>
              <w:numPr>
                <w:ilvl w:val="0"/>
                <w:numId w:val="24"/>
              </w:numPr>
            </w:pPr>
            <w:r w:rsidRPr="00883125">
              <w:t>Gray (for SFG) (2015)</w:t>
            </w:r>
            <w:r w:rsidRPr="00883125">
              <w:rPr>
                <w:rStyle w:val="FootnoteReference"/>
              </w:rPr>
              <w:footnoteReference w:id="240"/>
            </w:r>
          </w:p>
        </w:tc>
        <w:tc>
          <w:tcPr>
            <w:tcW w:w="2560" w:type="dxa"/>
          </w:tcPr>
          <w:p w:rsidR="00B95D2A" w:rsidRPr="00883125" w:rsidRDefault="00B95D2A" w:rsidP="00B95D2A">
            <w:pPr>
              <w:numPr>
                <w:ilvl w:val="0"/>
                <w:numId w:val="24"/>
              </w:numPr>
            </w:pPr>
            <w:r w:rsidRPr="00883125">
              <w:rPr>
                <w:rStyle w:val="Strong"/>
              </w:rPr>
              <w:t>0.7</w:t>
            </w:r>
            <w:r w:rsidRPr="00883125">
              <w:t>, using cumulative payout ratio approach over all equity</w:t>
            </w:r>
          </w:p>
        </w:tc>
        <w:tc>
          <w:tcPr>
            <w:tcW w:w="2560" w:type="dxa"/>
          </w:tcPr>
          <w:p w:rsidR="00B95D2A" w:rsidRPr="00883125" w:rsidRDefault="00B95D2A" w:rsidP="00B95D2A">
            <w:pPr>
              <w:numPr>
                <w:ilvl w:val="0"/>
                <w:numId w:val="24"/>
              </w:numPr>
            </w:pPr>
            <w:r w:rsidRPr="00883125">
              <w:rPr>
                <w:rStyle w:val="Strong"/>
              </w:rPr>
              <w:t>0.35</w:t>
            </w:r>
            <w:r w:rsidRPr="00883125">
              <w:t>, based on SFG's dividend drop off study</w:t>
            </w:r>
          </w:p>
        </w:tc>
        <w:tc>
          <w:tcPr>
            <w:tcW w:w="2560" w:type="dxa"/>
          </w:tcPr>
          <w:p w:rsidR="00B95D2A" w:rsidRPr="00883125" w:rsidRDefault="00B95D2A" w:rsidP="00B95D2A">
            <w:pPr>
              <w:numPr>
                <w:ilvl w:val="0"/>
                <w:numId w:val="24"/>
              </w:numPr>
              <w:rPr>
                <w:rStyle w:val="Strong"/>
              </w:rPr>
            </w:pPr>
            <w:r w:rsidRPr="00883125">
              <w:rPr>
                <w:rStyle w:val="Strong"/>
              </w:rPr>
              <w:t>0.25</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1562" w:type="dxa"/>
          </w:tcPr>
          <w:p w:rsidR="00B95D2A" w:rsidRPr="00883125" w:rsidRDefault="00B95D2A" w:rsidP="00B95D2A">
            <w:pPr>
              <w:numPr>
                <w:ilvl w:val="0"/>
                <w:numId w:val="24"/>
              </w:numPr>
            </w:pPr>
            <w:r w:rsidRPr="00883125">
              <w:t>Gray (for Frontier) (2015</w:t>
            </w:r>
            <w:r>
              <w:t>, 2016</w:t>
            </w:r>
            <w:r w:rsidRPr="00883125">
              <w:t>)</w:t>
            </w:r>
            <w:r w:rsidRPr="00883125">
              <w:rPr>
                <w:rStyle w:val="FootnoteReference"/>
              </w:rPr>
              <w:footnoteReference w:id="241"/>
            </w:r>
          </w:p>
        </w:tc>
        <w:tc>
          <w:tcPr>
            <w:tcW w:w="2560" w:type="dxa"/>
          </w:tcPr>
          <w:p w:rsidR="00B95D2A" w:rsidRPr="00B95D2A" w:rsidRDefault="00B95D2A" w:rsidP="00B95D2A">
            <w:pPr>
              <w:rPr>
                <w:rStyle w:val="Strong"/>
              </w:rPr>
            </w:pPr>
            <w:r w:rsidRPr="00883125">
              <w:rPr>
                <w:rStyle w:val="Strong"/>
              </w:rPr>
              <w:t>0.7</w:t>
            </w:r>
            <w:r w:rsidRPr="00B95D2A">
              <w:t>, using cumulative payout ratio approach over all equity, or alternatively using an estimate of the payout ratio for listed equity excluding the 20 largest firms.</w:t>
            </w:r>
          </w:p>
        </w:tc>
        <w:tc>
          <w:tcPr>
            <w:tcW w:w="2560" w:type="dxa"/>
          </w:tcPr>
          <w:p w:rsidR="00B95D2A" w:rsidRPr="00B95D2A" w:rsidRDefault="00B95D2A" w:rsidP="00B95D2A">
            <w:pPr>
              <w:rPr>
                <w:rStyle w:val="Strong"/>
              </w:rPr>
            </w:pPr>
            <w:r w:rsidRPr="00883125">
              <w:rPr>
                <w:rStyle w:val="Strong"/>
              </w:rPr>
              <w:t>0.35</w:t>
            </w:r>
            <w:r w:rsidRPr="00B95D2A">
              <w:t>, based on SFG's dividend drop off study</w:t>
            </w:r>
          </w:p>
        </w:tc>
        <w:tc>
          <w:tcPr>
            <w:tcW w:w="2560" w:type="dxa"/>
          </w:tcPr>
          <w:p w:rsidR="00B95D2A" w:rsidRPr="00883125" w:rsidRDefault="00B95D2A" w:rsidP="00B95D2A">
            <w:pPr>
              <w:numPr>
                <w:ilvl w:val="0"/>
                <w:numId w:val="24"/>
              </w:numPr>
              <w:rPr>
                <w:rStyle w:val="Strong"/>
              </w:rPr>
            </w:pPr>
            <w:r w:rsidRPr="00883125">
              <w:rPr>
                <w:rStyle w:val="Strong"/>
              </w:rPr>
              <w:t>0.25</w:t>
            </w:r>
          </w:p>
        </w:tc>
      </w:tr>
    </w:tbl>
    <w:p w:rsidR="00B95D2A" w:rsidRPr="00883125" w:rsidRDefault="00B95D2A" w:rsidP="00B95D2A">
      <w:pPr>
        <w:pStyle w:val="AERtablesource"/>
      </w:pPr>
      <w:r w:rsidRPr="00883125">
        <w:t>Source:</w:t>
      </w:r>
      <w:r w:rsidRPr="00883125">
        <w:tab/>
        <w:t>As specified in table.</w:t>
      </w:r>
    </w:p>
    <w:p w:rsidR="00B95D2A" w:rsidRPr="00883125" w:rsidRDefault="00B95D2A" w:rsidP="00B95D2A">
      <w:pPr>
        <w:numPr>
          <w:ilvl w:val="0"/>
          <w:numId w:val="24"/>
        </w:numPr>
      </w:pPr>
      <w:r w:rsidRPr="00883125">
        <w:t xml:space="preserve">In summary: </w:t>
      </w:r>
    </w:p>
    <w:p w:rsidR="00B95D2A" w:rsidRPr="001D37D5" w:rsidRDefault="00B95D2A" w:rsidP="00B95D2A">
      <w:pPr>
        <w:pStyle w:val="AERbulletlistfirststyle"/>
      </w:pPr>
      <w:r w:rsidRPr="00883125">
        <w:t xml:space="preserve">A distribution rate of 0.7 estimated using the cumulative payout ratio approach is most commonly accepted. We describe this approach in section </w:t>
      </w:r>
      <w:r w:rsidRPr="001D37D5">
        <w:fldChar w:fldCharType="begin"/>
      </w:r>
      <w:r w:rsidRPr="001D37D5">
        <w:instrText xml:space="preserve"> REF _Ref415126827 \r \h </w:instrText>
      </w:r>
      <w:r w:rsidRPr="001D37D5">
        <w:fldChar w:fldCharType="separate"/>
      </w:r>
      <w:r w:rsidR="003E419A">
        <w:t>A.10.2</w:t>
      </w:r>
      <w:r w:rsidRPr="001D37D5">
        <w:fldChar w:fldCharType="end"/>
      </w:r>
      <w:r w:rsidRPr="001D37D5">
        <w:t xml:space="preserve">. However, Handley considers that this approach should be applied to only listed equity, and this produces a </w:t>
      </w:r>
      <w:r w:rsidRPr="001D37D5">
        <w:lastRenderedPageBreak/>
        <w:t xml:space="preserve">higher estimate of the distribution rate. The South Australian Centre for Economic Studies (SACES) accepts Handley's approach. Lally </w:t>
      </w:r>
      <w:r>
        <w:t xml:space="preserve">considers there is no necessity to combine </w:t>
      </w:r>
      <w:r w:rsidRPr="001D37D5">
        <w:t>estimates of the distribution rate and utilisation rate from the same dataset</w:t>
      </w:r>
      <w:r>
        <w:t xml:space="preserve"> and good reason not for not doing so.</w:t>
      </w:r>
      <w:r>
        <w:rPr>
          <w:rStyle w:val="FootnoteReference"/>
        </w:rPr>
        <w:footnoteReference w:id="242"/>
      </w:r>
      <w:r>
        <w:t xml:space="preserve"> However, we note given Lally's advice our approach appears to lead to a conservative gamma estimate (in favour of the service provider), as</w:t>
      </w:r>
      <w:r w:rsidRPr="00CF4EC3">
        <w:t xml:space="preserve"> Lally considered that only listed firms should be used to determine the distribution rate and all equity </w:t>
      </w:r>
      <w:r>
        <w:t xml:space="preserve">firms </w:t>
      </w:r>
      <w:r w:rsidRPr="00CF4EC3">
        <w:t>should be used to estimate the utilisation value which result</w:t>
      </w:r>
      <w:r>
        <w:t>s</w:t>
      </w:r>
      <w:r w:rsidRPr="00CF4EC3">
        <w:t xml:space="preserve"> in a gamma estimate of 0.5</w:t>
      </w:r>
      <w:r>
        <w:t>.</w:t>
      </w:r>
      <w:r w:rsidR="00276CAA">
        <w:t xml:space="preserve"> </w:t>
      </w:r>
      <w:r w:rsidRPr="001D37D5">
        <w:t>Lally considers the best estimate of the distribution rate for a benchmark efficient entity is 0.83, calculated using the financial statements of the 20 largest ASX-listed companies.</w:t>
      </w:r>
    </w:p>
    <w:p w:rsidR="00B95D2A" w:rsidRPr="001D37D5" w:rsidRDefault="00B95D2A" w:rsidP="00B95D2A">
      <w:pPr>
        <w:pStyle w:val="AERbulletlistfirststyle"/>
      </w:pPr>
      <w:r w:rsidRPr="00883125">
        <w:t>There is no widely accepted utilisation rate or method for estimating it. The recommended values for the utilisation rate range from 0.35 to 1</w:t>
      </w:r>
      <w:r w:rsidRPr="001D37D5">
        <w:t xml:space="preserve">.0. </w:t>
      </w:r>
    </w:p>
    <w:p w:rsidR="00B95D2A" w:rsidRPr="00883125" w:rsidRDefault="00B95D2A" w:rsidP="00B95D2A">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B95D2A" w:rsidRPr="001D37D5" w:rsidRDefault="00B95D2A" w:rsidP="00B95D2A">
      <w:pPr>
        <w:pStyle w:val="AERbulletlistfirststyle"/>
      </w:pPr>
      <w:r w:rsidRPr="00883125">
        <w:t>As a result of the differing approaches, particularly to the utilisation rate, the range of estimates of the value of imputation credits is 0.25 to 0.8</w:t>
      </w:r>
      <w:r w:rsidRPr="001D37D5">
        <w:t>3.</w:t>
      </w:r>
    </w:p>
    <w:p w:rsidR="00B95D2A" w:rsidRPr="00883125" w:rsidRDefault="00B95D2A" w:rsidP="00B95D2A">
      <w:r w:rsidRPr="00883125">
        <w:t>Conceptually, the value of imputation credits must be between 0 and 1. Accordingly</w:t>
      </w:r>
      <w:r>
        <w:t>,</w:t>
      </w:r>
      <w:r w:rsidRPr="00883125">
        <w:t xml:space="preserve"> the range of recommended estimates from 0.25 to 0.8</w:t>
      </w:r>
      <w:r>
        <w:t>3</w:t>
      </w:r>
      <w:r w:rsidRPr="00883125">
        <w:t xml:space="preserve">, which spans most of the possible range for the value of imputation credits, highlights the lack of consensus among experts. Our </w:t>
      </w:r>
      <w:r>
        <w:t>final</w:t>
      </w:r>
      <w:r w:rsidRPr="00883125">
        <w:t xml:space="preserve"> decision value of imputation credits of 0.4 sits in the lower half of the range recommended by experts, which is more favourable to service providers.</w:t>
      </w:r>
    </w:p>
    <w:p w:rsidR="00B95D2A" w:rsidRPr="00883125" w:rsidRDefault="00B95D2A" w:rsidP="00B95D2A">
      <w:pPr>
        <w:pStyle w:val="Heading8"/>
      </w:pPr>
      <w:bookmarkStart w:id="181" w:name="_Toc450119245"/>
      <w:bookmarkStart w:id="182" w:name="_Toc450119407"/>
      <w:bookmarkStart w:id="183" w:name="_Ref414621875"/>
      <w:bookmarkStart w:id="184" w:name="_Toc436049443"/>
      <w:bookmarkStart w:id="185" w:name="_Toc451842247"/>
      <w:bookmarkStart w:id="186" w:name="_Toc451938303"/>
      <w:bookmarkStart w:id="187" w:name="_Toc456614291"/>
      <w:bookmarkStart w:id="188" w:name="_Toc462823309"/>
      <w:bookmarkStart w:id="189" w:name="_Toc479693959"/>
      <w:bookmarkStart w:id="190" w:name="_Toc480815609"/>
      <w:bookmarkEnd w:id="181"/>
      <w:bookmarkEnd w:id="182"/>
      <w:r w:rsidRPr="00883125">
        <w:t>The value of imputation credits used by other regulators</w:t>
      </w:r>
      <w:bookmarkEnd w:id="183"/>
      <w:bookmarkEnd w:id="184"/>
      <w:bookmarkEnd w:id="185"/>
      <w:bookmarkEnd w:id="186"/>
      <w:bookmarkEnd w:id="187"/>
      <w:bookmarkEnd w:id="188"/>
      <w:bookmarkEnd w:id="189"/>
      <w:bookmarkEnd w:id="190"/>
    </w:p>
    <w:p w:rsidR="00B95D2A" w:rsidRDefault="00B95D2A" w:rsidP="00B95D2A">
      <w:r w:rsidRPr="00883125">
        <w:t>Australian regulators have applied a wide range of approaches to estimate the value of imputation credits, resulting in varied outcomes.</w:t>
      </w:r>
      <w:r>
        <w:t xml:space="preserve"> </w:t>
      </w:r>
      <w:r>
        <w:fldChar w:fldCharType="begin"/>
      </w:r>
      <w:r>
        <w:instrText xml:space="preserve"> REF _Ref477212377 \h </w:instrText>
      </w:r>
      <w:r>
        <w:fldChar w:fldCharType="separate"/>
      </w:r>
      <w:r w:rsidR="003E419A" w:rsidRPr="00883125">
        <w:t xml:space="preserve">Table </w:t>
      </w:r>
      <w:r w:rsidR="003E419A">
        <w:rPr>
          <w:noProof/>
        </w:rPr>
        <w:t>4</w:t>
      </w:r>
      <w:r w:rsidR="003E419A">
        <w:noBreakHyphen/>
      </w:r>
      <w:r w:rsidR="003E419A">
        <w:rPr>
          <w:noProof/>
        </w:rPr>
        <w:t>7</w:t>
      </w:r>
      <w:r>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bookmarkStart w:id="191" w:name="_Ref401082422"/>
    </w:p>
    <w:p w:rsidR="00B95D2A" w:rsidRPr="00883125" w:rsidRDefault="00B95D2A" w:rsidP="00B95D2A">
      <w:pPr>
        <w:pStyle w:val="Caption"/>
      </w:pPr>
      <w:r>
        <w:br w:type="column"/>
      </w:r>
      <w:bookmarkStart w:id="192" w:name="_Ref477212377"/>
      <w:r w:rsidRPr="00883125">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7</w:t>
      </w:r>
      <w:r w:rsidRPr="001D37D5">
        <w:fldChar w:fldCharType="end"/>
      </w:r>
      <w:bookmarkEnd w:id="191"/>
      <w:bookmarkEnd w:id="192"/>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B95D2A" w:rsidTr="00AC29D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B95D2A" w:rsidRPr="00883125" w:rsidRDefault="00B95D2A" w:rsidP="00B95D2A">
            <w:pPr>
              <w:numPr>
                <w:ilvl w:val="0"/>
                <w:numId w:val="24"/>
              </w:numPr>
            </w:pPr>
            <w:r w:rsidRPr="00883125">
              <w:t>Regulator</w:t>
            </w:r>
          </w:p>
        </w:tc>
        <w:tc>
          <w:tcPr>
            <w:tcW w:w="1842"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1101" w:type="dxa"/>
          </w:tcPr>
          <w:p w:rsidR="00B95D2A" w:rsidRPr="00B95D2A" w:rsidRDefault="00B95D2A" w:rsidP="00B95D2A">
            <w:r w:rsidRPr="00883125">
              <w:t>IPART</w:t>
            </w:r>
            <w:r w:rsidRPr="00B95D2A">
              <w:rPr>
                <w:rStyle w:val="FootnoteReference"/>
              </w:rPr>
              <w:footnoteReference w:id="243"/>
            </w:r>
          </w:p>
        </w:tc>
        <w:tc>
          <w:tcPr>
            <w:tcW w:w="184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t>Sydney Desalination Plant Review of Prices</w:t>
            </w:r>
          </w:p>
        </w:tc>
        <w:tc>
          <w:tcPr>
            <w:tcW w:w="709"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t>7</w:t>
            </w:r>
          </w:p>
        </w:tc>
        <w:tc>
          <w:tcPr>
            <w:tcW w:w="1768"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95D2A" w:rsidRPr="00B95D2A" w:rsidRDefault="00B95D2A" w:rsidP="00B95D2A">
            <w:r w:rsidRPr="00883125">
              <w:t>ESC</w:t>
            </w:r>
            <w:r w:rsidRPr="00B95D2A">
              <w:rPr>
                <w:rStyle w:val="AERsuperscript"/>
              </w:rPr>
              <w:footnoteReference w:id="244"/>
            </w:r>
          </w:p>
        </w:tc>
        <w:tc>
          <w:tcPr>
            <w:tcW w:w="1842"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t>Melbourne Water 2016-17</w:t>
            </w:r>
          </w:p>
        </w:tc>
        <w:tc>
          <w:tcPr>
            <w:tcW w:w="709"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t>6</w:t>
            </w:r>
          </w:p>
        </w:tc>
        <w:tc>
          <w:tcPr>
            <w:tcW w:w="1768"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1101" w:type="dxa"/>
          </w:tcPr>
          <w:p w:rsidR="00B95D2A" w:rsidRPr="00B95D2A" w:rsidRDefault="00B95D2A" w:rsidP="00B95D2A">
            <w:r w:rsidRPr="00883125">
              <w:t>QCA</w:t>
            </w:r>
            <w:r w:rsidRPr="00B95D2A">
              <w:rPr>
                <w:rStyle w:val="FootnoteReference"/>
              </w:rPr>
              <w:footnoteReference w:id="245"/>
            </w:r>
            <w:r w:rsidRPr="00B95D2A">
              <w:t xml:space="preserve">  </w:t>
            </w:r>
          </w:p>
        </w:tc>
        <w:tc>
          <w:tcPr>
            <w:tcW w:w="184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t xml:space="preserve">Dalrymple Bay Coal Terminal access undertaking </w:t>
            </w:r>
          </w:p>
        </w:tc>
        <w:tc>
          <w:tcPr>
            <w:tcW w:w="709"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w:t>
            </w:r>
            <w:r>
              <w:t>6</w:t>
            </w:r>
          </w:p>
        </w:tc>
        <w:tc>
          <w:tcPr>
            <w:tcW w:w="1768"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w:t>
            </w:r>
            <w:r>
              <w:t xml:space="preserve"> Lally's approach of using data sourced directly from companies' financial statements in their annual reports</w:t>
            </w:r>
          </w:p>
        </w:tc>
        <w:tc>
          <w:tcPr>
            <w:tcW w:w="1911"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B95D2A" w:rsidRPr="00883125" w:rsidRDefault="00B95D2A" w:rsidP="00B95D2A">
            <w:pPr>
              <w:numPr>
                <w:ilvl w:val="0"/>
                <w:numId w:val="24"/>
              </w:numPr>
            </w:pPr>
            <w:r w:rsidRPr="00883125">
              <w:t>ERA</w:t>
            </w:r>
            <w:r w:rsidRPr="00883125">
              <w:rPr>
                <w:rStyle w:val="FootnoteReference"/>
              </w:rPr>
              <w:footnoteReference w:id="246"/>
            </w:r>
            <w:r w:rsidRPr="00883125">
              <w:t xml:space="preserve">  </w:t>
            </w:r>
          </w:p>
        </w:tc>
        <w:tc>
          <w:tcPr>
            <w:tcW w:w="1842"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t>Proposed Revisions to the Access Arrangement for the Dampier to Bunbury National Gas Pipeline 2016-30, final decision</w:t>
            </w:r>
            <w:r w:rsidRPr="00883125">
              <w:t xml:space="preserve"> </w:t>
            </w:r>
          </w:p>
        </w:tc>
        <w:tc>
          <w:tcPr>
            <w:tcW w:w="709"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w:t>
            </w:r>
            <w:r>
              <w:t>6</w:t>
            </w:r>
          </w:p>
        </w:tc>
        <w:tc>
          <w:tcPr>
            <w:tcW w:w="1768"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7 to 0.8</w:t>
            </w:r>
          </w:p>
        </w:tc>
        <w:tc>
          <w:tcPr>
            <w:tcW w:w="1911"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35 to 0.69</w:t>
            </w:r>
            <w:r w:rsidRPr="00883125">
              <w:t>, most weight</w:t>
            </w:r>
            <w:r>
              <w:t xml:space="preserve"> placed on the equity ownership approach which supports a utilisation rate of 0.47 to 0.59 and gamma estimate of 0.38 to 0.41</w:t>
            </w:r>
          </w:p>
        </w:tc>
        <w:tc>
          <w:tcPr>
            <w:tcW w:w="1911"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w:t>
            </w:r>
            <w:r>
              <w:rPr>
                <w:rStyle w:val="Strong"/>
              </w:rPr>
              <w:t>4</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1101" w:type="dxa"/>
          </w:tcPr>
          <w:p w:rsidR="00B95D2A" w:rsidRPr="00883125" w:rsidRDefault="00B95D2A" w:rsidP="00B95D2A">
            <w:pPr>
              <w:numPr>
                <w:ilvl w:val="0"/>
                <w:numId w:val="24"/>
              </w:numPr>
            </w:pPr>
            <w:r w:rsidRPr="00883125">
              <w:t>ACCC</w:t>
            </w:r>
            <w:r w:rsidRPr="00883125">
              <w:rPr>
                <w:rStyle w:val="FootnoteReference"/>
              </w:rPr>
              <w:footnoteReference w:id="247"/>
            </w:r>
            <w:r w:rsidRPr="00883125">
              <w:t xml:space="preserve"> </w:t>
            </w:r>
          </w:p>
        </w:tc>
        <w:tc>
          <w:tcPr>
            <w:tcW w:w="184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t>Australian Postal Corporation 2015 Price Notification</w:t>
            </w:r>
          </w:p>
        </w:tc>
        <w:tc>
          <w:tcPr>
            <w:tcW w:w="709"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w:t>
            </w:r>
            <w:r w:rsidRPr="00883125">
              <w:t>, set for consistency with previous ACCC</w:t>
            </w:r>
            <w:r>
              <w:t xml:space="preserve"> and AER </w:t>
            </w:r>
            <w:r w:rsidRPr="00883125">
              <w:t>decisions</w:t>
            </w:r>
          </w:p>
        </w:tc>
      </w:tr>
    </w:tbl>
    <w:p w:rsidR="00B95D2A" w:rsidRPr="00883125" w:rsidRDefault="00B95D2A" w:rsidP="00B95D2A">
      <w:pPr>
        <w:pStyle w:val="AERtablesource"/>
      </w:pPr>
      <w:r w:rsidRPr="00883125">
        <w:t>Source:</w:t>
      </w:r>
      <w:r w:rsidRPr="00883125">
        <w:tab/>
        <w:t>As specified in table.</w:t>
      </w:r>
    </w:p>
    <w:p w:rsidR="00B95D2A" w:rsidRPr="00883125" w:rsidRDefault="00B95D2A" w:rsidP="00B95D2A">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the lack of consensus among experts, this is perhaps not surprising. Our </w:t>
      </w:r>
      <w:r>
        <w:t>final</w:t>
      </w:r>
      <w:r w:rsidRPr="00883125">
        <w:t xml:space="preserve"> decision value of imputation credits of 0.4 sits within the range adopted by regulators.</w:t>
      </w:r>
    </w:p>
    <w:p w:rsidR="00B95D2A" w:rsidRPr="00883125" w:rsidRDefault="00B95D2A" w:rsidP="00B95D2A">
      <w:pPr>
        <w:pStyle w:val="Heading8"/>
      </w:pPr>
      <w:bookmarkStart w:id="193" w:name="_Toc436049444"/>
      <w:bookmarkStart w:id="194" w:name="_Toc451842248"/>
      <w:bookmarkStart w:id="195" w:name="_Toc451938304"/>
      <w:bookmarkStart w:id="196" w:name="_Toc456614292"/>
      <w:bookmarkStart w:id="197" w:name="_Toc462823310"/>
      <w:bookmarkStart w:id="198" w:name="_Toc479693960"/>
      <w:bookmarkStart w:id="199" w:name="_Toc480815610"/>
      <w:r w:rsidRPr="00883125">
        <w:lastRenderedPageBreak/>
        <w:t>Previous Australian Competition Tribunal considerations</w:t>
      </w:r>
      <w:bookmarkEnd w:id="193"/>
      <w:bookmarkEnd w:id="194"/>
      <w:bookmarkEnd w:id="195"/>
      <w:bookmarkEnd w:id="196"/>
      <w:bookmarkEnd w:id="197"/>
      <w:bookmarkEnd w:id="198"/>
      <w:bookmarkEnd w:id="199"/>
    </w:p>
    <w:p w:rsidR="00B95D2A" w:rsidRPr="00883125" w:rsidRDefault="00B95D2A" w:rsidP="00B95D2A">
      <w:pPr>
        <w:numPr>
          <w:ilvl w:val="0"/>
          <w:numId w:val="24"/>
        </w:numPr>
      </w:pPr>
      <w:r w:rsidRPr="00883125">
        <w:t xml:space="preserve">The Australian Competition Tribunal has considered in detail the value of imputation credits (gamma) in </w:t>
      </w:r>
      <w:r>
        <w:t>five</w:t>
      </w:r>
      <w:r w:rsidRPr="00883125">
        <w:t xml:space="preserve"> proceedings since 2010, relating to applications by:</w:t>
      </w:r>
    </w:p>
    <w:p w:rsidR="00B95D2A" w:rsidRDefault="00B95D2A" w:rsidP="00B95D2A">
      <w:pPr>
        <w:pStyle w:val="AERbulletlistfirststyle"/>
      </w:pPr>
      <w:r>
        <w:t>SA Power Networks</w:t>
      </w:r>
    </w:p>
    <w:p w:rsidR="00B95D2A" w:rsidRPr="00276CAA" w:rsidRDefault="00B95D2A" w:rsidP="00276CAA">
      <w:pPr>
        <w:pStyle w:val="AERbulletlistfirststyle"/>
        <w:rPr>
          <w:rStyle w:val="CommentReference"/>
          <w:sz w:val="22"/>
          <w:szCs w:val="22"/>
        </w:rPr>
      </w:pPr>
      <w:r w:rsidRPr="00276CAA">
        <w:t>ActewAGL Distribution, Ausgrid, Endeavour Energy, Essential Energy and Jemena Gas Networks</w:t>
      </w:r>
      <w:r w:rsidRPr="00276CAA" w:rsidDel="00C2259D">
        <w:rPr>
          <w:rStyle w:val="CommentReference"/>
          <w:sz w:val="22"/>
          <w:szCs w:val="22"/>
        </w:rPr>
        <w:t xml:space="preserve"> </w:t>
      </w:r>
    </w:p>
    <w:p w:rsidR="00B95D2A" w:rsidRPr="00883125" w:rsidRDefault="00B95D2A" w:rsidP="00B95D2A">
      <w:pPr>
        <w:pStyle w:val="AERbulletlistfirststyle"/>
      </w:pPr>
      <w:r w:rsidRPr="00883125">
        <w:t>Energex Limited</w:t>
      </w:r>
    </w:p>
    <w:p w:rsidR="00B95D2A" w:rsidRPr="00883125" w:rsidRDefault="00B95D2A" w:rsidP="00B95D2A">
      <w:pPr>
        <w:pStyle w:val="AERbulletlistfirststyle"/>
      </w:pPr>
      <w:r w:rsidRPr="00883125">
        <w:t>DBNGP (WA) Transmission Pty Ltd, and</w:t>
      </w:r>
    </w:p>
    <w:p w:rsidR="00B95D2A" w:rsidRPr="00883125" w:rsidRDefault="00B95D2A" w:rsidP="00B95D2A">
      <w:pPr>
        <w:pStyle w:val="AERbulletlistfirststyle"/>
      </w:pPr>
      <w:r w:rsidRPr="00883125">
        <w:t>WA Gas Networks Pty Ltd.</w:t>
      </w:r>
    </w:p>
    <w:p w:rsidR="00B95D2A" w:rsidRDefault="00B95D2A" w:rsidP="00B95D2A">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B95D2A" w:rsidRPr="00883125" w:rsidRDefault="00B95D2A" w:rsidP="00B95D2A">
      <w:pPr>
        <w:pStyle w:val="Heading9"/>
      </w:pPr>
      <w:bookmarkStart w:id="200" w:name="_Toc479693961"/>
      <w:bookmarkStart w:id="201" w:name="_Toc480815611"/>
      <w:r>
        <w:t>SA Power Networks</w:t>
      </w:r>
      <w:bookmarkEnd w:id="200"/>
      <w:bookmarkEnd w:id="201"/>
    </w:p>
    <w:p w:rsidR="00B95D2A" w:rsidRDefault="00B95D2A" w:rsidP="00B95D2A">
      <w:r w:rsidRPr="00883125">
        <w:t xml:space="preserve">In </w:t>
      </w:r>
      <w:r>
        <w:t>October</w:t>
      </w:r>
      <w:r w:rsidRPr="00883125">
        <w:t xml:space="preserve"> 2015 we released our final decisions for </w:t>
      </w:r>
      <w:r>
        <w:t xml:space="preserve">SA Power Networks, where </w:t>
      </w:r>
      <w:r w:rsidRPr="00883125">
        <w:t>we adopted a gamma estimate of 0.4.</w:t>
      </w:r>
      <w:r>
        <w:t xml:space="preserve"> The SAPN Tribunal upheld the AER's decision. </w:t>
      </w:r>
      <w:r w:rsidRPr="008F5D24">
        <w:t xml:space="preserve">In reaching its position, the </w:t>
      </w:r>
      <w:r>
        <w:t xml:space="preserve">SAPN </w:t>
      </w:r>
      <w:r w:rsidRPr="008F5D24">
        <w:t>Tribunal expressed views on the im</w:t>
      </w:r>
      <w:r w:rsidR="009619EF">
        <w:t>portant factors in its decision</w:t>
      </w:r>
      <w:r w:rsidRPr="008F5D24">
        <w:t xml:space="preserve">. The </w:t>
      </w:r>
      <w:r>
        <w:t xml:space="preserve">SAPN </w:t>
      </w:r>
      <w:r w:rsidRPr="008F5D24">
        <w:t>Tribunal</w:t>
      </w:r>
      <w:r w:rsidR="009619EF">
        <w:t>'</w:t>
      </w:r>
      <w:r w:rsidRPr="008F5D24">
        <w:t xml:space="preserve">s views </w:t>
      </w:r>
      <w:r>
        <w:t>are</w:t>
      </w:r>
      <w:r w:rsidRPr="008F5D24">
        <w:t xml:space="preserve"> summarised in </w:t>
      </w:r>
      <w:r w:rsidRPr="001E0C22">
        <w:fldChar w:fldCharType="begin"/>
      </w:r>
      <w:r w:rsidRPr="001E0C22">
        <w:instrText xml:space="preserve"> REF  _Ref450040370 \* Lower \h  \* MERGEFORMAT </w:instrText>
      </w:r>
      <w:r w:rsidRPr="001E0C22">
        <w:fldChar w:fldCharType="separate"/>
      </w:r>
      <w:r w:rsidR="003E419A" w:rsidRPr="005764F6">
        <w:t xml:space="preserve">table </w:t>
      </w:r>
      <w:r w:rsidR="003E419A">
        <w:t>4</w:t>
      </w:r>
      <w:r w:rsidR="003E419A" w:rsidRPr="005764F6">
        <w:noBreakHyphen/>
      </w:r>
      <w:r w:rsidR="003E419A">
        <w:t>9</w:t>
      </w:r>
      <w:r w:rsidRPr="001E0C22">
        <w:fldChar w:fldCharType="end"/>
      </w:r>
      <w:r>
        <w:t xml:space="preserve"> below.</w:t>
      </w:r>
      <w:r w:rsidRPr="00BB71EE">
        <w:t xml:space="preserve"> </w:t>
      </w:r>
    </w:p>
    <w:p w:rsidR="00B95D2A" w:rsidRPr="00883125" w:rsidRDefault="00B95D2A" w:rsidP="00B95D2A"/>
    <w:p w:rsidR="00B95D2A" w:rsidRPr="00883125" w:rsidRDefault="00B95D2A" w:rsidP="00B95D2A">
      <w:pPr>
        <w:sectPr w:rsidR="00B95D2A" w:rsidRPr="00883125" w:rsidSect="00AC29DB">
          <w:footerReference w:type="even" r:id="rId15"/>
          <w:footerReference w:type="default" r:id="rId16"/>
          <w:pgSz w:w="11906" w:h="16838"/>
          <w:pgMar w:top="1440" w:right="1440" w:bottom="1440" w:left="1440" w:header="708" w:footer="708" w:gutter="0"/>
          <w:pgNumType w:chapStyle="1"/>
          <w:cols w:space="708"/>
          <w:docGrid w:linePitch="360"/>
        </w:sectPr>
      </w:pPr>
    </w:p>
    <w:p w:rsidR="00B95D2A" w:rsidRPr="005764F6" w:rsidRDefault="00B95D2A" w:rsidP="00B95D2A">
      <w:pPr>
        <w:pStyle w:val="Tabletitle"/>
      </w:pPr>
      <w:bookmarkStart w:id="202" w:name="_Ref478471962"/>
      <w:r w:rsidRPr="005764F6">
        <w:lastRenderedPageBreak/>
        <w:t xml:space="preserve">Table </w:t>
      </w:r>
      <w:r w:rsidRPr="00CA67C0">
        <w:fldChar w:fldCharType="begin"/>
      </w:r>
      <w:r>
        <w:instrText xml:space="preserve"> STYLEREF 1 \s </w:instrText>
      </w:r>
      <w:r w:rsidRPr="00CA67C0">
        <w:fldChar w:fldCharType="separate"/>
      </w:r>
      <w:r w:rsidR="003E419A">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3E419A">
        <w:rPr>
          <w:noProof/>
        </w:rPr>
        <w:t>8</w:t>
      </w:r>
      <w:r w:rsidRPr="00CA67C0">
        <w:fldChar w:fldCharType="end"/>
      </w:r>
      <w:bookmarkEnd w:id="202"/>
      <w:r w:rsidRPr="005764F6">
        <w:tab/>
        <w:t xml:space="preserve">Australian Competition Tribunal's observations on imputation credits in </w:t>
      </w:r>
      <w:r>
        <w:t xml:space="preserve">SA Power Networks </w:t>
      </w:r>
      <w:r w:rsidRPr="005764F6">
        <w:t>matter</w:t>
      </w:r>
    </w:p>
    <w:tbl>
      <w:tblPr>
        <w:tblStyle w:val="AERtable-text0"/>
        <w:tblW w:w="5000" w:type="pct"/>
        <w:tblLook w:val="04A0" w:firstRow="1" w:lastRow="0" w:firstColumn="1" w:lastColumn="0" w:noHBand="0" w:noVBand="1"/>
      </w:tblPr>
      <w:tblGrid>
        <w:gridCol w:w="2205"/>
        <w:gridCol w:w="11969"/>
      </w:tblGrid>
      <w:tr w:rsidR="00B95D2A" w:rsidTr="00AC29DB">
        <w:trPr>
          <w:cnfStyle w:val="100000000000" w:firstRow="1" w:lastRow="0" w:firstColumn="0" w:lastColumn="0" w:oddVBand="0" w:evenVBand="0" w:oddHBand="0" w:evenHBand="0" w:firstRowFirstColumn="0" w:firstRowLastColumn="0" w:lastRowFirstColumn="0" w:lastRowLastColumn="0"/>
          <w:tblHeader/>
        </w:trPr>
        <w:tc>
          <w:tcPr>
            <w:tcW w:w="778" w:type="pct"/>
          </w:tcPr>
          <w:p w:rsidR="00B95D2A" w:rsidRPr="00B95D2A" w:rsidRDefault="00B95D2A" w:rsidP="00B95D2A">
            <w:r w:rsidRPr="00883125">
              <w:t>Issue</w:t>
            </w:r>
          </w:p>
        </w:tc>
        <w:tc>
          <w:tcPr>
            <w:tcW w:w="4222" w:type="pct"/>
          </w:tcPr>
          <w:p w:rsidR="00B95D2A" w:rsidRPr="00B95D2A" w:rsidRDefault="00B95D2A" w:rsidP="00B95D2A">
            <w:r w:rsidRPr="00883125">
              <w:t>Tribunal comments</w:t>
            </w:r>
          </w:p>
        </w:tc>
      </w:tr>
      <w:tr w:rsidR="00B95D2A" w:rsidTr="00AC29DB">
        <w:tc>
          <w:tcPr>
            <w:tcW w:w="778" w:type="pct"/>
          </w:tcPr>
          <w:p w:rsidR="00B95D2A" w:rsidRPr="00B95D2A" w:rsidRDefault="00B95D2A" w:rsidP="00B95D2A">
            <w:r>
              <w:t>Transaction costs</w:t>
            </w:r>
          </w:p>
        </w:tc>
        <w:tc>
          <w:tcPr>
            <w:tcW w:w="4222" w:type="pct"/>
          </w:tcPr>
          <w:p w:rsidR="00B95D2A" w:rsidRPr="00B95D2A" w:rsidRDefault="00B95D2A" w:rsidP="00B95D2A">
            <w:r>
              <w:t>T</w:t>
            </w:r>
            <w:r w:rsidRPr="00B95D2A">
              <w:t>ime value of money: the Tribunal considered that it might hold for some investors, but would appear to imply logically that such investors will also discount the tax costs associated with any taxes yet to be paid on dividends.</w:t>
            </w:r>
            <w:r w:rsidRPr="00B95D2A">
              <w:rPr>
                <w:rStyle w:val="FootnoteReference"/>
              </w:rPr>
              <w:footnoteReference w:id="248"/>
            </w:r>
            <w:r w:rsidRPr="00B95D2A">
              <w:t xml:space="preserve"> In any case, the Tribunal considered that the relatively short time lags and the current low discount rates would suggest the time value of money effect is likely to be small.</w:t>
            </w:r>
            <w:r w:rsidRPr="00B95D2A">
              <w:rPr>
                <w:rStyle w:val="FootnoteReference"/>
              </w:rPr>
              <w:t xml:space="preserve"> </w:t>
            </w:r>
            <w:r w:rsidRPr="00B95D2A">
              <w:rPr>
                <w:rStyle w:val="FootnoteReference"/>
              </w:rPr>
              <w:footnoteReference w:id="249"/>
            </w:r>
            <w:r w:rsidRPr="00B95D2A">
              <w:t xml:space="preserve"> </w:t>
            </w:r>
          </w:p>
          <w:p w:rsidR="00B95D2A" w:rsidRPr="00B95D2A" w:rsidRDefault="00B95D2A" w:rsidP="00B95D2A">
            <w:r>
              <w:t>45 day rule</w:t>
            </w:r>
            <w:r w:rsidRPr="00B95D2A">
              <w:t>: the Tribunal considered that the evidence presented to it about the reliability of tax statistics suggested the materiality of this point is hard to judge.</w:t>
            </w:r>
            <w:r w:rsidRPr="00B95D2A">
              <w:rPr>
                <w:rStyle w:val="FootnoteReference"/>
              </w:rPr>
              <w:t xml:space="preserve"> </w:t>
            </w:r>
            <w:r w:rsidRPr="00B95D2A">
              <w:rPr>
                <w:rStyle w:val="FootnoteReference"/>
              </w:rPr>
              <w:footnoteReference w:id="250"/>
            </w:r>
            <w:r w:rsidRPr="00B95D2A">
              <w:t xml:space="preserve"> </w:t>
            </w:r>
          </w:p>
          <w:p w:rsidR="00B95D2A" w:rsidRPr="00B95D2A" w:rsidRDefault="00B95D2A" w:rsidP="00B95D2A">
            <w:r>
              <w:t>P</w:t>
            </w:r>
            <w:r w:rsidRPr="00B95D2A">
              <w:t>ortfolio effects: the Tribunal considered that there is a well-documented “home-bias” in investor portfolios (found internationally generally regardless of tax systems), implying incomplete diversification benefits, the extent to which this is an additional factor of significant materiality is unclear.</w:t>
            </w:r>
            <w:r w:rsidRPr="00B95D2A">
              <w:rPr>
                <w:rStyle w:val="FootnoteReference"/>
              </w:rPr>
              <w:footnoteReference w:id="251"/>
            </w:r>
          </w:p>
          <w:p w:rsidR="00B95D2A" w:rsidRPr="00B95D2A" w:rsidRDefault="00B95D2A" w:rsidP="00B95D2A">
            <w:r>
              <w:t>P</w:t>
            </w:r>
            <w:r w:rsidRPr="00B95D2A">
              <w:t>ersonal costs: the Tribunal is of the view that while some investors do experience investor level (personal) costs in dealing in equities, these can vary substantially across investor groups. It is thus not clear what effect such costs will have on equity market prices or on the need to adjust estimates for implied values of franking credits drawn from shareholder distribution or tax statistics.</w:t>
            </w:r>
            <w:r w:rsidRPr="00B95D2A">
              <w:rPr>
                <w:rStyle w:val="FootnoteReference"/>
              </w:rPr>
              <w:footnoteReference w:id="252"/>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778" w:type="pct"/>
          </w:tcPr>
          <w:p w:rsidR="00B95D2A" w:rsidRPr="00B95D2A" w:rsidRDefault="00B95D2A" w:rsidP="00B95D2A">
            <w:r w:rsidRPr="00883125">
              <w:t>Equity ownership approach</w:t>
            </w:r>
          </w:p>
        </w:tc>
        <w:tc>
          <w:tcPr>
            <w:tcW w:w="4222" w:type="pct"/>
          </w:tcPr>
          <w:p w:rsidR="00B95D2A" w:rsidRPr="00B95D2A" w:rsidRDefault="00B95D2A" w:rsidP="00B95D2A">
            <w:r w:rsidRPr="007A336C">
              <w:t>The</w:t>
            </w:r>
            <w:r w:rsidRPr="00B95D2A">
              <w:t xml:space="preserve"> equity ownership approach does not produce an upper bound if it is believed that stock prices are determined by some marginal investor.</w:t>
            </w:r>
            <w:r w:rsidRPr="00B95D2A">
              <w:rPr>
                <w:rStyle w:val="FootnoteReference"/>
              </w:rPr>
              <w:footnoteReference w:id="253"/>
            </w:r>
            <w:r w:rsidRPr="00B95D2A">
              <w:t xml:space="preserve"> Even if the average investor perspective is taken, there may be other relevant factors, not adequately captured in theoretical models, which preclude an interpretation as an upper bound.</w:t>
            </w:r>
            <w:r w:rsidRPr="00B95D2A">
              <w:rPr>
                <w:rStyle w:val="FootnoteReference"/>
              </w:rPr>
              <w:footnoteReference w:id="254"/>
            </w:r>
          </w:p>
          <w:p w:rsidR="00B95D2A" w:rsidRPr="00B95D2A" w:rsidRDefault="00B95D2A" w:rsidP="00B95D2A">
            <w:r w:rsidRPr="007A336C">
              <w:t xml:space="preserve">While the </w:t>
            </w:r>
            <w:r w:rsidRPr="00B95D2A">
              <w:t>Tribunal recognises the need for analysis of historical data to reduce uncertainty surrounding current figures, it would expect that sound reasons would be provided for using figures significantly different from the current value given that current value is close to the historical average.</w:t>
            </w:r>
            <w:r w:rsidRPr="00B95D2A">
              <w:rPr>
                <w:rStyle w:val="FootnoteReference"/>
              </w:rPr>
              <w:footnoteReference w:id="255"/>
            </w:r>
          </w:p>
          <w:p w:rsidR="00B95D2A" w:rsidRPr="00B95D2A" w:rsidRDefault="00B95D2A" w:rsidP="00B95D2A">
            <w:r w:rsidRPr="006D64E7">
              <w:t xml:space="preserve">The Tribunal </w:t>
            </w:r>
            <w:r w:rsidRPr="00B95D2A">
              <w:t xml:space="preserve">does not find that the AER erred or that its decision was unreasonable in considering historical data on domestic equity ownership shares for both listed </w:t>
            </w:r>
            <w:r w:rsidRPr="00B95D2A">
              <w:lastRenderedPageBreak/>
              <w:t>and all companies.</w:t>
            </w:r>
            <w:r w:rsidRPr="00B95D2A">
              <w:rPr>
                <w:rStyle w:val="FootnoteReference"/>
              </w:rPr>
              <w:footnoteReference w:id="256"/>
            </w:r>
          </w:p>
        </w:tc>
      </w:tr>
      <w:tr w:rsidR="00B95D2A" w:rsidRPr="00B45BDD" w:rsidTr="00AC29DB">
        <w:tc>
          <w:tcPr>
            <w:tcW w:w="778" w:type="pct"/>
          </w:tcPr>
          <w:p w:rsidR="00B95D2A" w:rsidRPr="00B95D2A" w:rsidRDefault="00B95D2A" w:rsidP="00B95D2A">
            <w:r w:rsidRPr="00883125">
              <w:lastRenderedPageBreak/>
              <w:t>Tax statistic estimates</w:t>
            </w:r>
          </w:p>
        </w:tc>
        <w:tc>
          <w:tcPr>
            <w:tcW w:w="4222" w:type="pct"/>
          </w:tcPr>
          <w:p w:rsidR="00B95D2A" w:rsidRPr="00B95D2A" w:rsidRDefault="00B95D2A" w:rsidP="00B95D2A">
            <w:r w:rsidRPr="00FF0F25">
              <w:t>T</w:t>
            </w:r>
            <w:r w:rsidRPr="00B95D2A">
              <w:t>he Tribunal considered that if a marginal price-setting investor perspective is taken, the average utilisation rate implies nothing about valuation by a marginal investor. However, if an average investor perspective is taken, the redemption rate figure from tax statistics is not an upper bound for the utilisation rate, but rather a noisy estimate.</w:t>
            </w:r>
            <w:r w:rsidRPr="00B95D2A">
              <w:rPr>
                <w:rStyle w:val="FootnoteReference"/>
              </w:rPr>
              <w:footnoteReference w:id="257"/>
            </w:r>
          </w:p>
          <w:p w:rsidR="00B95D2A" w:rsidRPr="00B95D2A" w:rsidRDefault="00B95D2A" w:rsidP="00B95D2A">
            <w:r w:rsidRPr="00C96FA2">
              <w:t>In regards to whether redemption rates reflect the value of imputation credits to investors, the Tribunal has noted that experts are dividend on the issue and had found no reason to accept that the interpretation by the AER is incorrect.</w:t>
            </w:r>
            <w:r w:rsidRPr="00B95D2A">
              <w:rPr>
                <w:rStyle w:val="FootnoteReference"/>
              </w:rPr>
              <w:footnoteReference w:id="258"/>
            </w:r>
          </w:p>
        </w:tc>
      </w:tr>
      <w:tr w:rsidR="00B95D2A" w:rsidRPr="00B45BDD" w:rsidTr="00AC29DB">
        <w:trPr>
          <w:cnfStyle w:val="000000010000" w:firstRow="0" w:lastRow="0" w:firstColumn="0" w:lastColumn="0" w:oddVBand="0" w:evenVBand="0" w:oddHBand="0" w:evenHBand="1" w:firstRowFirstColumn="0" w:firstRowLastColumn="0" w:lastRowFirstColumn="0" w:lastRowLastColumn="0"/>
        </w:trPr>
        <w:tc>
          <w:tcPr>
            <w:tcW w:w="778" w:type="pct"/>
          </w:tcPr>
          <w:p w:rsidR="00B95D2A" w:rsidRPr="00B95D2A" w:rsidRDefault="00B95D2A" w:rsidP="00B95D2A">
            <w:r w:rsidRPr="00883125">
              <w:t>The conceptual basis for dividend drop off studies</w:t>
            </w:r>
          </w:p>
        </w:tc>
        <w:tc>
          <w:tcPr>
            <w:tcW w:w="4222" w:type="pct"/>
          </w:tcPr>
          <w:p w:rsidR="00B95D2A" w:rsidRPr="00B95D2A" w:rsidRDefault="00B95D2A" w:rsidP="00B95D2A">
            <w:pPr>
              <w:rPr>
                <w:highlight w:val="cyan"/>
              </w:rPr>
            </w:pPr>
            <w:r w:rsidRPr="00C96FA2">
              <w:t>The Tribunal is of the view that while dividend drop-off studies may convey some information about tax parameters and valuation of their consequences for the set(s) of investors determining stock prices around the ex-div date, there are too many other confounding factors to place sole, or even, major weight on such studies for the estimation of the value of franking credits in the context of the PTRM</w:t>
            </w:r>
            <w:r w:rsidRPr="00B95D2A">
              <w:t>.</w:t>
            </w:r>
            <w:r w:rsidRPr="00B95D2A">
              <w:rPr>
                <w:rStyle w:val="FootnoteReference"/>
              </w:rPr>
              <w:footnoteReference w:id="259"/>
            </w:r>
          </w:p>
          <w:p w:rsidR="00B95D2A" w:rsidRPr="00B95D2A" w:rsidRDefault="00B95D2A" w:rsidP="00B95D2A">
            <w:r w:rsidRPr="00122670">
              <w:t xml:space="preserve">However, </w:t>
            </w:r>
            <w:r w:rsidRPr="00B95D2A">
              <w:t xml:space="preserve">the fundamental issue is whether valid tax related valuation parameters can be reliably inferred from such statistical results. Because of the weight of expert evidence questioning that such inferences can be reliably drawn, and the AER reliance on that evidence in forming a judgement, the Tribunal does not </w:t>
            </w:r>
            <w:r w:rsidR="009B1202">
              <w:t>consider</w:t>
            </w:r>
            <w:r w:rsidR="009B1202" w:rsidRPr="00B95D2A">
              <w:t xml:space="preserve"> </w:t>
            </w:r>
            <w:r w:rsidRPr="00B95D2A">
              <w:t>it needs to address those other criticisms. The uncertainty associated with drawing conclusions about the value of imputation credits from any existing drop-off study (no matter how well specified and conducted) was sufficient for the AER to make a judgement to accord limited weight to this type of evidence. Consequently, the Tribunal does not agree that the AER erred or was unreasonable in placing less weight on dividend drop-off studies in the estimation of the value of gamma.</w:t>
            </w:r>
            <w:r w:rsidRPr="00B95D2A">
              <w:rPr>
                <w:rStyle w:val="FootnoteReference"/>
              </w:rPr>
              <w:footnoteReference w:id="260"/>
            </w:r>
          </w:p>
          <w:p w:rsidR="00B95D2A" w:rsidRPr="00B95D2A" w:rsidRDefault="00B95D2A" w:rsidP="00B95D2A">
            <w:r w:rsidRPr="00122670">
              <w:t>The Tribunal also questions whether the existence of the 45-day rule (which voids imputation credits from short-term trading around the ex-div date) impedes the ability of dividend drop-off studies to inform on the value of imputation credits.</w:t>
            </w:r>
            <w:r w:rsidRPr="00B95D2A">
              <w:rPr>
                <w:rStyle w:val="FootnoteReference"/>
              </w:rPr>
              <w:footnoteReference w:id="261"/>
            </w:r>
          </w:p>
        </w:tc>
      </w:tr>
      <w:tr w:rsidR="00B95D2A" w:rsidRPr="00B45BDD" w:rsidTr="00AC29DB">
        <w:tc>
          <w:tcPr>
            <w:tcW w:w="778" w:type="pct"/>
          </w:tcPr>
          <w:p w:rsidR="00B95D2A" w:rsidRPr="00B95D2A" w:rsidRDefault="00B95D2A" w:rsidP="00B95D2A">
            <w:r>
              <w:t>Weight</w:t>
            </w:r>
            <w:r w:rsidRPr="00B95D2A">
              <w:t>ing different approaches</w:t>
            </w:r>
          </w:p>
        </w:tc>
        <w:tc>
          <w:tcPr>
            <w:tcW w:w="4222" w:type="pct"/>
          </w:tcPr>
          <w:p w:rsidR="00B95D2A" w:rsidRPr="00B95D2A" w:rsidRDefault="00B95D2A" w:rsidP="00B95D2A">
            <w:r w:rsidRPr="00122670">
              <w:t xml:space="preserve">The Tribunal </w:t>
            </w:r>
            <w:r w:rsidRPr="00B95D2A">
              <w:t>considers that different theoretical models, all of which are simplifications of reality, with different strengths and weaknesses, and with different degrees of support among experts, may suggest differing approaches. Judgement about the weight to be given to alternative approaches would then be required, with resulting consequences for judgements about the subsequent issues.</w:t>
            </w:r>
            <w:r w:rsidRPr="00B95D2A">
              <w:rPr>
                <w:rStyle w:val="FootnoteReference"/>
              </w:rPr>
              <w:footnoteReference w:id="262"/>
            </w:r>
          </w:p>
          <w:p w:rsidR="00B95D2A" w:rsidRPr="00B95D2A" w:rsidRDefault="00B95D2A" w:rsidP="00B95D2A">
            <w:r w:rsidRPr="00350A7B">
              <w:lastRenderedPageBreak/>
              <w:t>T</w:t>
            </w:r>
            <w:r w:rsidRPr="00B95D2A">
              <w:t>he Tribunal is of the view that the AER did not err, nor was unreasonable, in giving most weight to the “utilisation” approach. It considered the range of alternative approaches, recognised the diversity of views of experts on their merits (both theoretical and empirical), and made a judgement call. In doing so, it demonstrated responsiveness to the empirical evidence in lowering its estimate of gamma from 0.5 as proposed in its ROR Guidelines to a value of 0.4.</w:t>
            </w:r>
            <w:r w:rsidRPr="00B95D2A">
              <w:rPr>
                <w:rStyle w:val="FootnoteReference"/>
              </w:rPr>
              <w:footnoteReference w:id="263"/>
            </w:r>
          </w:p>
          <w:p w:rsidR="00B95D2A" w:rsidRPr="00B95D2A" w:rsidRDefault="00B95D2A" w:rsidP="00B95D2A">
            <w:r w:rsidRPr="000831E2">
              <w:t xml:space="preserve">In the face of significant uncertainty, the approach by the AER of considering a range of approaches to estimating gamma and applying different weights to those approaches is, the Tribunal believes, </w:t>
            </w:r>
            <w:r w:rsidRPr="00B95D2A">
              <w:t>appropriate. It is clear that some experts would apply different weights to the alternative types of evidence, and that some support the AER’s relative ranking while others disagree. In particular, some would accord much higher weight to results of dividend drop-off studies. The Tribunal has noted the arguments about the problems of deriving reliable tax-related parameters such as investor valuation of imputation credits from drop-off parameters, and is of the view that the AER did not err in forming the judgement it did regarding weight to give to different forms of evidence.</w:t>
            </w:r>
            <w:r w:rsidRPr="00B95D2A">
              <w:rPr>
                <w:rStyle w:val="FootnoteReference"/>
              </w:rPr>
              <w:footnoteReference w:id="264"/>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778" w:type="pct"/>
          </w:tcPr>
          <w:p w:rsidR="00B95D2A" w:rsidRDefault="00B95D2A" w:rsidP="00B95D2A">
            <w:r>
              <w:lastRenderedPageBreak/>
              <w:t>Listed equity vs. all equity measures</w:t>
            </w:r>
          </w:p>
        </w:tc>
        <w:tc>
          <w:tcPr>
            <w:tcW w:w="4222" w:type="pct"/>
          </w:tcPr>
          <w:p w:rsidR="00B95D2A" w:rsidRPr="00B95D2A" w:rsidRDefault="00B95D2A" w:rsidP="00B95D2A">
            <w:pPr>
              <w:rPr>
                <w:highlight w:val="yellow"/>
              </w:rPr>
            </w:pPr>
            <w:r w:rsidRPr="007B51E6">
              <w:t>There is no compelling reason which has been advanced to believe that the “average” unlisted company is any better or worse than the “average” listed c</w:t>
            </w:r>
            <w:r w:rsidRPr="00B95D2A">
              <w:t>ompany as a proxy for the BEE. Consequently the Tribunal does not believe that the AER made an error or was unreasonable or incorrectly exercised its discretion in considering estimates of distribution rates for listed entities.</w:t>
            </w:r>
            <w:r w:rsidRPr="00B95D2A">
              <w:rPr>
                <w:rStyle w:val="FootnoteReference"/>
              </w:rPr>
              <w:footnoteReference w:id="265"/>
            </w:r>
          </w:p>
          <w:p w:rsidR="00B95D2A" w:rsidRPr="00B95D2A" w:rsidRDefault="00B95D2A" w:rsidP="00B95D2A">
            <w:pPr>
              <w:rPr>
                <w:highlight w:val="cyan"/>
              </w:rPr>
            </w:pPr>
            <w:r w:rsidRPr="002E14E7">
              <w:t>The Tribunal is willing to accept that there might be different proxies better suited to estimation of different characteri</w:t>
            </w:r>
            <w:r w:rsidRPr="00B95D2A">
              <w:t>stics of the hypothetical BEE. Nevertheless, the Tribunal has not been presented with convincing evidence that the listed equity data should not have been considered by the AER.</w:t>
            </w:r>
            <w:r w:rsidRPr="00B95D2A">
              <w:rPr>
                <w:rStyle w:val="FootnoteReference"/>
              </w:rPr>
              <w:footnoteReference w:id="266"/>
            </w:r>
          </w:p>
        </w:tc>
      </w:tr>
      <w:tr w:rsidR="00B95D2A" w:rsidTr="00AC29DB">
        <w:tc>
          <w:tcPr>
            <w:tcW w:w="778" w:type="pct"/>
          </w:tcPr>
          <w:p w:rsidR="00B95D2A" w:rsidRPr="00B95D2A" w:rsidRDefault="00B95D2A" w:rsidP="00B95D2A">
            <w:r>
              <w:t>Marginal investor vs. average investor</w:t>
            </w:r>
          </w:p>
        </w:tc>
        <w:tc>
          <w:tcPr>
            <w:tcW w:w="4222" w:type="pct"/>
          </w:tcPr>
          <w:p w:rsidR="00B95D2A" w:rsidRPr="00B95D2A" w:rsidRDefault="00B95D2A" w:rsidP="00B95D2A">
            <w:r w:rsidRPr="00FC66FD">
              <w:t>The marginal investor is not the</w:t>
            </w:r>
            <w:r w:rsidRPr="00B95D2A">
              <w:t xml:space="preserve"> same as the average investor. The proportion of tax credits used in aggregate (i.e. the average utilisation) provides no information about the value of tax credits to the marginal investor. Hence, contrary to the arguments advanced, the usage of tax credits is not an upper bound on the market value of tax credits – if that is set by some “marginal investor”.</w:t>
            </w:r>
            <w:r w:rsidRPr="00B95D2A">
              <w:rPr>
                <w:rStyle w:val="FootnoteReference"/>
              </w:rPr>
              <w:footnoteReference w:id="267"/>
            </w:r>
          </w:p>
          <w:p w:rsidR="00B95D2A" w:rsidRPr="00B95D2A" w:rsidRDefault="00B95D2A" w:rsidP="00B95D2A">
            <w:r w:rsidRPr="00FC66FD">
              <w:t>Alternatively, if the market value is set by some “average” investor, an estimate for the average investor of the tax payment consequences of imputation credits distributed has relevance.  As argued by SAPN, the value estimated in this way may be an upper bound due to a number of value-red</w:t>
            </w:r>
            <w:r w:rsidRPr="00B95D2A">
              <w:t>ucing factors.</w:t>
            </w:r>
            <w:r w:rsidRPr="00B95D2A">
              <w:rPr>
                <w:rStyle w:val="FootnoteReference"/>
              </w:rPr>
              <w:footnoteReference w:id="268"/>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778" w:type="pct"/>
          </w:tcPr>
          <w:p w:rsidR="00B95D2A" w:rsidRPr="00B95D2A" w:rsidRDefault="00B95D2A" w:rsidP="00B95D2A">
            <w:r w:rsidRPr="00883125">
              <w:t>The need to re-evaluate gamma</w:t>
            </w:r>
          </w:p>
        </w:tc>
        <w:tc>
          <w:tcPr>
            <w:tcW w:w="4222" w:type="pct"/>
          </w:tcPr>
          <w:p w:rsidR="00B95D2A" w:rsidRPr="00B95D2A" w:rsidRDefault="00B95D2A" w:rsidP="00B95D2A">
            <w:pPr>
              <w:rPr>
                <w:highlight w:val="cyan"/>
              </w:rPr>
            </w:pPr>
            <w:r w:rsidRPr="0025548E">
              <w:t xml:space="preserve">This Tribunal determined that despite the </w:t>
            </w:r>
            <w:r w:rsidRPr="00B95D2A">
              <w:t xml:space="preserve">AER seeking a review of the Ausgrid Tribunal decision to the Full Federal Court, it was appropriate for it to hear the SAPN review rather than leave the matter to be determined conditional on the outcome of the hearing of the Full Court of the Federal Court. The Tribunal has a legislative </w:t>
            </w:r>
            <w:r w:rsidRPr="00B95D2A">
              <w:lastRenderedPageBreak/>
              <w:t>responsibility to hear and determine the review (within a statutorily delineated period of time), and should proceed accordingly.</w:t>
            </w:r>
            <w:r w:rsidRPr="00B95D2A">
              <w:rPr>
                <w:rStyle w:val="FootnoteReference"/>
              </w:rPr>
              <w:footnoteReference w:id="269"/>
            </w:r>
          </w:p>
          <w:p w:rsidR="00B95D2A" w:rsidRPr="00B95D2A" w:rsidRDefault="00B95D2A" w:rsidP="00B95D2A">
            <w:r w:rsidRPr="0025548E">
              <w:t>T</w:t>
            </w:r>
            <w:r w:rsidRPr="00B95D2A">
              <w:t>he function of the Tribunal is a reviewer of decisions, and is not a primary decision-maker. The Tribunal has a responsibility to determine individual cases based upon the evidence and arguments put before it.</w:t>
            </w:r>
            <w:r w:rsidRPr="00B95D2A">
              <w:rPr>
                <w:rStyle w:val="FootnoteReference"/>
              </w:rPr>
              <w:t xml:space="preserve"> </w:t>
            </w:r>
            <w:r w:rsidRPr="00B95D2A">
              <w:rPr>
                <w:rStyle w:val="FootnoteReference"/>
              </w:rPr>
              <w:footnoteReference w:id="270"/>
            </w:r>
          </w:p>
          <w:p w:rsidR="00B95D2A" w:rsidRPr="00B95D2A" w:rsidRDefault="00B95D2A" w:rsidP="00B95D2A">
            <w:r w:rsidRPr="0025548E">
              <w:t>The Tribunal recognises that this decision is the converse of that made by a differently constitute</w:t>
            </w:r>
            <w:r w:rsidRPr="00B95D2A">
              <w:t>d Tribunal in the Ausgrid case. The reason for this difference is twofold. First, submissions in this hearing gave greater attention to the theoretical underpinnings of the PTRM and “vanilla WACC” framework. Secondly, this Tribunal is of the view that the dividend drop-off evidence should be viewed in the context of the theoretical model underpinning it, and that there are significant uncertainties associated with extracting reliable evidence about tax-related parameters (such as gamma) from such studies.</w:t>
            </w:r>
            <w:r w:rsidRPr="00B95D2A">
              <w:rPr>
                <w:rStyle w:val="FootnoteReference"/>
              </w:rPr>
              <w:footnoteReference w:id="271"/>
            </w:r>
          </w:p>
          <w:p w:rsidR="00B95D2A" w:rsidRPr="00E05498" w:rsidRDefault="00B95D2A" w:rsidP="00B95D2A"/>
        </w:tc>
      </w:tr>
    </w:tbl>
    <w:p w:rsidR="00B95D2A" w:rsidRPr="00883125" w:rsidRDefault="00B95D2A" w:rsidP="00B95D2A">
      <w:pPr>
        <w:pStyle w:val="AERtablesource"/>
      </w:pPr>
      <w:r w:rsidRPr="00883125">
        <w:lastRenderedPageBreak/>
        <w:t xml:space="preserve">Source: </w:t>
      </w:r>
      <w:r w:rsidRPr="00883125">
        <w:tab/>
        <w:t>As specified in table.</w:t>
      </w:r>
    </w:p>
    <w:p w:rsidR="00B95D2A" w:rsidRDefault="00B95D2A" w:rsidP="00B95D2A"/>
    <w:p w:rsidR="00B95D2A" w:rsidRDefault="00B95D2A" w:rsidP="00B95D2A">
      <w:pPr>
        <w:sectPr w:rsidR="00B95D2A" w:rsidSect="00AC29DB">
          <w:footerReference w:type="even" r:id="rId17"/>
          <w:footerReference w:type="default" r:id="rId18"/>
          <w:pgSz w:w="16838" w:h="11906" w:orient="landscape"/>
          <w:pgMar w:top="1440" w:right="1440" w:bottom="1440" w:left="1440" w:header="709" w:footer="709" w:gutter="0"/>
          <w:pgNumType w:chapStyle="1"/>
          <w:cols w:space="708"/>
          <w:docGrid w:linePitch="360"/>
        </w:sectPr>
      </w:pPr>
    </w:p>
    <w:p w:rsidR="00B95D2A" w:rsidRDefault="00B95D2A" w:rsidP="00B95D2A">
      <w:r>
        <w:lastRenderedPageBreak/>
        <w:t>We note that SA Power Networks has appealed the SAPN Tribunal's decision to the Full Federal Court. SA Power Networks appealed the decision on a range of grounds including that it considers the SAPN Tribunal acted on an incorrect construction of the words "the value of imputation credits" in cl</w:t>
      </w:r>
      <w:r w:rsidR="00492EFD">
        <w:t>ause</w:t>
      </w:r>
      <w:r>
        <w:t xml:space="preserve"> 6.5.3 of the NER. The AER will participate in this hearing as the second respondent and will consider any decision by the Full Federal Court in due course. The SAPN Full Federal Court appeal hearing is currently scheduled to commence on 1 May 2017. </w:t>
      </w:r>
    </w:p>
    <w:p w:rsidR="00B95D2A" w:rsidRPr="00AC29DB" w:rsidRDefault="00B95D2A" w:rsidP="00B95D2A">
      <w:pPr>
        <w:rPr>
          <w:rStyle w:val="AERtexthighlight"/>
        </w:rPr>
      </w:pPr>
      <w:r>
        <w:t>The SAPN Tribunal's key finding was the AER was not in error. This applied to all key areas of the gamma decision as noted in the table above.</w:t>
      </w:r>
    </w:p>
    <w:p w:rsidR="00B95D2A" w:rsidRPr="00883125" w:rsidRDefault="00B95D2A" w:rsidP="00B95D2A">
      <w:pPr>
        <w:pStyle w:val="Heading9"/>
      </w:pPr>
      <w:bookmarkStart w:id="203" w:name="_Ref451813952"/>
      <w:bookmarkStart w:id="204" w:name="_Toc456614293"/>
      <w:bookmarkStart w:id="205" w:name="_Toc462823311"/>
      <w:bookmarkStart w:id="206" w:name="_Toc479693962"/>
      <w:bookmarkStart w:id="207" w:name="_Toc480815612"/>
      <w:r w:rsidRPr="00883125">
        <w:t>ActewAGL Distribution, Ausgrid, Endeavour Energy, Essential Energy and Jemena Gas Networks</w:t>
      </w:r>
      <w:bookmarkEnd w:id="203"/>
      <w:bookmarkEnd w:id="204"/>
      <w:bookmarkEnd w:id="205"/>
      <w:bookmarkEnd w:id="206"/>
      <w:bookmarkEnd w:id="207"/>
      <w:r w:rsidRPr="00883125">
        <w:t xml:space="preserve"> </w:t>
      </w:r>
    </w:p>
    <w:p w:rsidR="00B95D2A" w:rsidRPr="00883125" w:rsidRDefault="00B95D2A" w:rsidP="00B95D2A">
      <w:r w:rsidRPr="00883125">
        <w:t>In April and June 2015 we released our final decisions for ActewAGL Distribution, Ausgrid, Endeavour Energy, Essential Energy and Jemena Gas Networks. In these decisions, we adopted a gamma estimate of 0.4.</w:t>
      </w:r>
    </w:p>
    <w:p w:rsidR="00B95D2A" w:rsidRPr="00B27BE5" w:rsidRDefault="00B95D2A" w:rsidP="00B95D2A">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72"/>
      </w:r>
      <w:r w:rsidRPr="00B27BE5">
        <w:t xml:space="preserve"> The</w:t>
      </w:r>
      <w:r>
        <w:t xml:space="preserve"> Ausgrid</w:t>
      </w:r>
      <w:r w:rsidRPr="00B27BE5">
        <w:t xml:space="preserv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Ausgrid 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or theta).</w:t>
      </w:r>
    </w:p>
    <w:p w:rsidR="00B95D2A" w:rsidRDefault="00B95D2A" w:rsidP="00B95D2A">
      <w:r w:rsidRPr="008F5D24">
        <w:t xml:space="preserve">In reaching its position, the </w:t>
      </w:r>
      <w:r>
        <w:t xml:space="preserve">Ausgrid </w:t>
      </w:r>
      <w:r w:rsidRPr="008F5D24">
        <w:t>Tribunal expressed views on the important factors in its decisions. The</w:t>
      </w:r>
      <w:r>
        <w:t xml:space="preserve"> Ausgrid</w:t>
      </w:r>
      <w:r w:rsidRPr="008F5D24">
        <w:t xml:space="preserv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3E419A" w:rsidRPr="005764F6">
        <w:t xml:space="preserve">table </w:t>
      </w:r>
      <w:r w:rsidR="003E419A">
        <w:t>4</w:t>
      </w:r>
      <w:r w:rsidR="003E419A" w:rsidRPr="005764F6">
        <w:noBreakHyphen/>
      </w:r>
      <w:r w:rsidR="003E419A">
        <w:t>9</w:t>
      </w:r>
      <w:r w:rsidRPr="00C43CF0">
        <w:fldChar w:fldCharType="end"/>
      </w:r>
      <w:r w:rsidRPr="008F5D24">
        <w:t xml:space="preserve"> below. However, we note that at this time, we have not completed the remittal of our final decisions for the above-mentioned service providers</w:t>
      </w:r>
      <w:r>
        <w:t xml:space="preserve"> and have appealed the decision to the Full Federal Court. The appeal was heard in October 2016 and the decision is reserved.</w:t>
      </w:r>
    </w:p>
    <w:p w:rsidR="00B95D2A" w:rsidRDefault="00B95D2A" w:rsidP="00B95D2A"/>
    <w:p w:rsidR="00B95D2A" w:rsidRDefault="00B95D2A" w:rsidP="00B95D2A">
      <w:pPr>
        <w:sectPr w:rsidR="00B95D2A" w:rsidSect="00AC29DB">
          <w:pgSz w:w="11906" w:h="16838"/>
          <w:pgMar w:top="1440" w:right="1440" w:bottom="1440" w:left="1440" w:header="709" w:footer="709" w:gutter="0"/>
          <w:pgNumType w:chapStyle="1"/>
          <w:cols w:space="708"/>
          <w:docGrid w:linePitch="360"/>
        </w:sectPr>
      </w:pPr>
    </w:p>
    <w:p w:rsidR="00B95D2A" w:rsidRPr="005764F6" w:rsidRDefault="00B95D2A" w:rsidP="00B95D2A">
      <w:pPr>
        <w:pStyle w:val="Tabletitle"/>
      </w:pPr>
      <w:bookmarkStart w:id="208" w:name="_Ref450040370"/>
      <w:r w:rsidRPr="005764F6">
        <w:lastRenderedPageBreak/>
        <w:t xml:space="preserve">Table </w:t>
      </w:r>
      <w:r w:rsidRPr="00CA67C0">
        <w:fldChar w:fldCharType="begin"/>
      </w:r>
      <w:r>
        <w:instrText xml:space="preserve"> STYLEREF 1 \s </w:instrText>
      </w:r>
      <w:r w:rsidRPr="00CA67C0">
        <w:fldChar w:fldCharType="separate"/>
      </w:r>
      <w:r w:rsidR="003E419A">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3E419A">
        <w:rPr>
          <w:noProof/>
        </w:rPr>
        <w:t>9</w:t>
      </w:r>
      <w:r w:rsidRPr="00CA67C0">
        <w:fldChar w:fldCharType="end"/>
      </w:r>
      <w:bookmarkEnd w:id="208"/>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B95D2A" w:rsidTr="00AC29DB">
        <w:trPr>
          <w:cnfStyle w:val="100000000000" w:firstRow="1" w:lastRow="0" w:firstColumn="0" w:lastColumn="0" w:oddVBand="0" w:evenVBand="0" w:oddHBand="0" w:evenHBand="0" w:firstRowFirstColumn="0" w:firstRowLastColumn="0" w:lastRowFirstColumn="0" w:lastRowLastColumn="0"/>
          <w:tblHeader/>
        </w:trPr>
        <w:tc>
          <w:tcPr>
            <w:tcW w:w="784" w:type="pct"/>
          </w:tcPr>
          <w:p w:rsidR="00B95D2A" w:rsidRPr="00B95D2A" w:rsidRDefault="00B95D2A" w:rsidP="00B95D2A">
            <w:r w:rsidRPr="00883125">
              <w:t>Issue</w:t>
            </w:r>
          </w:p>
        </w:tc>
        <w:tc>
          <w:tcPr>
            <w:tcW w:w="2271" w:type="pct"/>
          </w:tcPr>
          <w:p w:rsidR="00B95D2A" w:rsidRPr="00B95D2A" w:rsidRDefault="00B95D2A" w:rsidP="00B95D2A">
            <w:r w:rsidRPr="00883125">
              <w:t>Tribunal comments</w:t>
            </w:r>
          </w:p>
        </w:tc>
        <w:tc>
          <w:tcPr>
            <w:tcW w:w="1945" w:type="pct"/>
          </w:tcPr>
          <w:p w:rsidR="00B95D2A" w:rsidRPr="00B95D2A" w:rsidRDefault="00B95D2A" w:rsidP="00B95D2A">
            <w:r w:rsidRPr="00883125">
              <w:t xml:space="preserve">AER </w:t>
            </w:r>
            <w:r w:rsidRPr="00B95D2A">
              <w:t>initial comments</w:t>
            </w:r>
          </w:p>
        </w:tc>
      </w:tr>
      <w:tr w:rsidR="00B95D2A" w:rsidTr="00AC29DB">
        <w:tc>
          <w:tcPr>
            <w:tcW w:w="784" w:type="pct"/>
          </w:tcPr>
          <w:p w:rsidR="00B95D2A" w:rsidRPr="00B95D2A" w:rsidRDefault="00B95D2A" w:rsidP="00B95D2A">
            <w:r w:rsidRPr="00883125">
              <w:t>The conceptual framework for gamma</w:t>
            </w:r>
          </w:p>
        </w:tc>
        <w:tc>
          <w:tcPr>
            <w:tcW w:w="2271" w:type="pct"/>
          </w:tcPr>
          <w:p w:rsidR="00B95D2A" w:rsidRPr="00B95D2A" w:rsidRDefault="00B95D2A" w:rsidP="00B95D2A">
            <w:r w:rsidRPr="00883125">
              <w:t xml:space="preserve">By placing </w:t>
            </w:r>
            <w:r w:rsidRPr="00B95D2A">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B95D2A">
              <w:rPr>
                <w:rStyle w:val="FootnoteReference"/>
              </w:rPr>
              <w:footnoteReference w:id="273"/>
            </w:r>
            <w:r w:rsidRPr="00B95D2A">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B95D2A">
              <w:rPr>
                <w:rStyle w:val="FootnoteReference"/>
              </w:rPr>
              <w:footnoteReference w:id="274"/>
            </w:r>
          </w:p>
          <w:p w:rsidR="00B95D2A" w:rsidRPr="00B95D2A" w:rsidRDefault="00B95D2A" w:rsidP="00B95D2A">
            <w:r w:rsidRPr="00883125">
              <w:t xml:space="preserve">It </w:t>
            </w:r>
            <w:r w:rsidRPr="00B95D2A">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B95D2A">
              <w:rPr>
                <w:rStyle w:val="FootnoteReference"/>
              </w:rPr>
              <w:footnoteReference w:id="275"/>
            </w:r>
          </w:p>
          <w:p w:rsidR="00B95D2A" w:rsidRPr="00B95D2A" w:rsidRDefault="00B95D2A" w:rsidP="00B95D2A">
            <w:r w:rsidRPr="00883125">
              <w:t xml:space="preserve">Handley's extension of the Officer Framework does not appear to present an empirically robust and internally consistent explanation for the link </w:t>
            </w:r>
            <w:r w:rsidRPr="00B95D2A">
              <w:t>between the existence of imputation credits and the applicability of the vanilla WACC.</w:t>
            </w:r>
            <w:r w:rsidRPr="00B95D2A">
              <w:rPr>
                <w:rStyle w:val="FootnoteReference"/>
              </w:rPr>
              <w:footnoteReference w:id="276"/>
            </w:r>
          </w:p>
        </w:tc>
        <w:tc>
          <w:tcPr>
            <w:tcW w:w="1945" w:type="pct"/>
          </w:tcPr>
          <w:p w:rsidR="00B95D2A" w:rsidRPr="00B95D2A" w:rsidRDefault="00B95D2A" w:rsidP="00B95D2A">
            <w:r w:rsidRPr="00883125">
              <w:t>In developing the Guideline, we re-evaluated the conceptual framework for the value of imputation credits</w:t>
            </w:r>
            <w:r w:rsidRPr="00B95D2A">
              <w:t xml:space="preserve"> in consultation with stakeholders. In making this final decision, we have built on this re-evaluation. We discuss the role of the value of imputation credits and the underlying conceptual framework in sections </w:t>
            </w:r>
            <w:r w:rsidRPr="00B95D2A">
              <w:fldChar w:fldCharType="begin"/>
            </w:r>
            <w:r w:rsidRPr="00B95D2A">
              <w:instrText xml:space="preserve"> REF _Ref415144114 \r \h  \* MERGEFORMAT </w:instrText>
            </w:r>
            <w:r w:rsidRPr="00B95D2A">
              <w:fldChar w:fldCharType="separate"/>
            </w:r>
            <w:r w:rsidR="003E419A">
              <w:t>A.5</w:t>
            </w:r>
            <w:r w:rsidRPr="00B95D2A">
              <w:fldChar w:fldCharType="end"/>
            </w:r>
            <w:r w:rsidRPr="00B95D2A">
              <w:t xml:space="preserve"> and </w:t>
            </w:r>
            <w:r w:rsidRPr="00B95D2A">
              <w:fldChar w:fldCharType="begin"/>
            </w:r>
            <w:r w:rsidRPr="00B95D2A">
              <w:instrText xml:space="preserve"> REF _Ref400965182 \r \h  \* MERGEFORMAT </w:instrText>
            </w:r>
            <w:r w:rsidRPr="00B95D2A">
              <w:fldChar w:fldCharType="separate"/>
            </w:r>
            <w:r w:rsidR="003E419A">
              <w:t>A.6</w:t>
            </w:r>
            <w:r w:rsidRPr="00B95D2A">
              <w:fldChar w:fldCharType="end"/>
            </w:r>
            <w:r w:rsidRPr="00B95D2A">
              <w:t>.</w:t>
            </w:r>
          </w:p>
          <w:p w:rsidR="00B95D2A" w:rsidRPr="00B95D2A" w:rsidRDefault="00B95D2A" w:rsidP="00B95D2A">
            <w:r>
              <w:t>We</w:t>
            </w:r>
            <w:r w:rsidRPr="00B95D2A">
              <w:t xml:space="preserve"> consider the face value of imputation credits is the most appropriate measure and is consistent with the Officer framework. We consider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B95D2A" w:rsidRPr="00B95D2A" w:rsidRDefault="00B95D2A" w:rsidP="00B95D2A">
            <w:r w:rsidRPr="00883125">
              <w:t xml:space="preserve">The </w:t>
            </w:r>
            <w:r w:rsidRPr="00B95D2A">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B95D2A" w:rsidRPr="00B95D2A" w:rsidRDefault="00B95D2A" w:rsidP="00B95D2A">
            <w:r w:rsidRPr="00883125">
              <w:t>However, t</w:t>
            </w:r>
            <w:r w:rsidRPr="00B95D2A">
              <w:t>he dividend drop off imputation credit estimate is neither a pre-</w:t>
            </w:r>
            <w:r w:rsidRPr="00B95D2A">
              <w:lastRenderedPageBreak/>
              <w:t xml:space="preserve">personal tax nor a post-personal tax estimate. As a result, this estimate (absent adjustment) cannot be used at all in our regulatory context as it is inconsistent with the post-tax Officer framework. This is further discussed in section </w:t>
            </w:r>
            <w:r w:rsidRPr="00B95D2A">
              <w:fldChar w:fldCharType="begin"/>
            </w:r>
            <w:r w:rsidRPr="00B95D2A">
              <w:instrText xml:space="preserve"> REF _Ref435171205 \r \h  \* MERGEFORMAT </w:instrText>
            </w:r>
            <w:r w:rsidRPr="00B95D2A">
              <w:fldChar w:fldCharType="separate"/>
            </w:r>
            <w:r w:rsidR="003E419A">
              <w:t>A.15.3</w:t>
            </w:r>
            <w:r w:rsidRPr="00B95D2A">
              <w:fldChar w:fldCharType="end"/>
            </w:r>
            <w:r w:rsidRPr="00B95D2A">
              <w:t>.</w:t>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784" w:type="pct"/>
          </w:tcPr>
          <w:p w:rsidR="00B95D2A" w:rsidRPr="00B95D2A" w:rsidRDefault="00B95D2A" w:rsidP="00B95D2A">
            <w:r w:rsidRPr="00883125">
              <w:lastRenderedPageBreak/>
              <w:t>The distribution rate (payout ratio)</w:t>
            </w:r>
          </w:p>
        </w:tc>
        <w:tc>
          <w:tcPr>
            <w:tcW w:w="2271" w:type="pct"/>
          </w:tcPr>
          <w:p w:rsidR="00B95D2A" w:rsidRPr="00B95D2A" w:rsidRDefault="00B95D2A" w:rsidP="00B95D2A">
            <w:r w:rsidRPr="00883125">
              <w:t>There is insufficient explanation for introducing the distribution rate for only listed equity.</w:t>
            </w:r>
            <w:r w:rsidRPr="00B95D2A">
              <w:rPr>
                <w:rStyle w:val="FootnoteReference"/>
              </w:rPr>
              <w:footnoteReference w:id="277"/>
            </w:r>
          </w:p>
        </w:tc>
        <w:tc>
          <w:tcPr>
            <w:tcW w:w="1945" w:type="pct"/>
          </w:tcPr>
          <w:p w:rsidR="00B95D2A" w:rsidRPr="00B95D2A" w:rsidRDefault="00B95D2A" w:rsidP="00B95D2A">
            <w:r w:rsidRPr="00B31DF2">
              <w:t>As discussed in section</w:t>
            </w:r>
            <w:r w:rsidRPr="00B95D2A">
              <w:t xml:space="preserve"> </w:t>
            </w:r>
            <w:r w:rsidRPr="00B95D2A">
              <w:fldChar w:fldCharType="begin"/>
            </w:r>
            <w:r w:rsidRPr="00B95D2A">
              <w:instrText xml:space="preserve"> REF _Ref476580960 \r \h </w:instrText>
            </w:r>
            <w:r w:rsidRPr="00B95D2A">
              <w:fldChar w:fldCharType="separate"/>
            </w:r>
            <w:r w:rsidR="003E419A">
              <w:rPr>
                <w:b/>
                <w:bCs/>
                <w:lang w:val="en-US"/>
              </w:rPr>
              <w:t>Error! Reference source not found.</w:t>
            </w:r>
            <w:r w:rsidRPr="00B95D2A">
              <w:fldChar w:fldCharType="end"/>
            </w:r>
            <w:r w:rsidRPr="00B95D2A">
              <w:t xml:space="preserve"> of attachment 4 and section </w:t>
            </w:r>
            <w:r w:rsidRPr="00B95D2A">
              <w:fldChar w:fldCharType="begin"/>
            </w:r>
            <w:r w:rsidRPr="00B95D2A">
              <w:instrText xml:space="preserve"> REF _Ref401133206 \r \h </w:instrText>
            </w:r>
            <w:r w:rsidRPr="00B95D2A">
              <w:fldChar w:fldCharType="separate"/>
            </w:r>
            <w:r w:rsidR="003E419A">
              <w:t>A.10</w:t>
            </w:r>
            <w:r w:rsidRPr="00B95D2A">
              <w:fldChar w:fldCharType="end"/>
            </w:r>
            <w:r w:rsidRPr="00B95D2A">
              <w:t xml:space="preserve"> of this appendix, we consider the use of a distribution rate for listed equity is open to us and reasonably reflective of a benchmark efficient entity given the difficulties associated with choosing a representative dataset.</w:t>
            </w:r>
            <w:r w:rsidRPr="00B95D2A">
              <w:rPr>
                <w:rStyle w:val="FootnoteReference"/>
              </w:rPr>
              <w:footnoteReference w:id="278"/>
            </w:r>
            <w:r w:rsidRPr="00B95D2A">
              <w:t xml:space="preserve"> Lally also recommends distribution rate based on listed equity for a benchmark efficient entity, although he estimates this using financial statements of the top 20 listed firms.</w:t>
            </w:r>
            <w:r w:rsidRPr="00B95D2A">
              <w:rPr>
                <w:rStyle w:val="FootnoteReference"/>
              </w:rPr>
              <w:footnoteReference w:id="279"/>
            </w:r>
          </w:p>
          <w:p w:rsidR="00B95D2A" w:rsidRPr="00B95D2A" w:rsidRDefault="00B95D2A" w:rsidP="00B95D2A">
            <w:r w:rsidRPr="00B31DF2">
              <w:t>As discussed in section</w:t>
            </w:r>
            <w:r w:rsidRPr="00B95D2A">
              <w:t xml:space="preserve"> </w:t>
            </w:r>
            <w:r w:rsidRPr="00B95D2A">
              <w:fldChar w:fldCharType="begin"/>
            </w:r>
            <w:r w:rsidRPr="00B95D2A">
              <w:instrText xml:space="preserve"> REF _Ref476580949 \r \h </w:instrText>
            </w:r>
            <w:r w:rsidRPr="00B95D2A">
              <w:fldChar w:fldCharType="separate"/>
            </w:r>
            <w:r w:rsidR="003E419A">
              <w:rPr>
                <w:b/>
                <w:bCs/>
                <w:lang w:val="en-US"/>
              </w:rPr>
              <w:t>Error! Reference source not found.</w:t>
            </w:r>
            <w:r w:rsidRPr="00B95D2A">
              <w:fldChar w:fldCharType="end"/>
            </w:r>
            <w:r w:rsidRPr="00B95D2A">
              <w:t xml:space="preserve"> of attachment 4 and section </w:t>
            </w:r>
            <w:r w:rsidRPr="00B95D2A">
              <w:fldChar w:fldCharType="begin"/>
            </w:r>
            <w:r w:rsidRPr="00B95D2A">
              <w:instrText xml:space="preserve"> REF _Ref450299300 \r \h </w:instrText>
            </w:r>
            <w:r w:rsidRPr="00B95D2A">
              <w:fldChar w:fldCharType="separate"/>
            </w:r>
            <w:r w:rsidR="003E419A">
              <w:t>A.9.2</w:t>
            </w:r>
            <w:r w:rsidRPr="00B95D2A">
              <w:fldChar w:fldCharType="end"/>
            </w:r>
            <w:r w:rsidRPr="00B95D2A">
              <w:t xml:space="preserve"> of this appendix, Lally considers there is no necessity to combine estimates of the distribution rate and utilisation rate from the same dataset and good reason not for not doing so.</w:t>
            </w:r>
            <w:r w:rsidRPr="00B95D2A">
              <w:rPr>
                <w:rStyle w:val="FootnoteReference"/>
              </w:rPr>
              <w:footnoteReference w:id="280"/>
            </w:r>
            <w:r w:rsidRPr="00B95D2A">
              <w:t xml:space="preserve"> However, we note given Lally's advice our approach appears to lead to a conservative gamma estimate (in favour of the service provider), as Lally considers only listed firms should be used to determine the distribution rate and all equity should be used to estimate the utilisation value which results in a gamma estimate of 0.5.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B95D2A">
              <w:rPr>
                <w:rStyle w:val="FootnoteReference"/>
              </w:rPr>
              <w:footnoteReference w:id="281"/>
            </w:r>
          </w:p>
        </w:tc>
      </w:tr>
      <w:tr w:rsidR="00B95D2A" w:rsidTr="00AC29DB">
        <w:tc>
          <w:tcPr>
            <w:tcW w:w="784" w:type="pct"/>
          </w:tcPr>
          <w:p w:rsidR="00B95D2A" w:rsidRPr="00B95D2A" w:rsidRDefault="00B95D2A" w:rsidP="00B95D2A">
            <w:r w:rsidRPr="00883125">
              <w:lastRenderedPageBreak/>
              <w:t>Equity ownership approach</w:t>
            </w:r>
          </w:p>
        </w:tc>
        <w:tc>
          <w:tcPr>
            <w:tcW w:w="2271" w:type="pct"/>
          </w:tcPr>
          <w:p w:rsidR="00B95D2A" w:rsidRPr="00B95D2A" w:rsidRDefault="00B95D2A" w:rsidP="00B95D2A">
            <w:r w:rsidRPr="00883125">
              <w:t xml:space="preserve">To the extent that the equity ownership approach indicates that theta is above the </w:t>
            </w:r>
            <w:r w:rsidRPr="00B95D2A">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B95D2A">
              <w:rPr>
                <w:rStyle w:val="FootnoteReference"/>
              </w:rPr>
              <w:footnoteReference w:id="282"/>
            </w:r>
          </w:p>
          <w:p w:rsidR="00B95D2A" w:rsidRPr="00B95D2A" w:rsidRDefault="00B95D2A" w:rsidP="00B95D2A">
            <w:r w:rsidRPr="00883125">
              <w:t>There are investors who hold shares for less than 45 days. The issue is not whether such a class exists, but the size of that class and the extent to which the value of imputation credits is lower as a result of domestic shareholders being unable to use them.</w:t>
            </w:r>
            <w:r w:rsidRPr="00B95D2A">
              <w:rPr>
                <w:rStyle w:val="FootnoteReference"/>
              </w:rPr>
              <w:footnoteReference w:id="283"/>
            </w:r>
          </w:p>
          <w:p w:rsidR="00B95D2A" w:rsidRPr="00B95D2A" w:rsidRDefault="00B95D2A" w:rsidP="00B95D2A">
            <w:r w:rsidRPr="00883125">
              <w:t>The equity ownership approach overstates the redemption rates and would only be useful a further check on other estimates.</w:t>
            </w:r>
            <w:r w:rsidRPr="00B95D2A">
              <w:rPr>
                <w:rStyle w:val="FootnoteReference"/>
              </w:rPr>
              <w:footnoteReference w:id="284"/>
            </w:r>
          </w:p>
          <w:p w:rsidR="00B95D2A" w:rsidRPr="00B95D2A" w:rsidRDefault="00B95D2A" w:rsidP="00B95D2A">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B95D2A">
              <w:rPr>
                <w:rStyle w:val="FootnoteReference"/>
              </w:rPr>
              <w:footnoteReference w:id="285"/>
            </w:r>
          </w:p>
        </w:tc>
        <w:tc>
          <w:tcPr>
            <w:tcW w:w="1945" w:type="pct"/>
          </w:tcPr>
          <w:p w:rsidR="00B95D2A" w:rsidRPr="00B95D2A" w:rsidRDefault="00B95D2A" w:rsidP="00B95D2A">
            <w:r>
              <w:t>We</w:t>
            </w:r>
            <w:r w:rsidRPr="00B95D2A">
              <w:t xml:space="preserve"> consider the equity ownership approach remains the best method to estimate the utilisation rate. We do not consider the difference between the equity ownership approach and tax statistics is due to the 45 day holding rule and Lally agrees with this.</w:t>
            </w:r>
            <w:r w:rsidRPr="00B95D2A">
              <w:rPr>
                <w:rStyle w:val="FootnoteReference"/>
              </w:rPr>
              <w:footnoteReference w:id="286"/>
            </w:r>
            <w:r w:rsidRPr="00B95D2A">
              <w:t xml:space="preserve"> Instead, we consider the difference in the utilisation rate is likely driven by the unreliability in the taxation data underlying the tax statistics estimate. Lally considers the most obvious explanation for the difference is the estimate of the redemption rate from tax statistics used by the AER is too low.</w:t>
            </w:r>
            <w:r w:rsidRPr="00B95D2A">
              <w:rPr>
                <w:rStyle w:val="FootnoteReference"/>
              </w:rPr>
              <w:footnoteReference w:id="287"/>
            </w:r>
            <w:r w:rsidRPr="00B95D2A">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B95D2A">
              <w:rPr>
                <w:rStyle w:val="FootnoteReference"/>
              </w:rPr>
              <w:footnoteReference w:id="288"/>
            </w:r>
          </w:p>
          <w:p w:rsidR="00B95D2A" w:rsidRPr="00B95D2A" w:rsidRDefault="00B95D2A" w:rsidP="00B95D2A">
            <w:r>
              <w:t>We</w:t>
            </w:r>
            <w:r w:rsidRPr="00B95D2A">
              <w:t xml:space="preserve"> remain of the view that the 45 day rule does not have a material impact on the utilisation rate. This is supported by Lally.</w:t>
            </w:r>
            <w:r w:rsidRPr="00B95D2A">
              <w:rPr>
                <w:rStyle w:val="FootnoteReference"/>
              </w:rPr>
              <w:footnoteReference w:id="289"/>
            </w:r>
            <w:r w:rsidRPr="00B95D2A">
              <w:t xml:space="preserve"> We have not been presented with any data that would suggest the 45 day rule is having any impact on the utilisation of imputation credits. </w:t>
            </w:r>
          </w:p>
          <w:p w:rsidR="00B95D2A" w:rsidRPr="00B95D2A" w:rsidRDefault="00B95D2A" w:rsidP="00B95D2A">
            <w:r>
              <w:t>We</w:t>
            </w:r>
            <w:r w:rsidRPr="00B95D2A">
              <w:t xml:space="preserve"> consider that on a post-company pre-personal tax basis, investors that are eligible to receive imputation credits value them at their full face value. A dollar face value of imputation credits reduces eligible investor's tax liabilities by one dollar. The face value of the imputation credit is the post-</w:t>
            </w:r>
            <w:r w:rsidRPr="00B95D2A">
              <w:lastRenderedPageBreak/>
              <w:t>company pre-personal tax value of the imputation credit.</w:t>
            </w:r>
          </w:p>
        </w:tc>
      </w:tr>
      <w:tr w:rsidR="00B95D2A" w:rsidRPr="00B45BDD" w:rsidTr="00AC29DB">
        <w:trPr>
          <w:cnfStyle w:val="000000010000" w:firstRow="0" w:lastRow="0" w:firstColumn="0" w:lastColumn="0" w:oddVBand="0" w:evenVBand="0" w:oddHBand="0" w:evenHBand="1" w:firstRowFirstColumn="0" w:firstRowLastColumn="0" w:lastRowFirstColumn="0" w:lastRowLastColumn="0"/>
        </w:trPr>
        <w:tc>
          <w:tcPr>
            <w:tcW w:w="784" w:type="pct"/>
          </w:tcPr>
          <w:p w:rsidR="00B95D2A" w:rsidRPr="00B95D2A" w:rsidRDefault="00B95D2A" w:rsidP="00B95D2A">
            <w:r w:rsidRPr="00883125">
              <w:lastRenderedPageBreak/>
              <w:t>Tax statistic estimates</w:t>
            </w:r>
          </w:p>
        </w:tc>
        <w:tc>
          <w:tcPr>
            <w:tcW w:w="2271" w:type="pct"/>
          </w:tcPr>
          <w:p w:rsidR="00B95D2A" w:rsidRPr="00B95D2A" w:rsidRDefault="00B95D2A" w:rsidP="00B95D2A">
            <w:r w:rsidRPr="00883125">
              <w:t xml:space="preserve">Tax statistics can only </w:t>
            </w:r>
            <w:r w:rsidRPr="00B95D2A">
              <w:t>provide an upper bound on the estimate of theta.</w:t>
            </w:r>
            <w:r w:rsidRPr="00B95D2A">
              <w:rPr>
                <w:rStyle w:val="FootnoteReference"/>
              </w:rPr>
              <w:footnoteReference w:id="290"/>
            </w:r>
          </w:p>
          <w:p w:rsidR="00B95D2A" w:rsidRPr="00B95D2A" w:rsidRDefault="00B95D2A" w:rsidP="00B95D2A">
            <w:r w:rsidRPr="00883125">
              <w:t xml:space="preserve">The value of theta produced by taxation statistics is evidence that Australian investors do not value </w:t>
            </w:r>
            <w:r w:rsidRPr="00B95D2A">
              <w:t>imputation credits at their face value, because they may be unable to use them.</w:t>
            </w:r>
            <w:r w:rsidRPr="00B95D2A">
              <w:rPr>
                <w:rStyle w:val="FootnoteReference"/>
              </w:rPr>
              <w:footnoteReference w:id="291"/>
            </w:r>
          </w:p>
          <w:p w:rsidR="00B95D2A" w:rsidRPr="00B95D2A" w:rsidRDefault="00B95D2A" w:rsidP="00B95D2A">
            <w:r w:rsidRPr="00883125">
              <w:t>The ATO data relied by Hathaway has since been acknowledged by Hathaway to be of some concern.</w:t>
            </w:r>
            <w:r w:rsidRPr="00B95D2A">
              <w:rPr>
                <w:rStyle w:val="FootnoteReference"/>
              </w:rPr>
              <w:footnoteReference w:id="292"/>
            </w:r>
          </w:p>
        </w:tc>
        <w:tc>
          <w:tcPr>
            <w:tcW w:w="1945" w:type="pct"/>
          </w:tcPr>
          <w:p w:rsidR="00B95D2A" w:rsidRPr="00B95D2A" w:rsidRDefault="00B95D2A" w:rsidP="00B95D2A">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B95D2A">
              <w:t xml:space="preserve">rate. We discussed Handley's views in section A.6.1 of the draft/preliminary decisions. We discuss the use of tax statistics more broadly in section </w:t>
            </w:r>
            <w:r w:rsidRPr="00B95D2A">
              <w:fldChar w:fldCharType="begin"/>
            </w:r>
            <w:r w:rsidRPr="00B95D2A">
              <w:instrText xml:space="preserve"> REF _Ref402179420 \r \h  \* MERGEFORMAT </w:instrText>
            </w:r>
            <w:r w:rsidRPr="00B95D2A">
              <w:fldChar w:fldCharType="separate"/>
            </w:r>
            <w:r w:rsidR="003E419A">
              <w:t>A.13</w:t>
            </w:r>
            <w:r w:rsidRPr="00B95D2A">
              <w:fldChar w:fldCharType="end"/>
            </w:r>
            <w:r w:rsidRPr="00B95D2A">
              <w:t xml:space="preserve"> of this appendix.</w:t>
            </w:r>
          </w:p>
          <w:p w:rsidR="00B95D2A" w:rsidRPr="00B95D2A" w:rsidRDefault="00B95D2A" w:rsidP="00B95D2A">
            <w:r>
              <w:t xml:space="preserve">Lally advised that the correct tax statistic </w:t>
            </w:r>
            <w:r w:rsidRPr="00B95D2A">
              <w:t>is upward biased as it is expected local investors would tilt their shareholding towards stock with 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B95D2A">
              <w:rPr>
                <w:rStyle w:val="FootnoteReference"/>
              </w:rPr>
              <w:footnoteReference w:id="293"/>
            </w:r>
            <w:r w:rsidRPr="00B95D2A">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B95D2A" w:rsidRPr="00B95D2A" w:rsidRDefault="00B95D2A" w:rsidP="00B95D2A">
            <w:r w:rsidRPr="00FF12F1">
              <w:t>Having regard to the potential data limitations and alternate estimates, the evidence from tax statistics is not inconsistent with the evidence from the equity ownership approach, but we place less reliance upon it.</w:t>
            </w:r>
            <w:r w:rsidRPr="00B95D2A">
              <w:t xml:space="preserve"> </w:t>
            </w:r>
          </w:p>
          <w:p w:rsidR="00B95D2A" w:rsidRPr="00B95D2A" w:rsidRDefault="00B95D2A" w:rsidP="00B95D2A">
            <w:r>
              <w:t>We do</w:t>
            </w:r>
            <w:r w:rsidRPr="00B95D2A">
              <w:t xml:space="preserve"> not consider the utilisation rate produced by taxation statistics is evidence that Australian investors do not value imputation credits at their face value. Rather we consider the evidence demonstrates there are </w:t>
            </w:r>
            <w:r w:rsidRPr="00B95D2A">
              <w:lastRenderedPageBreak/>
              <w:t>potential data reliability issues with tax statistics. The Tribunal itself has acknowledged concerns with the ATO data.</w:t>
            </w:r>
            <w:r w:rsidRPr="00B95D2A">
              <w:rPr>
                <w:rStyle w:val="FootnoteReference"/>
              </w:rPr>
              <w:footnoteReference w:id="294"/>
            </w:r>
          </w:p>
        </w:tc>
      </w:tr>
      <w:tr w:rsidR="00B95D2A" w:rsidRPr="00B45BDD" w:rsidTr="00AC29DB">
        <w:tc>
          <w:tcPr>
            <w:tcW w:w="784" w:type="pct"/>
          </w:tcPr>
          <w:p w:rsidR="00B95D2A" w:rsidRPr="00B95D2A" w:rsidRDefault="00B95D2A" w:rsidP="00B95D2A">
            <w:r w:rsidRPr="00883125">
              <w:lastRenderedPageBreak/>
              <w:t>The conceptual basis for dividend drop off studies</w:t>
            </w:r>
          </w:p>
        </w:tc>
        <w:tc>
          <w:tcPr>
            <w:tcW w:w="2271" w:type="pct"/>
          </w:tcPr>
          <w:p w:rsidR="00B95D2A" w:rsidRPr="00B95D2A" w:rsidRDefault="00B95D2A" w:rsidP="00B95D2A">
            <w:r>
              <w:t>O</w:t>
            </w:r>
            <w:r w:rsidRPr="00B95D2A">
              <w:t>f the various methodologies for estimating gamma employed by the AER, market value studies are best placed to capture the considerations that investors make in determining the worth of imputation credits to them.</w:t>
            </w:r>
            <w:r w:rsidRPr="00B95D2A">
              <w:rPr>
                <w:rStyle w:val="FootnoteReference"/>
              </w:rPr>
              <w:footnoteReference w:id="295"/>
            </w:r>
          </w:p>
          <w:p w:rsidR="00B95D2A" w:rsidRPr="00B95D2A" w:rsidRDefault="00B95D2A" w:rsidP="00B95D2A">
            <w:r w:rsidRPr="00883125">
              <w:t>The AER could have excluded earlier market based studies that were not relevant, such as the studies that were conducted on pre 2000 data.</w:t>
            </w:r>
            <w:r w:rsidRPr="00B95D2A">
              <w:rPr>
                <w:rStyle w:val="FootnoteReference"/>
              </w:rPr>
              <w:footnoteReference w:id="296"/>
            </w:r>
          </w:p>
          <w:p w:rsidR="00B95D2A" w:rsidRPr="00B95D2A" w:rsidRDefault="00B95D2A" w:rsidP="00B95D2A">
            <w:r w:rsidRPr="00883125">
              <w:t xml:space="preserve">That the econometric issues identified in market based studies is at odds with the AER's </w:t>
            </w:r>
            <w:r w:rsidRPr="00B95D2A">
              <w:t>reliance on economic modelling in other aspects of its determinations.</w:t>
            </w:r>
            <w:r w:rsidRPr="00B95D2A">
              <w:rPr>
                <w:rStyle w:val="FootnoteReference"/>
              </w:rPr>
              <w:footnoteReference w:id="297"/>
            </w:r>
          </w:p>
          <w:p w:rsidR="00B95D2A" w:rsidRPr="00B95D2A" w:rsidRDefault="00B95D2A" w:rsidP="00B95D2A">
            <w:r w:rsidRPr="00883125">
              <w:t xml:space="preserve">The best estimate derived by the updated SFG study is 0.35 and it </w:t>
            </w:r>
            <w:r w:rsidRPr="00B95D2A">
              <w:t xml:space="preserve">is incorrect for the AER to </w:t>
            </w:r>
            <w:r w:rsidR="009B1202" w:rsidRPr="00B95D2A">
              <w:t>adjust</w:t>
            </w:r>
            <w:r w:rsidRPr="00B95D2A">
              <w:t xml:space="preserve"> the SFG study for factors, such as differential personal taxes and risk.</w:t>
            </w:r>
            <w:r w:rsidRPr="00B95D2A">
              <w:rPr>
                <w:rStyle w:val="FootnoteReference"/>
              </w:rPr>
              <w:footnoteReference w:id="298"/>
            </w:r>
          </w:p>
          <w:p w:rsidR="00B95D2A" w:rsidRPr="00B95D2A" w:rsidRDefault="00B95D2A" w:rsidP="00B95D2A">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B95D2A">
              <w:rPr>
                <w:rStyle w:val="FootnoteReference"/>
              </w:rPr>
              <w:footnoteReference w:id="299"/>
            </w:r>
          </w:p>
        </w:tc>
        <w:tc>
          <w:tcPr>
            <w:tcW w:w="1945" w:type="pct"/>
          </w:tcPr>
          <w:p w:rsidR="00B95D2A" w:rsidRPr="00B95D2A" w:rsidRDefault="00B95D2A" w:rsidP="00B95D2A">
            <w:r w:rsidRPr="00883125">
              <w:t xml:space="preserve">The limitations of dividend drop off studies have been widely identified—we provide a selection of comments from academics and regulators in section </w:t>
            </w:r>
            <w:r w:rsidRPr="00B95D2A">
              <w:fldChar w:fldCharType="begin"/>
            </w:r>
            <w:r w:rsidRPr="00B95D2A">
              <w:instrText xml:space="preserve"> REF _Ref451266265 \r \h  \* MERGEFORMAT </w:instrText>
            </w:r>
            <w:r w:rsidRPr="00B95D2A">
              <w:fldChar w:fldCharType="separate"/>
            </w:r>
            <w:r w:rsidR="003E419A">
              <w:t>A.15</w:t>
            </w:r>
            <w:r w:rsidRPr="00B95D2A">
              <w:fldChar w:fldCharType="end"/>
            </w:r>
            <w:r w:rsidRPr="00B95D2A">
              <w:t xml:space="preserve"> and </w:t>
            </w:r>
            <w:r w:rsidRPr="00B95D2A">
              <w:fldChar w:fldCharType="begin"/>
            </w:r>
            <w:r w:rsidRPr="00B95D2A">
              <w:instrText xml:space="preserve"> REF _Ref450761230 \r \h </w:instrText>
            </w:r>
            <w:r w:rsidRPr="00B95D2A">
              <w:fldChar w:fldCharType="separate"/>
            </w:r>
            <w:r w:rsidR="003E419A">
              <w:t>4.4.1</w:t>
            </w:r>
            <w:r w:rsidRPr="00B95D2A">
              <w:fldChar w:fldCharType="end"/>
            </w:r>
            <w:r w:rsidRPr="00B95D2A">
              <w:t>. Moreover, both Handley and Lally advised that other approaches to estimating the utilisation rate should be preferred. Handley and Lally also advised that, without adjustment, dividend drop off studies produce downwards-biased estimates of the utilisation rate.</w:t>
            </w:r>
          </w:p>
          <w:p w:rsidR="00B95D2A" w:rsidRPr="00B95D2A" w:rsidRDefault="00B95D2A" w:rsidP="00B95D2A">
            <w:r w:rsidRPr="00883125">
              <w:t xml:space="preserve">The issue with dividend </w:t>
            </w:r>
            <w:r w:rsidRPr="00B95D2A">
              <w:t xml:space="preserve">drop off estimates of the utilisation rate (or value) is that they do not produce a post (company) tax (pre-personal tax) estimate and therefore do not produce estimates consistent with the Officer post-tax framework. The dividend drop off estimate is influenced by differential 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B95D2A">
              <w:fldChar w:fldCharType="begin"/>
            </w:r>
            <w:r w:rsidRPr="00B95D2A">
              <w:instrText xml:space="preserve"> REF _Ref435171205 \r \h  \* MERGEFORMAT </w:instrText>
            </w:r>
            <w:r w:rsidRPr="00B95D2A">
              <w:fldChar w:fldCharType="separate"/>
            </w:r>
            <w:r w:rsidR="003E419A">
              <w:t>A.15.3</w:t>
            </w:r>
            <w:r w:rsidRPr="00B95D2A">
              <w:fldChar w:fldCharType="end"/>
            </w:r>
            <w:r w:rsidRPr="00B95D2A">
              <w:t>.</w:t>
            </w:r>
          </w:p>
          <w:p w:rsidR="00B95D2A" w:rsidRPr="00B95D2A" w:rsidRDefault="00B95D2A" w:rsidP="00B95D2A">
            <w:r w:rsidRPr="00883125">
              <w:t xml:space="preserve">The </w:t>
            </w:r>
            <w:r w:rsidRPr="00B95D2A">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B95D2A" w:rsidRPr="00B45BDD" w:rsidTr="00AC29DB">
        <w:trPr>
          <w:cnfStyle w:val="000000010000" w:firstRow="0" w:lastRow="0" w:firstColumn="0" w:lastColumn="0" w:oddVBand="0" w:evenVBand="0" w:oddHBand="0" w:evenHBand="1" w:firstRowFirstColumn="0" w:firstRowLastColumn="0" w:lastRowFirstColumn="0" w:lastRowLastColumn="0"/>
        </w:trPr>
        <w:tc>
          <w:tcPr>
            <w:tcW w:w="784" w:type="pct"/>
          </w:tcPr>
          <w:p w:rsidR="00B95D2A" w:rsidRPr="00B95D2A" w:rsidRDefault="00B95D2A" w:rsidP="00B95D2A">
            <w:r w:rsidRPr="00883125">
              <w:t xml:space="preserve">Consistency of allowed rate </w:t>
            </w:r>
            <w:r w:rsidRPr="00883125">
              <w:lastRenderedPageBreak/>
              <w:t>of return parameters</w:t>
            </w:r>
          </w:p>
        </w:tc>
        <w:tc>
          <w:tcPr>
            <w:tcW w:w="2271" w:type="pct"/>
          </w:tcPr>
          <w:p w:rsidR="00B95D2A" w:rsidRPr="00B95D2A" w:rsidRDefault="00B95D2A" w:rsidP="00B95D2A">
            <w:r w:rsidRPr="00883125">
              <w:lastRenderedPageBreak/>
              <w:t xml:space="preserve">The AER's reasoning ignores the fact that other parameters in the WACC </w:t>
            </w:r>
            <w:r w:rsidRPr="00B95D2A">
              <w:t xml:space="preserve">calculation </w:t>
            </w:r>
            <w:r w:rsidRPr="00B95D2A">
              <w:lastRenderedPageBreak/>
              <w:t>are market values that already incorporate the effects of the difference in investors' tax position and transaction costs'.</w:t>
            </w:r>
            <w:r w:rsidRPr="00B95D2A">
              <w:rPr>
                <w:rStyle w:val="FootnoteReference"/>
              </w:rPr>
              <w:footnoteReference w:id="300"/>
            </w:r>
            <w:r w:rsidRPr="00B95D2A">
              <w:t xml:space="preserve"> There is no inconsistency between the use of market studies to estimate the value of imputation credits and the method used to calculate other parameters of the cost of debt and equity from market data.</w:t>
            </w:r>
            <w:r w:rsidRPr="00B95D2A">
              <w:rPr>
                <w:rStyle w:val="FootnoteReference"/>
              </w:rPr>
              <w:footnoteReference w:id="301"/>
            </w:r>
            <w:r w:rsidRPr="00B95D2A">
              <w:t xml:space="preserve"> The Tribunal consider that return on equity is derived from market prices of government bonds (the risk free rate) and from the market prices of shares (beta and MRP).</w:t>
            </w:r>
            <w:r w:rsidRPr="00B95D2A">
              <w:rPr>
                <w:rStyle w:val="FootnoteReference"/>
              </w:rPr>
              <w:footnoteReference w:id="302"/>
            </w:r>
            <w:r w:rsidRPr="00B95D2A">
              <w:t xml:space="preserve"> The cost of debt is calculated by reference to bond yields which are derived directly from traded market prices.</w:t>
            </w:r>
            <w:r w:rsidRPr="00B95D2A">
              <w:rPr>
                <w:rStyle w:val="FootnoteReference"/>
              </w:rPr>
              <w:footnoteReference w:id="303"/>
            </w:r>
            <w:r w:rsidRPr="00B95D2A">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B95D2A">
              <w:rPr>
                <w:rStyle w:val="FootnoteReference"/>
              </w:rPr>
              <w:footnoteReference w:id="304"/>
            </w:r>
          </w:p>
        </w:tc>
        <w:tc>
          <w:tcPr>
            <w:tcW w:w="1945" w:type="pct"/>
          </w:tcPr>
          <w:p w:rsidR="00B95D2A" w:rsidRPr="00B95D2A" w:rsidRDefault="00B95D2A" w:rsidP="00B95D2A">
            <w:r w:rsidRPr="00B27BE5">
              <w:lastRenderedPageBreak/>
              <w:t xml:space="preserve">The market value of imputation credits is inferred from dividend drop off </w:t>
            </w:r>
            <w:r w:rsidRPr="00B27BE5">
              <w:lastRenderedPageBreak/>
              <w:t>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w:t>
            </w:r>
            <w:r w:rsidRPr="00B95D2A">
              <w:t>company pre-personal tax value consistent with the framework in the NER/NGR based on Officer's work.</w:t>
            </w:r>
          </w:p>
          <w:p w:rsidR="00B95D2A" w:rsidRPr="00B95D2A" w:rsidRDefault="00B95D2A" w:rsidP="00B95D2A">
            <w:r>
              <w:t>We</w:t>
            </w:r>
            <w:r w:rsidRPr="00B95D2A">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post (company) tax (pre-personal tax) value and is internally consistent with all other allowed rate of return parameters. We note personal tax is levied on the face value of imputation credits (levied on gross dividends). </w:t>
            </w:r>
          </w:p>
        </w:tc>
      </w:tr>
      <w:tr w:rsidR="00B95D2A" w:rsidTr="00AC29DB">
        <w:tc>
          <w:tcPr>
            <w:tcW w:w="784" w:type="pct"/>
          </w:tcPr>
          <w:p w:rsidR="00B95D2A" w:rsidRPr="00B95D2A" w:rsidRDefault="00B95D2A" w:rsidP="00B95D2A">
            <w:r w:rsidRPr="00883125">
              <w:lastRenderedPageBreak/>
              <w:t>The need to re-evaluate gamma</w:t>
            </w:r>
          </w:p>
        </w:tc>
        <w:tc>
          <w:tcPr>
            <w:tcW w:w="2271" w:type="pct"/>
          </w:tcPr>
          <w:p w:rsidR="00B95D2A" w:rsidRPr="00B95D2A" w:rsidRDefault="00B95D2A" w:rsidP="00B95D2A">
            <w:r w:rsidRPr="00883125">
              <w:t xml:space="preserve">Changes to the NER and the NEL allow </w:t>
            </w:r>
            <w:r w:rsidRPr="00B95D2A">
              <w:t>the AER greater flexibility to adopt a more sophisticated approach to the cost of capital than previously envisaged by the NER and the NEL.</w:t>
            </w:r>
            <w:r w:rsidRPr="00B95D2A">
              <w:rPr>
                <w:rStyle w:val="FootnoteReference"/>
              </w:rPr>
              <w:footnoteReference w:id="305"/>
            </w:r>
            <w:r w:rsidRPr="00B95D2A">
              <w:t xml:space="preserve"> It is appropriate that the AER should use that additional flexibility to seek advice on alternatives to the Officer Framework that better define the impact of imputation credits on the cost of capital.</w:t>
            </w:r>
            <w:r w:rsidRPr="00B95D2A">
              <w:rPr>
                <w:rStyle w:val="FootnoteReference"/>
              </w:rPr>
              <w:footnoteReference w:id="306"/>
            </w:r>
          </w:p>
          <w:p w:rsidR="00B95D2A" w:rsidRPr="00B95D2A" w:rsidRDefault="00B95D2A" w:rsidP="00B95D2A">
            <w:r w:rsidRPr="00883125">
              <w:t xml:space="preserve">Suggested that given the New Zealand High Court decision financial modelling may not yet have produced a workable version of a CAPM that incorporates a generalised </w:t>
            </w:r>
            <w:r w:rsidRPr="00883125">
              <w:lastRenderedPageBreak/>
              <w:t>treatment of imputation credits, in which case the AER would necessarily have to make judgements about whether and how to modify the methodology in the RoR Guidelines for factors subsequently raise in advice it received from experts.</w:t>
            </w:r>
            <w:r w:rsidRPr="00B95D2A">
              <w:rPr>
                <w:rStyle w:val="FootnoteReference"/>
              </w:rPr>
              <w:footnoteReference w:id="307"/>
            </w:r>
          </w:p>
          <w:p w:rsidR="00B95D2A" w:rsidRPr="00B95D2A" w:rsidRDefault="00B95D2A" w:rsidP="00B95D2A">
            <w:r w:rsidRPr="00883125">
              <w:t xml:space="preserve">Experts present no consistently coherent CAPM framework for the </w:t>
            </w:r>
            <w:r w:rsidRPr="00B95D2A">
              <w:t>assessment of the components of the cost of capital. There are models with disputed applicability which may or may not be consistent with the application of a vanilla WACC.</w:t>
            </w:r>
            <w:r w:rsidRPr="00B95D2A">
              <w:rPr>
                <w:rStyle w:val="FootnoteReference"/>
              </w:rPr>
              <w:footnoteReference w:id="308"/>
            </w:r>
          </w:p>
        </w:tc>
        <w:tc>
          <w:tcPr>
            <w:tcW w:w="1945" w:type="pct"/>
          </w:tcPr>
          <w:p w:rsidR="00B95D2A" w:rsidRPr="00B95D2A" w:rsidRDefault="00B95D2A" w:rsidP="00B95D2A">
            <w:r>
              <w:lastRenderedPageBreak/>
              <w:t>We</w:t>
            </w:r>
            <w:r w:rsidRPr="00B95D2A">
              <w:t xml:space="preserve"> remain of the view that Officer Framework remains appropriate for the current final decision. We consider our application of the Officer Framework will lead to an overall rate of return (inclusive of the value of imputation credits) that is commensurate with the efficient financing costs of a benchmark efficient entity in the provision of regulated services.</w:t>
            </w:r>
          </w:p>
        </w:tc>
      </w:tr>
    </w:tbl>
    <w:p w:rsidR="00B95D2A" w:rsidRPr="00883125" w:rsidRDefault="00B95D2A" w:rsidP="00B95D2A">
      <w:pPr>
        <w:pStyle w:val="AERtablesource"/>
      </w:pPr>
      <w:r w:rsidRPr="00883125">
        <w:lastRenderedPageBreak/>
        <w:t xml:space="preserve">Source: </w:t>
      </w:r>
      <w:r w:rsidRPr="00883125">
        <w:tab/>
        <w:t>As specified in table.</w:t>
      </w:r>
    </w:p>
    <w:p w:rsidR="00B95D2A" w:rsidRDefault="00B95D2A" w:rsidP="00B95D2A"/>
    <w:p w:rsidR="00B95D2A" w:rsidRPr="00883125" w:rsidRDefault="00B95D2A" w:rsidP="00B95D2A"/>
    <w:p w:rsidR="00B95D2A" w:rsidRPr="00883125" w:rsidRDefault="00B95D2A" w:rsidP="00B95D2A">
      <w:pPr>
        <w:sectPr w:rsidR="00B95D2A" w:rsidRPr="00883125" w:rsidSect="00AC29DB">
          <w:pgSz w:w="16838" w:h="11906" w:orient="landscape"/>
          <w:pgMar w:top="1440" w:right="1440" w:bottom="1440" w:left="1440" w:header="709" w:footer="709" w:gutter="0"/>
          <w:pgNumType w:chapStyle="1"/>
          <w:cols w:space="708"/>
          <w:docGrid w:linePitch="360"/>
        </w:sectPr>
      </w:pPr>
    </w:p>
    <w:p w:rsidR="00B95D2A" w:rsidRPr="00883125" w:rsidRDefault="00B95D2A" w:rsidP="00B95D2A">
      <w:pPr>
        <w:pStyle w:val="Heading9"/>
      </w:pPr>
      <w:r>
        <w:lastRenderedPageBreak/>
        <w:t xml:space="preserve"> </w:t>
      </w:r>
      <w:bookmarkStart w:id="209" w:name="_Toc456614294"/>
      <w:bookmarkStart w:id="210" w:name="_Toc462823312"/>
      <w:bookmarkStart w:id="211" w:name="_Toc479693963"/>
      <w:bookmarkStart w:id="212" w:name="_Toc480815613"/>
      <w:r w:rsidRPr="00883125">
        <w:t>Energex</w:t>
      </w:r>
      <w:bookmarkEnd w:id="209"/>
      <w:bookmarkEnd w:id="210"/>
      <w:bookmarkEnd w:id="211"/>
      <w:bookmarkEnd w:id="212"/>
    </w:p>
    <w:p w:rsidR="00B95D2A" w:rsidRPr="00883125" w:rsidRDefault="00B95D2A" w:rsidP="00B95D2A">
      <w:pPr>
        <w:numPr>
          <w:ilvl w:val="0"/>
          <w:numId w:val="24"/>
        </w:numPr>
      </w:pPr>
      <w:r w:rsidRPr="00883125">
        <w:t>In our 2009 industry wide review of rate of return parameters (the 2009 WACC review), we adopted a gamma of 0.65.</w:t>
      </w:r>
      <w:r w:rsidRPr="00883125">
        <w:rPr>
          <w:rStyle w:val="FootnoteReference"/>
        </w:rPr>
        <w:footnoteReference w:id="309"/>
      </w:r>
      <w:r w:rsidRPr="00883125">
        <w:t xml:space="preserve"> In 2009, we applied this value in the Queensland and South Australian electricity distribution determinations. Energex and Ergon successfully sought review of this decision by the Australian Competition Tribunal. The </w:t>
      </w:r>
      <w:r>
        <w:t xml:space="preserve">Energex </w:t>
      </w:r>
      <w:r w:rsidRPr="00883125">
        <w:t>Tribunal set the distribution rate to 0.7 and initiated a dividend drop off study from SFG to estimate the utilisation rate. The</w:t>
      </w:r>
      <w:r>
        <w:t xml:space="preserve"> Energex</w:t>
      </w:r>
      <w:r w:rsidRPr="00883125">
        <w:t xml:space="preserve"> Tribunal adopted SFG's recommendation that the utilisation rate be set at 0.35. Th</w:t>
      </w:r>
      <w:r w:rsidR="00276CAA">
        <w:t>is resulted in a gamma of 0.25.</w:t>
      </w:r>
    </w:p>
    <w:p w:rsidR="00B95D2A" w:rsidRPr="00883125" w:rsidRDefault="00B95D2A" w:rsidP="00B95D2A">
      <w:r w:rsidRPr="00883125">
        <w:t xml:space="preserve">In reaching its position, the </w:t>
      </w:r>
      <w:r>
        <w:t xml:space="preserve">Energex </w:t>
      </w:r>
      <w:r w:rsidRPr="00883125">
        <w:t xml:space="preserve">Tribunal expressed views on the important factors in its decisions. This included areas where the </w:t>
      </w:r>
      <w:r>
        <w:t xml:space="preserve">Energex </w:t>
      </w:r>
      <w:r w:rsidRPr="00883125">
        <w:t xml:space="preserve">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3E419A" w:rsidRPr="00883125">
        <w:t xml:space="preserve">table </w:t>
      </w:r>
      <w:r w:rsidR="003E419A">
        <w:t>4</w:t>
      </w:r>
      <w:r w:rsidR="003E419A">
        <w:noBreakHyphen/>
        <w:t>10</w:t>
      </w:r>
      <w:r w:rsidRPr="00883125">
        <w:fldChar w:fldCharType="end"/>
      </w:r>
      <w:r w:rsidRPr="00883125">
        <w:t xml:space="preserve"> below. We have carefully considered these views.</w:t>
      </w:r>
    </w:p>
    <w:p w:rsidR="00B95D2A" w:rsidRPr="00883125" w:rsidRDefault="00B95D2A" w:rsidP="00B95D2A"/>
    <w:p w:rsidR="00B95D2A" w:rsidRPr="00883125" w:rsidRDefault="00B95D2A" w:rsidP="00B95D2A">
      <w:pPr>
        <w:sectPr w:rsidR="00B95D2A" w:rsidRPr="00883125" w:rsidSect="00AC29DB">
          <w:pgSz w:w="11906" w:h="16838"/>
          <w:pgMar w:top="1440" w:right="1440" w:bottom="1440" w:left="1440" w:header="708" w:footer="708" w:gutter="0"/>
          <w:pgNumType w:chapStyle="1"/>
          <w:cols w:space="708"/>
          <w:docGrid w:linePitch="360"/>
        </w:sectPr>
      </w:pPr>
    </w:p>
    <w:p w:rsidR="00B95D2A" w:rsidRPr="00883125" w:rsidRDefault="00B95D2A" w:rsidP="00B95D2A"/>
    <w:p w:rsidR="00B95D2A" w:rsidRPr="00883125" w:rsidRDefault="00B95D2A" w:rsidP="00B95D2A">
      <w:pPr>
        <w:pStyle w:val="Caption"/>
      </w:pPr>
      <w:bookmarkStart w:id="213" w:name="_Ref400609646"/>
      <w:bookmarkStart w:id="214" w:name="_Ref401260171"/>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10</w:t>
      </w:r>
      <w:r w:rsidRPr="001D37D5">
        <w:fldChar w:fldCharType="end"/>
      </w:r>
      <w:bookmarkEnd w:id="213"/>
      <w:r w:rsidRPr="00883125">
        <w:tab/>
        <w:t>Australian Competition Tribunal's observations on imputation credits</w:t>
      </w:r>
      <w:bookmarkEnd w:id="214"/>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B95D2A" w:rsidTr="00AC29DB">
        <w:trPr>
          <w:cnfStyle w:val="100000000000" w:firstRow="1" w:lastRow="0" w:firstColumn="0" w:lastColumn="0" w:oddVBand="0" w:evenVBand="0" w:oddHBand="0" w:evenHBand="0" w:firstRowFirstColumn="0" w:firstRowLastColumn="0" w:lastRowFirstColumn="0" w:lastRowLastColumn="0"/>
          <w:tblHeader/>
        </w:trPr>
        <w:tc>
          <w:tcPr>
            <w:tcW w:w="784" w:type="pct"/>
          </w:tcPr>
          <w:p w:rsidR="00B95D2A" w:rsidRPr="00B95D2A" w:rsidRDefault="00B95D2A" w:rsidP="00B95D2A">
            <w:r w:rsidRPr="00883125">
              <w:t>Issue</w:t>
            </w:r>
          </w:p>
        </w:tc>
        <w:tc>
          <w:tcPr>
            <w:tcW w:w="2271" w:type="pct"/>
          </w:tcPr>
          <w:p w:rsidR="00B95D2A" w:rsidRPr="00B95D2A" w:rsidRDefault="00B95D2A" w:rsidP="00B95D2A">
            <w:r w:rsidRPr="00883125">
              <w:t>Tribunal comments</w:t>
            </w:r>
          </w:p>
        </w:tc>
        <w:tc>
          <w:tcPr>
            <w:tcW w:w="1945" w:type="pct"/>
          </w:tcPr>
          <w:p w:rsidR="00B95D2A" w:rsidRPr="00B95D2A" w:rsidRDefault="00B95D2A" w:rsidP="00B95D2A">
            <w:r w:rsidRPr="00883125">
              <w:t>AER comments</w:t>
            </w:r>
          </w:p>
        </w:tc>
      </w:tr>
      <w:tr w:rsidR="00B95D2A" w:rsidTr="00AC29DB">
        <w:tc>
          <w:tcPr>
            <w:tcW w:w="784" w:type="pct"/>
          </w:tcPr>
          <w:p w:rsidR="00B95D2A" w:rsidRPr="00B95D2A" w:rsidRDefault="00B95D2A" w:rsidP="00B95D2A">
            <w:r w:rsidRPr="00883125">
              <w:t>The conceptual framework for gamma</w:t>
            </w:r>
          </w:p>
        </w:tc>
        <w:tc>
          <w:tcPr>
            <w:tcW w:w="2271" w:type="pct"/>
          </w:tcPr>
          <w:p w:rsidR="00B95D2A" w:rsidRPr="00B95D2A" w:rsidRDefault="00B95D2A" w:rsidP="00B95D2A">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B95D2A" w:rsidRPr="00B95D2A" w:rsidRDefault="00B95D2A" w:rsidP="00B95D2A">
            <w:r w:rsidRPr="00883125">
              <w:t>The Tribunal would be assisted in its consideration of the issues before it if the AER were to provide relevant extrinsic material explaining:</w:t>
            </w:r>
          </w:p>
          <w:p w:rsidR="00B95D2A" w:rsidRPr="00B95D2A" w:rsidRDefault="00B95D2A" w:rsidP="00B95D2A">
            <w:r w:rsidRPr="00883125">
              <w:t>(a) the rationale for including the gamma component in the formula for calculating the estimated cost of corporate income tax; and</w:t>
            </w:r>
          </w:p>
          <w:p w:rsidR="00B95D2A" w:rsidRPr="00B95D2A" w:rsidRDefault="00B95D2A" w:rsidP="00B95D2A">
            <w:r w:rsidRPr="00883125">
              <w:t>(b) how it relates to the rest of the building blocks, especially the rate of return (cl 6.4.3(a) and cl 6.5.2(b) of the Rules)."</w:t>
            </w:r>
            <w:r w:rsidRPr="00B95D2A">
              <w:rPr>
                <w:rStyle w:val="FootnoteReference"/>
              </w:rPr>
              <w:footnoteReference w:id="310"/>
            </w:r>
          </w:p>
        </w:tc>
        <w:tc>
          <w:tcPr>
            <w:tcW w:w="1945" w:type="pct"/>
          </w:tcPr>
          <w:p w:rsidR="00B95D2A" w:rsidRPr="00B95D2A" w:rsidRDefault="00B95D2A" w:rsidP="00B95D2A">
            <w:r w:rsidRPr="00883125">
              <w:t xml:space="preserve">In developing the Guideline, we re-evaluated the conceptual framework for the value of imputation credits. In making this </w:t>
            </w:r>
            <w:r w:rsidRPr="00B95D2A">
              <w:t xml:space="preserve">final decision, we have built on this re-evaluation. We discuss the role of the value of imputation credits and the underlying conceptual framework in sections </w:t>
            </w:r>
            <w:r w:rsidRPr="00B95D2A">
              <w:fldChar w:fldCharType="begin"/>
            </w:r>
            <w:r w:rsidRPr="00B95D2A">
              <w:instrText xml:space="preserve"> REF _Ref415144114 \r \h  \* MERGEFORMAT </w:instrText>
            </w:r>
            <w:r w:rsidRPr="00B95D2A">
              <w:fldChar w:fldCharType="separate"/>
            </w:r>
            <w:r w:rsidR="003E419A">
              <w:t>A.5</w:t>
            </w:r>
            <w:r w:rsidRPr="00B95D2A">
              <w:fldChar w:fldCharType="end"/>
            </w:r>
            <w:r w:rsidRPr="00B95D2A">
              <w:t xml:space="preserve"> and </w:t>
            </w:r>
            <w:r w:rsidRPr="00B95D2A">
              <w:fldChar w:fldCharType="begin"/>
            </w:r>
            <w:r w:rsidRPr="00B95D2A">
              <w:instrText xml:space="preserve"> REF _Ref400965182 \r \h  \* MERGEFORMAT </w:instrText>
            </w:r>
            <w:r w:rsidRPr="00B95D2A">
              <w:fldChar w:fldCharType="separate"/>
            </w:r>
            <w:r w:rsidR="003E419A">
              <w:t>A.6</w:t>
            </w:r>
            <w:r w:rsidRPr="00B95D2A">
              <w:fldChar w:fldCharType="end"/>
            </w:r>
            <w:r w:rsidRPr="00B95D2A">
              <w:t>.</w:t>
            </w:r>
          </w:p>
          <w:p w:rsidR="00B95D2A" w:rsidRPr="00B95D2A" w:rsidRDefault="00B95D2A" w:rsidP="00B95D2A">
            <w:r>
              <w:t xml:space="preserve">Also see our response above in section </w:t>
            </w:r>
            <w:r w:rsidRPr="00B95D2A">
              <w:fldChar w:fldCharType="begin"/>
            </w:r>
            <w:r w:rsidRPr="00B95D2A">
              <w:instrText xml:space="preserve"> REF _Ref451813952 \r \h </w:instrText>
            </w:r>
            <w:r w:rsidRPr="00B95D2A">
              <w:fldChar w:fldCharType="separate"/>
            </w:r>
            <w:r w:rsidR="003E419A">
              <w:t>A.3.2</w:t>
            </w:r>
            <w:r w:rsidRPr="00B95D2A">
              <w:fldChar w:fldCharType="end"/>
            </w:r>
            <w:r w:rsidRPr="00B95D2A">
              <w:t xml:space="preserve"> under ' The conceptual framework for gamma'.</w:t>
            </w:r>
          </w:p>
        </w:tc>
      </w:tr>
      <w:tr w:rsidR="00B95D2A" w:rsidTr="00AC29DB">
        <w:trPr>
          <w:cnfStyle w:val="000000010000" w:firstRow="0" w:lastRow="0" w:firstColumn="0" w:lastColumn="0" w:oddVBand="0" w:evenVBand="0" w:oddHBand="0" w:evenHBand="1" w:firstRowFirstColumn="0" w:firstRowLastColumn="0" w:lastRowFirstColumn="0" w:lastRowLastColumn="0"/>
        </w:trPr>
        <w:tc>
          <w:tcPr>
            <w:tcW w:w="784" w:type="pct"/>
          </w:tcPr>
          <w:p w:rsidR="00B95D2A" w:rsidRPr="00B95D2A" w:rsidRDefault="00B95D2A" w:rsidP="00B95D2A">
            <w:r w:rsidRPr="00883125">
              <w:t>The distribution rate (payout ratio)</w:t>
            </w:r>
          </w:p>
        </w:tc>
        <w:tc>
          <w:tcPr>
            <w:tcW w:w="2271" w:type="pct"/>
          </w:tcPr>
          <w:p w:rsidR="00B95D2A" w:rsidRPr="00B95D2A" w:rsidRDefault="00B95D2A" w:rsidP="00B95D2A">
            <w:r w:rsidRPr="00883125">
              <w:t xml:space="preserve">"…there is [was] no empirical evidence currently available supporting </w:t>
            </w:r>
            <w:r w:rsidRPr="00B95D2A">
              <w:t>a distribution ratio higher than 0.70."</w:t>
            </w:r>
            <w:r w:rsidRPr="00B95D2A">
              <w:rPr>
                <w:rStyle w:val="FootnoteReference"/>
              </w:rPr>
              <w:footnoteReference w:id="311"/>
            </w:r>
          </w:p>
        </w:tc>
        <w:tc>
          <w:tcPr>
            <w:tcW w:w="1945" w:type="pct"/>
          </w:tcPr>
          <w:p w:rsidR="00B95D2A" w:rsidRPr="00B95D2A" w:rsidRDefault="00B95D2A" w:rsidP="00B95D2A">
            <w:r w:rsidRPr="00883125">
              <w:t xml:space="preserve">As discussed in </w:t>
            </w:r>
            <w:r w:rsidRPr="00B95D2A">
              <w:t xml:space="preserve">section </w:t>
            </w:r>
            <w:r w:rsidRPr="00B95D2A">
              <w:fldChar w:fldCharType="begin"/>
            </w:r>
            <w:r w:rsidRPr="00B95D2A">
              <w:instrText xml:space="preserve"> REF _Ref401133206 \r \h  \* MERGEFORMAT </w:instrText>
            </w:r>
            <w:r w:rsidRPr="00B95D2A">
              <w:fldChar w:fldCharType="separate"/>
            </w:r>
            <w:r w:rsidR="003E419A">
              <w:t>A.10</w:t>
            </w:r>
            <w:r w:rsidRPr="00B95D2A">
              <w:fldChar w:fldCharType="end"/>
            </w:r>
            <w:r w:rsidRPr="00B95D2A">
              <w:t xml:space="preserve"> of this appendix, we consider that a distribution rate of 0.7 across all equity and a distribution rate of 0.75 for listed equity is appropriate for a benchmark efficient entity. Lally also finds a distribution rate of 0.83 for listed equity estimated from financial reports of the largest 20 listed companies.</w:t>
            </w:r>
          </w:p>
          <w:p w:rsidR="00B95D2A" w:rsidRPr="00B95D2A" w:rsidRDefault="00B95D2A" w:rsidP="00B95D2A">
            <w:r>
              <w:t xml:space="preserve">Also see </w:t>
            </w:r>
            <w:r w:rsidRPr="00B95D2A">
              <w:t xml:space="preserve">our response above in section </w:t>
            </w:r>
            <w:r w:rsidRPr="00B95D2A">
              <w:fldChar w:fldCharType="begin"/>
            </w:r>
            <w:r w:rsidRPr="00B95D2A">
              <w:instrText xml:space="preserve"> REF _Ref451813952 \r \h </w:instrText>
            </w:r>
            <w:r w:rsidRPr="00B95D2A">
              <w:fldChar w:fldCharType="separate"/>
            </w:r>
            <w:r w:rsidR="003E419A">
              <w:t>A.3.2</w:t>
            </w:r>
            <w:r w:rsidRPr="00B95D2A">
              <w:fldChar w:fldCharType="end"/>
            </w:r>
            <w:r w:rsidRPr="00B95D2A">
              <w:t xml:space="preserve"> under 'The distribution rate (payout ratio)'. </w:t>
            </w:r>
          </w:p>
        </w:tc>
      </w:tr>
      <w:tr w:rsidR="00B95D2A" w:rsidRPr="00B45BDD" w:rsidTr="00AC29DB">
        <w:tc>
          <w:tcPr>
            <w:tcW w:w="784" w:type="pct"/>
          </w:tcPr>
          <w:p w:rsidR="00B95D2A" w:rsidRPr="00B95D2A" w:rsidRDefault="00B95D2A" w:rsidP="00B95D2A">
            <w:r w:rsidRPr="00883125">
              <w:lastRenderedPageBreak/>
              <w:t>Tax statistic estimates</w:t>
            </w:r>
          </w:p>
        </w:tc>
        <w:tc>
          <w:tcPr>
            <w:tcW w:w="2271" w:type="pct"/>
          </w:tcPr>
          <w:p w:rsidR="00B95D2A" w:rsidRPr="00B95D2A" w:rsidRDefault="00B95D2A" w:rsidP="00B95D2A">
            <w:r w:rsidRPr="00883125">
              <w:t>"The AER accepted that utilisation rates derived from tax statistics provide an upper bound on possible values of theta. Setting aside the manner in which the AER derived a value from the tax statistics study, it correctly considered that information from a tax statistics study was relevant. However, its relevance could only be related to the fact that it was an upper bound. No estimate that exceeded a genuine upper bound could be correct. Thus the appropriate way to use the tax statistics figure was as a check."</w:t>
            </w:r>
            <w:r w:rsidRPr="00B95D2A">
              <w:rPr>
                <w:rStyle w:val="FootnoteReference"/>
              </w:rPr>
              <w:footnoteReference w:id="312"/>
            </w:r>
          </w:p>
          <w:p w:rsidR="00B95D2A" w:rsidRPr="00B95D2A" w:rsidRDefault="00B95D2A" w:rsidP="00B95D2A">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B95D2A" w:rsidRPr="00B95D2A" w:rsidRDefault="00B95D2A" w:rsidP="00B95D2A">
            <w:r w:rsidRPr="00883125">
              <w:t xml:space="preserve">- estimates from dividend drop-off studies are very imprecise and of questionable reliability; </w:t>
            </w:r>
          </w:p>
          <w:p w:rsidR="00B95D2A" w:rsidRPr="00B95D2A" w:rsidRDefault="00B95D2A" w:rsidP="00B95D2A">
            <w:r w:rsidRPr="00883125">
              <w:t xml:space="preserve">- such studies are likely to produce downwardly-biased estimates of theta; and </w:t>
            </w:r>
          </w:p>
          <w:p w:rsidR="00B95D2A" w:rsidRPr="00B95D2A" w:rsidRDefault="00B95D2A" w:rsidP="00B95D2A">
            <w:r w:rsidRPr="00883125">
              <w:t>- taxation studies do not give an upper bound to theta.</w:t>
            </w:r>
          </w:p>
          <w:p w:rsidR="00B95D2A" w:rsidRPr="00B95D2A" w:rsidRDefault="00B95D2A" w:rsidP="00B95D2A">
            <w:r w:rsidRPr="00883125">
              <w:t>By way of background, the Tribunal in earlier reasons noted</w:t>
            </w:r>
            <w:r w:rsidRPr="00B95D2A">
              <w:t xml:space="preserve">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B95D2A" w:rsidRPr="00B95D2A" w:rsidRDefault="00B95D2A" w:rsidP="00B95D2A">
            <w:r w:rsidRPr="00883125">
              <w:t xml:space="preserve">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w:t>
            </w:r>
            <w:r w:rsidRPr="00883125">
              <w:lastRenderedPageBreak/>
              <w:t>opportunity, and perhaps cause, to investigate further. It has not sought to do so in these proceedings."</w:t>
            </w:r>
            <w:r w:rsidRPr="00B95D2A">
              <w:rPr>
                <w:rStyle w:val="FootnoteReference"/>
              </w:rPr>
              <w:footnoteReference w:id="313"/>
            </w:r>
          </w:p>
        </w:tc>
        <w:tc>
          <w:tcPr>
            <w:tcW w:w="1945" w:type="pct"/>
          </w:tcPr>
          <w:p w:rsidR="00B95D2A" w:rsidRPr="00B95D2A" w:rsidRDefault="00B95D2A" w:rsidP="00B95D2A">
            <w:r w:rsidRPr="00883125">
              <w:lastRenderedPageBreak/>
              <w:t xml:space="preserve">Handley advised that his previous comments regarding the use of tax statistics being an 'upper bound' were misinterpreted in these proceedings. Handley confirmed that tax statistics can be used to produce a point estimate of the utilisation rate. We discussed Handley's views in section A.6.1 of </w:t>
            </w:r>
            <w:r w:rsidRPr="00B95D2A">
              <w:t xml:space="preserve">our draft/preliminary decisions. We discuss the use of tax statistics more broadly in section </w:t>
            </w:r>
            <w:r w:rsidRPr="00B95D2A">
              <w:fldChar w:fldCharType="begin"/>
            </w:r>
            <w:r w:rsidRPr="00B95D2A">
              <w:instrText xml:space="preserve"> REF _Ref402179420 \r \h  \* MERGEFORMAT </w:instrText>
            </w:r>
            <w:r w:rsidRPr="00B95D2A">
              <w:fldChar w:fldCharType="separate"/>
            </w:r>
            <w:r w:rsidR="003E419A">
              <w:t>A.13</w:t>
            </w:r>
            <w:r w:rsidRPr="00B95D2A">
              <w:fldChar w:fldCharType="end"/>
            </w:r>
            <w:r w:rsidRPr="00B95D2A">
              <w:t xml:space="preserve"> of this appendix.</w:t>
            </w:r>
          </w:p>
          <w:p w:rsidR="00B95D2A" w:rsidRPr="00B95D2A" w:rsidRDefault="00B95D2A" w:rsidP="00B95D2A">
            <w:r>
              <w:t>Also</w:t>
            </w:r>
            <w:r w:rsidRPr="00B95D2A">
              <w:t xml:space="preserve"> see our response above in section </w:t>
            </w:r>
            <w:r w:rsidRPr="00B95D2A">
              <w:fldChar w:fldCharType="begin"/>
            </w:r>
            <w:r w:rsidRPr="00B95D2A">
              <w:instrText xml:space="preserve"> REF _Ref451813952 \r \h </w:instrText>
            </w:r>
            <w:r w:rsidRPr="00B95D2A">
              <w:fldChar w:fldCharType="separate"/>
            </w:r>
            <w:r w:rsidR="003E419A">
              <w:t>A.3.2</w:t>
            </w:r>
            <w:r w:rsidRPr="00B95D2A">
              <w:fldChar w:fldCharType="end"/>
            </w:r>
            <w:r w:rsidRPr="00B95D2A">
              <w:t xml:space="preserve"> under 'Tax statistic estimates'.</w:t>
            </w:r>
          </w:p>
          <w:p w:rsidR="00B95D2A" w:rsidRPr="00B27BE5" w:rsidRDefault="00B95D2A" w:rsidP="00B95D2A"/>
        </w:tc>
      </w:tr>
      <w:tr w:rsidR="00B95D2A" w:rsidRPr="00B45BDD" w:rsidTr="00AC29DB">
        <w:trPr>
          <w:cnfStyle w:val="000000010000" w:firstRow="0" w:lastRow="0" w:firstColumn="0" w:lastColumn="0" w:oddVBand="0" w:evenVBand="0" w:oddHBand="0" w:evenHBand="1" w:firstRowFirstColumn="0" w:firstRowLastColumn="0" w:lastRowFirstColumn="0" w:lastRowLastColumn="0"/>
        </w:trPr>
        <w:tc>
          <w:tcPr>
            <w:tcW w:w="784" w:type="pct"/>
          </w:tcPr>
          <w:p w:rsidR="00B95D2A" w:rsidRPr="00B95D2A" w:rsidRDefault="00B95D2A" w:rsidP="00B95D2A">
            <w:r w:rsidRPr="00883125">
              <w:lastRenderedPageBreak/>
              <w:t>The conceptual basis for dividend drop off studies</w:t>
            </w:r>
          </w:p>
        </w:tc>
        <w:tc>
          <w:tcPr>
            <w:tcW w:w="2271" w:type="pct"/>
          </w:tcPr>
          <w:p w:rsidR="00B95D2A" w:rsidRPr="00B95D2A" w:rsidRDefault="00B95D2A" w:rsidP="00B95D2A">
            <w:r w:rsidRPr="00883125">
              <w:t>"The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issues raised in the Tribunal's earlier reasons regarding the arbitrage model underlying dividend drop-off studies.</w:t>
            </w:r>
          </w:p>
          <w:p w:rsidR="00B95D2A" w:rsidRPr="00B95D2A" w:rsidRDefault="00B95D2A" w:rsidP="00B95D2A">
            <w:r w:rsidRPr="00883125">
              <w:t xml:space="preserve">However, SIRCA's March 2011 report does not resolve these issues and </w:t>
            </w:r>
            <w:r w:rsidRPr="00B95D2A">
              <w:t>the AER has provided no conclusions of its own."</w:t>
            </w:r>
            <w:r w:rsidRPr="00B95D2A">
              <w:rPr>
                <w:rStyle w:val="FootnoteReference"/>
              </w:rPr>
              <w:footnoteReference w:id="314"/>
            </w:r>
          </w:p>
        </w:tc>
        <w:tc>
          <w:tcPr>
            <w:tcW w:w="1945" w:type="pct"/>
          </w:tcPr>
          <w:p w:rsidR="00B95D2A" w:rsidRPr="00B95D2A" w:rsidRDefault="00B95D2A" w:rsidP="00B95D2A">
            <w:r w:rsidRPr="00883125">
              <w:t xml:space="preserve">The limitations of dividend drop off studies have been widely identified since these proceedings—we provide a selection of comments from academics and regulators in section </w:t>
            </w:r>
            <w:r w:rsidRPr="00B95D2A">
              <w:fldChar w:fldCharType="begin"/>
            </w:r>
            <w:r w:rsidRPr="00B95D2A">
              <w:instrText xml:space="preserve"> REF _Ref451267181 \r \h  \* MERGEFORMAT </w:instrText>
            </w:r>
            <w:r w:rsidRPr="00B95D2A">
              <w:fldChar w:fldCharType="separate"/>
            </w:r>
            <w:r w:rsidR="003E419A">
              <w:t>A.15</w:t>
            </w:r>
            <w:r w:rsidRPr="00B95D2A">
              <w:fldChar w:fldCharType="end"/>
            </w:r>
            <w:r w:rsidRPr="00B95D2A">
              <w:t>. Moreover, both Handley and Lally advised that other approaches to estimating the utilisation rate should be preferred. Handley and Lally also advised that, without adjustment, dividend drop off studies produce downwards-biased estimates of the utilisation rate.</w:t>
            </w:r>
          </w:p>
          <w:p w:rsidR="00B95D2A" w:rsidRPr="00B95D2A" w:rsidRDefault="00B95D2A" w:rsidP="00B95D2A">
            <w:r>
              <w:t>Also</w:t>
            </w:r>
            <w:r w:rsidRPr="00B95D2A">
              <w:t xml:space="preserve"> see our response above in section </w:t>
            </w:r>
            <w:r w:rsidRPr="00B95D2A">
              <w:fldChar w:fldCharType="begin"/>
            </w:r>
            <w:r w:rsidRPr="00B95D2A">
              <w:instrText xml:space="preserve"> REF _Ref451813952 \r \h </w:instrText>
            </w:r>
            <w:r w:rsidRPr="00B95D2A">
              <w:fldChar w:fldCharType="separate"/>
            </w:r>
            <w:r w:rsidR="003E419A">
              <w:t>A.3.2</w:t>
            </w:r>
            <w:r w:rsidRPr="00B95D2A">
              <w:fldChar w:fldCharType="end"/>
            </w:r>
            <w:r w:rsidRPr="00B95D2A">
              <w:t xml:space="preserve"> under 'The conceptual basis for dividend drop off studies '.</w:t>
            </w:r>
          </w:p>
        </w:tc>
      </w:tr>
      <w:tr w:rsidR="00B95D2A" w:rsidTr="00AC29DB">
        <w:tc>
          <w:tcPr>
            <w:tcW w:w="784" w:type="pct"/>
          </w:tcPr>
          <w:p w:rsidR="00B95D2A" w:rsidRPr="00B95D2A" w:rsidRDefault="00B95D2A" w:rsidP="00B95D2A">
            <w:r w:rsidRPr="00883125">
              <w:t>The need to re-evaluate gamma</w:t>
            </w:r>
          </w:p>
        </w:tc>
        <w:tc>
          <w:tcPr>
            <w:tcW w:w="2271" w:type="pct"/>
          </w:tcPr>
          <w:p w:rsidR="00B95D2A" w:rsidRPr="00B95D2A" w:rsidRDefault="00B95D2A" w:rsidP="00B95D2A">
            <w:r w:rsidRPr="00883125">
              <w:t>"Further, the Tribunal notes that estimation of a parameter such as gamma is necessarily, and desirably, an ongoing intellectual and empirical endeavour. Its decision in these proceedings is based on the material before it.”</w:t>
            </w:r>
            <w:r w:rsidRPr="00B95D2A">
              <w:rPr>
                <w:rStyle w:val="FootnoteReference"/>
              </w:rPr>
              <w:footnoteReference w:id="315"/>
            </w:r>
          </w:p>
        </w:tc>
        <w:tc>
          <w:tcPr>
            <w:tcW w:w="1945" w:type="pct"/>
          </w:tcPr>
          <w:p w:rsidR="00B95D2A" w:rsidRPr="00B95D2A" w:rsidRDefault="00B95D2A" w:rsidP="00B95D2A">
            <w:r w:rsidRPr="00883125">
              <w:t xml:space="preserve">Consistent with this comment, we have not sought to apply the Tribunal's previous considerations in this </w:t>
            </w:r>
            <w:r w:rsidRPr="00B95D2A">
              <w:t xml:space="preserve">final decision. Instead, we adopt a value of imputation credits that is based on our assessment of the merits of the evidence before us, which includes a large amount of material that was not before the Tribunal in these proceedings. </w:t>
            </w:r>
          </w:p>
          <w:p w:rsidR="00B95D2A" w:rsidRPr="00B95D2A" w:rsidRDefault="00B95D2A" w:rsidP="00B95D2A">
            <w:r>
              <w:t>Also</w:t>
            </w:r>
            <w:r w:rsidRPr="00B95D2A">
              <w:t xml:space="preserve"> see our response above in section </w:t>
            </w:r>
            <w:r w:rsidRPr="00B95D2A">
              <w:fldChar w:fldCharType="begin"/>
            </w:r>
            <w:r w:rsidRPr="00B95D2A">
              <w:instrText xml:space="preserve"> REF _Ref451813952 \r \h </w:instrText>
            </w:r>
            <w:r w:rsidRPr="00B95D2A">
              <w:fldChar w:fldCharType="separate"/>
            </w:r>
            <w:r w:rsidR="003E419A">
              <w:t>A.3.2</w:t>
            </w:r>
            <w:r w:rsidRPr="00B95D2A">
              <w:fldChar w:fldCharType="end"/>
            </w:r>
            <w:r w:rsidRPr="00B95D2A">
              <w:t xml:space="preserve"> under 'The need to re-evaluate gamma '.</w:t>
            </w:r>
          </w:p>
        </w:tc>
      </w:tr>
    </w:tbl>
    <w:p w:rsidR="00B95D2A" w:rsidRPr="00883125" w:rsidRDefault="00B95D2A" w:rsidP="00B95D2A">
      <w:pPr>
        <w:pStyle w:val="AERtablesource"/>
      </w:pPr>
      <w:r w:rsidRPr="00883125">
        <w:t xml:space="preserve">Source: </w:t>
      </w:r>
      <w:r w:rsidRPr="00883125">
        <w:tab/>
        <w:t>As specified in table.</w:t>
      </w:r>
    </w:p>
    <w:p w:rsidR="00B95D2A" w:rsidRPr="00883125" w:rsidRDefault="00B95D2A" w:rsidP="00B95D2A">
      <w:pPr>
        <w:numPr>
          <w:ilvl w:val="0"/>
          <w:numId w:val="24"/>
        </w:numPr>
        <w:sectPr w:rsidR="00B95D2A" w:rsidRPr="00883125" w:rsidSect="00AC29DB">
          <w:pgSz w:w="16838" w:h="11906" w:orient="landscape"/>
          <w:pgMar w:top="1440" w:right="1440" w:bottom="1440" w:left="1440" w:header="708" w:footer="708" w:gutter="0"/>
          <w:pgNumType w:chapStyle="1"/>
          <w:cols w:space="708"/>
          <w:docGrid w:linePitch="360"/>
        </w:sectPr>
      </w:pPr>
    </w:p>
    <w:p w:rsidR="00B95D2A" w:rsidRPr="00883125" w:rsidRDefault="00B95D2A" w:rsidP="00B95D2A">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316"/>
      </w:r>
      <w:r w:rsidRPr="00883125">
        <w:t xml:space="preserve"> However, the last quote from the </w:t>
      </w:r>
      <w:r>
        <w:t xml:space="preserve">Energex </w:t>
      </w:r>
      <w:r w:rsidRPr="00883125">
        <w:t xml:space="preserve">Tribunal demonstrates that it did not intend for its decision to be determinative of the appropriate estimation technique for gamma, and certainly not on a permanent basis. In the Guideline, we also made this point. Service providers with current proposals no longer refer to the </w:t>
      </w:r>
      <w:r>
        <w:t xml:space="preserve">Energex </w:t>
      </w:r>
      <w:r w:rsidRPr="00883125">
        <w:t xml:space="preserve">Tribunal's decision as if it were precedent. Rather, they propose a value of imputation credits, and reasons for that value, which are consistent with the </w:t>
      </w:r>
      <w:r>
        <w:t xml:space="preserve">Energex </w:t>
      </w:r>
      <w:r w:rsidRPr="00883125">
        <w:t>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317"/>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3E419A">
        <w:t>A.15</w:t>
      </w:r>
      <w:r>
        <w:fldChar w:fldCharType="end"/>
      </w:r>
      <w:r w:rsidRPr="00883125">
        <w:t>.</w:t>
      </w:r>
    </w:p>
    <w:p w:rsidR="00B95D2A" w:rsidRPr="00883125" w:rsidRDefault="00B95D2A" w:rsidP="00B95D2A">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w:t>
      </w:r>
      <w:r>
        <w:t xml:space="preserve">Energex </w:t>
      </w:r>
      <w:r w:rsidRPr="00883125">
        <w:t>Tribunal's expectation that the value of imputation credits is 'necessarily, and desirably, an ongoing intellectual and empirical endeavour'.</w:t>
      </w:r>
    </w:p>
    <w:p w:rsidR="00B95D2A" w:rsidRPr="00883125" w:rsidRDefault="00B95D2A" w:rsidP="00B95D2A">
      <w:pPr>
        <w:pStyle w:val="Heading9"/>
      </w:pPr>
      <w:bookmarkStart w:id="215" w:name="_Toc456614295"/>
      <w:bookmarkStart w:id="216" w:name="_Toc462823313"/>
      <w:bookmarkStart w:id="217" w:name="_Toc479693964"/>
      <w:bookmarkStart w:id="218" w:name="_Toc480815614"/>
      <w:r w:rsidRPr="00883125">
        <w:t>DBNGP and WA Gas Networks</w:t>
      </w:r>
      <w:bookmarkEnd w:id="215"/>
      <w:bookmarkEnd w:id="216"/>
      <w:bookmarkEnd w:id="217"/>
      <w:bookmarkEnd w:id="218"/>
    </w:p>
    <w:p w:rsidR="00B95D2A" w:rsidRPr="00883125" w:rsidRDefault="00B95D2A" w:rsidP="00B95D2A">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318"/>
      </w:r>
    </w:p>
    <w:p w:rsidR="00B95D2A" w:rsidRPr="00883125" w:rsidRDefault="00B95D2A" w:rsidP="00B95D2A">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B95D2A" w:rsidRPr="00883125" w:rsidRDefault="00B95D2A" w:rsidP="00B95D2A">
      <w:pPr>
        <w:pStyle w:val="AERquote"/>
      </w:pPr>
      <w:r w:rsidRPr="00883125">
        <w:lastRenderedPageBreak/>
        <w:t>…</w:t>
      </w:r>
    </w:p>
    <w:p w:rsidR="00B95D2A" w:rsidRPr="00883125" w:rsidRDefault="00B95D2A" w:rsidP="00B95D2A">
      <w:pPr>
        <w:pStyle w:val="AERquote"/>
      </w:pPr>
      <w:r w:rsidRPr="00883125">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B95D2A" w:rsidRPr="00883125" w:rsidRDefault="00B95D2A" w:rsidP="00B95D2A">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B95D2A" w:rsidRPr="00883125" w:rsidRDefault="00B95D2A" w:rsidP="00B95D2A">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B95D2A" w:rsidRPr="00883125" w:rsidRDefault="00B95D2A" w:rsidP="00B95D2A">
      <w:r w:rsidRPr="00883125">
        <w:t>The Tribunal made similar comments in the earlier WA Gas Networks matter.</w:t>
      </w:r>
      <w:r w:rsidRPr="00883125">
        <w:rPr>
          <w:rStyle w:val="FootnoteReference"/>
        </w:rPr>
        <w:footnoteReference w:id="319"/>
      </w:r>
    </w:p>
    <w:p w:rsidR="00B95D2A" w:rsidRPr="00883125" w:rsidRDefault="00B95D2A" w:rsidP="00B95D2A">
      <w:pPr>
        <w:pStyle w:val="Heading8"/>
      </w:pPr>
      <w:bookmarkStart w:id="219" w:name="_Ref415070393"/>
      <w:bookmarkStart w:id="220" w:name="_Toc436049445"/>
      <w:bookmarkStart w:id="221" w:name="_Toc451842249"/>
      <w:bookmarkStart w:id="222" w:name="_Toc451938305"/>
      <w:bookmarkStart w:id="223" w:name="_Toc456614296"/>
      <w:bookmarkStart w:id="224" w:name="_Toc462823314"/>
      <w:bookmarkStart w:id="225" w:name="_Toc479693965"/>
      <w:bookmarkStart w:id="226" w:name="_Toc480815615"/>
      <w:r w:rsidRPr="00883125">
        <w:t>Key concerns of the service providers</w:t>
      </w:r>
      <w:bookmarkEnd w:id="219"/>
      <w:bookmarkEnd w:id="220"/>
      <w:bookmarkEnd w:id="221"/>
      <w:bookmarkEnd w:id="222"/>
      <w:bookmarkEnd w:id="223"/>
      <w:bookmarkEnd w:id="224"/>
      <w:bookmarkEnd w:id="225"/>
      <w:bookmarkEnd w:id="226"/>
    </w:p>
    <w:p w:rsidR="00B95D2A" w:rsidRDefault="00B95D2A" w:rsidP="00B95D2A">
      <w:r>
        <w:t>Since the rate of return guideline we have effectively reviewed four tranches of submissions from the regulated businesses and other related stakeholder submissions. These tranches related to common gamma decision in AER decisions released in May and June 2015</w:t>
      </w:r>
      <w:r>
        <w:rPr>
          <w:rStyle w:val="FootnoteReference"/>
        </w:rPr>
        <w:footnoteReference w:id="320"/>
      </w:r>
      <w:r>
        <w:t>, October and November 2015</w:t>
      </w:r>
      <w:r>
        <w:rPr>
          <w:rStyle w:val="FootnoteReference"/>
        </w:rPr>
        <w:footnoteReference w:id="321"/>
      </w:r>
      <w:r>
        <w:t>, May 2016</w:t>
      </w:r>
      <w:r>
        <w:rPr>
          <w:rStyle w:val="FootnoteReference"/>
        </w:rPr>
        <w:footnoteReference w:id="322"/>
      </w:r>
      <w:r>
        <w:t xml:space="preserve"> and the current decisions</w:t>
      </w:r>
      <w:r>
        <w:rPr>
          <w:rStyle w:val="FootnoteReference"/>
        </w:rPr>
        <w:footnoteReference w:id="323"/>
      </w:r>
      <w:r>
        <w:t xml:space="preserve">. Below we </w:t>
      </w:r>
      <w:r>
        <w:lastRenderedPageBreak/>
        <w:t xml:space="preserve">highlight the key concerns raised by regulated businesses in each tranche of submissions. Overall most businesses submit that gamma should be set to 0.25 based on a 0.35 utilisation value from the SFG dividend drop off study and a 0.7 all equity distribution rate based on franking account balance data from the Australian Taxation Office. </w:t>
      </w:r>
    </w:p>
    <w:p w:rsidR="00B95D2A" w:rsidRDefault="00B95D2A" w:rsidP="00B95D2A">
      <w:r>
        <w:t>Two businesses, TasNetworks, and Powerlink in these proposals submitted a gamma estimate of 0.4 consistent with the AER's earlier decisions.</w:t>
      </w:r>
      <w:r>
        <w:rPr>
          <w:rStyle w:val="FootnoteReference"/>
        </w:rPr>
        <w:footnoteReference w:id="324"/>
      </w:r>
      <w:r>
        <w:t xml:space="preserve"> However, TasNetworks has requested we implement an effective pass through mechanism in its final decision to increase its allowance if the AER receives adverse legal outcomes in relation to gamma. We do not accept TasNetworks' pass through proposal for the reasons set out below in section </w:t>
      </w:r>
      <w:r>
        <w:fldChar w:fldCharType="begin"/>
      </w:r>
      <w:r>
        <w:instrText xml:space="preserve"> REF _Ref479785279 \r \h </w:instrText>
      </w:r>
      <w:r>
        <w:fldChar w:fldCharType="separate"/>
      </w:r>
      <w:r w:rsidR="003E419A">
        <w:t>4.4.2</w:t>
      </w:r>
      <w:r>
        <w:fldChar w:fldCharType="end"/>
      </w:r>
      <w:r>
        <w:t>.</w:t>
      </w:r>
    </w:p>
    <w:p w:rsidR="00B95D2A" w:rsidRPr="00B95D2A" w:rsidRDefault="00B95D2A" w:rsidP="00AC29DB">
      <w:pPr>
        <w:pStyle w:val="Heading9"/>
      </w:pPr>
      <w:bookmarkStart w:id="227" w:name="_Toc479693966"/>
      <w:bookmarkStart w:id="228" w:name="_Toc480815616"/>
      <w:r>
        <w:t xml:space="preserve">Ausgrid, Endeavour Energy, Essential Energy, ActewAGL, TransGrid, </w:t>
      </w:r>
      <w:r w:rsidRPr="00B95D2A">
        <w:t>Directlink, Jemena Gas Networks</w:t>
      </w:r>
      <w:bookmarkEnd w:id="227"/>
      <w:bookmarkEnd w:id="228"/>
    </w:p>
    <w:p w:rsidR="00B95D2A" w:rsidRPr="00883125" w:rsidRDefault="00B95D2A" w:rsidP="00B95D2A">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325"/>
      </w:r>
      <w:r w:rsidRPr="00883125">
        <w:t xml:space="preserve"> Below we set out each of these and identify where we have responded to each of these eight key concerns in this </w:t>
      </w:r>
      <w:r>
        <w:t>final</w:t>
      </w:r>
      <w:r w:rsidRPr="00883125">
        <w:t xml:space="preserve"> decision.</w:t>
      </w:r>
    </w:p>
    <w:p w:rsidR="00B95D2A" w:rsidRPr="001D37D5" w:rsidRDefault="00B95D2A" w:rsidP="00B95D2A">
      <w:pPr>
        <w:pStyle w:val="AERbulletlistfirststyle"/>
      </w:pPr>
      <w:r w:rsidRPr="00883125">
        <w:rPr>
          <w:rStyle w:val="AERtextitalic"/>
        </w:rPr>
        <w:t>Our definition of the utilisation rate is conceptually incorrect and inconsistent with the requirements of the NER/NGR</w:t>
      </w:r>
      <w:r w:rsidRPr="001D37D5">
        <w:t xml:space="preserve">—our understanding of the utilisation rate (and the value of imputation credits more broadly) is discussed in sections </w:t>
      </w:r>
      <w:r w:rsidRPr="001D37D5">
        <w:fldChar w:fldCharType="begin"/>
      </w:r>
      <w:r w:rsidRPr="001D37D5">
        <w:instrText xml:space="preserve"> REF _Ref416802459 \r \h </w:instrText>
      </w:r>
      <w:r w:rsidRPr="001D37D5">
        <w:fldChar w:fldCharType="separate"/>
      </w:r>
      <w:r w:rsidR="003E419A">
        <w:t>4.3.1</w:t>
      </w:r>
      <w:r w:rsidRPr="001D37D5">
        <w:fldChar w:fldCharType="end"/>
      </w:r>
      <w:r w:rsidRPr="001D37D5">
        <w:t xml:space="preserve">, </w:t>
      </w:r>
      <w:r w:rsidRPr="001D37D5">
        <w:fldChar w:fldCharType="begin"/>
      </w:r>
      <w:r w:rsidRPr="001D37D5">
        <w:instrText xml:space="preserve"> REF _Ref415048973 \r \h </w:instrText>
      </w:r>
      <w:r w:rsidRPr="001D37D5">
        <w:fldChar w:fldCharType="separate"/>
      </w:r>
      <w:r w:rsidR="003E419A">
        <w:t>4.3.6</w:t>
      </w:r>
      <w:r w:rsidRPr="001D37D5">
        <w:fldChar w:fldCharType="end"/>
      </w:r>
      <w:r w:rsidRPr="001D37D5">
        <w:t>,</w:t>
      </w:r>
      <w:r w:rsidRPr="001D37D5">
        <w:fldChar w:fldCharType="begin"/>
      </w:r>
      <w:r w:rsidRPr="001D37D5">
        <w:instrText xml:space="preserve"> REF _Ref415144114 \r \h </w:instrText>
      </w:r>
      <w:r w:rsidRPr="001D37D5">
        <w:fldChar w:fldCharType="separate"/>
      </w:r>
      <w:r w:rsidR="003E419A">
        <w:t>A.5</w:t>
      </w:r>
      <w:r w:rsidRPr="001D37D5">
        <w:fldChar w:fldCharType="end"/>
      </w:r>
      <w:r w:rsidRPr="001D37D5">
        <w:t xml:space="preserve">, </w:t>
      </w:r>
      <w:r w:rsidRPr="001D37D5">
        <w:fldChar w:fldCharType="begin"/>
      </w:r>
      <w:r w:rsidRPr="001D37D5">
        <w:instrText xml:space="preserve"> REF _Ref400965182 \r \h </w:instrText>
      </w:r>
      <w:r w:rsidRPr="001D37D5">
        <w:fldChar w:fldCharType="separate"/>
      </w:r>
      <w:r w:rsidR="003E419A">
        <w:t>A.6</w:t>
      </w:r>
      <w:r w:rsidRPr="001D37D5">
        <w:fldChar w:fldCharType="end"/>
      </w:r>
      <w:r w:rsidRPr="001D37D5">
        <w:t xml:space="preserve">, and </w:t>
      </w:r>
      <w:r w:rsidRPr="001D37D5">
        <w:fldChar w:fldCharType="begin"/>
      </w:r>
      <w:r w:rsidRPr="001D37D5">
        <w:instrText xml:space="preserve"> REF _Ref414282622 \r \h </w:instrText>
      </w:r>
      <w:r w:rsidRPr="001D37D5">
        <w:fldChar w:fldCharType="separate"/>
      </w:r>
      <w:r w:rsidR="003E419A">
        <w:t>A.7</w:t>
      </w:r>
      <w:r w:rsidRPr="001D37D5">
        <w:fldChar w:fldCharType="end"/>
      </w:r>
      <w:r w:rsidRPr="001D37D5">
        <w:t>. As shown there, our understanding is consistent with the theoretical framework that underpins the NER/NGR and is supported by expert advice from Handley and Lally.</w:t>
      </w:r>
    </w:p>
    <w:p w:rsidR="00B95D2A" w:rsidRPr="001D37D5" w:rsidRDefault="00B95D2A" w:rsidP="00B95D2A">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1D37D5">
        <w:fldChar w:fldCharType="begin"/>
      </w:r>
      <w:r w:rsidRPr="001D37D5">
        <w:instrText xml:space="preserve"> REF _Ref415049811 \r \h </w:instrText>
      </w:r>
      <w:r w:rsidRPr="001D37D5">
        <w:fldChar w:fldCharType="separate"/>
      </w:r>
      <w:r w:rsidR="003E419A">
        <w:t>A.12</w:t>
      </w:r>
      <w:r w:rsidRPr="001D37D5">
        <w:fldChar w:fldCharType="end"/>
      </w:r>
      <w:r w:rsidRPr="001D37D5">
        <w:t xml:space="preserve"> why the equity ownership approach provides a reasonable estimate.</w:t>
      </w:r>
    </w:p>
    <w:p w:rsidR="00B95D2A" w:rsidRPr="001D37D5" w:rsidRDefault="00B95D2A" w:rsidP="00B95D2A">
      <w:pPr>
        <w:pStyle w:val="AERbulletlistfirststyle"/>
      </w:pPr>
      <w:r w:rsidRPr="00883125">
        <w:t xml:space="preserve">The ranges we used for the equity ownership rate were not supported by the evidence in the draft decisions—as discussed in section </w:t>
      </w:r>
      <w:r w:rsidRPr="001D37D5">
        <w:fldChar w:fldCharType="begin"/>
      </w:r>
      <w:r w:rsidRPr="001D37D5">
        <w:instrText xml:space="preserve"> REF _Ref415049811 \r \h </w:instrText>
      </w:r>
      <w:r w:rsidRPr="001D37D5">
        <w:fldChar w:fldCharType="separate"/>
      </w:r>
      <w:r w:rsidR="003E419A">
        <w:t>A.12</w:t>
      </w:r>
      <w:r w:rsidRPr="001D37D5">
        <w:fldChar w:fldCharType="end"/>
      </w:r>
      <w:r w:rsidRPr="001D37D5">
        <w:t xml:space="preserve">, the service providers who raised this </w:t>
      </w:r>
      <w:r w:rsidRPr="001D37D5">
        <w:lastRenderedPageBreak/>
        <w:t xml:space="preserve">did not recognise that our ranges were based on the evidence from two alternative applications of the equity ownership approach. In this </w:t>
      </w:r>
      <w:r>
        <w:t xml:space="preserve">final </w:t>
      </w:r>
      <w:r w:rsidRPr="001D37D5">
        <w:t>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B95D2A" w:rsidRPr="001D37D5" w:rsidRDefault="00B95D2A" w:rsidP="00B95D2A">
      <w:pPr>
        <w:pStyle w:val="AERbulletlistfirststyle"/>
      </w:pPr>
      <w:r w:rsidRPr="00883125">
        <w:t xml:space="preserve">We incorrectly use tax statistics as direct evidence of the value of distributed imputation credits—given our understanding of the utilisation rate, we set out in section </w:t>
      </w:r>
      <w:r w:rsidRPr="001D37D5">
        <w:fldChar w:fldCharType="begin"/>
      </w:r>
      <w:r w:rsidRPr="001D37D5">
        <w:instrText xml:space="preserve"> REF _Ref402179420 \r \h </w:instrText>
      </w:r>
      <w:r w:rsidRPr="001D37D5">
        <w:fldChar w:fldCharType="separate"/>
      </w:r>
      <w:r w:rsidR="003E419A">
        <w:t>A.13</w:t>
      </w:r>
      <w:r w:rsidRPr="001D37D5">
        <w:fldChar w:fldCharType="end"/>
      </w:r>
      <w:r w:rsidRPr="001D37D5">
        <w:t xml:space="preserve"> why tax statistics provide a valid, albeit uncertain, estimate.</w:t>
      </w:r>
    </w:p>
    <w:p w:rsidR="00B95D2A" w:rsidRPr="001D37D5" w:rsidRDefault="00B95D2A" w:rsidP="00B95D2A">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1D37D5">
        <w:fldChar w:fldCharType="begin"/>
      </w:r>
      <w:r w:rsidRPr="001D37D5">
        <w:instrText xml:space="preserve"> REF _Ref415065117 \r \h </w:instrText>
      </w:r>
      <w:r w:rsidRPr="001D37D5">
        <w:fldChar w:fldCharType="separate"/>
      </w:r>
      <w:r w:rsidR="003E419A">
        <w:t>A.15.4</w:t>
      </w:r>
      <w:r w:rsidRPr="001D37D5">
        <w:fldChar w:fldCharType="end"/>
      </w:r>
      <w:r w:rsidRPr="001D37D5">
        <w:t xml:space="preserve"> and </w:t>
      </w:r>
      <w:r w:rsidRPr="001D37D5">
        <w:fldChar w:fldCharType="begin"/>
      </w:r>
      <w:r w:rsidRPr="001D37D5">
        <w:instrText xml:space="preserve"> REF _Ref414624721 \r \h </w:instrText>
      </w:r>
      <w:r w:rsidRPr="001D37D5">
        <w:fldChar w:fldCharType="separate"/>
      </w:r>
      <w:r w:rsidR="003E419A">
        <w:t>A.15.5</w:t>
      </w:r>
      <w:r w:rsidRPr="001D37D5">
        <w:fldChar w:fldCharType="end"/>
      </w:r>
      <w:r w:rsidRPr="001D37D5">
        <w:t xml:space="preserve"> why the results of implied market value studies can reflect factors that are not relevant to the utilisation rate.</w:t>
      </w:r>
    </w:p>
    <w:p w:rsidR="00B95D2A" w:rsidRPr="001D37D5" w:rsidRDefault="00B95D2A" w:rsidP="00B95D2A">
      <w:pPr>
        <w:pStyle w:val="AERbulletlistfirststyle"/>
      </w:pPr>
      <w:r w:rsidRPr="00883125">
        <w:t>We erred by considering implied market value studies in a general manner rather than considering the merits of SFG's dividend drop off study—in section</w:t>
      </w:r>
      <w:r w:rsidRPr="001D37D5">
        <w:t xml:space="preserve">s </w:t>
      </w:r>
      <w:r w:rsidRPr="001D37D5">
        <w:fldChar w:fldCharType="begin"/>
      </w:r>
      <w:r w:rsidRPr="001D37D5">
        <w:instrText xml:space="preserve"> REF _Ref450761230 \r \h </w:instrText>
      </w:r>
      <w:r w:rsidRPr="001D37D5">
        <w:fldChar w:fldCharType="separate"/>
      </w:r>
      <w:r w:rsidR="003E419A">
        <w:t>4.4.1</w:t>
      </w:r>
      <w:r w:rsidRPr="001D37D5">
        <w:fldChar w:fldCharType="end"/>
      </w:r>
      <w:r w:rsidRPr="001D37D5">
        <w:t xml:space="preserve"> and </w:t>
      </w:r>
      <w:r w:rsidRPr="001D37D5">
        <w:fldChar w:fldCharType="begin"/>
      </w:r>
      <w:r w:rsidRPr="001D37D5">
        <w:instrText xml:space="preserve"> REF _Ref451267696 \r \h </w:instrText>
      </w:r>
      <w:r w:rsidRPr="001D37D5">
        <w:fldChar w:fldCharType="separate"/>
      </w:r>
      <w:r w:rsidR="003E419A">
        <w:t>A.15</w:t>
      </w:r>
      <w:r w:rsidRPr="001D37D5">
        <w:fldChar w:fldCharType="end"/>
      </w:r>
      <w:r w:rsidRPr="001D37D5">
        <w:t xml:space="preserve"> we set out a list of limitations that can apply to implied market value studies, and in section </w:t>
      </w:r>
      <w:r w:rsidRPr="001D37D5">
        <w:fldChar w:fldCharType="begin"/>
      </w:r>
      <w:r w:rsidRPr="001D37D5">
        <w:instrText xml:space="preserve"> REF _Ref414624721 \r \h </w:instrText>
      </w:r>
      <w:r w:rsidRPr="001D37D5">
        <w:fldChar w:fldCharType="separate"/>
      </w:r>
      <w:r w:rsidR="003E419A">
        <w:t>A.15.5</w:t>
      </w:r>
      <w:r w:rsidRPr="001D37D5">
        <w:fldChar w:fldCharType="end"/>
      </w:r>
      <w:r w:rsidRPr="001D37D5">
        <w:t xml:space="preserve"> we conclude that that there is reasonable evidence to suggest that several of these limitations apply to SFG's dividend drop off study. In sections </w:t>
      </w:r>
      <w:r w:rsidRPr="001D37D5">
        <w:fldChar w:fldCharType="begin"/>
      </w:r>
      <w:r w:rsidRPr="001D37D5">
        <w:instrText xml:space="preserve"> REF _Ref450761230 \r \h </w:instrText>
      </w:r>
      <w:r w:rsidRPr="001D37D5">
        <w:fldChar w:fldCharType="separate"/>
      </w:r>
      <w:r w:rsidR="003E419A">
        <w:t>4.4.1</w:t>
      </w:r>
      <w:r w:rsidRPr="001D37D5">
        <w:fldChar w:fldCharType="end"/>
      </w:r>
      <w:r w:rsidRPr="001D37D5">
        <w:t xml:space="preserve">and </w:t>
      </w:r>
      <w:r w:rsidRPr="001D37D5">
        <w:fldChar w:fldCharType="begin"/>
      </w:r>
      <w:r w:rsidRPr="001D37D5">
        <w:instrText xml:space="preserve"> REF _Ref451267729 \r \h </w:instrText>
      </w:r>
      <w:r w:rsidRPr="001D37D5">
        <w:fldChar w:fldCharType="separate"/>
      </w:r>
      <w:r w:rsidR="003E419A">
        <w:t>A.15</w:t>
      </w:r>
      <w:r w:rsidRPr="001D37D5">
        <w:fldChar w:fldCharType="end"/>
      </w:r>
      <w:r w:rsidRPr="001D37D5">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1D37D5">
        <w:fldChar w:fldCharType="begin"/>
      </w:r>
      <w:r w:rsidRPr="001D37D5">
        <w:instrText xml:space="preserve"> REF _Ref451267750 \r \h </w:instrText>
      </w:r>
      <w:r w:rsidRPr="001D37D5">
        <w:fldChar w:fldCharType="separate"/>
      </w:r>
      <w:r w:rsidR="003E419A">
        <w:t>A.15</w:t>
      </w:r>
      <w:r w:rsidRPr="001D37D5">
        <w:fldChar w:fldCharType="end"/>
      </w:r>
      <w:r w:rsidRPr="001D37D5">
        <w:t xml:space="preserve"> we set out statements from experts and other regulators on the limitations of dividend drop off studies. All but one of these statements occurred after the development of SFG's dividend drop off study.</w:t>
      </w:r>
    </w:p>
    <w:p w:rsidR="00B95D2A" w:rsidRPr="001D37D5" w:rsidRDefault="00B95D2A" w:rsidP="00B95D2A">
      <w:pPr>
        <w:pStyle w:val="AERbulletlistfirststyle"/>
      </w:pPr>
      <w:r w:rsidRPr="00883125">
        <w:t xml:space="preserve">It was neither necessary nor appropriate for us to identify a distribution rate for only listed equity—in sections </w:t>
      </w:r>
      <w:r w:rsidRPr="001D37D5">
        <w:fldChar w:fldCharType="begin"/>
      </w:r>
      <w:r w:rsidRPr="001D37D5">
        <w:instrText xml:space="preserve"> REF _Ref451790065 \r \h </w:instrText>
      </w:r>
      <w:r w:rsidRPr="001D37D5">
        <w:fldChar w:fldCharType="separate"/>
      </w:r>
      <w:r w:rsidR="003E419A">
        <w:t>A.9</w:t>
      </w:r>
      <w:r w:rsidRPr="001D37D5">
        <w:fldChar w:fldCharType="end"/>
      </w:r>
      <w:r w:rsidRPr="001D37D5">
        <w:t xml:space="preserve"> and </w:t>
      </w:r>
      <w:r w:rsidRPr="001D37D5">
        <w:fldChar w:fldCharType="begin"/>
      </w:r>
      <w:r w:rsidRPr="001D37D5">
        <w:instrText xml:space="preserve"> REF _Ref414289334 \r \h </w:instrText>
      </w:r>
      <w:r w:rsidRPr="001D37D5">
        <w:fldChar w:fldCharType="separate"/>
      </w:r>
      <w:r w:rsidR="003E419A">
        <w:t>A.10.1</w:t>
      </w:r>
      <w:r w:rsidRPr="001D37D5">
        <w:fldChar w:fldCharType="end"/>
      </w:r>
      <w:r w:rsidRPr="001D37D5">
        <w:t xml:space="preserve"> this is further discussed. </w:t>
      </w:r>
    </w:p>
    <w:p w:rsidR="00B95D2A" w:rsidRPr="001D37D5" w:rsidRDefault="00B95D2A" w:rsidP="00B95D2A">
      <w:pPr>
        <w:pStyle w:val="AERbulletlistfirststyle"/>
      </w:pPr>
      <w:r w:rsidRPr="00883125">
        <w:t xml:space="preserve">Our ultimate conclusion as to the value of imputation credits was inconsistent with the evidence presented in </w:t>
      </w:r>
      <w:r w:rsidRPr="001D37D5">
        <w:t xml:space="preserve">our recent decisions—as set out in section </w:t>
      </w:r>
      <w:r>
        <w:fldChar w:fldCharType="begin"/>
      </w:r>
      <w:r>
        <w:instrText xml:space="preserve"> REF _Ref476565842 \r \h </w:instrText>
      </w:r>
      <w:r>
        <w:fldChar w:fldCharType="separate"/>
      </w:r>
      <w:r w:rsidR="003E419A">
        <w:rPr>
          <w:b/>
          <w:bCs/>
          <w:lang w:val="en-US"/>
        </w:rPr>
        <w:t>Error! Reference source not found.</w:t>
      </w:r>
      <w:r>
        <w:fldChar w:fldCharType="end"/>
      </w:r>
      <w:r w:rsidRPr="001D37D5">
        <w:t>, the evidence presented in this</w:t>
      </w:r>
      <w:r>
        <w:t xml:space="preserve"> final</w:t>
      </w:r>
      <w:r w:rsidRPr="001D37D5">
        <w:t xml:space="preserve"> decision suggests that a reasonable estimate for the value of imputation credits is within the range 0.3 to 0.5. Our estimate of 0.4 is within this range.</w:t>
      </w:r>
    </w:p>
    <w:p w:rsidR="00B95D2A" w:rsidRPr="008E3F2C" w:rsidRDefault="00B95D2A" w:rsidP="00B95D2A">
      <w:pPr>
        <w:pStyle w:val="Heading9"/>
      </w:pPr>
      <w:bookmarkStart w:id="229" w:name="_Toc479693967"/>
      <w:bookmarkStart w:id="230" w:name="_Toc480815617"/>
      <w:r>
        <w:t>SA Power Networks, Ergon Energy, Energex</w:t>
      </w:r>
      <w:bookmarkEnd w:id="229"/>
      <w:bookmarkEnd w:id="230"/>
    </w:p>
    <w:p w:rsidR="00B95D2A" w:rsidRPr="00883125" w:rsidRDefault="00B95D2A" w:rsidP="00B95D2A">
      <w:pPr>
        <w:rPr>
          <w:rStyle w:val="AERbody"/>
        </w:rPr>
      </w:pPr>
      <w:r w:rsidRPr="00883125">
        <w:rPr>
          <w:rStyle w:val="AERbody"/>
        </w:rPr>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326"/>
      </w:r>
      <w:r w:rsidRPr="00883125">
        <w:rPr>
          <w:rStyle w:val="AERbody"/>
        </w:rPr>
        <w:t xml:space="preserve"> These issues were also raised in Gray's June 2015 report (for Frontier)</w:t>
      </w:r>
      <w:r>
        <w:rPr>
          <w:rStyle w:val="AERbody"/>
        </w:rPr>
        <w:t>. These issues are</w:t>
      </w:r>
      <w:r w:rsidRPr="00883125">
        <w:rPr>
          <w:rStyle w:val="AERbody"/>
        </w:rPr>
        <w:t>:</w:t>
      </w:r>
    </w:p>
    <w:p w:rsidR="00B95D2A" w:rsidRPr="001D37D5" w:rsidRDefault="00B95D2A" w:rsidP="00B95D2A">
      <w:pPr>
        <w:pStyle w:val="AERbulletlistfirststyle"/>
      </w:pPr>
      <w:r w:rsidRPr="005764F6">
        <w:lastRenderedPageBreak/>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424DF1">
        <w:rPr>
          <w:rStyle w:val="FootnoteReference"/>
        </w:rPr>
        <w:footnoteReference w:id="327"/>
      </w:r>
      <w:r w:rsidRPr="001D37D5">
        <w:t xml:space="preserve"> In sections </w:t>
      </w:r>
      <w:r w:rsidRPr="001D37D5">
        <w:fldChar w:fldCharType="begin"/>
      </w:r>
      <w:r w:rsidRPr="001D37D5">
        <w:instrText xml:space="preserve"> REF _Ref415144114 \r \h  \* MERGEFORMAT </w:instrText>
      </w:r>
      <w:r w:rsidRPr="001D37D5">
        <w:fldChar w:fldCharType="separate"/>
      </w:r>
      <w:r w:rsidR="003E419A">
        <w:t>A.5</w:t>
      </w:r>
      <w:r w:rsidRPr="001D37D5">
        <w:fldChar w:fldCharType="end"/>
      </w:r>
      <w:r w:rsidRPr="001D37D5">
        <w:t xml:space="preserve"> and </w:t>
      </w:r>
      <w:r w:rsidRPr="001D37D5">
        <w:fldChar w:fldCharType="begin"/>
      </w:r>
      <w:r w:rsidRPr="001D37D5">
        <w:instrText xml:space="preserve"> REF _Ref401748758 \r \h  \* MERGEFORMAT </w:instrText>
      </w:r>
      <w:r w:rsidRPr="001D37D5">
        <w:fldChar w:fldCharType="separate"/>
      </w:r>
      <w:r w:rsidR="003E419A">
        <w:t>A.8.1</w:t>
      </w:r>
      <w:r w:rsidRPr="001D37D5">
        <w:fldChar w:fldCharType="end"/>
      </w:r>
      <w:r w:rsidRPr="001D37D5">
        <w:t xml:space="preserve"> we explain why we consider the proportion of imputation credits distributed to shareholders eligible to utilise them is an appropriate measure of the value of imputation credits before personal taxes and transaction costs.</w:t>
      </w:r>
    </w:p>
    <w:p w:rsidR="00B95D2A" w:rsidRPr="001D37D5" w:rsidRDefault="00B95D2A" w:rsidP="00B95D2A">
      <w:pPr>
        <w:pStyle w:val="AERbulletlistfirststyle"/>
      </w:pPr>
      <w:r w:rsidRPr="005764F6">
        <w:t>The second key point of difference concerns the set of comparator businesses that should be used when estimating a benchmark distribution rate.</w:t>
      </w:r>
      <w:r w:rsidRPr="001D37D5">
        <w:rPr>
          <w:rStyle w:val="FootnoteReference"/>
        </w:rPr>
        <w:footnoteReference w:id="328"/>
      </w:r>
      <w:r w:rsidRPr="001D37D5">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1D37D5">
        <w:rPr>
          <w:rStyle w:val="FootnoteReference"/>
        </w:rPr>
        <w:footnoteReference w:id="329"/>
      </w:r>
      <w:r w:rsidRPr="001D37D5">
        <w:t xml:space="preserve"> given our benchmark efficient network operator is a pure play wholly domestic business that is not necessarily stock market listed. We respond to these views in sections </w:t>
      </w:r>
      <w:r w:rsidRPr="001D37D5">
        <w:fldChar w:fldCharType="begin"/>
      </w:r>
      <w:r w:rsidRPr="001D37D5">
        <w:instrText xml:space="preserve"> REF _Ref451790065 \r \h  \* MERGEFORMAT </w:instrText>
      </w:r>
      <w:r w:rsidRPr="001D37D5">
        <w:fldChar w:fldCharType="separate"/>
      </w:r>
      <w:r w:rsidR="003E419A">
        <w:t>A.9</w:t>
      </w:r>
      <w:r w:rsidRPr="001D37D5">
        <w:fldChar w:fldCharType="end"/>
      </w:r>
      <w:r w:rsidRPr="001D37D5">
        <w:t xml:space="preserve"> and </w:t>
      </w:r>
      <w:r w:rsidRPr="001D37D5">
        <w:fldChar w:fldCharType="begin"/>
      </w:r>
      <w:r w:rsidRPr="001D37D5">
        <w:instrText xml:space="preserve"> REF _Ref401133206 \r \h  \* MERGEFORMAT </w:instrText>
      </w:r>
      <w:r w:rsidRPr="001D37D5">
        <w:fldChar w:fldCharType="separate"/>
      </w:r>
      <w:r w:rsidR="003E419A">
        <w:t>A.10</w:t>
      </w:r>
      <w:r w:rsidRPr="001D37D5">
        <w:fldChar w:fldCharType="end"/>
      </w:r>
      <w:r w:rsidRPr="001D37D5">
        <w:t>.</w:t>
      </w:r>
    </w:p>
    <w:p w:rsidR="00B95D2A" w:rsidRPr="00883125" w:rsidRDefault="00B95D2A" w:rsidP="00B95D2A">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330"/>
      </w:r>
    </w:p>
    <w:p w:rsidR="00B95D2A" w:rsidRPr="00F809D6" w:rsidRDefault="00B95D2A" w:rsidP="00B95D2A">
      <w:pPr>
        <w:pStyle w:val="Heading9"/>
      </w:pPr>
      <w:bookmarkStart w:id="231" w:name="_Toc479693968"/>
      <w:bookmarkStart w:id="232" w:name="_Toc480815618"/>
      <w:r>
        <w:t>Australian Gas Networks, ActewAGL, AusNet Services, CitiPower, Jemena Electricity, United Energy, Powercor</w:t>
      </w:r>
      <w:bookmarkEnd w:id="231"/>
      <w:bookmarkEnd w:id="232"/>
    </w:p>
    <w:p w:rsidR="00B95D2A" w:rsidRPr="00651C88" w:rsidRDefault="00B95D2A" w:rsidP="00B95D2A">
      <w:pPr>
        <w:rPr>
          <w:rStyle w:val="AERbody"/>
        </w:rPr>
      </w:pPr>
      <w:r w:rsidRPr="00651C88">
        <w:rPr>
          <w:rStyle w:val="AERbody"/>
        </w:rPr>
        <w:t xml:space="preserve">In the revised regulatory proposals of </w:t>
      </w:r>
      <w:r>
        <w:rPr>
          <w:rStyle w:val="AERbody"/>
        </w:rPr>
        <w:t xml:space="preserve">Australian Gas Network, ActewAGL, AusNet Services, CitiPower, Jemena Electricity, United Energy and Powercor, </w:t>
      </w:r>
      <w:r w:rsidRPr="00651C88">
        <w:rPr>
          <w:rStyle w:val="AERbody"/>
        </w:rPr>
        <w:t>a number of key 'second order' differences of view have been identified:</w:t>
      </w:r>
    </w:p>
    <w:p w:rsidR="00B95D2A" w:rsidRPr="00651C88" w:rsidRDefault="00B95D2A" w:rsidP="00B95D2A">
      <w:pPr>
        <w:pStyle w:val="AERbulletlistfirststyle"/>
      </w:pPr>
      <w:r w:rsidRPr="00651C88">
        <w:t>A redemption rate study can only provide an upper bound for estimating theta.</w:t>
      </w:r>
      <w:r w:rsidRPr="00651C88">
        <w:rPr>
          <w:rStyle w:val="FootnoteReference"/>
        </w:rPr>
        <w:footnoteReference w:id="331"/>
      </w:r>
      <w:r w:rsidRPr="00651C88">
        <w:t xml:space="preserve"> In section </w:t>
      </w:r>
      <w:r w:rsidRPr="00651C88">
        <w:fldChar w:fldCharType="begin"/>
      </w:r>
      <w:r w:rsidRPr="00651C88">
        <w:instrText xml:space="preserve"> REF _Ref414099389 \r \h  \* MERGEFORMAT </w:instrText>
      </w:r>
      <w:r w:rsidRPr="00651C88">
        <w:fldChar w:fldCharType="separate"/>
      </w:r>
      <w:r w:rsidR="003E419A">
        <w:t>A.8.3</w:t>
      </w:r>
      <w:r w:rsidRPr="00651C88">
        <w:fldChar w:fldCharType="end"/>
      </w:r>
      <w:r w:rsidR="00276CAA">
        <w:t xml:space="preserve"> we consider this further.</w:t>
      </w:r>
    </w:p>
    <w:p w:rsidR="00B95D2A" w:rsidRPr="00651C88" w:rsidRDefault="00B95D2A" w:rsidP="00B95D2A">
      <w:pPr>
        <w:pStyle w:val="AERbulletlistfirststyle"/>
      </w:pPr>
      <w:r w:rsidRPr="00651C88">
        <w:lastRenderedPageBreak/>
        <w:t>The criticisms of Gray and Hall's dividend drop-off work is not reasonable.</w:t>
      </w:r>
      <w:r w:rsidRPr="00651C88">
        <w:rPr>
          <w:rStyle w:val="FootnoteReference"/>
        </w:rPr>
        <w:footnoteReference w:id="332"/>
      </w:r>
      <w:r w:rsidRPr="00651C88">
        <w:t xml:space="preserve"> We discuss the limitations of dividend drop off studies and which of these apply to the SFG dividend drop off study in section </w:t>
      </w:r>
      <w:r w:rsidRPr="00651C88">
        <w:fldChar w:fldCharType="begin"/>
      </w:r>
      <w:r w:rsidRPr="00651C88">
        <w:instrText xml:space="preserve"> REF _Ref414624721 \r \h  \* MERGEFORMAT </w:instrText>
      </w:r>
      <w:r w:rsidRPr="00651C88">
        <w:fldChar w:fldCharType="separate"/>
      </w:r>
      <w:r w:rsidR="003E419A">
        <w:t>A.15.5</w:t>
      </w:r>
      <w:r w:rsidRPr="00651C88">
        <w:fldChar w:fldCharType="end"/>
      </w:r>
      <w:r w:rsidRPr="00651C88">
        <w:t>.</w:t>
      </w:r>
    </w:p>
    <w:p w:rsidR="00B95D2A" w:rsidRPr="00651C88" w:rsidRDefault="00B95D2A" w:rsidP="00B95D2A">
      <w:pPr>
        <w:rPr>
          <w:rStyle w:val="AERbody"/>
        </w:rPr>
      </w:pPr>
      <w:r w:rsidRPr="00651C88">
        <w:rPr>
          <w:rStyle w:val="AERbody"/>
        </w:rPr>
        <w:t>We note the primary and second order differences of view identified above d</w:t>
      </w:r>
      <w:r>
        <w:rPr>
          <w:rStyle w:val="AERbody"/>
        </w:rPr>
        <w:t>id</w:t>
      </w:r>
      <w:r w:rsidRPr="00651C88">
        <w:rPr>
          <w:rStyle w:val="AERbody"/>
        </w:rPr>
        <w:t xml:space="preserve"> not appear to be new issues and largely overlap</w:t>
      </w:r>
      <w:r>
        <w:rPr>
          <w:rStyle w:val="AERbody"/>
        </w:rPr>
        <w:t>ped</w:t>
      </w:r>
      <w:r w:rsidRPr="00651C88">
        <w:rPr>
          <w:rStyle w:val="AERbody"/>
        </w:rPr>
        <w:t xml:space="preserve"> with the eight key concerns that service providers ha</w:t>
      </w:r>
      <w:r>
        <w:rPr>
          <w:rStyle w:val="AERbody"/>
        </w:rPr>
        <w:t>d</w:t>
      </w:r>
      <w:r w:rsidRPr="00651C88">
        <w:rPr>
          <w:rStyle w:val="AERbody"/>
        </w:rPr>
        <w:t xml:space="preserve"> raised previously. Having considered the</w:t>
      </w:r>
      <w:r>
        <w:rPr>
          <w:rStyle w:val="AERbody"/>
        </w:rPr>
        <w:t>se</w:t>
      </w:r>
      <w:r w:rsidRPr="00651C88">
        <w:rPr>
          <w:rStyle w:val="AERbody"/>
        </w:rPr>
        <w:t xml:space="preserve"> revised proposals</w:t>
      </w:r>
      <w:r>
        <w:rPr>
          <w:rStyle w:val="AERbody"/>
        </w:rPr>
        <w:t xml:space="preserve"> and</w:t>
      </w:r>
      <w:r w:rsidRPr="00651C88">
        <w:rPr>
          <w:rStyle w:val="AERbody"/>
        </w:rPr>
        <w:t xml:space="preserve"> the new experts' reports since our 2015 JGN decision, we remain</w:t>
      </w:r>
      <w:r>
        <w:rPr>
          <w:rStyle w:val="AERbody"/>
        </w:rPr>
        <w:t>ed</w:t>
      </w:r>
      <w:r w:rsidRPr="00651C88">
        <w:rPr>
          <w:rStyle w:val="AERbody"/>
        </w:rPr>
        <w:t xml:space="preserve"> of the view that a gamma value of 0.4 </w:t>
      </w:r>
      <w:r>
        <w:rPr>
          <w:rStyle w:val="AERbody"/>
        </w:rPr>
        <w:t>wa</w:t>
      </w:r>
      <w:r w:rsidRPr="00651C88">
        <w:rPr>
          <w:rStyle w:val="AERbody"/>
        </w:rPr>
        <w:t>s appropriate.</w:t>
      </w:r>
    </w:p>
    <w:p w:rsidR="00B95D2A" w:rsidRPr="00651C88" w:rsidRDefault="00B95D2A" w:rsidP="00B95D2A">
      <w:r w:rsidRPr="00651C88">
        <w:t>In their revised proposals, these service providers ha</w:t>
      </w:r>
      <w:r>
        <w:t>d</w:t>
      </w:r>
      <w:r w:rsidRPr="00651C88">
        <w:t xml:space="preserve"> broadly not submitted anything new. Besides a new report by Frontier Economics, which presented no substantive new arguments, the</w:t>
      </w:r>
      <w:r>
        <w:t>se</w:t>
      </w:r>
      <w:r w:rsidRPr="00651C88">
        <w:t xml:space="preserve"> service providers submitted essentially the same arguments that were considered in our decisions released in October and November 2015. Overall the</w:t>
      </w:r>
      <w:r>
        <w:t>se</w:t>
      </w:r>
      <w:r w:rsidRPr="00651C88">
        <w:t xml:space="preserve"> service providers propose a gamma estimate of 0.25 which is based on a 0.35 utilisation rate from the SFG dividend drop off study and an all equity distribution rate of 0.7.</w:t>
      </w:r>
      <w:r w:rsidRPr="00651C88">
        <w:rPr>
          <w:rStyle w:val="FootnoteReference"/>
        </w:rPr>
        <w:footnoteReference w:id="333"/>
      </w:r>
      <w:r w:rsidRPr="00651C88">
        <w:t xml:space="preserve"> </w:t>
      </w:r>
    </w:p>
    <w:p w:rsidR="00B95D2A" w:rsidRPr="00651C88" w:rsidRDefault="00B95D2A" w:rsidP="00B95D2A">
      <w:r w:rsidRPr="00651C88">
        <w:t xml:space="preserve">As a high level summary of the revised proposals, </w:t>
      </w:r>
      <w:r>
        <w:t xml:space="preserve">these </w:t>
      </w:r>
      <w:r w:rsidRPr="00651C88">
        <w:t>service providers submitted:</w:t>
      </w:r>
    </w:p>
    <w:p w:rsidR="00B95D2A" w:rsidRPr="00651C88" w:rsidRDefault="00B95D2A" w:rsidP="00B95D2A">
      <w:pPr>
        <w:pStyle w:val="AERbulletlistfirststyle"/>
        <w:rPr>
          <w:rStyle w:val="AERtexthighlight"/>
        </w:rPr>
      </w:pPr>
      <w:r w:rsidRPr="00651C88">
        <w:t>our approach to estimating gamma is premised on an incorrect interpretation of the NGR</w:t>
      </w:r>
      <w:r w:rsidRPr="00651C88">
        <w:rPr>
          <w:rStyle w:val="FootnoteReference"/>
        </w:rPr>
        <w:footnoteReference w:id="334"/>
      </w:r>
    </w:p>
    <w:p w:rsidR="00B95D2A" w:rsidRPr="00651C88" w:rsidRDefault="00B95D2A" w:rsidP="00B95D2A">
      <w:pPr>
        <w:pStyle w:val="AERbulletlistfirststyle"/>
        <w:rPr>
          <w:rStyle w:val="AERtexthighlight"/>
        </w:rPr>
      </w:pPr>
      <w:r w:rsidRPr="00651C88">
        <w:t>both the equity ownership value and taxation statistics can be no more than an upper bound for the utilisation rate</w:t>
      </w:r>
      <w:r w:rsidRPr="00651C88">
        <w:rPr>
          <w:rStyle w:val="FootnoteReference"/>
        </w:rPr>
        <w:footnoteReference w:id="335"/>
      </w:r>
    </w:p>
    <w:p w:rsidR="00B95D2A" w:rsidRPr="00651C88" w:rsidRDefault="00B95D2A" w:rsidP="00B95D2A">
      <w:pPr>
        <w:pStyle w:val="AERbulletlistfirststyle"/>
        <w:rPr>
          <w:rStyle w:val="AERtexthighlight"/>
        </w:rPr>
      </w:pPr>
      <w:r w:rsidRPr="00651C88">
        <w:lastRenderedPageBreak/>
        <w:t>market value studies are direct evidence of the value of imputation credits to investors—we have erred in concluding that market value studies reflect factors such as differential personal taxes and risk which are not relevant to the task of measuring the utilisation rate</w:t>
      </w:r>
      <w:r w:rsidRPr="00651C88">
        <w:rPr>
          <w:rStyle w:val="FootnoteReference"/>
        </w:rPr>
        <w:footnoteReference w:id="336"/>
      </w:r>
    </w:p>
    <w:p w:rsidR="00B95D2A" w:rsidRPr="00651C88" w:rsidRDefault="00B95D2A" w:rsidP="00B95D2A">
      <w:pPr>
        <w:pStyle w:val="AERbulletlistfirststyle"/>
        <w:rPr>
          <w:rStyle w:val="AERtexthighlight"/>
        </w:rPr>
      </w:pPr>
      <w:r w:rsidRPr="00651C88">
        <w:t>we incorrectly assume that estimates of the utilisation rate from listed equity (all equity) can only be combined with estimates distribution rate from listed equity (all equity)</w:t>
      </w:r>
      <w:r w:rsidRPr="00651C88">
        <w:rPr>
          <w:rStyle w:val="FootnoteReference"/>
        </w:rPr>
        <w:footnoteReference w:id="337"/>
      </w:r>
      <w:r w:rsidRPr="00651C88">
        <w:rPr>
          <w:rStyle w:val="AERtexthighlight"/>
        </w:rPr>
        <w:t xml:space="preserve"> </w:t>
      </w:r>
    </w:p>
    <w:p w:rsidR="00B95D2A" w:rsidRDefault="00B95D2A" w:rsidP="00B95D2A">
      <w:pPr>
        <w:pStyle w:val="AERbulletlistfirststyle"/>
      </w:pPr>
      <w:r w:rsidRPr="00651C88">
        <w:t>under our interpretation of the NGR, our gamma estimate cannot be supported as the pre-personal cost estimate of the utilisation rate is approximately 0.3.</w:t>
      </w:r>
      <w:r w:rsidRPr="00651C88">
        <w:rPr>
          <w:rStyle w:val="FootnoteReference"/>
        </w:rPr>
        <w:footnoteReference w:id="338"/>
      </w:r>
    </w:p>
    <w:p w:rsidR="00B95D2A" w:rsidRPr="00B95D2A" w:rsidRDefault="00B95D2A" w:rsidP="00AC29DB">
      <w:pPr>
        <w:pStyle w:val="AERbulletlistfirststyle"/>
      </w:pPr>
      <w:r>
        <w:t>These point</w:t>
      </w:r>
      <w:r w:rsidRPr="00B95D2A">
        <w:t>s largely reflect the same issues that were submitted by regulated businesses in earlier regulatory proposals.</w:t>
      </w:r>
    </w:p>
    <w:p w:rsidR="00B95D2A" w:rsidRDefault="00B95D2A" w:rsidP="00B95D2A">
      <w:pPr>
        <w:pStyle w:val="Heading9"/>
      </w:pPr>
      <w:bookmarkStart w:id="233" w:name="_Toc479693969"/>
      <w:bookmarkStart w:id="234" w:name="_Toc480815619"/>
      <w:r w:rsidRPr="00DE3646">
        <w:t xml:space="preserve">AusNet </w:t>
      </w:r>
      <w:r>
        <w:t>Transmission, TasNetworks, Powerlink</w:t>
      </w:r>
      <w:bookmarkEnd w:id="233"/>
      <w:bookmarkEnd w:id="234"/>
    </w:p>
    <w:p w:rsidR="00B95D2A" w:rsidRPr="009900E7" w:rsidRDefault="00B95D2A" w:rsidP="00B95D2A">
      <w:pPr>
        <w:rPr>
          <w:rStyle w:val="AERbody"/>
        </w:rPr>
      </w:pPr>
      <w:r w:rsidRPr="009900E7">
        <w:rPr>
          <w:rStyle w:val="AERbody"/>
        </w:rPr>
        <w:t>In the revised regulatory pr</w:t>
      </w:r>
      <w:r>
        <w:rPr>
          <w:rStyle w:val="AERbody"/>
        </w:rPr>
        <w:t>oposals of AusNet Transmission</w:t>
      </w:r>
      <w:r w:rsidRPr="009900E7">
        <w:rPr>
          <w:rStyle w:val="AERbody"/>
        </w:rPr>
        <w:t>, TasNetworks and Powerlink</w:t>
      </w:r>
      <w:r>
        <w:rPr>
          <w:rStyle w:val="AERbody"/>
        </w:rPr>
        <w:t xml:space="preserve"> we are considering currently</w:t>
      </w:r>
      <w:r w:rsidRPr="009900E7">
        <w:rPr>
          <w:rStyle w:val="AERbody"/>
        </w:rPr>
        <w:t xml:space="preserve">, </w:t>
      </w:r>
      <w:r>
        <w:t>three</w:t>
      </w:r>
      <w:r w:rsidRPr="009900E7">
        <w:rPr>
          <w:rStyle w:val="AERbody"/>
        </w:rPr>
        <w:t xml:space="preserve"> issues were raised as the key issues in dispute. These issues were also raised in the two Frontier reports submitted in September 2016.</w:t>
      </w:r>
      <w:r>
        <w:rPr>
          <w:rStyle w:val="FootnoteReference"/>
        </w:rPr>
        <w:footnoteReference w:id="339"/>
      </w:r>
      <w:r w:rsidRPr="009900E7">
        <w:rPr>
          <w:rStyle w:val="AERbody"/>
        </w:rPr>
        <w:t xml:space="preserve"> These issues are:</w:t>
      </w:r>
    </w:p>
    <w:p w:rsidR="00B95D2A" w:rsidRPr="0051381B" w:rsidRDefault="00B95D2A" w:rsidP="0051381B">
      <w:pPr>
        <w:pStyle w:val="AERbulletlistfirststyle"/>
      </w:pPr>
      <w:r w:rsidRPr="0051381B">
        <w:t>That using the most recent available data, dividend drop off studies still suggests a theta estimate of 0.35 remains appropriate.</w:t>
      </w:r>
      <w:r w:rsidRPr="0051381B">
        <w:rPr>
          <w:rStyle w:val="FootnoteReference"/>
        </w:rPr>
        <w:footnoteReference w:id="340"/>
      </w:r>
      <w:r w:rsidRPr="0051381B">
        <w:t xml:space="preserve"> </w:t>
      </w:r>
      <w:r w:rsidRPr="00562433">
        <w:rPr>
          <w:rStyle w:val="AERtexthighlight"/>
          <w:shd w:val="clear" w:color="auto" w:fill="auto"/>
        </w:rPr>
        <w:t xml:space="preserve">Lally has reviewed the updated SFG dividend drop off estimate and </w:t>
      </w:r>
      <w:r w:rsidRPr="00AC29DB">
        <w:rPr>
          <w:rStyle w:val="AERbody"/>
        </w:rPr>
        <w:t>considers there are</w:t>
      </w:r>
      <w:r w:rsidRPr="00562433">
        <w:rPr>
          <w:rStyle w:val="AERtexthighlight"/>
          <w:shd w:val="clear" w:color="auto" w:fill="auto"/>
        </w:rPr>
        <w:t xml:space="preserve"> eleven issues that apply to the study.</w:t>
      </w:r>
      <w:r w:rsidRPr="0051381B">
        <w:rPr>
          <w:rStyle w:val="FootnoteReference"/>
        </w:rPr>
        <w:footnoteReference w:id="341"/>
      </w:r>
      <w:r w:rsidRPr="00562433">
        <w:rPr>
          <w:rStyle w:val="AERtexthighlight"/>
          <w:shd w:val="clear" w:color="auto" w:fill="auto"/>
        </w:rPr>
        <w:t xml:space="preserve"> This is further discussed in section </w:t>
      </w:r>
      <w:r w:rsidRPr="00AC29DB">
        <w:rPr>
          <w:rStyle w:val="AERtexthighlight"/>
          <w:shd w:val="clear" w:color="auto" w:fill="auto"/>
        </w:rPr>
        <w:fldChar w:fldCharType="begin"/>
      </w:r>
      <w:r w:rsidRPr="00AC29DB">
        <w:rPr>
          <w:rStyle w:val="AERtexthighlight"/>
          <w:shd w:val="clear" w:color="auto" w:fill="auto"/>
        </w:rPr>
        <w:instrText xml:space="preserve"> REF _Ref403482459 \r \h  \* MERGEFORMAT </w:instrText>
      </w:r>
      <w:r w:rsidRPr="00AC29DB">
        <w:rPr>
          <w:rStyle w:val="AERtexthighlight"/>
          <w:shd w:val="clear" w:color="auto" w:fill="auto"/>
        </w:rPr>
      </w:r>
      <w:r w:rsidRPr="00AC29DB">
        <w:rPr>
          <w:rStyle w:val="AERtexthighlight"/>
          <w:shd w:val="clear" w:color="auto" w:fill="auto"/>
        </w:rPr>
        <w:fldChar w:fldCharType="separate"/>
      </w:r>
      <w:r w:rsidR="003E419A">
        <w:rPr>
          <w:rStyle w:val="AERtexthighlight"/>
          <w:shd w:val="clear" w:color="auto" w:fill="auto"/>
        </w:rPr>
        <w:t>A.15.2</w:t>
      </w:r>
      <w:r w:rsidRPr="00AC29DB">
        <w:rPr>
          <w:rStyle w:val="AERtexthighlight"/>
          <w:shd w:val="clear" w:color="auto" w:fill="auto"/>
        </w:rPr>
        <w:fldChar w:fldCharType="end"/>
      </w:r>
      <w:r w:rsidRPr="00AC29DB">
        <w:rPr>
          <w:rStyle w:val="AERtexthighlight"/>
          <w:shd w:val="clear" w:color="auto" w:fill="auto"/>
        </w:rPr>
        <w:t>.</w:t>
      </w:r>
    </w:p>
    <w:p w:rsidR="00B95D2A" w:rsidRDefault="00B95D2A" w:rsidP="00B95D2A">
      <w:pPr>
        <w:pStyle w:val="AERbulletlistfirststyle"/>
      </w:pPr>
      <w:r>
        <w:lastRenderedPageBreak/>
        <w:t>Gamma can be directly estimated reliably from tax statistics as the ratio of credits redeemed to credits created.</w:t>
      </w:r>
      <w:r>
        <w:rPr>
          <w:rStyle w:val="FootnoteReference"/>
        </w:rPr>
        <w:footnoteReference w:id="342"/>
      </w:r>
      <w:r>
        <w:t xml:space="preserve"> The AER does not agree and considers caution should be exercised with using tax statistics to estimate any parameters associated with the value of imputation credits. This is further discussed in section </w:t>
      </w:r>
      <w:r>
        <w:fldChar w:fldCharType="begin"/>
      </w:r>
      <w:r>
        <w:instrText xml:space="preserve"> REF _Ref402179420 \r \h </w:instrText>
      </w:r>
      <w:r>
        <w:fldChar w:fldCharType="separate"/>
      </w:r>
      <w:r w:rsidR="003E419A">
        <w:t>A.13</w:t>
      </w:r>
      <w:r>
        <w:fldChar w:fldCharType="end"/>
      </w:r>
      <w:r>
        <w:t>.</w:t>
      </w:r>
    </w:p>
    <w:p w:rsidR="00B95D2A" w:rsidRDefault="00B95D2A" w:rsidP="00B95D2A">
      <w:pPr>
        <w:pStyle w:val="AERbulletlistfirststyle"/>
      </w:pPr>
      <w:r>
        <w:t>Dr Lally's analysis on the seven largest firms listed on the Australian Stock Exchange which demonstrated that firms with more foreign income have a smaller imputation credit distribution rate is flawed as:</w:t>
      </w:r>
    </w:p>
    <w:p w:rsidR="00B95D2A" w:rsidRPr="00B95D2A" w:rsidRDefault="00B95D2A" w:rsidP="00492EFD">
      <w:pPr>
        <w:pStyle w:val="ListNumber3"/>
      </w:pPr>
      <w:r>
        <w:t>The relevant question is whether large multinationals have higher imputation credit distribution rates than other firms</w:t>
      </w:r>
      <w:r w:rsidRPr="00B95D2A">
        <w:t>.</w:t>
      </w:r>
      <w:r w:rsidRPr="00B95D2A">
        <w:rPr>
          <w:rStyle w:val="FootnoteReference"/>
        </w:rPr>
        <w:footnoteReference w:id="343"/>
      </w:r>
    </w:p>
    <w:p w:rsidR="00B95D2A" w:rsidRPr="00B95D2A" w:rsidRDefault="00B95D2A" w:rsidP="00492EFD">
      <w:pPr>
        <w:pStyle w:val="ListNumber3"/>
      </w:pPr>
      <w:r>
        <w:t>The analysis does not control for the difference in dividend payout ratios.</w:t>
      </w:r>
      <w:r w:rsidRPr="00B95D2A">
        <w:rPr>
          <w:rStyle w:val="FootnoteReference"/>
        </w:rPr>
        <w:footnoteReference w:id="344"/>
      </w:r>
    </w:p>
    <w:p w:rsidR="00B95D2A" w:rsidRPr="00B95D2A" w:rsidRDefault="00B95D2A" w:rsidP="009619EF">
      <w:pPr>
        <w:pStyle w:val="AERbulletlistfirststyle"/>
        <w:numPr>
          <w:ilvl w:val="0"/>
          <w:numId w:val="0"/>
        </w:numPr>
        <w:ind w:left="357"/>
        <w:rPr>
          <w:rStyle w:val="AERbody"/>
        </w:rPr>
      </w:pPr>
      <w:r>
        <w:rPr>
          <w:rStyle w:val="AERbody"/>
        </w:rPr>
        <w:t xml:space="preserve">Dr </w:t>
      </w:r>
      <w:r w:rsidRPr="00AC29DB">
        <w:rPr>
          <w:rStyle w:val="AERbody"/>
        </w:rPr>
        <w:t xml:space="preserve">Lally </w:t>
      </w:r>
      <w:r w:rsidRPr="00B95D2A">
        <w:rPr>
          <w:rStyle w:val="AERbody"/>
        </w:rPr>
        <w:t xml:space="preserve">has reviewed this criticism and </w:t>
      </w:r>
      <w:r w:rsidRPr="00AC29DB">
        <w:rPr>
          <w:rStyle w:val="AERbody"/>
        </w:rPr>
        <w:t>does not agree</w:t>
      </w:r>
      <w:r w:rsidRPr="00B95D2A">
        <w:rPr>
          <w:rStyle w:val="AERbody"/>
        </w:rPr>
        <w:t>.</w:t>
      </w:r>
      <w:r w:rsidRPr="00AC29DB">
        <w:rPr>
          <w:rStyle w:val="AERbody"/>
        </w:rPr>
        <w:t xml:space="preserve"> </w:t>
      </w:r>
      <w:r w:rsidRPr="00B95D2A">
        <w:rPr>
          <w:rStyle w:val="AERbody"/>
        </w:rPr>
        <w:t>Dr Lally</w:t>
      </w:r>
      <w:r w:rsidRPr="00AC29DB">
        <w:rPr>
          <w:rStyle w:val="AERbody"/>
        </w:rPr>
        <w:t xml:space="preserve"> has </w:t>
      </w:r>
      <w:r w:rsidRPr="00B95D2A">
        <w:rPr>
          <w:rStyle w:val="AERbody"/>
        </w:rPr>
        <w:t>provided further explanation on why his analysis shows</w:t>
      </w:r>
      <w:r w:rsidRPr="00AC29DB">
        <w:rPr>
          <w:rStyle w:val="AERbody"/>
        </w:rPr>
        <w:t xml:space="preserve"> that foreign income </w:t>
      </w:r>
      <w:r w:rsidRPr="00B95D2A">
        <w:rPr>
          <w:rStyle w:val="AERbody"/>
        </w:rPr>
        <w:t xml:space="preserve">can be associated with a </w:t>
      </w:r>
      <w:r w:rsidR="009619EF">
        <w:rPr>
          <w:rStyle w:val="AERbody"/>
        </w:rPr>
        <w:t>lower</w:t>
      </w:r>
      <w:r w:rsidRPr="00AC29DB">
        <w:rPr>
          <w:rStyle w:val="AERbody"/>
        </w:rPr>
        <w:t xml:space="preserve"> imputation </w:t>
      </w:r>
      <w:r w:rsidRPr="00B95D2A">
        <w:rPr>
          <w:rStyle w:val="AERbody"/>
        </w:rPr>
        <w:t xml:space="preserve">credit </w:t>
      </w:r>
      <w:r w:rsidRPr="00AC29DB">
        <w:rPr>
          <w:rStyle w:val="AERbody"/>
        </w:rPr>
        <w:t>distribution</w:t>
      </w:r>
      <w:r w:rsidRPr="00B95D2A">
        <w:rPr>
          <w:rStyle w:val="AERbody"/>
        </w:rPr>
        <w:t xml:space="preserve"> rate</w:t>
      </w:r>
      <w:r w:rsidRPr="00AC29DB">
        <w:rPr>
          <w:rStyle w:val="AERbody"/>
        </w:rPr>
        <w:t>.</w:t>
      </w:r>
      <w:r w:rsidRPr="00B95D2A">
        <w:rPr>
          <w:rStyle w:val="FootnoteReference"/>
        </w:rPr>
        <w:footnoteReference w:id="345"/>
      </w:r>
      <w:r w:rsidRPr="00AC29DB">
        <w:rPr>
          <w:rStyle w:val="AERbody"/>
        </w:rPr>
        <w:t xml:space="preserve"> Further, Lally considers that there is no need to control for the dividend payout ratios and what is important is the overall amount of imputation credits that are distributed by businesses.</w:t>
      </w:r>
      <w:r w:rsidRPr="00B95D2A">
        <w:rPr>
          <w:rStyle w:val="FootnoteReference"/>
        </w:rPr>
        <w:footnoteReference w:id="346"/>
      </w:r>
      <w:r w:rsidRPr="00AC29DB">
        <w:rPr>
          <w:rStyle w:val="AERbody"/>
        </w:rPr>
        <w:t xml:space="preserve"> This is further discussed in section </w:t>
      </w:r>
      <w:r w:rsidRPr="00AC29DB">
        <w:rPr>
          <w:rStyle w:val="AERbody"/>
        </w:rPr>
        <w:fldChar w:fldCharType="begin"/>
      </w:r>
      <w:r w:rsidRPr="00AC29DB">
        <w:rPr>
          <w:rStyle w:val="AERbody"/>
        </w:rPr>
        <w:instrText xml:space="preserve"> REF _Ref414289334 \r \h </w:instrText>
      </w:r>
      <w:r w:rsidRPr="00B95D2A">
        <w:rPr>
          <w:rStyle w:val="AERbody"/>
        </w:rPr>
        <w:instrText xml:space="preserve"> \* MERGEFORMAT </w:instrText>
      </w:r>
      <w:r w:rsidRPr="00AC29DB">
        <w:rPr>
          <w:rStyle w:val="AERbody"/>
        </w:rPr>
      </w:r>
      <w:r w:rsidRPr="00AC29DB">
        <w:rPr>
          <w:rStyle w:val="AERbody"/>
        </w:rPr>
        <w:fldChar w:fldCharType="separate"/>
      </w:r>
      <w:r w:rsidR="003E419A">
        <w:rPr>
          <w:rStyle w:val="AERbody"/>
        </w:rPr>
        <w:t>A.10.1</w:t>
      </w:r>
      <w:r w:rsidRPr="00AC29DB">
        <w:rPr>
          <w:rStyle w:val="AERbody"/>
        </w:rPr>
        <w:fldChar w:fldCharType="end"/>
      </w:r>
      <w:r w:rsidRPr="00AC29DB">
        <w:rPr>
          <w:rStyle w:val="AERbody"/>
        </w:rPr>
        <w:t>.</w:t>
      </w:r>
    </w:p>
    <w:p w:rsidR="00B95D2A" w:rsidRPr="00883125" w:rsidRDefault="00B95D2A" w:rsidP="00B95D2A">
      <w:pPr>
        <w:pStyle w:val="Heading8"/>
      </w:pPr>
      <w:bookmarkStart w:id="235" w:name="_Ref415144114"/>
      <w:bookmarkStart w:id="236" w:name="_Toc436049446"/>
      <w:bookmarkStart w:id="237" w:name="_Toc451842251"/>
      <w:bookmarkStart w:id="238" w:name="_Toc451938306"/>
      <w:bookmarkStart w:id="239" w:name="_Toc456614297"/>
      <w:bookmarkStart w:id="240" w:name="_Toc462823315"/>
      <w:bookmarkStart w:id="241" w:name="_Toc479693970"/>
      <w:bookmarkStart w:id="242" w:name="_Toc480815620"/>
      <w:r w:rsidRPr="00883125">
        <w:t>The role of the value of imputation credits in the regulatory framework</w:t>
      </w:r>
      <w:bookmarkEnd w:id="235"/>
      <w:bookmarkEnd w:id="236"/>
      <w:bookmarkEnd w:id="237"/>
      <w:bookmarkEnd w:id="238"/>
      <w:bookmarkEnd w:id="239"/>
      <w:bookmarkEnd w:id="240"/>
      <w:bookmarkEnd w:id="241"/>
      <w:bookmarkEnd w:id="242"/>
    </w:p>
    <w:p w:rsidR="00B95D2A" w:rsidRPr="00883125" w:rsidRDefault="00B95D2A" w:rsidP="00B95D2A">
      <w:pPr>
        <w:numPr>
          <w:ilvl w:val="0"/>
          <w:numId w:val="24"/>
        </w:numPr>
      </w:pPr>
      <w:r w:rsidRPr="00883125">
        <w:t>To explain the role of the value of imputation credits in the NER/NGR, we must consider:</w:t>
      </w:r>
    </w:p>
    <w:p w:rsidR="00B95D2A" w:rsidRPr="00883125" w:rsidRDefault="00B95D2A" w:rsidP="00B95D2A">
      <w:pPr>
        <w:pStyle w:val="AERbulletlistfirststyle"/>
      </w:pPr>
      <w:r w:rsidRPr="00883125">
        <w:t>the 'building block' revenue framework in the NER/NGR, and</w:t>
      </w:r>
    </w:p>
    <w:p w:rsidR="00B95D2A" w:rsidRPr="00883125" w:rsidRDefault="00B95D2A" w:rsidP="00B95D2A">
      <w:pPr>
        <w:pStyle w:val="AERbulletlistfirststyle"/>
      </w:pPr>
      <w:r w:rsidRPr="00883125">
        <w:t>the construction of the tax building block.</w:t>
      </w:r>
    </w:p>
    <w:p w:rsidR="00B95D2A" w:rsidRPr="00883125" w:rsidRDefault="00B95D2A" w:rsidP="00B95D2A">
      <w:pPr>
        <w:pStyle w:val="Heading9"/>
      </w:pPr>
      <w:bookmarkStart w:id="243" w:name="_Toc456614298"/>
      <w:bookmarkStart w:id="244" w:name="_Toc462823316"/>
      <w:bookmarkStart w:id="245" w:name="_Toc479693971"/>
      <w:bookmarkStart w:id="246" w:name="_Toc480815621"/>
      <w:r w:rsidRPr="00883125">
        <w:t>The building block framework</w:t>
      </w:r>
      <w:bookmarkEnd w:id="243"/>
      <w:bookmarkEnd w:id="244"/>
      <w:bookmarkEnd w:id="245"/>
      <w:bookmarkEnd w:id="246"/>
    </w:p>
    <w:p w:rsidR="00B95D2A" w:rsidRPr="00883125" w:rsidRDefault="00B95D2A" w:rsidP="00B95D2A">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347"/>
      </w:r>
      <w:r w:rsidRPr="00883125">
        <w:t xml:space="preserve"> The function of this building block revenue estimate is to determine the revenue that a service provider requires to:</w:t>
      </w:r>
    </w:p>
    <w:p w:rsidR="00B95D2A" w:rsidRPr="00883125" w:rsidRDefault="00B95D2A" w:rsidP="00B95D2A">
      <w:pPr>
        <w:pStyle w:val="AERbulletlistfirststyle"/>
      </w:pPr>
      <w:r w:rsidRPr="00883125">
        <w:t>fund its operating expenses.</w:t>
      </w:r>
    </w:p>
    <w:p w:rsidR="00B95D2A" w:rsidRPr="00883125" w:rsidRDefault="00B95D2A" w:rsidP="00B95D2A">
      <w:pPr>
        <w:pStyle w:val="AERbulletlistfirststyle"/>
      </w:pPr>
      <w:r w:rsidRPr="00883125">
        <w:lastRenderedPageBreak/>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B95D2A" w:rsidRPr="00883125" w:rsidRDefault="00B95D2A" w:rsidP="00B95D2A">
      <w:pPr>
        <w:pStyle w:val="AERbulletlistfirststyle"/>
      </w:pPr>
      <w:r w:rsidRPr="00883125">
        <w:t>pay its tax liability.</w:t>
      </w:r>
    </w:p>
    <w:p w:rsidR="00B95D2A" w:rsidRPr="00883125" w:rsidRDefault="00B95D2A" w:rsidP="00B95D2A">
      <w:pPr>
        <w:pStyle w:val="AERbulletlistfirststyle"/>
      </w:pPr>
      <w:r w:rsidRPr="00883125">
        <w:t>reflect any revenue increments or decrements from incentive mechanisms in the design of the regulatory regime.</w:t>
      </w:r>
    </w:p>
    <w:p w:rsidR="00B95D2A" w:rsidRPr="00883125" w:rsidRDefault="00B95D2A" w:rsidP="00B95D2A">
      <w:pPr>
        <w:numPr>
          <w:ilvl w:val="0"/>
          <w:numId w:val="24"/>
        </w:numPr>
      </w:pPr>
      <w:r w:rsidRPr="00883125">
        <w:t xml:space="preserve">Importantly, the building block framework is intended to compensate the service provider (and its investors) only for costs incurred by the service provider and not by its investors; that is, the framework is on a </w:t>
      </w:r>
      <w:r>
        <w:t xml:space="preserve">post-company </w:t>
      </w:r>
      <w:r w:rsidRPr="00883125">
        <w:t>before-personal-tax and before-personal-costs basis. Handley described this consideration as follows:</w:t>
      </w:r>
      <w:r w:rsidRPr="00883125">
        <w:rPr>
          <w:rStyle w:val="FootnoteReference"/>
        </w:rPr>
        <w:footnoteReference w:id="348"/>
      </w:r>
    </w:p>
    <w:p w:rsidR="00B95D2A" w:rsidRPr="00883125" w:rsidRDefault="00B95D2A" w:rsidP="00B95D2A">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95D2A" w:rsidRPr="00883125" w:rsidRDefault="00B95D2A" w:rsidP="00B95D2A">
      <w:pPr>
        <w:pStyle w:val="AERquote"/>
      </w:pPr>
      <w:r w:rsidRPr="00883125">
        <w:t>…</w:t>
      </w:r>
    </w:p>
    <w:p w:rsidR="00B95D2A" w:rsidRPr="00883125" w:rsidRDefault="00B95D2A" w:rsidP="00B95D2A">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B95D2A" w:rsidRPr="00883125" w:rsidRDefault="00B95D2A" w:rsidP="00B95D2A">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3E419A">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3E419A">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3E419A">
        <w:t>A.8.1</w:t>
      </w:r>
      <w:r w:rsidRPr="00883125">
        <w:fldChar w:fldCharType="end"/>
      </w:r>
      <w:r w:rsidRPr="00883125">
        <w:t>.</w:t>
      </w:r>
    </w:p>
    <w:p w:rsidR="00B95D2A" w:rsidRPr="00883125" w:rsidRDefault="00B95D2A" w:rsidP="00B95D2A">
      <w:pPr>
        <w:rPr>
          <w:rStyle w:val="AERbody"/>
        </w:rPr>
      </w:pPr>
      <w:r w:rsidRPr="00883125">
        <w:rPr>
          <w:rStyle w:val="AERbody"/>
        </w:rPr>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B95D2A" w:rsidRPr="001D37D5" w:rsidRDefault="00B95D2A" w:rsidP="00B95D2A">
      <w:pPr>
        <w:pStyle w:val="AERbulletlistfirststyle"/>
      </w:pPr>
      <w:r w:rsidRPr="005764F6">
        <w:lastRenderedPageBreak/>
        <w:t>There is no market for imputation credits and therefore there is no directly observable market price</w:t>
      </w:r>
      <w:r w:rsidRPr="001D37D5">
        <w:t>.</w:t>
      </w:r>
      <w:r w:rsidRPr="001D37D5">
        <w:rPr>
          <w:rStyle w:val="FootnoteReference"/>
        </w:rPr>
        <w:footnoteReference w:id="349"/>
      </w:r>
      <w:r w:rsidRPr="001D37D5">
        <w:t xml:space="preserve"> This is also discussed below in section </w:t>
      </w:r>
      <w:r w:rsidRPr="001D37D5">
        <w:fldChar w:fldCharType="begin"/>
      </w:r>
      <w:r w:rsidRPr="001D37D5">
        <w:instrText xml:space="preserve"> REF _Ref435171205 \r \h  \* MERGEFORMAT </w:instrText>
      </w:r>
      <w:r w:rsidRPr="001D37D5">
        <w:fldChar w:fldCharType="separate"/>
      </w:r>
      <w:r w:rsidR="003E419A">
        <w:t>A.15.3</w:t>
      </w:r>
      <w:r w:rsidRPr="001D37D5">
        <w:fldChar w:fldCharType="end"/>
      </w:r>
      <w:r w:rsidRPr="001D37D5">
        <w:t>.</w:t>
      </w:r>
    </w:p>
    <w:p w:rsidR="00B95D2A" w:rsidRPr="005764F6" w:rsidRDefault="00B95D2A" w:rsidP="00B95D2A">
      <w:pPr>
        <w:pStyle w:val="AERbulletlistfirststyle"/>
      </w:pPr>
      <w:r w:rsidRPr="005764F6">
        <w:t>The value of imputation credits as estimated through a dividend drop off study:</w:t>
      </w:r>
    </w:p>
    <w:p w:rsidR="00B95D2A" w:rsidRPr="005764F6" w:rsidRDefault="00B95D2A" w:rsidP="00B95D2A">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B95D2A" w:rsidRPr="005764F6" w:rsidRDefault="00B95D2A" w:rsidP="00B95D2A">
      <w:pPr>
        <w:pStyle w:val="AERbulletlistsecondstyle"/>
      </w:pPr>
      <w:r w:rsidRPr="005764F6">
        <w:t xml:space="preserve">is not necessarily consistent with the estimate of the return on equity and return on debt which are estimated required returns </w:t>
      </w:r>
      <w:r>
        <w:t xml:space="preserve">after company taxes </w:t>
      </w:r>
      <w:r w:rsidRPr="005764F6">
        <w:t>before personal taxes and personal transaction costs (particularly demonstrated where the study estimates a value for cash dividends materially below their face value as the SFG study does)</w:t>
      </w:r>
    </w:p>
    <w:p w:rsidR="00B95D2A" w:rsidRPr="005764F6" w:rsidRDefault="00B95D2A" w:rsidP="00B95D2A">
      <w:pPr>
        <w:pStyle w:val="AERbulletlistsecondstyle"/>
      </w:pPr>
      <w:r w:rsidRPr="005764F6">
        <w:t>is not clearly measuring a value to long term investors supplying capital to the benchmark efficient entity (even where adjusted for adjusted for differential tax impacts)</w:t>
      </w:r>
    </w:p>
    <w:p w:rsidR="00B95D2A" w:rsidRPr="005764F6" w:rsidRDefault="00B95D2A" w:rsidP="00B95D2A">
      <w:pPr>
        <w:pStyle w:val="AERbulletlistsecondstyle"/>
      </w:pPr>
      <w:r w:rsidRPr="005764F6">
        <w:t xml:space="preserve">is subject to significant uncertainty. </w:t>
      </w:r>
    </w:p>
    <w:p w:rsidR="00B95D2A" w:rsidRPr="001D37D5" w:rsidRDefault="00B95D2A" w:rsidP="00B95D2A">
      <w:pPr>
        <w:pStyle w:val="AERbulletlistfirststyle"/>
        <w:rPr>
          <w:rStyle w:val="AERbody"/>
        </w:rPr>
      </w:pPr>
      <w:r w:rsidRPr="00883125">
        <w:rPr>
          <w:rStyle w:val="AERbody"/>
        </w:rPr>
        <w:t xml:space="preserve">A number of limitations of these studies are discussed further in sections </w:t>
      </w:r>
      <w:r w:rsidRPr="001D37D5">
        <w:rPr>
          <w:rStyle w:val="AERbody"/>
        </w:rPr>
        <w:fldChar w:fldCharType="begin"/>
      </w:r>
      <w:r w:rsidRPr="001D37D5">
        <w:rPr>
          <w:rStyle w:val="AERbody"/>
        </w:rPr>
        <w:instrText xml:space="preserve"> REF _Ref415065117 \r \h </w:instrText>
      </w:r>
      <w:r w:rsidRPr="001D37D5">
        <w:rPr>
          <w:rStyle w:val="AERbody"/>
        </w:rPr>
      </w:r>
      <w:r w:rsidRPr="001D37D5">
        <w:rPr>
          <w:rStyle w:val="AERbody"/>
        </w:rPr>
        <w:fldChar w:fldCharType="separate"/>
      </w:r>
      <w:r w:rsidR="003E419A">
        <w:rPr>
          <w:rStyle w:val="AERbody"/>
        </w:rPr>
        <w:t>A.15.4</w:t>
      </w:r>
      <w:r w:rsidRPr="001D37D5">
        <w:rPr>
          <w:rStyle w:val="AERbody"/>
        </w:rPr>
        <w:fldChar w:fldCharType="end"/>
      </w:r>
      <w:r w:rsidRPr="001D37D5">
        <w:rPr>
          <w:rStyle w:val="AERbody"/>
        </w:rPr>
        <w:t xml:space="preserve"> and </w:t>
      </w:r>
      <w:r w:rsidRPr="001D37D5">
        <w:rPr>
          <w:rStyle w:val="AERbody"/>
        </w:rPr>
        <w:fldChar w:fldCharType="begin"/>
      </w:r>
      <w:r w:rsidRPr="001D37D5">
        <w:rPr>
          <w:rStyle w:val="AERbody"/>
        </w:rPr>
        <w:instrText xml:space="preserve"> REF _Ref414624721 \r \h </w:instrText>
      </w:r>
      <w:r w:rsidRPr="001D37D5">
        <w:rPr>
          <w:rStyle w:val="AERbody"/>
        </w:rPr>
      </w:r>
      <w:r w:rsidRPr="001D37D5">
        <w:rPr>
          <w:rStyle w:val="AERbody"/>
        </w:rPr>
        <w:fldChar w:fldCharType="separate"/>
      </w:r>
      <w:r w:rsidR="003E419A">
        <w:rPr>
          <w:rStyle w:val="AERbody"/>
        </w:rPr>
        <w:t>A.15.5</w:t>
      </w:r>
      <w:r w:rsidRPr="001D37D5">
        <w:rPr>
          <w:rStyle w:val="AERbody"/>
        </w:rPr>
        <w:fldChar w:fldCharType="end"/>
      </w:r>
      <w:r w:rsidRPr="001D37D5">
        <w:rPr>
          <w:rStyle w:val="AERbody"/>
        </w:rPr>
        <w:t>.</w:t>
      </w:r>
    </w:p>
    <w:p w:rsidR="00B95D2A" w:rsidRPr="001D37D5" w:rsidRDefault="00B95D2A" w:rsidP="00B95D2A">
      <w:pPr>
        <w:pStyle w:val="AERbulletlistfirststyle"/>
        <w:rPr>
          <w:rStyle w:val="AERtexthighlight"/>
        </w:rPr>
      </w:pPr>
      <w:r>
        <w:t>Our</w:t>
      </w:r>
      <w:r w:rsidRPr="001D37D5">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1D37D5">
        <w:rPr>
          <w:rStyle w:val="FootnoteReference"/>
        </w:rPr>
        <w:footnoteReference w:id="350"/>
      </w:r>
    </w:p>
    <w:p w:rsidR="00B95D2A" w:rsidRPr="001D37D5" w:rsidRDefault="00B95D2A" w:rsidP="00B95D2A">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1D37D5">
        <w:rPr>
          <w:rStyle w:val="FootnoteReference"/>
        </w:rPr>
        <w:footnoteReference w:id="351"/>
      </w:r>
    </w:p>
    <w:p w:rsidR="00B95D2A" w:rsidRPr="001D37D5" w:rsidRDefault="00B95D2A" w:rsidP="00B95D2A">
      <w:pPr>
        <w:pStyle w:val="AERbulletlistfirststyle"/>
        <w:rPr>
          <w:rStyle w:val="AERtexthighlight"/>
        </w:rPr>
      </w:pPr>
      <w:r w:rsidRPr="00857C5F">
        <w:t>Our</w:t>
      </w:r>
      <w:r w:rsidRPr="001D37D5">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1D37D5">
        <w:rPr>
          <w:rStyle w:val="FootnoteReference"/>
        </w:rPr>
        <w:footnoteReference w:id="352"/>
      </w:r>
      <w:r w:rsidRPr="001D37D5">
        <w:t xml:space="preserve"> As these after-tax net </w:t>
      </w:r>
      <w:r w:rsidRPr="001D37D5">
        <w:lastRenderedPageBreak/>
        <w:t>cash flows are at the company level they are before personal taxes and personal transaction costs. This is supported by the advice of Handley and Lally.</w:t>
      </w:r>
      <w:r w:rsidRPr="001D37D5">
        <w:rPr>
          <w:rStyle w:val="FootnoteReference"/>
        </w:rPr>
        <w:footnoteReference w:id="353"/>
      </w:r>
    </w:p>
    <w:p w:rsidR="00B95D2A" w:rsidRPr="00883125" w:rsidRDefault="00B95D2A" w:rsidP="00B95D2A">
      <w:pPr>
        <w:pStyle w:val="Heading9"/>
      </w:pPr>
      <w:bookmarkStart w:id="247" w:name="_Ref400962032"/>
      <w:bookmarkStart w:id="248" w:name="_Toc456614299"/>
      <w:bookmarkStart w:id="249" w:name="_Toc462823317"/>
      <w:bookmarkStart w:id="250" w:name="_Toc479693972"/>
      <w:bookmarkStart w:id="251" w:name="_Toc480815622"/>
      <w:r w:rsidRPr="00883125">
        <w:t>The tax building block</w:t>
      </w:r>
      <w:bookmarkEnd w:id="247"/>
      <w:bookmarkEnd w:id="248"/>
      <w:bookmarkEnd w:id="249"/>
      <w:bookmarkEnd w:id="250"/>
      <w:bookmarkEnd w:id="251"/>
    </w:p>
    <w:p w:rsidR="00B95D2A" w:rsidRPr="00883125" w:rsidRDefault="00B95D2A" w:rsidP="00B95D2A">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354"/>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B95D2A" w:rsidRPr="00883125" w:rsidRDefault="00B95D2A" w:rsidP="00B95D2A">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B95D2A" w:rsidRPr="00883125" w:rsidRDefault="00B95D2A" w:rsidP="00B95D2A">
      <w:pPr>
        <w:numPr>
          <w:ilvl w:val="0"/>
          <w:numId w:val="24"/>
        </w:numPr>
      </w:pPr>
      <w:r w:rsidRPr="00883125">
        <w:t>The cost of corporate income tax building block takes the following form:</w:t>
      </w:r>
    </w:p>
    <w:p w:rsidR="00B95D2A" w:rsidRPr="00883125" w:rsidRDefault="003E419A" w:rsidP="00B95D2A">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B95D2A" w:rsidRPr="00883125" w:rsidRDefault="00B95D2A" w:rsidP="00B95D2A">
      <w:pPr>
        <w:numPr>
          <w:ilvl w:val="0"/>
          <w:numId w:val="24"/>
        </w:numPr>
      </w:pPr>
      <w:r w:rsidRPr="00883125">
        <w:t>where:</w:t>
      </w:r>
    </w:p>
    <w:p w:rsidR="00B95D2A" w:rsidRPr="001D37D5" w:rsidRDefault="003E419A" w:rsidP="00B95D2A">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B95D2A" w:rsidRPr="001D37D5" w:rsidDel="00CE0EED">
        <w:t xml:space="preserve"> </w:t>
      </w:r>
      <w:r w:rsidR="00B95D2A" w:rsidRPr="001D37D5">
        <w:t>is an estimate of the benchmark efficient entity's tax liability.</w:t>
      </w:r>
    </w:p>
    <w:p w:rsidR="00B95D2A" w:rsidRPr="001D37D5" w:rsidRDefault="00B95D2A" w:rsidP="00B95D2A">
      <w:pPr>
        <w:pStyle w:val="AERbulletlistfirststyle"/>
      </w:pPr>
      <m:oMath>
        <m:r>
          <w:rPr>
            <w:rFonts w:ascii="Cambria Math" w:hAnsi="Cambria Math"/>
          </w:rPr>
          <m:t>γ</m:t>
        </m:r>
      </m:oMath>
      <w:r w:rsidRPr="001D37D5">
        <w:t xml:space="preserve"> is the value of imputation credits.</w:t>
      </w:r>
    </w:p>
    <w:p w:rsidR="00B95D2A" w:rsidRPr="00883125" w:rsidRDefault="00B95D2A" w:rsidP="00B95D2A">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355"/>
      </w:r>
    </w:p>
    <w:p w:rsidR="00B95D2A" w:rsidRPr="00883125" w:rsidRDefault="00B95D2A" w:rsidP="00B95D2A">
      <w:pPr>
        <w:pStyle w:val="Heading8"/>
      </w:pPr>
      <w:bookmarkStart w:id="252" w:name="_Ref400965182"/>
      <w:bookmarkStart w:id="253" w:name="_Toc436049447"/>
      <w:bookmarkStart w:id="254" w:name="_Ref451826492"/>
      <w:bookmarkStart w:id="255" w:name="_Toc451842252"/>
      <w:bookmarkStart w:id="256" w:name="_Toc451938307"/>
      <w:bookmarkStart w:id="257" w:name="_Toc456614300"/>
      <w:bookmarkStart w:id="258" w:name="_Toc462823318"/>
      <w:bookmarkStart w:id="259" w:name="_Toc479693973"/>
      <w:bookmarkStart w:id="260" w:name="_Toc480815623"/>
      <w:r w:rsidRPr="00883125">
        <w:t>The conceptual framework for the value of imputation credits</w:t>
      </w:r>
      <w:bookmarkEnd w:id="252"/>
      <w:bookmarkEnd w:id="253"/>
      <w:bookmarkEnd w:id="254"/>
      <w:bookmarkEnd w:id="255"/>
      <w:bookmarkEnd w:id="256"/>
      <w:bookmarkEnd w:id="257"/>
      <w:bookmarkEnd w:id="258"/>
      <w:bookmarkEnd w:id="259"/>
      <w:bookmarkEnd w:id="260"/>
    </w:p>
    <w:p w:rsidR="00B95D2A" w:rsidRPr="00883125" w:rsidRDefault="00B95D2A" w:rsidP="00B95D2A">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3E419A">
        <w:t>A.5.2</w:t>
      </w:r>
      <w:r w:rsidRPr="00883125">
        <w:fldChar w:fldCharType="end"/>
      </w:r>
      <w:r w:rsidRPr="00883125">
        <w:t xml:space="preserve">, we consider the 'value of imputation credits' to be the value of imputation credits to investors in the benchmark efficient entity. Moreover, as noted above, it is the </w:t>
      </w:r>
      <w:r>
        <w:t xml:space="preserve">post-company </w:t>
      </w:r>
      <w:r w:rsidRPr="00883125">
        <w:t xml:space="preserve">pre-personal tax value of imputation credits to those investors that we seek to estimate. The issue is then how to interpret and estimate the value of imputation credits. Our approach to interpreting </w:t>
      </w:r>
      <w:r w:rsidRPr="00883125">
        <w:lastRenderedPageBreak/>
        <w:t>and estimating the value of imputation credits is guided in the first instance by the conceptual framework developed by Officer.</w:t>
      </w:r>
      <w:r w:rsidRPr="00883125">
        <w:rPr>
          <w:rStyle w:val="FootnoteReference"/>
        </w:rPr>
        <w:footnoteReference w:id="356"/>
      </w:r>
      <w:r w:rsidRPr="00883125">
        <w:t xml:space="preserve"> This is because:</w:t>
      </w:r>
    </w:p>
    <w:p w:rsidR="00B95D2A" w:rsidRPr="001D37D5" w:rsidRDefault="00B95D2A" w:rsidP="00B95D2A">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1D37D5">
        <w:rPr>
          <w:rStyle w:val="FootnoteReference"/>
        </w:rPr>
        <w:footnoteReference w:id="357"/>
      </w:r>
    </w:p>
    <w:p w:rsidR="00B95D2A" w:rsidRPr="001D37D5" w:rsidRDefault="00B95D2A" w:rsidP="00B95D2A">
      <w:pPr>
        <w:pStyle w:val="AERbulletlistfirststyle"/>
      </w:pPr>
      <w:r w:rsidRPr="00883125">
        <w:t>Handley advised that Officer's definition of the nominal vanilla rate of return provides the basis for the rate of return framework in the NER/NGR.</w:t>
      </w:r>
      <w:r w:rsidRPr="001D37D5">
        <w:rPr>
          <w:rStyle w:val="FootnoteReference"/>
        </w:rPr>
        <w:footnoteReference w:id="358"/>
      </w:r>
    </w:p>
    <w:p w:rsidR="00B95D2A" w:rsidRPr="001D37D5" w:rsidRDefault="00B95D2A" w:rsidP="00B95D2A">
      <w:pPr>
        <w:pStyle w:val="AERbulletlistfirststyle"/>
      </w:pPr>
      <w:r w:rsidRPr="00883125">
        <w:t>The NER/NGR require that we determine the rate of return on a nominal vanilla basis that is consistent with our estimate of the value of imputation credits.</w:t>
      </w:r>
      <w:r w:rsidRPr="001D37D5">
        <w:rPr>
          <w:rStyle w:val="FootnoteReference"/>
        </w:rPr>
        <w:footnoteReference w:id="359"/>
      </w:r>
    </w:p>
    <w:p w:rsidR="00B95D2A" w:rsidRPr="00ED480E" w:rsidRDefault="00B95D2A" w:rsidP="00B95D2A">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B95D2A" w:rsidRPr="00ED480E" w:rsidRDefault="00B95D2A" w:rsidP="00B95D2A">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360"/>
      </w:r>
    </w:p>
    <w:p w:rsidR="00B95D2A" w:rsidRPr="00B95D2A" w:rsidRDefault="00B95D2A" w:rsidP="00B95D2A">
      <w:pPr>
        <w:pStyle w:val="AERquote"/>
        <w:rPr>
          <w:rFonts w:eastAsia="Arial"/>
        </w:rPr>
      </w:pPr>
      <w:r w:rsidRPr="00B95D2A">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B95D2A" w:rsidRDefault="00B95D2A" w:rsidP="00B95D2A">
      <w:r w:rsidRPr="00ED480E">
        <w:t>The Officer Paper makes clear that gamma is:</w:t>
      </w:r>
    </w:p>
    <w:p w:rsidR="00B95D2A" w:rsidRDefault="00B95D2A" w:rsidP="00B95D2A">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B95D2A" w:rsidRDefault="00B95D2A" w:rsidP="00B95D2A">
      <w:pPr>
        <w:pStyle w:val="AERnumberedlistsecondstyle"/>
      </w:pPr>
      <w:r w:rsidRPr="00705187">
        <w:t xml:space="preserve">the value of a dollar of tax credit to the shareholder; </w:t>
      </w:r>
      <w:r w:rsidRPr="005764F6">
        <w:rPr>
          <w:rStyle w:val="AERtextitalic"/>
        </w:rPr>
        <w:t>with the result that</w:t>
      </w:r>
    </w:p>
    <w:p w:rsidR="00B95D2A" w:rsidRDefault="00B95D2A" w:rsidP="00B95D2A">
      <w:pPr>
        <w:pStyle w:val="AERnumberedlistsecondstyle"/>
      </w:pPr>
      <w:r w:rsidRPr="00705187">
        <w:lastRenderedPageBreak/>
        <w:t>if the shareholder can fully utilise the imputation tax credits then the value of gamma =1.</w:t>
      </w:r>
      <w:r>
        <w:rPr>
          <w:rStyle w:val="FootnoteReference"/>
        </w:rPr>
        <w:footnoteReference w:id="361"/>
      </w:r>
    </w:p>
    <w:p w:rsidR="00B95D2A" w:rsidRPr="001D37D5" w:rsidRDefault="00B95D2A" w:rsidP="00B95D2A">
      <w:r>
        <w:t>Our</w:t>
      </w:r>
      <w:r w:rsidRPr="001D37D5">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B95D2A" w:rsidRPr="00FD036B" w:rsidRDefault="00B95D2A" w:rsidP="00B95D2A">
      <w:r w:rsidRPr="00FD036B">
        <w:t>The Officer Paper included the following explanation of gamma at pp 2-4 (emphasis added):</w:t>
      </w:r>
    </w:p>
    <w:p w:rsidR="00B95D2A" w:rsidRPr="00FD036B" w:rsidRDefault="00B95D2A" w:rsidP="00B95D2A">
      <w:pPr>
        <w:pStyle w:val="AERquote"/>
      </w:pPr>
      <w:r w:rsidRPr="00B95D2A">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B95D2A" w:rsidRPr="00B95D2A" w:rsidRDefault="00B95D2A" w:rsidP="00B95D2A">
      <w:pPr>
        <w:pStyle w:val="AERquote"/>
        <w:rPr>
          <w:rFonts w:eastAsia="Arial"/>
        </w:rPr>
      </w:pPr>
      <w:r w:rsidRPr="00B95D2A">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B95D2A" w:rsidRPr="00B95D2A" w:rsidRDefault="00B95D2A" w:rsidP="00B95D2A">
      <w:pPr>
        <w:pStyle w:val="AERquote"/>
        <w:rPr>
          <w:rFonts w:eastAsia="Arial"/>
        </w:rPr>
      </w:pPr>
      <w:r w:rsidRPr="00B95D2A">
        <w:rPr>
          <w:rFonts w:eastAsia="Arial"/>
        </w:rPr>
        <w:t>The amount of tax collected from the company by the government is found by applying the effective tax rate (T) to the operating income less interest, i.e. X</w:t>
      </w:r>
      <w:r w:rsidRPr="00B95D2A">
        <w:rPr>
          <w:rStyle w:val="AERsubscript"/>
          <w:rFonts w:eastAsia="Arial"/>
        </w:rPr>
        <w:t>O</w:t>
      </w:r>
      <w:r w:rsidRPr="00B95D2A">
        <w:rPr>
          <w:rFonts w:eastAsia="Arial"/>
        </w:rPr>
        <w:t xml:space="preserve"> – X</w:t>
      </w:r>
      <w:r w:rsidRPr="00B95D2A">
        <w:rPr>
          <w:rStyle w:val="AERsubscript"/>
          <w:rFonts w:eastAsia="Arial"/>
        </w:rPr>
        <w:t>D</w:t>
      </w:r>
      <w:r w:rsidRPr="00B95D2A">
        <w:rPr>
          <w:rFonts w:eastAsia="Arial"/>
        </w:rPr>
        <w:t>.</w:t>
      </w:r>
    </w:p>
    <w:p w:rsidR="00B95D2A" w:rsidRPr="00FD036B" w:rsidRDefault="00B95D2A" w:rsidP="00B95D2A">
      <w:pPr>
        <w:pStyle w:val="AERquote"/>
      </w:pPr>
      <w:r w:rsidRPr="00B95D2A">
        <w:rPr>
          <w:rFonts w:eastAsia="Arial"/>
        </w:rPr>
        <w:t>This amount, i.e. T(X</w:t>
      </w:r>
      <w:r w:rsidRPr="00B95D2A">
        <w:rPr>
          <w:rStyle w:val="AERsubscript"/>
          <w:rFonts w:eastAsia="Arial"/>
        </w:rPr>
        <w:t>O</w:t>
      </w:r>
      <w:r w:rsidRPr="00B95D2A">
        <w:rPr>
          <w:rFonts w:eastAsia="Arial"/>
        </w:rPr>
        <w:t xml:space="preserve"> – X</w:t>
      </w:r>
      <w:r w:rsidRPr="00B95D2A">
        <w:rPr>
          <w:rStyle w:val="AERsubscript"/>
          <w:rFonts w:eastAsia="Arial"/>
        </w:rPr>
        <w:t>D</w:t>
      </w:r>
      <w:r w:rsidRPr="00B95D2A">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B95D2A" w:rsidRPr="00B95D2A" w:rsidRDefault="00B95D2A" w:rsidP="00B95D2A">
      <w:pPr>
        <w:pStyle w:val="AERquote"/>
        <w:rPr>
          <w:rFonts w:eastAsia="Arial"/>
        </w:rPr>
      </w:pPr>
      <w:r w:rsidRPr="00B95D2A">
        <w:rPr>
          <w:rFonts w:eastAsia="Arial"/>
        </w:rPr>
        <w:t>In these circumstances, the effective level of company tax paid is defined by:</w:t>
      </w:r>
    </w:p>
    <w:p w:rsidR="00B95D2A" w:rsidRPr="00B95D2A" w:rsidRDefault="00B95D2A" w:rsidP="00B95D2A">
      <w:pPr>
        <w:pStyle w:val="AERquote"/>
        <w:rPr>
          <w:rFonts w:eastAsia="Arial"/>
        </w:rPr>
      </w:pPr>
      <w:r w:rsidRPr="00B95D2A">
        <w:rPr>
          <w:rFonts w:eastAsia="Arial"/>
        </w:rPr>
        <w:t>XG = T(X</w:t>
      </w:r>
      <w:r w:rsidRPr="00B95D2A">
        <w:rPr>
          <w:rStyle w:val="AERsubscript"/>
          <w:rFonts w:eastAsia="Arial"/>
        </w:rPr>
        <w:t>O</w:t>
      </w:r>
      <w:r w:rsidRPr="00B95D2A">
        <w:rPr>
          <w:rFonts w:eastAsia="Arial"/>
        </w:rPr>
        <w:t xml:space="preserve"> – X</w:t>
      </w:r>
      <w:r w:rsidRPr="00B95D2A">
        <w:rPr>
          <w:rStyle w:val="AERsubscript"/>
          <w:rFonts w:eastAsia="Arial"/>
        </w:rPr>
        <w:t>D</w:t>
      </w:r>
      <w:r w:rsidRPr="00B95D2A">
        <w:rPr>
          <w:rFonts w:eastAsia="Arial"/>
        </w:rPr>
        <w:t>) - γ . T(X</w:t>
      </w:r>
      <w:r w:rsidRPr="00B95D2A">
        <w:rPr>
          <w:rStyle w:val="AERsubscript"/>
          <w:rFonts w:eastAsia="Arial"/>
        </w:rPr>
        <w:t>O</w:t>
      </w:r>
      <w:r w:rsidRPr="00B95D2A">
        <w:rPr>
          <w:rFonts w:eastAsia="Arial"/>
        </w:rPr>
        <w:t xml:space="preserve"> – X</w:t>
      </w:r>
      <w:r w:rsidRPr="00B95D2A">
        <w:rPr>
          <w:rStyle w:val="AERsubscript"/>
          <w:rFonts w:eastAsia="Arial"/>
        </w:rPr>
        <w:t>D</w:t>
      </w:r>
      <w:r w:rsidRPr="00B95D2A">
        <w:rPr>
          <w:rFonts w:eastAsia="Arial"/>
        </w:rPr>
        <w:t>)</w:t>
      </w:r>
    </w:p>
    <w:p w:rsidR="00B95D2A" w:rsidRPr="00B95D2A" w:rsidRDefault="00B95D2A" w:rsidP="00B95D2A">
      <w:pPr>
        <w:pStyle w:val="AERquote"/>
        <w:rPr>
          <w:rFonts w:eastAsia="Arial"/>
        </w:rPr>
      </w:pPr>
      <w:r w:rsidRPr="00B95D2A">
        <w:rPr>
          <w:rFonts w:eastAsia="Arial"/>
        </w:rPr>
        <w:t>= T (X</w:t>
      </w:r>
      <w:r w:rsidRPr="00B95D2A">
        <w:rPr>
          <w:rStyle w:val="AERsubscript"/>
          <w:rFonts w:eastAsia="Arial"/>
        </w:rPr>
        <w:t>O</w:t>
      </w:r>
      <w:r w:rsidRPr="00B95D2A">
        <w:rPr>
          <w:rFonts w:eastAsia="Arial"/>
        </w:rPr>
        <w:t xml:space="preserve"> – X</w:t>
      </w:r>
      <w:r w:rsidRPr="00B95D2A">
        <w:rPr>
          <w:rStyle w:val="AERsubscript"/>
          <w:rFonts w:eastAsia="Arial"/>
        </w:rPr>
        <w:t>D</w:t>
      </w:r>
      <w:r w:rsidRPr="00B95D2A">
        <w:rPr>
          <w:rFonts w:eastAsia="Arial"/>
        </w:rPr>
        <w:t>) (1-γ)</w:t>
      </w:r>
      <w:r w:rsidRPr="00B95D2A">
        <w:rPr>
          <w:rFonts w:eastAsia="Arial"/>
        </w:rPr>
        <w:tab/>
        <w:t>(2)</w:t>
      </w:r>
    </w:p>
    <w:p w:rsidR="00B95D2A" w:rsidRPr="00B95D2A" w:rsidRDefault="00B95D2A" w:rsidP="00B95D2A">
      <w:pPr>
        <w:pStyle w:val="AERquote"/>
        <w:rPr>
          <w:rFonts w:eastAsia="Arial"/>
        </w:rPr>
      </w:pPr>
      <w:r w:rsidRPr="00B95D2A">
        <w:rPr>
          <w:rFonts w:eastAsia="Arial"/>
        </w:rPr>
        <w:t>where</w:t>
      </w:r>
    </w:p>
    <w:p w:rsidR="00B95D2A" w:rsidRPr="00B95D2A" w:rsidRDefault="00B95D2A" w:rsidP="00B95D2A">
      <w:pPr>
        <w:pStyle w:val="AERquote"/>
        <w:rPr>
          <w:rFonts w:eastAsia="Arial"/>
        </w:rPr>
      </w:pPr>
      <w:r w:rsidRPr="00B95D2A">
        <w:rPr>
          <w:rFonts w:eastAsia="Arial"/>
        </w:rPr>
        <w:lastRenderedPageBreak/>
        <w:t>T is the tax rate effective for the definition of assessable income as defined in (2), it is the effective rate which is levied at the company level and it is a mixture of company tax T(1-γ) and personal tax, T. γ, i.e. T= T( 1-γ) + Tγ. Thus γ is the proportion of tax collected from the company which gives rise to the tax credit associated with a franked dividend. This franking</w:t>
      </w:r>
      <w:r>
        <w:t xml:space="preserve"> </w:t>
      </w:r>
      <w:r w:rsidRPr="00B95D2A">
        <w:rPr>
          <w:rFonts w:eastAsia="Arial"/>
        </w:rPr>
        <w:t>credit can be utilized as tax credit against the personal tax liabilities of the shareholder. γ can be interpreted as the value of a dollar of tax credit to the shareholder.</w:t>
      </w:r>
    </w:p>
    <w:p w:rsidR="00B95D2A" w:rsidRPr="00FD036B" w:rsidRDefault="00B95D2A" w:rsidP="00B95D2A">
      <w:pPr>
        <w:pStyle w:val="ListParagraph"/>
        <w:numPr>
          <w:ilvl w:val="0"/>
          <w:numId w:val="24"/>
        </w:numPr>
      </w:pPr>
      <w:r w:rsidRPr="00FD036B">
        <w:t>The Officer Paper set out the following example of its interpretation of gamma:</w:t>
      </w:r>
      <w:r>
        <w:rPr>
          <w:rStyle w:val="FootnoteReference"/>
        </w:rPr>
        <w:footnoteReference w:id="362"/>
      </w:r>
    </w:p>
    <w:p w:rsidR="00B95D2A" w:rsidRPr="00B95D2A" w:rsidRDefault="00B95D2A" w:rsidP="00B95D2A">
      <w:pPr>
        <w:pStyle w:val="AERquote"/>
        <w:rPr>
          <w:rFonts w:eastAsia="Arial"/>
        </w:rPr>
      </w:pPr>
      <w:r w:rsidRPr="00B95D2A">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B95D2A" w:rsidRDefault="00B95D2A" w:rsidP="00B95D2A">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B95D2A" w:rsidRPr="00883125" w:rsidRDefault="00B95D2A" w:rsidP="00B95D2A">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63"/>
      </w:r>
    </w:p>
    <w:p w:rsidR="00B95D2A" w:rsidRPr="00883125" w:rsidRDefault="00B95D2A" w:rsidP="00B95D2A">
      <w:pPr>
        <w:pStyle w:val="AERquote"/>
      </w:pPr>
      <w:r w:rsidRPr="00883125">
        <w:t>Similarly, Officer has described gamma in seemingly different ways. For example he refers to:</w:t>
      </w:r>
    </w:p>
    <w:p w:rsidR="00B95D2A" w:rsidRPr="00883125" w:rsidRDefault="00B95D2A" w:rsidP="00B95D2A">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B95D2A" w:rsidRPr="00883125" w:rsidRDefault="00B95D2A" w:rsidP="00B95D2A">
      <w:pPr>
        <w:pStyle w:val="AERquote"/>
      </w:pPr>
      <w:r w:rsidRPr="00883125">
        <w:t>and shortly thereafter:</w:t>
      </w:r>
    </w:p>
    <w:p w:rsidR="00B95D2A" w:rsidRPr="00883125" w:rsidRDefault="00B95D2A" w:rsidP="00B95D2A">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B95D2A" w:rsidRPr="00883125" w:rsidRDefault="00B95D2A" w:rsidP="00B95D2A">
      <w:pPr>
        <w:pStyle w:val="AERquote"/>
      </w:pPr>
      <w:r w:rsidRPr="00883125">
        <w:t xml:space="preserve">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w:t>
      </w:r>
      <w:r w:rsidRPr="00883125">
        <w:lastRenderedPageBreak/>
        <w:t>shareholders. It is this identification of the personal tax component of the company tax paid which is the central idea of the paper.</w:t>
      </w:r>
    </w:p>
    <w:p w:rsidR="00B95D2A" w:rsidRPr="00883125" w:rsidRDefault="00B95D2A" w:rsidP="00B95D2A">
      <w:pPr>
        <w:numPr>
          <w:ilvl w:val="0"/>
          <w:numId w:val="24"/>
        </w:numPr>
      </w:pPr>
      <w:r w:rsidRPr="00883125">
        <w:t>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we adopted in the Guideline and continue to adopt in this decision. This interpretation is consistent with the Officer framework and is supported by advice from Handley.</w:t>
      </w:r>
    </w:p>
    <w:p w:rsidR="00B95D2A" w:rsidRPr="005764F6" w:rsidRDefault="00B95D2A" w:rsidP="00B95D2A">
      <w:pPr>
        <w:numPr>
          <w:ilvl w:val="0"/>
          <w:numId w:val="24"/>
        </w:numPr>
        <w:rPr>
          <w:rStyle w:val="AERbody"/>
        </w:rPr>
      </w:pPr>
      <w:r>
        <w:rPr>
          <w:rStyle w:val="AERbody"/>
        </w:rPr>
        <w:t>T</w:t>
      </w:r>
      <w:r w:rsidRPr="005764F6">
        <w:rPr>
          <w:rStyle w:val="AERbody"/>
        </w:rPr>
        <w:t xml:space="preserve">he </w:t>
      </w:r>
      <w:r>
        <w:rPr>
          <w:rStyle w:val="AERbody"/>
        </w:rPr>
        <w:t xml:space="preserve">Ausgrid </w:t>
      </w:r>
      <w:r w:rsidRPr="005764F6">
        <w:rPr>
          <w:rStyle w:val="AERbody"/>
        </w:rPr>
        <w:t xml:space="preserve">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64"/>
      </w:r>
      <w:r w:rsidRPr="005764F6">
        <w:rPr>
          <w:rStyle w:val="AERbody"/>
        </w:rPr>
        <w:t xml:space="preserve"> The </w:t>
      </w:r>
      <w:r>
        <w:rPr>
          <w:rStyle w:val="AERbody"/>
        </w:rPr>
        <w:t xml:space="preserve">Ausgrid </w:t>
      </w:r>
      <w:r w:rsidRPr="005764F6">
        <w:rPr>
          <w:rStyle w:val="AERbody"/>
        </w:rPr>
        <w:t xml:space="preserve">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65"/>
      </w:r>
      <w:r w:rsidRPr="005764F6">
        <w:rPr>
          <w:rStyle w:val="AERbody"/>
        </w:rPr>
        <w:t xml:space="preserve"> The </w:t>
      </w:r>
      <w:r>
        <w:rPr>
          <w:rStyle w:val="AERbody"/>
        </w:rPr>
        <w:t xml:space="preserve">Ausgrid </w:t>
      </w:r>
      <w:r w:rsidRPr="005764F6">
        <w:rPr>
          <w:rStyle w:val="AERbody"/>
        </w:rPr>
        <w:t>Tribunal considered that such an approach:</w:t>
      </w:r>
      <w:r w:rsidRPr="00857C5F">
        <w:rPr>
          <w:rStyle w:val="FootnoteReference"/>
        </w:rPr>
        <w:footnoteReference w:id="366"/>
      </w:r>
    </w:p>
    <w:p w:rsidR="00B95D2A" w:rsidRPr="005764F6" w:rsidRDefault="00B95D2A" w:rsidP="00B95D2A">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B95D2A" w:rsidRPr="005764F6" w:rsidRDefault="00B95D2A" w:rsidP="00B95D2A">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67"/>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3E419A">
        <w:t>A.15.3</w:t>
      </w:r>
      <w:r w:rsidRPr="005764F6">
        <w:fldChar w:fldCharType="end"/>
      </w:r>
      <w:r w:rsidRPr="005764F6">
        <w:t>.</w:t>
      </w:r>
    </w:p>
    <w:p w:rsidR="00B95D2A" w:rsidRPr="00883125" w:rsidRDefault="00B95D2A" w:rsidP="00B95D2A">
      <w:pPr>
        <w:numPr>
          <w:ilvl w:val="0"/>
          <w:numId w:val="24"/>
        </w:numPr>
      </w:pPr>
      <w:r w:rsidRPr="00883125">
        <w:t xml:space="preserve">The Officer framework assumes all free cash flows (including imputation credits) are fully paid out each period. That is, the Officer framework is a 'perpetuity' framework. However, in reality not all imputation credits are necessarily paid out each period, nor are all other free </w:t>
      </w:r>
      <w:r w:rsidRPr="00883125">
        <w:lastRenderedPageBreak/>
        <w:t>cash flows necessarily paid out.</w:t>
      </w:r>
      <w:r w:rsidRPr="00883125">
        <w:rPr>
          <w:rStyle w:val="FootnoteReference"/>
        </w:rPr>
        <w:footnoteReference w:id="368"/>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full payout of cash flows and imputation credits each period. Handley advised that Monkhouse effectively shows that:</w:t>
      </w:r>
      <w:r w:rsidRPr="00883125">
        <w:rPr>
          <w:rStyle w:val="FootnoteReference"/>
        </w:rPr>
        <w:footnoteReference w:id="369"/>
      </w:r>
    </w:p>
    <w:p w:rsidR="00B95D2A" w:rsidRPr="00883125" w:rsidRDefault="00B95D2A" w:rsidP="00B95D2A">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B95D2A" w:rsidRPr="00883125" w:rsidRDefault="00B95D2A" w:rsidP="00B95D2A">
      <w:pPr>
        <w:numPr>
          <w:ilvl w:val="0"/>
          <w:numId w:val="24"/>
        </w:numPr>
      </w:pPr>
      <w:r w:rsidRPr="00883125">
        <w:t>where:</w:t>
      </w:r>
    </w:p>
    <w:p w:rsidR="00B95D2A" w:rsidRPr="001D37D5" w:rsidRDefault="00B95D2A" w:rsidP="00B95D2A">
      <w:pPr>
        <w:pStyle w:val="AERbulletlistfirststyle"/>
      </w:pPr>
      <m:oMath>
        <m:r>
          <w:rPr>
            <w:rFonts w:ascii="Cambria Math" w:hAnsi="Cambria Math"/>
          </w:rPr>
          <m:t>F</m:t>
        </m:r>
      </m:oMath>
      <w:r w:rsidRPr="001D37D5">
        <w:t xml:space="preserve"> is the proportion of imputation credits generated that are distributed in a period (the 'distribution rate').</w:t>
      </w:r>
    </w:p>
    <w:p w:rsidR="00B95D2A" w:rsidRPr="001D37D5" w:rsidRDefault="00B95D2A" w:rsidP="00B95D2A">
      <w:pPr>
        <w:pStyle w:val="AERbulletlistfirststyle"/>
      </w:pPr>
      <m:oMath>
        <m:r>
          <w:rPr>
            <w:rFonts w:ascii="Cambria Math" w:hAnsi="Cambria Math"/>
          </w:rPr>
          <m:t>θ</m:t>
        </m:r>
      </m:oMath>
      <w:r w:rsidRPr="001D37D5">
        <w:t xml:space="preserve"> (theta) is the utilisation value to investors in the market per dollar of imputation credits distributed (the 'utilisation rate').</w:t>
      </w:r>
    </w:p>
    <w:p w:rsidR="00B95D2A" w:rsidRPr="001D37D5" w:rsidRDefault="00B95D2A" w:rsidP="00B95D2A">
      <w:pPr>
        <w:pStyle w:val="AERbulletlistfirststyle"/>
      </w:pPr>
      <m:oMath>
        <m:r>
          <w:rPr>
            <w:rFonts w:ascii="Cambria Math" w:hAnsi="Cambria Math"/>
          </w:rPr>
          <m:t>ψ</m:t>
        </m:r>
      </m:oMath>
      <w:r w:rsidRPr="001D37D5" w:rsidDel="008647A1">
        <w:t xml:space="preserve"> </w:t>
      </w:r>
      <w:r w:rsidRPr="001D37D5">
        <w:t>(psi) is the utilisation value of a retained credit to investors in the market.</w:t>
      </w:r>
    </w:p>
    <w:p w:rsidR="00B95D2A" w:rsidRPr="00883125" w:rsidRDefault="00B95D2A" w:rsidP="00B95D2A">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70"/>
      </w:r>
    </w:p>
    <w:p w:rsidR="00B95D2A" w:rsidRPr="00883125" w:rsidRDefault="00B95D2A" w:rsidP="00B95D2A">
      <w:pPr>
        <w:pStyle w:val="AERquote"/>
      </w:pPr>
      <w:r w:rsidRPr="00883125">
        <w:t>This interpretation of theta as a complex weighted average of investor utilisation rates is consistent with that appearing in Monkhouse (1993) and Lally and van Zijl (2003)…</w:t>
      </w:r>
    </w:p>
    <w:p w:rsidR="00B95D2A" w:rsidRPr="00883125" w:rsidRDefault="00B95D2A" w:rsidP="00B95D2A">
      <w:pPr>
        <w:numPr>
          <w:ilvl w:val="0"/>
          <w:numId w:val="24"/>
        </w:numPr>
      </w:pPr>
      <w:r w:rsidRPr="00883125">
        <w:t>This is also supported by Lally's remarks on the work of Lally and van Zijl:</w:t>
      </w:r>
      <w:r w:rsidRPr="00883125">
        <w:rPr>
          <w:rStyle w:val="FootnoteReference"/>
        </w:rPr>
        <w:footnoteReference w:id="371"/>
      </w:r>
    </w:p>
    <w:p w:rsidR="00B95D2A" w:rsidRPr="00883125" w:rsidRDefault="00B95D2A" w:rsidP="00B95D2A">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B95D2A" w:rsidRPr="00883125" w:rsidRDefault="00B95D2A" w:rsidP="00B95D2A">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w:t>
      </w:r>
      <w:r w:rsidRPr="00883125">
        <w:lastRenderedPageBreak/>
        <w:t xml:space="preserve">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 xml:space="preserve">final </w:t>
      </w:r>
      <w:r w:rsidRPr="00883125">
        <w:t xml:space="preserve">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3E419A">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3E419A">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3E419A">
        <w:t>A.8.1</w:t>
      </w:r>
      <w:r w:rsidRPr="00883125">
        <w:fldChar w:fldCharType="end"/>
      </w:r>
      <w:r w:rsidRPr="00883125">
        <w:t>, to be consistent with the Officer framework (and therefore the building block framework in the 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72"/>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3E419A">
        <w:t>A.8.1</w:t>
      </w:r>
      <w:r w:rsidRPr="00883125">
        <w:fldChar w:fldCharType="end"/>
      </w:r>
      <w:r w:rsidRPr="00883125">
        <w:t>.</w:t>
      </w:r>
    </w:p>
    <w:p w:rsidR="00B95D2A" w:rsidRPr="00883125" w:rsidRDefault="00B95D2A" w:rsidP="00B95D2A">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73"/>
      </w:r>
    </w:p>
    <w:p w:rsidR="00B95D2A" w:rsidRPr="00883125" w:rsidRDefault="00B95D2A" w:rsidP="00B95D2A">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B95D2A" w:rsidRPr="00B27BE5" w:rsidRDefault="00B95D2A" w:rsidP="00B95D2A">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74"/>
      </w:r>
      <w:r w:rsidRPr="00B27BE5">
        <w:t xml:space="preserve"> Shareholders that do not participate in off market buybacks benefit from capital appreciation of their shares as the firm's capital is brought back at a discount to the prevailing market prices. An example of a </w:t>
      </w:r>
      <w:r w:rsidRPr="00B27BE5">
        <w:lastRenderedPageBreak/>
        <w:t>recently completed off market buy back completed a discount that likely was used to stream imputation credits to those who could utilise them most highly was by Caltex Australia.</w:t>
      </w:r>
      <w:r w:rsidRPr="00B27BE5">
        <w:rPr>
          <w:rStyle w:val="FootnoteReference"/>
        </w:rPr>
        <w:footnoteReference w:id="375"/>
      </w:r>
    </w:p>
    <w:p w:rsidR="00B95D2A" w:rsidRPr="00B27BE5" w:rsidRDefault="00B95D2A" w:rsidP="00B95D2A">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reasonable estimates of the future expected payout ratios, we consider our approach is appropriate</w:t>
      </w:r>
      <w:r>
        <w:t>.</w:t>
      </w:r>
    </w:p>
    <w:p w:rsidR="00B95D2A" w:rsidRPr="00883125" w:rsidRDefault="00B95D2A" w:rsidP="00B95D2A">
      <w:pPr>
        <w:pStyle w:val="Heading8"/>
      </w:pPr>
      <w:bookmarkStart w:id="261" w:name="_Ref414282622"/>
      <w:bookmarkStart w:id="262" w:name="_Toc436049448"/>
      <w:bookmarkStart w:id="263" w:name="_Ref451789926"/>
      <w:bookmarkStart w:id="264" w:name="_Toc451842253"/>
      <w:bookmarkStart w:id="265" w:name="_Ref451849752"/>
      <w:bookmarkStart w:id="266" w:name="_Toc451938308"/>
      <w:bookmarkStart w:id="267" w:name="_Toc456614301"/>
      <w:bookmarkStart w:id="268" w:name="_Toc462823319"/>
      <w:bookmarkStart w:id="269" w:name="_Toc479693974"/>
      <w:bookmarkStart w:id="270" w:name="_Toc480815624"/>
      <w:r w:rsidRPr="00883125">
        <w:t>Gray's comments on the conceptual framework</w:t>
      </w:r>
      <w:bookmarkEnd w:id="261"/>
      <w:r w:rsidRPr="00883125">
        <w:rPr>
          <w:rStyle w:val="FootnoteReference"/>
        </w:rPr>
        <w:footnoteReference w:id="376"/>
      </w:r>
      <w:bookmarkEnd w:id="262"/>
      <w:bookmarkEnd w:id="263"/>
      <w:bookmarkEnd w:id="264"/>
      <w:bookmarkEnd w:id="265"/>
      <w:bookmarkEnd w:id="266"/>
      <w:bookmarkEnd w:id="267"/>
      <w:bookmarkEnd w:id="268"/>
      <w:bookmarkEnd w:id="269"/>
      <w:bookmarkEnd w:id="270"/>
    </w:p>
    <w:p w:rsidR="00B95D2A" w:rsidRPr="00883125" w:rsidRDefault="00B95D2A" w:rsidP="00B95D2A">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B95D2A" w:rsidRPr="00883125" w:rsidRDefault="00B95D2A" w:rsidP="00B95D2A">
      <w:pPr>
        <w:numPr>
          <w:ilvl w:val="0"/>
          <w:numId w:val="24"/>
        </w:numPr>
      </w:pPr>
      <w:r w:rsidRPr="00883125">
        <w:t>Gray's May 2014 report (for SFG) for the service providers submitted that:</w:t>
      </w:r>
    </w:p>
    <w:p w:rsidR="00B95D2A" w:rsidRPr="00883125" w:rsidRDefault="00B95D2A" w:rsidP="00B95D2A">
      <w:pPr>
        <w:pStyle w:val="AERbulletlistfirststyle"/>
      </w:pPr>
      <w:r w:rsidRPr="00883125">
        <w:t xml:space="preserve">The advice and evidence cited in the Guideline does not support the interpretation of the utilisation rate in the Guideline. </w:t>
      </w:r>
    </w:p>
    <w:p w:rsidR="00B95D2A" w:rsidRPr="00883125" w:rsidRDefault="00B95D2A" w:rsidP="00B95D2A">
      <w:pPr>
        <w:pStyle w:val="AERbulletlistfirststyle"/>
      </w:pPr>
      <w:r w:rsidRPr="00883125">
        <w:t>Officer shows that the value of imputation credits (gamma) represents the extent to which imputation credits are capitalised into the stock price.</w:t>
      </w:r>
    </w:p>
    <w:p w:rsidR="00B95D2A" w:rsidRPr="00883125" w:rsidRDefault="00B95D2A" w:rsidP="00B95D2A">
      <w:pPr>
        <w:pStyle w:val="AERbulletlistfirststyle"/>
      </w:pPr>
      <w:r w:rsidRPr="00883125">
        <w:t>The utilisation rate in the framework provided by Monkhouse (and Lally and van Zijl) should not be used to estimate the value of imputation credits.</w:t>
      </w:r>
    </w:p>
    <w:p w:rsidR="00B95D2A" w:rsidRPr="00883125" w:rsidRDefault="00B95D2A" w:rsidP="00B95D2A">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77"/>
      </w:r>
      <w:r w:rsidRPr="00883125">
        <w:t xml:space="preserve"> We set out our reasoning below.</w:t>
      </w:r>
    </w:p>
    <w:p w:rsidR="00B95D2A" w:rsidRPr="00883125" w:rsidRDefault="00B95D2A" w:rsidP="00B95D2A">
      <w:pPr>
        <w:pStyle w:val="Heading9"/>
      </w:pPr>
      <w:bookmarkStart w:id="271" w:name="_Toc456614302"/>
      <w:bookmarkStart w:id="272" w:name="_Toc462823320"/>
      <w:bookmarkStart w:id="273" w:name="_Toc479693975"/>
      <w:bookmarkStart w:id="274" w:name="_Toc480815625"/>
      <w:bookmarkStart w:id="275" w:name="_Ref402179374"/>
      <w:r w:rsidRPr="00883125">
        <w:t>Gray's comments on the AER's position</w:t>
      </w:r>
      <w:bookmarkEnd w:id="271"/>
      <w:bookmarkEnd w:id="272"/>
      <w:bookmarkEnd w:id="273"/>
      <w:bookmarkEnd w:id="274"/>
    </w:p>
    <w:p w:rsidR="00B95D2A" w:rsidRPr="00883125" w:rsidRDefault="00B95D2A" w:rsidP="00B95D2A">
      <w:r w:rsidRPr="00883125">
        <w:t>Gray (for SFG) submitted that '…the AER's position is that theta (and consequently gamma) no longer represents the value (as in "worth" or "market value to investors")…'.</w:t>
      </w:r>
      <w:r w:rsidRPr="00883125">
        <w:rPr>
          <w:rStyle w:val="FootnoteReference"/>
        </w:rPr>
        <w:footnoteReference w:id="378"/>
      </w:r>
      <w:r w:rsidRPr="00883125">
        <w:t xml:space="preserve"> This is </w:t>
      </w:r>
      <w:r w:rsidRPr="00883125">
        <w:lastRenderedPageBreak/>
        <w:t>incorrect. Our definition of the utilisation rate in this</w:t>
      </w:r>
      <w:r>
        <w:t xml:space="preserve"> final</w:t>
      </w:r>
      <w:r w:rsidRPr="00883125">
        <w:t xml:space="preserve"> decision and our prior decisions released in 2014</w:t>
      </w:r>
      <w:r>
        <w:t>,</w:t>
      </w:r>
      <w:r w:rsidRPr="00883125">
        <w:t xml:space="preserve"> 2015</w:t>
      </w:r>
      <w:r>
        <w:t xml:space="preserve"> and 2016</w:t>
      </w:r>
      <w:r w:rsidRPr="00883125">
        <w:t xml:space="preserve">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3E419A">
        <w:t>A.7.3</w:t>
      </w:r>
      <w:r w:rsidRPr="00883125">
        <w:fldChar w:fldCharType="end"/>
      </w:r>
      <w:r w:rsidRPr="00883125">
        <w:t>.</w:t>
      </w:r>
    </w:p>
    <w:p w:rsidR="00B95D2A" w:rsidRPr="00883125" w:rsidRDefault="00B95D2A" w:rsidP="00B95D2A">
      <w:r>
        <w:t>T</w:t>
      </w:r>
      <w:r w:rsidRPr="00883125">
        <w:t xml:space="preserve">he </w:t>
      </w:r>
      <w:r>
        <w:t xml:space="preserve">Ausgrid </w:t>
      </w:r>
      <w:r w:rsidRPr="00883125">
        <w:t xml:space="preserve">Tribunal considered </w:t>
      </w:r>
      <w:r>
        <w:t xml:space="preserve">our </w:t>
      </w:r>
      <w:r w:rsidRPr="00883125">
        <w:t>reasoning ignored the fact that other parameters in the allowed rate return calculation are market values that already incorporate the effects of the difference in investors' tax position and transaction costs.</w:t>
      </w:r>
      <w:r w:rsidRPr="00883125">
        <w:rPr>
          <w:rStyle w:val="FootnoteReference"/>
        </w:rPr>
        <w:footnoteReference w:id="379"/>
      </w:r>
    </w:p>
    <w:p w:rsidR="00B95D2A" w:rsidRPr="00883125" w:rsidRDefault="00B95D2A" w:rsidP="00B95D2A">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w:t>
      </w:r>
      <w:r>
        <w:t xml:space="preserve">(company) </w:t>
      </w:r>
      <w:r w:rsidRPr="00883125">
        <w:t xml:space="preserve">tax </w:t>
      </w:r>
      <w:r>
        <w:t xml:space="preserve">(pre-personal tax) </w:t>
      </w:r>
      <w:r w:rsidRPr="00883125">
        <w:t xml:space="preserve">estimates. This is discussed further below in section </w:t>
      </w:r>
      <w:r>
        <w:fldChar w:fldCharType="begin"/>
      </w:r>
      <w:r>
        <w:instrText xml:space="preserve"> REF _Ref450298425 \r \h </w:instrText>
      </w:r>
      <w:r>
        <w:fldChar w:fldCharType="separate"/>
      </w:r>
      <w:r w:rsidR="003E419A">
        <w:t>A.8.2</w:t>
      </w:r>
      <w:r>
        <w:fldChar w:fldCharType="end"/>
      </w:r>
      <w:r>
        <w:t>.</w:t>
      </w:r>
    </w:p>
    <w:p w:rsidR="00B95D2A" w:rsidRPr="00883125" w:rsidRDefault="00B95D2A" w:rsidP="00B95D2A">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80"/>
      </w:r>
      <w:r w:rsidRPr="00883125">
        <w:t xml:space="preserve"> This is also incorrect. In this </w:t>
      </w:r>
      <w:r>
        <w:t xml:space="preserve">final </w:t>
      </w:r>
      <w:r w:rsidRPr="00883125">
        <w:t>decision and our prior decisions we estimate the utilisation rate. Further, nowhere in this</w:t>
      </w:r>
      <w:r>
        <w:t xml:space="preserve"> final</w:t>
      </w:r>
      <w:r w:rsidRPr="00883125">
        <w:t xml:space="preserve"> decision or in our prior decisions do we seek to support any aspect of our position with 'specific reference to "value" in the Rules in that it is "the number that is adopted" for imputation credits'.</w:t>
      </w:r>
    </w:p>
    <w:p w:rsidR="00B95D2A" w:rsidRPr="00883125" w:rsidRDefault="00B95D2A" w:rsidP="00B95D2A">
      <w:r w:rsidRPr="00883125">
        <w:t>We also disagree with Gray's view that:</w:t>
      </w:r>
      <w:r w:rsidRPr="00883125">
        <w:rPr>
          <w:rStyle w:val="FootnoteReference"/>
        </w:rPr>
        <w:footnoteReference w:id="381"/>
      </w:r>
    </w:p>
    <w:p w:rsidR="00B95D2A" w:rsidRPr="00883125" w:rsidRDefault="00B95D2A" w:rsidP="00B95D2A">
      <w:pPr>
        <w:pStyle w:val="AERquote"/>
      </w:pPr>
      <w:r w:rsidRPr="00883125">
        <w:t>The AER is not saying that it has identified a number of approaches for estimating the value (as in "worth to investors in the market") of imputation credits. Rather, the AER considers:</w:t>
      </w:r>
    </w:p>
    <w:p w:rsidR="00B95D2A" w:rsidRPr="00883125" w:rsidRDefault="00B95D2A" w:rsidP="00B95D2A">
      <w:pPr>
        <w:pStyle w:val="AERquote"/>
      </w:pPr>
      <w:r w:rsidRPr="00883125">
        <w:t>a) Some approaches for estimating the value (as in "worth to investors in the market") of imputation credits – the market value studies; and</w:t>
      </w:r>
    </w:p>
    <w:p w:rsidR="00B95D2A" w:rsidRPr="00883125" w:rsidRDefault="00B95D2A" w:rsidP="00B95D2A">
      <w:pPr>
        <w:pStyle w:val="AERquote"/>
      </w:pPr>
      <w:r w:rsidRPr="00883125">
        <w:lastRenderedPageBreak/>
        <w:t>b) Some approaches for estimating the redemption rate – the equity ownership and ATO tax statistic approaches.</w:t>
      </w:r>
    </w:p>
    <w:p w:rsidR="00B95D2A" w:rsidRPr="00883125" w:rsidRDefault="00B95D2A" w:rsidP="00B95D2A">
      <w:r w:rsidRPr="00883125">
        <w:t xml:space="preserve">By contrast, the approaches on which we rely in this decision to estimate the utilisation rate are all relevant for the reasons discussed in section </w:t>
      </w:r>
      <w:r>
        <w:fldChar w:fldCharType="begin"/>
      </w:r>
      <w:r>
        <w:instrText xml:space="preserve"> REF _Ref477362088 \r \h </w:instrText>
      </w:r>
      <w:r>
        <w:fldChar w:fldCharType="separate"/>
      </w:r>
      <w:r w:rsidR="003E419A">
        <w:rPr>
          <w:b/>
          <w:bCs/>
          <w:lang w:val="en-US"/>
        </w:rPr>
        <w:t>Error! Reference source not found.</w:t>
      </w:r>
      <w:r>
        <w:fldChar w:fldCharType="end"/>
      </w:r>
      <w:r w:rsidRPr="00883125">
        <w:t xml:space="preserve"> of attachment 4.</w:t>
      </w:r>
    </w:p>
    <w:p w:rsidR="00B95D2A" w:rsidRPr="00883125" w:rsidRDefault="00B95D2A" w:rsidP="00B95D2A">
      <w:pPr>
        <w:pStyle w:val="Heading9"/>
      </w:pPr>
      <w:bookmarkStart w:id="276" w:name="_Toc456614303"/>
      <w:bookmarkStart w:id="277" w:name="_Toc462823321"/>
      <w:bookmarkStart w:id="278" w:name="_Toc479693976"/>
      <w:bookmarkStart w:id="279" w:name="_Toc480815626"/>
      <w:r w:rsidRPr="00883125">
        <w:t>Gray's comments on certain evidence and advice cited in the Guideline</w:t>
      </w:r>
      <w:bookmarkEnd w:id="275"/>
      <w:bookmarkEnd w:id="276"/>
      <w:bookmarkEnd w:id="277"/>
      <w:bookmarkEnd w:id="278"/>
      <w:bookmarkEnd w:id="279"/>
    </w:p>
    <w:p w:rsidR="00B95D2A" w:rsidRPr="00883125" w:rsidRDefault="00B95D2A" w:rsidP="00B95D2A">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82"/>
      </w:r>
      <w:r w:rsidRPr="00883125">
        <w:t xml:space="preserve"> This evidence included:</w:t>
      </w:r>
    </w:p>
    <w:p w:rsidR="00B95D2A" w:rsidRPr="00883125" w:rsidRDefault="00B95D2A" w:rsidP="00B95D2A">
      <w:pPr>
        <w:pStyle w:val="AERbulletlistfirststyle"/>
      </w:pPr>
      <w:r w:rsidRPr="00883125">
        <w:t>The AEMC's 2012 rule change</w:t>
      </w:r>
    </w:p>
    <w:p w:rsidR="00B95D2A" w:rsidRPr="00883125" w:rsidRDefault="00B95D2A" w:rsidP="00B95D2A">
      <w:pPr>
        <w:pStyle w:val="AERbulletlistfirststyle"/>
      </w:pPr>
      <w:r w:rsidRPr="00883125">
        <w:t>McKenzie and Partington (2013)</w:t>
      </w:r>
    </w:p>
    <w:p w:rsidR="00B95D2A" w:rsidRPr="00883125" w:rsidRDefault="00B95D2A" w:rsidP="00B95D2A">
      <w:pPr>
        <w:pStyle w:val="AERbulletlistfirststyle"/>
      </w:pPr>
      <w:r w:rsidRPr="00883125">
        <w:t>Handley (2008), and</w:t>
      </w:r>
    </w:p>
    <w:p w:rsidR="00B95D2A" w:rsidRPr="00883125" w:rsidRDefault="00B95D2A" w:rsidP="00B95D2A">
      <w:pPr>
        <w:pStyle w:val="AERbulletlistfirststyle"/>
      </w:pPr>
      <w:r w:rsidRPr="00883125">
        <w:t>Hathaway and Officer (2004).</w:t>
      </w:r>
    </w:p>
    <w:p w:rsidR="00B95D2A" w:rsidRPr="00883125" w:rsidRDefault="00B95D2A" w:rsidP="00B95D2A">
      <w:pPr>
        <w:numPr>
          <w:ilvl w:val="0"/>
          <w:numId w:val="24"/>
        </w:numPr>
      </w:pPr>
      <w:r w:rsidRPr="00883125">
        <w:t>In our decisions released in 2014, we set out why we disagreed with Gray's view on each piece of evidence.</w:t>
      </w:r>
      <w:r w:rsidRPr="00883125">
        <w:rPr>
          <w:rStyle w:val="FootnoteReference"/>
        </w:rPr>
        <w:footnoteReference w:id="383"/>
      </w:r>
      <w:r w:rsidRPr="00883125">
        <w:t xml:space="preserve"> In his February 2015 report (for SFG), Gray set out why his view on this evidence has not changed.</w:t>
      </w:r>
      <w:r w:rsidRPr="00883125">
        <w:rPr>
          <w:rStyle w:val="FootnoteReference"/>
        </w:rPr>
        <w:footnoteReference w:id="384"/>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B95D2A" w:rsidRPr="00883125" w:rsidRDefault="00B95D2A" w:rsidP="00B95D2A">
      <w:pPr>
        <w:pStyle w:val="Heading9"/>
      </w:pPr>
      <w:bookmarkStart w:id="280" w:name="_Ref414028398"/>
      <w:bookmarkStart w:id="281" w:name="_Toc456614304"/>
      <w:bookmarkStart w:id="282" w:name="_Toc462823322"/>
      <w:bookmarkStart w:id="283" w:name="_Toc479693977"/>
      <w:bookmarkStart w:id="284" w:name="_Toc480815627"/>
      <w:r w:rsidRPr="00883125">
        <w:t>Gray's comments on Officer (1994)</w:t>
      </w:r>
      <w:bookmarkEnd w:id="280"/>
      <w:bookmarkEnd w:id="281"/>
      <w:bookmarkEnd w:id="282"/>
      <w:bookmarkEnd w:id="283"/>
      <w:bookmarkEnd w:id="284"/>
      <w:r w:rsidRPr="00883125">
        <w:t xml:space="preserve"> </w:t>
      </w:r>
    </w:p>
    <w:p w:rsidR="00B95D2A" w:rsidRPr="00883125" w:rsidRDefault="00B95D2A" w:rsidP="00B95D2A">
      <w:r w:rsidRPr="00883125">
        <w:t>Gray set out his views on Officer's 1994 paper in his May 2014 and February 2015 reports for SFG, and in his 2015</w:t>
      </w:r>
      <w:r>
        <w:t xml:space="preserve"> and 2016</w:t>
      </w:r>
      <w:r w:rsidRPr="00883125">
        <w:t xml:space="preserve"> report</w:t>
      </w:r>
      <w:r>
        <w:t>s</w:t>
      </w:r>
      <w:r w:rsidRPr="00883125">
        <w:t xml:space="preserve"> for Frontier. These views do not change our own view, consistent with the advice of Handley, that the value of imputation credits should be estimated on a before-personal-tax and before-personal-costs basis. We respond to Gray's comments on Officer below.</w:t>
      </w:r>
    </w:p>
    <w:p w:rsidR="00B95D2A" w:rsidRPr="00883125" w:rsidRDefault="00B95D2A" w:rsidP="00B95D2A">
      <w:pPr>
        <w:pStyle w:val="HeadingBoldBlue"/>
      </w:pPr>
      <w:bookmarkStart w:id="285" w:name="_Toc456614305"/>
      <w:bookmarkStart w:id="286" w:name="_Toc479693978"/>
      <w:r w:rsidRPr="00883125">
        <w:t>The text in Officer (1994)</w:t>
      </w:r>
      <w:bookmarkEnd w:id="285"/>
      <w:bookmarkEnd w:id="286"/>
    </w:p>
    <w:p w:rsidR="00B95D2A" w:rsidRPr="00883125" w:rsidRDefault="00B95D2A" w:rsidP="00B95D2A">
      <w:r w:rsidRPr="00883125">
        <w:t>Gray (for SFG) submitted that Officer's paper suggests that there are two possible interpretations of gamma:</w:t>
      </w:r>
      <w:r w:rsidRPr="00883125">
        <w:rPr>
          <w:rStyle w:val="FootnoteReference"/>
        </w:rPr>
        <w:footnoteReference w:id="385"/>
      </w:r>
    </w:p>
    <w:p w:rsidR="00B95D2A" w:rsidRPr="00883125" w:rsidRDefault="00B95D2A" w:rsidP="00B95D2A">
      <w:pPr>
        <w:pStyle w:val="AERquote"/>
      </w:pPr>
      <w:r w:rsidRPr="00883125">
        <w:lastRenderedPageBreak/>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B95D2A" w:rsidRPr="00883125" w:rsidRDefault="00B95D2A" w:rsidP="00B95D2A">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B95D2A" w:rsidRPr="00883125" w:rsidRDefault="00B95D2A" w:rsidP="00B95D2A">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B95D2A" w:rsidRPr="00883125" w:rsidRDefault="00B95D2A" w:rsidP="00B95D2A">
      <w:r w:rsidRPr="00883125">
        <w:t>We do not agree with Gray's opinion. As explained by Handley in his September 2014 report, interpretation of gamma on a before-personal-tax and before-personal-costs basis reconciles this apparent inconsistency in Officer;</w:t>
      </w:r>
      <w:r w:rsidRPr="00883125">
        <w:rPr>
          <w:rStyle w:val="FootnoteReference"/>
        </w:rPr>
        <w:footnoteReference w:id="386"/>
      </w:r>
      <w:r w:rsidRPr="00883125">
        <w:t xml:space="preserve"> that is, on this basis the 'value' and 'utilisation' interpretations are consistent. Handley reiterates this in his April 2015 report:</w:t>
      </w:r>
      <w:r w:rsidRPr="00883125">
        <w:rPr>
          <w:rStyle w:val="FootnoteReference"/>
        </w:rPr>
        <w:footnoteReference w:id="387"/>
      </w:r>
    </w:p>
    <w:p w:rsidR="00B95D2A" w:rsidRPr="00883125" w:rsidRDefault="00B95D2A" w:rsidP="00B95D2A">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B95D2A" w:rsidRPr="00883125" w:rsidRDefault="00B95D2A" w:rsidP="00B95D2A">
      <w:r w:rsidRPr="00883125">
        <w:t>There would appear to be further support for Handley's view in the first line of footnote 5 of Officer's paper, which seemingly equates the ideas of 'utilisation' and 'value':</w:t>
      </w:r>
      <w:r w:rsidRPr="00883125">
        <w:rPr>
          <w:rStyle w:val="FootnoteReference"/>
        </w:rPr>
        <w:footnoteReference w:id="388"/>
      </w:r>
    </w:p>
    <w:p w:rsidR="00B95D2A" w:rsidRPr="00883125" w:rsidRDefault="00B95D2A" w:rsidP="00B95D2A">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B95D2A" w:rsidRPr="00883125" w:rsidRDefault="00B95D2A" w:rsidP="00B95D2A">
      <w:r w:rsidRPr="00883125">
        <w:t>Handley also noted:</w:t>
      </w:r>
      <w:r w:rsidRPr="00883125">
        <w:rPr>
          <w:rStyle w:val="FootnoteReference"/>
        </w:rPr>
        <w:footnoteReference w:id="389"/>
      </w:r>
    </w:p>
    <w:p w:rsidR="00B95D2A" w:rsidRPr="00883125" w:rsidRDefault="00B95D2A" w:rsidP="00B95D2A">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B95D2A" w:rsidRPr="00883125" w:rsidRDefault="00B95D2A" w:rsidP="00B95D2A">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w:t>
      </w:r>
      <w:r w:rsidRPr="00883125">
        <w:lastRenderedPageBreak/>
        <w:t xml:space="preserve">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B95D2A" w:rsidRPr="00883125" w:rsidRDefault="00B95D2A" w:rsidP="00B95D2A">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90"/>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investors.</w:t>
      </w:r>
      <w:r w:rsidRPr="00883125">
        <w:rPr>
          <w:rStyle w:val="FootnoteReference"/>
        </w:rPr>
        <w:footnoteReference w:id="391"/>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B95D2A" w:rsidRPr="00883125" w:rsidRDefault="00B95D2A" w:rsidP="00B95D2A">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92"/>
      </w:r>
    </w:p>
    <w:p w:rsidR="00B95D2A" w:rsidRPr="00883125" w:rsidRDefault="00B95D2A" w:rsidP="00B95D2A">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B95D2A" w:rsidRPr="00883125" w:rsidRDefault="00B95D2A" w:rsidP="00B95D2A">
      <w:pPr>
        <w:pStyle w:val="HeadingBoldBlue"/>
      </w:pPr>
      <w:bookmarkStart w:id="287" w:name="_Toc456614306"/>
      <w:bookmarkStart w:id="288" w:name="_Toc479693979"/>
      <w:r w:rsidRPr="00883125">
        <w:t>The formulas in Officer (1994)</w:t>
      </w:r>
      <w:bookmarkEnd w:id="287"/>
      <w:bookmarkEnd w:id="288"/>
    </w:p>
    <w:p w:rsidR="00B95D2A" w:rsidRPr="00883125" w:rsidRDefault="00B95D2A" w:rsidP="00B95D2A">
      <w:r w:rsidRPr="00883125">
        <w:t>Gray (for SFG) submitted that the formulas in Officer (1994) support his interpretation of the value of imputation credits:</w:t>
      </w:r>
      <w:r w:rsidRPr="00883125">
        <w:rPr>
          <w:rStyle w:val="FootnoteReference"/>
        </w:rPr>
        <w:footnoteReference w:id="393"/>
      </w:r>
    </w:p>
    <w:p w:rsidR="00B95D2A" w:rsidRPr="00883125" w:rsidRDefault="00B95D2A" w:rsidP="00B95D2A">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B95D2A" w:rsidRPr="00883125" w:rsidRDefault="00B95D2A" w:rsidP="00B95D2A">
      <w:pPr>
        <w:pStyle w:val="AERquote"/>
      </w:pPr>
      <w:r w:rsidRPr="00883125">
        <w:t>Another way to see this is to rearrange the formula to isolate gamma as follows:</w:t>
      </w:r>
    </w:p>
    <w:p w:rsidR="00B95D2A" w:rsidRPr="00883125" w:rsidRDefault="003E419A" w:rsidP="00B95D2A">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B95D2A" w:rsidRPr="00883125" w:rsidRDefault="00B95D2A" w:rsidP="00B95D2A">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B95D2A" w:rsidRPr="00883125" w:rsidRDefault="00B95D2A" w:rsidP="00B95D2A">
      <w:r w:rsidRPr="00883125">
        <w:t>Handley reviewed Gray's submission and considered:</w:t>
      </w:r>
      <w:r w:rsidRPr="00883125">
        <w:rPr>
          <w:rStyle w:val="FootnoteReference"/>
        </w:rPr>
        <w:footnoteReference w:id="394"/>
      </w:r>
    </w:p>
    <w:p w:rsidR="00B95D2A" w:rsidRPr="00883125" w:rsidRDefault="00B95D2A" w:rsidP="00B95D2A">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There is no dispute that the (market) value of credits are capitalised into stock prices – this is clear from equation (2) [in Handley's report]. However, SFG fails to see that within Officer’s framework it is the before personal tax and before personal costs value of a credit – the redemption value – which is the item being capitalised.</w:t>
      </w:r>
    </w:p>
    <w:p w:rsidR="00B95D2A" w:rsidRPr="00883125" w:rsidRDefault="00B95D2A" w:rsidP="00B95D2A">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B95D2A" w:rsidRPr="00883125" w:rsidRDefault="00B95D2A" w:rsidP="00B95D2A">
      <w:pPr>
        <w:pStyle w:val="HeadingBoldBlue"/>
      </w:pPr>
      <w:bookmarkStart w:id="289" w:name="_Toc456614307"/>
      <w:bookmarkStart w:id="290" w:name="_Toc479693980"/>
      <w:r w:rsidRPr="00883125">
        <w:t>Interpretation of gamma in textbooks</w:t>
      </w:r>
      <w:bookmarkEnd w:id="289"/>
      <w:bookmarkEnd w:id="290"/>
    </w:p>
    <w:p w:rsidR="00B95D2A" w:rsidRPr="00883125" w:rsidRDefault="00B95D2A" w:rsidP="00B95D2A">
      <w:r w:rsidRPr="00883125">
        <w:t>In his June 2015 report (for Frontier), Gray stated:</w:t>
      </w:r>
      <w:r w:rsidRPr="00883125">
        <w:rPr>
          <w:rStyle w:val="FootnoteReference"/>
        </w:rPr>
        <w:footnoteReference w:id="395"/>
      </w:r>
    </w:p>
    <w:p w:rsidR="00B95D2A" w:rsidRPr="00883125" w:rsidRDefault="00B95D2A" w:rsidP="00B95D2A">
      <w:pPr>
        <w:pStyle w:val="AERquote"/>
      </w:pPr>
      <w:r w:rsidRPr="00883125">
        <w:t>I am unaware of any published work that interprets gamma in terms of the redemption rate.</w:t>
      </w:r>
    </w:p>
    <w:p w:rsidR="00B95D2A" w:rsidRPr="00883125" w:rsidRDefault="00B95D2A" w:rsidP="00B95D2A">
      <w:r w:rsidRPr="00883125">
        <w:t>However, there are several textbooks that describe gamma in a manner consistent with our understanding. For example, Peirson et al (2009):</w:t>
      </w:r>
      <w:r w:rsidRPr="00883125">
        <w:rPr>
          <w:rStyle w:val="FootnoteReference"/>
        </w:rPr>
        <w:footnoteReference w:id="396"/>
      </w:r>
    </w:p>
    <w:p w:rsidR="00B95D2A" w:rsidRPr="00883125" w:rsidRDefault="00B95D2A" w:rsidP="00B95D2A">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t>
      </w:r>
      <w:r w:rsidRPr="00883125">
        <w:lastRenderedPageBreak/>
        <w:t xml:space="preserve">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B95D2A" w:rsidRPr="00883125" w:rsidRDefault="00B95D2A" w:rsidP="00B95D2A">
      <w:pPr>
        <w:pStyle w:val="AERquote"/>
      </w:pPr>
      <w:r w:rsidRPr="00883125">
        <w:t>…</w:t>
      </w:r>
    </w:p>
    <w:p w:rsidR="00B95D2A" w:rsidRPr="00883125" w:rsidRDefault="00B95D2A" w:rsidP="00B95D2A">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B95D2A" w:rsidRPr="00883125" w:rsidRDefault="00B95D2A" w:rsidP="00B95D2A">
      <w:r w:rsidRPr="00883125">
        <w:t>Berk et al (2014):</w:t>
      </w:r>
      <w:r w:rsidRPr="00883125">
        <w:rPr>
          <w:rStyle w:val="FootnoteReference"/>
        </w:rPr>
        <w:footnoteReference w:id="397"/>
      </w:r>
    </w:p>
    <w:p w:rsidR="00B95D2A" w:rsidRPr="00883125" w:rsidRDefault="00B95D2A" w:rsidP="00B95D2A">
      <w:pPr>
        <w:pStyle w:val="AERquote"/>
      </w:pPr>
      <w:r w:rsidRPr="00883125">
        <w:t>In a 1994 study, Officer shows that for valuation purposes the cost of equity under an imputation system should be adjusted by a factor equal to:</w:t>
      </w:r>
    </w:p>
    <w:p w:rsidR="00B95D2A" w:rsidRPr="00883125" w:rsidRDefault="003E419A" w:rsidP="00B95D2A">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B95D2A" w:rsidRPr="00883125" w:rsidRDefault="00B95D2A" w:rsidP="00B95D2A">
      <w:pPr>
        <w:pStyle w:val="AERquote"/>
      </w:pPr>
      <w:r w:rsidRPr="00883125">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B95D2A" w:rsidRPr="00883125" w:rsidRDefault="00B95D2A" w:rsidP="00B95D2A">
      <w:r w:rsidRPr="00883125">
        <w:t>Gitman et al (2011):</w:t>
      </w:r>
      <w:r w:rsidRPr="00883125">
        <w:rPr>
          <w:rStyle w:val="FootnoteReference"/>
        </w:rPr>
        <w:footnoteReference w:id="398"/>
      </w:r>
    </w:p>
    <w:p w:rsidR="00B95D2A" w:rsidRPr="00883125" w:rsidRDefault="00B95D2A" w:rsidP="00B95D2A">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B95D2A" w:rsidRPr="00883125" w:rsidRDefault="00B95D2A" w:rsidP="00B95D2A">
      <w:pPr>
        <w:pStyle w:val="AERquote"/>
      </w:pPr>
      <w:r w:rsidRPr="00883125">
        <w:t>…</w:t>
      </w:r>
    </w:p>
    <w:p w:rsidR="00B95D2A" w:rsidRPr="00883125" w:rsidRDefault="00B95D2A" w:rsidP="00B95D2A">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B95D2A" w:rsidRPr="00883125" w:rsidRDefault="00B95D2A" w:rsidP="00B95D2A">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99"/>
      </w:r>
    </w:p>
    <w:p w:rsidR="00B95D2A" w:rsidRPr="00883125" w:rsidRDefault="00B95D2A" w:rsidP="00B95D2A">
      <w:pPr>
        <w:pStyle w:val="AERquote"/>
      </w:pPr>
      <m:oMath>
        <m:r>
          <w:rPr>
            <w:rFonts w:ascii="Cambria Math" w:hAnsi="Cambria Math"/>
          </w:rPr>
          <m:t>γ</m:t>
        </m:r>
      </m:oMath>
      <w:r w:rsidRPr="00883125">
        <w:t xml:space="preserve"> = the market value of franking credits as a percentage of face value.</w:t>
      </w:r>
    </w:p>
    <w:p w:rsidR="00B95D2A" w:rsidRPr="00883125" w:rsidRDefault="00B95D2A" w:rsidP="00B95D2A">
      <w:r w:rsidRPr="00883125">
        <w:t>However, there is no dispute here. As Handley explained:</w:t>
      </w:r>
      <w:r w:rsidRPr="00883125">
        <w:rPr>
          <w:rStyle w:val="FootnoteReference"/>
        </w:rPr>
        <w:footnoteReference w:id="400"/>
      </w:r>
    </w:p>
    <w:p w:rsidR="00B95D2A" w:rsidRPr="00883125" w:rsidRDefault="00B95D2A" w:rsidP="00B95D2A">
      <w:pPr>
        <w:pStyle w:val="AERquote"/>
      </w:pPr>
      <w:r w:rsidRPr="00883125">
        <w:lastRenderedPageBreak/>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B95D2A" w:rsidRPr="00883125" w:rsidRDefault="00B95D2A" w:rsidP="00B95D2A">
      <w:r w:rsidRPr="00883125">
        <w:t>Moreover, there are other references to gamma in Partington's textbook that accord more closely with the characterisation in Officer's paper:</w:t>
      </w:r>
    </w:p>
    <w:p w:rsidR="00B95D2A" w:rsidRPr="00883125" w:rsidRDefault="00B95D2A" w:rsidP="00B95D2A">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401"/>
      </w:r>
    </w:p>
    <w:p w:rsidR="00B95D2A" w:rsidRPr="00883125" w:rsidRDefault="009875E3" w:rsidP="00B95D2A">
      <w:pPr>
        <w:pStyle w:val="AERquote"/>
      </w:pPr>
      <w:r>
        <w:t>…</w:t>
      </w:r>
    </w:p>
    <w:p w:rsidR="00B95D2A" w:rsidRPr="00883125" w:rsidRDefault="00B95D2A" w:rsidP="00B95D2A">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…However, 100 per cent payout and full use of imputation credits are unrealistic assumptions. It is more realistic to assume that about 50 to 60 per cent of profits are paid out as dividends. Of the imputation credits attached to those dividends only about 50 to 60 per cent will be claimed by investors to offset their tax liabilities.</w:t>
      </w:r>
      <w:r w:rsidRPr="00883125">
        <w:rPr>
          <w:rStyle w:val="FootnoteReference"/>
        </w:rPr>
        <w:footnoteReference w:id="402"/>
      </w:r>
    </w:p>
    <w:p w:rsidR="00B95D2A" w:rsidRPr="00883125" w:rsidRDefault="00B95D2A" w:rsidP="00B95D2A">
      <w:r w:rsidRPr="00883125">
        <w:t>Gray also quoted:</w:t>
      </w:r>
      <w:r w:rsidRPr="00883125">
        <w:rPr>
          <w:rStyle w:val="FootnoteReference"/>
        </w:rPr>
        <w:footnoteReference w:id="403"/>
      </w:r>
    </w:p>
    <w:p w:rsidR="00B95D2A" w:rsidRPr="00883125" w:rsidRDefault="00B95D2A" w:rsidP="00B95D2A">
      <w:pPr>
        <w:pStyle w:val="AERquote"/>
      </w:pPr>
      <w:r w:rsidRPr="00883125">
        <w:t>The results have been mixed, but they suggest that the market value of franking credits is positive, but significantly less than the credit’s face value.</w:t>
      </w:r>
    </w:p>
    <w:p w:rsidR="00B95D2A" w:rsidRPr="00883125" w:rsidRDefault="00B95D2A" w:rsidP="00B95D2A">
      <w:pPr>
        <w:pStyle w:val="AERquote"/>
      </w:pPr>
      <w:r w:rsidRPr="00883125">
        <w:t>…</w:t>
      </w:r>
    </w:p>
    <w:p w:rsidR="00B95D2A" w:rsidRPr="00883125" w:rsidRDefault="00B95D2A" w:rsidP="00B95D2A">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B95D2A" w:rsidRPr="00883125" w:rsidRDefault="00B95D2A" w:rsidP="00B95D2A">
      <w:r w:rsidRPr="00883125">
        <w:t>Again, there is no dispute. The estimates of the utilisation rate on which we rely are all significantly less than one, and our estimate of gamma is significantly less than one.</w:t>
      </w:r>
    </w:p>
    <w:p w:rsidR="00B95D2A" w:rsidRPr="00883125" w:rsidRDefault="00B95D2A" w:rsidP="00B95D2A">
      <w:r w:rsidRPr="00883125">
        <w:t>Finally, Gray quoted an explanation, with which he agreed, as to why imputation may have had an immaterial effect on the corporate cost of equity capital:</w:t>
      </w:r>
      <w:r w:rsidRPr="00883125">
        <w:rPr>
          <w:rStyle w:val="FootnoteReference"/>
        </w:rPr>
        <w:footnoteReference w:id="404"/>
      </w:r>
    </w:p>
    <w:p w:rsidR="00B95D2A" w:rsidRPr="00883125" w:rsidRDefault="00B95D2A" w:rsidP="00B95D2A">
      <w:pPr>
        <w:pStyle w:val="AERquote"/>
      </w:pPr>
      <w:r w:rsidRPr="00883125">
        <w:t xml:space="preserve">The impact of imputation may not have been that big. There are several reasons for this. As suggested by Bob Officer, in a small open economy like Australia, equilibrium rates of return are likely to be determined by capital flows from international investors. </w:t>
      </w:r>
      <w:r w:rsidRPr="00883125">
        <w:lastRenderedPageBreak/>
        <w:t>If so, domestic tax changes are likely to have a reduced effect, or no effect at all, on equilibrium rates of return.</w:t>
      </w:r>
    </w:p>
    <w:p w:rsidR="00B95D2A" w:rsidRPr="00883125" w:rsidRDefault="00B95D2A" w:rsidP="00B95D2A">
      <w:r w:rsidRPr="00883125">
        <w:t>The implications of this quote for understanding or determining gamma are unclear to us. For instance:</w:t>
      </w:r>
    </w:p>
    <w:p w:rsidR="00B95D2A" w:rsidRPr="001D37D5" w:rsidRDefault="00B95D2A" w:rsidP="009875E3">
      <w:pPr>
        <w:pStyle w:val="AERbulletlistfirststyle"/>
      </w:pPr>
      <w:r w:rsidRPr="00883125">
        <w:t xml:space="preserve">Gray appeared elsewhere to be of the view that </w:t>
      </w:r>
      <w:r w:rsidRPr="009875E3">
        <w:t xml:space="preserve">imputation </w:t>
      </w:r>
      <w:r w:rsidRPr="009875E3">
        <w:rPr>
          <w:rStyle w:val="AERtextitalic"/>
          <w:i w:val="0"/>
        </w:rPr>
        <w:t>is</w:t>
      </w:r>
      <w:r w:rsidRPr="009875E3">
        <w:t xml:space="preserve"> having a</w:t>
      </w:r>
      <w:r w:rsidRPr="001D37D5">
        <w:t xml:space="preserve"> material effect on the cost of capital. This is because he submitted that, in his view, the best estimate of the extent to which imputation credits are capitalised into stock prices per dollar of credit distributed is 0.35, and this is not immaterial.</w:t>
      </w:r>
      <w:r w:rsidRPr="001D37D5">
        <w:rPr>
          <w:rStyle w:val="FootnoteReference"/>
        </w:rPr>
        <w:footnoteReference w:id="405"/>
      </w:r>
    </w:p>
    <w:p w:rsidR="00B95D2A" w:rsidRPr="001D37D5" w:rsidRDefault="00B95D2A" w:rsidP="00B95D2A">
      <w:pPr>
        <w:pStyle w:val="AERbulletlistfirststyle"/>
      </w:pPr>
      <w:r w:rsidRPr="00883125">
        <w:t>The view in a recent paper co-authored by Partington did not appear to align with that in the quote:</w:t>
      </w:r>
      <w:r w:rsidRPr="001D37D5">
        <w:rPr>
          <w:rStyle w:val="FootnoteReference"/>
        </w:rPr>
        <w:footnoteReference w:id="406"/>
      </w:r>
    </w:p>
    <w:p w:rsidR="00B95D2A" w:rsidRPr="00883125" w:rsidRDefault="00B95D2A" w:rsidP="00B95D2A">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B95D2A" w:rsidRPr="00CA67C0" w:rsidRDefault="00B95D2A" w:rsidP="00B95D2A">
      <w:pPr>
        <w:pStyle w:val="HeadingBoldBlue"/>
      </w:pPr>
      <w:bookmarkStart w:id="291" w:name="_Toc456614308"/>
      <w:bookmarkStart w:id="292" w:name="_Toc479693981"/>
      <w:r w:rsidRPr="00883125">
        <w:t>Recent academic work</w:t>
      </w:r>
      <w:bookmarkEnd w:id="291"/>
      <w:bookmarkEnd w:id="292"/>
    </w:p>
    <w:p w:rsidR="00B95D2A" w:rsidRPr="00CA67C0" w:rsidRDefault="00B95D2A" w:rsidP="00B95D2A">
      <w:r w:rsidRPr="00883125">
        <w:t>The recent paper co-authored by Partington has been raised in direct support of the position that the equity ownership approach is not an appropriate way to estimate the value of distributed imputation credits.</w:t>
      </w:r>
      <w:r w:rsidRPr="00CA67C0">
        <w:rPr>
          <w:rStyle w:val="FootnoteReference"/>
        </w:rPr>
        <w:footnoteReference w:id="407"/>
      </w:r>
      <w:r w:rsidRPr="00CA67C0">
        <w:t xml:space="preserve"> This paper largely draws on the existing literature and available evidence with the intention of contributing to the policy debate around the efficacy of dividend imputation.</w:t>
      </w:r>
      <w:r w:rsidRPr="00CA67C0">
        <w:rPr>
          <w:rStyle w:val="FootnoteReference"/>
        </w:rPr>
        <w:footnoteReference w:id="408"/>
      </w:r>
      <w:r w:rsidRPr="00CA67C0">
        <w:t xml:space="preserve"> While the paper does consider relevant matters, we consider that the paper raises a number of issues without making strong recommendations. Consistent with the above quote it notes:</w:t>
      </w:r>
      <w:r w:rsidRPr="00CA67C0">
        <w:rPr>
          <w:rStyle w:val="FootnoteReference"/>
        </w:rPr>
        <w:footnoteReference w:id="409"/>
      </w:r>
    </w:p>
    <w:p w:rsidR="00B95D2A" w:rsidRPr="00883125" w:rsidRDefault="00B95D2A" w:rsidP="00B95D2A">
      <w:pPr>
        <w:pStyle w:val="AERquote"/>
      </w:pPr>
      <w:r w:rsidRPr="00883125">
        <w:t xml:space="preserve">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w:t>
      </w:r>
      <w:r w:rsidRPr="00883125">
        <w:lastRenderedPageBreak/>
        <w:t>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B95D2A" w:rsidRPr="00883125" w:rsidRDefault="00B95D2A" w:rsidP="00B95D2A">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410"/>
      </w:r>
      <w:r w:rsidRPr="00883125">
        <w:t xml:space="preserve"> the paper makes clear this evidence needs to be treated with caution stating:</w:t>
      </w:r>
      <w:r w:rsidRPr="00883125">
        <w:rPr>
          <w:rStyle w:val="FootnoteReference"/>
        </w:rPr>
        <w:footnoteReference w:id="411"/>
      </w:r>
    </w:p>
    <w:p w:rsidR="00B95D2A" w:rsidRPr="00883125" w:rsidRDefault="00B95D2A" w:rsidP="00B95D2A">
      <w:pPr>
        <w:pStyle w:val="AERquote"/>
      </w:pPr>
      <w:r w:rsidRPr="00883125">
        <w:t>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w:t>
      </w:r>
      <w:r w:rsidR="009875E3">
        <w:t>s.</w:t>
      </w:r>
      <w:r w:rsidRPr="00883125">
        <w:t xml:space="preserve"> The fact that the earnings yield results have the wrong sign suggests that caution needs to be applied in interpreting these findings (similar to Lajbcygier and Wheatley, 2012).</w:t>
      </w:r>
    </w:p>
    <w:p w:rsidR="00B95D2A" w:rsidRPr="00883125" w:rsidRDefault="00B95D2A" w:rsidP="00B95D2A">
      <w:r w:rsidRPr="00883125">
        <w:t>On the same page the paper also states in relation to some empirical evidence more generally:</w:t>
      </w:r>
      <w:r w:rsidRPr="00883125">
        <w:rPr>
          <w:rStyle w:val="FootnoteReference"/>
        </w:rPr>
        <w:footnoteReference w:id="412"/>
      </w:r>
    </w:p>
    <w:p w:rsidR="00B95D2A" w:rsidRDefault="00B95D2A" w:rsidP="00B95D2A">
      <w:pPr>
        <w:pStyle w:val="AERquote"/>
      </w:pPr>
      <w:r w:rsidRPr="00883125">
        <w:t xml:space="preserve">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w:t>
      </w:r>
      <w:r w:rsidRPr="00883125">
        <w:lastRenderedPageBreak/>
        <w:t>average 0.38, which would suggest that imputation credits are priced at about $0.38 in the dollar.</w:t>
      </w:r>
    </w:p>
    <w:p w:rsidR="00B95D2A" w:rsidRPr="00B95D2A" w:rsidRDefault="00B95D2A" w:rsidP="00AC29DB">
      <w:r w:rsidRPr="006C032A">
        <w:t xml:space="preserve">Frontier </w:t>
      </w:r>
      <w:r w:rsidRPr="00B95D2A">
        <w:t>considers that the Ainsworth, Partington and Warren (2015) paper support their posit</w:t>
      </w:r>
      <w:r w:rsidR="009875E3">
        <w:t>i</w:t>
      </w:r>
      <w:r w:rsidRPr="00B95D2A">
        <w:t>on on gamma. However, Lally considers that Frontier has misrepresented the views of Ainsworth, Partington and Warren (2015).</w:t>
      </w:r>
      <w:r w:rsidRPr="00B95D2A">
        <w:rPr>
          <w:rStyle w:val="FootnoteReference"/>
        </w:rPr>
        <w:footnoteReference w:id="413"/>
      </w:r>
      <w:r w:rsidRPr="00B95D2A">
        <w:t xml:space="preserve"> Some key find</w:t>
      </w:r>
      <w:r w:rsidR="009619EF">
        <w:t>ing</w:t>
      </w:r>
      <w:r w:rsidRPr="00B95D2A">
        <w:t>s of Lally in respect to the paper are as follows:</w:t>
      </w:r>
    </w:p>
    <w:p w:rsidR="00B95D2A" w:rsidRPr="00B95D2A" w:rsidRDefault="00B95D2A" w:rsidP="00AC29DB">
      <w:pPr>
        <w:pStyle w:val="AERbulletlistfirststyle"/>
      </w:pPr>
      <w:r w:rsidRPr="004D25AD">
        <w:t>Frontier</w:t>
      </w:r>
      <w:r w:rsidRPr="00B95D2A">
        <w:t xml:space="preserve"> cites Ainsworth et al in support of the claim that imputation credits do not add to the value of a business.</w:t>
      </w:r>
      <w:r w:rsidRPr="00B95D2A">
        <w:rPr>
          <w:rStyle w:val="FootnoteReference"/>
        </w:rPr>
        <w:footnoteReference w:id="414"/>
      </w:r>
      <w:r w:rsidRPr="00B95D2A">
        <w:t xml:space="preserve"> Lally considers this claim is false as Ainsworth et al summarise evidence on the value of credits and conclude that “imputation credits are priced at about $0.38 in the dollar”. Ainsworth et al also note that some types of studies point to no valuation impact but they are sceptical of such studies.</w:t>
      </w:r>
      <w:r w:rsidRPr="00B95D2A">
        <w:rPr>
          <w:rStyle w:val="FootnoteReference"/>
        </w:rPr>
        <w:footnoteReference w:id="415"/>
      </w:r>
    </w:p>
    <w:p w:rsidR="00B95D2A" w:rsidRPr="00B95D2A" w:rsidRDefault="00B95D2A" w:rsidP="00AC29DB">
      <w:pPr>
        <w:pStyle w:val="AERbulletlistfirststyle"/>
      </w:pPr>
      <w:r w:rsidRPr="00AC29DB">
        <w:t>Frontier cite</w:t>
      </w:r>
      <w:r w:rsidRPr="00B95D2A">
        <w:t>s</w:t>
      </w:r>
      <w:r w:rsidRPr="00AC29DB">
        <w:t xml:space="preserve"> Ainsworth et al in respect </w:t>
      </w:r>
      <w:r w:rsidRPr="00B95D2A">
        <w:t>to</w:t>
      </w:r>
      <w:r w:rsidRPr="00AC29DB">
        <w:t xml:space="preserve"> the claim that Australian companies in general do not explicitly take account of imputation credits in their assessment of investment projects.</w:t>
      </w:r>
      <w:r w:rsidRPr="00B95D2A">
        <w:rPr>
          <w:rStyle w:val="FootnoteReference"/>
        </w:rPr>
        <w:t xml:space="preserve"> </w:t>
      </w:r>
      <w:r w:rsidRPr="00B95D2A">
        <w:rPr>
          <w:rStyle w:val="FootnoteReference"/>
        </w:rPr>
        <w:footnoteReference w:id="416"/>
      </w:r>
      <w:r w:rsidRPr="00AC29DB">
        <w:t xml:space="preserve"> However,</w:t>
      </w:r>
      <w:r w:rsidRPr="00B95D2A">
        <w:t xml:space="preserve"> Lally considers that</w:t>
      </w:r>
      <w:r w:rsidRPr="00AC29DB">
        <w:t xml:space="preserve"> Frontier fails to note that Ainsworth et al argues that there are potentially offsetting errors from not explicitly accounting for credits and that this mitigates the consequences of not explicitly accounting for them.</w:t>
      </w:r>
      <w:r w:rsidRPr="00B95D2A">
        <w:rPr>
          <w:rStyle w:val="FootnoteReference"/>
        </w:rPr>
        <w:footnoteReference w:id="417"/>
      </w:r>
    </w:p>
    <w:p w:rsidR="00B95D2A" w:rsidRPr="00B95D2A" w:rsidRDefault="00B95D2A" w:rsidP="00AC29DB">
      <w:pPr>
        <w:pStyle w:val="AERbulletlistfirststyle"/>
      </w:pPr>
      <w:r w:rsidRPr="00AC29DB">
        <w:t>Frontier cite</w:t>
      </w:r>
      <w:r w:rsidRPr="00B95D2A">
        <w:t>s</w:t>
      </w:r>
      <w:r w:rsidRPr="00AC29DB">
        <w:t xml:space="preserve"> Ainsworth et al in support of the claim that the AER’s a</w:t>
      </w:r>
      <w:r w:rsidRPr="00B95D2A">
        <w:t>pproach to estimating the utilis</w:t>
      </w:r>
      <w:r w:rsidRPr="00AC29DB">
        <w:t>ation rate is “inconsistent with standard economic concepts of equilibrium”.</w:t>
      </w:r>
      <w:r w:rsidRPr="00B95D2A">
        <w:rPr>
          <w:rStyle w:val="FootnoteReference"/>
        </w:rPr>
        <w:t xml:space="preserve"> </w:t>
      </w:r>
      <w:r w:rsidRPr="00B95D2A">
        <w:rPr>
          <w:rStyle w:val="FootnoteReference"/>
        </w:rPr>
        <w:footnoteReference w:id="418"/>
      </w:r>
      <w:r w:rsidRPr="00B95D2A">
        <w:t xml:space="preserve"> Lally considers the concerns raised by Ainsworth et al about the aggregation approach are invalid, and therefore do not support Frontier’s claim that the aggregation approach is “inconsistent with standard economic concepts of equilibrium”.</w:t>
      </w:r>
      <w:r w:rsidRPr="00B95D2A">
        <w:rPr>
          <w:rStyle w:val="FootnoteReference"/>
        </w:rPr>
        <w:footnoteReference w:id="419"/>
      </w:r>
      <w:r w:rsidRPr="00B95D2A">
        <w:t xml:space="preserve"> Irrespective, we do not consider the Ainsworth paper clearly expresses a view</w:t>
      </w:r>
      <w:r w:rsidR="009619EF">
        <w:t xml:space="preserve"> that</w:t>
      </w:r>
      <w:r w:rsidRPr="00B95D2A">
        <w:t xml:space="preserve"> the aggregation method is not correct, rather it expresses the view that the aggregation method may correctly capture equilibrium even if it does not describe how equilibrium is reached.</w:t>
      </w:r>
      <w:r w:rsidRPr="00B95D2A">
        <w:rPr>
          <w:rStyle w:val="FootnoteReference"/>
        </w:rPr>
        <w:footnoteReference w:id="420"/>
      </w:r>
    </w:p>
    <w:p w:rsidR="00B95D2A" w:rsidRPr="00B95D2A" w:rsidRDefault="00B95D2A" w:rsidP="00AC29DB">
      <w:pPr>
        <w:pStyle w:val="AERbulletlistfirststyle"/>
      </w:pPr>
      <w:r w:rsidRPr="00AC29DB">
        <w:t>Frontier adds the claim that the “AER’s aggregation approach simply counts up the number of credits that are distributed to domestic investors and assumes that those investors value all credits at the full face amount and that this is reflected in the equilibrium share price and cost of capital”.</w:t>
      </w:r>
      <w:r w:rsidRPr="00B95D2A">
        <w:rPr>
          <w:rStyle w:val="FootnoteReference"/>
        </w:rPr>
        <w:t xml:space="preserve"> </w:t>
      </w:r>
      <w:r w:rsidRPr="00B95D2A">
        <w:rPr>
          <w:rStyle w:val="FootnoteReference"/>
        </w:rPr>
        <w:footnoteReference w:id="421"/>
      </w:r>
      <w:r w:rsidRPr="00AC29DB">
        <w:t xml:space="preserve"> </w:t>
      </w:r>
      <w:r w:rsidRPr="00B95D2A">
        <w:t>However, Lally notes that t</w:t>
      </w:r>
      <w:r w:rsidRPr="00AC29DB">
        <w:t xml:space="preserve">he AER adopts the Officer (1994) CAPM, as do all Australian regulators. Having made that choice, </w:t>
      </w:r>
      <w:r w:rsidRPr="00B95D2A">
        <w:t xml:space="preserve">Lally considers </w:t>
      </w:r>
      <w:r w:rsidRPr="00AC29DB">
        <w:t xml:space="preserve">the AER must adopt definitions for parameters within that model in accordance </w:t>
      </w:r>
      <w:r w:rsidRPr="00AC29DB">
        <w:lastRenderedPageBreak/>
        <w:t>with a rigorous derivation of the</w:t>
      </w:r>
      <w:r w:rsidRPr="00B95D2A">
        <w:t xml:space="preserve"> model. This leads to the utilis</w:t>
      </w:r>
      <w:r w:rsidRPr="00AC29DB">
        <w:t>ation rate being defined as the weighte</w:t>
      </w:r>
      <w:r w:rsidRPr="00B95D2A">
        <w:t>d average over investors’ utilis</w:t>
      </w:r>
      <w:r w:rsidRPr="00AC29DB">
        <w:t xml:space="preserve">ation rates for imputation credits. Consistent with Australian tax law, </w:t>
      </w:r>
      <w:r w:rsidRPr="00B95D2A">
        <w:t>the AER (sensibly) adopts utilis</w:t>
      </w:r>
      <w:r w:rsidRPr="00AC29DB">
        <w:t>ation rates of 1 and 0 for local and foreign investors respectively.</w:t>
      </w:r>
      <w:r w:rsidRPr="00B95D2A">
        <w:rPr>
          <w:rStyle w:val="FootnoteReference"/>
        </w:rPr>
        <w:footnoteReference w:id="422"/>
      </w:r>
    </w:p>
    <w:p w:rsidR="00B95D2A" w:rsidRPr="00883125" w:rsidRDefault="00B95D2A" w:rsidP="00B95D2A">
      <w:pPr>
        <w:pStyle w:val="Heading9"/>
      </w:pPr>
      <w:bookmarkStart w:id="293" w:name="_Toc456614309"/>
      <w:bookmarkStart w:id="294" w:name="_Toc462823323"/>
      <w:bookmarkStart w:id="295" w:name="_Toc479693982"/>
      <w:bookmarkStart w:id="296" w:name="_Toc480815628"/>
      <w:r w:rsidRPr="00883125">
        <w:t>Gray's comments on the Monkhouse framework</w:t>
      </w:r>
      <w:bookmarkEnd w:id="293"/>
      <w:bookmarkEnd w:id="294"/>
      <w:bookmarkEnd w:id="295"/>
      <w:bookmarkEnd w:id="296"/>
    </w:p>
    <w:p w:rsidR="00B95D2A" w:rsidRPr="00883125" w:rsidRDefault="00B95D2A" w:rsidP="00B95D2A">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3E419A">
        <w:t>A.6</w:t>
      </w:r>
      <w:r w:rsidRPr="00883125">
        <w:fldChar w:fldCharType="end"/>
      </w:r>
      <w:r w:rsidRPr="00883125">
        <w:t>, we consider that:</w:t>
      </w:r>
    </w:p>
    <w:p w:rsidR="00B95D2A" w:rsidRPr="00883125" w:rsidRDefault="00B95D2A" w:rsidP="00B95D2A">
      <w:pPr>
        <w:pStyle w:val="AERbulletlistfirststyle"/>
      </w:pPr>
      <w:r w:rsidRPr="00883125">
        <w:t>The Officer framework provides the basis for the value of imputation credits adjustment in the NER/NGR.</w:t>
      </w:r>
    </w:p>
    <w:p w:rsidR="00B95D2A" w:rsidRPr="00883125" w:rsidRDefault="00B95D2A" w:rsidP="00B95D2A">
      <w:pPr>
        <w:pStyle w:val="AERbulletlistfirststyle"/>
      </w:pPr>
      <w:r w:rsidRPr="00883125">
        <w:t>Monkhouse extends the Officer framework to a non-perpetuity setting, and shows that—assuming retained credits have no value—gamma from the Officer framework effectively equals the product of:</w:t>
      </w:r>
    </w:p>
    <w:p w:rsidR="00B95D2A" w:rsidRPr="00883125" w:rsidRDefault="00B95D2A" w:rsidP="00B95D2A">
      <w:pPr>
        <w:pStyle w:val="AERbulletlistsecondstyle"/>
      </w:pPr>
      <w:r w:rsidRPr="00883125">
        <w:t>the distribution rate, and</w:t>
      </w:r>
    </w:p>
    <w:p w:rsidR="00B95D2A" w:rsidRPr="00883125" w:rsidRDefault="00B95D2A" w:rsidP="00B95D2A">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B95D2A" w:rsidRPr="00883125" w:rsidRDefault="00B95D2A" w:rsidP="00B95D2A">
      <w:r w:rsidRPr="00883125">
        <w:t>In his May 2014 and February 2015 reports, Gray (for SFG) provided a discussion of the class of CAPM employed by Monkhouse (and related literature).</w:t>
      </w:r>
      <w:r w:rsidRPr="00883125">
        <w:rPr>
          <w:rStyle w:val="FootnoteReference"/>
        </w:rPr>
        <w:footnoteReference w:id="423"/>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which a number of service providers rely, holds the same view and notes the inconsistency between Lally and Handley's advice on this point</w:t>
      </w:r>
      <w:r w:rsidR="009875E3">
        <w:t>.</w:t>
      </w:r>
      <w:r w:rsidRPr="00883125">
        <w:rPr>
          <w:rStyle w:val="FootnoteReference"/>
        </w:rPr>
        <w:footnoteReference w:id="424"/>
      </w:r>
    </w:p>
    <w:p w:rsidR="00B95D2A" w:rsidRPr="00883125" w:rsidRDefault="00B95D2A" w:rsidP="00B95D2A">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425"/>
      </w:r>
    </w:p>
    <w:p w:rsidR="00B95D2A" w:rsidRPr="00883125" w:rsidRDefault="00B95D2A" w:rsidP="00B95D2A">
      <w:pPr>
        <w:pStyle w:val="AERbulletlistfirststyle"/>
      </w:pPr>
      <w:r w:rsidRPr="00883125">
        <w:t>the definition of theta from the Monkhouse framework, and</w:t>
      </w:r>
    </w:p>
    <w:p w:rsidR="00B95D2A" w:rsidRPr="00883125" w:rsidRDefault="00B95D2A" w:rsidP="00B95D2A">
      <w:pPr>
        <w:pStyle w:val="AERbulletlistfirststyle"/>
      </w:pPr>
      <w:r w:rsidRPr="00883125">
        <w:t>the equity ownership approach to estimate theta.</w:t>
      </w:r>
    </w:p>
    <w:p w:rsidR="00B95D2A" w:rsidRPr="00883125" w:rsidRDefault="00B95D2A" w:rsidP="00B95D2A">
      <w:r w:rsidRPr="00883125">
        <w:lastRenderedPageBreak/>
        <w:t>In the remainder of this section we identify what we consider to be the key points of this debate, and their implications for our estimation of the value of imputation credits.</w:t>
      </w:r>
    </w:p>
    <w:p w:rsidR="00B95D2A" w:rsidRPr="00883125" w:rsidRDefault="00B95D2A" w:rsidP="00B95D2A">
      <w:r w:rsidRPr="00883125">
        <w:t>Gray's key point appears to be that:</w:t>
      </w:r>
      <w:r w:rsidRPr="00883125">
        <w:rPr>
          <w:rStyle w:val="FootnoteReference"/>
        </w:rPr>
        <w:footnoteReference w:id="426"/>
      </w:r>
    </w:p>
    <w:p w:rsidR="00B95D2A" w:rsidRPr="00883125" w:rsidRDefault="00B95D2A" w:rsidP="00B95D2A">
      <w:pPr>
        <w:pStyle w:val="AERquote"/>
      </w:pPr>
      <w:r w:rsidRPr="00883125">
        <w:t>[The relevant class of CAPM models] derive an equilibrium by solving a market clearing condition. This involves noting that:</w:t>
      </w:r>
    </w:p>
    <w:p w:rsidR="00B95D2A" w:rsidRPr="00883125" w:rsidRDefault="00B95D2A" w:rsidP="00B95D2A">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B95D2A" w:rsidRPr="00883125" w:rsidRDefault="00B95D2A" w:rsidP="00B95D2A">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B95D2A" w:rsidRPr="00883125" w:rsidRDefault="00B95D2A" w:rsidP="00B95D2A">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427"/>
      </w:r>
    </w:p>
    <w:p w:rsidR="00B95D2A" w:rsidRPr="00883125" w:rsidRDefault="00B95D2A" w:rsidP="00B95D2A">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B95D2A" w:rsidRPr="00883125" w:rsidRDefault="00B95D2A" w:rsidP="00B95D2A">
      <w:pPr>
        <w:pStyle w:val="AERquote"/>
      </w:pPr>
      <w:r w:rsidRPr="00883125">
        <w:t>But the CAPM makes no such assumption – it is SFG who does.</w:t>
      </w:r>
    </w:p>
    <w:p w:rsidR="00B95D2A" w:rsidRPr="00883125" w:rsidRDefault="00B95D2A" w:rsidP="00B95D2A">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B95D2A" w:rsidRPr="00883125" w:rsidRDefault="00B95D2A" w:rsidP="00B95D2A">
      <w:pPr>
        <w:pStyle w:val="AERquote"/>
      </w:pPr>
      <w:r w:rsidRPr="00883125">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B95D2A" w:rsidRPr="00883125" w:rsidRDefault="00B95D2A" w:rsidP="00B95D2A">
      <w:r w:rsidRPr="00883125">
        <w:lastRenderedPageBreak/>
        <w:t>Therefore, it would seem that the criticisms of our use of the definition of theta from the Monkhouse framework, and our responses to those criticisms, might be summarised as follows:</w:t>
      </w:r>
    </w:p>
    <w:p w:rsidR="00B95D2A" w:rsidRPr="00883125" w:rsidRDefault="00B95D2A" w:rsidP="00B95D2A">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B95D2A" w:rsidRPr="001D37D5" w:rsidRDefault="00B95D2A" w:rsidP="00B95D2A">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1D37D5">
        <w:rPr>
          <w:rStyle w:val="FootnoteReference"/>
        </w:rPr>
        <w:footnoteReference w:id="428"/>
      </w:r>
      <w:r w:rsidRPr="001D37D5">
        <w:t xml:space="preserve"> Handley's view is, if the assumption is considered unreasonable, 'then one should bring the outside assets and outside investors into the model, for example, by using an international CAPM'.</w:t>
      </w:r>
      <w:r w:rsidRPr="001D37D5">
        <w:rPr>
          <w:rStyle w:val="FootnoteReference"/>
        </w:rPr>
        <w:footnoteReference w:id="429"/>
      </w:r>
      <w:r w:rsidRPr="001D37D5">
        <w:t xml:space="preserve"> However, neither Gray nor Handley suggested that we employ an international CAPM. Moreover, Handley clearly set out his view that our use of the definition of theta from the Monkhouse framework is reasonable.</w:t>
      </w:r>
      <w:r w:rsidRPr="001D37D5">
        <w:rPr>
          <w:rStyle w:val="FootnoteReference"/>
        </w:rPr>
        <w:footnoteReference w:id="430"/>
      </w:r>
      <w:r w:rsidRPr="001D37D5">
        <w:t xml:space="preserve"> </w:t>
      </w:r>
    </w:p>
    <w:p w:rsidR="00B95D2A" w:rsidRPr="00883125" w:rsidRDefault="00B95D2A" w:rsidP="00B95D2A">
      <w:r w:rsidRPr="00883125">
        <w:t xml:space="preserve">In conclusion, we are not convinced that we should disregard the definition of theta from the Monkhouse framework when estimating the value of imputation credits. </w:t>
      </w:r>
    </w:p>
    <w:p w:rsidR="00B95D2A" w:rsidRPr="00883125" w:rsidRDefault="00B95D2A" w:rsidP="00B95D2A">
      <w:pPr>
        <w:pStyle w:val="Heading8"/>
      </w:pPr>
      <w:bookmarkStart w:id="297" w:name="_Ref414623120"/>
      <w:bookmarkStart w:id="298" w:name="_Toc436049449"/>
      <w:bookmarkStart w:id="299" w:name="_Toc451842254"/>
      <w:bookmarkStart w:id="300" w:name="_Toc451938309"/>
      <w:bookmarkStart w:id="301" w:name="_Toc456614310"/>
      <w:bookmarkStart w:id="302" w:name="_Toc462823324"/>
      <w:bookmarkStart w:id="303" w:name="_Toc479693983"/>
      <w:bookmarkStart w:id="304" w:name="_Toc480815629"/>
      <w:r w:rsidRPr="00883125">
        <w:t>Further issues relating to the utilisation rate</w:t>
      </w:r>
      <w:bookmarkEnd w:id="297"/>
      <w:bookmarkEnd w:id="298"/>
      <w:bookmarkEnd w:id="299"/>
      <w:bookmarkEnd w:id="300"/>
      <w:bookmarkEnd w:id="301"/>
      <w:bookmarkEnd w:id="302"/>
      <w:bookmarkEnd w:id="303"/>
      <w:bookmarkEnd w:id="304"/>
    </w:p>
    <w:p w:rsidR="00B95D2A" w:rsidRPr="00883125" w:rsidRDefault="00B95D2A" w:rsidP="00B95D2A">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3E419A">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3E419A">
        <w:t>A.6</w:t>
      </w:r>
      <w:r w:rsidRPr="00883125">
        <w:fldChar w:fldCharType="end"/>
      </w:r>
      <w:r w:rsidRPr="00883125">
        <w:t>,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rate reflects the extent to which investors can utilise the imputation credits they receive to reduce their tax or get a refund.</w:t>
      </w:r>
    </w:p>
    <w:p w:rsidR="00B95D2A" w:rsidRDefault="00B95D2A" w:rsidP="00B95D2A">
      <w:pPr>
        <w:numPr>
          <w:ilvl w:val="0"/>
          <w:numId w:val="24"/>
        </w:numPr>
      </w:pPr>
      <w:r>
        <w:t xml:space="preserve">This is supported by Lally who considers that within the Officer Framework model, the utilisation rate is a weighted average over the utilisation rate for imputation credits by </w:t>
      </w:r>
      <w:r>
        <w:lastRenderedPageBreak/>
        <w:t>individual investors and these utilisation rates are 1 if investors can use the credits and zero otherwise.</w:t>
      </w:r>
      <w:r>
        <w:rPr>
          <w:rStyle w:val="FootnoteReference"/>
        </w:rPr>
        <w:footnoteReference w:id="431"/>
      </w:r>
    </w:p>
    <w:p w:rsidR="00B95D2A" w:rsidRPr="00883125" w:rsidRDefault="00B95D2A" w:rsidP="00B95D2A">
      <w:pPr>
        <w:numPr>
          <w:ilvl w:val="0"/>
          <w:numId w:val="24"/>
        </w:numPr>
      </w:pPr>
      <w:r w:rsidRPr="00883125">
        <w:t>In this section we provide further support for our position on the utilisation rate. In particular, we:</w:t>
      </w:r>
    </w:p>
    <w:p w:rsidR="00B95D2A" w:rsidRPr="00883125" w:rsidRDefault="00B95D2A" w:rsidP="00B95D2A">
      <w:pPr>
        <w:pStyle w:val="AERbulletlistfirststyle"/>
      </w:pPr>
      <w:r w:rsidRPr="00883125">
        <w:t xml:space="preserve">explain how our position is consistent with the basis of the building block framework </w:t>
      </w:r>
    </w:p>
    <w:p w:rsidR="00B95D2A" w:rsidRPr="00883125" w:rsidRDefault="00B95D2A" w:rsidP="00B95D2A">
      <w:pPr>
        <w:pStyle w:val="AERbulletlistfirststyle"/>
      </w:pPr>
      <w:r w:rsidRPr="00883125">
        <w:t>contrast our position with that of the service providers, including with reference to factors they considered should be reflected in the utilisation rate, and</w:t>
      </w:r>
    </w:p>
    <w:p w:rsidR="00B95D2A" w:rsidRPr="00883125" w:rsidRDefault="00B95D2A" w:rsidP="00B95D2A">
      <w:pPr>
        <w:pStyle w:val="AERbulletlistfirststyle"/>
      </w:pPr>
      <w:r w:rsidRPr="00883125">
        <w:t>respond to NERA's view.</w:t>
      </w:r>
    </w:p>
    <w:p w:rsidR="00B95D2A" w:rsidRPr="00883125" w:rsidRDefault="00B95D2A" w:rsidP="00B95D2A">
      <w:pPr>
        <w:pStyle w:val="Heading9"/>
      </w:pPr>
      <w:bookmarkStart w:id="305" w:name="_Ref401748758"/>
      <w:bookmarkStart w:id="306" w:name="_Toc456614311"/>
      <w:bookmarkStart w:id="307" w:name="_Toc462823325"/>
      <w:bookmarkStart w:id="308" w:name="_Toc479693984"/>
      <w:bookmarkStart w:id="309" w:name="_Toc480815630"/>
      <w:r w:rsidRPr="00883125">
        <w:t>Consistency with the building block framework</w:t>
      </w:r>
      <w:bookmarkEnd w:id="305"/>
      <w:bookmarkEnd w:id="306"/>
      <w:bookmarkEnd w:id="307"/>
      <w:bookmarkEnd w:id="308"/>
      <w:bookmarkEnd w:id="309"/>
    </w:p>
    <w:p w:rsidR="00B95D2A" w:rsidRPr="00883125" w:rsidRDefault="00B95D2A" w:rsidP="00B95D2A">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B95D2A" w:rsidRPr="00883125" w:rsidRDefault="00B95D2A" w:rsidP="00B95D2A">
      <w:pPr>
        <w:numPr>
          <w:ilvl w:val="0"/>
          <w:numId w:val="24"/>
        </w:numPr>
      </w:pPr>
      <w:r w:rsidRPr="00883125">
        <w:t>This consideration is supported by Handley's advice on the basis of the regulatory (building block) framework:</w:t>
      </w:r>
      <w:r w:rsidRPr="00883125">
        <w:rPr>
          <w:rStyle w:val="FootnoteReference"/>
        </w:rPr>
        <w:footnoteReference w:id="432"/>
      </w:r>
      <w:r w:rsidRPr="00883125">
        <w:t xml:space="preserve"> </w:t>
      </w:r>
    </w:p>
    <w:p w:rsidR="00B95D2A" w:rsidRPr="00883125" w:rsidRDefault="00B95D2A" w:rsidP="00B95D2A">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B95D2A" w:rsidRPr="00883125" w:rsidRDefault="00B95D2A" w:rsidP="00B95D2A">
      <w:pPr>
        <w:numPr>
          <w:ilvl w:val="0"/>
          <w:numId w:val="24"/>
        </w:numPr>
      </w:pPr>
      <w:r w:rsidRPr="00883125">
        <w:t>Handley also referred specifically to the basis on which the utilisation rate should be estimated:</w:t>
      </w:r>
      <w:r w:rsidRPr="00883125">
        <w:rPr>
          <w:rStyle w:val="FootnoteReference"/>
        </w:rPr>
        <w:footnoteReference w:id="433"/>
      </w:r>
    </w:p>
    <w:p w:rsidR="00B95D2A" w:rsidRPr="00883125" w:rsidRDefault="00B95D2A" w:rsidP="00B95D2A">
      <w:pPr>
        <w:pStyle w:val="AERquote"/>
      </w:pPr>
      <w:r w:rsidRPr="00883125">
        <w:t xml:space="preserve">Since the objective is to estimate the after-company-before-personal-tax value of a distributed imputation credit and also to avoid compensating the regulated firm for transactions costs incurred at the shareholder level then the particular estimation </w:t>
      </w:r>
      <w:r w:rsidRPr="00883125">
        <w:lastRenderedPageBreak/>
        <w:t>methodology should allow for these factors – in other words, ideally we want the value of credits before administrative costs, personal taxes and diversification costs.</w:t>
      </w:r>
    </w:p>
    <w:p w:rsidR="00B95D2A" w:rsidRPr="00883125" w:rsidRDefault="00B95D2A" w:rsidP="00B95D2A">
      <w:r w:rsidRPr="00883125">
        <w:t>The service providers consider our interpretation of the utilisation rate conceptually incorrect and inconsistent with the requirements of the NER/NGR</w:t>
      </w:r>
      <w:r>
        <w:t xml:space="preserve"> and the NEO/NGO</w:t>
      </w:r>
      <w:r w:rsidRPr="00883125">
        <w:t>.</w:t>
      </w:r>
      <w:r w:rsidRPr="00883125">
        <w:rPr>
          <w:rStyle w:val="FootnoteReference"/>
        </w:rPr>
        <w:footnoteReference w:id="434"/>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435"/>
      </w:r>
      <w:r w:rsidRPr="00883125">
        <w:t xml:space="preserve"> </w:t>
      </w:r>
      <w:r>
        <w:t>Further</w:t>
      </w:r>
      <w:r w:rsidRPr="00883125">
        <w:t>, a number of service providers submitted:</w:t>
      </w:r>
      <w:r w:rsidRPr="00883125">
        <w:rPr>
          <w:rStyle w:val="FootnoteReference"/>
        </w:rPr>
        <w:footnoteReference w:id="436"/>
      </w:r>
    </w:p>
    <w:p w:rsidR="00B95D2A" w:rsidRPr="00883125" w:rsidRDefault="00B95D2A" w:rsidP="00B95D2A">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B95D2A" w:rsidRDefault="00B95D2A" w:rsidP="00B95D2A">
      <w:r>
        <w:t>Frontier submits that the value of distributed imputation credits can only be estimated using a market based approach such as dividend drop-off studies and simultaneous pricing analysis.</w:t>
      </w:r>
      <w:r>
        <w:rPr>
          <w:rStyle w:val="FootnoteReference"/>
        </w:rPr>
        <w:footnoteReference w:id="437"/>
      </w:r>
      <w:r>
        <w:t xml:space="preserve"> Frontier considers that such an approach is consistent with the regulatory framework.</w:t>
      </w:r>
      <w:r>
        <w:rPr>
          <w:rStyle w:val="FootnoteReference"/>
        </w:rPr>
        <w:footnoteReference w:id="438"/>
      </w:r>
    </w:p>
    <w:p w:rsidR="00B95D2A" w:rsidRPr="00883125" w:rsidRDefault="00B95D2A" w:rsidP="00B95D2A">
      <w:r w:rsidRPr="00883125">
        <w:t xml:space="preserve">We disagree. We consider our approach is consistent with the NER/NGR. We have previously noted in the Guideline and in our prior decisions, and maintain in this </w:t>
      </w:r>
      <w:r>
        <w:t xml:space="preserve">final </w:t>
      </w:r>
      <w:r w:rsidRPr="00883125">
        <w:lastRenderedPageBreak/>
        <w:t>decision, that the Officer framework provides the basis for the rate of return framework in the NER/NGR.</w:t>
      </w:r>
      <w:r w:rsidRPr="00883125">
        <w:rPr>
          <w:rStyle w:val="FootnoteReference"/>
        </w:rPr>
        <w:footnoteReference w:id="439"/>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supports our 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3E419A">
        <w:t>A.7.3</w:t>
      </w:r>
      <w:r w:rsidRPr="00883125">
        <w:fldChar w:fldCharType="end"/>
      </w:r>
      <w:r w:rsidRPr="00883125">
        <w:t>, Gray's interpretation is unconvincing to us.</w:t>
      </w:r>
      <w:r>
        <w:t xml:space="preserve"> The relevance of personal cost is further discussed in section </w:t>
      </w:r>
      <w:r>
        <w:fldChar w:fldCharType="begin"/>
      </w:r>
      <w:r>
        <w:instrText xml:space="preserve"> REF _Ref475361170 \r \h </w:instrText>
      </w:r>
      <w:r>
        <w:fldChar w:fldCharType="separate"/>
      </w:r>
      <w:r w:rsidR="003E419A">
        <w:t>A.8.4</w:t>
      </w:r>
      <w:r>
        <w:fldChar w:fldCharType="end"/>
      </w:r>
      <w:r>
        <w:t xml:space="preserve"> below. </w:t>
      </w:r>
    </w:p>
    <w:p w:rsidR="00B95D2A" w:rsidRPr="00883125" w:rsidRDefault="00B95D2A" w:rsidP="00B95D2A">
      <w:r w:rsidRPr="00883125">
        <w:t>Put another way, our approach to estimating the value of imputation credits recognises that this parameter does not exist in isolation. That is, the NER/NGR employs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B95D2A" w:rsidRPr="00883125" w:rsidRDefault="00B95D2A" w:rsidP="00B95D2A">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440"/>
      </w:r>
    </w:p>
    <w:p w:rsidR="00B95D2A" w:rsidRPr="00B95D2A" w:rsidRDefault="00B95D2A" w:rsidP="00B95D2A">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B95D2A" w:rsidRPr="005764F6" w:rsidRDefault="00B95D2A" w:rsidP="00B95D2A">
      <w:pPr>
        <w:pStyle w:val="AERquote"/>
      </w:pPr>
      <w:r w:rsidRPr="005764F6">
        <w:t>This is why it is very important to be absolutely precise about how the key inputs of a WACC analysis – cash flow and discount rate – are defined and to ensure that they are defined on the same basis.</w:t>
      </w:r>
    </w:p>
    <w:p w:rsidR="00B95D2A" w:rsidRPr="005764F6" w:rsidRDefault="00B95D2A" w:rsidP="00B95D2A">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B95D2A" w:rsidRPr="00883125" w:rsidRDefault="00B95D2A" w:rsidP="00B95D2A">
      <w:pPr>
        <w:rPr>
          <w:rStyle w:val="AERbody"/>
        </w:rPr>
      </w:pPr>
      <w:r w:rsidRPr="00883125">
        <w:rPr>
          <w:rStyle w:val="AERbody"/>
        </w:rPr>
        <w:lastRenderedPageBreak/>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441"/>
      </w:r>
    </w:p>
    <w:p w:rsidR="00B95D2A" w:rsidRPr="00B95D2A" w:rsidRDefault="00B95D2A" w:rsidP="00B95D2A">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B95D2A" w:rsidRPr="00883125" w:rsidRDefault="00B95D2A" w:rsidP="00B95D2A">
      <w:pPr>
        <w:rPr>
          <w:rStyle w:val="AERbody"/>
        </w:rPr>
      </w:pPr>
      <w:r w:rsidRPr="00883125">
        <w:rPr>
          <w:rStyle w:val="AERbody"/>
        </w:rPr>
        <w:t>Handley also states:</w:t>
      </w:r>
      <w:r w:rsidRPr="00883125">
        <w:rPr>
          <w:rStyle w:val="FootnoteReference"/>
        </w:rPr>
        <w:footnoteReference w:id="442"/>
      </w:r>
    </w:p>
    <w:p w:rsidR="00B95D2A" w:rsidRPr="005764F6" w:rsidRDefault="00B95D2A" w:rsidP="00B95D2A">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B95D2A" w:rsidRPr="00883125" w:rsidRDefault="00B95D2A" w:rsidP="00B95D2A">
      <w:pPr>
        <w:pStyle w:val="Heading9"/>
      </w:pPr>
      <w:bookmarkStart w:id="310" w:name="_Ref450298425"/>
      <w:bookmarkStart w:id="311" w:name="_Ref450300692"/>
      <w:bookmarkStart w:id="312" w:name="_Ref450840388"/>
      <w:bookmarkStart w:id="313" w:name="_Toc456614312"/>
      <w:bookmarkStart w:id="314" w:name="_Toc462823326"/>
      <w:bookmarkStart w:id="315" w:name="_Toc479693985"/>
      <w:bookmarkStart w:id="316" w:name="_Toc480815631"/>
      <w:r w:rsidRPr="00883125">
        <w:t>Consistency with other allowed rate of return parameters</w:t>
      </w:r>
      <w:bookmarkEnd w:id="310"/>
      <w:bookmarkEnd w:id="311"/>
      <w:bookmarkEnd w:id="312"/>
      <w:bookmarkEnd w:id="313"/>
      <w:bookmarkEnd w:id="314"/>
      <w:bookmarkEnd w:id="315"/>
      <w:bookmarkEnd w:id="316"/>
    </w:p>
    <w:p w:rsidR="00B95D2A" w:rsidRPr="00883125" w:rsidRDefault="00B95D2A" w:rsidP="00B95D2A">
      <w:r w:rsidRPr="00883125">
        <w:t>We consider we are estimating the value of imputation credits consistently with the other allowed rate of return parameters on a post company tax basis before per</w:t>
      </w:r>
      <w:r w:rsidR="009875E3">
        <w:t>sonal taxes and personal costs.</w:t>
      </w:r>
    </w:p>
    <w:p w:rsidR="00B95D2A" w:rsidRPr="005764F6" w:rsidRDefault="00B95D2A" w:rsidP="00B95D2A">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443"/>
      </w:r>
      <w:r w:rsidRPr="005764F6">
        <w:t xml:space="preserve"> This highlights that dividend drop off studies are not </w:t>
      </w:r>
      <w:r w:rsidRPr="005764F6">
        <w:lastRenderedPageBreak/>
        <w:t>estimating a post-</w:t>
      </w:r>
      <w:r>
        <w:t xml:space="preserve">company pre-personal </w:t>
      </w:r>
      <w:r w:rsidRPr="005764F6">
        <w: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w:t>
      </w:r>
      <w:r>
        <w:t xml:space="preserve">company pre-personal </w:t>
      </w:r>
      <w:r w:rsidRPr="005764F6">
        <w:t>tax return. Absent such an adjustment they are not appropriate to use as estimates of the post-</w:t>
      </w:r>
      <w:r>
        <w:t xml:space="preserve">company pre-personal </w:t>
      </w:r>
      <w:r w:rsidRPr="005764F6">
        <w:t>tax value of distributed imputation credits for use in the Officer Framework underpinning the rules.</w:t>
      </w:r>
    </w:p>
    <w:p w:rsidR="00B95D2A" w:rsidRPr="005764F6" w:rsidRDefault="00B95D2A" w:rsidP="00B95D2A">
      <w:r w:rsidRPr="005764F6">
        <w:t>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w:t>
      </w:r>
      <w:r>
        <w:t xml:space="preserve"> (company)</w:t>
      </w:r>
      <w:r w:rsidRPr="005764F6">
        <w:t xml:space="preserve">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capital gains are generally taxed at a concessional personal tax rate.</w:t>
      </w:r>
      <w:r w:rsidRPr="00A51232">
        <w:rPr>
          <w:rStyle w:val="FootnoteReference"/>
        </w:rPr>
        <w:footnoteReference w:id="444"/>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445"/>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3E419A">
        <w:t>A.15.3</w:t>
      </w:r>
      <w:r w:rsidRPr="005764F6">
        <w:fldChar w:fldCharType="end"/>
      </w:r>
      <w:r w:rsidRPr="005764F6">
        <w:t xml:space="preserve">, where it is shown that the pre-personal tax value of an imputation credit is equal to the face value of the imputation credit. </w:t>
      </w:r>
    </w:p>
    <w:p w:rsidR="00B95D2A" w:rsidRPr="00883125" w:rsidRDefault="00B95D2A" w:rsidP="00B95D2A">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3E419A">
        <w:t>A.15.3</w:t>
      </w:r>
      <w:r w:rsidRPr="00883125">
        <w:fldChar w:fldCharType="end"/>
      </w:r>
      <w:r w:rsidRPr="00883125">
        <w:t>.</w:t>
      </w:r>
    </w:p>
    <w:p w:rsidR="00B95D2A" w:rsidRPr="005764F6" w:rsidRDefault="00B95D2A" w:rsidP="00B95D2A">
      <w:r w:rsidRPr="005764F6">
        <w:t xml:space="preserve">The </w:t>
      </w:r>
      <w:r>
        <w:t xml:space="preserve">Ausgrid </w:t>
      </w:r>
      <w:r w:rsidRPr="005764F6">
        <w:t xml:space="preserve">Tribunal decision considered </w:t>
      </w:r>
      <w:r>
        <w:t>our</w:t>
      </w:r>
      <w:r w:rsidRPr="005764F6">
        <w:t xml:space="preserve"> reasoning ignores the fact that other parameters in the WACC calculation are market values that already incorporate the effects of the difference in investors' tax posit</w:t>
      </w:r>
      <w:r w:rsidR="009875E3">
        <w:t>i</w:t>
      </w:r>
      <w:r w:rsidRPr="005764F6">
        <w:t>on and transaction costs.</w:t>
      </w:r>
      <w:r w:rsidRPr="00B31DF2">
        <w:rPr>
          <w:rStyle w:val="FootnoteReference"/>
        </w:rPr>
        <w:footnoteReference w:id="446"/>
      </w:r>
      <w:r w:rsidRPr="005764F6">
        <w:t xml:space="preserve"> In response we note that we consider our estimates across the rate of return inputs and gamma inputs are consistent and we have not ignored how the rate of return parameters are estimated. For example, as </w:t>
      </w:r>
      <w:r w:rsidRPr="005764F6">
        <w:lastRenderedPageBreak/>
        <w:t>outlined above, when estimating the value of the MRP using historical returns, the value of cash dividends are not assessed on market values which are influenced by pre-personal costs and pre-personal tax factors. For instance:</w:t>
      </w:r>
    </w:p>
    <w:p w:rsidR="00B95D2A" w:rsidRPr="005764F6" w:rsidRDefault="00B95D2A" w:rsidP="00B95D2A">
      <w:pPr>
        <w:pStyle w:val="AERbulletlistfirststyle"/>
      </w:pPr>
      <w:r w:rsidRPr="005764F6">
        <w:t>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w:t>
      </w:r>
    </w:p>
    <w:p w:rsidR="00B95D2A" w:rsidRPr="005764F6" w:rsidRDefault="00B95D2A" w:rsidP="00B95D2A">
      <w:pPr>
        <w:pStyle w:val="AERbulletlistfirststyle"/>
      </w:pPr>
      <w:r w:rsidRPr="005764F6">
        <w:t xml:space="preserve">Historical capital gains used in estimating the market risk premium are directly observable post (company) tax returns to investors in the market before personal taxes and personal transaction costs are incurred. </w:t>
      </w:r>
    </w:p>
    <w:p w:rsidR="00B95D2A" w:rsidRPr="005764F6" w:rsidRDefault="00B95D2A" w:rsidP="00B95D2A">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3E419A" w:rsidRPr="00883125">
        <w:t xml:space="preserve">table </w:t>
      </w:r>
      <w:r w:rsidR="003E419A">
        <w:t>4</w:t>
      </w:r>
      <w:r w:rsidR="003E419A" w:rsidRPr="00B27BE5">
        <w:noBreakHyphen/>
      </w:r>
      <w:r w:rsidR="003E419A">
        <w:t>11</w:t>
      </w:r>
      <w:r>
        <w:fldChar w:fldCharType="end"/>
      </w:r>
      <w:r w:rsidRPr="005764F6">
        <w:t xml:space="preserve"> below, we highlight all the parameters that are used in order to calculate the return on equity using the CAPM.</w:t>
      </w:r>
    </w:p>
    <w:p w:rsidR="00B95D2A" w:rsidRPr="00B27BE5" w:rsidRDefault="00B95D2A" w:rsidP="00B95D2A">
      <w:pPr>
        <w:pStyle w:val="Caption"/>
      </w:pPr>
      <w:bookmarkStart w:id="317" w:name="_Ref450297354"/>
      <w:bookmarkStart w:id="318" w:name="_Ref450322149"/>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3E419A">
        <w:rPr>
          <w:noProof/>
        </w:rPr>
        <w:t>11</w:t>
      </w:r>
      <w:r w:rsidRPr="001D37D5">
        <w:fldChar w:fldCharType="end"/>
      </w:r>
      <w:bookmarkEnd w:id="317"/>
      <w:r w:rsidRPr="00B27BE5">
        <w:tab/>
        <w:t>Parameters used to determine the return on equity</w:t>
      </w:r>
      <w:bookmarkEnd w:id="318"/>
    </w:p>
    <w:tbl>
      <w:tblPr>
        <w:tblStyle w:val="AERtable-numbers"/>
        <w:tblW w:w="0" w:type="auto"/>
        <w:tblLook w:val="04A0" w:firstRow="1" w:lastRow="0" w:firstColumn="1" w:lastColumn="0" w:noHBand="0" w:noVBand="1"/>
      </w:tblPr>
      <w:tblGrid>
        <w:gridCol w:w="3817"/>
        <w:gridCol w:w="2712"/>
        <w:gridCol w:w="2713"/>
      </w:tblGrid>
      <w:tr w:rsidR="00B95D2A"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p>
        </w:tc>
        <w:tc>
          <w:tcPr>
            <w:tcW w:w="2712"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Risk Free Rate</w:t>
            </w:r>
          </w:p>
        </w:tc>
        <w:tc>
          <w:tcPr>
            <w:tcW w:w="271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Market Risk Premium</w:t>
            </w:r>
          </w:p>
        </w:tc>
        <w:tc>
          <w:tcPr>
            <w:tcW w:w="2712"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Beta</w:t>
            </w:r>
          </w:p>
        </w:tc>
        <w:tc>
          <w:tcPr>
            <w:tcW w:w="271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B95D2A" w:rsidRPr="005764F6" w:rsidRDefault="00B95D2A" w:rsidP="00B95D2A">
      <w:r w:rsidRPr="005764F6">
        <w:t xml:space="preserve">As is evident in </w:t>
      </w:r>
      <w:r>
        <w:fldChar w:fldCharType="begin"/>
      </w:r>
      <w:r>
        <w:instrText xml:space="preserve"> REF  _Ref450297354 \* Lower \h  \* MERGEFORMAT </w:instrText>
      </w:r>
      <w:r>
        <w:fldChar w:fldCharType="separate"/>
      </w:r>
      <w:r w:rsidR="003E419A" w:rsidRPr="00883125">
        <w:t xml:space="preserve">table </w:t>
      </w:r>
      <w:r w:rsidR="003E419A">
        <w:t>4</w:t>
      </w:r>
      <w:r w:rsidR="003E419A" w:rsidRPr="00B27BE5">
        <w:noBreakHyphen/>
      </w:r>
      <w:r w:rsidR="003E419A">
        <w:t>11</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3E419A" w:rsidRPr="00883125">
        <w:t xml:space="preserve">table </w:t>
      </w:r>
      <w:r w:rsidR="003E419A">
        <w:t>4</w:t>
      </w:r>
      <w:r w:rsidR="003E419A" w:rsidRPr="00B27BE5">
        <w:noBreakHyphen/>
      </w:r>
      <w:r w:rsidR="003E419A">
        <w:t>11</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B95D2A" w:rsidRPr="005764F6" w:rsidRDefault="00B95D2A" w:rsidP="00B95D2A">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3E419A" w:rsidRPr="005764F6">
        <w:t xml:space="preserve">table </w:t>
      </w:r>
      <w:r w:rsidR="003E419A">
        <w:t>4</w:t>
      </w:r>
      <w:r w:rsidR="003E419A" w:rsidRPr="005764F6">
        <w:noBreakHyphen/>
      </w:r>
      <w:r w:rsidR="003E419A">
        <w:t>12</w:t>
      </w:r>
      <w:r>
        <w:fldChar w:fldCharType="end"/>
      </w:r>
      <w:r w:rsidRPr="005764F6">
        <w:t>.</w:t>
      </w:r>
    </w:p>
    <w:p w:rsidR="00B95D2A" w:rsidRPr="005764F6" w:rsidRDefault="00B95D2A" w:rsidP="00B95D2A">
      <w:pPr>
        <w:pStyle w:val="Tabletitle"/>
      </w:pPr>
      <w:bookmarkStart w:id="319" w:name="_Ref450297391"/>
      <w:r w:rsidRPr="005764F6">
        <w:lastRenderedPageBreak/>
        <w:t xml:space="preserve">Table </w:t>
      </w:r>
      <w:r w:rsidRPr="00CA67C0">
        <w:fldChar w:fldCharType="begin"/>
      </w:r>
      <w:r>
        <w:instrText xml:space="preserve"> STYLEREF 1 \s </w:instrText>
      </w:r>
      <w:r w:rsidRPr="00CA67C0">
        <w:fldChar w:fldCharType="separate"/>
      </w:r>
      <w:r w:rsidR="003E419A">
        <w:rPr>
          <w:noProof/>
        </w:rPr>
        <w:t>4</w:t>
      </w:r>
      <w:r w:rsidRPr="00CA67C0">
        <w:fldChar w:fldCharType="end"/>
      </w:r>
      <w:r w:rsidRPr="005764F6">
        <w:noBreakHyphen/>
      </w:r>
      <w:r w:rsidRPr="00CA67C0">
        <w:fldChar w:fldCharType="begin"/>
      </w:r>
      <w:r>
        <w:instrText xml:space="preserve"> SEQ Table \* ARABIC \s 1 </w:instrText>
      </w:r>
      <w:r w:rsidRPr="00CA67C0">
        <w:fldChar w:fldCharType="separate"/>
      </w:r>
      <w:r w:rsidR="003E419A">
        <w:rPr>
          <w:noProof/>
        </w:rPr>
        <w:t>12</w:t>
      </w:r>
      <w:r w:rsidRPr="00CA67C0">
        <w:fldChar w:fldCharType="end"/>
      </w:r>
      <w:bookmarkEnd w:id="319"/>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B95D2A" w:rsidRPr="00663AD0"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5764F6" w:rsidRDefault="00B95D2A" w:rsidP="00B95D2A"/>
        </w:tc>
        <w:tc>
          <w:tcPr>
            <w:tcW w:w="2712"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B95D2A" w:rsidRPr="00B95D2A" w:rsidRDefault="00B95D2A" w:rsidP="00B95D2A">
            <w:pPr>
              <w:cnfStyle w:val="100000000000" w:firstRow="1" w:lastRow="0" w:firstColumn="0" w:lastColumn="0" w:oddVBand="0" w:evenVBand="0" w:oddHBand="0" w:evenHBand="0" w:firstRowFirstColumn="0" w:firstRowLastColumn="0" w:lastRowFirstColumn="0" w:lastRowLastColumn="0"/>
            </w:pPr>
            <w:r w:rsidRPr="005764F6">
              <w:t>Face Value</w:t>
            </w:r>
          </w:p>
        </w:tc>
      </w:tr>
      <w:tr w:rsidR="00B95D2A" w:rsidRPr="00663AD0"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B95D2A" w:rsidRDefault="00B95D2A" w:rsidP="00B95D2A">
            <w:r w:rsidRPr="005764F6">
              <w:t xml:space="preserve">Return on </w:t>
            </w:r>
            <w:r w:rsidRPr="00B95D2A">
              <w:t>debt</w:t>
            </w:r>
          </w:p>
        </w:tc>
        <w:tc>
          <w:tcPr>
            <w:tcW w:w="2712"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B95D2A" w:rsidRPr="00B95D2A" w:rsidRDefault="00B95D2A" w:rsidP="00B95D2A">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B95D2A" w:rsidRPr="00663AD0"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B95D2A" w:rsidRDefault="00B95D2A" w:rsidP="00B95D2A">
            <w:r w:rsidRPr="005764F6">
              <w:t xml:space="preserve">Risk Free </w:t>
            </w:r>
            <w:r w:rsidRPr="00B95D2A">
              <w:t>Rate</w:t>
            </w:r>
          </w:p>
        </w:tc>
        <w:tc>
          <w:tcPr>
            <w:tcW w:w="2712"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B95D2A" w:rsidRPr="00B95D2A" w:rsidRDefault="00B95D2A" w:rsidP="00B95D2A">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B95D2A" w:rsidRPr="005764F6" w:rsidRDefault="00B95D2A" w:rsidP="00B95D2A">
      <w:r w:rsidRPr="005764F6">
        <w:t xml:space="preserve">As is evident in </w:t>
      </w:r>
      <w:r>
        <w:fldChar w:fldCharType="begin"/>
      </w:r>
      <w:r>
        <w:instrText xml:space="preserve"> REF  _Ref450297391 \* Lower \h  \* MERGEFORMAT </w:instrText>
      </w:r>
      <w:r>
        <w:fldChar w:fldCharType="separate"/>
      </w:r>
      <w:r w:rsidR="003E419A" w:rsidRPr="005764F6">
        <w:t xml:space="preserve">table </w:t>
      </w:r>
      <w:r w:rsidR="003E419A">
        <w:t>4</w:t>
      </w:r>
      <w:r w:rsidR="003E419A" w:rsidRPr="005764F6">
        <w:noBreakHyphen/>
      </w:r>
      <w:r w:rsidR="003E419A">
        <w:t>12</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B95D2A" w:rsidRPr="005053A1" w:rsidRDefault="00B95D2A" w:rsidP="00B95D2A">
      <w:r w:rsidRPr="005053A1">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447"/>
      </w:r>
    </w:p>
    <w:p w:rsidR="00B95D2A" w:rsidRPr="00663AD0" w:rsidRDefault="00B95D2A" w:rsidP="00B95D2A">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B95D2A" w:rsidRPr="005764F6" w:rsidRDefault="00B95D2A" w:rsidP="00B95D2A">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B95D2A" w:rsidRDefault="00B95D2A" w:rsidP="00B95D2A">
      <w:r w:rsidRPr="005764F6">
        <w:t xml:space="preserve">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w:t>
      </w:r>
      <w:r w:rsidRPr="005764F6">
        <w:lastRenderedPageBreak/>
        <w:t>from observed post company tax returns before these personal costs and taxes are incurred (</w:t>
      </w:r>
      <w:r>
        <w:t>for example,</w:t>
      </w:r>
      <w:r w:rsidRPr="005764F6">
        <w:t xml:space="preserve"> historical estimates of the MRP are before personal costs have been incurred).</w:t>
      </w:r>
    </w:p>
    <w:p w:rsidR="00B95D2A" w:rsidRDefault="00B95D2A" w:rsidP="00B95D2A">
      <w:r>
        <w:t>Lally agrees that our approach to estimating gamma is consistent with the way we estimate the cost of equity:</w:t>
      </w:r>
      <w:r>
        <w:rPr>
          <w:rStyle w:val="FootnoteReference"/>
        </w:rPr>
        <w:footnoteReference w:id="448"/>
      </w:r>
    </w:p>
    <w:p w:rsidR="00B95D2A" w:rsidRPr="00B95D2A" w:rsidRDefault="00B95D2A" w:rsidP="00AC29DB">
      <w:pPr>
        <w:pStyle w:val="AERquote"/>
      </w:pPr>
      <w:r w:rsidRPr="00B95D2A">
        <w:t>The AER estimates the cost of equity using the Officer model, gamma is a parameter within that model, and therefore the AER must estimate gamma as defined within the Officer model. A rigorous derivation of the Officer model (Lally and van Zijl, 2003) reveals that gamma is the product of the distribution rate for credits (the proportion of company taxes paid to the ATO that are attached to dividends as credits) and a utilization rate for credits (a weighted-average over investors’ utilization rates for the credits). The methods used by the AER for estimating these two parameters are consistent with their definitions.</w:t>
      </w:r>
    </w:p>
    <w:p w:rsidR="00B95D2A" w:rsidRDefault="00B95D2A" w:rsidP="00B95D2A">
      <w:pPr>
        <w:pStyle w:val="Heading9"/>
      </w:pPr>
      <w:bookmarkStart w:id="320" w:name="_Toc450119269"/>
      <w:bookmarkStart w:id="321" w:name="_Toc450119429"/>
      <w:bookmarkStart w:id="322" w:name="_Ref477196710"/>
      <w:bookmarkStart w:id="323" w:name="_Toc479693986"/>
      <w:bookmarkStart w:id="324" w:name="_Toc480815632"/>
      <w:bookmarkStart w:id="325" w:name="_Ref414099389"/>
      <w:bookmarkStart w:id="326" w:name="_Toc456614313"/>
      <w:bookmarkStart w:id="327" w:name="_Toc462823327"/>
      <w:bookmarkEnd w:id="320"/>
      <w:bookmarkEnd w:id="321"/>
      <w:r>
        <w:t>Market Risk Premium adjustment for gamma</w:t>
      </w:r>
      <w:bookmarkEnd w:id="322"/>
      <w:bookmarkEnd w:id="323"/>
      <w:bookmarkEnd w:id="324"/>
    </w:p>
    <w:p w:rsidR="00B95D2A" w:rsidRPr="00245EB8" w:rsidRDefault="00B95D2A" w:rsidP="00B95D2A">
      <w:r w:rsidRPr="00245EB8">
        <w:t xml:space="preserve">In regard to the how the return on equity is </w:t>
      </w:r>
      <w:r>
        <w:t>estimat</w:t>
      </w:r>
      <w:r w:rsidRPr="00245EB8">
        <w:t>ed, it is set out in the Officer paper:</w:t>
      </w:r>
    </w:p>
    <w:p w:rsidR="00B95D2A" w:rsidRPr="00245EB8" w:rsidRDefault="00B95D2A" w:rsidP="00B95D2A"/>
    <w:p w:rsidR="00B95D2A" w:rsidRPr="00245EB8" w:rsidRDefault="00B95D2A" w:rsidP="00B95D2A">
      <w:r w:rsidRPr="00B95D2A">
        <w:rPr>
          <w:noProof/>
          <w:lang w:eastAsia="en-AU"/>
        </w:rPr>
        <w:drawing>
          <wp:inline distT="0" distB="0" distL="0" distR="0" wp14:anchorId="0DED8915" wp14:editId="6CB09C4E">
            <wp:extent cx="4448175" cy="78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B95D2A" w:rsidRPr="00245EB8" w:rsidRDefault="00B95D2A" w:rsidP="00B95D2A"/>
    <w:p w:rsidR="00B95D2A" w:rsidRPr="00245EB8" w:rsidRDefault="00B95D2A" w:rsidP="00B95D2A">
      <w:r w:rsidRPr="00B95D2A">
        <w:rPr>
          <w:noProof/>
          <w:lang w:eastAsia="en-AU"/>
        </w:rPr>
        <w:drawing>
          <wp:inline distT="0" distB="0" distL="0" distR="0" wp14:anchorId="4E694695" wp14:editId="37C5B1B3">
            <wp:extent cx="9525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 cy="158750"/>
                    </a:xfrm>
                    <a:prstGeom prst="rect">
                      <a:avLst/>
                    </a:prstGeom>
                    <a:noFill/>
                    <a:ln>
                      <a:noFill/>
                    </a:ln>
                  </pic:spPr>
                </pic:pic>
              </a:graphicData>
            </a:graphic>
          </wp:inline>
        </w:drawing>
      </w:r>
      <w:r w:rsidRPr="00245EB8">
        <w:t xml:space="preserve"> is defined earlier on page 4 of the Officer paper, as the proportion of tax collected form the company which gives rise to the tax credit associated with a franked dividend. Officer defines this as the franking credit that can be utilized as </w:t>
      </w:r>
      <w:r>
        <w:t xml:space="preserve">a </w:t>
      </w:r>
      <w:r w:rsidRPr="00245EB8">
        <w:t xml:space="preserve">tax credit against personal tax liabilities of the shareholder. </w:t>
      </w:r>
    </w:p>
    <w:p w:rsidR="00B95D2A" w:rsidRPr="00245EB8" w:rsidRDefault="00B95D2A" w:rsidP="00B95D2A">
      <w:r w:rsidRPr="00245EB8">
        <w:t>When determining the return on equity, it is the Market Risk Premium (MRP) that is adjusted for the effect of imputation credits. The AER use two approaches to determine the MRP: (1) historical excess returns and (2) the dividend growth model. The mathematical formula for the imputation credit adjustment for both approaches is outlined below.</w:t>
      </w:r>
    </w:p>
    <w:p w:rsidR="00B95D2A" w:rsidRPr="00245EB8" w:rsidRDefault="00B95D2A" w:rsidP="00AC29DB">
      <w:pPr>
        <w:pStyle w:val="HeadingOrange"/>
      </w:pPr>
      <w:bookmarkStart w:id="328" w:name="_Toc479693987"/>
      <w:r w:rsidRPr="00245EB8">
        <w:t>Historical excess returns</w:t>
      </w:r>
      <w:bookmarkEnd w:id="328"/>
    </w:p>
    <w:p w:rsidR="00B95D2A" w:rsidRPr="00245EB8" w:rsidRDefault="00B95D2A" w:rsidP="00B95D2A">
      <w:r w:rsidRPr="00245EB8">
        <w:t xml:space="preserve">For historical excess returns, we adjust the returns for imputation credits using the methodology applied </w:t>
      </w:r>
      <w:r>
        <w:t xml:space="preserve">in </w:t>
      </w:r>
      <w:r w:rsidRPr="00245EB8">
        <w:t xml:space="preserve">Brailsford et al. The adjustment proposed by Brailsford is different </w:t>
      </w:r>
      <w:r w:rsidRPr="00245EB8">
        <w:lastRenderedPageBreak/>
        <w:t xml:space="preserve">depending on whether the data is pre-1998 or post-1998. For pre-1998, the AER adjusts the MRP for imputation credits using the following formula: </w:t>
      </w:r>
      <w:r>
        <w:rPr>
          <w:rStyle w:val="FootnoteReference"/>
        </w:rPr>
        <w:footnoteReference w:id="449"/>
      </w:r>
    </w:p>
    <w:p w:rsidR="00B95D2A" w:rsidRPr="00245EB8" w:rsidRDefault="00B95D2A" w:rsidP="00B95D2A"/>
    <w:p w:rsidR="00B95D2A" w:rsidRPr="00245EB8" w:rsidRDefault="00B95D2A" w:rsidP="00B95D2A">
      <w:r w:rsidRPr="00B95D2A">
        <w:rPr>
          <w:noProof/>
          <w:lang w:eastAsia="en-AU"/>
        </w:rPr>
        <w:drawing>
          <wp:inline distT="0" distB="0" distL="0" distR="0" wp14:anchorId="363EE543" wp14:editId="25EE0EE3">
            <wp:extent cx="4638675" cy="504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8675" cy="504825"/>
                    </a:xfrm>
                    <a:prstGeom prst="rect">
                      <a:avLst/>
                    </a:prstGeom>
                    <a:noFill/>
                    <a:ln>
                      <a:noFill/>
                    </a:ln>
                  </pic:spPr>
                </pic:pic>
              </a:graphicData>
            </a:graphic>
          </wp:inline>
        </w:drawing>
      </w:r>
    </w:p>
    <w:p w:rsidR="00B95D2A" w:rsidRPr="00245EB8" w:rsidRDefault="00B95D2A" w:rsidP="00B95D2A"/>
    <w:p w:rsidR="00B95D2A" w:rsidRPr="00245EB8" w:rsidRDefault="00B95D2A" w:rsidP="00B95D2A">
      <w:r w:rsidRPr="00245EB8">
        <w:t>Where d</w:t>
      </w:r>
      <w:r w:rsidRPr="00AC29DB">
        <w:rPr>
          <w:rStyle w:val="AERsubscript"/>
        </w:rPr>
        <w:t>t</w:t>
      </w:r>
      <w:r w:rsidRPr="00245EB8">
        <w:t xml:space="preserve"> represents the annual dividend yield implied from the Historical Stock Price Index and the Historical Stock Accumulation Index, p</w:t>
      </w:r>
      <w:r w:rsidRPr="00AC29DB">
        <w:rPr>
          <w:rStyle w:val="AERsubscript"/>
        </w:rPr>
        <w:t>t</w:t>
      </w:r>
      <w:r w:rsidRPr="00245EB8">
        <w:t xml:space="preserve"> is the (average) proportion franked and T</w:t>
      </w:r>
      <w:r w:rsidRPr="00AC29DB">
        <w:rPr>
          <w:rStyle w:val="AERsubscript"/>
        </w:rPr>
        <w:t>t</w:t>
      </w:r>
      <w:r w:rsidRPr="00245EB8">
        <w:t xml:space="preserve"> is the tax rate at which dividends are franked. </w:t>
      </w:r>
    </w:p>
    <w:p w:rsidR="00B95D2A" w:rsidRPr="00245EB8" w:rsidRDefault="00B95D2A" w:rsidP="00B95D2A">
      <w:r w:rsidRPr="00245EB8">
        <w:t>This C</w:t>
      </w:r>
      <w:r w:rsidRPr="009875E3">
        <w:rPr>
          <w:rStyle w:val="AERsubscript"/>
        </w:rPr>
        <w:t>t</w:t>
      </w:r>
      <w:r w:rsidRPr="00245EB8">
        <w:t xml:space="preserve"> value can be directly substituted into Officer</w:t>
      </w:r>
      <w:r w:rsidR="009619EF">
        <w:t>'</w:t>
      </w:r>
      <w:r w:rsidRPr="00245EB8">
        <w:t>s formula (15) above. It is important to note that d</w:t>
      </w:r>
      <w:r w:rsidRPr="00AC29DB">
        <w:rPr>
          <w:rStyle w:val="AERsubscript"/>
        </w:rPr>
        <w:t>t</w:t>
      </w:r>
      <w:r w:rsidRPr="00245EB8">
        <w:t xml:space="preserve"> is the face value of the dividend and it determines the face value of the imputation credit when multiplying the face value of the dividend by T/(1-T).</w:t>
      </w:r>
    </w:p>
    <w:p w:rsidR="00B95D2A" w:rsidRPr="00245EB8" w:rsidRDefault="00B95D2A" w:rsidP="00B95D2A">
      <w:r w:rsidRPr="00245EB8">
        <w:t>For the period post 1998 the AER does not adjust for imputation using the formula above. Instead the AER obtains the imputation credit adjustment using the (weighted) average imputation credit yield on the ASX All Ordinaries index for the 12 months ending December of each year, as sourced from the Australian Taxation Office.</w:t>
      </w:r>
      <w:r>
        <w:rPr>
          <w:rStyle w:val="FootnoteReference"/>
        </w:rPr>
        <w:footnoteReference w:id="450"/>
      </w:r>
      <w:r w:rsidRPr="00245EB8">
        <w:t xml:space="preserve"> From this source we obtain C</w:t>
      </w:r>
      <w:r w:rsidRPr="00AC29DB">
        <w:rPr>
          <w:rStyle w:val="AERsubscript"/>
        </w:rPr>
        <w:t>t</w:t>
      </w:r>
      <w:r w:rsidRPr="00245EB8">
        <w:t>/p</w:t>
      </w:r>
      <w:r w:rsidRPr="00AC29DB">
        <w:rPr>
          <w:rStyle w:val="AERsubscript"/>
        </w:rPr>
        <w:t>t-1</w:t>
      </w:r>
      <w:r w:rsidRPr="00245EB8">
        <w:t xml:space="preserve"> which can be inserted</w:t>
      </w:r>
      <w:r>
        <w:t xml:space="preserve"> into the Officer formula (15). </w:t>
      </w:r>
      <w:r w:rsidRPr="00245EB8">
        <w:t>As before Ct is the face value of the imputation credit.</w:t>
      </w:r>
    </w:p>
    <w:p w:rsidR="00B95D2A" w:rsidRPr="00245EB8" w:rsidRDefault="00B95D2A" w:rsidP="00AC29DB">
      <w:pPr>
        <w:pStyle w:val="HeadingOrange"/>
      </w:pPr>
      <w:bookmarkStart w:id="329" w:name="_Toc479693988"/>
      <w:r w:rsidRPr="00245EB8">
        <w:t>Dividend growth model</w:t>
      </w:r>
      <w:bookmarkEnd w:id="329"/>
    </w:p>
    <w:p w:rsidR="00B95D2A" w:rsidRPr="00245EB8" w:rsidRDefault="00B95D2A" w:rsidP="00B95D2A">
      <w:r w:rsidRPr="00245EB8">
        <w:t>In the dividend growth model, the face value of cash dividends is multiplied by the formula below to determine the gross dividend which is the sum of the face value of the cash dividend and the face v</w:t>
      </w:r>
      <w:r>
        <w:t>alue of the imputation credit.</w:t>
      </w:r>
    </w:p>
    <w:p w:rsidR="00B95D2A" w:rsidRPr="00245EB8" w:rsidRDefault="00B95D2A" w:rsidP="00B95D2A"/>
    <w:p w:rsidR="00B95D2A" w:rsidRPr="00245EB8" w:rsidRDefault="00B95D2A" w:rsidP="00B95D2A">
      <w:r w:rsidRPr="00B95D2A">
        <w:rPr>
          <w:noProof/>
          <w:lang w:eastAsia="en-AU"/>
        </w:rPr>
        <w:drawing>
          <wp:inline distT="0" distB="0" distL="0" distR="0" wp14:anchorId="38BDE23F" wp14:editId="679D652C">
            <wp:extent cx="4448175" cy="781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48175" cy="781050"/>
                    </a:xfrm>
                    <a:prstGeom prst="rect">
                      <a:avLst/>
                    </a:prstGeom>
                    <a:noFill/>
                    <a:ln>
                      <a:noFill/>
                    </a:ln>
                  </pic:spPr>
                </pic:pic>
              </a:graphicData>
            </a:graphic>
          </wp:inline>
        </w:drawing>
      </w:r>
    </w:p>
    <w:p w:rsidR="00B95D2A" w:rsidRPr="00245EB8" w:rsidRDefault="00B95D2A" w:rsidP="00B95D2A"/>
    <w:p w:rsidR="00B95D2A" w:rsidRPr="00245EB8" w:rsidRDefault="00B95D2A" w:rsidP="00B95D2A">
      <w:r w:rsidRPr="00245EB8">
        <w:lastRenderedPageBreak/>
        <w:t>Although stated in different terms, this adjustment is identical to the Brailsford et al. adjustment for pre 1998 data. It is clear from this formula that it is the face value of the dividend that is used and when multiplied by T/(1-T) it determines the face value of the imputation credit.</w:t>
      </w:r>
    </w:p>
    <w:p w:rsidR="00B95D2A" w:rsidRPr="00B95D2A" w:rsidRDefault="00B95D2A" w:rsidP="00AC29DB">
      <w:r w:rsidRPr="00245EB8">
        <w:t xml:space="preserve">It is clear from the example above that the face value of the imputation credits multiplied by theta is added to the capital gains and dividend component to determine the return on equity. </w:t>
      </w:r>
      <w:r w:rsidRPr="00B95D2A">
        <w:t xml:space="preserve">Therefore, if the gamma estimate used is increased (decreased) then the estimates of the MRP based on historical data will also increase (decrease). </w:t>
      </w:r>
    </w:p>
    <w:p w:rsidR="00B95D2A" w:rsidRPr="00883125" w:rsidRDefault="00B95D2A" w:rsidP="00B95D2A">
      <w:pPr>
        <w:pStyle w:val="Heading9"/>
      </w:pPr>
      <w:bookmarkStart w:id="330" w:name="_Ref475361170"/>
      <w:bookmarkStart w:id="331" w:name="_Toc479693989"/>
      <w:bookmarkStart w:id="332" w:name="_Toc480815633"/>
      <w:r w:rsidRPr="00883125">
        <w:t>Factors affecting investors' valuation of imputation credits</w:t>
      </w:r>
      <w:bookmarkEnd w:id="325"/>
      <w:bookmarkEnd w:id="326"/>
      <w:bookmarkEnd w:id="327"/>
      <w:bookmarkEnd w:id="330"/>
      <w:bookmarkEnd w:id="331"/>
      <w:bookmarkEnd w:id="332"/>
    </w:p>
    <w:p w:rsidR="00B95D2A" w:rsidRDefault="00B95D2A" w:rsidP="00B95D2A">
      <w:r w:rsidRPr="00883125">
        <w:t xml:space="preserve">A </w:t>
      </w:r>
      <w:r>
        <w:t xml:space="preserve">large </w:t>
      </w:r>
      <w:r w:rsidRPr="00883125">
        <w:t>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451"/>
      </w:r>
      <w:r w:rsidRPr="00883125">
        <w:t xml:space="preserve"> </w:t>
      </w:r>
      <w:r>
        <w:t>They</w:t>
      </w:r>
      <w:r w:rsidRPr="00883125">
        <w:t xml:space="preserve"> </w:t>
      </w:r>
      <w:r>
        <w:t xml:space="preserve">have </w:t>
      </w:r>
      <w:r w:rsidRPr="00883125">
        <w:t>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452"/>
      </w:r>
      <w:r w:rsidRPr="00883125">
        <w:t xml:space="preserve"> </w:t>
      </w:r>
    </w:p>
    <w:p w:rsidR="00B95D2A" w:rsidRDefault="00B95D2A" w:rsidP="00B95D2A">
      <w:r w:rsidRPr="00883125">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453"/>
      </w:r>
      <w:r w:rsidRPr="00883125">
        <w:t xml:space="preserve"> Gray (for Frontier) supports this by submitting that </w:t>
      </w:r>
      <w:r>
        <w:t xml:space="preserve">the </w:t>
      </w:r>
      <w:r w:rsidRPr="00883125">
        <w:t xml:space="preserve">redemption rate should be used as an upper bound (0.45-0.46) for utilisation value and that it should not be </w:t>
      </w:r>
      <w:r w:rsidRPr="00883125">
        <w:lastRenderedPageBreak/>
        <w:t>used as a point estimate for the utilisation rate.</w:t>
      </w:r>
      <w:r w:rsidRPr="00883125">
        <w:rPr>
          <w:rStyle w:val="FootnoteReference"/>
        </w:rPr>
        <w:footnoteReference w:id="454"/>
      </w:r>
      <w:r w:rsidRPr="00883125">
        <w:t xml:space="preserve"> </w:t>
      </w:r>
      <w:r>
        <w:t>Similarly, Frontier considers that redemption rates cannot be used to estimate theta as they at best provide an upper bound for theta.</w:t>
      </w:r>
      <w:r>
        <w:rPr>
          <w:rStyle w:val="FootnoteReference"/>
        </w:rPr>
        <w:footnoteReference w:id="455"/>
      </w:r>
      <w:r>
        <w:t xml:space="preserve"> However, </w:t>
      </w:r>
      <w:r w:rsidRPr="00883125">
        <w:t>Gray (for Frontier) considers that the tax statistics estimate should be preferred to the equity ownership estimate.</w:t>
      </w:r>
      <w:r w:rsidRPr="00883125">
        <w:rPr>
          <w:rStyle w:val="FootnoteReference"/>
        </w:rPr>
        <w:footnoteReference w:id="456"/>
      </w:r>
    </w:p>
    <w:p w:rsidR="00B95D2A" w:rsidRPr="00883125" w:rsidRDefault="00B95D2A" w:rsidP="00B95D2A">
      <w:r>
        <w:t>We</w:t>
      </w:r>
      <w:r w:rsidRPr="00883125">
        <w:t xml:space="preserve"> addressed each of these factors in our prior decisions, and concluded that they are either immaterial or should not be accounted for when estimating the properly defined utilisation value. Nothing in the service providers' </w:t>
      </w:r>
      <w:r>
        <w:t>proposals</w:t>
      </w:r>
      <w:r w:rsidRPr="00883125">
        <w:t xml:space="preserve">, or in the </w:t>
      </w:r>
      <w:r>
        <w:t xml:space="preserve">recent Ausgrid </w:t>
      </w:r>
      <w:r w:rsidRPr="00883125">
        <w:t>Tribunal decision</w:t>
      </w:r>
      <w:r>
        <w:t>,</w:t>
      </w:r>
      <w:r w:rsidRPr="00883125">
        <w:t xml:space="preserve"> give us cause to change this conclusion. </w:t>
      </w:r>
      <w:r w:rsidR="00ED7EC6">
        <w:t>W</w:t>
      </w:r>
      <w:r w:rsidRPr="00883125">
        <w:t>e have expanded on the following points in other sections of this decision:</w:t>
      </w:r>
    </w:p>
    <w:p w:rsidR="00B95D2A" w:rsidRPr="001D37D5" w:rsidRDefault="00B95D2A" w:rsidP="00B95D2A">
      <w:pPr>
        <w:pStyle w:val="AERbulletlistfirststyle"/>
      </w:pPr>
      <w:r w:rsidRPr="00883125">
        <w:t xml:space="preserve">Why estimates from tax </w:t>
      </w:r>
      <w:r w:rsidRPr="001D37D5">
        <w:t xml:space="preserve">statistics and the equity ownership approach are not upper bounds and can be used as valid point estimates for the utilisation rate (or theta). See sections </w:t>
      </w:r>
      <w:r w:rsidRPr="001D37D5">
        <w:fldChar w:fldCharType="begin"/>
      </w:r>
      <w:r w:rsidRPr="001D37D5">
        <w:instrText xml:space="preserve"> REF _Ref415049811 \r \h </w:instrText>
      </w:r>
      <w:r w:rsidRPr="001D37D5">
        <w:fldChar w:fldCharType="separate"/>
      </w:r>
      <w:r w:rsidR="003E419A">
        <w:t>A.12</w:t>
      </w:r>
      <w:r w:rsidRPr="001D37D5">
        <w:fldChar w:fldCharType="end"/>
      </w:r>
      <w:r w:rsidRPr="001D37D5">
        <w:t xml:space="preserve">, </w:t>
      </w:r>
      <w:r w:rsidRPr="001D37D5">
        <w:fldChar w:fldCharType="begin"/>
      </w:r>
      <w:r w:rsidRPr="001D37D5">
        <w:instrText xml:space="preserve"> REF _Ref402179420 \r \h </w:instrText>
      </w:r>
      <w:r w:rsidRPr="001D37D5">
        <w:fldChar w:fldCharType="separate"/>
      </w:r>
      <w:r w:rsidR="003E419A">
        <w:t>A.13</w:t>
      </w:r>
      <w:r w:rsidRPr="001D37D5">
        <w:fldChar w:fldCharType="end"/>
      </w:r>
    </w:p>
    <w:p w:rsidR="00B95D2A" w:rsidRPr="001D37D5" w:rsidRDefault="00B95D2A" w:rsidP="00B95D2A">
      <w:pPr>
        <w:pStyle w:val="AERbulletlistfirststyle"/>
      </w:pPr>
      <w:r w:rsidRPr="00883125">
        <w:t xml:space="preserve">Why the 45 day rule </w:t>
      </w:r>
      <w:r w:rsidRPr="001D37D5">
        <w:t>and other factors preventing utilisation by eligible investors are not expected to be responsible for the difference between the estimated utilisation rate from tax statistics and the equity ownership approach. See the following sub section.</w:t>
      </w:r>
    </w:p>
    <w:p w:rsidR="00B95D2A" w:rsidRPr="00883125" w:rsidRDefault="00B95D2A" w:rsidP="00B95D2A">
      <w:pPr>
        <w:pStyle w:val="HeadingBoldBlue"/>
        <w:numPr>
          <w:ilvl w:val="0"/>
          <w:numId w:val="24"/>
        </w:numPr>
      </w:pPr>
      <w:bookmarkStart w:id="333" w:name="_Toc456614314"/>
      <w:bookmarkStart w:id="334" w:name="_Toc479693990"/>
      <w:r w:rsidRPr="00883125">
        <w:t>The 45-day holding rule</w:t>
      </w:r>
      <w:bookmarkEnd w:id="333"/>
      <w:bookmarkEnd w:id="334"/>
    </w:p>
    <w:p w:rsidR="00B95D2A" w:rsidRPr="00883125" w:rsidRDefault="00B95D2A" w:rsidP="00B95D2A">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457"/>
      </w:r>
      <w:r w:rsidRPr="00883125">
        <w:t xml:space="preserve"> However, this rule does not apply if the investor's total credit entitlement is below $5,000.</w:t>
      </w:r>
      <w:r>
        <w:t xml:space="preserve"> </w:t>
      </w:r>
      <w:r w:rsidRPr="00883125">
        <w:t>A number of service providers stated:</w:t>
      </w:r>
      <w:r w:rsidRPr="00883125">
        <w:rPr>
          <w:rStyle w:val="FootnoteReference"/>
        </w:rPr>
        <w:footnoteReference w:id="458"/>
      </w:r>
    </w:p>
    <w:p w:rsidR="00B95D2A" w:rsidRPr="00CA67C0" w:rsidRDefault="00B95D2A" w:rsidP="00B95D2A">
      <w:pPr>
        <w:pStyle w:val="AERquote"/>
      </w:pPr>
      <w:r w:rsidRPr="00883125">
        <w:t>It has been estimated that the 45-day rule has about a 5-10% impact on the redemption rate.</w:t>
      </w:r>
    </w:p>
    <w:p w:rsidR="00B95D2A" w:rsidRPr="00883125" w:rsidRDefault="00B95D2A" w:rsidP="00B95D2A">
      <w:pPr>
        <w:numPr>
          <w:ilvl w:val="0"/>
          <w:numId w:val="24"/>
        </w:numPr>
      </w:pPr>
      <w:r w:rsidRPr="00883125">
        <w:t>The source of this estimate is a 2010 paper by Handley. The relevant passage from this paper is:</w:t>
      </w:r>
      <w:r w:rsidRPr="00883125">
        <w:rPr>
          <w:rStyle w:val="FootnoteReference"/>
        </w:rPr>
        <w:footnoteReference w:id="459"/>
      </w:r>
    </w:p>
    <w:p w:rsidR="00B95D2A" w:rsidRPr="00883125" w:rsidRDefault="00B95D2A" w:rsidP="00B95D2A">
      <w:pPr>
        <w:pStyle w:val="AERquote"/>
      </w:pPr>
      <w:r w:rsidRPr="00883125">
        <w:t xml:space="preserve">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w:t>
      </w:r>
      <w:r w:rsidRPr="00883125">
        <w:lastRenderedPageBreak/>
        <w:t>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B95D2A" w:rsidRPr="00883125" w:rsidRDefault="00B95D2A" w:rsidP="00B95D2A">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460"/>
      </w:r>
      <w:r w:rsidRPr="00883125">
        <w:t xml:space="preserve"> Handley maintained this view in his April 2015 report.</w:t>
      </w:r>
      <w:r w:rsidRPr="00883125">
        <w:rPr>
          <w:rStyle w:val="FootnoteReference"/>
        </w:rPr>
        <w:footnoteReference w:id="461"/>
      </w:r>
    </w:p>
    <w:p w:rsidR="00B95D2A" w:rsidRPr="00883125" w:rsidRDefault="00B95D2A" w:rsidP="00B95D2A">
      <w:pPr>
        <w:numPr>
          <w:ilvl w:val="0"/>
          <w:numId w:val="24"/>
        </w:numPr>
      </w:pPr>
      <w:r w:rsidRPr="00883125">
        <w:t>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reflect that credits for eligible investors that did not have a tax liability were not refundable in those years (whereas they are now refundable for cash).</w:t>
      </w:r>
    </w:p>
    <w:p w:rsidR="00B95D2A" w:rsidRPr="00883125" w:rsidRDefault="00B95D2A" w:rsidP="00B95D2A">
      <w:pPr>
        <w:numPr>
          <w:ilvl w:val="0"/>
          <w:numId w:val="24"/>
        </w:numPr>
      </w:pPr>
      <w:r>
        <w:t>T</w:t>
      </w:r>
      <w:r w:rsidRPr="00883125">
        <w:t xml:space="preserve">he </w:t>
      </w:r>
      <w:r>
        <w:t xml:space="preserve">Ausgrid </w:t>
      </w:r>
      <w:r w:rsidRPr="00883125">
        <w:t>Tribunal did not agree with ou</w:t>
      </w:r>
      <w:r>
        <w:t>r</w:t>
      </w:r>
      <w:r w:rsidRPr="00883125">
        <w:t xml:space="preserve"> position.</w:t>
      </w:r>
      <w:r w:rsidRPr="00883125">
        <w:rPr>
          <w:rStyle w:val="FootnoteReference"/>
        </w:rPr>
        <w:footnoteReference w:id="462"/>
      </w:r>
      <w:r w:rsidRPr="00883125">
        <w:t xml:space="preserve"> The </w:t>
      </w:r>
      <w:r>
        <w:t xml:space="preserve">Ausgrid </w:t>
      </w:r>
      <w:r w:rsidRPr="00883125">
        <w:t>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463"/>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w:t>
      </w:r>
      <w:r w:rsidRPr="00883125">
        <w:lastRenderedPageBreak/>
        <w:t xml:space="preserve">clarity,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B95D2A" w:rsidRPr="00883125" w:rsidRDefault="00B95D2A" w:rsidP="00B95D2A">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464"/>
      </w:r>
      <w:r w:rsidRPr="00883125">
        <w:t xml:space="preserve"> We know that the amount of imputation credits attached to a dollar of fully franked dividends is $0.43 ($1 x 0.3/(1–0.3)).</w:t>
      </w:r>
      <w:r w:rsidRPr="00883125">
        <w:rPr>
          <w:rStyle w:val="FootnoteReference"/>
        </w:rPr>
        <w:footnoteReference w:id="465"/>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3E419A" w:rsidRPr="00883125">
        <w:t xml:space="preserve">Table </w:t>
      </w:r>
      <w:r w:rsidR="003E419A">
        <w:rPr>
          <w:noProof/>
        </w:rPr>
        <w:t>4</w:t>
      </w:r>
      <w:r w:rsidR="003E419A">
        <w:noBreakHyphen/>
      </w:r>
      <w:r w:rsidR="003E419A">
        <w:rPr>
          <w:noProof/>
        </w:rPr>
        <w:t>13</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466"/>
      </w:r>
      <w:r w:rsidRPr="00883125">
        <w:t xml:space="preserve"> This suggests that the 45-day holding rule is not having a material effect.</w:t>
      </w:r>
    </w:p>
    <w:p w:rsidR="00B95D2A" w:rsidRPr="00883125" w:rsidRDefault="00B95D2A" w:rsidP="00B95D2A">
      <w:pPr>
        <w:pStyle w:val="Caption"/>
      </w:pPr>
      <w:bookmarkStart w:id="335" w:name="_Ref401848641"/>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13</w:t>
      </w:r>
      <w:r w:rsidRPr="001D37D5">
        <w:fldChar w:fldCharType="end"/>
      </w:r>
      <w:bookmarkEnd w:id="335"/>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B95D2A"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p>
        </w:tc>
        <w:tc>
          <w:tcPr>
            <w:tcW w:w="2712"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Fully franked dividends received</w:t>
            </w:r>
          </w:p>
        </w:tc>
        <w:tc>
          <w:tcPr>
            <w:tcW w:w="271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rPr>
                <w:rStyle w:val="AERtextitalic"/>
              </w:rPr>
            </w:pPr>
            <w:r w:rsidRPr="00883125">
              <w:rPr>
                <w:rStyle w:val="AERtextitalic"/>
              </w:rPr>
              <w:t>Implied imputation credits received</w:t>
            </w:r>
          </w:p>
        </w:tc>
        <w:tc>
          <w:tcPr>
            <w:tcW w:w="2712"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Imputation credits utilised</w:t>
            </w:r>
          </w:p>
        </w:tc>
        <w:tc>
          <w:tcPr>
            <w:tcW w:w="271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B95D2A" w:rsidRPr="00883125" w:rsidRDefault="00B95D2A" w:rsidP="00B95D2A">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B95D2A" w:rsidRPr="00883125" w:rsidRDefault="00B95D2A" w:rsidP="00B95D2A">
      <w:r w:rsidRPr="00883125">
        <w:lastRenderedPageBreak/>
        <w:t>However, service providers submit</w:t>
      </w:r>
      <w:r>
        <w:t>ted</w:t>
      </w:r>
      <w:r w:rsidRPr="00883125">
        <w:t xml:space="preserve"> the analysis that underpins this analysis is based on data that is unreliable.</w:t>
      </w:r>
      <w:r w:rsidRPr="00883125">
        <w:rPr>
          <w:rStyle w:val="FootnoteReference"/>
        </w:rPr>
        <w:footnoteReference w:id="467"/>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3E419A">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B95D2A" w:rsidRPr="00883125" w:rsidRDefault="00B95D2A" w:rsidP="00B95D2A">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468"/>
      </w:r>
    </w:p>
    <w:p w:rsidR="00B95D2A" w:rsidRPr="00883125" w:rsidRDefault="00B95D2A" w:rsidP="00B95D2A">
      <w:pPr>
        <w:pStyle w:val="AERquote"/>
      </w:pPr>
      <w:r w:rsidRPr="00883125">
        <w:t>The AER seeks to dismiss the impact of tax rules affecting eligibility of domestic investors to redeem imputation credits by saying that:</w:t>
      </w:r>
    </w:p>
    <w:p w:rsidR="00B95D2A" w:rsidRPr="00883125" w:rsidRDefault="00B95D2A" w:rsidP="00B95D2A">
      <w:pPr>
        <w:pStyle w:val="AERquoteindent2"/>
      </w:pPr>
      <w:r w:rsidRPr="00883125">
        <w:t>“…we do not consider that there is clear evidence as to effect that these rules have or should be expected to have.”</w:t>
      </w:r>
    </w:p>
    <w:p w:rsidR="00B95D2A" w:rsidRPr="00883125" w:rsidRDefault="00B95D2A" w:rsidP="00B95D2A">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B95D2A" w:rsidRPr="00883125" w:rsidRDefault="00B95D2A" w:rsidP="00B95D2A">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B95D2A" w:rsidRPr="00883125" w:rsidRDefault="00B95D2A" w:rsidP="00B95D2A">
      <w:r w:rsidRPr="00883125">
        <w:t xml:space="preserve">We do not consider that this represents clear evidence as to the effect of the 45-day rule and other tax rules. First, the service providers' approach does not contemplate error or inaccuracy in the tax statistics. In section </w:t>
      </w:r>
      <w:r>
        <w:fldChar w:fldCharType="begin"/>
      </w:r>
      <w:r>
        <w:instrText xml:space="preserve"> REF _Ref476650811 \r \h </w:instrText>
      </w:r>
      <w:r>
        <w:fldChar w:fldCharType="separate"/>
      </w:r>
      <w:r w:rsidR="003E419A">
        <w:rPr>
          <w:b/>
          <w:bCs/>
          <w:lang w:val="en-US"/>
        </w:rPr>
        <w:t>Error! Reference source not found.</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w:t>
      </w:r>
      <w:r w:rsidRPr="00883125">
        <w:lastRenderedPageBreak/>
        <w:t>tax statistics because of significant unresolved problems with the data.</w:t>
      </w:r>
      <w:r w:rsidRPr="00883125">
        <w:rPr>
          <w:rStyle w:val="FootnoteReference"/>
        </w:rPr>
        <w:footnoteReference w:id="469"/>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470"/>
      </w:r>
      <w:r w:rsidRPr="00883125">
        <w:t xml:space="preserve"> we do not consider the above analysis provides compelling evidence that the 45 day rule is having a material impact given residual concerns with the data.</w:t>
      </w:r>
    </w:p>
    <w:p w:rsidR="00B95D2A" w:rsidRPr="00883125" w:rsidRDefault="00B95D2A" w:rsidP="00B95D2A">
      <w:pPr>
        <w:rPr>
          <w:rStyle w:val="AERbody"/>
        </w:rPr>
      </w:pPr>
      <w:r w:rsidRPr="00883125">
        <w:t>Second,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B95D2A" w:rsidRPr="00883125" w:rsidRDefault="00B95D2A" w:rsidP="00B95D2A">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471"/>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472"/>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B95D2A" w:rsidRDefault="00B95D2A" w:rsidP="00B95D2A">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473"/>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B95D2A" w:rsidRPr="00B27BE5" w:rsidRDefault="00B95D2A" w:rsidP="00B95D2A">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474"/>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475"/>
      </w:r>
    </w:p>
    <w:p w:rsidR="00B95D2A" w:rsidRPr="00883125" w:rsidRDefault="00B95D2A" w:rsidP="00B95D2A">
      <w:pPr>
        <w:pStyle w:val="HeadingBoldBlue"/>
        <w:numPr>
          <w:ilvl w:val="0"/>
          <w:numId w:val="24"/>
        </w:numPr>
      </w:pPr>
      <w:bookmarkStart w:id="336" w:name="_Ref400540858"/>
      <w:bookmarkStart w:id="337" w:name="_Toc456614315"/>
      <w:bookmarkStart w:id="338" w:name="_Toc479693991"/>
      <w:r w:rsidRPr="00883125">
        <w:t>Transactions costs</w:t>
      </w:r>
      <w:bookmarkEnd w:id="336"/>
      <w:bookmarkEnd w:id="337"/>
      <w:bookmarkEnd w:id="338"/>
    </w:p>
    <w:p w:rsidR="00B95D2A" w:rsidRPr="00883125" w:rsidRDefault="00B95D2A" w:rsidP="00B95D2A">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476"/>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477"/>
      </w:r>
      <w:r>
        <w:t xml:space="preserve"> A 'transaction cost' at the investor level is a type of 'personal cost' and both terms are used interchangeably in this section.</w:t>
      </w:r>
    </w:p>
    <w:p w:rsidR="00B95D2A" w:rsidRPr="00883125" w:rsidRDefault="00B95D2A" w:rsidP="00B95D2A">
      <w:pPr>
        <w:numPr>
          <w:ilvl w:val="0"/>
          <w:numId w:val="24"/>
        </w:numPr>
      </w:pPr>
      <w:r w:rsidRPr="00883125">
        <w:t xml:space="preserve">Firstly, we note that Handley advised that we specifically </w:t>
      </w:r>
      <w:r>
        <w:t xml:space="preserve">do </w:t>
      </w:r>
      <w:r w:rsidRPr="00883125">
        <w:t>not take account of these costs:</w:t>
      </w:r>
      <w:r w:rsidRPr="00883125">
        <w:rPr>
          <w:rStyle w:val="FootnoteReference"/>
        </w:rPr>
        <w:footnoteReference w:id="478"/>
      </w:r>
    </w:p>
    <w:p w:rsidR="00B95D2A" w:rsidRPr="00883125" w:rsidRDefault="00B95D2A" w:rsidP="00B95D2A">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B95D2A" w:rsidRDefault="00B95D2A" w:rsidP="00B95D2A">
      <w:pPr>
        <w:numPr>
          <w:ilvl w:val="0"/>
          <w:numId w:val="24"/>
        </w:numPr>
      </w:pPr>
      <w:r>
        <w:lastRenderedPageBreak/>
        <w:t xml:space="preserve">To elaborate, all parameters and discount rates need to be measured on a consistent basis. </w:t>
      </w:r>
      <w:r w:rsidR="0051381B">
        <w:t>Some service providers submit</w:t>
      </w:r>
      <w:r>
        <w:t xml:space="preserve"> that its gamma estimate is based on the post personal tax and personal cost market value and this is consistent with the rules.</w:t>
      </w:r>
      <w:r>
        <w:rPr>
          <w:rStyle w:val="FootnoteReference"/>
        </w:rPr>
        <w:footnoteReference w:id="479"/>
      </w:r>
      <w:r>
        <w:t xml:space="preserve"> However, such an approach is incorrect as pre-personal tax/cost estimates cannot be used in conjunction with post personal tax/cost estimates. In a valuation all parameters need to be estimate on an internally consistent basis. </w:t>
      </w:r>
    </w:p>
    <w:p w:rsidR="00B95D2A" w:rsidRDefault="00B95D2A" w:rsidP="00B95D2A">
      <w:pPr>
        <w:numPr>
          <w:ilvl w:val="0"/>
          <w:numId w:val="24"/>
        </w:numPr>
      </w:pPr>
      <w:r>
        <w:t xml:space="preserve">A valuation can be conducted on many different bases, such as: </w:t>
      </w:r>
    </w:p>
    <w:p w:rsidR="00B95D2A" w:rsidRDefault="00B95D2A" w:rsidP="00F2175D">
      <w:pPr>
        <w:pStyle w:val="AERbulletlistfirststyle"/>
      </w:pPr>
      <w:r>
        <w:t>Nominal vs real</w:t>
      </w:r>
    </w:p>
    <w:p w:rsidR="00B95D2A" w:rsidRPr="00B95D2A" w:rsidRDefault="00B95D2A" w:rsidP="00F2175D">
      <w:pPr>
        <w:pStyle w:val="AERbulletlistfirststyle"/>
      </w:pPr>
      <w:r>
        <w:t>Pre-company tax vs post-company tax</w:t>
      </w:r>
    </w:p>
    <w:p w:rsidR="00B95D2A" w:rsidRPr="00B95D2A" w:rsidRDefault="00B95D2A" w:rsidP="00AC29DB">
      <w:r>
        <w:t xml:space="preserve">In accordance with the rules, </w:t>
      </w:r>
      <w:r w:rsidRPr="00B95D2A">
        <w:t xml:space="preserve">we set our cash flows on a nominal post-company tax basis. That is, our regulatory framework we use to set cash flows is effectively a post-company tax valuation framework. A post company tax analysis looks at the cash flows after company tax is paid and before investors incur personal level taxes and transaction costs. </w:t>
      </w:r>
    </w:p>
    <w:p w:rsidR="00B95D2A" w:rsidRPr="00B95D2A" w:rsidRDefault="00B95D2A" w:rsidP="00AC29DB">
      <w:r>
        <w:t>However, j</w:t>
      </w:r>
      <w:r w:rsidRPr="00B95D2A">
        <w:t>ust because our framework is done on a post-company tax basis (before personal costs and personal taxes are incurred) does not mean that investors are not compensated for their personal costs and personal taxes. Rather, post-company tax returns by definition provide investors adequate compensation to cover all their expected personal taxes and personal costs. In setting the WACC we provide an equity return in line with the post-tax return in the Australian stock market (for a firm of equivalent risk to the BEE). The ex-ante expected post-company tax return on the Australian stock market, directly estimated from historical stock returns, is before investors incur any personal costs or personal taxes. While we acknowledge that pre the introduction of the imputations credits in 1987 no incremental personal costs associated with imputation credits were reflected in stock prices, we have advice from Lally that these incremental costs are likely to be immaterial.</w:t>
      </w:r>
      <w:r w:rsidRPr="00B95D2A">
        <w:rPr>
          <w:rStyle w:val="FootnoteReference"/>
        </w:rPr>
        <w:footnoteReference w:id="480"/>
      </w:r>
      <w:r w:rsidRPr="00B95D2A">
        <w:t xml:space="preserve"> We also note that the observed market risk premium post 1987 is lower than earlier periods further supporting that no further compensation is required for any (expected immaterial) costs not reflected in earlier periods.</w:t>
      </w:r>
      <w:r w:rsidRPr="00B95D2A">
        <w:rPr>
          <w:rStyle w:val="FootnoteReference"/>
        </w:rPr>
        <w:footnoteReference w:id="481"/>
      </w:r>
    </w:p>
    <w:p w:rsidR="00B95D2A" w:rsidRPr="00B95D2A" w:rsidRDefault="00B95D2A" w:rsidP="00AC29DB">
      <w:pPr>
        <w:rPr>
          <w:rStyle w:val="AERbody"/>
        </w:rPr>
      </w:pPr>
      <w:r w:rsidRPr="00B95D2A">
        <w:rPr>
          <w:rStyle w:val="AERbody"/>
        </w:rPr>
        <w:t xml:space="preserve">Consistent with the post-company tax framework in the rules, the AER values redeemed imputation credits at their full face value on a pre-personal cost/tax basis. To the extent investors value redeemed imputation credits at less than their face value due to personal cost, this will be picked up in the market value of the stock which drives the difference between the pre and post personal cost return on equity. This is also supported by Lally who considers no adjustment is required to the MRP for transaction costs because empirical </w:t>
      </w:r>
      <w:r w:rsidRPr="00B95D2A">
        <w:rPr>
          <w:rStyle w:val="AERbody"/>
        </w:rPr>
        <w:lastRenderedPageBreak/>
        <w:t>estimates of the MRP will reflect the existence of any such costs.</w:t>
      </w:r>
      <w:r w:rsidRPr="00B95D2A">
        <w:rPr>
          <w:rStyle w:val="FootnoteReference"/>
        </w:rPr>
        <w:footnoteReference w:id="482"/>
      </w:r>
      <w:r w:rsidRPr="00B95D2A">
        <w:rPr>
          <w:rStyle w:val="AERbody"/>
        </w:rPr>
        <w:t xml:space="preserve"> Lally also notes that these costs will be expected to be immaterial.</w:t>
      </w:r>
      <w:r w:rsidRPr="00B95D2A">
        <w:rPr>
          <w:rStyle w:val="FootnoteReference"/>
        </w:rPr>
        <w:footnoteReference w:id="483"/>
      </w:r>
    </w:p>
    <w:p w:rsidR="00B95D2A" w:rsidRPr="00883125" w:rsidRDefault="00B95D2A" w:rsidP="00B95D2A">
      <w:pPr>
        <w:numPr>
          <w:ilvl w:val="0"/>
          <w:numId w:val="24"/>
        </w:numPr>
      </w:pPr>
      <w:r w:rsidRPr="00883125">
        <w:t>Second, we are not convinced that transactions costs are likely to dissuade a material number of investors from redeeming imputation credits. Our considerations on this are as follows:</w:t>
      </w:r>
    </w:p>
    <w:p w:rsidR="00B95D2A" w:rsidRPr="001D37D5" w:rsidRDefault="00B95D2A" w:rsidP="00B95D2A">
      <w:pPr>
        <w:pStyle w:val="AERbulletlistfirststyle"/>
      </w:pPr>
      <w:r w:rsidRPr="00883125">
        <w:t xml:space="preserve">When filling out a tax return, one is </w:t>
      </w:r>
      <w:r w:rsidRPr="001D37D5">
        <w:rPr>
          <w:rStyle w:val="AERtextitalic"/>
        </w:rPr>
        <w:t>required</w:t>
      </w:r>
      <w:r w:rsidRPr="001D37D5">
        <w:t xml:space="preserve"> to report the franked dividends received and the imputation credits that are eligible to be utilised.</w:t>
      </w:r>
      <w:r w:rsidRPr="001D37D5">
        <w:rPr>
          <w:rStyle w:val="FootnoteReference"/>
        </w:rPr>
        <w:footnoteReference w:id="484"/>
      </w:r>
    </w:p>
    <w:p w:rsidR="00B95D2A" w:rsidRPr="001D37D5" w:rsidRDefault="00B95D2A" w:rsidP="00B95D2A">
      <w:pPr>
        <w:pStyle w:val="AERbulletlistfirststyle"/>
      </w:pPr>
      <w:r w:rsidRPr="00883125">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1D37D5">
        <w:rPr>
          <w:rStyle w:val="FootnoteReference"/>
        </w:rPr>
        <w:footnoteReference w:id="485"/>
      </w:r>
    </w:p>
    <w:p w:rsidR="00B95D2A" w:rsidRPr="00883125" w:rsidRDefault="00B95D2A" w:rsidP="00B95D2A">
      <w:r w:rsidRPr="00883125">
        <w:t xml:space="preserve">As outlined in </w:t>
      </w:r>
      <w:r w:rsidRPr="00883125">
        <w:fldChar w:fldCharType="begin"/>
      </w:r>
      <w:r w:rsidRPr="00883125">
        <w:instrText xml:space="preserve"> REF _Ref450298425 \r \h </w:instrText>
      </w:r>
      <w:r w:rsidRPr="00883125">
        <w:fldChar w:fldCharType="separate"/>
      </w:r>
      <w:r w:rsidR="003E419A">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w:t>
      </w:r>
      <w:r>
        <w:t xml:space="preserve">company pre-personal </w:t>
      </w:r>
      <w:r w:rsidRPr="00883125">
        <w:t>tax returns before investor level transaction costs are incurred. We also consider any incremental costs associated with claiming imputation credits would be immaterial for the reasons outlined above.</w:t>
      </w:r>
    </w:p>
    <w:p w:rsidR="00B95D2A" w:rsidRDefault="00B95D2A" w:rsidP="00B95D2A">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w:t>
      </w:r>
      <w:r w:rsidRPr="00883125">
        <w:lastRenderedPageBreak/>
        <w:t>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B95D2A" w:rsidRDefault="00B95D2A" w:rsidP="00B95D2A">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86"/>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87"/>
      </w:r>
      <w:r>
        <w:t xml:space="preserve"> In his most recent report for us, Lally, while expressing the view personal costs could theoretically influence the results of a DDO study, considers these costs would be immaterial.</w:t>
      </w:r>
      <w:r>
        <w:rPr>
          <w:rStyle w:val="FootnoteReference"/>
        </w:rPr>
        <w:footnoteReference w:id="488"/>
      </w:r>
      <w:r>
        <w:t xml:space="preserve"> </w:t>
      </w:r>
    </w:p>
    <w:p w:rsidR="00B95D2A" w:rsidRPr="00883125" w:rsidRDefault="00B95D2A" w:rsidP="00B95D2A">
      <w:pPr>
        <w:rPr>
          <w:rStyle w:val="AERbody"/>
        </w:rPr>
      </w:pP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B95D2A" w:rsidRPr="00AC29DB" w:rsidRDefault="00B95D2A" w:rsidP="00AC29DB">
      <w:pPr>
        <w:pStyle w:val="HeadingBoldBlue"/>
        <w:rPr>
          <w:rStyle w:val="AERbody"/>
          <w:color w:val="70635A" w:themeColor="text2"/>
          <w:sz w:val="28"/>
        </w:rPr>
      </w:pPr>
      <w:bookmarkStart w:id="339" w:name="_Toc456614316"/>
      <w:bookmarkStart w:id="340" w:name="_Toc479693992"/>
      <w:r w:rsidRPr="00AC29DB">
        <w:rPr>
          <w:rStyle w:val="AERbody"/>
          <w:color w:val="70635A" w:themeColor="text2"/>
          <w:sz w:val="28"/>
        </w:rPr>
        <w:t>Time value of money</w:t>
      </w:r>
      <w:bookmarkEnd w:id="339"/>
      <w:bookmarkEnd w:id="340"/>
    </w:p>
    <w:p w:rsidR="00B95D2A" w:rsidRPr="00883125" w:rsidRDefault="00B95D2A" w:rsidP="00B95D2A">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89"/>
      </w:r>
      <w:r w:rsidRPr="00883125">
        <w:t xml:space="preserve"> In response, we note that:</w:t>
      </w:r>
    </w:p>
    <w:p w:rsidR="00B95D2A" w:rsidRPr="00883125" w:rsidRDefault="00B95D2A" w:rsidP="00B95D2A">
      <w:pPr>
        <w:pStyle w:val="AERbulletlistfirststyle"/>
      </w:pPr>
      <w:r w:rsidRPr="00883125">
        <w:t>We are unaware of any evidence that indicates the average size of this time delay across all investors.</w:t>
      </w:r>
    </w:p>
    <w:p w:rsidR="00B95D2A" w:rsidRPr="001D37D5" w:rsidRDefault="00B95D2A" w:rsidP="00B95D2A">
      <w:pPr>
        <w:pStyle w:val="AERbulletlistfirststyle"/>
      </w:pPr>
      <w:r w:rsidRPr="00883125">
        <w:t xml:space="preserve">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w:t>
      </w:r>
      <w:r w:rsidRPr="00883125">
        <w:lastRenderedPageBreak/>
        <w:t>per cent. Therefore, the magnitude of the adjustment would be quite small. Handley agreed with the immateriality of any required adjustment for time delay.</w:t>
      </w:r>
      <w:r w:rsidRPr="001D37D5">
        <w:rPr>
          <w:rStyle w:val="FootnoteReference"/>
        </w:rPr>
        <w:footnoteReference w:id="490"/>
      </w:r>
    </w:p>
    <w:p w:rsidR="00B95D2A" w:rsidRDefault="00B95D2A" w:rsidP="00B95D2A">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B95D2A" w:rsidRPr="00883125" w:rsidRDefault="00B95D2A" w:rsidP="00B95D2A">
      <w:pPr>
        <w:pStyle w:val="HeadingBoldBlue"/>
        <w:numPr>
          <w:ilvl w:val="0"/>
          <w:numId w:val="24"/>
        </w:numPr>
      </w:pPr>
      <w:bookmarkStart w:id="341" w:name="_Toc456614317"/>
      <w:bookmarkStart w:id="342" w:name="_Toc479693993"/>
      <w:r w:rsidRPr="00883125">
        <w:t>Portfolio effects</w:t>
      </w:r>
      <w:bookmarkEnd w:id="341"/>
      <w:bookmarkEnd w:id="342"/>
    </w:p>
    <w:p w:rsidR="00B95D2A" w:rsidRDefault="00B95D2A" w:rsidP="00B95D2A">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91"/>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92"/>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3E419A">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w:t>
      </w:r>
      <w:r>
        <w:t xml:space="preserve">post-company </w:t>
      </w:r>
      <w:r w:rsidRPr="00883125">
        <w:t>pre-personal-tax and pre-personal-costs basis. We made this point in our prior decisions and the service providers and their consultants have not commented on it. We consider that it is reasonable to not adjust any of our estimates of the utilisation rate for portfolio effects.</w:t>
      </w:r>
    </w:p>
    <w:p w:rsidR="004C726F" w:rsidRDefault="00B95D2A" w:rsidP="004C726F">
      <w:r>
        <w:t>The SAPN Tribunal considered that it was unclear whether portfolio effects would have an impact on the value of imputation credits:</w:t>
      </w:r>
      <w:r>
        <w:rPr>
          <w:rStyle w:val="FootnoteReference"/>
        </w:rPr>
        <w:footnoteReference w:id="493"/>
      </w:r>
    </w:p>
    <w:p w:rsidR="00B95D2A" w:rsidRPr="00B95D2A" w:rsidRDefault="00B95D2A" w:rsidP="00AC29DB">
      <w:pPr>
        <w:pStyle w:val="AERquote"/>
      </w:pPr>
      <w:r w:rsidRPr="006C032A">
        <w:t>Given that there is a well-documented “home-bias” in investor portfolios (found internationally generally regardless of tax systems), implying incomplete diversification benefits, the extent to which this is an additional factor of significant materiality is unclear.</w:t>
      </w:r>
    </w:p>
    <w:p w:rsidR="00B95D2A" w:rsidRPr="00883125" w:rsidRDefault="00B95D2A" w:rsidP="00B95D2A">
      <w:pPr>
        <w:pStyle w:val="HeadingBoldBlue"/>
      </w:pPr>
      <w:bookmarkStart w:id="343" w:name="_Toc456614318"/>
      <w:bookmarkStart w:id="344" w:name="_Toc479693994"/>
      <w:r w:rsidRPr="00883125">
        <w:t>The 'illustrative impact' of these factors</w:t>
      </w:r>
      <w:bookmarkEnd w:id="343"/>
      <w:bookmarkEnd w:id="344"/>
    </w:p>
    <w:p w:rsidR="00B95D2A" w:rsidRPr="00883125" w:rsidRDefault="00B95D2A" w:rsidP="00B95D2A">
      <w:r w:rsidRPr="00883125">
        <w:lastRenderedPageBreak/>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94"/>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3E419A" w:rsidRPr="00883125">
        <w:t xml:space="preserve">figure </w:t>
      </w:r>
      <w:r w:rsidR="003E419A">
        <w:rPr>
          <w:noProof/>
        </w:rPr>
        <w:t>4</w:t>
      </w:r>
      <w:r w:rsidR="003E419A" w:rsidRPr="00883125">
        <w:t>.</w:t>
      </w:r>
      <w:r w:rsidR="003E419A">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 xml:space="preserve">. </w:t>
      </w:r>
    </w:p>
    <w:p w:rsidR="00B95D2A" w:rsidRPr="00883125" w:rsidRDefault="00B95D2A" w:rsidP="00B95D2A">
      <w:pPr>
        <w:pStyle w:val="Caption"/>
      </w:pPr>
      <w:bookmarkStart w:id="345" w:name="_Ref415078600"/>
      <w:r w:rsidRPr="00883125">
        <w:t xml:space="preserve">Figure </w:t>
      </w:r>
      <w:r w:rsidRPr="00B27BE5">
        <w:fldChar w:fldCharType="begin"/>
      </w:r>
      <w:r>
        <w:instrText xml:space="preserve"> STYLEREF 1 \s </w:instrText>
      </w:r>
      <w:r w:rsidRPr="00B27BE5">
        <w:fldChar w:fldCharType="separate"/>
      </w:r>
      <w:r w:rsidR="003E419A">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E419A">
        <w:rPr>
          <w:noProof/>
        </w:rPr>
        <w:t>1</w:t>
      </w:r>
      <w:r w:rsidRPr="00B27BE5">
        <w:fldChar w:fldCharType="end"/>
      </w:r>
      <w:bookmarkEnd w:id="345"/>
      <w:r w:rsidRPr="00883125">
        <w:tab/>
        <w:t>Illustrative impact on value of imputation credits – listed equity</w:t>
      </w:r>
    </w:p>
    <w:p w:rsidR="00B95D2A" w:rsidRPr="00883125" w:rsidRDefault="00B95D2A" w:rsidP="00B95D2A">
      <w:r w:rsidRPr="00B95D2A">
        <w:rPr>
          <w:noProof/>
          <w:lang w:eastAsia="en-AU"/>
        </w:rPr>
        <w:drawing>
          <wp:inline distT="0" distB="0" distL="0" distR="0" wp14:anchorId="5B5A667B" wp14:editId="361A63D3">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B95D2A" w:rsidRPr="00883125" w:rsidRDefault="00B95D2A" w:rsidP="00B95D2A">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16</w:t>
      </w:r>
      <w:r>
        <w:t>.</w:t>
      </w:r>
    </w:p>
    <w:p w:rsidR="00B95D2A" w:rsidRPr="00883125" w:rsidRDefault="00B95D2A" w:rsidP="00B95D2A">
      <w:pPr>
        <w:pStyle w:val="Caption"/>
      </w:pPr>
      <w:bookmarkStart w:id="346" w:name="_Ref415078618"/>
      <w:r w:rsidRPr="00883125">
        <w:lastRenderedPageBreak/>
        <w:t xml:space="preserve">Figure </w:t>
      </w:r>
      <w:r w:rsidRPr="00B27BE5">
        <w:fldChar w:fldCharType="begin"/>
      </w:r>
      <w:r>
        <w:instrText xml:space="preserve"> STYLEREF 1 \s </w:instrText>
      </w:r>
      <w:r w:rsidRPr="00B27BE5">
        <w:fldChar w:fldCharType="separate"/>
      </w:r>
      <w:r w:rsidR="003E419A">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E419A">
        <w:rPr>
          <w:noProof/>
        </w:rPr>
        <w:t>2</w:t>
      </w:r>
      <w:r w:rsidRPr="00B27BE5">
        <w:fldChar w:fldCharType="end"/>
      </w:r>
      <w:bookmarkEnd w:id="346"/>
      <w:r w:rsidRPr="00883125">
        <w:tab/>
        <w:t>Illustrative impact on value of imputation credits – all equity</w:t>
      </w:r>
    </w:p>
    <w:p w:rsidR="00B95D2A" w:rsidRPr="00883125" w:rsidRDefault="00B95D2A" w:rsidP="00B95D2A">
      <w:r w:rsidRPr="00B95D2A">
        <w:rPr>
          <w:noProof/>
          <w:lang w:eastAsia="en-AU"/>
        </w:rPr>
        <w:drawing>
          <wp:inline distT="0" distB="0" distL="0" distR="0" wp14:anchorId="2D745D6F" wp14:editId="6431459C">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B95D2A" w:rsidRPr="00883125" w:rsidRDefault="00B95D2A" w:rsidP="00B95D2A">
      <w:pPr>
        <w:pStyle w:val="AERtablesource"/>
      </w:pPr>
      <w:r w:rsidRPr="00883125">
        <w:t>Source:</w:t>
      </w:r>
      <w:r w:rsidRPr="00883125">
        <w:tab/>
      </w:r>
      <w:r w:rsidRPr="00B9466C">
        <w:t xml:space="preserve">Ausgrid, </w:t>
      </w:r>
      <w:r w:rsidRPr="00CD376D">
        <w:rPr>
          <w:rStyle w:val="AERtextitalic"/>
        </w:rPr>
        <w:t>Attachment 7.07 Ausgrid's revised proposal on gamma</w:t>
      </w:r>
      <w:r w:rsidRPr="00B9466C">
        <w:t>, January 2015, p. 1</w:t>
      </w:r>
      <w:r>
        <w:t>7</w:t>
      </w:r>
      <w:r w:rsidRPr="00B9466C">
        <w:t>.</w:t>
      </w:r>
    </w:p>
    <w:p w:rsidR="00B95D2A" w:rsidRPr="00883125" w:rsidRDefault="00B95D2A" w:rsidP="00B95D2A">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B95D2A" w:rsidRPr="00883125" w:rsidRDefault="00B95D2A" w:rsidP="00B95D2A">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3E419A" w:rsidRPr="00883125">
        <w:t xml:space="preserve">figure </w:t>
      </w:r>
      <w:r w:rsidR="003E419A">
        <w:rPr>
          <w:noProof/>
        </w:rPr>
        <w:t>4</w:t>
      </w:r>
      <w:r w:rsidR="003E419A" w:rsidRPr="00883125">
        <w:t>.</w:t>
      </w:r>
      <w:r w:rsidR="003E419A">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B95D2A" w:rsidRPr="00883125" w:rsidRDefault="00B95D2A" w:rsidP="00B95D2A">
      <w:pPr>
        <w:pStyle w:val="HeadingBoldItalic"/>
      </w:pPr>
      <w:bookmarkStart w:id="347" w:name="_Toc456614319"/>
      <w:bookmarkStart w:id="348" w:name="_Toc479693995"/>
      <w:r w:rsidRPr="00883125">
        <w:t>The relevant equity ownership share</w:t>
      </w:r>
      <w:bookmarkEnd w:id="347"/>
      <w:bookmarkEnd w:id="348"/>
    </w:p>
    <w:p w:rsidR="00B95D2A" w:rsidRPr="00883125" w:rsidRDefault="00B95D2A" w:rsidP="00B95D2A">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3E419A" w:rsidRPr="00883125">
        <w:t xml:space="preserve">figure </w:t>
      </w:r>
      <w:r w:rsidR="003E419A">
        <w:rPr>
          <w:noProof/>
        </w:rPr>
        <w:t>4</w:t>
      </w:r>
      <w:r w:rsidR="003E419A" w:rsidRPr="00883125">
        <w:t>.</w:t>
      </w:r>
      <w:r w:rsidR="003E419A">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 xml:space="preserve"> the comparison is made with the refined share of foreign ownership in all equity. However, Gray (for SFG) indicated that if the value of distributed credits is </w:t>
      </w:r>
      <w:r w:rsidRPr="00883125">
        <w:lastRenderedPageBreak/>
        <w:t>estimated via a 'market value approach' (such as SFG's dividend drop off study), then the estimate will represent 'an average across all listed firms'.</w:t>
      </w:r>
      <w:r w:rsidRPr="00883125">
        <w:rPr>
          <w:rStyle w:val="FootnoteReference"/>
        </w:rPr>
        <w:footnoteReference w:id="495"/>
      </w:r>
      <w:r w:rsidRPr="00883125">
        <w:t xml:space="preserve"> Accordingly, the relevant 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w:t>
      </w:r>
    </w:p>
    <w:p w:rsidR="00B95D2A" w:rsidRPr="00883125" w:rsidRDefault="00B95D2A" w:rsidP="00B95D2A">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B95D2A" w:rsidRPr="00883125" w:rsidRDefault="00B95D2A" w:rsidP="00B95D2A">
      <w:pPr>
        <w:pStyle w:val="HeadingBoldItalic"/>
      </w:pPr>
      <w:bookmarkStart w:id="349" w:name="_Toc456614320"/>
      <w:bookmarkStart w:id="350" w:name="_Toc479693996"/>
      <w:r w:rsidRPr="00883125">
        <w:t>Implications for the value of distributed credits across investors in all equity</w:t>
      </w:r>
      <w:bookmarkEnd w:id="349"/>
      <w:bookmarkEnd w:id="350"/>
    </w:p>
    <w:p w:rsidR="00B95D2A" w:rsidRPr="00883125" w:rsidRDefault="00B95D2A" w:rsidP="00B95D2A">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3E419A" w:rsidRPr="00883125">
        <w:t xml:space="preserve">figure </w:t>
      </w:r>
      <w:r w:rsidR="003E419A">
        <w:rPr>
          <w:noProof/>
        </w:rPr>
        <w:t>4</w:t>
      </w:r>
      <w:r w:rsidR="003E419A" w:rsidRPr="00883125">
        <w:t>.</w:t>
      </w:r>
      <w:r w:rsidR="003E419A">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B95D2A" w:rsidRPr="00883125" w:rsidRDefault="00B95D2A" w:rsidP="00B95D2A">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3E419A" w:rsidRPr="00883125">
        <w:t xml:space="preserve">figure </w:t>
      </w:r>
      <w:r w:rsidR="003E419A">
        <w:rPr>
          <w:noProof/>
        </w:rPr>
        <w:t>4</w:t>
      </w:r>
      <w:r w:rsidR="003E419A" w:rsidRPr="00883125">
        <w:t>.</w:t>
      </w:r>
      <w:r w:rsidR="003E419A">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96"/>
      </w:r>
    </w:p>
    <w:p w:rsidR="00B95D2A" w:rsidRPr="00883125" w:rsidRDefault="00B95D2A" w:rsidP="00B95D2A">
      <w:pPr>
        <w:pStyle w:val="HeadingBoldItalic"/>
      </w:pPr>
      <w:bookmarkStart w:id="351" w:name="_Toc456614321"/>
      <w:bookmarkStart w:id="352" w:name="_Toc479693997"/>
      <w:r w:rsidRPr="00883125">
        <w:t>Comparison to the redemption rate from tax statistics</w:t>
      </w:r>
      <w:bookmarkEnd w:id="351"/>
      <w:bookmarkEnd w:id="352"/>
    </w:p>
    <w:p w:rsidR="00B95D2A" w:rsidRPr="00883125" w:rsidRDefault="00B95D2A" w:rsidP="00B95D2A">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B95D2A" w:rsidRPr="00883125" w:rsidRDefault="00B95D2A" w:rsidP="00B95D2A">
      <w:r w:rsidRPr="00883125">
        <w:t>First, the redemption rate from tax statistics reflects all equity, and therefore it is inconsistent to compare it to the foreign ownership share of listed equity.</w:t>
      </w:r>
    </w:p>
    <w:p w:rsidR="00B95D2A" w:rsidRDefault="00B95D2A" w:rsidP="00B95D2A">
      <w:pPr>
        <w:rPr>
          <w:rStyle w:val="AERbody"/>
        </w:rPr>
      </w:pPr>
      <w:r w:rsidRPr="00883125">
        <w:t xml:space="preserve">Second, this estimate does not contemplate error or inaccuracy in the tax statistics. In section </w:t>
      </w:r>
      <w:r>
        <w:fldChar w:fldCharType="begin"/>
      </w:r>
      <w:r>
        <w:instrText xml:space="preserve"> REF _Ref475371808 \r \h </w:instrText>
      </w:r>
      <w:r>
        <w:fldChar w:fldCharType="separate"/>
      </w:r>
      <w:r w:rsidR="003E419A">
        <w:rPr>
          <w:b/>
          <w:bCs/>
          <w:lang w:val="en-US"/>
        </w:rPr>
        <w:t>Error! Reference source not found.</w:t>
      </w:r>
      <w:r>
        <w:fldChar w:fldCharType="end"/>
      </w:r>
      <w:r w:rsidRPr="00883125">
        <w:t>, we set out the data concerns that exist r</w:t>
      </w:r>
      <w:r w:rsidRPr="00883125">
        <w:lastRenderedPageBreak/>
        <w:t>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Pr="00883125">
        <w:rPr>
          <w:rStyle w:val="FootnoteReference"/>
        </w:rPr>
        <w:footnoteReference w:id="497"/>
      </w:r>
      <w:r w:rsidRPr="00883125">
        <w:t xml:space="preserve"> </w:t>
      </w:r>
      <w:r w:rsidRPr="00883125">
        <w:rPr>
          <w:rStyle w:val="AERbody"/>
        </w:rPr>
        <w:t>NERA has subsequently submitted that tax statistics can be used to estimate a value for theta consistent with a 70% distribution rate, and can also be used to estimate an upper bound value for gamma.</w:t>
      </w:r>
      <w:r w:rsidRPr="00883125">
        <w:rPr>
          <w:rStyle w:val="FootnoteReference"/>
        </w:rPr>
        <w:footnoteReference w:id="498"/>
      </w:r>
      <w:r w:rsidRPr="00883125">
        <w:rPr>
          <w:rStyle w:val="AERbody"/>
        </w:rPr>
        <w:t xml:space="preserve"> Gray (for Frontier) appears to support this.</w:t>
      </w:r>
      <w:r w:rsidRPr="00883125">
        <w:rPr>
          <w:rStyle w:val="FootnoteReference"/>
        </w:rPr>
        <w:footnoteReference w:id="499"/>
      </w:r>
      <w:r w:rsidRPr="00883125">
        <w:rPr>
          <w:rStyle w:val="AERbody"/>
        </w:rPr>
        <w:t xml:space="preserve"> </w:t>
      </w:r>
      <w:r>
        <w:rPr>
          <w:rStyle w:val="AERbody"/>
        </w:rPr>
        <w:t>Frontier considers that gamma can be estimate reliably from tax statistics as the ratio of credits redeemed to credit generated.</w:t>
      </w:r>
      <w:r>
        <w:rPr>
          <w:rStyle w:val="FootnoteReference"/>
        </w:rPr>
        <w:footnoteReference w:id="500"/>
      </w:r>
      <w:r>
        <w:rPr>
          <w:rStyle w:val="AERbody"/>
        </w:rPr>
        <w:t xml:space="preserve"> </w:t>
      </w:r>
    </w:p>
    <w:p w:rsidR="00B95D2A" w:rsidRPr="00883125" w:rsidRDefault="00B95D2A" w:rsidP="00B95D2A">
      <w:pPr>
        <w:rPr>
          <w:rStyle w:val="AERbody"/>
        </w:rPr>
      </w:pPr>
      <w:r w:rsidRPr="00883125">
        <w:rPr>
          <w:rStyle w:val="AERbody"/>
        </w:rPr>
        <w:t>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501"/>
      </w:r>
      <w:r w:rsidR="004C726F">
        <w:rPr>
          <w:rStyle w:val="AERbody"/>
        </w:rPr>
        <w:t>,</w:t>
      </w:r>
      <w:r w:rsidRPr="00883125">
        <w:rPr>
          <w:rStyle w:val="AERbody"/>
        </w:rPr>
        <w:t xml:space="preserve"> we remain of the view we should treat estimates of theta based on tax data with caution. Hathaway's draft 2014 report gives us no cause to change our view.</w:t>
      </w:r>
      <w:r w:rsidRPr="00883125">
        <w:rPr>
          <w:rStyle w:val="FootnoteReference"/>
        </w:rPr>
        <w:footnoteReference w:id="502"/>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503"/>
      </w:r>
      <w:r>
        <w:rPr>
          <w:rStyle w:val="AERbody"/>
        </w:rPr>
        <w:t xml:space="preserve"> The reliability of tax statistics is further discussed in section </w:t>
      </w:r>
      <w:r>
        <w:rPr>
          <w:rStyle w:val="AERbody"/>
        </w:rPr>
        <w:fldChar w:fldCharType="begin"/>
      </w:r>
      <w:r>
        <w:rPr>
          <w:rStyle w:val="AERbody"/>
        </w:rPr>
        <w:instrText xml:space="preserve"> REF _Ref402179420 \r \h </w:instrText>
      </w:r>
      <w:r>
        <w:rPr>
          <w:rStyle w:val="AERbody"/>
        </w:rPr>
      </w:r>
      <w:r>
        <w:rPr>
          <w:rStyle w:val="AERbody"/>
        </w:rPr>
        <w:fldChar w:fldCharType="separate"/>
      </w:r>
      <w:r w:rsidR="003E419A">
        <w:rPr>
          <w:rStyle w:val="AERbody"/>
        </w:rPr>
        <w:t>A.13</w:t>
      </w:r>
      <w:r>
        <w:rPr>
          <w:rStyle w:val="AERbody"/>
        </w:rPr>
        <w:fldChar w:fldCharType="end"/>
      </w:r>
      <w:r>
        <w:rPr>
          <w:rStyle w:val="AERbody"/>
        </w:rPr>
        <w:t>. Dr Lally, in his most recent report for us, also expresses the view in response to Frontier that the taxation statistics should continue to be viewed with caution</w:t>
      </w:r>
      <w:r w:rsidR="004C726F">
        <w:rPr>
          <w:rStyle w:val="AERbody"/>
        </w:rPr>
        <w:t>.</w:t>
      </w:r>
      <w:r>
        <w:rPr>
          <w:rStyle w:val="FootnoteReference"/>
        </w:rPr>
        <w:footnoteReference w:id="504"/>
      </w:r>
    </w:p>
    <w:p w:rsidR="00B95D2A" w:rsidRPr="00883125" w:rsidRDefault="00B95D2A" w:rsidP="00B95D2A">
      <w:r w:rsidRPr="00883125">
        <w:t>Thirdly, we are not convinced that the 45-day holding rule and transaction costs are contributing to a material amount of credits not being redeemed. As discussed above, this is because:</w:t>
      </w:r>
    </w:p>
    <w:p w:rsidR="00B95D2A" w:rsidRPr="00883125" w:rsidRDefault="00B95D2A" w:rsidP="00B95D2A">
      <w:pPr>
        <w:pStyle w:val="AERbulletlistfirststyle"/>
      </w:pPr>
      <w:r w:rsidRPr="00883125">
        <w:t>Our analysis of the 45-day rule suggests that it is not having a material effect. Although we acknowledge this analysis is subject to any data quality issues with the tax statistics.</w:t>
      </w:r>
    </w:p>
    <w:p w:rsidR="00B95D2A" w:rsidRPr="00883125" w:rsidRDefault="00B95D2A" w:rsidP="00B95D2A">
      <w:pPr>
        <w:pStyle w:val="AERbulletlistfirststyle"/>
      </w:pPr>
      <w:r w:rsidRPr="00883125">
        <w:t>We do not consider that transactions costs are likely to dissuade a material number of investors fro</w:t>
      </w:r>
      <w:r w:rsidR="004C726F">
        <w:t>m redeeming imputation credits.</w:t>
      </w:r>
    </w:p>
    <w:p w:rsidR="00B95D2A" w:rsidRPr="00883125" w:rsidRDefault="00B95D2A" w:rsidP="00B95D2A">
      <w:pPr>
        <w:rPr>
          <w:rStyle w:val="AERbody"/>
        </w:rPr>
      </w:pPr>
      <w:r w:rsidRPr="00883125">
        <w:rPr>
          <w:rStyle w:val="AERbody"/>
        </w:rPr>
        <w:lastRenderedPageBreak/>
        <w:t>In response to the service providers</w:t>
      </w:r>
      <w:r>
        <w:rPr>
          <w:rStyle w:val="AERbody"/>
        </w:rPr>
        <w:t>' submissions</w:t>
      </w:r>
      <w:r w:rsidRPr="00883125">
        <w:rPr>
          <w:rStyle w:val="AERbody"/>
        </w:rPr>
        <w:t>,</w:t>
      </w:r>
      <w:r w:rsidRPr="00883125">
        <w:rPr>
          <w:rStyle w:val="FootnoteReference"/>
        </w:rPr>
        <w:footnoteReference w:id="505"/>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506"/>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B95D2A" w:rsidRPr="00883125" w:rsidRDefault="00B95D2A" w:rsidP="00B95D2A">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3E419A">
        <w:rPr>
          <w:rStyle w:val="AERbody"/>
        </w:rPr>
        <w:t>A.14</w:t>
      </w:r>
      <w:r w:rsidRPr="00883125">
        <w:rPr>
          <w:rStyle w:val="AERbody"/>
        </w:rPr>
        <w:fldChar w:fldCharType="end"/>
      </w:r>
      <w:r w:rsidRPr="00883125">
        <w:rPr>
          <w:rStyle w:val="AERbody"/>
        </w:rPr>
        <w:t xml:space="preserve">, </w:t>
      </w:r>
      <w:r>
        <w:rPr>
          <w:rStyle w:val="AERbody"/>
        </w:rPr>
        <w:t>we analyse</w:t>
      </w:r>
      <w:r w:rsidRPr="00883125">
        <w:rPr>
          <w:rStyle w:val="AERbody"/>
        </w:rPr>
        <w:t xml:space="preserve"> </w:t>
      </w:r>
      <w:r>
        <w:rPr>
          <w:rStyle w:val="AERbody"/>
        </w:rPr>
        <w:t xml:space="preserve">the </w:t>
      </w:r>
      <w:r w:rsidRPr="00883125">
        <w:rPr>
          <w:rStyle w:val="AERbody"/>
        </w:rPr>
        <w:t xml:space="preserve">difference between the utilisation </w:t>
      </w:r>
      <w:r w:rsidRPr="00883125">
        <w:t>value</w:t>
      </w:r>
      <w:r w:rsidRPr="00883125">
        <w:rPr>
          <w:rStyle w:val="AERbody"/>
        </w:rPr>
        <w:t xml:space="preserve"> from the equity ownership approach and taxation statistics</w:t>
      </w:r>
      <w:r>
        <w:rPr>
          <w:rStyle w:val="AERbody"/>
        </w:rPr>
        <w:t>.</w:t>
      </w:r>
    </w:p>
    <w:p w:rsidR="00B95D2A" w:rsidRPr="00883125" w:rsidRDefault="00B95D2A" w:rsidP="00B95D2A">
      <w:pPr>
        <w:pStyle w:val="Heading9"/>
      </w:pPr>
      <w:bookmarkStart w:id="353" w:name="_Toc456614322"/>
      <w:bookmarkStart w:id="354" w:name="_Toc462823328"/>
      <w:bookmarkStart w:id="355" w:name="_Toc479693998"/>
      <w:bookmarkStart w:id="356" w:name="_Toc480815634"/>
      <w:bookmarkStart w:id="357" w:name="_Ref415068711"/>
      <w:bookmarkStart w:id="358" w:name="_Toc436049450"/>
      <w:r w:rsidRPr="00883125">
        <w:t>NERA's comments on the utilisation rate</w:t>
      </w:r>
      <w:bookmarkEnd w:id="353"/>
      <w:bookmarkEnd w:id="354"/>
      <w:bookmarkEnd w:id="355"/>
      <w:bookmarkEnd w:id="356"/>
    </w:p>
    <w:p w:rsidR="00B95D2A" w:rsidRPr="00883125" w:rsidRDefault="00B95D2A" w:rsidP="00B95D2A">
      <w:r w:rsidRPr="00883125">
        <w:t>NERA submitted that theta is the value that a representative investor places on a dollar of distributed imputation credits.</w:t>
      </w:r>
      <w:r w:rsidRPr="00883125">
        <w:rPr>
          <w:rStyle w:val="FootnoteReference"/>
        </w:rPr>
        <w:footnoteReference w:id="507"/>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B95D2A" w:rsidRPr="00883125" w:rsidRDefault="00B95D2A" w:rsidP="00B95D2A">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B95D2A" w:rsidRPr="00883125" w:rsidRDefault="00B95D2A" w:rsidP="00B95D2A">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508"/>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509"/>
      </w:r>
    </w:p>
    <w:p w:rsidR="00B95D2A" w:rsidRPr="00883125" w:rsidRDefault="00B95D2A" w:rsidP="00B95D2A">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B95D2A" w:rsidRPr="00883125" w:rsidRDefault="00B95D2A" w:rsidP="00B95D2A">
      <w:r w:rsidRPr="00883125">
        <w:t xml:space="preserve">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w:t>
      </w:r>
      <w:r w:rsidRPr="00883125">
        <w:lastRenderedPageBreak/>
        <w:t>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B95D2A" w:rsidRPr="00883125" w:rsidRDefault="00B95D2A" w:rsidP="00B95D2A">
      <w:r w:rsidRPr="00883125">
        <w:t>Our view is supported by Handley's review of NERA's submission. Handley concluded:</w:t>
      </w:r>
      <w:r w:rsidRPr="00883125">
        <w:rPr>
          <w:rStyle w:val="FootnoteReference"/>
        </w:rPr>
        <w:footnoteReference w:id="510"/>
      </w:r>
    </w:p>
    <w:p w:rsidR="00B95D2A" w:rsidRPr="00883125" w:rsidRDefault="00B95D2A" w:rsidP="00B95D2A">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B95D2A" w:rsidRPr="00883125" w:rsidRDefault="00B95D2A" w:rsidP="00B95D2A">
      <w:pPr>
        <w:pStyle w:val="AERquote"/>
      </w:pPr>
      <w:r w:rsidRPr="00883125">
        <w:t>…</w:t>
      </w:r>
    </w:p>
    <w:p w:rsidR="00B95D2A" w:rsidRPr="00883125" w:rsidRDefault="00B95D2A" w:rsidP="00B95D2A">
      <w:pPr>
        <w:pStyle w:val="AERquote"/>
      </w:pPr>
      <w:r w:rsidRPr="00883125">
        <w:t xml:space="preserve">In my opinion, NERA’s analysis does not establish the presence of a wedge between theta and the redemption rate and so does not invalidate the use of tax statistics to estimate theta. </w:t>
      </w:r>
    </w:p>
    <w:p w:rsidR="00B95D2A" w:rsidRPr="00883125" w:rsidRDefault="00B95D2A" w:rsidP="00B95D2A">
      <w:pPr>
        <w:rPr>
          <w:rStyle w:val="AERbody"/>
        </w:rPr>
      </w:pPr>
      <w:r w:rsidRPr="00883125">
        <w:rPr>
          <w:rStyle w:val="AERbody"/>
        </w:rPr>
        <w:t xml:space="preserve">NERA responded to </w:t>
      </w:r>
      <w:r>
        <w:rPr>
          <w:rStyle w:val="AERbody"/>
        </w:rPr>
        <w:t>our</w:t>
      </w:r>
      <w:r w:rsidRPr="00883125">
        <w:rPr>
          <w:rStyle w:val="AERbody"/>
        </w:rPr>
        <w:t xml:space="preserve"> position in the JGN decision in its June 2015 report.</w:t>
      </w:r>
      <w:r w:rsidRPr="00883125">
        <w:rPr>
          <w:rStyle w:val="FootnoteReference"/>
        </w:rPr>
        <w:footnoteReference w:id="511"/>
      </w:r>
      <w:r w:rsidRPr="00883125">
        <w:rPr>
          <w:rStyle w:val="AERbody"/>
        </w:rPr>
        <w:t xml:space="preserve"> In this report NERA put forward several propositions:</w:t>
      </w:r>
    </w:p>
    <w:p w:rsidR="00B95D2A" w:rsidRPr="005764F6" w:rsidRDefault="00B95D2A" w:rsidP="00B95D2A">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B95D2A" w:rsidRPr="005764F6" w:rsidRDefault="00B95D2A" w:rsidP="00B95D2A">
      <w:pPr>
        <w:pStyle w:val="AERbulletlistfirststyle"/>
      </w:pPr>
      <w:r>
        <w:t>Our</w:t>
      </w:r>
      <w:r w:rsidRPr="005764F6">
        <w:t xml:space="preserve"> use of a domestic Australian CAPM does not justify any presumption that theta take a non-negligible value.</w:t>
      </w:r>
    </w:p>
    <w:p w:rsidR="00B95D2A" w:rsidRPr="005764F6" w:rsidRDefault="00B95D2A" w:rsidP="00B95D2A">
      <w:pPr>
        <w:pStyle w:val="AERbulletlistfirststyle"/>
      </w:pPr>
      <w:r w:rsidRPr="005764F6">
        <w:t xml:space="preserve">The estimated cost of capital from a domestic CAPM will equal the cost of capital from an international CAPM under certain assumptions. </w:t>
      </w:r>
    </w:p>
    <w:p w:rsidR="00B95D2A" w:rsidRPr="00883125" w:rsidRDefault="00B95D2A" w:rsidP="00B95D2A">
      <w:pPr>
        <w:rPr>
          <w:rStyle w:val="AERbody"/>
        </w:rPr>
      </w:pPr>
      <w:r w:rsidRPr="00883125">
        <w:rPr>
          <w:rStyle w:val="AERbody"/>
        </w:rPr>
        <w:t>In response, we note that we consider our approach is consistent with our definition of the Australian domestic market in the presence of foreign investors.</w:t>
      </w:r>
    </w:p>
    <w:p w:rsidR="00B95D2A" w:rsidRPr="00883125" w:rsidRDefault="00B95D2A" w:rsidP="00B95D2A">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512"/>
      </w:r>
      <w:r w:rsidRPr="00883125">
        <w:rPr>
          <w:rStyle w:val="AERbody"/>
        </w:rPr>
        <w:t xml:space="preserve"> We also note that NERA's model is an international asset pricing </w:t>
      </w:r>
      <w:r w:rsidRPr="00883125">
        <w:rPr>
          <w:rStyle w:val="AERbody"/>
        </w:rPr>
        <w:lastRenderedPageBreak/>
        <w:t>model.</w:t>
      </w:r>
      <w:r w:rsidRPr="00883125">
        <w:rPr>
          <w:rStyle w:val="FootnoteReference"/>
        </w:rPr>
        <w:footnoteReference w:id="513"/>
      </w:r>
      <w:r w:rsidRPr="00883125">
        <w:rPr>
          <w:rStyle w:val="AERbody"/>
        </w:rPr>
        <w:t xml:space="preserve"> This model is inconsistent with our definition of the domestic market. We also consider the use of the international CAPM, with a high proportion of wealth held by foreign investors (NERA using 98</w:t>
      </w:r>
      <w:r>
        <w:rPr>
          <w:rStyle w:val="AERbody"/>
        </w:rPr>
        <w:t xml:space="preserve"> per cent</w:t>
      </w:r>
      <w:r w:rsidRPr="00883125">
        <w:rPr>
          <w:rStyle w:val="AERbody"/>
        </w:rPr>
        <w:t xml:space="preserve">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514"/>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515"/>
      </w:r>
    </w:p>
    <w:p w:rsidR="00B95D2A" w:rsidRPr="00DA0E8B" w:rsidRDefault="00B95D2A" w:rsidP="00B95D2A">
      <w:pPr>
        <w:pStyle w:val="AERquote"/>
      </w:pPr>
      <w:r w:rsidRPr="00DA0E8B">
        <w:t>"The assumption that Australian aggregated wealth makes up 60 percent of the world wealth is also very clearly at odds with the evidence and so we conclude that Handley's second example is simila</w:t>
      </w:r>
      <w:r w:rsidR="004C726F">
        <w:t>rly of no practical relevance."</w:t>
      </w:r>
    </w:p>
    <w:p w:rsidR="00B95D2A" w:rsidRPr="00883125" w:rsidRDefault="00B95D2A" w:rsidP="00B95D2A">
      <w:pPr>
        <w:rPr>
          <w:rStyle w:val="AERbody"/>
        </w:rPr>
      </w:pPr>
      <w:r w:rsidRPr="00883125">
        <w:rPr>
          <w:rStyle w:val="AERbody"/>
        </w:rPr>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B95D2A" w:rsidRPr="00883125" w:rsidRDefault="00B95D2A" w:rsidP="00B95D2A">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516"/>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517"/>
      </w:r>
    </w:p>
    <w:p w:rsidR="00B95D2A" w:rsidRPr="00883125" w:rsidRDefault="00B95D2A" w:rsidP="00B95D2A">
      <w:pPr>
        <w:rPr>
          <w:rStyle w:val="AERbody"/>
        </w:rPr>
      </w:pPr>
      <w:r w:rsidRPr="00883125">
        <w:rPr>
          <w:rStyle w:val="AERbody"/>
        </w:rPr>
        <w:t xml:space="preserve">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w:t>
      </w:r>
      <w:r w:rsidRPr="00883125">
        <w:rPr>
          <w:rStyle w:val="AERbody"/>
        </w:rPr>
        <w:lastRenderedPageBreak/>
        <w:t>global systematic risk.</w:t>
      </w:r>
      <w:r w:rsidRPr="00883125">
        <w:rPr>
          <w:rStyle w:val="FootnoteReference"/>
        </w:rPr>
        <w:footnoteReference w:id="518"/>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519"/>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520"/>
      </w:r>
    </w:p>
    <w:p w:rsidR="00B95D2A" w:rsidRPr="00B95D2A" w:rsidRDefault="00B95D2A" w:rsidP="00B95D2A">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B95D2A" w:rsidRPr="00883125" w:rsidRDefault="00B95D2A" w:rsidP="00B95D2A">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521"/>
      </w:r>
      <w:r w:rsidRPr="00883125">
        <w:rPr>
          <w:rStyle w:val="AERbody"/>
        </w:rPr>
        <w:t xml:space="preserve">  </w:t>
      </w:r>
    </w:p>
    <w:p w:rsidR="00B95D2A" w:rsidRPr="00883125" w:rsidRDefault="00B95D2A" w:rsidP="00B95D2A">
      <w:pPr>
        <w:rPr>
          <w:rStyle w:val="AERbody"/>
        </w:rPr>
      </w:pPr>
      <w:r w:rsidRPr="00883125">
        <w:rPr>
          <w:rStyle w:val="AERbody"/>
        </w:rPr>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522"/>
      </w:r>
    </w:p>
    <w:p w:rsidR="00B95D2A" w:rsidRPr="00883125" w:rsidRDefault="00B95D2A" w:rsidP="00B95D2A">
      <w:pPr>
        <w:pStyle w:val="Heading8"/>
      </w:pPr>
      <w:bookmarkStart w:id="359" w:name="_Ref451790065"/>
      <w:bookmarkStart w:id="360" w:name="_Toc451842255"/>
      <w:bookmarkStart w:id="361" w:name="_Toc451938310"/>
      <w:bookmarkStart w:id="362" w:name="_Toc456614323"/>
      <w:bookmarkStart w:id="363" w:name="_Toc462823329"/>
      <w:bookmarkStart w:id="364" w:name="_Toc479693999"/>
      <w:bookmarkStart w:id="365" w:name="_Toc480815635"/>
      <w:r w:rsidRPr="00883125">
        <w:t>Estimation approach considerations</w:t>
      </w:r>
      <w:bookmarkEnd w:id="357"/>
      <w:bookmarkEnd w:id="358"/>
      <w:bookmarkEnd w:id="359"/>
      <w:bookmarkEnd w:id="360"/>
      <w:bookmarkEnd w:id="361"/>
      <w:bookmarkEnd w:id="362"/>
      <w:bookmarkEnd w:id="363"/>
      <w:bookmarkEnd w:id="364"/>
      <w:bookmarkEnd w:id="365"/>
    </w:p>
    <w:p w:rsidR="00B95D2A" w:rsidRPr="00883125" w:rsidRDefault="00B95D2A" w:rsidP="00B95D2A">
      <w:pPr>
        <w:numPr>
          <w:ilvl w:val="0"/>
          <w:numId w:val="24"/>
        </w:numPr>
      </w:pPr>
      <w:r w:rsidRPr="00883125">
        <w:t>Two considerations that were not proposed in the Guideline in determining the value of imputation credits are discussed below.</w:t>
      </w:r>
    </w:p>
    <w:p w:rsidR="00B95D2A" w:rsidRPr="00883125" w:rsidRDefault="00B95D2A" w:rsidP="00B95D2A">
      <w:pPr>
        <w:pStyle w:val="Heading9"/>
      </w:pPr>
      <w:bookmarkStart w:id="366" w:name="_Ref401048631"/>
      <w:bookmarkStart w:id="367" w:name="_Toc456614324"/>
      <w:bookmarkStart w:id="368" w:name="_Toc462823330"/>
      <w:bookmarkStart w:id="369" w:name="_Toc479694000"/>
      <w:bookmarkStart w:id="370" w:name="_Toc480815636"/>
      <w:r w:rsidRPr="00883125">
        <w:t>Evidence from all equity or only listed equity</w:t>
      </w:r>
      <w:bookmarkEnd w:id="366"/>
      <w:bookmarkEnd w:id="367"/>
      <w:bookmarkEnd w:id="368"/>
      <w:bookmarkEnd w:id="369"/>
      <w:bookmarkEnd w:id="370"/>
    </w:p>
    <w:p w:rsidR="00B95D2A" w:rsidRPr="00883125" w:rsidRDefault="00B95D2A" w:rsidP="00B95D2A">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B95D2A" w:rsidRPr="005764F6" w:rsidRDefault="00B95D2A" w:rsidP="00B95D2A">
      <w:r>
        <w:t>T</w:t>
      </w:r>
      <w:r w:rsidRPr="005764F6">
        <w:t xml:space="preserve">he </w:t>
      </w:r>
      <w:r>
        <w:t xml:space="preserve">Ausgrid </w:t>
      </w:r>
      <w:r w:rsidRPr="005764F6">
        <w:t>Tribunal recently considered that the AER had erred in using a listed equity only measure.</w:t>
      </w:r>
      <w:r w:rsidRPr="002110D5">
        <w:rPr>
          <w:rStyle w:val="FootnoteReference"/>
        </w:rPr>
        <w:footnoteReference w:id="523"/>
      </w:r>
      <w:r w:rsidRPr="005764F6">
        <w:t xml:space="preserve"> In this decision the </w:t>
      </w:r>
      <w:r>
        <w:t xml:space="preserve">Ausgrid </w:t>
      </w:r>
      <w:r w:rsidRPr="005764F6">
        <w:t xml:space="preserve">Tribunal considered that the AER had not provide </w:t>
      </w:r>
      <w:r w:rsidRPr="005764F6">
        <w:lastRenderedPageBreak/>
        <w:t>sufficient explanation for introducing the distribution rate for only listed equity and that the considered it appropriate to continue to follow past practice.</w:t>
      </w:r>
      <w:r w:rsidRPr="002110D5">
        <w:rPr>
          <w:rStyle w:val="FootnoteReference"/>
        </w:rPr>
        <w:footnoteReference w:id="524"/>
      </w:r>
    </w:p>
    <w:p w:rsidR="00B95D2A" w:rsidRPr="00883125" w:rsidRDefault="00B95D2A" w:rsidP="00B95D2A">
      <w:pPr>
        <w:numPr>
          <w:ilvl w:val="0"/>
          <w:numId w:val="24"/>
        </w:numPr>
      </w:pPr>
      <w:r w:rsidRPr="00883125">
        <w:t>We have had regard to experts' comments on the issue. Lally made some comments in support of considering all equity:</w:t>
      </w:r>
      <w:r w:rsidRPr="00883125">
        <w:rPr>
          <w:rStyle w:val="FootnoteReference"/>
        </w:rPr>
        <w:footnoteReference w:id="525"/>
      </w:r>
    </w:p>
    <w:p w:rsidR="00B95D2A" w:rsidRPr="00883125" w:rsidRDefault="00B95D2A" w:rsidP="00B95D2A">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B95D2A" w:rsidRDefault="00B95D2A" w:rsidP="00B95D2A">
      <w:pPr>
        <w:numPr>
          <w:ilvl w:val="0"/>
          <w:numId w:val="24"/>
        </w:numPr>
      </w:pPr>
      <w:r>
        <w:t>Lally considers that all equity rather than listed equity should be used to estimate the utilisation value. Lally considers that using all equity data suggest the utilisation value of 0.60.</w:t>
      </w:r>
      <w:r>
        <w:rPr>
          <w:rStyle w:val="FootnoteReference"/>
        </w:rPr>
        <w:footnoteReference w:id="526"/>
      </w:r>
    </w:p>
    <w:p w:rsidR="00B95D2A" w:rsidRPr="00883125" w:rsidRDefault="00B95D2A" w:rsidP="00B95D2A">
      <w:pPr>
        <w:numPr>
          <w:ilvl w:val="0"/>
          <w:numId w:val="24"/>
        </w:numPr>
      </w:pPr>
      <w:r w:rsidRPr="00883125">
        <w:t>However, Handley suggested that evidence from listed equity is more relevant:</w:t>
      </w:r>
      <w:r w:rsidRPr="00883125">
        <w:rPr>
          <w:rStyle w:val="FootnoteReference"/>
        </w:rPr>
        <w:footnoteReference w:id="527"/>
      </w:r>
    </w:p>
    <w:p w:rsidR="00B95D2A" w:rsidRPr="00883125" w:rsidRDefault="00B95D2A" w:rsidP="00B95D2A">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B95D2A" w:rsidRPr="00883125" w:rsidRDefault="00B95D2A" w:rsidP="00B95D2A">
      <w:r w:rsidRPr="00883125">
        <w:t>Gray's view (for SFG) is not clear to us. In his May 2014 report, Gray stated:</w:t>
      </w:r>
      <w:r w:rsidRPr="00883125">
        <w:rPr>
          <w:rStyle w:val="FootnoteReference"/>
        </w:rPr>
        <w:footnoteReference w:id="528"/>
      </w:r>
    </w:p>
    <w:p w:rsidR="00B95D2A" w:rsidRPr="00883125" w:rsidRDefault="00B95D2A" w:rsidP="00B95D2A">
      <w:pPr>
        <w:pStyle w:val="AERquote"/>
      </w:pPr>
      <w:r w:rsidRPr="00883125">
        <w:t xml:space="preserve">The 45% foreign ownership figure in Figure 9 above is based on listed equity. In our view, this is the appropriate calculation given that all other WACC parameters are </w:t>
      </w:r>
      <w:r w:rsidRPr="00883125">
        <w:lastRenderedPageBreak/>
        <w:t>estimated with reference to exchange-listed businesses because they are more reflective of the efficient benchmark entity.</w:t>
      </w:r>
    </w:p>
    <w:p w:rsidR="00B95D2A" w:rsidRPr="00883125" w:rsidRDefault="00B95D2A" w:rsidP="00B95D2A">
      <w:r w:rsidRPr="00883125">
        <w:t>And in his February 2015 report (for SFG) Gray stated:</w:t>
      </w:r>
      <w:r w:rsidRPr="00883125">
        <w:rPr>
          <w:rStyle w:val="FootnoteReference"/>
        </w:rPr>
        <w:footnoteReference w:id="529"/>
      </w:r>
    </w:p>
    <w:p w:rsidR="00B95D2A" w:rsidRPr="00883125" w:rsidRDefault="00B95D2A" w:rsidP="00B95D2A">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B95D2A" w:rsidRPr="00883125" w:rsidRDefault="00B95D2A" w:rsidP="00B95D2A">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530"/>
      </w:r>
    </w:p>
    <w:p w:rsidR="00B95D2A" w:rsidRPr="00883125" w:rsidRDefault="00B95D2A" w:rsidP="00B95D2A">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95D2A" w:rsidRPr="00883125" w:rsidRDefault="00B95D2A" w:rsidP="00B95D2A">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531"/>
      </w:r>
      <w:r w:rsidRPr="00883125">
        <w:t xml:space="preserve"> The service providers do not recognise that the evidence they have presented on 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3E419A">
        <w:t>A.8.3</w:t>
      </w:r>
      <w:r w:rsidRPr="00883125">
        <w:fldChar w:fldCharType="end"/>
      </w:r>
      <w:r w:rsidRPr="00883125">
        <w:t>).</w:t>
      </w:r>
    </w:p>
    <w:p w:rsidR="00B95D2A" w:rsidRDefault="00B95D2A" w:rsidP="00B95D2A">
      <w:r>
        <w:t>We have considered all the material before us. We agree that the utilisation rate is a market wide parameter. However, as set out above, there is no consensus on whether it should be estimated using all equity or listed equity. Therefore, we consider both. On the information before it, the SAPN Tribunal found no error in our decision in SAPN to exercise our discretion to consider estimates of the distribution rate from listed equity.</w:t>
      </w:r>
      <w:r>
        <w:rPr>
          <w:rStyle w:val="FootnoteReference"/>
        </w:rPr>
        <w:footnoteReference w:id="532"/>
      </w:r>
    </w:p>
    <w:p w:rsidR="00B95D2A" w:rsidRDefault="00B95D2A" w:rsidP="00B95D2A">
      <w:pPr>
        <w:rPr>
          <w:rStyle w:val="AERbody"/>
        </w:rPr>
      </w:pPr>
      <w:r>
        <w:lastRenderedPageBreak/>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533"/>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534"/>
      </w:r>
      <w:r>
        <w:rPr>
          <w:rStyle w:val="AERbody"/>
        </w:rPr>
        <w:t xml:space="preserve"> Lally considers this estimate is reflective of the distribution rate fo</w:t>
      </w:r>
      <w:r w:rsidR="004C726F">
        <w:rPr>
          <w:rStyle w:val="AERbody"/>
        </w:rPr>
        <w:t>r a benchmark efficient entity.</w:t>
      </w:r>
    </w:p>
    <w:p w:rsidR="00B95D2A" w:rsidRPr="005764F6" w:rsidRDefault="00B95D2A" w:rsidP="00B95D2A">
      <w:pPr>
        <w:rPr>
          <w:rStyle w:val="AERbody"/>
        </w:rPr>
      </w:pPr>
      <w:r>
        <w:t>W</w:t>
      </w:r>
      <w:r w:rsidRPr="00E64E9B">
        <w:t xml:space="preserve">e note </w:t>
      </w:r>
      <w:r>
        <w:t xml:space="preserve">that </w:t>
      </w:r>
      <w:r w:rsidRPr="00E64E9B">
        <w:t xml:space="preserve">the </w:t>
      </w:r>
      <w:r>
        <w:t xml:space="preserve">Ausgrid </w:t>
      </w:r>
      <w:r w:rsidRPr="00E64E9B">
        <w:t xml:space="preserve">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3E419A">
        <w:t>A.10</w:t>
      </w:r>
      <w:r>
        <w:fldChar w:fldCharType="end"/>
      </w:r>
      <w:r>
        <w:t>)</w:t>
      </w:r>
      <w:r w:rsidRPr="00E64E9B">
        <w:t xml:space="preserve">. </w:t>
      </w:r>
    </w:p>
    <w:p w:rsidR="00B95D2A" w:rsidRPr="00883125" w:rsidRDefault="00B95D2A" w:rsidP="00B95D2A">
      <w:pPr>
        <w:pStyle w:val="Heading9"/>
      </w:pPr>
      <w:bookmarkStart w:id="371" w:name="_Ref403481194"/>
      <w:bookmarkStart w:id="372" w:name="_Ref450299300"/>
      <w:bookmarkStart w:id="373" w:name="_Ref450765039"/>
      <w:bookmarkStart w:id="374" w:name="_Toc456614325"/>
      <w:bookmarkStart w:id="375" w:name="_Toc462823331"/>
      <w:bookmarkStart w:id="376" w:name="_Toc479694001"/>
      <w:bookmarkStart w:id="377" w:name="_Toc480815637"/>
      <w:r w:rsidRPr="00883125">
        <w:t xml:space="preserve">Relationship between the distribution rate and the utilisation </w:t>
      </w:r>
      <w:bookmarkEnd w:id="371"/>
      <w:r w:rsidRPr="00883125">
        <w:t>value</w:t>
      </w:r>
      <w:bookmarkEnd w:id="372"/>
      <w:bookmarkEnd w:id="373"/>
      <w:bookmarkEnd w:id="374"/>
      <w:bookmarkEnd w:id="375"/>
      <w:bookmarkEnd w:id="376"/>
      <w:bookmarkEnd w:id="377"/>
    </w:p>
    <w:p w:rsidR="00B95D2A" w:rsidRPr="00883125" w:rsidRDefault="00B95D2A" w:rsidP="00B95D2A">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B95D2A" w:rsidRPr="00883125" w:rsidRDefault="00B95D2A" w:rsidP="00B95D2A">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B95D2A" w:rsidRDefault="00B95D2A" w:rsidP="00B95D2A">
      <w:pPr>
        <w:numPr>
          <w:ilvl w:val="0"/>
          <w:numId w:val="24"/>
        </w:numPr>
        <w:rPr>
          <w:rStyle w:val="AERbody"/>
        </w:rPr>
      </w:pPr>
      <w:r w:rsidRPr="00883125">
        <w:rPr>
          <w:rStyle w:val="AERbody"/>
        </w:rPr>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535"/>
      </w:r>
      <w:r w:rsidRPr="00883125">
        <w:rPr>
          <w:rStyle w:val="AERbody"/>
        </w:rPr>
        <w:t xml:space="preserve"> They </w:t>
      </w:r>
      <w:r w:rsidRPr="00883125">
        <w:rPr>
          <w:rStyle w:val="AERbody"/>
        </w:rPr>
        <w:lastRenderedPageBreak/>
        <w:t>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536"/>
      </w:r>
      <w:r w:rsidRPr="00883125">
        <w:rPr>
          <w:rStyle w:val="AERbody"/>
        </w:rPr>
        <w:t xml:space="preserve"> Service providers consider that the distribution rate should be set with reference to all equity to avoid the influence of imputation credits being attached to foreign income.</w:t>
      </w:r>
      <w:r>
        <w:rPr>
          <w:rStyle w:val="FootnoteReference"/>
        </w:rPr>
        <w:footnoteReference w:id="537"/>
      </w:r>
      <w:r w:rsidRPr="00883125">
        <w:rPr>
          <w:rStyle w:val="AERbody"/>
        </w:rPr>
        <w:t xml:space="preserv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538"/>
      </w:r>
      <w:r w:rsidRPr="00883125">
        <w:rPr>
          <w:rStyle w:val="AERbody"/>
        </w:rPr>
        <w:t xml:space="preserve"> </w:t>
      </w:r>
    </w:p>
    <w:p w:rsidR="00B95D2A" w:rsidRPr="00883125" w:rsidRDefault="00B95D2A" w:rsidP="00B95D2A">
      <w:pPr>
        <w:numPr>
          <w:ilvl w:val="0"/>
          <w:numId w:val="24"/>
        </w:numPr>
        <w:rPr>
          <w:rStyle w:val="AERbody"/>
        </w:rPr>
      </w:pPr>
      <w:r w:rsidRPr="00883125">
        <w:rPr>
          <w:rStyle w:val="AERbody"/>
        </w:rPr>
        <w:t>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539"/>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540"/>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541"/>
      </w:r>
    </w:p>
    <w:p w:rsidR="00B95D2A" w:rsidRDefault="00B95D2A" w:rsidP="00B95D2A">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542"/>
      </w:r>
      <w:r w:rsidRPr="00883125">
        <w:rPr>
          <w:rStyle w:val="AERbody"/>
        </w:rPr>
        <w:t xml:space="preserve"> Gr</w:t>
      </w:r>
      <w:r>
        <w:rPr>
          <w:rStyle w:val="AERbody"/>
        </w:rPr>
        <w:t>a</w:t>
      </w:r>
      <w:r w:rsidRPr="00883125">
        <w:rPr>
          <w:rStyle w:val="AERbody"/>
        </w:rPr>
        <w:t xml:space="preserve">y (for Frontier) draws an analogy between gamma and the CAPM, where the distribution rate is similar to beta and theta is similar to the MRP. Handley </w:t>
      </w:r>
      <w:r>
        <w:rPr>
          <w:rStyle w:val="AERbody"/>
        </w:rPr>
        <w:t xml:space="preserve">previously </w:t>
      </w:r>
      <w:r w:rsidRPr="00883125">
        <w:rPr>
          <w:rStyle w:val="AERbody"/>
        </w:rPr>
        <w:t xml:space="preserve">considered </w:t>
      </w:r>
      <w:r w:rsidR="004C726F">
        <w:rPr>
          <w:rStyle w:val="AERbody"/>
        </w:rPr>
        <w:t>these issues</w:t>
      </w:r>
      <w:r w:rsidRPr="00883125">
        <w:rPr>
          <w:rStyle w:val="AERbody"/>
        </w:rPr>
        <w:t xml:space="preserve">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543"/>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3E419A">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544"/>
      </w:r>
      <w:r>
        <w:rPr>
          <w:rStyle w:val="AERbody"/>
        </w:rPr>
        <w:t xml:space="preserve"> This demonstrates that foreign income actually decreases the distribution rate and not increases it as suggested by Frontier.</w:t>
      </w:r>
    </w:p>
    <w:p w:rsidR="00B95D2A" w:rsidRDefault="00B95D2A" w:rsidP="00B95D2A">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545"/>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B95D2A" w:rsidRDefault="00B95D2A" w:rsidP="00B95D2A">
      <w:r w:rsidRPr="00033F58">
        <w:t xml:space="preserve">Lally considered </w:t>
      </w:r>
      <w:r>
        <w:t xml:space="preserve">there is no necessity to combine </w:t>
      </w:r>
      <w:r w:rsidRPr="001D37D5">
        <w:t>estimates of the distribution rate and utilisation rate from the same dataset</w:t>
      </w:r>
      <w:r>
        <w:t xml:space="preserve"> and good reason not for not doing so.</w:t>
      </w:r>
      <w:r>
        <w:rPr>
          <w:rStyle w:val="FootnoteReference"/>
        </w:rPr>
        <w:footnoteReference w:id="546"/>
      </w:r>
      <w:r>
        <w:t xml:space="preserve"> </w:t>
      </w:r>
      <w:r w:rsidRPr="00033F58">
        <w:t>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547"/>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548"/>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549"/>
      </w:r>
    </w:p>
    <w:p w:rsidR="00625A3E" w:rsidRPr="005764F6" w:rsidRDefault="00625A3E" w:rsidP="00B95D2A"/>
    <w:p w:rsidR="00B95D2A" w:rsidRPr="00883125" w:rsidRDefault="00B95D2A" w:rsidP="00B95D2A">
      <w:pPr>
        <w:pStyle w:val="Heading8"/>
      </w:pPr>
      <w:bookmarkStart w:id="378" w:name="_Toc451842256"/>
      <w:bookmarkStart w:id="379" w:name="_Ref401133206"/>
      <w:bookmarkStart w:id="380" w:name="_Toc436049451"/>
      <w:bookmarkStart w:id="381" w:name="_Toc451842257"/>
      <w:bookmarkStart w:id="382" w:name="_Toc451938311"/>
      <w:bookmarkStart w:id="383" w:name="_Toc456614326"/>
      <w:bookmarkStart w:id="384" w:name="_Toc462823332"/>
      <w:bookmarkStart w:id="385" w:name="_Toc479694002"/>
      <w:bookmarkStart w:id="386" w:name="_Toc480815638"/>
      <w:bookmarkEnd w:id="378"/>
      <w:r w:rsidRPr="00883125">
        <w:lastRenderedPageBreak/>
        <w:t>Estimating the distribution rate</w:t>
      </w:r>
      <w:bookmarkEnd w:id="379"/>
      <w:bookmarkEnd w:id="380"/>
      <w:bookmarkEnd w:id="381"/>
      <w:bookmarkEnd w:id="382"/>
      <w:bookmarkEnd w:id="383"/>
      <w:bookmarkEnd w:id="384"/>
      <w:bookmarkEnd w:id="385"/>
      <w:bookmarkEnd w:id="386"/>
    </w:p>
    <w:p w:rsidR="00B95D2A" w:rsidRPr="00883125" w:rsidRDefault="00B95D2A" w:rsidP="00B95D2A">
      <w:pPr>
        <w:numPr>
          <w:ilvl w:val="0"/>
          <w:numId w:val="24"/>
        </w:numPr>
      </w:pPr>
      <w:r w:rsidRPr="00883125">
        <w:t xml:space="preserve">We consider that the distribution rate is the proportion of imputation credits generated by the benchmark efficient entity that is distributed to investors. We set out our position on the distribution rate in section </w:t>
      </w:r>
      <w:r>
        <w:fldChar w:fldCharType="begin"/>
      </w:r>
      <w:r>
        <w:instrText xml:space="preserve"> REF _Ref450761230 \r \h </w:instrText>
      </w:r>
      <w:r>
        <w:fldChar w:fldCharType="separate"/>
      </w:r>
      <w:r w:rsidR="003E419A">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550"/>
      </w:r>
      <w:r w:rsidRPr="00883125">
        <w:t xml:space="preserve"> Hathaway found a similar estimate for the period 2004 to 2011.</w:t>
      </w:r>
      <w:r w:rsidRPr="00883125">
        <w:rPr>
          <w:rStyle w:val="FootnoteReference"/>
        </w:rPr>
        <w:footnoteReference w:id="551"/>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552"/>
      </w:r>
      <w:r w:rsidRPr="00883125">
        <w:t xml:space="preserve"> Also using this approach, Handley estimated a distribution rate across only listed equity of 0.8 for the period 1987 to 2011.</w:t>
      </w:r>
      <w:r w:rsidRPr="00883125">
        <w:rPr>
          <w:rStyle w:val="FootnoteReference"/>
        </w:rPr>
        <w:footnoteReference w:id="553"/>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B95D2A" w:rsidRPr="00883125" w:rsidRDefault="00B95D2A" w:rsidP="00B95D2A">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554"/>
      </w:r>
      <w:r w:rsidRPr="00883125">
        <w:t xml:space="preserve"> Handley also reviewed NERA's analysis, and provided his own report.</w:t>
      </w:r>
      <w:r w:rsidRPr="00883125">
        <w:rPr>
          <w:rStyle w:val="FootnoteReference"/>
        </w:rPr>
        <w:footnoteReference w:id="555"/>
      </w:r>
      <w:r w:rsidRPr="00883125">
        <w:t xml:space="preserve"> Both NERA and Handley found an estimate of 0.7 for the period 2004 to 2012.</w:t>
      </w:r>
      <w:r w:rsidRPr="00883125">
        <w:rPr>
          <w:rStyle w:val="FootnoteReference"/>
        </w:rPr>
        <w:footnoteReference w:id="556"/>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B95D2A" w:rsidRPr="00883125" w:rsidRDefault="00B95D2A" w:rsidP="00B95D2A">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557"/>
      </w:r>
      <w:r w:rsidRPr="00883125">
        <w:t xml:space="preserve"> However, Gray's (for frontier) replication of Handley (2014) and Handley (2015) cumulative payout ratio is </w:t>
      </w:r>
      <w:r w:rsidRPr="00883125">
        <w:lastRenderedPageBreak/>
        <w:t xml:space="preserve">slightly different due to what Gray </w:t>
      </w:r>
      <w:r w:rsidR="009B1202">
        <w:t>considers</w:t>
      </w:r>
      <w:r w:rsidR="009B1202" w:rsidRPr="00883125">
        <w:t xml:space="preserve"> </w:t>
      </w:r>
      <w:r w:rsidRPr="00883125">
        <w:t>to be a different rounding method.</w:t>
      </w:r>
      <w:r w:rsidRPr="00883125">
        <w:rPr>
          <w:rStyle w:val="FootnoteReference"/>
        </w:rPr>
        <w:footnoteReference w:id="558"/>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3E419A" w:rsidRPr="00883125">
        <w:t xml:space="preserve">Table </w:t>
      </w:r>
      <w:r w:rsidR="003E419A">
        <w:rPr>
          <w:noProof/>
        </w:rPr>
        <w:t>4</w:t>
      </w:r>
      <w:r w:rsidR="003E419A">
        <w:noBreakHyphen/>
      </w:r>
      <w:r w:rsidR="003E419A">
        <w:rPr>
          <w:noProof/>
        </w:rPr>
        <w:t>14</w:t>
      </w:r>
      <w:r w:rsidRPr="00883125">
        <w:fldChar w:fldCharType="end"/>
      </w:r>
      <w:r w:rsidRPr="00883125">
        <w:t>.</w:t>
      </w:r>
    </w:p>
    <w:p w:rsidR="00B95D2A" w:rsidRPr="00883125" w:rsidRDefault="00B95D2A" w:rsidP="00B95D2A">
      <w:pPr>
        <w:pStyle w:val="Caption"/>
      </w:pPr>
      <w:bookmarkStart w:id="387" w:name="_Ref450332920"/>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14</w:t>
      </w:r>
      <w:r w:rsidRPr="001D37D5">
        <w:fldChar w:fldCharType="end"/>
      </w:r>
      <w:bookmarkEnd w:id="387"/>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B95D2A" w:rsidTr="00AC29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p>
        </w:tc>
        <w:tc>
          <w:tcPr>
            <w:tcW w:w="2712"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B95D2A" w:rsidRPr="00883125" w:rsidRDefault="00B95D2A" w:rsidP="00B95D2A">
            <w:pPr>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Handley (public companies)</w:t>
            </w:r>
          </w:p>
        </w:tc>
        <w:tc>
          <w:tcPr>
            <w:tcW w:w="271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Handley (Private companies)</w:t>
            </w:r>
          </w:p>
        </w:tc>
        <w:tc>
          <w:tcPr>
            <w:tcW w:w="2712"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B95D2A" w:rsidTr="00AC29DB">
        <w:trPr>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NERA (public companies)</w:t>
            </w:r>
          </w:p>
        </w:tc>
        <w:tc>
          <w:tcPr>
            <w:tcW w:w="2712"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B95D2A" w:rsidRPr="00883125" w:rsidRDefault="00B95D2A" w:rsidP="00B95D2A">
            <w:pPr>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B95D2A" w:rsidRPr="00883125" w:rsidRDefault="00B95D2A" w:rsidP="00B95D2A">
            <w:pPr>
              <w:numPr>
                <w:ilvl w:val="0"/>
                <w:numId w:val="24"/>
              </w:numPr>
            </w:pPr>
            <w:r w:rsidRPr="00883125">
              <w:t>NERA (Private companies)</w:t>
            </w:r>
          </w:p>
        </w:tc>
        <w:tc>
          <w:tcPr>
            <w:tcW w:w="2712"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B95D2A" w:rsidRPr="00883125" w:rsidRDefault="00B95D2A" w:rsidP="00B95D2A">
            <w:pPr>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B95D2A" w:rsidRPr="00CA67C0" w:rsidRDefault="00B95D2A" w:rsidP="00B95D2A">
      <w:pPr>
        <w:pStyle w:val="AERtablesource"/>
      </w:pPr>
      <w:r w:rsidRPr="00883125">
        <w:t xml:space="preserve">Source: </w:t>
      </w:r>
      <w:r w:rsidRPr="00883125">
        <w:tab/>
        <w:t xml:space="preserve">Frontier, </w:t>
      </w:r>
      <w:r w:rsidRPr="00AC29DB">
        <w:rPr>
          <w:rStyle w:val="AERtextitalic"/>
        </w:rPr>
        <w:t>The appropriate use of tax statistics when estimating gamma</w:t>
      </w:r>
      <w:r w:rsidRPr="00883125">
        <w:t>, January 2016, p. 22.</w:t>
      </w:r>
    </w:p>
    <w:p w:rsidR="00B95D2A" w:rsidRDefault="00B95D2A" w:rsidP="00B95D2A">
      <w:pPr>
        <w:numPr>
          <w:ilvl w:val="0"/>
          <w:numId w:val="24"/>
        </w:numPr>
        <w:rPr>
          <w:rStyle w:val="AERbody"/>
        </w:rPr>
      </w:pPr>
      <w:r w:rsidRPr="00883125">
        <w:rPr>
          <w:rStyle w:val="AERbody"/>
        </w:rPr>
        <w:t xml:space="preserve">For this </w:t>
      </w:r>
      <w:r>
        <w:rPr>
          <w:rStyle w:val="AERbody"/>
        </w:rPr>
        <w:t xml:space="preserve">final </w:t>
      </w:r>
      <w:r w:rsidRPr="00883125">
        <w:rPr>
          <w:rStyle w:val="AERbody"/>
        </w:rPr>
        <w:t xml:space="preserve">decision the AER has updated the cumulative distribution rate to 2014. Through this process we have estimated that the distribution rate for listed equity has fallen to 0.75 and this value is adopted in this </w:t>
      </w:r>
      <w:r>
        <w:rPr>
          <w:rStyle w:val="AERbody"/>
        </w:rPr>
        <w:t xml:space="preserve">final </w:t>
      </w:r>
      <w:r w:rsidRPr="00883125">
        <w:rPr>
          <w:rStyle w:val="AERbody"/>
        </w:rPr>
        <w:t xml:space="preserve">decision. Consistent </w:t>
      </w:r>
      <w:r>
        <w:rPr>
          <w:rStyle w:val="AERbody"/>
        </w:rPr>
        <w:t xml:space="preserve">with </w:t>
      </w:r>
      <w:r w:rsidRPr="00883125">
        <w:rPr>
          <w:rStyle w:val="AERbody"/>
        </w:rPr>
        <w:t xml:space="preserve">the regulated businesses proposals, the AER adopts a 0.7 distribution rate for all equity in this </w:t>
      </w:r>
      <w:r>
        <w:rPr>
          <w:rStyle w:val="AERbody"/>
        </w:rPr>
        <w:t xml:space="preserve">final </w:t>
      </w:r>
      <w:r w:rsidRPr="00883125">
        <w:rPr>
          <w:rStyle w:val="AERbody"/>
        </w:rPr>
        <w:t xml:space="preserve">decision. </w:t>
      </w:r>
    </w:p>
    <w:p w:rsidR="00B95D2A" w:rsidRDefault="00B95D2A" w:rsidP="00B95D2A">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559"/>
      </w:r>
      <w:r w:rsidRPr="005764F6">
        <w:t xml:space="preserve"> </w:t>
      </w:r>
    </w:p>
    <w:p w:rsidR="00B95D2A" w:rsidRDefault="00B95D2A" w:rsidP="00B95D2A">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B95D2A" w:rsidRPr="005764F6" w:rsidRDefault="00B95D2A" w:rsidP="00B95D2A">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560"/>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w:t>
      </w:r>
      <w:r>
        <w:t xml:space="preserve">Ausgrid </w:t>
      </w:r>
      <w:r w:rsidRPr="005764F6">
        <w:t xml:space="preserve">Tribunal decision. </w:t>
      </w:r>
    </w:p>
    <w:p w:rsidR="00B95D2A" w:rsidRPr="00883125" w:rsidRDefault="00B95D2A" w:rsidP="00B95D2A">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B95D2A" w:rsidRPr="00883125" w:rsidRDefault="00B95D2A" w:rsidP="00B95D2A">
      <w:pPr>
        <w:pStyle w:val="Heading9"/>
      </w:pPr>
      <w:bookmarkStart w:id="388" w:name="_Ref414289334"/>
      <w:bookmarkStart w:id="389" w:name="_Toc456614327"/>
      <w:bookmarkStart w:id="390" w:name="_Toc462823333"/>
      <w:bookmarkStart w:id="391" w:name="_Toc479694003"/>
      <w:bookmarkStart w:id="392" w:name="_Toc480815639"/>
      <w:r w:rsidRPr="00883125">
        <w:lastRenderedPageBreak/>
        <w:t>Service providers', Gray's and NERA's comments on the distribution rate</w:t>
      </w:r>
      <w:bookmarkEnd w:id="388"/>
      <w:bookmarkEnd w:id="389"/>
      <w:bookmarkEnd w:id="390"/>
      <w:bookmarkEnd w:id="391"/>
      <w:bookmarkEnd w:id="392"/>
    </w:p>
    <w:p w:rsidR="00B95D2A" w:rsidRPr="00883125" w:rsidRDefault="00B95D2A" w:rsidP="00B95D2A">
      <w:r w:rsidRPr="00883125">
        <w:t>The service providers and Gray (for SFG) submitted that it would be inappropriate to apply a distribution rate based on evidence from only listed equity and that the distribution rate for all equity is likely to be a reasonable proxy for that of the benchmark entity.</w:t>
      </w:r>
      <w:r w:rsidRPr="00883125">
        <w:rPr>
          <w:rStyle w:val="FootnoteReference"/>
        </w:rPr>
        <w:footnoteReference w:id="561"/>
      </w:r>
      <w:r w:rsidRPr="00883125">
        <w:t xml:space="preserve">  We disagree and set out our reasons below</w:t>
      </w:r>
      <w:r>
        <w:t>.</w:t>
      </w:r>
    </w:p>
    <w:p w:rsidR="00B95D2A" w:rsidRPr="00883125" w:rsidRDefault="00B95D2A" w:rsidP="00B95D2A">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562"/>
      </w:r>
    </w:p>
    <w:p w:rsidR="00B95D2A" w:rsidRPr="00883125" w:rsidRDefault="00B95D2A" w:rsidP="00B95D2A">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B95D2A" w:rsidRPr="00883125" w:rsidRDefault="00B95D2A" w:rsidP="00B95D2A">
      <w:r>
        <w:t>I</w:t>
      </w:r>
      <w:r w:rsidRPr="00883125">
        <w:t>n the decisions previously released in 2014</w:t>
      </w:r>
      <w:r>
        <w:t>, 2015</w:t>
      </w:r>
      <w:r w:rsidRPr="00883125">
        <w:t xml:space="preserve"> and 201</w:t>
      </w:r>
      <w:r>
        <w:t>6</w:t>
      </w:r>
      <w:r w:rsidRPr="00883125">
        <w:t xml:space="preserve">, and in section </w:t>
      </w:r>
      <w:r>
        <w:fldChar w:fldCharType="begin"/>
      </w:r>
      <w:r>
        <w:instrText xml:space="preserve"> REF _Ref451790065 \r \h </w:instrText>
      </w:r>
      <w:r>
        <w:fldChar w:fldCharType="separate"/>
      </w:r>
      <w:r w:rsidR="003E419A">
        <w:t>A.9</w:t>
      </w:r>
      <w:r>
        <w:fldChar w:fldCharType="end"/>
      </w:r>
      <w:r>
        <w:t xml:space="preserve"> and </w:t>
      </w:r>
      <w:r>
        <w:fldChar w:fldCharType="begin"/>
      </w:r>
      <w:r>
        <w:instrText xml:space="preserve"> REF _Ref401133206 \r \h </w:instrText>
      </w:r>
      <w:r>
        <w:fldChar w:fldCharType="separate"/>
      </w:r>
      <w:r w:rsidR="003E419A">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listed equity.</w:t>
      </w:r>
    </w:p>
    <w:p w:rsidR="00B95D2A" w:rsidRPr="00883125" w:rsidRDefault="00B95D2A" w:rsidP="00B95D2A">
      <w:r w:rsidRPr="00883125">
        <w:t>Gray's report (for SFG) appears to support an estimate of the distribution rate that is not affected by the distribution behaviour of very large public firms or very small private firms. That is, Gray (for SFG) stated:</w:t>
      </w:r>
    </w:p>
    <w:p w:rsidR="00B95D2A" w:rsidRPr="00883125" w:rsidRDefault="00B95D2A" w:rsidP="00B95D2A">
      <w:pPr>
        <w:pStyle w:val="AERquote"/>
      </w:pPr>
      <w:r w:rsidRPr="00883125">
        <w:t>Conceptually, the task is…to estimate the distribution rate for the benchmark efficient firm.</w:t>
      </w:r>
      <w:r w:rsidRPr="00883125">
        <w:rPr>
          <w:rStyle w:val="FootnoteReference"/>
        </w:rPr>
        <w:footnoteReference w:id="563"/>
      </w:r>
    </w:p>
    <w:p w:rsidR="00B95D2A" w:rsidRPr="00883125" w:rsidRDefault="00B95D2A" w:rsidP="00B95D2A">
      <w:pPr>
        <w:pStyle w:val="AERquote"/>
      </w:pPr>
      <w:r w:rsidRPr="00883125">
        <w:lastRenderedPageBreak/>
        <w:t>…</w:t>
      </w:r>
    </w:p>
    <w:p w:rsidR="00B95D2A" w:rsidRPr="00883125" w:rsidRDefault="00B95D2A" w:rsidP="00B95D2A">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564"/>
      </w:r>
    </w:p>
    <w:p w:rsidR="00B95D2A" w:rsidRPr="00883125" w:rsidRDefault="00B95D2A" w:rsidP="00B95D2A">
      <w:r w:rsidRPr="00883125">
        <w:t>In particular, Gray submitted that the distribution behaviour of large multinational firms seemed unrepresentative of the benchmark efficient entity on account of their foreign-sourced income.</w:t>
      </w:r>
      <w:r w:rsidRPr="00883125">
        <w:rPr>
          <w:rStyle w:val="FootnoteReference"/>
        </w:rPr>
        <w:footnoteReference w:id="565"/>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566"/>
      </w:r>
      <w:r w:rsidRPr="00883125">
        <w:t xml:space="preserve"> Handley considered Gray's analysis to be ' incomplete and oversimplified to support such a strong conclusion'.</w:t>
      </w:r>
      <w:r w:rsidRPr="00883125">
        <w:rPr>
          <w:rStyle w:val="FootnoteReference"/>
        </w:rPr>
        <w:footnoteReference w:id="567"/>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568"/>
      </w:r>
    </w:p>
    <w:p w:rsidR="00B95D2A" w:rsidRDefault="00B95D2A" w:rsidP="00B95D2A">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569"/>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B95D2A" w:rsidRPr="005764F6" w:rsidRDefault="00B95D2A" w:rsidP="00B95D2A">
      <w:r w:rsidRPr="005764F6">
        <w:t xml:space="preserve">Lally examined this issue for us and concluded that firms with higher foreign earnings </w:t>
      </w:r>
      <w:r>
        <w:t xml:space="preserve">actually </w:t>
      </w:r>
      <w:r w:rsidRPr="005764F6">
        <w:t>appear to be distributing less imputation credits.</w:t>
      </w:r>
      <w:r w:rsidRPr="005053A1">
        <w:rPr>
          <w:rStyle w:val="FootnoteReference"/>
        </w:rPr>
        <w:footnoteReference w:id="570"/>
      </w:r>
      <w:r w:rsidRPr="005764F6">
        <w:t xml:space="preserve"> Lally empirically assessed the seven largest tax paying entities on the ASX and found that the proportion of profit from foreign operation is monotonically decreasing in the distribution rate (correlation of -0.95), </w:t>
      </w:r>
      <w:r w:rsidRPr="005764F6">
        <w:lastRenderedPageBreak/>
        <w:t>which is in the opposite direction to that claimed by Frontier.</w:t>
      </w:r>
      <w:r w:rsidRPr="005053A1">
        <w:rPr>
          <w:rStyle w:val="FootnoteReference"/>
        </w:rPr>
        <w:footnoteReference w:id="571"/>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572"/>
      </w:r>
      <w:r w:rsidRPr="005764F6">
        <w:t xml:space="preserve"> </w:t>
      </w:r>
    </w:p>
    <w:p w:rsidR="00B95D2A" w:rsidRDefault="00B95D2A" w:rsidP="00B95D2A">
      <w:r>
        <w:t>Frontier responded to the Lally analysis by noting that the relevant question is whether large multinationals have higher imputation distribution rates than other firms.</w:t>
      </w:r>
      <w:r>
        <w:rPr>
          <w:rStyle w:val="FootnoteReference"/>
        </w:rPr>
        <w:footnoteReference w:id="573"/>
      </w:r>
      <w:r>
        <w:t xml:space="preserve"> Further, Frontier considers Lally's analysis of the top 7 firms did not control for difference in dividend payout ratios.</w:t>
      </w:r>
      <w:r>
        <w:rPr>
          <w:rStyle w:val="FootnoteReference"/>
        </w:rPr>
        <w:footnoteReference w:id="574"/>
      </w:r>
      <w:r>
        <w:t xml:space="preserve"> Frontier concludes that:</w:t>
      </w:r>
      <w:r>
        <w:rPr>
          <w:rStyle w:val="FootnoteReference"/>
        </w:rPr>
        <w:footnoteReference w:id="575"/>
      </w:r>
    </w:p>
    <w:p w:rsidR="00B95D2A" w:rsidRDefault="00B95D2A" w:rsidP="00AC29DB">
      <w:pPr>
        <w:pStyle w:val="AERquoteindent1"/>
      </w:pPr>
      <w:r>
        <w:t>a.</w:t>
      </w:r>
      <w:r>
        <w:tab/>
        <w:t>Mathematically, for any given dividend payout ratio, the imputation credit distribution rate is an increasing function of the proportion of foreign profits; and</w:t>
      </w:r>
    </w:p>
    <w:p w:rsidR="00B95D2A" w:rsidRPr="00B95D2A" w:rsidRDefault="00B95D2A" w:rsidP="00AC29DB">
      <w:pPr>
        <w:pStyle w:val="AERquoteindent1"/>
      </w:pPr>
      <w:r>
        <w:t>b</w:t>
      </w:r>
      <w:r w:rsidRPr="00B95D2A">
        <w:t>.</w:t>
      </w:r>
      <w:r w:rsidRPr="00B95D2A">
        <w:tab/>
        <w:t>The evidence clearly supports the proposition that large multinationals are able to distribute a higher proportion of the imputation credits that they create (83%) relative to the average firm (70%).</w:t>
      </w:r>
    </w:p>
    <w:p w:rsidR="00B95D2A" w:rsidRDefault="00B95D2A" w:rsidP="00B95D2A">
      <w:r w:rsidRPr="00B95D2A">
        <w:t xml:space="preserve">Frontier argues that </w:t>
      </w:r>
      <w:r>
        <w:t>to determine the effects of foreign income on imputation distribution</w:t>
      </w:r>
      <w:r w:rsidRPr="0027533B">
        <w:t xml:space="preserve"> </w:t>
      </w:r>
      <w:r w:rsidRPr="00B95D2A">
        <w:t xml:space="preserve">the correct comparison </w:t>
      </w:r>
      <w:r>
        <w:t>should be</w:t>
      </w:r>
      <w:r w:rsidRPr="00B95D2A">
        <w:t xml:space="preserve"> between firms without foreign income and those with it</w:t>
      </w:r>
      <w:r>
        <w:t xml:space="preserve">, </w:t>
      </w:r>
      <w:r w:rsidRPr="00B95D2A">
        <w:t>rather than amongst firms that have some foreign income.</w:t>
      </w:r>
      <w:r w:rsidRPr="00B95D2A">
        <w:rPr>
          <w:rStyle w:val="FootnoteReference"/>
        </w:rPr>
        <w:footnoteReference w:id="576"/>
      </w:r>
      <w:r>
        <w:t xml:space="preserve"> However, Lally considers the far superior approach </w:t>
      </w:r>
      <w:r w:rsidRPr="00B95D2A">
        <w:t>would be to examine the entire distribution of firms, as Lally (2016a, section 3.5) has done.</w:t>
      </w:r>
      <w:r w:rsidRPr="000028DB">
        <w:rPr>
          <w:rStyle w:val="FootnoteReference"/>
        </w:rPr>
        <w:t xml:space="preserve"> </w:t>
      </w:r>
      <w:r w:rsidRPr="000028DB">
        <w:rPr>
          <w:rStyle w:val="FootnoteReference"/>
        </w:rPr>
        <w:footnoteReference w:id="577"/>
      </w:r>
      <w:r w:rsidRPr="00B95D2A">
        <w:t xml:space="preserve"> </w:t>
      </w:r>
      <w:r>
        <w:t>T</w:t>
      </w:r>
      <w:r w:rsidRPr="000028DB">
        <w:t xml:space="preserve">he seven firms examined </w:t>
      </w:r>
      <w:r>
        <w:t xml:space="preserve">by Lally </w:t>
      </w:r>
      <w:r w:rsidRPr="000028DB">
        <w:t>(Lally, 2016a, Table 1)</w:t>
      </w:r>
      <w:r>
        <w:t xml:space="preserve"> </w:t>
      </w:r>
      <w:r w:rsidRPr="000028DB">
        <w:t>have foreign income proportions ranging from 6% to 60%, and therefore the degree of extrapolation is minor</w:t>
      </w:r>
      <w:r>
        <w:t xml:space="preserve"> to estimate the imputation distribution rate with the absence of foreign activities.</w:t>
      </w:r>
      <w:r w:rsidRPr="000028DB">
        <w:rPr>
          <w:rStyle w:val="FootnoteReference"/>
        </w:rPr>
        <w:footnoteReference w:id="578"/>
      </w:r>
      <w:r>
        <w:t xml:space="preserve"> Lally considers that the most important requirement is for the firms in the analysis to have large company tax payments to the ATO, so as to obtain the best estimate of the imputation distribution rate for the market in aggregate.</w:t>
      </w:r>
      <w:r w:rsidRPr="000028DB">
        <w:rPr>
          <w:rStyle w:val="FootnoteReference"/>
        </w:rPr>
        <w:footnoteReference w:id="579"/>
      </w:r>
      <w:r>
        <w:t xml:space="preserve"> Lally considers that </w:t>
      </w:r>
      <w:r w:rsidRPr="00B95D2A">
        <w:t>examining a set of firms that had no foreign activities but constituted 10% of the value of the market would be very unsatisfactory.</w:t>
      </w:r>
      <w:r w:rsidRPr="00F7654C">
        <w:rPr>
          <w:rStyle w:val="FootnoteReference"/>
        </w:rPr>
        <w:t xml:space="preserve"> </w:t>
      </w:r>
      <w:r w:rsidRPr="00F7654C">
        <w:rPr>
          <w:rStyle w:val="FootnoteReference"/>
        </w:rPr>
        <w:footnoteReference w:id="580"/>
      </w:r>
    </w:p>
    <w:p w:rsidR="00B95D2A" w:rsidRDefault="00B95D2A" w:rsidP="00B95D2A">
      <w:r w:rsidRPr="00B95D2A">
        <w:t xml:space="preserve">Frontier </w:t>
      </w:r>
      <w:r>
        <w:t xml:space="preserve">submits </w:t>
      </w:r>
      <w:r w:rsidRPr="00B95D2A">
        <w:t xml:space="preserve">that the average Australian company has a distribution rate of about 70%, compared to the 84% for the 20 largest ASX firms, </w:t>
      </w:r>
      <w:r>
        <w:t xml:space="preserve">given </w:t>
      </w:r>
      <w:r w:rsidRPr="00B95D2A">
        <w:t>the latter firms have foreign income</w:t>
      </w:r>
      <w:r>
        <w:t xml:space="preserve"> </w:t>
      </w:r>
      <w:r>
        <w:lastRenderedPageBreak/>
        <w:t>it is</w:t>
      </w:r>
      <w:r w:rsidRPr="00B95D2A">
        <w:t xml:space="preserve"> not suitable for estimating the distribution rate </w:t>
      </w:r>
      <w:r>
        <w:t>for</w:t>
      </w:r>
      <w:r w:rsidRPr="00B95D2A">
        <w:t xml:space="preserve"> the BEE.</w:t>
      </w:r>
      <w:r w:rsidRPr="00F7654C">
        <w:rPr>
          <w:rStyle w:val="FootnoteReference"/>
        </w:rPr>
        <w:footnoteReference w:id="581"/>
      </w:r>
      <w:r>
        <w:t xml:space="preserve"> However, Lally has demonstrated that the top 20 firm's imputation credit distribution is 0.84 and when adjustments are made for foreign income this imputation credit distribution actually increases </w:t>
      </w:r>
      <w:r w:rsidR="001132B3">
        <w:t>rather than</w:t>
      </w:r>
      <w:r>
        <w:t xml:space="preserve"> decreases.</w:t>
      </w:r>
      <w:r>
        <w:rPr>
          <w:rStyle w:val="FootnoteReference"/>
        </w:rPr>
        <w:footnoteReference w:id="582"/>
      </w:r>
      <w:r>
        <w:t xml:space="preserve"> As a result, Lally does not consider the difference between the imputation distribution rate for the top 20 firms and all firms is explained by foreign income.</w:t>
      </w:r>
      <w:r w:rsidRPr="00F7654C">
        <w:rPr>
          <w:rStyle w:val="FootnoteReference"/>
        </w:rPr>
        <w:footnoteReference w:id="583"/>
      </w:r>
      <w:r>
        <w:t xml:space="preserve"> Rather Lally considers the difference is driven by unlisted equities lower dividend distribution rates.</w:t>
      </w:r>
      <w:r w:rsidRPr="00F7654C">
        <w:rPr>
          <w:rStyle w:val="FootnoteReference"/>
        </w:rPr>
        <w:footnoteReference w:id="584"/>
      </w:r>
      <w:r>
        <w:t xml:space="preserve"> The SAPN Tribunal also recognised this:</w:t>
      </w:r>
      <w:r>
        <w:rPr>
          <w:rStyle w:val="FootnoteReference"/>
        </w:rPr>
        <w:footnoteReference w:id="585"/>
      </w:r>
    </w:p>
    <w:p w:rsidR="00B95D2A" w:rsidRPr="00B95D2A" w:rsidRDefault="00B95D2A" w:rsidP="00AC29DB">
      <w:pPr>
        <w:pStyle w:val="AERquoteindent1"/>
      </w:pPr>
      <w:r w:rsidRPr="00074101">
        <w:t>At one extreme there are small companies owned by individuals on high marginal tax rates who may prefer earnings retention to generate concessionally-taxed long-term capital gains or to defer the additional tax which would need to</w:t>
      </w:r>
      <w:r w:rsidRPr="00B95D2A">
        <w:t xml:space="preserve"> be paid on franked dividends. At the other extreme, large foreign-owned Australian registered companies may also prefer retention and reinvestment of earnings rather than distribution of dividends and attached franking credits which would be wasted.</w:t>
      </w:r>
    </w:p>
    <w:p w:rsidR="00B95D2A" w:rsidRDefault="00B95D2A" w:rsidP="00B95D2A">
      <w:r w:rsidRPr="00B95D2A">
        <w:t xml:space="preserve">In respect </w:t>
      </w:r>
      <w:r>
        <w:t>to</w:t>
      </w:r>
      <w:r w:rsidRPr="00B95D2A">
        <w:t xml:space="preserve"> using listed firms other than the top 20</w:t>
      </w:r>
      <w:r>
        <w:t xml:space="preserve"> to estimate the imputation distribution rate</w:t>
      </w:r>
      <w:r w:rsidRPr="00B95D2A">
        <w:t xml:space="preserve">, </w:t>
      </w:r>
      <w:r>
        <w:t xml:space="preserve">Lally considers </w:t>
      </w:r>
      <w:r w:rsidRPr="00B95D2A">
        <w:t>some of these will have foreign activities</w:t>
      </w:r>
      <w:r>
        <w:t xml:space="preserve"> and the effect of this foreign income would have to be determined before this rate can be used.</w:t>
      </w:r>
      <w:r w:rsidRPr="00E707D5">
        <w:rPr>
          <w:rStyle w:val="FootnoteReference"/>
        </w:rPr>
        <w:t xml:space="preserve"> </w:t>
      </w:r>
      <w:r w:rsidRPr="00F7654C">
        <w:rPr>
          <w:rStyle w:val="FootnoteReference"/>
        </w:rPr>
        <w:footnoteReference w:id="586"/>
      </w:r>
      <w:r>
        <w:rPr>
          <w:rStyle w:val="FootnoteReference"/>
        </w:rPr>
        <w:t xml:space="preserve"> </w:t>
      </w:r>
      <w:r>
        <w:t xml:space="preserve"> Lally notes that Frontier has not determined the impact of foreign income on the imputation distribution of the listed firms minus the top 20 firms.</w:t>
      </w:r>
      <w:r w:rsidRPr="00F7654C">
        <w:rPr>
          <w:rStyle w:val="FootnoteReference"/>
        </w:rPr>
        <w:footnoteReference w:id="587"/>
      </w:r>
      <w:r>
        <w:t xml:space="preserve"> Further, Lally considers that imputation distribution rate for the listed firms excluding the top 20 firms draws upon ATO data and such data is unreliable because </w:t>
      </w:r>
      <w:r w:rsidRPr="00B95D2A">
        <w:t>it generates markedly different estimates of the credits distributed according to whether dividend or company tax data is used</w:t>
      </w:r>
      <w:r>
        <w:t xml:space="preserve"> </w:t>
      </w:r>
      <w:r w:rsidRPr="00B95D2A">
        <w:t>and even Frontier, accepts this reliability problem.</w:t>
      </w:r>
      <w:r w:rsidRPr="0078679C">
        <w:rPr>
          <w:rStyle w:val="FootnoteReference"/>
        </w:rPr>
        <w:footnoteReference w:id="588"/>
      </w:r>
      <w:r w:rsidRPr="00B95D2A">
        <w:t xml:space="preserve"> </w:t>
      </w:r>
      <w:r>
        <w:t xml:space="preserve">Overall, Lally considers that </w:t>
      </w:r>
      <w:r w:rsidRPr="00B95D2A">
        <w:t xml:space="preserve">suitable firms to use </w:t>
      </w:r>
      <w:r>
        <w:t>to determine the distribution rate is</w:t>
      </w:r>
      <w:r w:rsidRPr="00B95D2A">
        <w:t xml:space="preserve"> publicly listed </w:t>
      </w:r>
      <w:r>
        <w:t>firms</w:t>
      </w:r>
      <w:r w:rsidRPr="00B95D2A">
        <w:t xml:space="preserve"> and the suitable means of estimating the distribution rate of these firms (stripped of the effect of foreign activities) is from their financial statements.</w:t>
      </w:r>
      <w:r w:rsidRPr="0078679C">
        <w:rPr>
          <w:rStyle w:val="FootnoteReference"/>
        </w:rPr>
        <w:footnoteReference w:id="589"/>
      </w:r>
      <w:r>
        <w:t xml:space="preserve"> Consistent with this, Lally considers that the imputation distribution rate should be set at least 0.83 which is the imputation distribution rate of the top 20 firms estimated from their financial statements data.</w:t>
      </w:r>
      <w:r w:rsidRPr="00887BE2">
        <w:rPr>
          <w:rStyle w:val="FootnoteReference"/>
        </w:rPr>
        <w:footnoteReference w:id="590"/>
      </w:r>
    </w:p>
    <w:p w:rsidR="00B95D2A" w:rsidRPr="00B95D2A" w:rsidRDefault="00B95D2A" w:rsidP="00B95D2A">
      <w:r>
        <w:t>In response to Frontier</w:t>
      </w:r>
      <w:r w:rsidR="001132B3">
        <w:t>'</w:t>
      </w:r>
      <w:r>
        <w:t>s submission that Lally failed to control for the difference in dividend payout rates when determining the impact of foreign income, Lally agrees.</w:t>
      </w:r>
      <w:r w:rsidRPr="00887BE2">
        <w:rPr>
          <w:rStyle w:val="FootnoteReference"/>
        </w:rPr>
        <w:footnoteReference w:id="591"/>
      </w:r>
      <w:r>
        <w:t xml:space="preserve"> However, Lally </w:t>
      </w:r>
      <w:r>
        <w:lastRenderedPageBreak/>
        <w:t>considers that Frontier has failed to provide a valid reason for why it is important to control for dividend payout rates and none is evident.</w:t>
      </w:r>
      <w:r w:rsidRPr="00887BE2">
        <w:rPr>
          <w:rStyle w:val="FootnoteReference"/>
        </w:rPr>
        <w:footnoteReference w:id="592"/>
      </w:r>
      <w:r>
        <w:t xml:space="preserve"> Lally considers that</w:t>
      </w:r>
      <w:r w:rsidRPr="00B95D2A">
        <w:t xml:space="preserve"> all phenomena that arise from foreign activities</w:t>
      </w:r>
      <w:r>
        <w:t xml:space="preserve"> must be accounted for</w:t>
      </w:r>
      <w:r w:rsidRPr="00B95D2A">
        <w:t>, which comprise not only the foreign income but any change in the dividend payout rate arising from foreign activities</w:t>
      </w:r>
      <w:r w:rsidRPr="009701ED">
        <w:t>.</w:t>
      </w:r>
      <w:r w:rsidRPr="00887BE2">
        <w:rPr>
          <w:rStyle w:val="FootnoteReference"/>
        </w:rPr>
        <w:footnoteReference w:id="593"/>
      </w:r>
      <w:r w:rsidRPr="009701ED">
        <w:t xml:space="preserve"> </w:t>
      </w:r>
      <w:r w:rsidRPr="00B95D2A">
        <w:t>Controlling for any changes in the dividend payout rate would subvert that purpose.</w:t>
      </w:r>
      <w:r w:rsidRPr="00887BE2">
        <w:rPr>
          <w:rStyle w:val="FootnoteReference"/>
        </w:rPr>
        <w:footnoteReference w:id="594"/>
      </w:r>
    </w:p>
    <w:p w:rsidR="00B95D2A" w:rsidRDefault="00B95D2A" w:rsidP="00B95D2A">
      <w:r>
        <w:t xml:space="preserve">In regards to Frontiers submission that Lally only focus on the largest seven firms, Lally responds that </w:t>
      </w:r>
      <w:r w:rsidRPr="00B95D2A">
        <w:t>the purpose of the exercise is to estimate the imputation credit distribution rate of the market</w:t>
      </w:r>
      <w:r>
        <w:t>.</w:t>
      </w:r>
      <w:r w:rsidRPr="00887BE2">
        <w:rPr>
          <w:rStyle w:val="FootnoteReference"/>
        </w:rPr>
        <w:footnoteReference w:id="595"/>
      </w:r>
      <w:r>
        <w:t xml:space="preserve"> Lally submits that the top seven firms </w:t>
      </w:r>
      <w:r w:rsidRPr="00B95D2A">
        <w:t>collectively account for 79% of the taxes paid to the ATO by the 20 largest ASX firms</w:t>
      </w:r>
      <w:r>
        <w:t>.</w:t>
      </w:r>
      <w:r w:rsidRPr="00887BE2">
        <w:rPr>
          <w:rStyle w:val="FootnoteReference"/>
        </w:rPr>
        <w:footnoteReference w:id="596"/>
      </w:r>
      <w:r>
        <w:t xml:space="preserve"> As a result, Lally considers the number of firms in his sample </w:t>
      </w:r>
      <w:r w:rsidRPr="00B95D2A">
        <w:t xml:space="preserve">is </w:t>
      </w:r>
      <w:r>
        <w:t xml:space="preserve">sufficient. He considers it is </w:t>
      </w:r>
      <w:r w:rsidRPr="00B95D2A">
        <w:t xml:space="preserve">not </w:t>
      </w:r>
      <w:r>
        <w:t xml:space="preserve">the number of firms that is </w:t>
      </w:r>
      <w:r w:rsidRPr="00B95D2A">
        <w:t>important</w:t>
      </w:r>
      <w:r>
        <w:t>, rather</w:t>
      </w:r>
      <w:r w:rsidRPr="00B95D2A">
        <w:t xml:space="preserve"> it is the collective size of those firms that is important.</w:t>
      </w:r>
      <w:r w:rsidRPr="00887BE2">
        <w:rPr>
          <w:rStyle w:val="FootnoteReference"/>
        </w:rPr>
        <w:footnoteReference w:id="597"/>
      </w:r>
      <w:r>
        <w:t xml:space="preserve"> </w:t>
      </w:r>
    </w:p>
    <w:p w:rsidR="00B95D2A" w:rsidRPr="00883125" w:rsidRDefault="00B95D2A" w:rsidP="00B95D2A">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the listed regulated businesses (APA, Envestra (pre-sale) and JGN's parent company) have a franking account balance of zero.</w:t>
      </w:r>
      <w:r w:rsidRPr="00883125">
        <w:rPr>
          <w:rStyle w:val="FootnoteReference"/>
        </w:rPr>
        <w:footnoteReference w:id="598"/>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B95D2A" w:rsidRPr="00883125" w:rsidRDefault="00B95D2A" w:rsidP="00B95D2A">
      <w:r w:rsidRPr="00883125">
        <w:t>Regarding internal consistency when combining estimates of the distribution and utilisation rates, Gray (for SFG) submitted:</w:t>
      </w:r>
      <w:r w:rsidRPr="00883125">
        <w:rPr>
          <w:rStyle w:val="FootnoteReference"/>
        </w:rPr>
        <w:footnoteReference w:id="599"/>
      </w:r>
    </w:p>
    <w:p w:rsidR="00B95D2A" w:rsidRPr="00883125" w:rsidRDefault="00B95D2A" w:rsidP="00B95D2A">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B95D2A" w:rsidRPr="00883125" w:rsidRDefault="00B95D2A" w:rsidP="00B95D2A">
      <w:r w:rsidRPr="00883125">
        <w:lastRenderedPageBreak/>
        <w:t>That is, if the only value of theta is the market-wide value, then it is internally consistent to combine it with any estimate of the distribution rate. NERA agreed:</w:t>
      </w:r>
      <w:r w:rsidRPr="00883125">
        <w:rPr>
          <w:rStyle w:val="FootnoteReference"/>
        </w:rPr>
        <w:footnoteReference w:id="600"/>
      </w:r>
    </w:p>
    <w:p w:rsidR="00B95D2A" w:rsidRPr="00883125" w:rsidRDefault="00B95D2A" w:rsidP="00B95D2A">
      <w:pPr>
        <w:pStyle w:val="AERquote"/>
      </w:pPr>
      <w:r w:rsidRPr="00883125">
        <w:t>As theta should not vary from firm to firm, however, there should be no link between how one estimates theta and how one estimates the distribution rate.</w:t>
      </w:r>
    </w:p>
    <w:p w:rsidR="00B95D2A" w:rsidRPr="00883125" w:rsidRDefault="00B95D2A" w:rsidP="00B95D2A">
      <w:pPr>
        <w:rPr>
          <w:rStyle w:val="AERbody"/>
        </w:rPr>
      </w:pPr>
      <w:r w:rsidRPr="00883125">
        <w:rPr>
          <w:rStyle w:val="AERbody"/>
        </w:rPr>
        <w:t>Gray (for Frontier) considered this matter again in his June 2015 report (for Frontier) and stated:</w:t>
      </w:r>
      <w:r w:rsidRPr="00883125">
        <w:rPr>
          <w:rStyle w:val="FootnoteReference"/>
        </w:rPr>
        <w:footnoteReference w:id="601"/>
      </w:r>
    </w:p>
    <w:p w:rsidR="00B95D2A" w:rsidRPr="00B95D2A" w:rsidRDefault="00B95D2A" w:rsidP="00B95D2A">
      <w:pPr>
        <w:pStyle w:val="AERquote"/>
        <w:rPr>
          <w:rFonts w:eastAsiaTheme="minorHAnsi"/>
        </w:rPr>
      </w:pPr>
      <w:r w:rsidRPr="005764F6">
        <w:t>In my view, when estimating the distribution rate there are two reasons to be concerned about the weight that is afforded to the top 20 listed firms:</w:t>
      </w:r>
    </w:p>
    <w:p w:rsidR="00B95D2A" w:rsidRPr="00B95D2A" w:rsidRDefault="00B95D2A" w:rsidP="00B95D2A">
      <w:pPr>
        <w:pStyle w:val="AERquoteindent1"/>
        <w:rPr>
          <w:rFonts w:eastAsiaTheme="minorHAnsi"/>
        </w:rPr>
      </w:pPr>
      <w:r w:rsidRPr="005764F6">
        <w:t>a. The AER has specifically stated that the benchmark efficient entity should not be assumed to be a large listed company, as set out above; and</w:t>
      </w:r>
    </w:p>
    <w:p w:rsidR="00B95D2A" w:rsidRPr="005764F6" w:rsidRDefault="00B95D2A" w:rsidP="00B95D2A">
      <w:pPr>
        <w:pStyle w:val="AERquote"/>
      </w:pPr>
      <w:r w:rsidRPr="005764F6">
        <w:t>b. The top 20 listed firms differ from the benchmark entity in that their foreign sourced profits enable a higher distribution rate.</w:t>
      </w:r>
    </w:p>
    <w:p w:rsidR="00B95D2A" w:rsidRPr="00883125" w:rsidRDefault="00B95D2A" w:rsidP="00B95D2A">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602"/>
      </w:r>
    </w:p>
    <w:p w:rsidR="00B95D2A" w:rsidRPr="00883125" w:rsidRDefault="00B95D2A" w:rsidP="00B95D2A">
      <w:r w:rsidRPr="005764F6">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603"/>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B95D2A" w:rsidRPr="00883125" w:rsidRDefault="00B95D2A" w:rsidP="00B95D2A">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604"/>
      </w:r>
    </w:p>
    <w:p w:rsidR="00B95D2A" w:rsidRDefault="00B95D2A" w:rsidP="00B95D2A">
      <w:pPr>
        <w:rPr>
          <w:rStyle w:val="AERbody"/>
        </w:rPr>
      </w:pPr>
      <w:r>
        <w:rPr>
          <w:rStyle w:val="AERbody"/>
        </w:rPr>
        <w:lastRenderedPageBreak/>
        <w:t>S</w:t>
      </w:r>
      <w:r w:rsidRPr="00883125">
        <w:rPr>
          <w:rStyle w:val="AERbody"/>
        </w:rPr>
        <w:t>ervice providers have submitted that the appropriate distribution rate for both listed and all equity is 70</w:t>
      </w:r>
      <w:r>
        <w:rPr>
          <w:rStyle w:val="AERbody"/>
        </w:rPr>
        <w:t xml:space="preserve"> per cent</w:t>
      </w:r>
      <w:r w:rsidRPr="00883125">
        <w:rPr>
          <w:rStyle w:val="AERbody"/>
        </w:rPr>
        <w:t xml:space="preserve"> consistent with the advice from Gray and NERA.</w:t>
      </w:r>
      <w:r w:rsidRPr="00883125">
        <w:rPr>
          <w:rStyle w:val="FootnoteReference"/>
        </w:rPr>
        <w:footnoteReference w:id="605"/>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w:t>
      </w:r>
      <w:r>
        <w:rPr>
          <w:rStyle w:val="AERbody"/>
        </w:rPr>
        <w:t>service providers</w:t>
      </w:r>
      <w:r w:rsidRPr="00883125">
        <w:rPr>
          <w:rStyle w:val="AERbody"/>
        </w:rPr>
        <w:t xml:space="preserve">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606"/>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B95D2A" w:rsidRPr="00883125" w:rsidRDefault="00B95D2A" w:rsidP="00B95D2A">
      <w:r w:rsidRPr="00883125">
        <w:t>NERA's views and Gray's views (for SFG and Frontier) must be reconciled with the fact that different investors can value imputation credits differently. For instance, foreign investors do not value credits and eligible domestic investors do. Therefore, a given estimate of theta will reflect the set of investors over which it is calculated. Gray (for SFG) appears to recognise this elsewhere in his report:</w:t>
      </w:r>
      <w:r w:rsidRPr="00883125">
        <w:rPr>
          <w:rStyle w:val="FootnoteReference"/>
        </w:rPr>
        <w:footnoteReference w:id="607"/>
      </w:r>
    </w:p>
    <w:p w:rsidR="00B95D2A" w:rsidRPr="00883125" w:rsidRDefault="00B95D2A" w:rsidP="00B95D2A">
      <w:pPr>
        <w:pStyle w:val="AERquote"/>
      </w:pPr>
      <w:r w:rsidRPr="00883125">
        <w:t>If theta is estimated using a market value approach, the estimate will represent an average across all listed firms.</w:t>
      </w:r>
    </w:p>
    <w:p w:rsidR="00B95D2A" w:rsidRPr="00883125" w:rsidRDefault="00B95D2A" w:rsidP="00B95D2A">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3E419A" w:rsidRPr="00883125">
        <w:t xml:space="preserve">figure </w:t>
      </w:r>
      <w:r w:rsidR="003E419A">
        <w:rPr>
          <w:noProof/>
        </w:rPr>
        <w:t>4</w:t>
      </w:r>
      <w:r w:rsidR="003E419A" w:rsidRPr="00883125">
        <w:t>.</w:t>
      </w:r>
      <w:r w:rsidR="003E419A">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3E419A" w:rsidRPr="00883125">
        <w:t xml:space="preserve">figure </w:t>
      </w:r>
      <w:r w:rsidR="003E419A">
        <w:rPr>
          <w:noProof/>
        </w:rPr>
        <w:t>4</w:t>
      </w:r>
      <w:r w:rsidR="003E419A" w:rsidRPr="00883125">
        <w:t>.</w:t>
      </w:r>
      <w:r w:rsidR="003E419A">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B95D2A" w:rsidRPr="00883125" w:rsidRDefault="00B95D2A" w:rsidP="00B95D2A">
      <w:r w:rsidRPr="00883125">
        <w:t xml:space="preserve">To clarify, in theory there may be a single economy-wide theta. However, the practical reality is that a given estimate of theta will reflect the set of investors in the evidence used. </w:t>
      </w:r>
      <w:r w:rsidRPr="00883125">
        <w:lastRenderedPageBreak/>
        <w:t>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608"/>
      </w:r>
    </w:p>
    <w:p w:rsidR="00B95D2A" w:rsidRPr="00883125" w:rsidRDefault="00B95D2A" w:rsidP="00B95D2A">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B95D2A" w:rsidRPr="00883125" w:rsidRDefault="00B95D2A" w:rsidP="00B95D2A">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B95D2A" w:rsidRDefault="00B95D2A" w:rsidP="00B95D2A">
      <w:pPr>
        <w:rPr>
          <w:rStyle w:val="AERbody"/>
        </w:rPr>
      </w:pPr>
      <w:r>
        <w:rPr>
          <w:rStyle w:val="AERbody"/>
        </w:rPr>
        <w:t>The regulated businesses submit that Lally considers that consistency between the distribution rate and utilisation value is not essential nor is it precluded.</w:t>
      </w:r>
      <w:r w:rsidRPr="0016735E">
        <w:rPr>
          <w:rStyle w:val="FootnoteReference"/>
        </w:rPr>
        <w:footnoteReference w:id="609"/>
      </w:r>
      <w:r>
        <w:rPr>
          <w:rStyle w:val="AERbody"/>
        </w:rPr>
        <w:t xml:space="preserve"> In his latest report, Lally has updated his position to say that there is good reason for not matching.</w:t>
      </w:r>
      <w:r>
        <w:rPr>
          <w:rStyle w:val="FootnoteReference"/>
        </w:rPr>
        <w:footnoteReference w:id="610"/>
      </w:r>
      <w:r>
        <w:rPr>
          <w:rStyle w:val="AERbody"/>
        </w:rPr>
        <w:t xml:space="preserve"> While we acknowledge this,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611"/>
      </w:r>
      <w:r>
        <w:rPr>
          <w:rStyle w:val="AERbody"/>
        </w:rPr>
        <w:t xml:space="preserve"> This implies that gamma is at least 0.5, which indicates our value of gamma may be too low.</w:t>
      </w:r>
      <w:r>
        <w:rPr>
          <w:rStyle w:val="FootnoteReference"/>
        </w:rPr>
        <w:footnoteReference w:id="612"/>
      </w:r>
    </w:p>
    <w:p w:rsidR="00B95D2A" w:rsidRPr="00883125" w:rsidRDefault="00B95D2A" w:rsidP="00B95D2A">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Further, advice that we have received for Lally suggest that the filtering is unnecessary and if anything the best estimate of the distribution rate is based on the financial data of the top 20 firms.</w:t>
      </w:r>
      <w:r>
        <w:rPr>
          <w:rStyle w:val="FootnoteReference"/>
        </w:rPr>
        <w:footnoteReference w:id="613"/>
      </w:r>
      <w:r>
        <w:rPr>
          <w:rStyle w:val="AERbody"/>
        </w:rPr>
        <w:t xml:space="preserve"> We note Lally's choice of the top 20 firms as a proxy for the estimate of the distribution rate for listed equity is not based on filtering listed equity based on the </w:t>
      </w:r>
      <w:r>
        <w:rPr>
          <w:rStyle w:val="AERbody"/>
        </w:rPr>
        <w:lastRenderedPageBreak/>
        <w:t>characteristics of the benchmark efficient entity, although he does consider listed firms more relevant to the estimation of the distribution rate for the benchmark efficient entity.</w:t>
      </w:r>
    </w:p>
    <w:p w:rsidR="00B95D2A" w:rsidRPr="00883125" w:rsidRDefault="00B95D2A" w:rsidP="00B95D2A">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B95D2A" w:rsidRPr="00883125" w:rsidRDefault="00B95D2A" w:rsidP="00B95D2A">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614"/>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615"/>
      </w:r>
    </w:p>
    <w:p w:rsidR="00B95D2A" w:rsidRPr="00883125" w:rsidRDefault="00B95D2A" w:rsidP="00B95D2A">
      <w:pPr>
        <w:pStyle w:val="Heading9"/>
      </w:pPr>
      <w:bookmarkStart w:id="393" w:name="_Toc450119282"/>
      <w:bookmarkStart w:id="394" w:name="_Toc450119442"/>
      <w:bookmarkStart w:id="395" w:name="_Ref415126827"/>
      <w:bookmarkStart w:id="396" w:name="_Toc456614328"/>
      <w:bookmarkStart w:id="397" w:name="_Toc462823334"/>
      <w:bookmarkStart w:id="398" w:name="_Toc479694004"/>
      <w:bookmarkStart w:id="399" w:name="_Toc480815640"/>
      <w:bookmarkEnd w:id="393"/>
      <w:bookmarkEnd w:id="394"/>
      <w:r w:rsidRPr="00883125">
        <w:t>The cumulative payout ratio approach</w:t>
      </w:r>
      <w:bookmarkEnd w:id="395"/>
      <w:bookmarkEnd w:id="396"/>
      <w:bookmarkEnd w:id="397"/>
      <w:bookmarkEnd w:id="398"/>
      <w:bookmarkEnd w:id="399"/>
    </w:p>
    <w:p w:rsidR="00B95D2A" w:rsidRPr="00883125" w:rsidRDefault="00B95D2A" w:rsidP="00B95D2A">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B95D2A" w:rsidRPr="00883125" w:rsidRDefault="00B95D2A" w:rsidP="00B95D2A">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616"/>
      </w:r>
      <w:r w:rsidRPr="00883125">
        <w:t xml:space="preserve"> However, we are unaware of the materiality of these factors. Moreover, as discussed in the next section:</w:t>
      </w:r>
    </w:p>
    <w:p w:rsidR="00B95D2A" w:rsidRPr="00883125" w:rsidRDefault="00B95D2A" w:rsidP="00B95D2A">
      <w:pPr>
        <w:pStyle w:val="AERbulletlistfirststyle"/>
      </w:pPr>
      <w:r w:rsidRPr="00883125">
        <w:t>Hathaway and NERA each preferred this approach to an approach involving data on franked dividends, and</w:t>
      </w:r>
    </w:p>
    <w:p w:rsidR="00B95D2A" w:rsidRPr="00883125" w:rsidRDefault="00B95D2A" w:rsidP="00B95D2A">
      <w:pPr>
        <w:pStyle w:val="AERbulletlistfirststyle"/>
      </w:pPr>
      <w:r w:rsidRPr="00883125">
        <w:t>an estimate of the distribution rate across only listed equity using this approach is broadly reinforced by evidence from the financial statements of the largest listed companies.</w:t>
      </w:r>
    </w:p>
    <w:p w:rsidR="00B95D2A" w:rsidRPr="00883125" w:rsidRDefault="00B95D2A" w:rsidP="00B95D2A">
      <w:pPr>
        <w:pStyle w:val="Heading9"/>
      </w:pPr>
      <w:bookmarkStart w:id="400" w:name="_Toc456614329"/>
      <w:bookmarkStart w:id="401" w:name="_Toc462823335"/>
      <w:bookmarkStart w:id="402" w:name="_Toc479694005"/>
      <w:bookmarkStart w:id="403" w:name="_Toc480815641"/>
      <w:r w:rsidRPr="00883125">
        <w:lastRenderedPageBreak/>
        <w:t>Alternative approaches</w:t>
      </w:r>
      <w:bookmarkEnd w:id="400"/>
      <w:bookmarkEnd w:id="401"/>
      <w:bookmarkEnd w:id="402"/>
      <w:bookmarkEnd w:id="403"/>
    </w:p>
    <w:p w:rsidR="00B95D2A" w:rsidRPr="00883125" w:rsidRDefault="00B95D2A" w:rsidP="00B95D2A">
      <w:pPr>
        <w:numPr>
          <w:ilvl w:val="0"/>
          <w:numId w:val="24"/>
        </w:numPr>
      </w:pPr>
      <w:r w:rsidRPr="00883125">
        <w:t>There are at least two alternative approaches to estimating the distribution rate:</w:t>
      </w:r>
    </w:p>
    <w:p w:rsidR="00B95D2A" w:rsidRPr="001D37D5" w:rsidRDefault="00B95D2A" w:rsidP="00B95D2A">
      <w:pPr>
        <w:pStyle w:val="AERbulletlistfirststyle"/>
      </w:pPr>
      <w:r w:rsidRPr="00883125">
        <w:t>Hathaway and NERA each estimated a distribution rate of around 0.5 using ATO statistics on the franked dividends distributed by companies as reported in their tax returns.</w:t>
      </w:r>
      <w:r w:rsidRPr="001D37D5">
        <w:rPr>
          <w:rStyle w:val="FootnoteReference"/>
        </w:rPr>
        <w:footnoteReference w:id="617"/>
      </w:r>
      <w:r w:rsidRPr="001D37D5">
        <w:t xml:space="preserve"> However, neither advocated the use of this estimate. NERA considered:</w:t>
      </w:r>
      <w:r w:rsidRPr="001D37D5">
        <w:rPr>
          <w:rStyle w:val="FootnoteReference"/>
        </w:rPr>
        <w:footnoteReference w:id="618"/>
      </w:r>
    </w:p>
    <w:p w:rsidR="00B95D2A" w:rsidRPr="00883125" w:rsidRDefault="00B95D2A" w:rsidP="00B95D2A">
      <w:pPr>
        <w:pStyle w:val="AERquote"/>
      </w:pPr>
      <w:r w:rsidRPr="00883125">
        <w:t xml:space="preserve">In our opinion, the cumulative payout ratio is the most reliable estimate that is least likely to be affected by potential distortions in the underlying data set. </w:t>
      </w:r>
    </w:p>
    <w:p w:rsidR="00B95D2A" w:rsidRPr="001D37D5" w:rsidRDefault="00B95D2A" w:rsidP="00B95D2A">
      <w:pPr>
        <w:pStyle w:val="AERbulletlistfirststyle"/>
      </w:pPr>
      <w:r w:rsidRPr="00883125">
        <w:t>And Hathaway considered:</w:t>
      </w:r>
      <w:r w:rsidRPr="001D37D5">
        <w:rPr>
          <w:rStyle w:val="FootnoteReference"/>
        </w:rPr>
        <w:footnoteReference w:id="619"/>
      </w:r>
    </w:p>
    <w:p w:rsidR="00B95D2A" w:rsidRPr="00883125" w:rsidRDefault="00B95D2A" w:rsidP="00B95D2A">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B95D2A" w:rsidRPr="00883125" w:rsidRDefault="00B95D2A" w:rsidP="00B95D2A">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620"/>
      </w:r>
      <w:r w:rsidRPr="00883125">
        <w:t xml:space="preserve"> We consider that this broadly reinforces the higher cumulative payout ratio estimate across only listed equity.</w:t>
      </w:r>
    </w:p>
    <w:p w:rsidR="00B95D2A" w:rsidRPr="00883125" w:rsidRDefault="00B95D2A" w:rsidP="00B95D2A">
      <w:pPr>
        <w:pStyle w:val="Heading9"/>
      </w:pPr>
      <w:bookmarkStart w:id="404" w:name="_Ref450297745"/>
      <w:bookmarkStart w:id="405" w:name="_Toc456614330"/>
      <w:bookmarkStart w:id="406" w:name="_Toc462823336"/>
      <w:bookmarkStart w:id="407" w:name="_Toc479694006"/>
      <w:bookmarkStart w:id="408" w:name="_Toc480815642"/>
      <w:r w:rsidRPr="00883125">
        <w:t>Hathaway (2014)</w:t>
      </w:r>
      <w:bookmarkEnd w:id="404"/>
      <w:bookmarkEnd w:id="405"/>
      <w:bookmarkEnd w:id="406"/>
      <w:bookmarkEnd w:id="407"/>
      <w:bookmarkEnd w:id="408"/>
    </w:p>
    <w:p w:rsidR="00B95D2A" w:rsidRPr="00883125" w:rsidRDefault="00B95D2A" w:rsidP="00B95D2A">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621"/>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622"/>
      </w:r>
    </w:p>
    <w:p w:rsidR="00B95D2A" w:rsidRPr="00883125" w:rsidRDefault="00B95D2A" w:rsidP="00B95D2A">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B95D2A" w:rsidRPr="00883125" w:rsidRDefault="00B95D2A" w:rsidP="00B95D2A">
      <w:pPr>
        <w:pStyle w:val="AERquote"/>
      </w:pPr>
      <w:r w:rsidRPr="00883125">
        <w:t xml:space="preserve">This gross distribution seems highly improbable and is quite inconsistent with the recorded franking credit income. It represents a gross payout ratio of 88% of all company tax as franking credits for the period 2004-12. This is in stark contrast to the </w:t>
      </w:r>
      <w:r w:rsidRPr="00883125">
        <w:lastRenderedPageBreak/>
        <w:t>gross 66% distribution recorded by the payment of franked dividends. We conclude that the FAB data are a concern.</w:t>
      </w:r>
    </w:p>
    <w:p w:rsidR="00B95D2A" w:rsidRPr="00883125" w:rsidRDefault="00B95D2A" w:rsidP="00B95D2A">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B95D2A" w:rsidRPr="00883125" w:rsidRDefault="00B95D2A" w:rsidP="00B95D2A">
      <w:r w:rsidRPr="00883125">
        <w:t>While we are aware of it, we do not place reliance on the conclusion in Hathaway (2014) regarding the FAB data in this</w:t>
      </w:r>
      <w:r>
        <w:t xml:space="preserve"> final</w:t>
      </w:r>
      <w:r w:rsidRPr="00883125">
        <w:t xml:space="preserve"> decision. This is because:</w:t>
      </w:r>
    </w:p>
    <w:p w:rsidR="00B95D2A" w:rsidRPr="001D37D5" w:rsidRDefault="00B95D2A" w:rsidP="00B95D2A">
      <w:pPr>
        <w:pStyle w:val="AERbulletlistfirststyle"/>
      </w:pPr>
      <w:r w:rsidRPr="00883125">
        <w:t>We do not find Hathaway's reasoning for his conclusion</w:t>
      </w:r>
      <w:r w:rsidRPr="001D37D5">
        <w:t xml:space="preserve"> convincing.</w:t>
      </w:r>
    </w:p>
    <w:p w:rsidR="00B95D2A" w:rsidRPr="00883125" w:rsidRDefault="00B95D2A" w:rsidP="00B95D2A">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B95D2A" w:rsidRPr="00883125" w:rsidRDefault="00B95D2A" w:rsidP="00B95D2A">
      <w:r w:rsidRPr="00883125">
        <w:t>We also note the report is still marked draft nearly one year after initially being completed.</w:t>
      </w:r>
    </w:p>
    <w:p w:rsidR="00B95D2A" w:rsidRPr="00883125" w:rsidRDefault="00B95D2A" w:rsidP="00B95D2A">
      <w:pPr>
        <w:pStyle w:val="Heading8"/>
      </w:pPr>
      <w:bookmarkStart w:id="409" w:name="_Ref403481535"/>
      <w:bookmarkStart w:id="410" w:name="_Toc436049452"/>
      <w:bookmarkStart w:id="411" w:name="_Toc451842258"/>
      <w:bookmarkStart w:id="412" w:name="_Toc451938312"/>
      <w:bookmarkStart w:id="413" w:name="_Toc456614331"/>
      <w:bookmarkStart w:id="414" w:name="_Toc462823337"/>
      <w:bookmarkStart w:id="415" w:name="_Toc479694007"/>
      <w:bookmarkStart w:id="416" w:name="_Toc480815643"/>
      <w:r w:rsidRPr="00883125">
        <w:t>Application of rate of return criteria to evidence on the utilisation rate</w:t>
      </w:r>
      <w:bookmarkEnd w:id="409"/>
      <w:bookmarkEnd w:id="410"/>
      <w:bookmarkEnd w:id="411"/>
      <w:bookmarkEnd w:id="412"/>
      <w:bookmarkEnd w:id="413"/>
      <w:bookmarkEnd w:id="414"/>
      <w:bookmarkEnd w:id="415"/>
      <w:bookmarkEnd w:id="416"/>
    </w:p>
    <w:p w:rsidR="00B95D2A" w:rsidRPr="00883125" w:rsidRDefault="00B95D2A" w:rsidP="00B95D2A">
      <w:pPr>
        <w:numPr>
          <w:ilvl w:val="0"/>
          <w:numId w:val="24"/>
        </w:numPr>
      </w:pPr>
      <w:r w:rsidRPr="00883125">
        <w:t xml:space="preserve">Our main assessment of the various approaches to estimating the utilisation rate is set out in section </w:t>
      </w:r>
      <w:r>
        <w:fldChar w:fldCharType="begin"/>
      </w:r>
      <w:r>
        <w:instrText xml:space="preserve"> REF _Ref475439085 \r \h </w:instrText>
      </w:r>
      <w:r>
        <w:fldChar w:fldCharType="separate"/>
      </w:r>
      <w:r w:rsidR="003E419A">
        <w:rPr>
          <w:b/>
          <w:bCs/>
          <w:lang w:val="en-US"/>
        </w:rPr>
        <w:t>Error! Reference source not found.</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3E419A" w:rsidRPr="00883125">
        <w:t xml:space="preserve">table </w:t>
      </w:r>
      <w:r w:rsidR="003E419A">
        <w:rPr>
          <w:noProof/>
        </w:rPr>
        <w:t>4</w:t>
      </w:r>
      <w:r w:rsidR="003E419A">
        <w:noBreakHyphen/>
      </w:r>
      <w:r w:rsidR="003E419A">
        <w:rPr>
          <w:noProof/>
        </w:rPr>
        <w:t>15</w:t>
      </w:r>
      <w:r w:rsidRPr="00883125">
        <w:fldChar w:fldCharType="end"/>
      </w:r>
      <w:r w:rsidRPr="00883125">
        <w:t>). Assessment against these criteria broadly supports our main assessment of the approaches.</w:t>
      </w:r>
    </w:p>
    <w:p w:rsidR="00B95D2A" w:rsidRPr="00883125" w:rsidRDefault="00B95D2A" w:rsidP="00B95D2A">
      <w:pPr>
        <w:numPr>
          <w:ilvl w:val="0"/>
          <w:numId w:val="24"/>
        </w:numPr>
      </w:pPr>
    </w:p>
    <w:p w:rsidR="00B95D2A" w:rsidRPr="00883125" w:rsidRDefault="00B95D2A" w:rsidP="00B95D2A">
      <w:pPr>
        <w:sectPr w:rsidR="00B95D2A" w:rsidRPr="00883125" w:rsidSect="00AC29DB">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B95D2A" w:rsidRPr="00FE391A" w:rsidTr="00AC29DB">
        <w:trPr>
          <w:cnfStyle w:val="100000000000" w:firstRow="1" w:lastRow="0" w:firstColumn="0" w:lastColumn="0" w:oddVBand="0" w:evenVBand="0" w:oddHBand="0" w:evenHBand="0" w:firstRowFirstColumn="0" w:firstRowLastColumn="0" w:lastRowFirstColumn="0" w:lastRowLastColumn="0"/>
          <w:cantSplit/>
        </w:trPr>
        <w:tc>
          <w:tcPr>
            <w:tcW w:w="3936" w:type="dxa"/>
          </w:tcPr>
          <w:p w:rsidR="00B95D2A" w:rsidRPr="00883125" w:rsidRDefault="00B95D2A" w:rsidP="00B95D2A">
            <w:pPr>
              <w:pStyle w:val="ListParagraph"/>
              <w:numPr>
                <w:ilvl w:val="0"/>
                <w:numId w:val="24"/>
              </w:numPr>
            </w:pPr>
            <w:r>
              <w:lastRenderedPageBreak/>
              <w:t>Criteria</w:t>
            </w:r>
            <w:r w:rsidRPr="00E30AF3">
              <w:rPr>
                <w:rStyle w:val="AERsuperscript"/>
              </w:rPr>
              <w:t>(a)</w:t>
            </w:r>
          </w:p>
        </w:tc>
        <w:tc>
          <w:tcPr>
            <w:tcW w:w="3140" w:type="dxa"/>
          </w:tcPr>
          <w:p w:rsidR="00B95D2A" w:rsidRPr="00B95D2A" w:rsidRDefault="00B95D2A" w:rsidP="00B95D2A">
            <w:r>
              <w:t>Equity ownership approach</w:t>
            </w:r>
          </w:p>
        </w:tc>
        <w:tc>
          <w:tcPr>
            <w:tcW w:w="3238" w:type="dxa"/>
          </w:tcPr>
          <w:p w:rsidR="00B95D2A" w:rsidRPr="00B95D2A" w:rsidRDefault="00B95D2A" w:rsidP="00B95D2A">
            <w:r>
              <w:t>Tax statistics</w:t>
            </w:r>
          </w:p>
        </w:tc>
        <w:tc>
          <w:tcPr>
            <w:tcW w:w="3838" w:type="dxa"/>
          </w:tcPr>
          <w:p w:rsidR="00B95D2A" w:rsidRPr="00B95D2A" w:rsidRDefault="00B95D2A" w:rsidP="00B95D2A">
            <w:r>
              <w:t>Implied market value studies</w:t>
            </w:r>
          </w:p>
        </w:tc>
      </w:tr>
      <w:tr w:rsidR="00B95D2A" w:rsidRPr="00FE391A" w:rsidTr="00AC29DB">
        <w:trPr>
          <w:cantSplit/>
        </w:trPr>
        <w:tc>
          <w:tcPr>
            <w:tcW w:w="3936" w:type="dxa"/>
          </w:tcPr>
          <w:p w:rsidR="00B95D2A" w:rsidRPr="00883125" w:rsidRDefault="00B95D2A" w:rsidP="00B95D2A">
            <w:pPr>
              <w:pStyle w:val="ListParagraph"/>
              <w:numPr>
                <w:ilvl w:val="0"/>
                <w:numId w:val="24"/>
              </w:numPr>
            </w:pPr>
            <w:r w:rsidRPr="00883125">
              <w:t xml:space="preserve">Where applicable, reflective of economic and finance principles and market information. </w:t>
            </w:r>
          </w:p>
          <w:p w:rsidR="00B95D2A" w:rsidRPr="00883125" w:rsidRDefault="00B95D2A" w:rsidP="00B95D2A">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B95D2A" w:rsidRPr="00B95D2A" w:rsidRDefault="00B95D2A" w:rsidP="00B95D2A">
            <w:r w:rsidRPr="00883125">
              <w:t>Accords with Monkhouse framework and principle of investor rationality (e.g. eligible investors expected to utilise</w:t>
            </w:r>
            <w:r w:rsidRPr="00B95D2A">
              <w:t xml:space="preserve"> credits to which they are entitled).</w:t>
            </w:r>
          </w:p>
          <w:p w:rsidR="00B95D2A" w:rsidRPr="00B95D2A" w:rsidRDefault="00B95D2A" w:rsidP="00B95D2A">
            <w:r w:rsidRPr="00883125">
              <w:t xml:space="preserve">Analysis is </w:t>
            </w:r>
            <w:r w:rsidRPr="00B95D2A">
              <w:t>straightforward and sound. Data is from credible source (ABS).</w:t>
            </w:r>
          </w:p>
        </w:tc>
        <w:tc>
          <w:tcPr>
            <w:tcW w:w="3238" w:type="dxa"/>
          </w:tcPr>
          <w:p w:rsidR="00B95D2A" w:rsidRPr="00B95D2A" w:rsidRDefault="00B95D2A" w:rsidP="00B95D2A">
            <w:r w:rsidRPr="00883125">
              <w:t>Market information on the amount of imputation credits utilised.</w:t>
            </w:r>
          </w:p>
          <w:p w:rsidR="00B95D2A" w:rsidRPr="00B95D2A" w:rsidRDefault="00B95D2A" w:rsidP="00B95D2A">
            <w:r w:rsidRPr="00883125">
              <w:t>Analysis is straightforward and sound. Data is from credible source (ATO), but some data concerns have been identified.</w:t>
            </w:r>
          </w:p>
        </w:tc>
        <w:tc>
          <w:tcPr>
            <w:tcW w:w="3838" w:type="dxa"/>
          </w:tcPr>
          <w:p w:rsidR="00B95D2A" w:rsidRPr="00B95D2A" w:rsidRDefault="00B95D2A" w:rsidP="00B95D2A">
            <w:r w:rsidRPr="00883125">
              <w:t>Mainly based on the principle that share prices reflect the present value of future dividends (and imputation credits) and 'no arbitrage'.</w:t>
            </w:r>
          </w:p>
          <w:p w:rsidR="00B95D2A" w:rsidRPr="00B95D2A" w:rsidRDefault="00B95D2A" w:rsidP="00B95D2A">
            <w:r w:rsidRPr="00883125">
              <w:t>Varying opinions on the soundness of analysis across studies. Underlying data is typically from credible sources (e.g. Bloomberg, ASX).</w:t>
            </w:r>
          </w:p>
        </w:tc>
      </w:tr>
      <w:tr w:rsidR="00B95D2A" w:rsidRPr="00FE391A" w:rsidTr="00AC29DB">
        <w:trPr>
          <w:cnfStyle w:val="000000010000" w:firstRow="0" w:lastRow="0" w:firstColumn="0" w:lastColumn="0" w:oddVBand="0" w:evenVBand="0" w:oddHBand="0" w:evenHBand="1" w:firstRowFirstColumn="0" w:firstRowLastColumn="0" w:lastRowFirstColumn="0" w:lastRowLastColumn="0"/>
          <w:cantSplit/>
        </w:trPr>
        <w:tc>
          <w:tcPr>
            <w:tcW w:w="3936" w:type="dxa"/>
          </w:tcPr>
          <w:p w:rsidR="00B95D2A" w:rsidRPr="00B95D2A" w:rsidRDefault="00B95D2A" w:rsidP="00B95D2A">
            <w:r w:rsidRPr="00883125">
              <w:t xml:space="preserve">Fit for purpose. </w:t>
            </w:r>
          </w:p>
          <w:p w:rsidR="00B95D2A" w:rsidRPr="00B95D2A" w:rsidRDefault="00B95D2A" w:rsidP="00B95D2A">
            <w:r w:rsidRPr="00883125">
              <w:t xml:space="preserve">- The use of estimation methods, financial models, market data and other evidence should be consistent with the original purpose for which it was compiled and have regard to the limitations of that purpose. </w:t>
            </w:r>
          </w:p>
          <w:p w:rsidR="00B95D2A" w:rsidRPr="00B95D2A" w:rsidRDefault="00B95D2A" w:rsidP="00B95D2A">
            <w:r w:rsidRPr="00883125">
              <w:t xml:space="preserve">- Promote simple </w:t>
            </w:r>
            <w:r w:rsidRPr="00B95D2A">
              <w:t>over complex approaches where appropriate.</w:t>
            </w:r>
          </w:p>
        </w:tc>
        <w:tc>
          <w:tcPr>
            <w:tcW w:w="3140" w:type="dxa"/>
          </w:tcPr>
          <w:p w:rsidR="00B95D2A" w:rsidRPr="00B95D2A" w:rsidRDefault="00B95D2A" w:rsidP="00B95D2A">
            <w:r w:rsidRPr="00883125">
              <w:t>ABS data used to estimate the domestic ownership share of Australian equity, which is consistent with its purpose. Approach is simple.</w:t>
            </w:r>
          </w:p>
        </w:tc>
        <w:tc>
          <w:tcPr>
            <w:tcW w:w="3238" w:type="dxa"/>
          </w:tcPr>
          <w:p w:rsidR="00B95D2A" w:rsidRPr="00B95D2A" w:rsidRDefault="00B95D2A" w:rsidP="00B95D2A">
            <w:r w:rsidRPr="00883125">
              <w:t>ATO statistics used to observe the reported amount of imputation credits utilised by investors, which is consistent with their purpose. Approach is simple.</w:t>
            </w:r>
          </w:p>
        </w:tc>
        <w:tc>
          <w:tcPr>
            <w:tcW w:w="3838" w:type="dxa"/>
          </w:tcPr>
          <w:p w:rsidR="00B95D2A" w:rsidRPr="00B95D2A" w:rsidRDefault="00B95D2A" w:rsidP="00B95D2A">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B95D2A" w:rsidRPr="00FE391A" w:rsidTr="00AC29DB">
        <w:trPr>
          <w:cantSplit/>
        </w:trPr>
        <w:tc>
          <w:tcPr>
            <w:tcW w:w="3936" w:type="dxa"/>
          </w:tcPr>
          <w:p w:rsidR="00B95D2A" w:rsidRPr="00B95D2A" w:rsidRDefault="00B95D2A" w:rsidP="00B95D2A">
            <w:r w:rsidRPr="00883125">
              <w:t xml:space="preserve">Implemented in accordance with good practice. </w:t>
            </w:r>
          </w:p>
          <w:p w:rsidR="00B95D2A" w:rsidRPr="00B95D2A" w:rsidRDefault="00B95D2A" w:rsidP="00B95D2A">
            <w:r w:rsidRPr="00883125">
              <w:t xml:space="preserve">- Supported by robust, transparent and </w:t>
            </w:r>
            <w:r w:rsidRPr="00B95D2A">
              <w:t>replicable analysis that is derived from available credible datasets.</w:t>
            </w:r>
          </w:p>
        </w:tc>
        <w:tc>
          <w:tcPr>
            <w:tcW w:w="3140" w:type="dxa"/>
          </w:tcPr>
          <w:p w:rsidR="00B95D2A" w:rsidRPr="00B95D2A" w:rsidRDefault="00B95D2A" w:rsidP="00B95D2A">
            <w:r w:rsidRPr="00883125">
              <w:t>Transparent and replicable using published data. Some knowledge of ABS classifications required.</w:t>
            </w:r>
          </w:p>
        </w:tc>
        <w:tc>
          <w:tcPr>
            <w:tcW w:w="3238" w:type="dxa"/>
          </w:tcPr>
          <w:p w:rsidR="00B95D2A" w:rsidRPr="00B95D2A" w:rsidRDefault="00B95D2A" w:rsidP="00B95D2A">
            <w:r w:rsidRPr="00883125">
              <w:t>Transparent and replicable using published data, although detailed knowledge of tax return labels required. Some data concerns have been identified.</w:t>
            </w:r>
          </w:p>
        </w:tc>
        <w:tc>
          <w:tcPr>
            <w:tcW w:w="3838" w:type="dxa"/>
          </w:tcPr>
          <w:p w:rsidR="00B95D2A" w:rsidRPr="00B95D2A" w:rsidRDefault="00B95D2A" w:rsidP="00B95D2A">
            <w:r w:rsidRPr="00883125">
              <w:t>Less transparent and replicable, as econometrics knowledge required and data not always publicly or freely available.</w:t>
            </w:r>
          </w:p>
        </w:tc>
      </w:tr>
      <w:tr w:rsidR="00B95D2A" w:rsidRPr="00FE391A" w:rsidTr="00AC29DB">
        <w:trPr>
          <w:cnfStyle w:val="000000010000" w:firstRow="0" w:lastRow="0" w:firstColumn="0" w:lastColumn="0" w:oddVBand="0" w:evenVBand="0" w:oddHBand="0" w:evenHBand="1" w:firstRowFirstColumn="0" w:firstRowLastColumn="0" w:lastRowFirstColumn="0" w:lastRowLastColumn="0"/>
          <w:cantSplit/>
        </w:trPr>
        <w:tc>
          <w:tcPr>
            <w:tcW w:w="3936" w:type="dxa"/>
          </w:tcPr>
          <w:p w:rsidR="00B95D2A" w:rsidRPr="00B95D2A" w:rsidRDefault="00B95D2A" w:rsidP="00B95D2A">
            <w:r w:rsidRPr="00883125">
              <w:t xml:space="preserve">Where market data and other information is used, this information is: credible and verifiable; comparable and timely; and clearly </w:t>
            </w:r>
            <w:r w:rsidRPr="00B95D2A">
              <w:t>sourced.</w:t>
            </w:r>
          </w:p>
        </w:tc>
        <w:tc>
          <w:tcPr>
            <w:tcW w:w="3140" w:type="dxa"/>
          </w:tcPr>
          <w:p w:rsidR="00B95D2A" w:rsidRPr="00B95D2A" w:rsidRDefault="00B95D2A" w:rsidP="00B95D2A">
            <w:r w:rsidRPr="00883125">
              <w:t xml:space="preserve">ABS is a credible source. Relevant statistics are published online on a quarterly basis. </w:t>
            </w:r>
          </w:p>
        </w:tc>
        <w:tc>
          <w:tcPr>
            <w:tcW w:w="3238" w:type="dxa"/>
          </w:tcPr>
          <w:p w:rsidR="00B95D2A" w:rsidRPr="00B95D2A" w:rsidRDefault="00B95D2A" w:rsidP="00B95D2A">
            <w:r w:rsidRPr="00883125">
              <w:t>ATO is a credible source. Relevant statistics are published online on an annual basis, with a two-year lag (e.g. 2011–12 statistics published in 2014). Some data concerns have been identified.</w:t>
            </w:r>
          </w:p>
        </w:tc>
        <w:tc>
          <w:tcPr>
            <w:tcW w:w="3838" w:type="dxa"/>
          </w:tcPr>
          <w:p w:rsidR="00B95D2A" w:rsidRPr="00B95D2A" w:rsidRDefault="00B95D2A" w:rsidP="00B95D2A">
            <w:r w:rsidRPr="00883125">
              <w:t>Underlying data typically from credible sources (e.g. Bloomberg, ASX) and is produced on a timely basis. Data not always publicly or freely available.</w:t>
            </w:r>
          </w:p>
          <w:p w:rsidR="00B95D2A" w:rsidRPr="00B95D2A" w:rsidRDefault="00B95D2A" w:rsidP="00B95D2A">
            <w:r w:rsidRPr="00883125">
              <w:t>Use of econometrics makes the results difficult and complex to verify.</w:t>
            </w:r>
          </w:p>
        </w:tc>
      </w:tr>
      <w:tr w:rsidR="00B95D2A" w:rsidRPr="00FE391A" w:rsidTr="00AC29DB">
        <w:trPr>
          <w:cantSplit/>
        </w:trPr>
        <w:tc>
          <w:tcPr>
            <w:tcW w:w="3936" w:type="dxa"/>
          </w:tcPr>
          <w:p w:rsidR="00B95D2A" w:rsidRPr="00B95D2A" w:rsidRDefault="00B95D2A" w:rsidP="00B95D2A">
            <w:r w:rsidRPr="00883125">
              <w:t xml:space="preserve">Sufficiently flexible as to </w:t>
            </w:r>
            <w:r w:rsidRPr="00B95D2A">
              <w:t>allow changing market conditions and new information to be reflected in regulatory outcomes, as appropriate.</w:t>
            </w:r>
          </w:p>
        </w:tc>
        <w:tc>
          <w:tcPr>
            <w:tcW w:w="3140" w:type="dxa"/>
          </w:tcPr>
          <w:p w:rsidR="00B95D2A" w:rsidRPr="00B95D2A" w:rsidRDefault="00B95D2A" w:rsidP="00B95D2A">
            <w:r w:rsidRPr="00883125">
              <w:t xml:space="preserve">Reflects current ownership of Australian equities. However, might not reflect any tax law changes that reduce eligible investors’ utilisation rates below 1.  </w:t>
            </w:r>
          </w:p>
        </w:tc>
        <w:tc>
          <w:tcPr>
            <w:tcW w:w="3238" w:type="dxa"/>
          </w:tcPr>
          <w:p w:rsidR="00B95D2A" w:rsidRPr="00B95D2A" w:rsidRDefault="00B95D2A" w:rsidP="00B95D2A">
            <w:r w:rsidRPr="00883125">
              <w:t>Reflects conditions up to two years ago.</w:t>
            </w:r>
          </w:p>
        </w:tc>
        <w:tc>
          <w:tcPr>
            <w:tcW w:w="3838" w:type="dxa"/>
          </w:tcPr>
          <w:p w:rsidR="00B95D2A" w:rsidRPr="00B95D2A" w:rsidRDefault="00B95D2A" w:rsidP="00B95D2A">
            <w:r w:rsidRPr="00883125">
              <w:t>Reflects current conditions to the extent that recent data is used. Different studies span various time periods.</w:t>
            </w:r>
          </w:p>
        </w:tc>
      </w:tr>
    </w:tbl>
    <w:p w:rsidR="00B95D2A" w:rsidRPr="00883125" w:rsidRDefault="00B95D2A" w:rsidP="00B95D2A">
      <w:pPr>
        <w:pStyle w:val="Caption"/>
      </w:pPr>
      <w:bookmarkStart w:id="417" w:name="_Ref415046112"/>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15</w:t>
      </w:r>
      <w:r w:rsidRPr="001D37D5">
        <w:fldChar w:fldCharType="end"/>
      </w:r>
      <w:bookmarkEnd w:id="417"/>
      <w:r w:rsidRPr="00883125">
        <w:tab/>
        <w:t>Application of rate of return criteria to evidence on the utilisation rate</w:t>
      </w:r>
    </w:p>
    <w:p w:rsidR="00B95D2A" w:rsidRPr="00883125" w:rsidRDefault="00B95D2A" w:rsidP="00B95D2A">
      <w:pPr>
        <w:pStyle w:val="AERtablesource"/>
      </w:pPr>
      <w:r w:rsidRPr="00883125">
        <w:lastRenderedPageBreak/>
        <w:t xml:space="preserve">Source: </w:t>
      </w:r>
      <w:r w:rsidRPr="00883125">
        <w:tab/>
        <w:t>AER analysis.</w:t>
      </w:r>
    </w:p>
    <w:p w:rsidR="00B95D2A" w:rsidRPr="00883125" w:rsidRDefault="00B95D2A" w:rsidP="00B95D2A">
      <w:pPr>
        <w:pStyle w:val="AERtablesource"/>
      </w:pPr>
      <w:r w:rsidRPr="00883125">
        <w:t>(a):</w:t>
      </w:r>
      <w:r w:rsidRPr="00883125">
        <w:tab/>
        <w:t>The criteria relating specifically to return on equity and return on debt quantitative models are excluded because they are not applicable.</w:t>
      </w:r>
    </w:p>
    <w:p w:rsidR="00B95D2A" w:rsidRPr="00883125" w:rsidRDefault="00B95D2A" w:rsidP="00B95D2A">
      <w:pPr>
        <w:sectPr w:rsidR="00B95D2A" w:rsidRPr="00883125" w:rsidSect="00AC29DB">
          <w:pgSz w:w="16838" w:h="11906" w:orient="landscape"/>
          <w:pgMar w:top="1440" w:right="1440" w:bottom="1440" w:left="1440" w:header="709" w:footer="709" w:gutter="0"/>
          <w:pgNumType w:chapStyle="1"/>
          <w:cols w:space="720"/>
          <w:docGrid w:linePitch="326"/>
        </w:sectPr>
      </w:pPr>
    </w:p>
    <w:p w:rsidR="00B95D2A" w:rsidRPr="00883125" w:rsidRDefault="00B95D2A" w:rsidP="00B95D2A">
      <w:pPr>
        <w:pStyle w:val="Heading8"/>
      </w:pPr>
      <w:bookmarkStart w:id="418" w:name="_Ref415049811"/>
      <w:bookmarkStart w:id="419" w:name="_Toc436049453"/>
      <w:bookmarkStart w:id="420" w:name="_Toc451842259"/>
      <w:bookmarkStart w:id="421" w:name="_Toc451938313"/>
      <w:bookmarkStart w:id="422" w:name="_Toc456614332"/>
      <w:bookmarkStart w:id="423" w:name="_Toc462823338"/>
      <w:bookmarkStart w:id="424" w:name="_Toc479694008"/>
      <w:bookmarkStart w:id="425" w:name="_Toc480815644"/>
      <w:r w:rsidRPr="00883125">
        <w:lastRenderedPageBreak/>
        <w:t>The equity ownership approach</w:t>
      </w:r>
      <w:bookmarkEnd w:id="418"/>
      <w:bookmarkEnd w:id="419"/>
      <w:bookmarkEnd w:id="420"/>
      <w:bookmarkEnd w:id="421"/>
      <w:bookmarkEnd w:id="422"/>
      <w:bookmarkEnd w:id="423"/>
      <w:bookmarkEnd w:id="424"/>
      <w:bookmarkEnd w:id="425"/>
    </w:p>
    <w:p w:rsidR="00B95D2A" w:rsidRPr="00883125" w:rsidRDefault="00B95D2A" w:rsidP="00B95D2A">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623"/>
      </w:r>
    </w:p>
    <w:p w:rsidR="00B95D2A" w:rsidRPr="00883125" w:rsidRDefault="00B95D2A" w:rsidP="00B95D2A">
      <w:pPr>
        <w:numPr>
          <w:ilvl w:val="0"/>
          <w:numId w:val="24"/>
        </w:numPr>
      </w:pPr>
      <w:r w:rsidRPr="00883125">
        <w:t xml:space="preserve">Our views on the equity ownership approach to estimating the utilisation rate are set out in section </w:t>
      </w:r>
      <w:r>
        <w:fldChar w:fldCharType="begin"/>
      </w:r>
      <w:r>
        <w:instrText xml:space="preserve"> REF _Ref475439085 \r \h </w:instrText>
      </w:r>
      <w:r>
        <w:fldChar w:fldCharType="separate"/>
      </w:r>
      <w:r w:rsidR="003E419A">
        <w:rPr>
          <w:b/>
          <w:bCs/>
          <w:lang w:val="en-US"/>
        </w:rPr>
        <w:t>Error! Reference source not found.</w:t>
      </w:r>
      <w:r>
        <w:fldChar w:fldCharType="end"/>
      </w:r>
      <w:r w:rsidRPr="00883125">
        <w:t xml:space="preserve"> of attachment 4. In this section, we provide further detail on our application of the approach. We also compare our assessment of the approach in this </w:t>
      </w:r>
      <w:r>
        <w:t xml:space="preserve">final </w:t>
      </w:r>
      <w:r w:rsidRPr="00883125">
        <w:t>decision with our assessment in the Guideline.</w:t>
      </w:r>
    </w:p>
    <w:p w:rsidR="00B95D2A" w:rsidRPr="00883125" w:rsidRDefault="00B95D2A" w:rsidP="00B95D2A">
      <w:pPr>
        <w:numPr>
          <w:ilvl w:val="0"/>
          <w:numId w:val="24"/>
        </w:numPr>
      </w:pPr>
      <w:r w:rsidRPr="00883125">
        <w:t xml:space="preserve">We place significant reliance on the equity ownership approach for the reasons set out in section </w:t>
      </w:r>
      <w:r>
        <w:fldChar w:fldCharType="begin"/>
      </w:r>
      <w:r>
        <w:instrText xml:space="preserve"> REF _Ref475439085 \r \h </w:instrText>
      </w:r>
      <w:r>
        <w:fldChar w:fldCharType="separate"/>
      </w:r>
      <w:r w:rsidR="003E419A">
        <w:rPr>
          <w:b/>
          <w:bCs/>
          <w:lang w:val="en-US"/>
        </w:rPr>
        <w:t>Error! Reference source not found.</w:t>
      </w:r>
      <w:r>
        <w:fldChar w:fldCharType="end"/>
      </w:r>
      <w:r w:rsidRPr="00883125">
        <w:t xml:space="preserve"> of attachment 4. We have regard also to the limitations of this approach, but we do not consider them significant:</w:t>
      </w:r>
    </w:p>
    <w:p w:rsidR="00B95D2A" w:rsidRPr="001D37D5" w:rsidRDefault="00B95D2A" w:rsidP="00B95D2A">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1D37D5">
        <w:fldChar w:fldCharType="begin"/>
      </w:r>
      <w:r w:rsidRPr="001D37D5">
        <w:instrText xml:space="preserve"> REF _Ref414099389 \r \h </w:instrText>
      </w:r>
      <w:r w:rsidRPr="001D37D5">
        <w:fldChar w:fldCharType="separate"/>
      </w:r>
      <w:r w:rsidR="003E419A">
        <w:t>A.8.3</w:t>
      </w:r>
      <w:r w:rsidRPr="001D37D5">
        <w:fldChar w:fldCharType="end"/>
      </w:r>
      <w:r w:rsidRPr="001D37D5">
        <w:t>, we do not consider that there is clear evidence as to effect that these rules have or should be expected to have. Moreover, we consider that the most relevant evidence on the effect of these rules suggest that they have a negligible effect.</w:t>
      </w:r>
    </w:p>
    <w:p w:rsidR="00B95D2A" w:rsidRPr="001D37D5" w:rsidRDefault="00B95D2A" w:rsidP="00B95D2A">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1D37D5">
        <w:rPr>
          <w:rStyle w:val="FootnoteReference"/>
        </w:rPr>
        <w:footnoteReference w:id="624"/>
      </w:r>
    </w:p>
    <w:p w:rsidR="00B95D2A" w:rsidRDefault="00B95D2A" w:rsidP="00B95D2A">
      <w:pPr>
        <w:numPr>
          <w:ilvl w:val="0"/>
          <w:numId w:val="24"/>
        </w:numPr>
      </w:pPr>
      <w:r>
        <w:t>Lally considers the utilisation value is a weighted average over the utilisation rates for investors, equal to 1 for those who are eligible to use the credits and zero otherwise.</w:t>
      </w:r>
      <w:r>
        <w:rPr>
          <w:rStyle w:val="FootnoteReference"/>
        </w:rPr>
        <w:footnoteReference w:id="625"/>
      </w:r>
      <w:r>
        <w:t xml:space="preserve"> This is consistent with our equity ownership approach.</w:t>
      </w:r>
      <w:r>
        <w:rPr>
          <w:rStyle w:val="FootnoteReference"/>
        </w:rPr>
        <w:footnoteReference w:id="626"/>
      </w:r>
    </w:p>
    <w:p w:rsidR="00B95D2A" w:rsidRPr="00883125" w:rsidRDefault="00B95D2A" w:rsidP="00B95D2A">
      <w:pPr>
        <w:numPr>
          <w:ilvl w:val="0"/>
          <w:numId w:val="24"/>
        </w:numPr>
      </w:pPr>
      <w:r w:rsidRPr="00883125">
        <w:t>We consider that a reasonable estimate for the utilisation rate from the equity ownership approach is between:</w:t>
      </w:r>
    </w:p>
    <w:p w:rsidR="00B95D2A" w:rsidRPr="00883125" w:rsidRDefault="00B95D2A" w:rsidP="00B95D2A">
      <w:pPr>
        <w:pStyle w:val="AERbulletlistfirststyle"/>
      </w:pPr>
      <w:r w:rsidRPr="00883125">
        <w:t>0.56 and 0.68, if all equity is considered, and</w:t>
      </w:r>
    </w:p>
    <w:p w:rsidR="00B95D2A" w:rsidRPr="00883125" w:rsidRDefault="00B95D2A" w:rsidP="00B95D2A">
      <w:pPr>
        <w:pStyle w:val="AERbulletlistfirststyle"/>
      </w:pPr>
      <w:r w:rsidRPr="00883125">
        <w:lastRenderedPageBreak/>
        <w:t>0.38 and 0.55, if only listed equity is considered.</w:t>
      </w:r>
    </w:p>
    <w:p w:rsidR="00B95D2A" w:rsidRPr="00883125" w:rsidRDefault="00B95D2A" w:rsidP="00B95D2A">
      <w:pPr>
        <w:numPr>
          <w:ilvl w:val="0"/>
          <w:numId w:val="24"/>
        </w:numPr>
      </w:pPr>
      <w:r w:rsidRPr="00883125">
        <w:t>In the Guideline, we considered that the equity ownership approach supported a utilisation rate between 0.7 and 0.8. This range was based on:</w:t>
      </w:r>
    </w:p>
    <w:p w:rsidR="00B95D2A" w:rsidRPr="001D37D5" w:rsidRDefault="00B95D2A" w:rsidP="00B95D2A">
      <w:pPr>
        <w:pStyle w:val="AERbulletlistfirststyle"/>
      </w:pPr>
      <w:r w:rsidRPr="00883125">
        <w:t>A 2007 feature article by the ABS, in which it was estimated using data from the National Accounts that domestic investors held 71 per cent of Australian equity.</w:t>
      </w:r>
      <w:r w:rsidRPr="001D37D5">
        <w:rPr>
          <w:rStyle w:val="FootnoteReference"/>
        </w:rPr>
        <w:footnoteReference w:id="627"/>
      </w:r>
    </w:p>
    <w:p w:rsidR="00B95D2A" w:rsidRPr="001D37D5" w:rsidRDefault="00B95D2A" w:rsidP="00B95D2A">
      <w:pPr>
        <w:pStyle w:val="AERbulletlistfirststyle"/>
      </w:pPr>
      <w:r w:rsidRPr="00883125">
        <w:t>A graph in a September 2013 report by Hathaway, which suggested that the domestic ownership share of Australian equity had fluctuated between 75 and 81 per cent over the period 1988 to 2012.</w:t>
      </w:r>
      <w:r w:rsidRPr="001D37D5">
        <w:rPr>
          <w:rStyle w:val="FootnoteReference"/>
        </w:rPr>
        <w:footnoteReference w:id="628"/>
      </w:r>
      <w:r w:rsidRPr="001D37D5">
        <w:t xml:space="preserve"> The data underlying this graph also came from the National Accounts.</w:t>
      </w:r>
    </w:p>
    <w:p w:rsidR="00B95D2A" w:rsidRPr="00883125" w:rsidRDefault="00B95D2A" w:rsidP="00B95D2A">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3E419A">
        <w:t>A.9</w:t>
      </w:r>
      <w:r>
        <w:fldChar w:fldCharType="end"/>
      </w:r>
      <w:r>
        <w:t xml:space="preserve"> and </w:t>
      </w:r>
      <w:r>
        <w:fldChar w:fldCharType="begin"/>
      </w:r>
      <w:r>
        <w:instrText xml:space="preserve"> REF _Ref401133206 \r \h </w:instrText>
      </w:r>
      <w:r>
        <w:fldChar w:fldCharType="separate"/>
      </w:r>
      <w:r w:rsidR="003E419A">
        <w:t>A.10</w:t>
      </w:r>
      <w:r>
        <w:fldChar w:fldCharType="end"/>
      </w:r>
      <w:r w:rsidRPr="00883125">
        <w:t>.</w:t>
      </w:r>
    </w:p>
    <w:p w:rsidR="00B95D2A" w:rsidRPr="00883125" w:rsidRDefault="00B95D2A" w:rsidP="00B95D2A">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B95D2A" w:rsidRPr="00883125" w:rsidRDefault="00B95D2A" w:rsidP="00B95D2A">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B95D2A" w:rsidRPr="001D37D5" w:rsidRDefault="00B95D2A" w:rsidP="00B95D2A">
      <w:pPr>
        <w:pStyle w:val="AERbulletlistfirststyle"/>
      </w:pPr>
      <w:r w:rsidRPr="00AC2168">
        <w:t xml:space="preserve">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w:t>
      </w:r>
      <w:r>
        <w:t xml:space="preserve">final </w:t>
      </w:r>
      <w:r w:rsidRPr="00AC2168">
        <w:t xml:space="preserve">decision, consistent with the approach we took for the decisions we released in </w:t>
      </w:r>
      <w:r>
        <w:t>2015 (</w:t>
      </w:r>
      <w:r w:rsidRPr="00AC2168">
        <w:t>October</w:t>
      </w:r>
      <w:r>
        <w:t xml:space="preserve"> and </w:t>
      </w:r>
      <w:r w:rsidRPr="00AC2168">
        <w:t>November</w:t>
      </w:r>
      <w:r>
        <w:t>) and 2016 (May</w:t>
      </w:r>
      <w:r w:rsidR="004C726F">
        <w:t xml:space="preserve"> and September</w:t>
      </w:r>
      <w:r>
        <w:t>)</w:t>
      </w:r>
      <w:r w:rsidRPr="00AC2168">
        <w:t xml:space="preserve">, we exclude government-held equity from the calculation of the refined domestic ownership share. This is because the value of imputation credits forms part of our determination of the rate of return required by private investors in the benchmark </w:t>
      </w:r>
      <w:r w:rsidRPr="00AC2168">
        <w:lastRenderedPageBreak/>
        <w:t>efficient entity.</w:t>
      </w:r>
      <w:r w:rsidRPr="001D37D5">
        <w:rPr>
          <w:rStyle w:val="FootnoteReference"/>
        </w:rPr>
        <w:footnoteReference w:id="629"/>
      </w:r>
      <w:r w:rsidRPr="001D37D5">
        <w:t xml:space="preserve"> In doing this we are 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B95D2A" w:rsidRDefault="00B95D2A" w:rsidP="00B95D2A">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630"/>
      </w:r>
      <w:r w:rsidRPr="00883125">
        <w:t xml:space="preserve"> </w:t>
      </w:r>
      <w:r>
        <w:t>Further, Frontier considers that if the redemption rate is to be estimated as a market-wide parameter, then all of the credits in the market should be considered and not just a subset of the market.</w:t>
      </w:r>
      <w:r>
        <w:rPr>
          <w:rStyle w:val="FootnoteReference"/>
        </w:rPr>
        <w:footnoteReference w:id="631"/>
      </w:r>
      <w:r>
        <w:t xml:space="preserve"> Frontier considers the AER's equity ownership rate is neither a market wide nor a firm specific estimate.</w:t>
      </w:r>
      <w:r>
        <w:rPr>
          <w:rStyle w:val="FootnoteReference"/>
        </w:rPr>
        <w:footnoteReference w:id="632"/>
      </w:r>
    </w:p>
    <w:p w:rsidR="00B95D2A" w:rsidRPr="00883125" w:rsidRDefault="00B95D2A" w:rsidP="00B95D2A">
      <w:pPr>
        <w:numPr>
          <w:ilvl w:val="0"/>
          <w:numId w:val="24"/>
        </w:numPr>
      </w:pPr>
      <w:r>
        <w:t>First</w:t>
      </w:r>
      <w:r w:rsidRPr="00883125">
        <w:t xml:space="preserve">,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w:t>
      </w:r>
      <w:r>
        <w:t>Second, i</w:t>
      </w:r>
      <w:r w:rsidRPr="00883125">
        <w:t xml:space="preserve">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B95D2A" w:rsidRPr="00883125" w:rsidRDefault="00B95D2A" w:rsidP="00B95D2A">
      <w:pPr>
        <w:numPr>
          <w:ilvl w:val="0"/>
          <w:numId w:val="24"/>
        </w:numPr>
      </w:pPr>
      <w:r w:rsidRPr="00883125">
        <w:t xml:space="preserve">Further,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3E419A">
        <w:t>A.14</w:t>
      </w:r>
      <w:r w:rsidRPr="00883125">
        <w:fldChar w:fldCharType="end"/>
      </w:r>
      <w:r w:rsidRPr="00883125">
        <w:t>.</w:t>
      </w:r>
    </w:p>
    <w:p w:rsidR="00B95D2A" w:rsidRPr="00883125" w:rsidRDefault="00B95D2A" w:rsidP="00B95D2A">
      <w:pPr>
        <w:numPr>
          <w:ilvl w:val="0"/>
          <w:numId w:val="24"/>
        </w:numPr>
      </w:pPr>
      <w:r w:rsidRPr="00883125">
        <w:t xml:space="preserve">Our estimate ranges in this </w:t>
      </w:r>
      <w:r>
        <w:t xml:space="preserve">final </w:t>
      </w:r>
      <w:r w:rsidRPr="00883125">
        <w:t>decision differ from the corresponding ranges in the draft decisions released in 2014. These changes in part reflect the views of service providers, Gray (for SFG) and Handley. We discuss our consideration of these views below.</w:t>
      </w:r>
    </w:p>
    <w:p w:rsidR="00B95D2A" w:rsidRPr="00883125" w:rsidRDefault="00B95D2A" w:rsidP="00B95D2A">
      <w:r w:rsidRPr="00883125">
        <w:t>A number of service providers have submitted that we erred in our earlier decisions because:</w:t>
      </w:r>
      <w:r w:rsidRPr="00883125">
        <w:rPr>
          <w:rStyle w:val="FootnoteReference"/>
        </w:rPr>
        <w:footnoteReference w:id="633"/>
      </w:r>
    </w:p>
    <w:p w:rsidR="00B95D2A" w:rsidRPr="00883125" w:rsidRDefault="00B95D2A" w:rsidP="00B95D2A">
      <w:pPr>
        <w:pStyle w:val="AERquote"/>
      </w:pPr>
      <w:r w:rsidRPr="00883125">
        <w:lastRenderedPageBreak/>
        <w:t>…the ranges used by the AER for the equity ownership rate are inconsistent with the evidence in the Draft Decision.</w:t>
      </w:r>
    </w:p>
    <w:p w:rsidR="00B95D2A" w:rsidRPr="00883125" w:rsidRDefault="00B95D2A" w:rsidP="00B95D2A">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B95D2A" w:rsidRPr="00883125" w:rsidRDefault="00B95D2A" w:rsidP="00B95D2A">
      <w:r w:rsidRPr="00883125">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634"/>
      </w:r>
      <w:r w:rsidRPr="00883125">
        <w:t xml:space="preserve"> Accordingly, as we did in the decisions released in 2015</w:t>
      </w:r>
      <w:r>
        <w:t xml:space="preserve"> (</w:t>
      </w:r>
      <w:r w:rsidRPr="00883125">
        <w:t>April, June, October and November</w:t>
      </w:r>
      <w:r>
        <w:t>) and 2016 (May, July and September)</w:t>
      </w:r>
      <w:r w:rsidRPr="00883125">
        <w:t xml:space="preserve">, in this </w:t>
      </w:r>
      <w:r>
        <w:t>final</w:t>
      </w:r>
      <w:r w:rsidRPr="00883125">
        <w:t xml:space="preserve"> decision we rely only on the refined domestic ownership share.</w:t>
      </w:r>
    </w:p>
    <w:p w:rsidR="00B95D2A" w:rsidRDefault="00B95D2A" w:rsidP="00B95D2A">
      <w:r w:rsidRPr="00883125">
        <w:t>Service providers have also submitted that only the most recent point estimates of the equity ownership share are relevant.</w:t>
      </w:r>
      <w:r w:rsidRPr="00883125">
        <w:rPr>
          <w:rStyle w:val="FootnoteReference"/>
        </w:rPr>
        <w:footnoteReference w:id="635"/>
      </w:r>
      <w:r w:rsidRPr="00883125">
        <w:t xml:space="preserve"> </w:t>
      </w:r>
      <w:r>
        <w:t>Frontier, also considers that the prevailing rate for equity ownership should be used.</w:t>
      </w:r>
      <w:r>
        <w:rPr>
          <w:rStyle w:val="FootnoteReference"/>
        </w:rPr>
        <w:footnoteReference w:id="636"/>
      </w:r>
    </w:p>
    <w:p w:rsidR="00B95D2A" w:rsidRPr="00883125" w:rsidRDefault="00B95D2A" w:rsidP="00B95D2A">
      <w:r>
        <w:t>However, w</w:t>
      </w:r>
      <w:r w:rsidRPr="00883125">
        <w:t>e disagree. Given that the series exhibits considerable volatility, we think it is reasonable to not rely solely on the most recent point estimate. Handley supported this view:</w:t>
      </w:r>
      <w:r w:rsidRPr="00883125">
        <w:rPr>
          <w:rStyle w:val="FootnoteReference"/>
        </w:rPr>
        <w:footnoteReference w:id="637"/>
      </w:r>
    </w:p>
    <w:p w:rsidR="00B95D2A" w:rsidRPr="00883125" w:rsidRDefault="00B95D2A" w:rsidP="00B95D2A">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B95D2A" w:rsidRDefault="00B95D2A" w:rsidP="00B95D2A">
      <w:r>
        <w:t xml:space="preserve">Frontier, considers that there is insufficient support for the upper bound of the range for listed equity (0.6) and for all equity (0.7) for the equity ownership approach ranges we </w:t>
      </w:r>
      <w:r>
        <w:lastRenderedPageBreak/>
        <w:t>adopted.</w:t>
      </w:r>
      <w:r>
        <w:rPr>
          <w:rStyle w:val="FootnoteReference"/>
        </w:rPr>
        <w:footnoteReference w:id="638"/>
      </w:r>
      <w:r>
        <w:t xml:space="preserve"> However, as outlined in </w:t>
      </w:r>
      <w:r>
        <w:fldChar w:fldCharType="begin"/>
      </w:r>
      <w:r>
        <w:instrText xml:space="preserve"> REF _Ref414273399 \h </w:instrText>
      </w:r>
      <w:r>
        <w:fldChar w:fldCharType="separate"/>
      </w:r>
      <w:r w:rsidR="003E419A" w:rsidRPr="00883125">
        <w:t xml:space="preserve">Figure </w:t>
      </w:r>
      <w:r w:rsidR="003E419A">
        <w:rPr>
          <w:noProof/>
        </w:rPr>
        <w:t>4</w:t>
      </w:r>
      <w:r w:rsidR="003E419A" w:rsidRPr="00883125">
        <w:t>.</w:t>
      </w:r>
      <w:r w:rsidR="003E419A">
        <w:rPr>
          <w:noProof/>
        </w:rPr>
        <w:t>3</w:t>
      </w:r>
      <w:r>
        <w:fldChar w:fldCharType="end"/>
      </w:r>
      <w:r>
        <w:t>, the upper estimate of the range we relied upon is 0.55 for listed equity and 0.68 for all equity.</w:t>
      </w:r>
    </w:p>
    <w:p w:rsidR="00B95D2A" w:rsidRDefault="00B95D2A" w:rsidP="00B95D2A">
      <w:r>
        <w:t>In determining whether to use the current value of equity ownership or a historical average, Lally considers that it depends on whether the series is following a random walk or mean reversion.</w:t>
      </w:r>
      <w:r>
        <w:rPr>
          <w:rStyle w:val="FootnoteReference"/>
        </w:rPr>
        <w:footnoteReference w:id="639"/>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640"/>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B95D2A" w:rsidRPr="00883125" w:rsidRDefault="00B95D2A" w:rsidP="00B95D2A">
      <w:r w:rsidRPr="00883125">
        <w:t>On Handley's point regarding the length of period to considered, we agree with Gray's view (for SFG) that:</w:t>
      </w:r>
      <w:r w:rsidRPr="00883125">
        <w:rPr>
          <w:rStyle w:val="FootnoteReference"/>
        </w:rPr>
        <w:footnoteReference w:id="641"/>
      </w:r>
    </w:p>
    <w:p w:rsidR="00B95D2A" w:rsidRPr="00883125" w:rsidRDefault="00B95D2A" w:rsidP="00B95D2A">
      <w:pPr>
        <w:pStyle w:val="AERquote"/>
      </w:pPr>
      <w:r w:rsidRPr="00883125">
        <w:t>It is not clear why estimates of what the domestic equity ownership proportion was in the 1980s are relevant to the current determination for the forthcoming regulatory period.</w:t>
      </w:r>
    </w:p>
    <w:p w:rsidR="00B95D2A" w:rsidRPr="00883125" w:rsidRDefault="00B95D2A" w:rsidP="00B95D2A">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642"/>
      </w:r>
      <w:r w:rsidRPr="00883125">
        <w:t xml:space="preserve"> It is also consistent with the service providers' proposed estimation of the value of distributed credits via SFG's dividend drop off study. This study employs data from July 2001 to October 2012.</w:t>
      </w:r>
    </w:p>
    <w:p w:rsidR="00B95D2A" w:rsidRPr="00883125" w:rsidRDefault="00B95D2A" w:rsidP="00B95D2A">
      <w:r w:rsidRPr="00883125">
        <w:t>The service providers submit that the July 2000 start date is arbitrary and that more recent events such as the GFC could provide a more appropriate start date.</w:t>
      </w:r>
      <w:r w:rsidRPr="00883125">
        <w:rPr>
          <w:rStyle w:val="FootnoteReference"/>
        </w:rPr>
        <w:footnoteReference w:id="643"/>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B95D2A" w:rsidRPr="00883125" w:rsidRDefault="00B95D2A" w:rsidP="00B95D2A">
      <w:pPr>
        <w:rPr>
          <w:rStyle w:val="AERbody"/>
        </w:rPr>
      </w:pPr>
      <w:r w:rsidRPr="00883125">
        <w:rPr>
          <w:rStyle w:val="AERbody"/>
        </w:rPr>
        <w:lastRenderedPageBreak/>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644"/>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w:t>
      </w:r>
      <w:r w:rsidR="000779DE">
        <w:rPr>
          <w:rStyle w:val="AERbody"/>
        </w:rPr>
        <w:t>eem credits is not appropriate.</w:t>
      </w:r>
    </w:p>
    <w:p w:rsidR="00B95D2A" w:rsidRDefault="00B95D2A" w:rsidP="00B95D2A">
      <w:r>
        <w:rPr>
          <w:rStyle w:val="AERbody"/>
        </w:rPr>
        <w:t>T</w:t>
      </w:r>
      <w:r w:rsidRPr="00883125">
        <w:rPr>
          <w:rStyle w:val="AERbody"/>
        </w:rPr>
        <w:t xml:space="preserve">he </w:t>
      </w:r>
      <w:r>
        <w:rPr>
          <w:rStyle w:val="AERbody"/>
        </w:rPr>
        <w:t xml:space="preserve">Ausgrid </w:t>
      </w:r>
      <w:r w:rsidRPr="00883125">
        <w:rPr>
          <w:rStyle w:val="AERbody"/>
        </w:rPr>
        <w:t xml:space="preserve">Tribunal </w:t>
      </w:r>
      <w:r>
        <w:rPr>
          <w:rStyle w:val="AERbody"/>
        </w:rPr>
        <w:t xml:space="preserve">in its decision handed down on 26 February 2016 </w:t>
      </w:r>
      <w:r w:rsidRPr="00883125">
        <w:rPr>
          <w:rStyle w:val="AERbody"/>
        </w:rPr>
        <w:t xml:space="preserve">found that the </w:t>
      </w:r>
      <w:r w:rsidRPr="00883125">
        <w:t>equity ownership approach overstates the redemption rates and would only be useful as a further check on other estimates.</w:t>
      </w:r>
      <w:r w:rsidRPr="00883125">
        <w:rPr>
          <w:rStyle w:val="FootnoteReference"/>
        </w:rPr>
        <w:footnoteReference w:id="645"/>
      </w:r>
      <w:r w:rsidRPr="00883125">
        <w:t xml:space="preserve"> In this decision the </w:t>
      </w:r>
      <w:r>
        <w:t xml:space="preserve">Ausgrid </w:t>
      </w:r>
      <w:r w:rsidRPr="00883125">
        <w:t xml:space="preserve">Tribunal also indicated that since the equity ownership approach utilisation value is higher than the </w:t>
      </w:r>
      <w:r>
        <w:t xml:space="preserve">estimation of the redemption rate from </w:t>
      </w:r>
      <w:r w:rsidRPr="00883125">
        <w:t xml:space="preserve">tax statistics this implies that there are investors who </w:t>
      </w:r>
      <w:r>
        <w:t>we</w:t>
      </w:r>
      <w:r w:rsidRPr="00883125">
        <w:t xml:space="preserve"> assume are eligible to redeem imputation credits but, for whatever reasons, either cannot redeem them or attribute so little value to the credits that they do not </w:t>
      </w:r>
      <w:r>
        <w:t>redeem</w:t>
      </w:r>
      <w:r w:rsidRPr="00883125">
        <w:t xml:space="preserve"> them.</w:t>
      </w:r>
      <w:r w:rsidRPr="00883125">
        <w:rPr>
          <w:rStyle w:val="FootnoteReference"/>
        </w:rPr>
        <w:footnoteReference w:id="646"/>
      </w:r>
      <w:r w:rsidRPr="00883125">
        <w:t xml:space="preserve"> </w:t>
      </w:r>
      <w:r>
        <w:t>We have</w:t>
      </w:r>
      <w:r w:rsidRPr="00883125">
        <w:t xml:space="preserve"> carefully considered the </w:t>
      </w:r>
      <w:r>
        <w:t xml:space="preserve">Ausgrid </w:t>
      </w:r>
      <w:r w:rsidRPr="00883125">
        <w:t xml:space="preserve">Tribunal reasoning and remain of the view that the equity ownership approach </w:t>
      </w:r>
      <w:r>
        <w:t xml:space="preserve">based estimate </w:t>
      </w:r>
      <w:r w:rsidRPr="00883125">
        <w:t>can be used as a point estimate for the utilisation value.</w:t>
      </w:r>
      <w:r>
        <w:t xml:space="preserve"> Lally supports this view by noting the equity ownership approach is not an upper bound on the utilisation value but an unbiased estimate.</w:t>
      </w:r>
      <w:r>
        <w:rPr>
          <w:rStyle w:val="FootnoteReference"/>
        </w:rPr>
        <w:footnoteReference w:id="647"/>
      </w:r>
    </w:p>
    <w:p w:rsidR="00B95D2A" w:rsidRPr="00883125" w:rsidRDefault="00B95D2A" w:rsidP="00B95D2A">
      <w:pPr>
        <w:rPr>
          <w:rStyle w:val="AERbody"/>
        </w:rPr>
      </w:pPr>
      <w:r>
        <w:t>T</w:t>
      </w:r>
      <w:r w:rsidRPr="00883125">
        <w:t xml:space="preserve">he </w:t>
      </w:r>
      <w:r>
        <w:t xml:space="preserve">Ausgrid </w:t>
      </w:r>
      <w:r w:rsidRPr="00883125">
        <w:t xml:space="preserve">Tribunal found that </w:t>
      </w:r>
      <w:r>
        <w:t>we are</w:t>
      </w:r>
      <w:r w:rsidRPr="00883125">
        <w:t xml:space="preserve"> effectively redefining the utilisation value as the proportion of distributed imputation credits available for redemption, and this is inconsistent with the concept of gamma in the Office</w:t>
      </w:r>
      <w:r>
        <w:t>r</w:t>
      </w:r>
      <w:r w:rsidRPr="00883125">
        <w:t xml:space="preserve"> Framework for the WACC.</w:t>
      </w:r>
      <w:r w:rsidRPr="00883125">
        <w:rPr>
          <w:rStyle w:val="FootnoteReference"/>
        </w:rPr>
        <w:footnoteReference w:id="648"/>
      </w:r>
      <w:r w:rsidRPr="00883125">
        <w:t xml:space="preserve"> </w:t>
      </w:r>
      <w:r>
        <w:t xml:space="preserve">As set out in sections </w:t>
      </w:r>
      <w:r>
        <w:fldChar w:fldCharType="begin"/>
      </w:r>
      <w:r>
        <w:instrText xml:space="preserve"> REF _Ref415144114 \r \h </w:instrText>
      </w:r>
      <w:r>
        <w:fldChar w:fldCharType="separate"/>
      </w:r>
      <w:r w:rsidR="003E419A">
        <w:t>A.5</w:t>
      </w:r>
      <w:r>
        <w:fldChar w:fldCharType="end"/>
      </w:r>
      <w:r>
        <w:t xml:space="preserve">, </w:t>
      </w:r>
      <w:r>
        <w:fldChar w:fldCharType="begin"/>
      </w:r>
      <w:r>
        <w:instrText xml:space="preserve"> REF _Ref451826492 \r \h </w:instrText>
      </w:r>
      <w:r>
        <w:fldChar w:fldCharType="separate"/>
      </w:r>
      <w:r w:rsidR="003E419A">
        <w:t>A.6</w:t>
      </w:r>
      <w:r>
        <w:fldChar w:fldCharType="end"/>
      </w:r>
      <w:r>
        <w:t xml:space="preserve"> and </w:t>
      </w:r>
      <w:r>
        <w:fldChar w:fldCharType="begin"/>
      </w:r>
      <w:r>
        <w:instrText xml:space="preserve"> REF _Ref451849752 \r \h </w:instrText>
      </w:r>
      <w:r>
        <w:fldChar w:fldCharType="separate"/>
      </w:r>
      <w:r w:rsidR="003E419A">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-company pre-personal</w:t>
      </w:r>
      <w:r w:rsidRPr="00883125">
        <w:t xml:space="preserve"> </w:t>
      </w:r>
      <w:r>
        <w:t xml:space="preserve">tax </w:t>
      </w:r>
      <w:r w:rsidRPr="00883125">
        <w:t xml:space="preserve">value of imputation credits </w:t>
      </w:r>
      <w:r>
        <w:t xml:space="preserve">distributed to eligible investors </w:t>
      </w:r>
      <w:r w:rsidRPr="00883125">
        <w:t xml:space="preserve">and reflects the cost of </w:t>
      </w:r>
      <w:r>
        <w:t xml:space="preserve">these </w:t>
      </w:r>
      <w:r w:rsidRPr="00883125">
        <w:t>imputation credits to the regulated businesses</w:t>
      </w:r>
      <w:r>
        <w:t xml:space="preserve">. The face value of imputation credits distributed to eligible investors also reflects </w:t>
      </w:r>
      <w:r w:rsidRPr="00883125">
        <w:t>the post</w:t>
      </w:r>
      <w:r>
        <w:t xml:space="preserve">-company pre-personal </w:t>
      </w:r>
      <w:r w:rsidRPr="00883125">
        <w:t xml:space="preserve">tax value of </w:t>
      </w:r>
      <w:r>
        <w:t xml:space="preserve">distributed </w:t>
      </w:r>
      <w:r w:rsidRPr="00883125">
        <w:t xml:space="preserve">imputation credits to </w:t>
      </w:r>
      <w:r>
        <w:t xml:space="preserve">these </w:t>
      </w:r>
      <w:r w:rsidRPr="00883125">
        <w:t>equity investors.</w:t>
      </w:r>
    </w:p>
    <w:p w:rsidR="00B95D2A" w:rsidRDefault="00B95D2A" w:rsidP="00B95D2A">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3E419A" w:rsidRPr="00883125">
        <w:t xml:space="preserve">figure </w:t>
      </w:r>
      <w:r w:rsidR="003E419A">
        <w:rPr>
          <w:noProof/>
        </w:rPr>
        <w:t>4</w:t>
      </w:r>
      <w:r w:rsidR="003E419A" w:rsidRPr="00883125">
        <w:t>.</w:t>
      </w:r>
      <w:r w:rsidR="003E419A">
        <w:rPr>
          <w:noProof/>
        </w:rPr>
        <w:t>3</w:t>
      </w:r>
      <w:r w:rsidRPr="00883125">
        <w:fldChar w:fldCharType="end"/>
      </w:r>
      <w:r w:rsidRPr="00883125">
        <w:t>.</w:t>
      </w:r>
    </w:p>
    <w:p w:rsidR="00B95D2A" w:rsidRPr="00883125" w:rsidRDefault="00B95D2A" w:rsidP="00B95D2A"/>
    <w:p w:rsidR="00B95D2A" w:rsidRPr="00883125" w:rsidRDefault="00B95D2A" w:rsidP="00B95D2A">
      <w:pPr>
        <w:pStyle w:val="Caption"/>
      </w:pPr>
      <w:bookmarkStart w:id="426" w:name="_Ref414273399"/>
      <w:r w:rsidRPr="00883125">
        <w:lastRenderedPageBreak/>
        <w:t xml:space="preserve">Figure </w:t>
      </w:r>
      <w:r w:rsidRPr="00B27BE5">
        <w:fldChar w:fldCharType="begin"/>
      </w:r>
      <w:r>
        <w:instrText xml:space="preserve"> STYLEREF 1 \s </w:instrText>
      </w:r>
      <w:r w:rsidRPr="00B27BE5">
        <w:fldChar w:fldCharType="separate"/>
      </w:r>
      <w:r w:rsidR="003E419A">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E419A">
        <w:rPr>
          <w:noProof/>
        </w:rPr>
        <w:t>3</w:t>
      </w:r>
      <w:r w:rsidRPr="00B27BE5">
        <w:fldChar w:fldCharType="end"/>
      </w:r>
      <w:bookmarkEnd w:id="426"/>
      <w:r w:rsidRPr="00883125">
        <w:tab/>
        <w:t>Refined domestic ownership share of Australian equity</w:t>
      </w:r>
    </w:p>
    <w:p w:rsidR="00B95D2A" w:rsidRDefault="00B95D2A" w:rsidP="00B95D2A">
      <w:pPr>
        <w:pStyle w:val="AERtablesource"/>
      </w:pPr>
      <w:r w:rsidRPr="00B95D2A">
        <w:rPr>
          <w:noProof/>
          <w:lang w:eastAsia="en-AU"/>
        </w:rPr>
        <w:drawing>
          <wp:inline distT="0" distB="0" distL="0" distR="0" wp14:anchorId="6930A874" wp14:editId="0ABB5E35">
            <wp:extent cx="5382895" cy="3522461"/>
            <wp:effectExtent l="0" t="0" r="8255"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95D2A" w:rsidRPr="00883125" w:rsidRDefault="00B95D2A" w:rsidP="00B95D2A">
      <w:pPr>
        <w:pStyle w:val="AERtablesource"/>
      </w:pPr>
      <w:r w:rsidRPr="00883125">
        <w:t xml:space="preserve">Source: </w:t>
      </w:r>
      <w:r w:rsidRPr="00883125">
        <w:tab/>
        <w:t>Australian National Accounts: Finance and Wealth (ABS cat. 5232.0), tables 47 and 48.</w:t>
      </w:r>
    </w:p>
    <w:p w:rsidR="00B95D2A" w:rsidRPr="00883125" w:rsidRDefault="00B95D2A" w:rsidP="00B95D2A">
      <w:r w:rsidRPr="00883125">
        <w:fldChar w:fldCharType="begin"/>
      </w:r>
      <w:r w:rsidRPr="00883125">
        <w:instrText xml:space="preserve"> REF _Ref414273399 \h </w:instrText>
      </w:r>
      <w:r w:rsidRPr="00883125">
        <w:fldChar w:fldCharType="separate"/>
      </w:r>
      <w:r w:rsidR="003E419A" w:rsidRPr="00883125">
        <w:t xml:space="preserve">Figure </w:t>
      </w:r>
      <w:r w:rsidR="003E419A">
        <w:rPr>
          <w:noProof/>
        </w:rPr>
        <w:t>4</w:t>
      </w:r>
      <w:r w:rsidR="003E419A" w:rsidRPr="00883125">
        <w:t>.</w:t>
      </w:r>
      <w:r w:rsidR="003E419A">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B95D2A" w:rsidRPr="00883125" w:rsidRDefault="00B95D2A" w:rsidP="00B95D2A">
      <w:pPr>
        <w:pStyle w:val="Heading8"/>
      </w:pPr>
      <w:bookmarkStart w:id="427" w:name="_Ref402179420"/>
      <w:bookmarkStart w:id="428" w:name="_Toc436049454"/>
      <w:bookmarkStart w:id="429" w:name="_Toc451842260"/>
      <w:bookmarkStart w:id="430" w:name="_Toc451938314"/>
      <w:bookmarkStart w:id="431" w:name="_Toc456614333"/>
      <w:bookmarkStart w:id="432" w:name="_Toc462823339"/>
      <w:bookmarkStart w:id="433" w:name="_Toc479694009"/>
      <w:bookmarkStart w:id="434" w:name="_Toc480815645"/>
      <w:r w:rsidRPr="00883125">
        <w:t>Tax statistics</w:t>
      </w:r>
      <w:bookmarkEnd w:id="427"/>
      <w:bookmarkEnd w:id="428"/>
      <w:bookmarkEnd w:id="429"/>
      <w:bookmarkEnd w:id="430"/>
      <w:bookmarkEnd w:id="431"/>
      <w:bookmarkEnd w:id="432"/>
      <w:bookmarkEnd w:id="433"/>
      <w:bookmarkEnd w:id="434"/>
    </w:p>
    <w:p w:rsidR="00B95D2A" w:rsidRPr="00883125" w:rsidRDefault="00B95D2A" w:rsidP="00B95D2A">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649"/>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B95D2A" w:rsidRPr="00883125" w:rsidRDefault="00B95D2A" w:rsidP="00B95D2A">
      <w:pPr>
        <w:numPr>
          <w:ilvl w:val="0"/>
          <w:numId w:val="24"/>
        </w:numPr>
      </w:pPr>
      <w:r w:rsidRPr="00883125">
        <w:t xml:space="preserve">Our position on the use of tax statistics to estimate the utilisation rate is set out in section </w:t>
      </w:r>
      <w:r>
        <w:fldChar w:fldCharType="begin"/>
      </w:r>
      <w:r>
        <w:instrText xml:space="preserve"> REF _Ref475454898 \r \h </w:instrText>
      </w:r>
      <w:r>
        <w:fldChar w:fldCharType="separate"/>
      </w:r>
      <w:r w:rsidR="003E419A">
        <w:rPr>
          <w:b/>
          <w:bCs/>
          <w:lang w:val="en-US"/>
        </w:rPr>
        <w:t>Error! Reference source not found.</w:t>
      </w:r>
      <w:r>
        <w:fldChar w:fldCharType="end"/>
      </w:r>
      <w:r w:rsidRPr="00883125">
        <w:t xml:space="preserve"> of attachment 4. In this section, we explain how our position has changed compared to that in the Guideline.</w:t>
      </w:r>
    </w:p>
    <w:p w:rsidR="00B95D2A" w:rsidRPr="00883125" w:rsidRDefault="00B95D2A" w:rsidP="00B95D2A">
      <w:pPr>
        <w:numPr>
          <w:ilvl w:val="0"/>
          <w:numId w:val="24"/>
        </w:numPr>
      </w:pPr>
      <w:r w:rsidRPr="00883125">
        <w:lastRenderedPageBreak/>
        <w:t>In the Guideline, we considered that tax statistics supported a utilisation rate between 0.4 and 0.8. This was based on:</w:t>
      </w:r>
    </w:p>
    <w:p w:rsidR="00B95D2A" w:rsidRPr="001D37D5" w:rsidRDefault="00B95D2A" w:rsidP="00B95D2A">
      <w:pPr>
        <w:pStyle w:val="AERbulletlistfirststyle"/>
      </w:pPr>
      <w:r w:rsidRPr="00883125">
        <w:t>A 2013 report by Hathaway, which sought to estimate the proportion of distributed credits that have been utilised. This report produced two estimates for the period 2004 to 2011: 0.43 and 0.61.</w:t>
      </w:r>
      <w:r w:rsidRPr="001D37D5" w:rsidDel="005F06A5">
        <w:t xml:space="preserve"> </w:t>
      </w:r>
      <w:r w:rsidRPr="001D37D5">
        <w:t xml:space="preserve">The two estimates reflect two alternative measures of the value of credits distributed, which in turn imply two alternative estimates of the distribution rate (as discussed in section </w:t>
      </w:r>
      <w:r w:rsidRPr="001D37D5">
        <w:fldChar w:fldCharType="begin"/>
      </w:r>
      <w:r w:rsidRPr="001D37D5">
        <w:instrText xml:space="preserve"> REF _Ref401133206 \r \h </w:instrText>
      </w:r>
      <w:r w:rsidRPr="001D37D5">
        <w:fldChar w:fldCharType="separate"/>
      </w:r>
      <w:r w:rsidR="003E419A">
        <w:t>A.10</w:t>
      </w:r>
      <w:r w:rsidRPr="001D37D5">
        <w:fldChar w:fldCharType="end"/>
      </w:r>
      <w:r w:rsidRPr="001D37D5">
        <w:t>). The 0.43 and 0.61 estimates of the utilisation rate correspond to estimates of the distribution rate of around 0.7 and 0.5 respectively.</w:t>
      </w:r>
      <w:r w:rsidRPr="001D37D5">
        <w:rPr>
          <w:rStyle w:val="FootnoteReference"/>
        </w:rPr>
        <w:footnoteReference w:id="650"/>
      </w:r>
      <w:r w:rsidRPr="001D37D5">
        <w:t xml:space="preserve"> </w:t>
      </w:r>
    </w:p>
    <w:p w:rsidR="00B95D2A" w:rsidRPr="00883125" w:rsidRDefault="00B95D2A" w:rsidP="00B95D2A">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B95D2A" w:rsidRPr="00883125" w:rsidRDefault="00B95D2A" w:rsidP="00B95D2A">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B95D2A" w:rsidRPr="001D37D5" w:rsidRDefault="00B95D2A" w:rsidP="00B95D2A">
      <w:pPr>
        <w:pStyle w:val="AERbulletlistfirststyle"/>
      </w:pPr>
      <w:r w:rsidRPr="00883125">
        <w:t>derived from post-2004 data, consistent with Hathaway's findings that the ATO statistics are subject to a number of issues prior to 2004,</w:t>
      </w:r>
      <w:r w:rsidRPr="001D37D5">
        <w:rPr>
          <w:rStyle w:val="FootnoteReference"/>
        </w:rPr>
        <w:footnoteReference w:id="651"/>
      </w:r>
      <w:r w:rsidRPr="001D37D5">
        <w:t xml:space="preserve"> and</w:t>
      </w:r>
    </w:p>
    <w:p w:rsidR="00B95D2A" w:rsidRPr="001D37D5" w:rsidRDefault="00B95D2A" w:rsidP="00B95D2A">
      <w:pPr>
        <w:pStyle w:val="AERbulletlistfirststyle"/>
      </w:pPr>
      <w:r w:rsidRPr="00883125">
        <w:t>consistent with our preferred estimates of the distribution rate</w:t>
      </w:r>
      <w:r w:rsidRPr="001D37D5">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B95D2A" w:rsidRPr="00883125" w:rsidRDefault="00B95D2A" w:rsidP="00B95D2A">
      <w:pPr>
        <w:numPr>
          <w:ilvl w:val="0"/>
          <w:numId w:val="24"/>
        </w:numPr>
      </w:pPr>
      <w:r w:rsidRPr="00883125">
        <w:t>Applying these considerations, in our prior decisions</w:t>
      </w:r>
      <w:r>
        <w:t>,</w:t>
      </w:r>
      <w:r w:rsidRPr="00883125">
        <w:t xml:space="preserve"> we did not rely on:</w:t>
      </w:r>
    </w:p>
    <w:p w:rsidR="00B95D2A" w:rsidRPr="00883125" w:rsidRDefault="00B95D2A" w:rsidP="00B95D2A">
      <w:pPr>
        <w:pStyle w:val="AERbulletlistfirststyle"/>
      </w:pPr>
      <w:r w:rsidRPr="00883125">
        <w:t>Handley and Maheswaran's estimate of 0.81, because this is (predominantly) derived from pre-2004 data.</w:t>
      </w:r>
    </w:p>
    <w:p w:rsidR="00B95D2A" w:rsidRPr="001D37D5" w:rsidRDefault="00B95D2A" w:rsidP="00B95D2A">
      <w:pPr>
        <w:pStyle w:val="AERbulletlistfirststyle"/>
      </w:pPr>
      <w:r w:rsidRPr="00883125">
        <w:t>Hathaway's estimate of 0.61, because this corresponds to an estimate of the distribution rate of around 0.5 whereas we adopt an estimate of the distribution rate over all equity of 0.7.</w:t>
      </w:r>
      <w:r w:rsidRPr="001D37D5">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1D37D5">
        <w:rPr>
          <w:rStyle w:val="FootnoteReference"/>
        </w:rPr>
        <w:footnoteReference w:id="652"/>
      </w:r>
      <w:r w:rsidRPr="001D37D5">
        <w:t xml:space="preserve"> </w:t>
      </w:r>
    </w:p>
    <w:p w:rsidR="00B95D2A" w:rsidRDefault="00B95D2A" w:rsidP="00B95D2A">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653"/>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654"/>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B95D2A" w:rsidRPr="00883125" w:rsidRDefault="00B95D2A" w:rsidP="00B95D2A">
      <w:r w:rsidRPr="00883125">
        <w:t xml:space="preserve">As discussed in section </w:t>
      </w:r>
      <w:r w:rsidRPr="00883125">
        <w:fldChar w:fldCharType="begin"/>
      </w:r>
      <w:r w:rsidRPr="00883125">
        <w:instrText xml:space="preserve"> REF _Ref401133206 \r \h </w:instrText>
      </w:r>
      <w:r w:rsidRPr="00883125">
        <w:fldChar w:fldCharType="separate"/>
      </w:r>
      <w:r w:rsidR="003E419A">
        <w:t>A.10</w:t>
      </w:r>
      <w:r w:rsidRPr="00883125">
        <w:fldChar w:fldCharType="end"/>
      </w:r>
      <w:r w:rsidRPr="00883125">
        <w:t>, for this decision we place no reliance on Hathaway's new report and therefore it does not change our conclusions regarding the utilisation rate indicated by tax statistics.</w:t>
      </w:r>
    </w:p>
    <w:p w:rsidR="00B95D2A" w:rsidRDefault="00B95D2A" w:rsidP="00B95D2A">
      <w:r>
        <w:t>T</w:t>
      </w:r>
      <w:r w:rsidRPr="00883125">
        <w:t xml:space="preserve">he </w:t>
      </w:r>
      <w:r>
        <w:t xml:space="preserve">Ausgrid </w:t>
      </w:r>
      <w:r w:rsidRPr="00883125">
        <w:t>Tribunal considers that tax statistics can only provide an upper bound on the estimate of theta.</w:t>
      </w:r>
      <w:r w:rsidRPr="00883125">
        <w:rPr>
          <w:rStyle w:val="FootnoteReference"/>
        </w:rPr>
        <w:footnoteReference w:id="655"/>
      </w:r>
      <w:r w:rsidRPr="00883125">
        <w:t xml:space="preserve"> </w:t>
      </w:r>
      <w:r>
        <w:t>Frontier, also consider redemption rates are at best an upper bound for theta if theta is defined as the value of imputation credits.</w:t>
      </w:r>
      <w:r>
        <w:rPr>
          <w:rStyle w:val="FootnoteReference"/>
        </w:rPr>
        <w:footnoteReference w:id="656"/>
      </w:r>
      <w:r>
        <w:t xml:space="preserve"> We</w:t>
      </w:r>
      <w:r w:rsidRPr="00883125">
        <w:t xml:space="preserve"> remain of the view that tax statistics can be used as </w:t>
      </w:r>
      <w:r>
        <w:t xml:space="preserve">a </w:t>
      </w:r>
      <w:r w:rsidRPr="00883125">
        <w:t>point estimate for the utilisation value</w:t>
      </w:r>
      <w:r>
        <w:t xml:space="preserve"> (see section </w:t>
      </w:r>
      <w:r>
        <w:fldChar w:fldCharType="begin"/>
      </w:r>
      <w:r>
        <w:instrText xml:space="preserve"> REF _Ref450761230 \r \h </w:instrText>
      </w:r>
      <w:r>
        <w:fldChar w:fldCharType="separate"/>
      </w:r>
      <w:r w:rsidR="003E419A">
        <w:t>4.4.1</w:t>
      </w:r>
      <w:r>
        <w:fldChar w:fldCharType="end"/>
      </w:r>
      <w:r>
        <w:t xml:space="preserve"> and our reasoning below)</w:t>
      </w:r>
      <w:r w:rsidRPr="00883125">
        <w:t>.</w:t>
      </w:r>
      <w:r w:rsidR="00780170">
        <w:t xml:space="preserve"> </w:t>
      </w:r>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3E419A">
        <w:t>4.4.1</w:t>
      </w:r>
      <w:r>
        <w:fldChar w:fldCharType="end"/>
      </w:r>
      <w:r>
        <w:t xml:space="preserve">). As such, </w:t>
      </w:r>
      <w:r w:rsidRPr="00883125">
        <w:t>the true (unknown) value could be higher or lower.</w:t>
      </w:r>
      <w:r>
        <w:t xml:space="preserve"> We consider this cannot constitute an upper bound for the true utilisation rate.</w:t>
      </w:r>
      <w:r w:rsidRPr="00C03DF6">
        <w:t xml:space="preserve"> </w:t>
      </w:r>
      <w:r>
        <w:t>Having considered all the information before us, we remain of the view that tax statistics do not provide an upper bound for the utilisation rate, but rather a</w:t>
      </w:r>
      <w:r w:rsidR="00625A3E">
        <w:t>n</w:t>
      </w:r>
      <w:r>
        <w:t xml:space="preserve"> unreliable estimate. We note the SAPN Tribunal decision supports this view</w:t>
      </w:r>
      <w:r w:rsidR="00075A28">
        <w:t>.</w:t>
      </w:r>
      <w:r w:rsidRPr="005A1971">
        <w:rPr>
          <w:rStyle w:val="FootnoteReference"/>
        </w:rPr>
        <w:footnoteReference w:id="657"/>
      </w:r>
    </w:p>
    <w:p w:rsidR="00B95D2A" w:rsidRPr="00B95D2A" w:rsidRDefault="00B95D2A" w:rsidP="00B95D2A">
      <w:r>
        <w:t>Lally considers that the correctly measured tax statistics provides an upward biased estimate for the utilisation value.</w:t>
      </w:r>
      <w:r>
        <w:rPr>
          <w:rStyle w:val="FootnoteReference"/>
        </w:rPr>
        <w:footnoteReference w:id="658"/>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659"/>
      </w:r>
      <w:r w:rsidRPr="00EA5224">
        <w:t xml:space="preserve"> </w:t>
      </w:r>
      <w:r w:rsidRPr="00B95D2A">
        <w:t xml:space="preserve"> </w:t>
      </w:r>
    </w:p>
    <w:p w:rsidR="00B95D2A" w:rsidRDefault="00B95D2A" w:rsidP="00B95D2A">
      <w:r w:rsidRPr="00BF2DCE">
        <w:t xml:space="preserve">Further, Lally notes that the Ausgrid Tribunal considered tax statistics produce an upper bound estimate on utilisation value, </w:t>
      </w:r>
      <w:r w:rsidRPr="00AC29DB">
        <w:t xml:space="preserve">due to time delays, administrative costs in </w:t>
      </w:r>
      <w:r w:rsidRPr="00AC29DB">
        <w:lastRenderedPageBreak/>
        <w:t>distributing the credits, portfolio effects, and the effect of the 45 day rule.</w:t>
      </w:r>
      <w:r w:rsidRPr="00BF2DCE">
        <w:rPr>
          <w:rStyle w:val="FootnoteReference"/>
        </w:rPr>
        <w:footnoteReference w:id="660"/>
      </w:r>
      <w:r w:rsidRPr="00AC29DB">
        <w:t xml:space="preserve"> Lally considers the Ausgrid Tribunal based this on the belief that the utilisation </w:t>
      </w:r>
      <w:r w:rsidRPr="00BF2DCE">
        <w:t xml:space="preserve">value is a market value and </w:t>
      </w:r>
      <w:r w:rsidRPr="00AC29DB">
        <w:t>the fact that these phenomena would depress the market value of the credits.</w:t>
      </w:r>
      <w:r w:rsidRPr="00BF2DCE">
        <w:rPr>
          <w:rStyle w:val="FootnoteReference"/>
        </w:rPr>
        <w:footnoteReference w:id="661"/>
      </w:r>
      <w:r w:rsidRPr="00BF2DCE">
        <w:t xml:space="preserve"> However, Lally considers that the utilisation value is not a market value, rather it is </w:t>
      </w:r>
      <w:r w:rsidRPr="00AC29DB">
        <w:t xml:space="preserve">a weighted-average of investors’ </w:t>
      </w:r>
      <w:r>
        <w:t>utilisation</w:t>
      </w:r>
      <w:r w:rsidRPr="00AC29DB">
        <w:t xml:space="preserve"> rates for </w:t>
      </w:r>
      <w:r>
        <w:t>imputation</w:t>
      </w:r>
      <w:r w:rsidRPr="00AC29DB">
        <w:t xml:space="preserve"> credits, and this alone </w:t>
      </w:r>
      <w:r>
        <w:t>undermines the Ausgrid Tribunal's reasoning.</w:t>
      </w:r>
      <w:r>
        <w:rPr>
          <w:rStyle w:val="FootnoteReference"/>
        </w:rPr>
        <w:footnoteReference w:id="662"/>
      </w:r>
      <w:r>
        <w:t xml:space="preserve"> Furthermore, Lally considers that the inability to estimate the redemption rate from ATO data would also preclude any such estimate being an upper bound on theta, although noting that if anything the ATO data would be biased up.</w:t>
      </w:r>
      <w:r>
        <w:rPr>
          <w:rStyle w:val="FootnoteReference"/>
        </w:rPr>
        <w:footnoteReference w:id="663"/>
      </w:r>
    </w:p>
    <w:p w:rsidR="00B95D2A" w:rsidRPr="00883125" w:rsidRDefault="00B95D2A" w:rsidP="00B95D2A">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664"/>
      </w:r>
    </w:p>
    <w:p w:rsidR="00B95D2A" w:rsidRDefault="00B95D2A" w:rsidP="00B95D2A">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w:t>
      </w:r>
      <w:r>
        <w:t xml:space="preserve">post-company </w:t>
      </w:r>
      <w:r w:rsidRPr="00883125">
        <w:t xml:space="preserve">pre-personal tax and pre-personal cost basis. Given the 45 day holding rule should not be having a material impact on the utilisation of imputation credits (see section </w:t>
      </w:r>
      <w:r>
        <w:fldChar w:fldCharType="begin"/>
      </w:r>
      <w:r>
        <w:instrText xml:space="preserve"> REF _Ref414099389 \r \h </w:instrText>
      </w:r>
      <w:r>
        <w:fldChar w:fldCharType="separate"/>
      </w:r>
      <w:r w:rsidR="003E419A">
        <w:t>A.8.3</w:t>
      </w:r>
      <w:r>
        <w:fldChar w:fldCharType="end"/>
      </w:r>
      <w:r w:rsidRPr="00883125">
        <w:t xml:space="preserve">), </w:t>
      </w:r>
      <w:r>
        <w:t>w</w:t>
      </w:r>
      <w:r w:rsidRPr="00883125">
        <w:t>e consider the proportion of local investor in the equity markets is a</w:t>
      </w:r>
      <w:r>
        <w:t xml:space="preserve"> reasonable point estimate of the utilisation value.</w:t>
      </w:r>
    </w:p>
    <w:p w:rsidR="00B95D2A" w:rsidRDefault="00B95D2A" w:rsidP="00B95D2A">
      <w:r>
        <w:t>Frontier considers that gamma can be measured reliably from tax statistics as the ratio of credits redeemed and credits created.</w:t>
      </w:r>
      <w:r>
        <w:rPr>
          <w:rStyle w:val="FootnoteReference"/>
        </w:rPr>
        <w:footnoteReference w:id="665"/>
      </w:r>
      <w:r>
        <w:t xml:space="preserve"> It submits that the credits distributed data is the unreliable data in the tax statistics and this data is not required to determine gamma directly.</w:t>
      </w:r>
      <w:r>
        <w:rPr>
          <w:rStyle w:val="FootnoteReference"/>
        </w:rPr>
        <w:footnoteReference w:id="666"/>
      </w:r>
      <w:r>
        <w:t xml:space="preserve"> This data is only required when the gamma statistic is separated into two components, theta and distribution rate. Frontier considers that the gamma estimate from tax statistic is at best an upper bound for gamma.</w:t>
      </w:r>
      <w:r>
        <w:rPr>
          <w:rStyle w:val="FootnoteReference"/>
        </w:rPr>
        <w:footnoteReference w:id="667"/>
      </w:r>
    </w:p>
    <w:p w:rsidR="00B95D2A" w:rsidRDefault="00B95D2A" w:rsidP="00B95D2A">
      <w:r>
        <w:lastRenderedPageBreak/>
        <w:t xml:space="preserve">However, we do not agree that tax statistics are reliable to estimate any parameter concerned with franking credits. This is supported by Neville Hathaway, </w:t>
      </w:r>
      <w:r w:rsidR="001132B3">
        <w:t>who</w:t>
      </w:r>
      <w:r>
        <w:t xml:space="preserve"> considers that caution should be exercised when using ATO statistics.</w:t>
      </w:r>
    </w:p>
    <w:p w:rsidR="00B95D2A" w:rsidRPr="00B95D2A" w:rsidRDefault="00B95D2A" w:rsidP="00AC29DB">
      <w:pPr>
        <w:pStyle w:val="AERquoteindent3"/>
      </w:pPr>
      <w:r>
        <w:t>Unti</w:t>
      </w:r>
      <w:r w:rsidRPr="00B95D2A">
        <w:t>l the reconciliation has occurred or it can be explained to me how to account for those credits, I urge all caution in using ATO statistics for any estimates of parameters concerned with franking credits.</w:t>
      </w:r>
      <w:r w:rsidRPr="00B95D2A">
        <w:rPr>
          <w:rStyle w:val="FootnoteReference"/>
        </w:rPr>
        <w:footnoteReference w:id="668"/>
      </w:r>
    </w:p>
    <w:p w:rsidR="00B95D2A" w:rsidRDefault="00B95D2A" w:rsidP="00B95D2A">
      <w:r>
        <w:t>We recognise Hathaway's comment that the tax data of the ATO is the most likely to be accurate as after all what other tax data is there but tax collection by the ATO. However, we also note Hathaway</w:t>
      </w:r>
      <w:r w:rsidR="001132B3">
        <w:t>'s</w:t>
      </w:r>
      <w:r>
        <w:t xml:space="preserve"> statement in regards to estimating gamma directly [emphasis added]:</w:t>
      </w:r>
    </w:p>
    <w:p w:rsidR="00B95D2A" w:rsidRDefault="00B95D2A" w:rsidP="00B95D2A">
      <w:pPr>
        <w:pStyle w:val="AERquoteindent3"/>
      </w:pPr>
      <w:r>
        <w:t xml:space="preserve">This overall approach is reasonable as the tax statistics are </w:t>
      </w:r>
      <w:r w:rsidRPr="00AC29DB">
        <w:rPr>
          <w:rStyle w:val="Strong"/>
        </w:rPr>
        <w:t>unlikely to be in major error</w:t>
      </w:r>
      <w:r>
        <w:t xml:space="preserve"> for the amount of tax paid and the amount of tax credits claimed.</w:t>
      </w:r>
      <w:r>
        <w:rPr>
          <w:rStyle w:val="FootnoteReference"/>
        </w:rPr>
        <w:footnoteReference w:id="669"/>
      </w:r>
    </w:p>
    <w:p w:rsidR="00B95D2A" w:rsidRDefault="00B95D2A" w:rsidP="00B95D2A">
      <w:r>
        <w:t xml:space="preserve">Stating that a data set is unlikely to be in major error is not equivalent to saying that the data is reliable. </w:t>
      </w:r>
    </w:p>
    <w:p w:rsidR="00B95D2A" w:rsidRDefault="00B95D2A" w:rsidP="00B95D2A">
      <w:r>
        <w:t>Further, we note that Hathaway states that the only reliable estimate that can be obtained from the taxation statistics is the access fraction (imputation distribution rate), which is obtained from FAB data.</w:t>
      </w:r>
      <w:r>
        <w:rPr>
          <w:rStyle w:val="FootnoteReference"/>
        </w:rPr>
        <w:footnoteReference w:id="670"/>
      </w:r>
      <w:r>
        <w:t xml:space="preserve"> Hathaway considers there are too many unreconciled problems with the ATO data for reliable estimate to be made about the utilisation of franking credits.</w:t>
      </w:r>
      <w:r>
        <w:rPr>
          <w:rStyle w:val="FootnoteReference"/>
        </w:rPr>
        <w:footnoteReference w:id="671"/>
      </w:r>
      <w:r>
        <w:t xml:space="preserve"> Consistent with Hathaway's statement of conclusions we consider caution should be exercised with using ATO statistics to estimate any parameters concerned with franking credit which include gamma, distribution rate and utilisation value.</w:t>
      </w:r>
    </w:p>
    <w:p w:rsidR="00B95D2A" w:rsidRDefault="00B95D2A" w:rsidP="00B95D2A">
      <w:r>
        <w:t>Lally also has concerns with Frontier</w:t>
      </w:r>
      <w:r w:rsidR="001132B3">
        <w:t>'</w:t>
      </w:r>
      <w:r>
        <w:t>s argument that tax statistics produce a reliable estimate for gamma, such as:</w:t>
      </w:r>
    </w:p>
    <w:p w:rsidR="00B95D2A" w:rsidRPr="00B95D2A" w:rsidRDefault="00B95D2A" w:rsidP="00AC29DB">
      <w:pPr>
        <w:pStyle w:val="AERbulletlistfirststyle"/>
      </w:pPr>
      <w:r>
        <w:t xml:space="preserve">The Officer model requires an estimate of the utilisation value </w:t>
      </w:r>
      <w:r w:rsidRPr="00B95D2A">
        <w:t>to determine the MRP. Given the data reliability issues tax statistics cannot produce a reliable estimate of the utilisation value.</w:t>
      </w:r>
      <w:r w:rsidRPr="00B95D2A">
        <w:rPr>
          <w:rStyle w:val="FootnoteReference"/>
        </w:rPr>
        <w:t xml:space="preserve"> </w:t>
      </w:r>
      <w:r w:rsidRPr="00B95D2A">
        <w:rPr>
          <w:rStyle w:val="FootnoteReference"/>
        </w:rPr>
        <w:footnoteReference w:id="672"/>
      </w:r>
    </w:p>
    <w:p w:rsidR="00B95D2A" w:rsidRPr="00B95D2A" w:rsidRDefault="00B95D2A" w:rsidP="00AC29DB">
      <w:pPr>
        <w:pStyle w:val="AERbulletlistfirststyle"/>
      </w:pPr>
      <w:r>
        <w:t xml:space="preserve">Using tax statistics to directly estimate </w:t>
      </w:r>
      <w:r w:rsidRPr="00B95D2A">
        <w:t xml:space="preserve">gamma requires all equity data to be used for both the distribution rate and the utilisation value. However, Lally considers there is no necessity to do so and good reason for not doing so. Lally considers </w:t>
      </w:r>
      <w:r w:rsidRPr="00B95D2A">
        <w:lastRenderedPageBreak/>
        <w:t>that the distribution rate should be determined by listed equity only and the utilisation rate should be set with reference to all equity.</w:t>
      </w:r>
      <w:r w:rsidRPr="00B95D2A">
        <w:rPr>
          <w:rStyle w:val="FootnoteReference"/>
        </w:rPr>
        <w:footnoteReference w:id="673"/>
      </w:r>
    </w:p>
    <w:p w:rsidR="00B95D2A" w:rsidRPr="00AC29DB" w:rsidRDefault="00B95D2A" w:rsidP="00AC29DB">
      <w:pPr>
        <w:pStyle w:val="AERbulletlistfirststyle"/>
      </w:pPr>
      <w:r>
        <w:t>W</w:t>
      </w:r>
      <w:r w:rsidRPr="00AC29DB">
        <w:t xml:space="preserve">hilst the problems in the ATO may be limited to </w:t>
      </w:r>
      <w:r w:rsidRPr="00B95D2A">
        <w:t>credits distributed</w:t>
      </w:r>
      <w:r w:rsidRPr="00AC29DB">
        <w:t xml:space="preserve"> (because the data offers two conflicting estimates of that </w:t>
      </w:r>
      <w:r w:rsidRPr="00B95D2A">
        <w:t>quantity, from dividend data and FAB data</w:t>
      </w:r>
      <w:r w:rsidRPr="00AC29DB">
        <w:t xml:space="preserve">), the credibility of the entire ATO database is damaged by both the conflicting estimates of the </w:t>
      </w:r>
      <w:r w:rsidRPr="00B95D2A">
        <w:t xml:space="preserve">credit </w:t>
      </w:r>
      <w:r w:rsidRPr="00AC29DB">
        <w:t>distribution rate and the inability of the ATO to identify the source of that conflict.</w:t>
      </w:r>
      <w:r w:rsidRPr="00B95D2A">
        <w:rPr>
          <w:rStyle w:val="FootnoteReference"/>
        </w:rPr>
        <w:footnoteReference w:id="674"/>
      </w:r>
    </w:p>
    <w:p w:rsidR="00B95D2A" w:rsidRDefault="00B95D2A" w:rsidP="00B95D2A">
      <w:r>
        <w:t xml:space="preserve">Finally, we note that even if the taxation data did produce a reasonable estimate of gamma (across the economy), something we do not consider it does based on expert advice, it is not necessarily the correct value for gamma for the benchmark efficient entity. This is because the distribution rate is not market wide. </w:t>
      </w:r>
    </w:p>
    <w:p w:rsidR="00B95D2A" w:rsidRPr="00883125" w:rsidRDefault="00B95D2A" w:rsidP="00B95D2A">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post-company pre-personal tax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3E419A">
        <w:t>A.15.3</w:t>
      </w:r>
      <w:r w:rsidRPr="00883125">
        <w:fldChar w:fldCharType="end"/>
      </w:r>
      <w:r w:rsidRPr="00883125">
        <w:t>). For these reasons we provide them relatively less weight.</w:t>
      </w:r>
    </w:p>
    <w:p w:rsidR="00B95D2A" w:rsidRPr="00883125" w:rsidRDefault="00B95D2A" w:rsidP="00B95D2A">
      <w:pPr>
        <w:pStyle w:val="Heading8"/>
      </w:pPr>
      <w:bookmarkStart w:id="435" w:name="_Ref450298682"/>
      <w:bookmarkStart w:id="436" w:name="_Ref450299464"/>
      <w:bookmarkStart w:id="437" w:name="_Toc451842261"/>
      <w:bookmarkStart w:id="438" w:name="_Toc451938315"/>
      <w:bookmarkStart w:id="439" w:name="_Toc456614334"/>
      <w:bookmarkStart w:id="440" w:name="_Toc462823340"/>
      <w:bookmarkStart w:id="441" w:name="_Toc479694010"/>
      <w:bookmarkStart w:id="442" w:name="_Toc480815646"/>
      <w:bookmarkStart w:id="443" w:name="_Ref401080753"/>
      <w:bookmarkStart w:id="444" w:name="_Toc436049455"/>
      <w:r w:rsidRPr="00883125">
        <w:t>Difference between equity ownership approach and tax statistics</w:t>
      </w:r>
      <w:bookmarkEnd w:id="435"/>
      <w:bookmarkEnd w:id="436"/>
      <w:bookmarkEnd w:id="437"/>
      <w:bookmarkEnd w:id="438"/>
      <w:bookmarkEnd w:id="439"/>
      <w:bookmarkEnd w:id="440"/>
      <w:bookmarkEnd w:id="441"/>
      <w:bookmarkEnd w:id="442"/>
    </w:p>
    <w:p w:rsidR="00B95D2A" w:rsidRPr="00883125" w:rsidRDefault="00B95D2A" w:rsidP="00B95D2A">
      <w:r w:rsidRPr="00883125">
        <w:t xml:space="preserve">In </w:t>
      </w:r>
      <w:r>
        <w:t>its</w:t>
      </w:r>
      <w:r w:rsidRPr="00883125">
        <w:t xml:space="preserve"> decision</w:t>
      </w:r>
      <w:r>
        <w:t>s</w:t>
      </w:r>
      <w:r w:rsidRPr="00883125">
        <w:t xml:space="preserve">, the </w:t>
      </w:r>
      <w:r>
        <w:t xml:space="preserve">Ausgrid </w:t>
      </w:r>
      <w:r w:rsidRPr="00883125">
        <w:t xml:space="preserve">Tribunal considered it is apparent there are investors who </w:t>
      </w:r>
      <w:r>
        <w:t>the AER</w:t>
      </w:r>
      <w:r w:rsidRPr="00883125">
        <w:t xml:space="preserve"> assume</w:t>
      </w:r>
      <w:r>
        <w:t>s</w:t>
      </w:r>
      <w:r w:rsidRPr="00883125">
        <w:t xml:space="preserve"> are eligible to redeem imputation credits but, for whatever reasons, either cannot redeem them or attribute so little value to the credits that they do not utilise them.</w:t>
      </w:r>
      <w:r w:rsidRPr="00883125">
        <w:rPr>
          <w:rStyle w:val="FootnoteReference"/>
        </w:rPr>
        <w:footnoteReference w:id="675"/>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w:t>
      </w:r>
      <w:r>
        <w:t xml:space="preserve"> Ausgrid</w:t>
      </w:r>
      <w:r w:rsidRPr="00883125">
        <w:t xml:space="preserv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676"/>
      </w:r>
    </w:p>
    <w:p w:rsidR="00B95D2A" w:rsidRDefault="00B95D2A" w:rsidP="00B95D2A">
      <w:r>
        <w:t>We have</w:t>
      </w:r>
      <w:r w:rsidRPr="00883125">
        <w:t xml:space="preserve"> considered the </w:t>
      </w:r>
      <w:r>
        <w:t xml:space="preserve">Ausgrid </w:t>
      </w:r>
      <w:r w:rsidRPr="00883125">
        <w:t xml:space="preserve">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w:t>
      </w:r>
      <w:r w:rsidRPr="00883125">
        <w:lastRenderedPageBreak/>
        <w:t xml:space="preserve">the equity ownership approach and tax statistics is likely driven primarily by data issues </w:t>
      </w:r>
      <w:r>
        <w:t xml:space="preserve">associated </w:t>
      </w:r>
      <w:r w:rsidRPr="00883125">
        <w:t xml:space="preserve">with the tax statistics. The data issues with tax statistics was recognised by the </w:t>
      </w:r>
      <w:r>
        <w:t xml:space="preserve">Ausgrid </w:t>
      </w:r>
      <w:r w:rsidRPr="00883125">
        <w:t>Tribunal.</w:t>
      </w:r>
      <w:r w:rsidRPr="00883125">
        <w:rPr>
          <w:rStyle w:val="FootnoteReference"/>
        </w:rPr>
        <w:footnoteReference w:id="677"/>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678"/>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679"/>
      </w:r>
    </w:p>
    <w:p w:rsidR="00B95D2A" w:rsidRPr="00883125" w:rsidRDefault="00B95D2A" w:rsidP="00B95D2A">
      <w:r>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Pr>
          <w:rStyle w:val="FootnoteReference"/>
        </w:rPr>
        <w:footnoteReference w:id="680"/>
      </w:r>
    </w:p>
    <w:p w:rsidR="00B95D2A" w:rsidRDefault="00B95D2A" w:rsidP="00B95D2A">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3E419A">
        <w:t>A.12</w:t>
      </w:r>
      <w:r>
        <w:fldChar w:fldCharType="end"/>
      </w:r>
      <w:r>
        <w:t>) and there are</w:t>
      </w:r>
      <w:r w:rsidRPr="00883125">
        <w:t xml:space="preserve"> data issue</w:t>
      </w:r>
      <w:r>
        <w:t>s associated</w:t>
      </w:r>
      <w:r w:rsidRPr="00883125">
        <w:t xml:space="preserve"> with tax statistics. The </w:t>
      </w:r>
      <w:r>
        <w:t xml:space="preserve">Ausgrid </w:t>
      </w:r>
      <w:r w:rsidRPr="00883125">
        <w:t>Tribunal itself has acknowledged these data issues in its latest decision.</w:t>
      </w:r>
      <w:r w:rsidRPr="00883125">
        <w:rPr>
          <w:rStyle w:val="FootnoteReference"/>
        </w:rPr>
        <w:footnoteReference w:id="681"/>
      </w:r>
      <w:r w:rsidRPr="00883125">
        <w:t xml:space="preserve"> In light of the </w:t>
      </w:r>
      <w:r>
        <w:t xml:space="preserve">Ausgrid </w:t>
      </w:r>
      <w:r w:rsidRPr="00883125">
        <w:t xml:space="preserve">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3E419A">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B95D2A" w:rsidRDefault="00B95D2A" w:rsidP="00B95D2A">
      <w:r>
        <w:t xml:space="preserve">The variability in the annual tax statistics and quarterly equity ownership data is evident in </w:t>
      </w:r>
      <w:r>
        <w:fldChar w:fldCharType="begin"/>
      </w:r>
      <w:r>
        <w:instrText xml:space="preserve"> REF _Ref477347991 \h </w:instrText>
      </w:r>
      <w:r>
        <w:fldChar w:fldCharType="separate"/>
      </w:r>
      <w:r w:rsidR="003E419A" w:rsidRPr="00883125">
        <w:t xml:space="preserve">Figure </w:t>
      </w:r>
      <w:r w:rsidR="003E419A">
        <w:rPr>
          <w:noProof/>
        </w:rPr>
        <w:t>4</w:t>
      </w:r>
      <w:r w:rsidR="003E419A" w:rsidRPr="00883125">
        <w:t>.</w:t>
      </w:r>
      <w:r w:rsidR="003E419A">
        <w:rPr>
          <w:noProof/>
        </w:rPr>
        <w:t>4</w:t>
      </w:r>
      <w:r>
        <w:fldChar w:fldCharType="end"/>
      </w:r>
      <w:r>
        <w:t xml:space="preserve"> below. Historically the equity ownership data was higher than the redemption data from tax statistics, but this has changed recently. In 2013 tax statistics redemption rates were higher than the proportion of all equity held locally. While we do not consider that prevailing quarterly or annual data should be used to determine gamma due to volatility in the data, we note that current estimates from both approaches currently support a gamma estimate of at least 0.40.</w:t>
      </w:r>
    </w:p>
    <w:p w:rsidR="00B95D2A" w:rsidRPr="00883125" w:rsidRDefault="00B95D2A" w:rsidP="00B95D2A">
      <w:pPr>
        <w:pStyle w:val="Caption"/>
      </w:pPr>
      <w:bookmarkStart w:id="445" w:name="_Ref477347991"/>
      <w:r w:rsidRPr="00883125">
        <w:lastRenderedPageBreak/>
        <w:t xml:space="preserve">Figure </w:t>
      </w:r>
      <w:r w:rsidRPr="00B27BE5">
        <w:fldChar w:fldCharType="begin"/>
      </w:r>
      <w:r>
        <w:instrText xml:space="preserve"> STYLEREF 1 \s </w:instrText>
      </w:r>
      <w:r w:rsidRPr="00B27BE5">
        <w:fldChar w:fldCharType="separate"/>
      </w:r>
      <w:r w:rsidR="003E419A">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3E419A">
        <w:rPr>
          <w:noProof/>
        </w:rPr>
        <w:t>4</w:t>
      </w:r>
      <w:r w:rsidRPr="00B27BE5">
        <w:fldChar w:fldCharType="end"/>
      </w:r>
      <w:bookmarkEnd w:id="445"/>
      <w:r w:rsidRPr="00883125">
        <w:tab/>
      </w:r>
      <w:r>
        <w:t>Variability in tax statistics and equity ownership</w:t>
      </w:r>
    </w:p>
    <w:p w:rsidR="00B95D2A" w:rsidRDefault="00B95D2A" w:rsidP="00B95D2A">
      <w:r w:rsidRPr="00B95D2A">
        <w:rPr>
          <w:noProof/>
          <w:lang w:eastAsia="en-AU"/>
        </w:rPr>
        <w:drawing>
          <wp:inline distT="0" distB="0" distL="0" distR="0" wp14:anchorId="248FC030" wp14:editId="39CCA5BD">
            <wp:extent cx="5382895" cy="3564226"/>
            <wp:effectExtent l="0" t="0" r="27305" b="177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95D2A" w:rsidRPr="00883125" w:rsidRDefault="00B95D2A" w:rsidP="00B95D2A"/>
    <w:p w:rsidR="00B95D2A" w:rsidRPr="00883125" w:rsidRDefault="00B95D2A" w:rsidP="00B95D2A">
      <w:pPr>
        <w:pStyle w:val="Heading8"/>
      </w:pPr>
      <w:bookmarkStart w:id="446" w:name="_Ref451184082"/>
      <w:bookmarkStart w:id="447" w:name="_Ref451186079"/>
      <w:bookmarkStart w:id="448" w:name="_Ref451242641"/>
      <w:bookmarkStart w:id="449" w:name="_Ref451266265"/>
      <w:bookmarkStart w:id="450" w:name="_Ref451267181"/>
      <w:bookmarkStart w:id="451" w:name="_Ref451267267"/>
      <w:bookmarkStart w:id="452" w:name="_Ref451267696"/>
      <w:bookmarkStart w:id="453" w:name="_Ref451267729"/>
      <w:bookmarkStart w:id="454" w:name="_Ref451267750"/>
      <w:bookmarkStart w:id="455" w:name="_Toc451842262"/>
      <w:bookmarkStart w:id="456" w:name="_Toc451938316"/>
      <w:bookmarkStart w:id="457" w:name="_Toc456614335"/>
      <w:bookmarkStart w:id="458" w:name="_Toc462823341"/>
      <w:bookmarkStart w:id="459" w:name="_Toc479694011"/>
      <w:bookmarkStart w:id="460" w:name="_Toc480815647"/>
      <w:r w:rsidRPr="00883125">
        <w:t>Implied market value studies</w:t>
      </w:r>
      <w:bookmarkEnd w:id="443"/>
      <w:bookmarkEnd w:id="444"/>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95D2A" w:rsidRPr="00883125" w:rsidRDefault="00B95D2A" w:rsidP="00B95D2A">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_Ref475456919 \r \h </w:instrText>
      </w:r>
      <w:r>
        <w:fldChar w:fldCharType="separate"/>
      </w:r>
      <w:r w:rsidR="003E419A">
        <w:rPr>
          <w:b/>
          <w:bCs/>
          <w:lang w:val="en-US"/>
        </w:rPr>
        <w:t>Error! Reference source not found.</w:t>
      </w:r>
      <w:r>
        <w:fldChar w:fldCharType="end"/>
      </w:r>
      <w:r w:rsidRPr="00883125">
        <w:t xml:space="preserve"> of attachment 4. </w:t>
      </w:r>
    </w:p>
    <w:p w:rsidR="00B95D2A" w:rsidRPr="00883125" w:rsidRDefault="00B95D2A" w:rsidP="00B95D2A">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rsidRPr="00B630B5">
        <w:fldChar w:fldCharType="begin"/>
      </w:r>
      <w:r w:rsidRPr="00B630B5">
        <w:instrText xml:space="preserve"> REF _Ref475456919 \r \h </w:instrText>
      </w:r>
      <w:r w:rsidRPr="00B630B5">
        <w:fldChar w:fldCharType="separate"/>
      </w:r>
      <w:r w:rsidR="003E419A">
        <w:rPr>
          <w:b/>
          <w:bCs/>
          <w:lang w:val="en-US"/>
        </w:rPr>
        <w:t>Error! Reference source not found.</w:t>
      </w:r>
      <w:r w:rsidRPr="00B630B5">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3E419A">
        <w:t>A.15.5</w:t>
      </w:r>
      <w:r w:rsidRPr="00883125">
        <w:fldChar w:fldCharType="end"/>
      </w:r>
      <w:r w:rsidRPr="00883125">
        <w:t>.</w:t>
      </w:r>
    </w:p>
    <w:p w:rsidR="00B95D2A" w:rsidRPr="00883125" w:rsidRDefault="00B95D2A" w:rsidP="00B95D2A">
      <w:pPr>
        <w:pStyle w:val="Heading9"/>
      </w:pPr>
      <w:bookmarkStart w:id="461" w:name="_Ref402791521"/>
      <w:bookmarkStart w:id="462" w:name="_Toc456614336"/>
      <w:bookmarkStart w:id="463" w:name="_Toc462823342"/>
      <w:bookmarkStart w:id="464" w:name="_Toc479694012"/>
      <w:bookmarkStart w:id="465" w:name="_Toc480815648"/>
      <w:r w:rsidRPr="00883125">
        <w:t>Types of implied market value studies</w:t>
      </w:r>
      <w:bookmarkEnd w:id="461"/>
      <w:bookmarkEnd w:id="462"/>
      <w:bookmarkEnd w:id="463"/>
      <w:bookmarkEnd w:id="464"/>
      <w:bookmarkEnd w:id="465"/>
    </w:p>
    <w:p w:rsidR="00B95D2A" w:rsidRPr="00883125" w:rsidRDefault="00B95D2A" w:rsidP="00B95D2A">
      <w:pPr>
        <w:numPr>
          <w:ilvl w:val="0"/>
          <w:numId w:val="24"/>
        </w:numPr>
      </w:pPr>
      <w:r w:rsidRPr="00883125">
        <w:t>In this section, we describe the key characteristics of dividend drop off studies and other implied market value studies.</w:t>
      </w:r>
    </w:p>
    <w:p w:rsidR="00B95D2A" w:rsidRPr="00883125" w:rsidRDefault="00B95D2A" w:rsidP="00B95D2A">
      <w:pPr>
        <w:pStyle w:val="HeadingBoldBlue"/>
        <w:numPr>
          <w:ilvl w:val="0"/>
          <w:numId w:val="24"/>
        </w:numPr>
      </w:pPr>
      <w:bookmarkStart w:id="466" w:name="_Toc456614337"/>
      <w:bookmarkStart w:id="467" w:name="_Toc479694013"/>
      <w:r w:rsidRPr="00883125">
        <w:t>Dividend drop off studies</w:t>
      </w:r>
      <w:bookmarkEnd w:id="466"/>
      <w:bookmarkEnd w:id="467"/>
    </w:p>
    <w:p w:rsidR="00B95D2A" w:rsidRPr="00883125" w:rsidRDefault="00B95D2A" w:rsidP="00B95D2A">
      <w:pPr>
        <w:numPr>
          <w:ilvl w:val="0"/>
          <w:numId w:val="24"/>
        </w:numPr>
      </w:pPr>
      <w:r w:rsidRPr="00883125">
        <w:t>Dividend drop off studies are the most common type of implied market value study. These studies involve comparing share prices between:</w:t>
      </w:r>
    </w:p>
    <w:p w:rsidR="00B95D2A" w:rsidRPr="00883125" w:rsidRDefault="00B95D2A" w:rsidP="00B95D2A">
      <w:pPr>
        <w:pStyle w:val="AERbulletlistfirststyle"/>
      </w:pPr>
      <w:r w:rsidRPr="00883125">
        <w:lastRenderedPageBreak/>
        <w:t>the cum-dividend date—the last day on which investors owning shares will be eligible to receive dividends and the attached imputation credits, and</w:t>
      </w:r>
    </w:p>
    <w:p w:rsidR="00B95D2A" w:rsidRPr="00883125" w:rsidRDefault="00B95D2A" w:rsidP="00B95D2A">
      <w:pPr>
        <w:pStyle w:val="AERbulletlistfirststyle"/>
      </w:pPr>
      <w:r w:rsidRPr="00883125">
        <w:t>the ex-dividend date—the first day on which investors owning shares will not be eligible to receive dividends and attached imputation credits.</w:t>
      </w:r>
    </w:p>
    <w:p w:rsidR="00B95D2A" w:rsidRPr="00883125" w:rsidRDefault="00B95D2A" w:rsidP="00B95D2A">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B95D2A" w:rsidRPr="00883125" w:rsidRDefault="00B95D2A" w:rsidP="00B95D2A">
      <w:pPr>
        <w:numPr>
          <w:ilvl w:val="0"/>
          <w:numId w:val="24"/>
        </w:numPr>
      </w:pPr>
      <w:r w:rsidRPr="00883125">
        <w:fldChar w:fldCharType="begin"/>
      </w:r>
      <w:r w:rsidRPr="00883125">
        <w:instrText xml:space="preserve"> REF _Ref401075742 \h </w:instrText>
      </w:r>
      <w:r w:rsidRPr="00883125">
        <w:fldChar w:fldCharType="separate"/>
      </w:r>
      <w:r w:rsidR="003E419A" w:rsidRPr="00883125">
        <w:t xml:space="preserve">Table </w:t>
      </w:r>
      <w:r w:rsidR="003E419A">
        <w:rPr>
          <w:noProof/>
        </w:rPr>
        <w:t>4</w:t>
      </w:r>
      <w:r w:rsidR="003E419A">
        <w:noBreakHyphen/>
      </w:r>
      <w:r w:rsidR="003E419A">
        <w:rPr>
          <w:noProof/>
        </w:rPr>
        <w:t>16</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3E419A" w:rsidRPr="00883125">
        <w:t xml:space="preserve">table </w:t>
      </w:r>
      <w:r w:rsidR="003E419A">
        <w:rPr>
          <w:noProof/>
        </w:rPr>
        <w:t>4</w:t>
      </w:r>
      <w:r w:rsidR="003E419A">
        <w:noBreakHyphen/>
      </w:r>
      <w:r w:rsidR="003E419A">
        <w:rPr>
          <w:noProof/>
        </w:rPr>
        <w:t>19</w:t>
      </w:r>
      <w:r w:rsidRPr="00883125">
        <w:fldChar w:fldCharType="end"/>
      </w:r>
      <w:r w:rsidRPr="00883125">
        <w:t>.</w:t>
      </w:r>
    </w:p>
    <w:p w:rsidR="00B95D2A" w:rsidRPr="00883125" w:rsidRDefault="00B95D2A" w:rsidP="00B95D2A">
      <w:pPr>
        <w:pStyle w:val="Caption"/>
      </w:pPr>
      <w:bookmarkStart w:id="468" w:name="_Ref401075742"/>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16</w:t>
      </w:r>
      <w:r w:rsidRPr="001D37D5">
        <w:fldChar w:fldCharType="end"/>
      </w:r>
      <w:bookmarkEnd w:id="468"/>
      <w:r w:rsidRPr="00883125">
        <w:tab/>
        <w:t>Summary of available dividend drop off studies</w:t>
      </w:r>
    </w:p>
    <w:tbl>
      <w:tblPr>
        <w:tblStyle w:val="AERtable-text0"/>
        <w:tblW w:w="0" w:type="auto"/>
        <w:tblLook w:val="04A0" w:firstRow="1" w:lastRow="0" w:firstColumn="1" w:lastColumn="0" w:noHBand="0" w:noVBand="1"/>
      </w:tblPr>
      <w:tblGrid>
        <w:gridCol w:w="2414"/>
        <w:gridCol w:w="1217"/>
        <w:gridCol w:w="5062"/>
      </w:tblGrid>
      <w:tr w:rsidR="00B95D2A" w:rsidTr="00AC29DB">
        <w:trPr>
          <w:cnfStyle w:val="100000000000" w:firstRow="1" w:lastRow="0" w:firstColumn="0" w:lastColumn="0" w:oddVBand="0" w:evenVBand="0" w:oddHBand="0" w:evenHBand="0" w:firstRowFirstColumn="0" w:firstRowLastColumn="0" w:lastRowFirstColumn="0" w:lastRowLastColumn="0"/>
          <w:cantSplit/>
          <w:tblHeader/>
        </w:trPr>
        <w:tc>
          <w:tcPr>
            <w:tcW w:w="2414" w:type="dxa"/>
          </w:tcPr>
          <w:p w:rsidR="00B95D2A" w:rsidRPr="00B95D2A" w:rsidRDefault="00B95D2A" w:rsidP="00B95D2A">
            <w:r w:rsidRPr="00883125">
              <w:t>Authors</w:t>
            </w:r>
          </w:p>
        </w:tc>
        <w:tc>
          <w:tcPr>
            <w:tcW w:w="1217" w:type="dxa"/>
          </w:tcPr>
          <w:p w:rsidR="00B95D2A" w:rsidRPr="00B95D2A" w:rsidRDefault="00B95D2A" w:rsidP="00B95D2A">
            <w:r w:rsidRPr="00883125">
              <w:t>Data range</w:t>
            </w:r>
          </w:p>
        </w:tc>
        <w:tc>
          <w:tcPr>
            <w:tcW w:w="5062" w:type="dxa"/>
          </w:tcPr>
          <w:p w:rsidR="00B95D2A" w:rsidRPr="00B95D2A" w:rsidRDefault="00B95D2A" w:rsidP="00B95D2A">
            <w:r w:rsidRPr="00883125">
              <w:t>Assessment relative to other studies</w:t>
            </w:r>
            <w:r w:rsidRPr="00B95D2A">
              <w:t xml:space="preserve"> in that class</w:t>
            </w:r>
          </w:p>
        </w:tc>
      </w:tr>
      <w:tr w:rsidR="00B95D2A" w:rsidTr="00AC29DB">
        <w:trPr>
          <w:cantSplit/>
        </w:trPr>
        <w:tc>
          <w:tcPr>
            <w:tcW w:w="8693" w:type="dxa"/>
            <w:gridSpan w:val="3"/>
          </w:tcPr>
          <w:p w:rsidR="00B95D2A" w:rsidRPr="00883125" w:rsidRDefault="00B95D2A" w:rsidP="00B95D2A">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414" w:type="dxa"/>
          </w:tcPr>
          <w:p w:rsidR="00B95D2A" w:rsidRPr="00B95D2A" w:rsidRDefault="00B95D2A" w:rsidP="00B95D2A">
            <w:r>
              <w:t>Frontier (2016)</w:t>
            </w:r>
            <w:r w:rsidRPr="00B95D2A">
              <w:rPr>
                <w:rStyle w:val="FootnoteReference"/>
              </w:rPr>
              <w:footnoteReference w:id="682"/>
            </w:r>
          </w:p>
        </w:tc>
        <w:tc>
          <w:tcPr>
            <w:tcW w:w="1217" w:type="dxa"/>
          </w:tcPr>
          <w:p w:rsidR="00B95D2A" w:rsidRPr="00B95D2A" w:rsidRDefault="00B95D2A" w:rsidP="00B95D2A">
            <w:r>
              <w:t>2001-2016</w:t>
            </w:r>
          </w:p>
        </w:tc>
        <w:tc>
          <w:tcPr>
            <w:tcW w:w="5062" w:type="dxa"/>
          </w:tcPr>
          <w:p w:rsidR="00B95D2A" w:rsidRPr="00B95D2A" w:rsidRDefault="00B95D2A" w:rsidP="00B95D2A">
            <w:r w:rsidRPr="00883125">
              <w:t>Updates SFG (2011) – same author, longer data series.</w:t>
            </w:r>
          </w:p>
        </w:tc>
      </w:tr>
      <w:tr w:rsidR="00B95D2A" w:rsidTr="00AC29DB">
        <w:trPr>
          <w:cantSplit/>
        </w:trPr>
        <w:tc>
          <w:tcPr>
            <w:tcW w:w="2414" w:type="dxa"/>
          </w:tcPr>
          <w:p w:rsidR="00B95D2A" w:rsidRPr="00B95D2A" w:rsidRDefault="00B95D2A" w:rsidP="00B95D2A">
            <w:r w:rsidRPr="00883125">
              <w:t>Vo et al (2013</w:t>
            </w:r>
            <w:r w:rsidRPr="00B95D2A">
              <w:t>)</w:t>
            </w:r>
            <w:r w:rsidRPr="00B95D2A">
              <w:rPr>
                <w:rStyle w:val="FootnoteReference"/>
              </w:rPr>
              <w:footnoteReference w:id="683"/>
            </w:r>
          </w:p>
        </w:tc>
        <w:tc>
          <w:tcPr>
            <w:tcW w:w="1217" w:type="dxa"/>
          </w:tcPr>
          <w:p w:rsidR="00B95D2A" w:rsidRPr="00B95D2A" w:rsidRDefault="00B95D2A" w:rsidP="00B95D2A">
            <w:r w:rsidRPr="00883125">
              <w:t>2001-2012</w:t>
            </w:r>
          </w:p>
        </w:tc>
        <w:tc>
          <w:tcPr>
            <w:tcW w:w="5062" w:type="dxa"/>
          </w:tcPr>
          <w:p w:rsidR="00B95D2A" w:rsidRPr="00B95D2A" w:rsidRDefault="00B95D2A" w:rsidP="00B95D2A">
            <w:r w:rsidRPr="00883125">
              <w:t>Builds on SFG (2011), includes additional econometric permutations and sensitivity analysis.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414" w:type="dxa"/>
          </w:tcPr>
          <w:p w:rsidR="00B95D2A" w:rsidRPr="00B95D2A" w:rsidRDefault="00B95D2A" w:rsidP="00B95D2A">
            <w:r w:rsidRPr="00883125">
              <w:t>SFG (2013a)</w:t>
            </w:r>
            <w:r w:rsidRPr="00B95D2A">
              <w:rPr>
                <w:rStyle w:val="FootnoteReference"/>
              </w:rPr>
              <w:footnoteReference w:id="684"/>
            </w:r>
          </w:p>
        </w:tc>
        <w:tc>
          <w:tcPr>
            <w:tcW w:w="1217" w:type="dxa"/>
          </w:tcPr>
          <w:p w:rsidR="00B95D2A" w:rsidRPr="00B95D2A" w:rsidRDefault="00B95D2A" w:rsidP="00B95D2A">
            <w:r w:rsidRPr="00883125">
              <w:t>2001-2012</w:t>
            </w:r>
          </w:p>
        </w:tc>
        <w:tc>
          <w:tcPr>
            <w:tcW w:w="5062" w:type="dxa"/>
          </w:tcPr>
          <w:p w:rsidR="00B95D2A" w:rsidRPr="00B95D2A" w:rsidRDefault="00B95D2A" w:rsidP="00B95D2A">
            <w:r w:rsidRPr="00883125">
              <w:t>Updates SFG (2011) – same author, longer data series.</w:t>
            </w:r>
          </w:p>
        </w:tc>
      </w:tr>
      <w:tr w:rsidR="00B95D2A" w:rsidTr="00AC29DB">
        <w:trPr>
          <w:cantSplit/>
        </w:trPr>
        <w:tc>
          <w:tcPr>
            <w:tcW w:w="2414" w:type="dxa"/>
          </w:tcPr>
          <w:p w:rsidR="00B95D2A" w:rsidRPr="00B95D2A" w:rsidRDefault="00B95D2A" w:rsidP="00B95D2A">
            <w:r w:rsidRPr="00883125">
              <w:t>SFG (2011)</w:t>
            </w:r>
            <w:r w:rsidRPr="00B95D2A">
              <w:rPr>
                <w:rStyle w:val="FootnoteReference"/>
              </w:rPr>
              <w:footnoteReference w:id="685"/>
            </w:r>
          </w:p>
        </w:tc>
        <w:tc>
          <w:tcPr>
            <w:tcW w:w="1217" w:type="dxa"/>
          </w:tcPr>
          <w:p w:rsidR="00B95D2A" w:rsidRPr="00B95D2A" w:rsidRDefault="00B95D2A" w:rsidP="00B95D2A">
            <w:r w:rsidRPr="00883125">
              <w:t>2001-2010</w:t>
            </w:r>
          </w:p>
        </w:tc>
        <w:tc>
          <w:tcPr>
            <w:tcW w:w="5062" w:type="dxa"/>
          </w:tcPr>
          <w:p w:rsidR="00B95D2A" w:rsidRPr="00B95D2A" w:rsidRDefault="00B95D2A" w:rsidP="00B95D2A">
            <w:r w:rsidRPr="00883125">
              <w:t>Study commissioned by the Australian Competition Tribunal.</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414" w:type="dxa"/>
          </w:tcPr>
          <w:p w:rsidR="00B95D2A" w:rsidRPr="00B95D2A" w:rsidRDefault="00B95D2A" w:rsidP="00B95D2A">
            <w:r w:rsidRPr="00883125">
              <w:t>Minney (2010)</w:t>
            </w:r>
            <w:r w:rsidRPr="00B95D2A">
              <w:rPr>
                <w:rStyle w:val="FootnoteReference"/>
              </w:rPr>
              <w:footnoteReference w:id="686"/>
            </w:r>
          </w:p>
        </w:tc>
        <w:tc>
          <w:tcPr>
            <w:tcW w:w="1217" w:type="dxa"/>
          </w:tcPr>
          <w:p w:rsidR="00B95D2A" w:rsidRPr="00B95D2A" w:rsidRDefault="00B95D2A" w:rsidP="00B95D2A">
            <w:r w:rsidRPr="00883125">
              <w:t>2001–2009</w:t>
            </w:r>
          </w:p>
        </w:tc>
        <w:tc>
          <w:tcPr>
            <w:tcW w:w="5062" w:type="dxa"/>
          </w:tcPr>
          <w:p w:rsidR="00B95D2A" w:rsidRPr="00B95D2A" w:rsidRDefault="00B95D2A" w:rsidP="00B95D2A">
            <w:r w:rsidRPr="00883125">
              <w:t xml:space="preserve">Partitions by firm size; </w:t>
            </w:r>
            <w:r w:rsidRPr="00B95D2A">
              <w:t>sub-periods 2001–2005 and 2006–2009.</w:t>
            </w:r>
          </w:p>
        </w:tc>
      </w:tr>
      <w:tr w:rsidR="00B95D2A" w:rsidTr="00AC29DB">
        <w:trPr>
          <w:cantSplit/>
        </w:trPr>
        <w:tc>
          <w:tcPr>
            <w:tcW w:w="2414" w:type="dxa"/>
          </w:tcPr>
          <w:p w:rsidR="00B95D2A" w:rsidRPr="00B95D2A" w:rsidRDefault="00B95D2A" w:rsidP="00B95D2A">
            <w:r w:rsidRPr="00883125">
              <w:t>Beggs and Skeels (2006)</w:t>
            </w:r>
            <w:r w:rsidRPr="00B95D2A">
              <w:rPr>
                <w:rStyle w:val="FootnoteReference"/>
              </w:rPr>
              <w:footnoteReference w:id="687"/>
            </w:r>
          </w:p>
        </w:tc>
        <w:tc>
          <w:tcPr>
            <w:tcW w:w="1217" w:type="dxa"/>
          </w:tcPr>
          <w:p w:rsidR="00B95D2A" w:rsidRPr="00B95D2A" w:rsidRDefault="00B95D2A" w:rsidP="00B95D2A">
            <w:r w:rsidRPr="00883125">
              <w:t>1986-2004</w:t>
            </w:r>
          </w:p>
        </w:tc>
        <w:tc>
          <w:tcPr>
            <w:tcW w:w="5062" w:type="dxa"/>
          </w:tcPr>
          <w:p w:rsidR="00B95D2A" w:rsidRPr="00B95D2A" w:rsidRDefault="00B95D2A" w:rsidP="00B95D2A">
            <w:r w:rsidRPr="00883125">
              <w:t>Key study in the AER's 2009 review of rate of return parameters. Data calculated yearly.</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414" w:type="dxa"/>
          </w:tcPr>
          <w:p w:rsidR="00B95D2A" w:rsidRPr="00B95D2A" w:rsidRDefault="00B95D2A" w:rsidP="00B95D2A">
            <w:r w:rsidRPr="00883125">
              <w:t>Hathaway and Officer (2004)</w:t>
            </w:r>
            <w:r w:rsidRPr="00B95D2A">
              <w:rPr>
                <w:rStyle w:val="FootnoteReference"/>
              </w:rPr>
              <w:footnoteReference w:id="688"/>
            </w:r>
          </w:p>
        </w:tc>
        <w:tc>
          <w:tcPr>
            <w:tcW w:w="1217" w:type="dxa"/>
          </w:tcPr>
          <w:p w:rsidR="00B95D2A" w:rsidRPr="00B95D2A" w:rsidRDefault="00B95D2A" w:rsidP="00B95D2A">
            <w:r w:rsidRPr="00883125">
              <w:t>1986-2004</w:t>
            </w:r>
          </w:p>
        </w:tc>
        <w:tc>
          <w:tcPr>
            <w:tcW w:w="5062" w:type="dxa"/>
          </w:tcPr>
          <w:p w:rsidR="00B95D2A" w:rsidRPr="00B95D2A" w:rsidRDefault="00B95D2A" w:rsidP="00B95D2A">
            <w:r w:rsidRPr="00883125">
              <w:t>Study partitions by firm size, dividend yield level.</w:t>
            </w:r>
          </w:p>
        </w:tc>
      </w:tr>
      <w:tr w:rsidR="00B95D2A" w:rsidTr="00AC29DB">
        <w:trPr>
          <w:cantSplit/>
        </w:trPr>
        <w:tc>
          <w:tcPr>
            <w:tcW w:w="2414" w:type="dxa"/>
          </w:tcPr>
          <w:p w:rsidR="00B95D2A" w:rsidRPr="00B95D2A" w:rsidRDefault="00B95D2A" w:rsidP="00B95D2A">
            <w:r w:rsidRPr="00883125">
              <w:lastRenderedPageBreak/>
              <w:t>Bellamy and Gray (2004)</w:t>
            </w:r>
            <w:r w:rsidRPr="00B95D2A">
              <w:rPr>
                <w:rStyle w:val="FootnoteReference"/>
              </w:rPr>
              <w:footnoteReference w:id="689"/>
            </w:r>
          </w:p>
        </w:tc>
        <w:tc>
          <w:tcPr>
            <w:tcW w:w="1217" w:type="dxa"/>
          </w:tcPr>
          <w:p w:rsidR="00B95D2A" w:rsidRPr="00B95D2A" w:rsidRDefault="00B95D2A" w:rsidP="00B95D2A">
            <w:r w:rsidRPr="00883125">
              <w:t>1995-2002</w:t>
            </w:r>
          </w:p>
        </w:tc>
        <w:tc>
          <w:tcPr>
            <w:tcW w:w="5062" w:type="dxa"/>
          </w:tcPr>
          <w:p w:rsidR="00B95D2A" w:rsidRPr="00B95D2A" w:rsidRDefault="00B95D2A" w:rsidP="00B95D2A">
            <w:r w:rsidRPr="00883125">
              <w:t xml:space="preserve">Several </w:t>
            </w:r>
            <w:r w:rsidRPr="00B95D2A">
              <w:t>regression forms and sample selections. Partitions by size and time period (pre and post 45-day holding rule). Use of simulation to inform regression equation.</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414" w:type="dxa"/>
          </w:tcPr>
          <w:p w:rsidR="00B95D2A" w:rsidRPr="00B95D2A" w:rsidRDefault="00B95D2A" w:rsidP="00B95D2A">
            <w:r w:rsidRPr="00883125">
              <w:t>Bruckner et al (1994)</w:t>
            </w:r>
            <w:r w:rsidRPr="00B95D2A">
              <w:rPr>
                <w:rStyle w:val="FootnoteReference"/>
              </w:rPr>
              <w:footnoteReference w:id="690"/>
            </w:r>
          </w:p>
        </w:tc>
        <w:tc>
          <w:tcPr>
            <w:tcW w:w="1217" w:type="dxa"/>
          </w:tcPr>
          <w:p w:rsidR="00B95D2A" w:rsidRPr="00B95D2A" w:rsidRDefault="00B95D2A" w:rsidP="00B95D2A">
            <w:r w:rsidRPr="00883125">
              <w:t>1987-1993</w:t>
            </w:r>
          </w:p>
        </w:tc>
        <w:tc>
          <w:tcPr>
            <w:tcW w:w="5062" w:type="dxa"/>
          </w:tcPr>
          <w:p w:rsidR="00B95D2A" w:rsidRPr="00B95D2A" w:rsidRDefault="00B95D2A" w:rsidP="00B95D2A">
            <w:r w:rsidRPr="00883125">
              <w:t>Early study with limited data; sub-periods 1987–1990 and 1991–1993.</w:t>
            </w:r>
          </w:p>
        </w:tc>
      </w:tr>
      <w:tr w:rsidR="00B95D2A" w:rsidTr="00AC29DB">
        <w:trPr>
          <w:cantSplit/>
        </w:trPr>
        <w:tc>
          <w:tcPr>
            <w:tcW w:w="2414" w:type="dxa"/>
          </w:tcPr>
          <w:p w:rsidR="00B95D2A" w:rsidRPr="00B95D2A" w:rsidRDefault="00B95D2A" w:rsidP="00B95D2A">
            <w:r w:rsidRPr="00883125">
              <w:t>Brown and Clarke (1993)</w:t>
            </w:r>
            <w:r w:rsidRPr="00B95D2A">
              <w:rPr>
                <w:rStyle w:val="FootnoteReference"/>
              </w:rPr>
              <w:footnoteReference w:id="691"/>
            </w:r>
          </w:p>
        </w:tc>
        <w:tc>
          <w:tcPr>
            <w:tcW w:w="1217" w:type="dxa"/>
          </w:tcPr>
          <w:p w:rsidR="00B95D2A" w:rsidRPr="00B95D2A" w:rsidRDefault="00B95D2A" w:rsidP="00B95D2A">
            <w:r w:rsidRPr="00883125">
              <w:t>1973–1991</w:t>
            </w:r>
          </w:p>
        </w:tc>
        <w:tc>
          <w:tcPr>
            <w:tcW w:w="5062" w:type="dxa"/>
          </w:tcPr>
          <w:p w:rsidR="00B95D2A" w:rsidRPr="00B95D2A" w:rsidRDefault="00B95D2A" w:rsidP="00B95D2A">
            <w:r w:rsidRPr="00883125">
              <w:t>Compares dividend drop off before and after imputation; presents yearly figures and sub-periods.</w:t>
            </w:r>
          </w:p>
        </w:tc>
      </w:tr>
    </w:tbl>
    <w:p w:rsidR="00B95D2A" w:rsidRPr="00883125" w:rsidRDefault="00B95D2A" w:rsidP="00B95D2A">
      <w:pPr>
        <w:pStyle w:val="AERtablesource"/>
      </w:pPr>
      <w:r w:rsidRPr="00883125">
        <w:t xml:space="preserve">Source: </w:t>
      </w:r>
      <w:r w:rsidRPr="00883125">
        <w:tab/>
        <w:t>As specified in table.</w:t>
      </w:r>
    </w:p>
    <w:p w:rsidR="00B95D2A" w:rsidRPr="00883125" w:rsidRDefault="00B95D2A" w:rsidP="00B95D2A">
      <w:pPr>
        <w:pStyle w:val="HeadingBoldBlue"/>
        <w:numPr>
          <w:ilvl w:val="0"/>
          <w:numId w:val="24"/>
        </w:numPr>
      </w:pPr>
      <w:bookmarkStart w:id="469" w:name="_Toc456614338"/>
      <w:bookmarkStart w:id="470" w:name="_Toc479694014"/>
      <w:r w:rsidRPr="00883125">
        <w:t>Alternative implied market value studies</w:t>
      </w:r>
      <w:bookmarkEnd w:id="469"/>
      <w:bookmarkEnd w:id="470"/>
    </w:p>
    <w:p w:rsidR="00B95D2A" w:rsidRPr="00883125" w:rsidRDefault="00B95D2A" w:rsidP="00B95D2A">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B95D2A" w:rsidRPr="00883125" w:rsidRDefault="00B95D2A" w:rsidP="00B95D2A">
      <w:pPr>
        <w:pStyle w:val="AERbulletlistfirststyle"/>
      </w:pPr>
      <w:r w:rsidRPr="00883125">
        <w:t>Simultaneous trading of shares with and without entitlements.</w:t>
      </w:r>
    </w:p>
    <w:p w:rsidR="00B95D2A" w:rsidRPr="00883125" w:rsidRDefault="00B95D2A" w:rsidP="00B95D2A">
      <w:pPr>
        <w:pStyle w:val="AERbulletlistfirststyle"/>
      </w:pPr>
      <w:r w:rsidRPr="00883125">
        <w:t>Simultaneous trading of derivatives and futures and of their underlying shares.</w:t>
      </w:r>
    </w:p>
    <w:p w:rsidR="00B95D2A" w:rsidRPr="00883125" w:rsidRDefault="00B95D2A" w:rsidP="00B95D2A">
      <w:pPr>
        <w:pStyle w:val="AERbulletlistfirststyle"/>
      </w:pPr>
      <w:r w:rsidRPr="00883125">
        <w:t>Hybrid securities which trade with imputation credits.</w:t>
      </w:r>
    </w:p>
    <w:p w:rsidR="00B95D2A" w:rsidRPr="00883125" w:rsidRDefault="00B95D2A" w:rsidP="00B95D2A">
      <w:pPr>
        <w:pStyle w:val="AERbulletlistfirststyle"/>
      </w:pPr>
      <w:r w:rsidRPr="00883125">
        <w:t>Comparison of the capital gains and (cash) dividend returns across time.</w:t>
      </w:r>
    </w:p>
    <w:p w:rsidR="00B95D2A" w:rsidRDefault="00B95D2A" w:rsidP="00B95D2A">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3E419A" w:rsidRPr="003E419A">
        <w:rPr>
          <w:rStyle w:val="AERbody"/>
        </w:rPr>
        <w:t>Table 4</w:t>
      </w:r>
      <w:r w:rsidR="003E419A" w:rsidRPr="003E419A">
        <w:rPr>
          <w:rStyle w:val="AERbody"/>
        </w:rPr>
        <w:noBreakHyphen/>
        <w:t>17</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3E419A" w:rsidRPr="00883125">
        <w:t xml:space="preserve">Table </w:t>
      </w:r>
      <w:r w:rsidR="003E419A">
        <w:rPr>
          <w:noProof/>
        </w:rPr>
        <w:t>4</w:t>
      </w:r>
      <w:r w:rsidR="003E419A">
        <w:noBreakHyphen/>
      </w:r>
      <w:r w:rsidR="003E419A">
        <w:rPr>
          <w:noProof/>
        </w:rPr>
        <w:t>20</w:t>
      </w:r>
      <w:r w:rsidRPr="00883125">
        <w:rPr>
          <w:rStyle w:val="AERbody"/>
        </w:rPr>
        <w:fldChar w:fldCharType="end"/>
      </w:r>
      <w:r w:rsidRPr="00883125">
        <w:rPr>
          <w:rStyle w:val="AERbody"/>
        </w:rPr>
        <w:t>.</w:t>
      </w:r>
    </w:p>
    <w:p w:rsidR="00B95D2A" w:rsidRPr="00B27BE5" w:rsidRDefault="00B95D2A" w:rsidP="00B95D2A">
      <w:pPr>
        <w:rPr>
          <w:rStyle w:val="AERbody"/>
        </w:rPr>
      </w:pPr>
    </w:p>
    <w:p w:rsidR="00B95D2A" w:rsidRPr="00883125" w:rsidRDefault="00B95D2A" w:rsidP="00B95D2A">
      <w:pPr>
        <w:pStyle w:val="Caption"/>
      </w:pPr>
      <w:bookmarkStart w:id="471" w:name="_Ref401075839"/>
      <w:r w:rsidRPr="00883125">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17</w:t>
      </w:r>
      <w:r w:rsidRPr="001D37D5">
        <w:fldChar w:fldCharType="end"/>
      </w:r>
      <w:bookmarkEnd w:id="471"/>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B95D2A" w:rsidTr="00AC29DB">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B95D2A" w:rsidRPr="00883125" w:rsidRDefault="00B95D2A" w:rsidP="00B95D2A">
            <w:pPr>
              <w:numPr>
                <w:ilvl w:val="0"/>
                <w:numId w:val="24"/>
              </w:numPr>
            </w:pPr>
            <w:r w:rsidRPr="00883125">
              <w:t>Authors</w:t>
            </w:r>
          </w:p>
        </w:tc>
        <w:tc>
          <w:tcPr>
            <w:tcW w:w="1111" w:type="dxa"/>
          </w:tcPr>
          <w:p w:rsidR="00B95D2A" w:rsidRPr="00883125" w:rsidRDefault="00B95D2A" w:rsidP="00B95D2A">
            <w:pPr>
              <w:numPr>
                <w:ilvl w:val="0"/>
                <w:numId w:val="24"/>
              </w:numPr>
            </w:pPr>
            <w:r w:rsidRPr="00883125">
              <w:t>Data range</w:t>
            </w:r>
          </w:p>
        </w:tc>
        <w:tc>
          <w:tcPr>
            <w:tcW w:w="5448" w:type="dxa"/>
          </w:tcPr>
          <w:p w:rsidR="00B95D2A" w:rsidRPr="00883125" w:rsidRDefault="00B95D2A" w:rsidP="00B95D2A">
            <w:pPr>
              <w:numPr>
                <w:ilvl w:val="0"/>
                <w:numId w:val="24"/>
              </w:numPr>
            </w:pPr>
            <w:r w:rsidRPr="00883125">
              <w:t>Assessment relative to other studies in that class</w:t>
            </w:r>
          </w:p>
        </w:tc>
      </w:tr>
      <w:tr w:rsidR="00B95D2A" w:rsidTr="00AC29DB">
        <w:trPr>
          <w:cantSplit/>
        </w:trPr>
        <w:tc>
          <w:tcPr>
            <w:tcW w:w="9242" w:type="dxa"/>
            <w:gridSpan w:val="3"/>
          </w:tcPr>
          <w:p w:rsidR="00B95D2A" w:rsidRPr="00883125" w:rsidRDefault="00B95D2A" w:rsidP="00B95D2A">
            <w:pPr>
              <w:numPr>
                <w:ilvl w:val="0"/>
                <w:numId w:val="24"/>
              </w:numPr>
            </w:pPr>
            <w:r w:rsidRPr="00883125">
              <w:rPr>
                <w:rStyle w:val="Strong"/>
              </w:rPr>
              <w:t>Dividend drop off using hybrids</w:t>
            </w:r>
            <w:r w:rsidRPr="00883125">
              <w:t xml:space="preserve"> – Similar to standard DDO but using debt/equity hybrid securities.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Feuerherdt et al (2010)</w:t>
            </w:r>
            <w:r w:rsidRPr="00B95D2A">
              <w:rPr>
                <w:rStyle w:val="FootnoteReference"/>
              </w:rPr>
              <w:footnoteReference w:id="692"/>
            </w:r>
          </w:p>
        </w:tc>
        <w:tc>
          <w:tcPr>
            <w:tcW w:w="1111" w:type="dxa"/>
          </w:tcPr>
          <w:p w:rsidR="00B95D2A" w:rsidRPr="00B95D2A" w:rsidRDefault="00B95D2A" w:rsidP="00B95D2A">
            <w:r w:rsidRPr="00883125">
              <w:t>1995–2002</w:t>
            </w:r>
          </w:p>
        </w:tc>
        <w:tc>
          <w:tcPr>
            <w:tcW w:w="5448" w:type="dxa"/>
          </w:tcPr>
          <w:p w:rsidR="00B95D2A" w:rsidRPr="00B95D2A" w:rsidRDefault="00B95D2A" w:rsidP="00B95D2A">
            <w:r w:rsidRPr="00883125">
              <w:t xml:space="preserve">Uses hybrid securities (such as convertible preference shares), 165 ex-dividend events for 46 securities which </w:t>
            </w:r>
            <w:r w:rsidRPr="00B95D2A">
              <w:t>are primarily fully franked.</w:t>
            </w:r>
          </w:p>
        </w:tc>
      </w:tr>
      <w:tr w:rsidR="00B95D2A" w:rsidTr="00AC29DB">
        <w:trPr>
          <w:cantSplit/>
        </w:trPr>
        <w:tc>
          <w:tcPr>
            <w:tcW w:w="9242" w:type="dxa"/>
            <w:gridSpan w:val="3"/>
          </w:tcPr>
          <w:p w:rsidR="00B95D2A" w:rsidRPr="00883125" w:rsidRDefault="00B95D2A" w:rsidP="00B95D2A">
            <w:pPr>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SFG (2013b)</w:t>
            </w:r>
            <w:r w:rsidRPr="00B95D2A">
              <w:rPr>
                <w:rStyle w:val="FootnoteReference"/>
              </w:rPr>
              <w:footnoteReference w:id="693"/>
            </w:r>
          </w:p>
        </w:tc>
        <w:tc>
          <w:tcPr>
            <w:tcW w:w="1111" w:type="dxa"/>
          </w:tcPr>
          <w:p w:rsidR="00B95D2A" w:rsidRPr="00B95D2A" w:rsidRDefault="00B95D2A" w:rsidP="00B95D2A">
            <w:r w:rsidRPr="00883125">
              <w:t>2000–2013</w:t>
            </w:r>
          </w:p>
        </w:tc>
        <w:tc>
          <w:tcPr>
            <w:tcW w:w="5448" w:type="dxa"/>
          </w:tcPr>
          <w:p w:rsidR="00B95D2A" w:rsidRPr="00B95D2A" w:rsidRDefault="00B95D2A" w:rsidP="00B95D2A">
            <w:r w:rsidRPr="00883125">
              <w:t>Updates Cannavan et al (2004). Compares matched trades in individual shares to futures</w:t>
            </w:r>
            <w:r w:rsidRPr="00B95D2A">
              <w:t xml:space="preserve"> contracts and low exercise price options for 98 firms (over 52,000 trades).</w:t>
            </w:r>
          </w:p>
        </w:tc>
      </w:tr>
      <w:tr w:rsidR="00B95D2A" w:rsidTr="00AC29DB">
        <w:trPr>
          <w:cantSplit/>
        </w:trPr>
        <w:tc>
          <w:tcPr>
            <w:tcW w:w="2683" w:type="dxa"/>
          </w:tcPr>
          <w:p w:rsidR="00B95D2A" w:rsidRPr="00B95D2A" w:rsidRDefault="00B95D2A" w:rsidP="00B95D2A">
            <w:r w:rsidRPr="00883125">
              <w:t>Cannavan et al (2004)</w:t>
            </w:r>
            <w:r w:rsidRPr="00B95D2A">
              <w:rPr>
                <w:rStyle w:val="FootnoteReference"/>
              </w:rPr>
              <w:footnoteReference w:id="694"/>
            </w:r>
          </w:p>
        </w:tc>
        <w:tc>
          <w:tcPr>
            <w:tcW w:w="1111" w:type="dxa"/>
          </w:tcPr>
          <w:p w:rsidR="00B95D2A" w:rsidRPr="00B95D2A" w:rsidRDefault="00B95D2A" w:rsidP="00B95D2A">
            <w:r w:rsidRPr="00883125">
              <w:t>1994–1999</w:t>
            </w:r>
          </w:p>
        </w:tc>
        <w:tc>
          <w:tcPr>
            <w:tcW w:w="5448" w:type="dxa"/>
          </w:tcPr>
          <w:p w:rsidR="00B95D2A" w:rsidRPr="00B95D2A" w:rsidRDefault="00B95D2A" w:rsidP="00B95D2A">
            <w:r w:rsidRPr="00883125">
              <w:t>Uses matched trades (four minute window) in individual shares and futures contracts for 19 firms (over 14,000 trades). Sub-periods 1994–1997 and 1997–1999.</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Cummings and Frino (2008)</w:t>
            </w:r>
            <w:r w:rsidRPr="00B95D2A">
              <w:rPr>
                <w:rStyle w:val="FootnoteReference"/>
              </w:rPr>
              <w:footnoteReference w:id="695"/>
            </w:r>
          </w:p>
        </w:tc>
        <w:tc>
          <w:tcPr>
            <w:tcW w:w="1111" w:type="dxa"/>
          </w:tcPr>
          <w:p w:rsidR="00B95D2A" w:rsidRPr="00B95D2A" w:rsidRDefault="00B95D2A" w:rsidP="00B95D2A">
            <w:r w:rsidRPr="00883125">
              <w:t>2002-2005</w:t>
            </w:r>
          </w:p>
        </w:tc>
        <w:tc>
          <w:tcPr>
            <w:tcW w:w="5448" w:type="dxa"/>
          </w:tcPr>
          <w:p w:rsidR="00B95D2A" w:rsidRPr="00B95D2A" w:rsidRDefault="00B95D2A" w:rsidP="00B95D2A">
            <w:r w:rsidRPr="00883125">
              <w:t xml:space="preserve">Uses entire ASX200 index (rather than specific firms) and futures over the index, distinct from other studies in this class (which use individual shares). </w:t>
            </w:r>
          </w:p>
        </w:tc>
      </w:tr>
      <w:tr w:rsidR="00B95D2A" w:rsidTr="00AC29DB">
        <w:trPr>
          <w:cantSplit/>
        </w:trPr>
        <w:tc>
          <w:tcPr>
            <w:tcW w:w="9242" w:type="dxa"/>
            <w:gridSpan w:val="3"/>
          </w:tcPr>
          <w:p w:rsidR="00B95D2A" w:rsidRPr="00883125" w:rsidRDefault="00B95D2A" w:rsidP="00B95D2A">
            <w:pPr>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NERA (2013b)</w:t>
            </w:r>
            <w:r w:rsidRPr="00B95D2A">
              <w:rPr>
                <w:rStyle w:val="FootnoteReference"/>
              </w:rPr>
              <w:footnoteReference w:id="696"/>
            </w:r>
          </w:p>
        </w:tc>
        <w:tc>
          <w:tcPr>
            <w:tcW w:w="1111" w:type="dxa"/>
          </w:tcPr>
          <w:p w:rsidR="00B95D2A" w:rsidRPr="00B95D2A" w:rsidRDefault="00B95D2A" w:rsidP="00B95D2A">
            <w:r w:rsidRPr="00883125">
              <w:t>1987–2012</w:t>
            </w:r>
          </w:p>
        </w:tc>
        <w:tc>
          <w:tcPr>
            <w:tcW w:w="5448" w:type="dxa"/>
          </w:tcPr>
          <w:p w:rsidR="00B95D2A" w:rsidRPr="00B95D2A" w:rsidRDefault="00B95D2A" w:rsidP="00B95D2A">
            <w:r w:rsidRPr="00883125">
              <w:t xml:space="preserve">Updates the </w:t>
            </w:r>
            <w:r w:rsidRPr="00B95D2A">
              <w:t>Lajbcygier and Wheatley paper; same author and more relevant data set. Sub-period splits 1987–2000 and 2000–2012.</w:t>
            </w:r>
          </w:p>
        </w:tc>
      </w:tr>
      <w:tr w:rsidR="00B95D2A" w:rsidTr="00AC29DB">
        <w:trPr>
          <w:cantSplit/>
        </w:trPr>
        <w:tc>
          <w:tcPr>
            <w:tcW w:w="2683" w:type="dxa"/>
          </w:tcPr>
          <w:p w:rsidR="00B95D2A" w:rsidRPr="00B95D2A" w:rsidRDefault="00B95D2A" w:rsidP="00B95D2A">
            <w:r w:rsidRPr="00883125">
              <w:t>Lajbcygier and Wheatley (2012)</w:t>
            </w:r>
            <w:r w:rsidRPr="00B95D2A">
              <w:rPr>
                <w:rStyle w:val="FootnoteReference"/>
              </w:rPr>
              <w:footnoteReference w:id="697"/>
            </w:r>
          </w:p>
        </w:tc>
        <w:tc>
          <w:tcPr>
            <w:tcW w:w="1111" w:type="dxa"/>
          </w:tcPr>
          <w:p w:rsidR="00B95D2A" w:rsidRPr="00B95D2A" w:rsidRDefault="00B95D2A" w:rsidP="00B95D2A">
            <w:r w:rsidRPr="00883125">
              <w:t>1987–2009</w:t>
            </w:r>
          </w:p>
        </w:tc>
        <w:tc>
          <w:tcPr>
            <w:tcW w:w="5448" w:type="dxa"/>
          </w:tcPr>
          <w:p w:rsidR="00B95D2A" w:rsidRPr="00B95D2A" w:rsidRDefault="00B95D2A" w:rsidP="00B95D2A">
            <w:r w:rsidRPr="00883125">
              <w:t xml:space="preserve">Compares current prices to past returns </w:t>
            </w:r>
            <w:r w:rsidRPr="00B95D2A">
              <w:t>from capital gains and dividends. Includes sub-periods from 1987–2000 and 2000-2009.</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Siau et al (2013)</w:t>
            </w:r>
            <w:r w:rsidRPr="00B95D2A">
              <w:rPr>
                <w:rStyle w:val="FootnoteReference"/>
              </w:rPr>
              <w:footnoteReference w:id="698"/>
            </w:r>
          </w:p>
        </w:tc>
        <w:tc>
          <w:tcPr>
            <w:tcW w:w="1111" w:type="dxa"/>
          </w:tcPr>
          <w:p w:rsidR="00B95D2A" w:rsidRPr="00B95D2A" w:rsidRDefault="00B95D2A" w:rsidP="00B95D2A">
            <w:r w:rsidRPr="00883125">
              <w:t>1996–2011</w:t>
            </w:r>
          </w:p>
        </w:tc>
        <w:tc>
          <w:tcPr>
            <w:tcW w:w="5448" w:type="dxa"/>
          </w:tcPr>
          <w:p w:rsidR="00B95D2A" w:rsidRPr="00B95D2A" w:rsidRDefault="00B95D2A" w:rsidP="00B95D2A">
            <w:r w:rsidRPr="00883125">
              <w:t xml:space="preserve">Compares current prices to expected future returns. Uses ASX300 index firms and consensus analyst dividend forecasts. </w:t>
            </w:r>
          </w:p>
        </w:tc>
      </w:tr>
      <w:tr w:rsidR="00B95D2A" w:rsidTr="00AC29DB">
        <w:trPr>
          <w:cantSplit/>
        </w:trPr>
        <w:tc>
          <w:tcPr>
            <w:tcW w:w="2683" w:type="dxa"/>
          </w:tcPr>
          <w:p w:rsidR="00B95D2A" w:rsidRPr="00B95D2A" w:rsidRDefault="00B95D2A" w:rsidP="00B95D2A">
            <w:r w:rsidRPr="00883125">
              <w:t>Siau et al (2015)</w:t>
            </w:r>
            <w:r w:rsidRPr="00B95D2A">
              <w:rPr>
                <w:rStyle w:val="FootnoteReference"/>
              </w:rPr>
              <w:footnoteReference w:id="699"/>
            </w:r>
          </w:p>
        </w:tc>
        <w:tc>
          <w:tcPr>
            <w:tcW w:w="1111" w:type="dxa"/>
          </w:tcPr>
          <w:p w:rsidR="00B95D2A" w:rsidRPr="00B95D2A" w:rsidRDefault="00B95D2A" w:rsidP="00B95D2A">
            <w:r w:rsidRPr="00883125">
              <w:t>1996-2011</w:t>
            </w:r>
          </w:p>
        </w:tc>
        <w:tc>
          <w:tcPr>
            <w:tcW w:w="5448" w:type="dxa"/>
          </w:tcPr>
          <w:p w:rsidR="00B95D2A" w:rsidRPr="00B95D2A" w:rsidRDefault="00B95D2A" w:rsidP="00B95D2A">
            <w:r w:rsidRPr="00883125">
              <w:t xml:space="preserve">Journal published version of the 2013 paper by Siau et al with relatively minor editorial changes </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NERA (2015)</w:t>
            </w:r>
            <w:r w:rsidRPr="00B95D2A">
              <w:rPr>
                <w:rStyle w:val="FootnoteReference"/>
              </w:rPr>
              <w:footnoteReference w:id="700"/>
            </w:r>
          </w:p>
        </w:tc>
        <w:tc>
          <w:tcPr>
            <w:tcW w:w="1111" w:type="dxa"/>
          </w:tcPr>
          <w:p w:rsidR="00B95D2A" w:rsidRPr="00B95D2A" w:rsidRDefault="00B95D2A" w:rsidP="00B95D2A">
            <w:r w:rsidRPr="00883125">
              <w:t>1987-2013</w:t>
            </w:r>
          </w:p>
        </w:tc>
        <w:tc>
          <w:tcPr>
            <w:tcW w:w="5448" w:type="dxa"/>
          </w:tcPr>
          <w:p w:rsidR="00B95D2A" w:rsidRPr="00B95D2A" w:rsidRDefault="00B95D2A" w:rsidP="00B95D2A">
            <w:r w:rsidRPr="00883125">
              <w:t>Updates the results of the Lajbcygier and Wheatley and NERA (2013) studies.</w:t>
            </w:r>
          </w:p>
        </w:tc>
      </w:tr>
      <w:tr w:rsidR="00B95D2A" w:rsidTr="00AC29DB">
        <w:trPr>
          <w:cantSplit/>
        </w:trPr>
        <w:tc>
          <w:tcPr>
            <w:tcW w:w="9242" w:type="dxa"/>
            <w:gridSpan w:val="3"/>
          </w:tcPr>
          <w:p w:rsidR="00B95D2A" w:rsidRPr="00883125" w:rsidRDefault="00B95D2A" w:rsidP="00B95D2A">
            <w:pPr>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Chu and Partington (2008)</w:t>
            </w:r>
            <w:r w:rsidRPr="00B95D2A">
              <w:rPr>
                <w:rStyle w:val="FootnoteReference"/>
              </w:rPr>
              <w:footnoteReference w:id="701"/>
            </w:r>
          </w:p>
        </w:tc>
        <w:tc>
          <w:tcPr>
            <w:tcW w:w="1111" w:type="dxa"/>
          </w:tcPr>
          <w:p w:rsidR="00B95D2A" w:rsidRPr="00B95D2A" w:rsidRDefault="00B95D2A" w:rsidP="00B95D2A">
            <w:r w:rsidRPr="00883125">
              <w:t>1996</w:t>
            </w:r>
          </w:p>
        </w:tc>
        <w:tc>
          <w:tcPr>
            <w:tcW w:w="5448" w:type="dxa"/>
          </w:tcPr>
          <w:p w:rsidR="00B95D2A" w:rsidRPr="00B95D2A" w:rsidRDefault="00B95D2A" w:rsidP="00B95D2A">
            <w:r w:rsidRPr="00883125">
              <w:t xml:space="preserve">Uses shares trading in two forms (one with dividend, one without) as a result of the CRA bonus issue. 154 matched trades (one minute window) across 3 </w:t>
            </w:r>
            <w:r w:rsidRPr="00B95D2A">
              <w:t>months.</w:t>
            </w:r>
          </w:p>
        </w:tc>
      </w:tr>
      <w:tr w:rsidR="00B95D2A" w:rsidTr="00AC29DB">
        <w:trPr>
          <w:cantSplit/>
        </w:trPr>
        <w:tc>
          <w:tcPr>
            <w:tcW w:w="2683" w:type="dxa"/>
          </w:tcPr>
          <w:p w:rsidR="00B95D2A" w:rsidRPr="00B95D2A" w:rsidRDefault="00B95D2A" w:rsidP="00B95D2A">
            <w:r w:rsidRPr="00883125">
              <w:t>Chu and Partington (2001)</w:t>
            </w:r>
            <w:r w:rsidRPr="00B95D2A">
              <w:rPr>
                <w:rStyle w:val="FootnoteReference"/>
              </w:rPr>
              <w:footnoteReference w:id="702"/>
            </w:r>
          </w:p>
        </w:tc>
        <w:tc>
          <w:tcPr>
            <w:tcW w:w="1111" w:type="dxa"/>
          </w:tcPr>
          <w:p w:rsidR="00B95D2A" w:rsidRPr="00B95D2A" w:rsidRDefault="00B95D2A" w:rsidP="00B95D2A">
            <w:r w:rsidRPr="00883125">
              <w:t>1991–1999</w:t>
            </w:r>
          </w:p>
        </w:tc>
        <w:tc>
          <w:tcPr>
            <w:tcW w:w="5448" w:type="dxa"/>
          </w:tcPr>
          <w:p w:rsidR="00B95D2A" w:rsidRPr="00B95D2A" w:rsidDel="003D6627" w:rsidRDefault="00B95D2A" w:rsidP="00B95D2A">
            <w:r w:rsidRPr="00883125">
              <w:t>Uses shares trading simultaneously with and without dividend</w:t>
            </w:r>
            <w:r w:rsidRPr="00B95D2A">
              <w:t xml:space="preserve"> after certain rights issues - 3,356 trades (matched within a minute) from 26 rights issues for 23 firms.</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683" w:type="dxa"/>
          </w:tcPr>
          <w:p w:rsidR="00B95D2A" w:rsidRPr="00B95D2A" w:rsidRDefault="00B95D2A" w:rsidP="00B95D2A">
            <w:r w:rsidRPr="00883125">
              <w:t>Walker and Partington (1999)</w:t>
            </w:r>
            <w:r w:rsidRPr="00B95D2A">
              <w:rPr>
                <w:rStyle w:val="FootnoteReference"/>
              </w:rPr>
              <w:footnoteReference w:id="703"/>
            </w:r>
          </w:p>
        </w:tc>
        <w:tc>
          <w:tcPr>
            <w:tcW w:w="1111" w:type="dxa"/>
          </w:tcPr>
          <w:p w:rsidR="00B95D2A" w:rsidRPr="00B95D2A" w:rsidRDefault="00B95D2A" w:rsidP="00B95D2A">
            <w:r w:rsidRPr="00883125">
              <w:t>1995–1997</w:t>
            </w:r>
          </w:p>
        </w:tc>
        <w:tc>
          <w:tcPr>
            <w:tcW w:w="5448" w:type="dxa"/>
          </w:tcPr>
          <w:p w:rsidR="00B95D2A" w:rsidRPr="00B95D2A" w:rsidRDefault="00B95D2A" w:rsidP="00B95D2A">
            <w:r w:rsidRPr="00883125">
              <w:t>Looks at shares trading cum-dividend in the ex-dividend period. 1,015 data points (trades matched within a minute) for 93 ex-dividend events from 50 securities.</w:t>
            </w:r>
          </w:p>
        </w:tc>
      </w:tr>
    </w:tbl>
    <w:p w:rsidR="00B95D2A" w:rsidRPr="00883125" w:rsidRDefault="00B95D2A" w:rsidP="00B95D2A">
      <w:pPr>
        <w:pStyle w:val="AERtablesource"/>
      </w:pPr>
      <w:r w:rsidRPr="00883125">
        <w:t xml:space="preserve">Source: </w:t>
      </w:r>
      <w:r w:rsidRPr="00883125">
        <w:tab/>
        <w:t>As specified in table.</w:t>
      </w:r>
    </w:p>
    <w:p w:rsidR="00B95D2A" w:rsidRPr="00883125" w:rsidRDefault="00B95D2A" w:rsidP="00B95D2A">
      <w:pPr>
        <w:pStyle w:val="Heading9"/>
      </w:pPr>
      <w:bookmarkStart w:id="472" w:name="_Ref403482459"/>
      <w:bookmarkStart w:id="473" w:name="_Toc456614339"/>
      <w:bookmarkStart w:id="474" w:name="_Toc462823343"/>
      <w:bookmarkStart w:id="475" w:name="_Toc479694015"/>
      <w:bookmarkStart w:id="476" w:name="_Toc480815649"/>
      <w:r w:rsidRPr="00883125">
        <w:t>Estimates from implied market value studies</w:t>
      </w:r>
      <w:bookmarkEnd w:id="472"/>
      <w:bookmarkEnd w:id="473"/>
      <w:bookmarkEnd w:id="474"/>
      <w:bookmarkEnd w:id="475"/>
      <w:bookmarkEnd w:id="476"/>
    </w:p>
    <w:p w:rsidR="00B95D2A" w:rsidRPr="00883125" w:rsidRDefault="00B95D2A" w:rsidP="00B95D2A">
      <w:pPr>
        <w:numPr>
          <w:ilvl w:val="0"/>
          <w:numId w:val="24"/>
        </w:numPr>
      </w:pPr>
      <w:r w:rsidRPr="00883125">
        <w:t>This section presents the results from the available implied market value studies.</w:t>
      </w:r>
    </w:p>
    <w:p w:rsidR="00B95D2A" w:rsidRPr="00883125" w:rsidRDefault="00B95D2A" w:rsidP="00B95D2A">
      <w:pPr>
        <w:numPr>
          <w:ilvl w:val="0"/>
          <w:numId w:val="24"/>
        </w:numPr>
      </w:pPr>
      <w:r w:rsidRPr="00883125">
        <w:fldChar w:fldCharType="begin"/>
      </w:r>
      <w:r w:rsidRPr="00883125">
        <w:instrText xml:space="preserve"> REF _Ref401075676 \h </w:instrText>
      </w:r>
      <w:r w:rsidRPr="00883125">
        <w:fldChar w:fldCharType="separate"/>
      </w:r>
      <w:r w:rsidR="003E419A" w:rsidRPr="00883125">
        <w:t xml:space="preserve">Table </w:t>
      </w:r>
      <w:r w:rsidR="003E419A">
        <w:rPr>
          <w:noProof/>
        </w:rPr>
        <w:t>4</w:t>
      </w:r>
      <w:r w:rsidR="003E419A">
        <w:noBreakHyphen/>
      </w:r>
      <w:r w:rsidR="003E419A">
        <w:rPr>
          <w:noProof/>
        </w:rPr>
        <w:t>19</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704"/>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w:t>
      </w:r>
      <w:r>
        <w:t xml:space="preserve"> Ausgrid</w:t>
      </w:r>
      <w:r w:rsidRPr="00883125">
        <w:t xml:space="preserve"> Tribunal decision, the </w:t>
      </w:r>
      <w:r>
        <w:t xml:space="preserve">Ausgrid </w:t>
      </w:r>
      <w:r w:rsidRPr="00883125">
        <w:t>Tribunal stated that the AER could have excluded earlier market based studies that were not relevant, such as the studies that were conducted on pre 2000 data.</w:t>
      </w:r>
      <w:r w:rsidRPr="00883125">
        <w:rPr>
          <w:rStyle w:val="FootnoteReference"/>
        </w:rPr>
        <w:footnoteReference w:id="705"/>
      </w:r>
    </w:p>
    <w:p w:rsidR="00B95D2A" w:rsidRDefault="00B95D2A" w:rsidP="00B95D2A">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pre 2000 studies. </w:t>
      </w:r>
      <w:r>
        <w:t xml:space="preserve">Post 2000 is the most relevant period, as the year 2000 is the year when the last significant event that affects the value of imputation credits occurred. </w:t>
      </w:r>
      <w:r>
        <w:fldChar w:fldCharType="begin"/>
      </w:r>
      <w:r>
        <w:instrText xml:space="preserve"> REF _Ref401075676 \h </w:instrText>
      </w:r>
      <w:r>
        <w:fldChar w:fldCharType="separate"/>
      </w:r>
      <w:r w:rsidR="003E419A" w:rsidRPr="00883125">
        <w:t xml:space="preserve">Table </w:t>
      </w:r>
      <w:r w:rsidR="003E419A">
        <w:rPr>
          <w:noProof/>
        </w:rPr>
        <w:t>4</w:t>
      </w:r>
      <w:r w:rsidR="003E419A">
        <w:noBreakHyphen/>
      </w:r>
      <w:r w:rsidR="003E419A">
        <w:rPr>
          <w:noProof/>
        </w:rPr>
        <w:t>19</w:t>
      </w:r>
      <w:r>
        <w:fldChar w:fldCharType="end"/>
      </w:r>
      <w:r>
        <w:t xml:space="preserve"> highlights the significant events that occurred since the imputation tax system was introduced in Australia. </w:t>
      </w:r>
      <w:r w:rsidRPr="00883125">
        <w:t xml:space="preserve">However, </w:t>
      </w:r>
      <w:r>
        <w:t xml:space="preserve">it should be noted that </w:t>
      </w:r>
      <w:r w:rsidRPr="00883125">
        <w:t xml:space="preserve">even if the AER was to completely disregard the pre 2000 </w:t>
      </w:r>
      <w:r>
        <w:t xml:space="preserve">market </w:t>
      </w:r>
      <w:r w:rsidRPr="00883125">
        <w:t xml:space="preserve">studies this would not change the outcome of selecting the lowest point estimate in the range from the equity ownership approach. </w:t>
      </w:r>
    </w:p>
    <w:p w:rsidR="00B95D2A" w:rsidRPr="00883125" w:rsidRDefault="00B95D2A" w:rsidP="00B95D2A">
      <w:pPr>
        <w:pStyle w:val="Caption"/>
      </w:pPr>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18</w:t>
      </w:r>
      <w:r w:rsidRPr="001D37D5">
        <w:fldChar w:fldCharType="end"/>
      </w:r>
      <w:r w:rsidRPr="00883125">
        <w:tab/>
        <w:t>S</w:t>
      </w:r>
      <w:r>
        <w:t xml:space="preserve">ignificant events </w:t>
      </w:r>
    </w:p>
    <w:tbl>
      <w:tblPr>
        <w:tblStyle w:val="AERtable-text0"/>
        <w:tblW w:w="0" w:type="auto"/>
        <w:tblLook w:val="04A0" w:firstRow="1" w:lastRow="0" w:firstColumn="1" w:lastColumn="0" w:noHBand="0" w:noVBand="1"/>
      </w:tblPr>
      <w:tblGrid>
        <w:gridCol w:w="2235"/>
        <w:gridCol w:w="1430"/>
        <w:gridCol w:w="5028"/>
      </w:tblGrid>
      <w:tr w:rsidR="00B95D2A" w:rsidTr="00AC29DB">
        <w:trPr>
          <w:cnfStyle w:val="100000000000" w:firstRow="1" w:lastRow="0" w:firstColumn="0" w:lastColumn="0" w:oddVBand="0" w:evenVBand="0" w:oddHBand="0" w:evenHBand="0" w:firstRowFirstColumn="0" w:firstRowLastColumn="0" w:lastRowFirstColumn="0" w:lastRowLastColumn="0"/>
          <w:cantSplit/>
          <w:tblHeader/>
        </w:trPr>
        <w:tc>
          <w:tcPr>
            <w:tcW w:w="2235" w:type="dxa"/>
          </w:tcPr>
          <w:p w:rsidR="00B95D2A" w:rsidRPr="00883125" w:rsidRDefault="00B95D2A" w:rsidP="00B95D2A">
            <w:pPr>
              <w:numPr>
                <w:ilvl w:val="0"/>
                <w:numId w:val="24"/>
              </w:numPr>
            </w:pPr>
            <w:r>
              <w:t>Event:</w:t>
            </w:r>
          </w:p>
        </w:tc>
        <w:tc>
          <w:tcPr>
            <w:tcW w:w="1430" w:type="dxa"/>
          </w:tcPr>
          <w:p w:rsidR="00B95D2A" w:rsidRPr="00883125" w:rsidRDefault="00B95D2A" w:rsidP="00B95D2A">
            <w:pPr>
              <w:numPr>
                <w:ilvl w:val="0"/>
                <w:numId w:val="24"/>
              </w:numPr>
            </w:pPr>
            <w:r>
              <w:t>Date</w:t>
            </w:r>
          </w:p>
        </w:tc>
        <w:tc>
          <w:tcPr>
            <w:tcW w:w="5028" w:type="dxa"/>
          </w:tcPr>
          <w:p w:rsidR="00B95D2A" w:rsidRPr="00883125" w:rsidRDefault="00B95D2A" w:rsidP="00B95D2A">
            <w:pPr>
              <w:numPr>
                <w:ilvl w:val="0"/>
                <w:numId w:val="24"/>
              </w:numPr>
            </w:pPr>
            <w:r>
              <w:t>Impact on the value of imputation credits</w:t>
            </w:r>
          </w:p>
        </w:tc>
      </w:tr>
      <w:tr w:rsidR="00B95D2A" w:rsidTr="00AC29DB">
        <w:trPr>
          <w:cantSplit/>
        </w:trPr>
        <w:tc>
          <w:tcPr>
            <w:tcW w:w="2235" w:type="dxa"/>
          </w:tcPr>
          <w:p w:rsidR="00B95D2A" w:rsidRPr="00B95D2A" w:rsidRDefault="00B95D2A" w:rsidP="00B95D2A">
            <w:r>
              <w:t>45-day rule</w:t>
            </w:r>
          </w:p>
        </w:tc>
        <w:tc>
          <w:tcPr>
            <w:tcW w:w="1430" w:type="dxa"/>
          </w:tcPr>
          <w:p w:rsidR="00B95D2A" w:rsidRPr="00B95D2A" w:rsidRDefault="00B95D2A" w:rsidP="00B95D2A">
            <w:r>
              <w:t xml:space="preserve">July </w:t>
            </w:r>
            <w:r w:rsidRPr="00B95D2A">
              <w:t>1997</w:t>
            </w:r>
          </w:p>
        </w:tc>
        <w:tc>
          <w:tcPr>
            <w:tcW w:w="5028" w:type="dxa"/>
          </w:tcPr>
          <w:p w:rsidR="00B95D2A" w:rsidRPr="00B95D2A" w:rsidRDefault="00B95D2A" w:rsidP="00B95D2A">
            <w:r>
              <w:t xml:space="preserve">The holding period rule requires investors to continuously hold </w:t>
            </w:r>
            <w:r w:rsidRPr="00B95D2A">
              <w:t xml:space="preserve">shares 'at risk' for at least 45 days (90 days for certain preference shares) to be eligible for a franking tax offset. </w:t>
            </w:r>
          </w:p>
        </w:tc>
      </w:tr>
      <w:tr w:rsidR="00B95D2A" w:rsidTr="00AC29DB">
        <w:trPr>
          <w:cnfStyle w:val="000000010000" w:firstRow="0" w:lastRow="0" w:firstColumn="0" w:lastColumn="0" w:oddVBand="0" w:evenVBand="0" w:oddHBand="0" w:evenHBand="1" w:firstRowFirstColumn="0" w:firstRowLastColumn="0" w:lastRowFirstColumn="0" w:lastRowLastColumn="0"/>
          <w:cantSplit/>
        </w:trPr>
        <w:tc>
          <w:tcPr>
            <w:tcW w:w="2235" w:type="dxa"/>
          </w:tcPr>
          <w:p w:rsidR="00B95D2A" w:rsidRPr="00B95D2A" w:rsidRDefault="00B95D2A" w:rsidP="00B95D2A">
            <w:r>
              <w:t>Capital gains tax</w:t>
            </w:r>
          </w:p>
        </w:tc>
        <w:tc>
          <w:tcPr>
            <w:tcW w:w="1430" w:type="dxa"/>
          </w:tcPr>
          <w:p w:rsidR="00B95D2A" w:rsidRPr="00B95D2A" w:rsidRDefault="00B95D2A" w:rsidP="00B95D2A">
            <w:r>
              <w:t xml:space="preserve">September </w:t>
            </w:r>
            <w:r w:rsidRPr="00B95D2A">
              <w:t>1999</w:t>
            </w:r>
          </w:p>
        </w:tc>
        <w:tc>
          <w:tcPr>
            <w:tcW w:w="5028" w:type="dxa"/>
          </w:tcPr>
          <w:p w:rsidR="00B95D2A" w:rsidRPr="00B95D2A" w:rsidRDefault="00B95D2A" w:rsidP="00B95D2A">
            <w:r>
              <w:t>The method to calculate capital gains tax change from the indexation method to the CGT discount method.</w:t>
            </w:r>
          </w:p>
        </w:tc>
      </w:tr>
      <w:tr w:rsidR="00B95D2A" w:rsidTr="00AC29DB">
        <w:trPr>
          <w:cantSplit/>
        </w:trPr>
        <w:tc>
          <w:tcPr>
            <w:tcW w:w="2235" w:type="dxa"/>
          </w:tcPr>
          <w:p w:rsidR="00B95D2A" w:rsidRPr="00B95D2A" w:rsidRDefault="00B95D2A" w:rsidP="00B95D2A">
            <w:r>
              <w:t>Refund of excess credits</w:t>
            </w:r>
          </w:p>
        </w:tc>
        <w:tc>
          <w:tcPr>
            <w:tcW w:w="1430" w:type="dxa"/>
          </w:tcPr>
          <w:p w:rsidR="00B95D2A" w:rsidRPr="00B95D2A" w:rsidRDefault="00B95D2A" w:rsidP="00B95D2A">
            <w:r>
              <w:t>July 2000</w:t>
            </w:r>
          </w:p>
        </w:tc>
        <w:tc>
          <w:tcPr>
            <w:tcW w:w="5028" w:type="dxa"/>
          </w:tcPr>
          <w:p w:rsidR="00B95D2A" w:rsidRPr="00B95D2A" w:rsidRDefault="00B95D2A" w:rsidP="00B95D2A">
            <w:r w:rsidRPr="00A3318E">
              <w:t xml:space="preserve">If the </w:t>
            </w:r>
            <w:r w:rsidRPr="00B95D2A">
              <w:t>amount of imputation credits received exceeds an investor's tax liability, that investor can receive a cash refund for the balance</w:t>
            </w:r>
          </w:p>
        </w:tc>
      </w:tr>
    </w:tbl>
    <w:p w:rsidR="00B95D2A" w:rsidRPr="00883125" w:rsidRDefault="00B95D2A" w:rsidP="00AC29DB"/>
    <w:p w:rsidR="00B95D2A" w:rsidRPr="00B27BE5" w:rsidRDefault="00B95D2A" w:rsidP="00B95D2A">
      <w:r w:rsidRPr="00B27BE5">
        <w:fldChar w:fldCharType="begin"/>
      </w:r>
      <w:r w:rsidRPr="00B27BE5">
        <w:instrText xml:space="preserve"> REF _Ref449538408 \h </w:instrText>
      </w:r>
      <w:r w:rsidRPr="00B27BE5">
        <w:fldChar w:fldCharType="separate"/>
      </w:r>
      <w:r w:rsidR="003E419A" w:rsidRPr="00883125">
        <w:t xml:space="preserve">Table </w:t>
      </w:r>
      <w:r w:rsidR="003E419A">
        <w:rPr>
          <w:noProof/>
        </w:rPr>
        <w:t>4</w:t>
      </w:r>
      <w:r w:rsidR="003E419A">
        <w:noBreakHyphen/>
      </w:r>
      <w:r w:rsidR="003E419A">
        <w:rPr>
          <w:noProof/>
        </w:rPr>
        <w:t>20</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B95D2A" w:rsidRPr="00883125" w:rsidRDefault="00B95D2A" w:rsidP="00B95D2A">
      <w:pPr>
        <w:pStyle w:val="Caption"/>
      </w:pPr>
      <w:bookmarkStart w:id="477" w:name="_Ref401075676"/>
      <w:r w:rsidRPr="00883125">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19</w:t>
      </w:r>
      <w:r w:rsidRPr="001D37D5">
        <w:fldChar w:fldCharType="end"/>
      </w:r>
      <w:bookmarkEnd w:id="477"/>
      <w:r w:rsidRPr="00883125">
        <w:tab/>
        <w:t>Estimates of the utilisation rate from dividend drop off studies</w:t>
      </w:r>
    </w:p>
    <w:tbl>
      <w:tblPr>
        <w:tblStyle w:val="AERtable-text0"/>
        <w:tblW w:w="9180" w:type="dxa"/>
        <w:tblLayout w:type="fixed"/>
        <w:tblLook w:val="04A0" w:firstRow="1" w:lastRow="0" w:firstColumn="1" w:lastColumn="0" w:noHBand="0" w:noVBand="1"/>
      </w:tblPr>
      <w:tblGrid>
        <w:gridCol w:w="250"/>
        <w:gridCol w:w="142"/>
        <w:gridCol w:w="2835"/>
        <w:gridCol w:w="1346"/>
        <w:gridCol w:w="1347"/>
        <w:gridCol w:w="3260"/>
      </w:tblGrid>
      <w:tr w:rsidR="00B95D2A" w:rsidRPr="00222643" w:rsidTr="00AC29DB">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B95D2A" w:rsidRPr="00883125" w:rsidRDefault="00B95D2A" w:rsidP="00B95D2A"/>
        </w:tc>
        <w:tc>
          <w:tcPr>
            <w:tcW w:w="2835" w:type="dxa"/>
          </w:tcPr>
          <w:p w:rsidR="00B95D2A" w:rsidRPr="00B95D2A" w:rsidRDefault="00B95D2A" w:rsidP="00B95D2A">
            <w:r w:rsidRPr="00883125">
              <w:t>Authors</w:t>
            </w:r>
          </w:p>
        </w:tc>
        <w:tc>
          <w:tcPr>
            <w:tcW w:w="1346" w:type="dxa"/>
          </w:tcPr>
          <w:p w:rsidR="00B95D2A" w:rsidRPr="00B95D2A" w:rsidRDefault="00B95D2A" w:rsidP="00B95D2A">
            <w:r w:rsidRPr="00883125">
              <w:t>Pre-2000 results</w:t>
            </w:r>
          </w:p>
        </w:tc>
        <w:tc>
          <w:tcPr>
            <w:tcW w:w="1347" w:type="dxa"/>
          </w:tcPr>
          <w:p w:rsidR="00B95D2A" w:rsidRPr="00B95D2A" w:rsidRDefault="00B95D2A" w:rsidP="00B95D2A">
            <w:r w:rsidRPr="00883125">
              <w:t>Post-2000 results</w:t>
            </w:r>
          </w:p>
        </w:tc>
        <w:tc>
          <w:tcPr>
            <w:tcW w:w="3260" w:type="dxa"/>
          </w:tcPr>
          <w:p w:rsidR="00B95D2A" w:rsidRPr="00B95D2A" w:rsidRDefault="00B95D2A" w:rsidP="00B95D2A">
            <w:r w:rsidRPr="00883125">
              <w:t>Notes</w:t>
            </w:r>
          </w:p>
        </w:tc>
      </w:tr>
      <w:tr w:rsidR="00B95D2A" w:rsidRPr="00222643" w:rsidTr="00AC29DB">
        <w:trPr>
          <w:cantSplit/>
          <w:trHeight w:val="426"/>
        </w:trPr>
        <w:tc>
          <w:tcPr>
            <w:tcW w:w="3227" w:type="dxa"/>
            <w:gridSpan w:val="3"/>
          </w:tcPr>
          <w:p w:rsidR="00B95D2A" w:rsidRPr="00B95D2A" w:rsidRDefault="00B95D2A" w:rsidP="00B95D2A">
            <w:pPr>
              <w:rPr>
                <w:rStyle w:val="Strong"/>
              </w:rPr>
            </w:pPr>
            <w:r w:rsidRPr="00883125">
              <w:rPr>
                <w:rStyle w:val="Strong"/>
              </w:rPr>
              <w:t xml:space="preserve">Dividend drop off </w:t>
            </w:r>
            <w:r w:rsidRPr="00B95D2A">
              <w:rPr>
                <w:rStyle w:val="Strong"/>
              </w:rPr>
              <w:t>study</w:t>
            </w:r>
          </w:p>
        </w:tc>
        <w:tc>
          <w:tcPr>
            <w:tcW w:w="1346" w:type="dxa"/>
          </w:tcPr>
          <w:p w:rsidR="00B95D2A" w:rsidRPr="00883125" w:rsidRDefault="00B95D2A" w:rsidP="00B95D2A"/>
        </w:tc>
        <w:tc>
          <w:tcPr>
            <w:tcW w:w="1347" w:type="dxa"/>
          </w:tcPr>
          <w:p w:rsidR="00B95D2A" w:rsidRPr="00883125" w:rsidRDefault="00B95D2A" w:rsidP="00B95D2A"/>
        </w:tc>
        <w:tc>
          <w:tcPr>
            <w:tcW w:w="3260" w:type="dxa"/>
          </w:tcPr>
          <w:p w:rsidR="00B95D2A" w:rsidRPr="00883125"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B95D2A" w:rsidRPr="00883125" w:rsidRDefault="00B95D2A" w:rsidP="00B95D2A"/>
        </w:tc>
        <w:tc>
          <w:tcPr>
            <w:tcW w:w="2977" w:type="dxa"/>
            <w:gridSpan w:val="2"/>
          </w:tcPr>
          <w:p w:rsidR="00B95D2A" w:rsidRPr="00B95D2A" w:rsidRDefault="00B95D2A" w:rsidP="00B95D2A">
            <w:r>
              <w:t>F</w:t>
            </w:r>
            <w:r w:rsidRPr="00B95D2A">
              <w:t>rontier (2016)</w:t>
            </w:r>
            <w:r w:rsidRPr="00B95D2A">
              <w:rPr>
                <w:rStyle w:val="FootnoteReference"/>
              </w:rPr>
              <w:footnoteReference w:id="706"/>
            </w:r>
          </w:p>
        </w:tc>
        <w:tc>
          <w:tcPr>
            <w:tcW w:w="1346" w:type="dxa"/>
          </w:tcPr>
          <w:p w:rsidR="00B95D2A" w:rsidRPr="00883125" w:rsidRDefault="00B95D2A" w:rsidP="00B95D2A"/>
        </w:tc>
        <w:tc>
          <w:tcPr>
            <w:tcW w:w="1347" w:type="dxa"/>
          </w:tcPr>
          <w:p w:rsidR="00B95D2A" w:rsidRPr="00B95D2A" w:rsidRDefault="00B95D2A" w:rsidP="00B95D2A">
            <w:r>
              <w:t>0.35</w:t>
            </w:r>
            <w:r>
              <w:br/>
              <w:t>(2001–2016</w:t>
            </w:r>
            <w:r w:rsidRPr="00B95D2A">
              <w:t>)</w:t>
            </w:r>
          </w:p>
        </w:tc>
        <w:tc>
          <w:tcPr>
            <w:tcW w:w="3260" w:type="dxa"/>
          </w:tcPr>
          <w:p w:rsidR="00B95D2A" w:rsidRPr="00B95D2A" w:rsidRDefault="00B95D2A" w:rsidP="00B95D2A">
            <w:r>
              <w:t>0.26 to 0.41 (</w:t>
            </w:r>
            <w:r w:rsidRPr="00B95D2A">
              <w:t>95 per cent confidence interval for all of the specifications).</w:t>
            </w:r>
          </w:p>
        </w:tc>
      </w:tr>
      <w:tr w:rsidR="00B95D2A" w:rsidRPr="00222643" w:rsidTr="00AC29DB">
        <w:trPr>
          <w:cantSplit/>
          <w:trHeight w:val="406"/>
        </w:trPr>
        <w:tc>
          <w:tcPr>
            <w:tcW w:w="250" w:type="dxa"/>
          </w:tcPr>
          <w:p w:rsidR="00B95D2A" w:rsidRPr="00883125" w:rsidRDefault="00B95D2A" w:rsidP="00B95D2A"/>
        </w:tc>
        <w:tc>
          <w:tcPr>
            <w:tcW w:w="2977" w:type="dxa"/>
            <w:gridSpan w:val="2"/>
          </w:tcPr>
          <w:p w:rsidR="00B95D2A" w:rsidRPr="00B95D2A" w:rsidRDefault="00B95D2A" w:rsidP="00B95D2A">
            <w:r w:rsidRPr="00883125">
              <w:t>Vo et al (2013)</w:t>
            </w:r>
            <w:r w:rsidRPr="00B95D2A">
              <w:rPr>
                <w:rStyle w:val="FootnoteReference"/>
              </w:rPr>
              <w:footnoteReference w:id="707"/>
            </w:r>
          </w:p>
        </w:tc>
        <w:tc>
          <w:tcPr>
            <w:tcW w:w="1346" w:type="dxa"/>
          </w:tcPr>
          <w:p w:rsidR="00B95D2A" w:rsidRPr="00883125" w:rsidRDefault="00B95D2A" w:rsidP="00B95D2A"/>
        </w:tc>
        <w:tc>
          <w:tcPr>
            <w:tcW w:w="1347" w:type="dxa"/>
          </w:tcPr>
          <w:p w:rsidR="00B95D2A" w:rsidRPr="00B95D2A" w:rsidRDefault="00B95D2A" w:rsidP="00B95D2A">
            <w:r w:rsidRPr="00883125">
              <w:t>0.35–0.55</w:t>
            </w:r>
            <w:r w:rsidRPr="00883125">
              <w:br/>
              <w:t>(2001–2012)</w:t>
            </w:r>
          </w:p>
        </w:tc>
        <w:tc>
          <w:tcPr>
            <w:tcW w:w="3260" w:type="dxa"/>
          </w:tcPr>
          <w:p w:rsidR="00B95D2A" w:rsidRPr="00B95D2A" w:rsidRDefault="00B95D2A" w:rsidP="00B95D2A">
            <w:r w:rsidRPr="00883125">
              <w:t>Range derived from large number of permutations and sensitivity tests.</w:t>
            </w:r>
          </w:p>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Pr>
        <w:tc>
          <w:tcPr>
            <w:tcW w:w="250" w:type="dxa"/>
          </w:tcPr>
          <w:p w:rsidR="00B95D2A" w:rsidRPr="00883125" w:rsidRDefault="00B95D2A" w:rsidP="00B95D2A"/>
        </w:tc>
        <w:tc>
          <w:tcPr>
            <w:tcW w:w="2977" w:type="dxa"/>
            <w:gridSpan w:val="2"/>
          </w:tcPr>
          <w:p w:rsidR="00B95D2A" w:rsidRPr="00B95D2A" w:rsidRDefault="00B95D2A" w:rsidP="00B95D2A">
            <w:r w:rsidRPr="00883125">
              <w:t xml:space="preserve">SFG </w:t>
            </w:r>
            <w:r w:rsidRPr="00B95D2A">
              <w:t>(2013a)</w:t>
            </w:r>
            <w:r w:rsidRPr="00B95D2A">
              <w:rPr>
                <w:rStyle w:val="FootnoteReference"/>
              </w:rPr>
              <w:footnoteReference w:id="708"/>
            </w:r>
          </w:p>
        </w:tc>
        <w:tc>
          <w:tcPr>
            <w:tcW w:w="1346" w:type="dxa"/>
          </w:tcPr>
          <w:p w:rsidR="00B95D2A" w:rsidRPr="00883125" w:rsidRDefault="00B95D2A" w:rsidP="00B95D2A"/>
        </w:tc>
        <w:tc>
          <w:tcPr>
            <w:tcW w:w="1347" w:type="dxa"/>
          </w:tcPr>
          <w:p w:rsidR="00B95D2A" w:rsidRPr="00B95D2A" w:rsidRDefault="00B95D2A" w:rsidP="00B95D2A">
            <w:r w:rsidRPr="00883125">
              <w:t>0.35</w:t>
            </w:r>
            <w:r w:rsidRPr="00883125">
              <w:br/>
              <w:t>(2001–2012)</w:t>
            </w:r>
          </w:p>
        </w:tc>
        <w:tc>
          <w:tcPr>
            <w:tcW w:w="3260" w:type="dxa"/>
          </w:tcPr>
          <w:p w:rsidR="00B95D2A" w:rsidRPr="00B95D2A" w:rsidRDefault="00B95D2A" w:rsidP="00B95D2A">
            <w:r w:rsidRPr="00883125">
              <w:t xml:space="preserve">Author's point estimate </w:t>
            </w:r>
            <w:r w:rsidRPr="00B95D2A">
              <w:t>across a number of different regression forms.</w:t>
            </w:r>
          </w:p>
        </w:tc>
      </w:tr>
      <w:tr w:rsidR="00B95D2A" w:rsidRPr="00222643" w:rsidTr="00AC29DB">
        <w:trPr>
          <w:cantSplit/>
        </w:trPr>
        <w:tc>
          <w:tcPr>
            <w:tcW w:w="250" w:type="dxa"/>
          </w:tcPr>
          <w:p w:rsidR="00B95D2A" w:rsidRPr="00883125" w:rsidRDefault="00B95D2A" w:rsidP="00B95D2A"/>
        </w:tc>
        <w:tc>
          <w:tcPr>
            <w:tcW w:w="2977" w:type="dxa"/>
            <w:gridSpan w:val="2"/>
          </w:tcPr>
          <w:p w:rsidR="00B95D2A" w:rsidRPr="00B95D2A" w:rsidRDefault="00B95D2A" w:rsidP="00B95D2A">
            <w:r w:rsidRPr="00883125">
              <w:t>SFG (2011)</w:t>
            </w:r>
            <w:r w:rsidRPr="00B95D2A">
              <w:rPr>
                <w:rStyle w:val="FootnoteReference"/>
              </w:rPr>
              <w:footnoteReference w:id="709"/>
            </w:r>
          </w:p>
        </w:tc>
        <w:tc>
          <w:tcPr>
            <w:tcW w:w="1346" w:type="dxa"/>
          </w:tcPr>
          <w:p w:rsidR="00B95D2A" w:rsidRPr="00883125" w:rsidRDefault="00B95D2A" w:rsidP="00B95D2A"/>
        </w:tc>
        <w:tc>
          <w:tcPr>
            <w:tcW w:w="1347" w:type="dxa"/>
          </w:tcPr>
          <w:p w:rsidR="00B95D2A" w:rsidRPr="00B95D2A" w:rsidRDefault="00B95D2A" w:rsidP="00B95D2A">
            <w:r w:rsidRPr="00883125">
              <w:t>0.35</w:t>
            </w:r>
            <w:r w:rsidRPr="00883125">
              <w:br/>
            </w:r>
            <w:r w:rsidRPr="00B95D2A">
              <w:t>(2001–2010)</w:t>
            </w:r>
          </w:p>
        </w:tc>
        <w:tc>
          <w:tcPr>
            <w:tcW w:w="3260" w:type="dxa"/>
          </w:tcPr>
          <w:p w:rsidR="00B95D2A" w:rsidRPr="00883125"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301"/>
        </w:trPr>
        <w:tc>
          <w:tcPr>
            <w:tcW w:w="250" w:type="dxa"/>
          </w:tcPr>
          <w:p w:rsidR="00B95D2A" w:rsidRPr="00883125" w:rsidRDefault="00B95D2A" w:rsidP="00B95D2A"/>
        </w:tc>
        <w:tc>
          <w:tcPr>
            <w:tcW w:w="2977" w:type="dxa"/>
            <w:gridSpan w:val="2"/>
          </w:tcPr>
          <w:p w:rsidR="00B95D2A" w:rsidRPr="00B95D2A" w:rsidRDefault="00B95D2A" w:rsidP="00B95D2A">
            <w:r w:rsidRPr="00883125">
              <w:t>Minney (2010)</w:t>
            </w:r>
            <w:r w:rsidRPr="00B95D2A">
              <w:rPr>
                <w:rStyle w:val="FootnoteReference"/>
              </w:rPr>
              <w:footnoteReference w:id="710"/>
            </w:r>
          </w:p>
        </w:tc>
        <w:tc>
          <w:tcPr>
            <w:tcW w:w="1346" w:type="dxa"/>
          </w:tcPr>
          <w:p w:rsidR="00B95D2A" w:rsidRPr="00883125" w:rsidRDefault="00B95D2A" w:rsidP="00B95D2A"/>
        </w:tc>
        <w:tc>
          <w:tcPr>
            <w:tcW w:w="1347" w:type="dxa"/>
          </w:tcPr>
          <w:p w:rsidR="00B95D2A" w:rsidRPr="00B95D2A" w:rsidRDefault="00B95D2A" w:rsidP="00B95D2A">
            <w:r w:rsidRPr="00883125">
              <w:t>0.39</w:t>
            </w:r>
            <w:r w:rsidRPr="00883125">
              <w:br/>
              <w:t>(2001–2009)</w:t>
            </w:r>
          </w:p>
        </w:tc>
        <w:tc>
          <w:tcPr>
            <w:tcW w:w="3260" w:type="dxa"/>
          </w:tcPr>
          <w:p w:rsidR="00B95D2A" w:rsidRPr="00B95D2A" w:rsidRDefault="00B95D2A" w:rsidP="00B95D2A">
            <w:r w:rsidRPr="00883125">
              <w:t xml:space="preserve">Average of results from 2001–2005 and 2006–2009 sub-periods. For the most recent </w:t>
            </w:r>
            <w:r w:rsidRPr="00B95D2A">
              <w:t>sub-period (2006–2009), utilisation rate is 0.53.</w:t>
            </w:r>
          </w:p>
        </w:tc>
      </w:tr>
      <w:tr w:rsidR="00B95D2A" w:rsidRPr="00222643" w:rsidTr="00AC29DB">
        <w:trPr>
          <w:cantSplit/>
          <w:trHeight w:val="720"/>
        </w:trPr>
        <w:tc>
          <w:tcPr>
            <w:tcW w:w="250" w:type="dxa"/>
          </w:tcPr>
          <w:p w:rsidR="00B95D2A" w:rsidRPr="00883125" w:rsidRDefault="00B95D2A" w:rsidP="00B95D2A"/>
        </w:tc>
        <w:tc>
          <w:tcPr>
            <w:tcW w:w="2977" w:type="dxa"/>
            <w:gridSpan w:val="2"/>
          </w:tcPr>
          <w:p w:rsidR="00B95D2A" w:rsidRPr="00B95D2A" w:rsidRDefault="00B95D2A" w:rsidP="00B95D2A">
            <w:r w:rsidRPr="00883125">
              <w:t xml:space="preserve">Beggs </w:t>
            </w:r>
            <w:r w:rsidRPr="00B95D2A">
              <w:t>and Skeels (2006)</w:t>
            </w:r>
            <w:r w:rsidRPr="00B95D2A">
              <w:rPr>
                <w:rStyle w:val="FootnoteReference"/>
              </w:rPr>
              <w:footnoteReference w:id="711"/>
            </w:r>
          </w:p>
        </w:tc>
        <w:tc>
          <w:tcPr>
            <w:tcW w:w="1346" w:type="dxa"/>
          </w:tcPr>
          <w:p w:rsidR="00B95D2A" w:rsidRPr="00B95D2A" w:rsidRDefault="00B95D2A" w:rsidP="00B95D2A">
            <w:r w:rsidRPr="00883125">
              <w:t>0.20</w:t>
            </w:r>
            <w:r w:rsidRPr="00883125">
              <w:br/>
              <w:t>(1992–1997)</w:t>
            </w:r>
          </w:p>
        </w:tc>
        <w:tc>
          <w:tcPr>
            <w:tcW w:w="1347" w:type="dxa"/>
          </w:tcPr>
          <w:p w:rsidR="00B95D2A" w:rsidRPr="00B95D2A" w:rsidRDefault="00B95D2A" w:rsidP="00B95D2A">
            <w:r w:rsidRPr="00883125">
              <w:t>0.57</w:t>
            </w:r>
            <w:r w:rsidRPr="00883125">
              <w:br/>
              <w:t>(2001–2004)</w:t>
            </w:r>
          </w:p>
        </w:tc>
        <w:tc>
          <w:tcPr>
            <w:tcW w:w="3260" w:type="dxa"/>
          </w:tcPr>
          <w:p w:rsidR="00B95D2A" w:rsidRPr="00B95D2A" w:rsidRDefault="00B95D2A" w:rsidP="00B95D2A">
            <w:r w:rsidRPr="00883125">
              <w:t xml:space="preserve">Several other </w:t>
            </w:r>
            <w:r w:rsidRPr="00B95D2A">
              <w:t>pre-2000 periods are presented.</w:t>
            </w:r>
          </w:p>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789"/>
        </w:trPr>
        <w:tc>
          <w:tcPr>
            <w:tcW w:w="250" w:type="dxa"/>
          </w:tcPr>
          <w:p w:rsidR="00B95D2A" w:rsidRPr="00883125" w:rsidRDefault="00B95D2A" w:rsidP="00B95D2A"/>
        </w:tc>
        <w:tc>
          <w:tcPr>
            <w:tcW w:w="2977" w:type="dxa"/>
            <w:gridSpan w:val="2"/>
          </w:tcPr>
          <w:p w:rsidR="00B95D2A" w:rsidRPr="00B95D2A" w:rsidRDefault="00B95D2A" w:rsidP="00B95D2A">
            <w:r w:rsidRPr="00883125">
              <w:t>Hathaway and Officer (2004)</w:t>
            </w:r>
            <w:r w:rsidRPr="00B95D2A">
              <w:rPr>
                <w:rStyle w:val="FootnoteReference"/>
              </w:rPr>
              <w:footnoteReference w:id="712"/>
            </w:r>
          </w:p>
        </w:tc>
        <w:tc>
          <w:tcPr>
            <w:tcW w:w="1346" w:type="dxa"/>
          </w:tcPr>
          <w:p w:rsidR="00B95D2A" w:rsidRPr="00B95D2A" w:rsidRDefault="00B95D2A" w:rsidP="00B95D2A">
            <w:r w:rsidRPr="00883125">
              <w:t>0.49</w:t>
            </w:r>
            <w:r w:rsidRPr="00883125">
              <w:br/>
              <w:t>(1986–2004)</w:t>
            </w:r>
          </w:p>
        </w:tc>
        <w:tc>
          <w:tcPr>
            <w:tcW w:w="1347" w:type="dxa"/>
          </w:tcPr>
          <w:p w:rsidR="00B95D2A" w:rsidRPr="00883125" w:rsidRDefault="00B95D2A" w:rsidP="00B95D2A"/>
        </w:tc>
        <w:tc>
          <w:tcPr>
            <w:tcW w:w="3260" w:type="dxa"/>
          </w:tcPr>
          <w:p w:rsidR="00B95D2A" w:rsidRPr="00B95D2A" w:rsidRDefault="00B95D2A" w:rsidP="00B95D2A">
            <w:r w:rsidRPr="00883125">
              <w:t xml:space="preserve">Authors suggest that estimate has increased </w:t>
            </w:r>
            <w:r w:rsidRPr="00B95D2A">
              <w:t>post-2000.</w:t>
            </w:r>
          </w:p>
        </w:tc>
      </w:tr>
      <w:tr w:rsidR="00B95D2A" w:rsidRPr="00222643" w:rsidTr="00AC29DB">
        <w:trPr>
          <w:cantSplit/>
        </w:trPr>
        <w:tc>
          <w:tcPr>
            <w:tcW w:w="250" w:type="dxa"/>
          </w:tcPr>
          <w:p w:rsidR="00B95D2A" w:rsidRPr="00883125" w:rsidRDefault="00B95D2A" w:rsidP="00B95D2A"/>
        </w:tc>
        <w:tc>
          <w:tcPr>
            <w:tcW w:w="2977" w:type="dxa"/>
            <w:gridSpan w:val="2"/>
          </w:tcPr>
          <w:p w:rsidR="00B95D2A" w:rsidRPr="00B95D2A" w:rsidRDefault="00B95D2A" w:rsidP="00B95D2A">
            <w:r w:rsidRPr="00883125">
              <w:t>Bellamy and Gray (2004)</w:t>
            </w:r>
            <w:r w:rsidRPr="00B95D2A">
              <w:rPr>
                <w:rStyle w:val="FootnoteReference"/>
              </w:rPr>
              <w:footnoteReference w:id="713"/>
            </w:r>
          </w:p>
        </w:tc>
        <w:tc>
          <w:tcPr>
            <w:tcW w:w="1346" w:type="dxa"/>
          </w:tcPr>
          <w:p w:rsidR="00B95D2A" w:rsidRPr="00B95D2A" w:rsidRDefault="00B95D2A" w:rsidP="00B95D2A">
            <w:r w:rsidRPr="00883125">
              <w:t>0.36</w:t>
            </w:r>
            <w:r w:rsidRPr="00883125">
              <w:br/>
              <w:t>(1995–2002)</w:t>
            </w:r>
          </w:p>
        </w:tc>
        <w:tc>
          <w:tcPr>
            <w:tcW w:w="1347" w:type="dxa"/>
          </w:tcPr>
          <w:p w:rsidR="00B95D2A" w:rsidRPr="00883125" w:rsidRDefault="00B95D2A" w:rsidP="00B95D2A"/>
        </w:tc>
        <w:tc>
          <w:tcPr>
            <w:tcW w:w="3260" w:type="dxa"/>
          </w:tcPr>
          <w:p w:rsidR="00B95D2A" w:rsidRPr="00B95D2A" w:rsidRDefault="00B95D2A" w:rsidP="00B95D2A">
            <w:r w:rsidRPr="00883125">
              <w:t>Range of</w:t>
            </w:r>
            <w:r w:rsidRPr="00B95D2A">
              <w:t xml:space="preserve"> 0.0–0.60 is also presented.</w:t>
            </w:r>
          </w:p>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Pr>
        <w:tc>
          <w:tcPr>
            <w:tcW w:w="250" w:type="dxa"/>
          </w:tcPr>
          <w:p w:rsidR="00B95D2A" w:rsidRPr="00883125" w:rsidRDefault="00B95D2A" w:rsidP="00B95D2A"/>
        </w:tc>
        <w:tc>
          <w:tcPr>
            <w:tcW w:w="2977" w:type="dxa"/>
            <w:gridSpan w:val="2"/>
          </w:tcPr>
          <w:p w:rsidR="00B95D2A" w:rsidRPr="00B95D2A" w:rsidRDefault="00B95D2A" w:rsidP="00B95D2A">
            <w:r w:rsidRPr="00883125">
              <w:t>Bruckner et al (1994)</w:t>
            </w:r>
            <w:r w:rsidRPr="00B95D2A">
              <w:rPr>
                <w:rStyle w:val="FootnoteReference"/>
              </w:rPr>
              <w:footnoteReference w:id="714"/>
            </w:r>
          </w:p>
        </w:tc>
        <w:tc>
          <w:tcPr>
            <w:tcW w:w="1346" w:type="dxa"/>
          </w:tcPr>
          <w:p w:rsidR="00B95D2A" w:rsidRPr="00B95D2A" w:rsidRDefault="00B95D2A" w:rsidP="00B95D2A">
            <w:r w:rsidRPr="00883125">
              <w:t>0.69</w:t>
            </w:r>
            <w:r w:rsidRPr="00883125">
              <w:br/>
            </w:r>
            <w:r w:rsidRPr="00B95D2A">
              <w:t>(1991–1993)</w:t>
            </w:r>
          </w:p>
        </w:tc>
        <w:tc>
          <w:tcPr>
            <w:tcW w:w="1347" w:type="dxa"/>
          </w:tcPr>
          <w:p w:rsidR="00B95D2A" w:rsidRPr="00883125" w:rsidRDefault="00B95D2A" w:rsidP="00B95D2A"/>
        </w:tc>
        <w:tc>
          <w:tcPr>
            <w:tcW w:w="3260" w:type="dxa"/>
          </w:tcPr>
          <w:p w:rsidR="00B95D2A" w:rsidRPr="00B95D2A" w:rsidRDefault="00B95D2A" w:rsidP="00B95D2A">
            <w:r w:rsidRPr="00883125">
              <w:t>Also present an earlier period (1987–1990).</w:t>
            </w:r>
          </w:p>
        </w:tc>
      </w:tr>
      <w:tr w:rsidR="00B95D2A" w:rsidRPr="00222643" w:rsidTr="00AC29DB">
        <w:trPr>
          <w:cantSplit/>
        </w:trPr>
        <w:tc>
          <w:tcPr>
            <w:tcW w:w="250" w:type="dxa"/>
          </w:tcPr>
          <w:p w:rsidR="00B95D2A" w:rsidRPr="00883125" w:rsidRDefault="00B95D2A" w:rsidP="00B95D2A"/>
        </w:tc>
        <w:tc>
          <w:tcPr>
            <w:tcW w:w="2977" w:type="dxa"/>
            <w:gridSpan w:val="2"/>
          </w:tcPr>
          <w:p w:rsidR="00B95D2A" w:rsidRPr="00B95D2A" w:rsidRDefault="00B95D2A" w:rsidP="00B95D2A">
            <w:r w:rsidRPr="00883125">
              <w:t>Brown and Clarke (1993)</w:t>
            </w:r>
            <w:r w:rsidRPr="00B95D2A">
              <w:rPr>
                <w:rStyle w:val="FootnoteReference"/>
              </w:rPr>
              <w:footnoteReference w:id="715"/>
            </w:r>
          </w:p>
        </w:tc>
        <w:tc>
          <w:tcPr>
            <w:tcW w:w="1346" w:type="dxa"/>
          </w:tcPr>
          <w:p w:rsidR="00B95D2A" w:rsidRPr="00B95D2A" w:rsidRDefault="00B95D2A" w:rsidP="00B95D2A">
            <w:r w:rsidRPr="00883125">
              <w:t>0.80</w:t>
            </w:r>
            <w:r w:rsidRPr="00883125">
              <w:br/>
              <w:t>(1988–1991)</w:t>
            </w:r>
          </w:p>
        </w:tc>
        <w:tc>
          <w:tcPr>
            <w:tcW w:w="1347" w:type="dxa"/>
          </w:tcPr>
          <w:p w:rsidR="00B95D2A" w:rsidRPr="00883125" w:rsidRDefault="00B95D2A" w:rsidP="00B95D2A"/>
        </w:tc>
        <w:tc>
          <w:tcPr>
            <w:tcW w:w="3260" w:type="dxa"/>
          </w:tcPr>
          <w:p w:rsidR="00B95D2A" w:rsidRPr="00883125" w:rsidRDefault="00B95D2A" w:rsidP="00B95D2A"/>
        </w:tc>
      </w:tr>
    </w:tbl>
    <w:p w:rsidR="00B95D2A" w:rsidRPr="00883125" w:rsidRDefault="00B95D2A" w:rsidP="00B95D2A">
      <w:pPr>
        <w:pStyle w:val="AERtablesource"/>
      </w:pPr>
      <w:r w:rsidRPr="00883125">
        <w:t xml:space="preserve">Source: </w:t>
      </w:r>
      <w:r w:rsidRPr="00883125">
        <w:tab/>
        <w:t>As specified in table.</w:t>
      </w:r>
    </w:p>
    <w:p w:rsidR="00B95D2A" w:rsidRDefault="00B95D2A" w:rsidP="00B95D2A">
      <w:pPr>
        <w:rPr>
          <w:rStyle w:val="AERbody"/>
        </w:rPr>
      </w:pPr>
      <w:bookmarkStart w:id="478"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 xml:space="preserve">is in the range of 0.35 to 0.57 when using post 2000 data and is in the range of 0.2 to 0.8 when using pre 2000 data. This is consistent with the finding in Ainsworth, Partington and Warren (2015) which considers that the dividend drop-off and </w:t>
      </w:r>
      <w:r w:rsidRPr="00B27BE5">
        <w:rPr>
          <w:rStyle w:val="AERbody"/>
        </w:rPr>
        <w:lastRenderedPageBreak/>
        <w:t>comparative pricing studies they examine would suggest that imputation credits are partially priced at about $0.38 in the dollar.</w:t>
      </w:r>
      <w:r w:rsidRPr="00B27BE5">
        <w:rPr>
          <w:rStyle w:val="FootnoteReference"/>
        </w:rPr>
        <w:footnoteReference w:id="716"/>
      </w:r>
    </w:p>
    <w:p w:rsidR="00B95D2A" w:rsidRPr="00A962CC" w:rsidRDefault="00B95D2A" w:rsidP="00B95D2A">
      <w:pPr>
        <w:rPr>
          <w:rStyle w:val="AERbody"/>
        </w:rPr>
      </w:pPr>
      <w:r w:rsidRPr="00A962CC">
        <w:rPr>
          <w:rStyle w:val="AERbody"/>
        </w:rPr>
        <w:t>Regulated businesses have solely rel</w:t>
      </w:r>
      <w:r w:rsidRPr="00E2259C">
        <w:rPr>
          <w:rStyle w:val="AERbody"/>
        </w:rPr>
        <w:t xml:space="preserve">ied </w:t>
      </w:r>
      <w:r w:rsidRPr="00B7446E">
        <w:rPr>
          <w:rStyle w:val="AERbody"/>
        </w:rPr>
        <w:t>on</w:t>
      </w:r>
      <w:r w:rsidRPr="007A77C1">
        <w:rPr>
          <w:rStyle w:val="AERbody"/>
        </w:rPr>
        <w:t xml:space="preserve"> the SFG 2011 dividend drop off study</w:t>
      </w:r>
      <w:r w:rsidRPr="00313CB3">
        <w:rPr>
          <w:rStyle w:val="AERbody"/>
        </w:rPr>
        <w:t xml:space="preserve"> </w:t>
      </w:r>
      <w:r w:rsidRPr="00B505F7">
        <w:rPr>
          <w:rStyle w:val="AERbody"/>
        </w:rPr>
        <w:t xml:space="preserve">to determine their theta estimate. Frontier </w:t>
      </w:r>
      <w:r w:rsidRPr="005A48E0">
        <w:rPr>
          <w:rStyle w:val="AERbody"/>
        </w:rPr>
        <w:t>has updated this SFG study for the most recent data and has concluded that a theta estimate of 0.35 still remains appropriate</w:t>
      </w:r>
      <w:r w:rsidRPr="00A962CC">
        <w:rPr>
          <w:rStyle w:val="AERbody"/>
        </w:rPr>
        <w:t>.</w:t>
      </w:r>
      <w:r w:rsidRPr="00A962CC">
        <w:rPr>
          <w:rStyle w:val="FootnoteReference"/>
        </w:rPr>
        <w:footnoteReference w:id="717"/>
      </w:r>
      <w:r w:rsidRPr="00A962CC">
        <w:rPr>
          <w:rStyle w:val="AERbody"/>
        </w:rPr>
        <w:t xml:space="preserve"> It is submitted that Professor Gray has exten</w:t>
      </w:r>
      <w:r w:rsidRPr="00E2259C">
        <w:rPr>
          <w:rStyle w:val="AERbody"/>
        </w:rPr>
        <w:t>ded the dataset from 2</w:t>
      </w:r>
      <w:r>
        <w:rPr>
          <w:rStyle w:val="AERbody"/>
        </w:rPr>
        <w:t>013 update through to June 2016. H</w:t>
      </w:r>
      <w:r w:rsidRPr="00E2259C">
        <w:rPr>
          <w:rStyle w:val="AERbody"/>
        </w:rPr>
        <w:t xml:space="preserve">aving undertaken the same analysis </w:t>
      </w:r>
      <w:r>
        <w:rPr>
          <w:rStyle w:val="AERbody"/>
        </w:rPr>
        <w:t xml:space="preserve">as in the SFG 2011 study, Gray </w:t>
      </w:r>
      <w:r w:rsidRPr="00E2259C">
        <w:rPr>
          <w:rStyle w:val="AERbody"/>
        </w:rPr>
        <w:t xml:space="preserve">concludes that the updated </w:t>
      </w:r>
      <w:r>
        <w:rPr>
          <w:rStyle w:val="AERbody"/>
        </w:rPr>
        <w:t xml:space="preserve">data </w:t>
      </w:r>
      <w:r w:rsidRPr="00E2259C">
        <w:rPr>
          <w:rStyle w:val="AERbody"/>
        </w:rPr>
        <w:t>supports an unchanged theta estimate of 0.35.</w:t>
      </w:r>
      <w:r w:rsidRPr="00A962CC">
        <w:rPr>
          <w:rStyle w:val="FootnoteReference"/>
        </w:rPr>
        <w:footnoteReference w:id="718"/>
      </w:r>
    </w:p>
    <w:p w:rsidR="00B95D2A" w:rsidRPr="00B505F7" w:rsidRDefault="00B95D2A" w:rsidP="00B95D2A">
      <w:pPr>
        <w:rPr>
          <w:rStyle w:val="AERbody"/>
        </w:rPr>
      </w:pPr>
      <w:r w:rsidRPr="00E2259C">
        <w:rPr>
          <w:rStyle w:val="AERbody"/>
        </w:rPr>
        <w:t>Lally has reviewed the update</w:t>
      </w:r>
      <w:r>
        <w:rPr>
          <w:rStyle w:val="AERbody"/>
        </w:rPr>
        <w:t>d</w:t>
      </w:r>
      <w:r w:rsidRPr="00E2259C">
        <w:rPr>
          <w:rStyle w:val="AERbody"/>
        </w:rPr>
        <w:t xml:space="preserve"> dividend drop-off study and found</w:t>
      </w:r>
      <w:r w:rsidRPr="00B7446E">
        <w:rPr>
          <w:rStyle w:val="AERbody"/>
        </w:rPr>
        <w:t xml:space="preserve"> th</w:t>
      </w:r>
      <w:r w:rsidRPr="007A77C1">
        <w:rPr>
          <w:rStyle w:val="AERbody"/>
        </w:rPr>
        <w:t>at</w:t>
      </w:r>
      <w:r w:rsidRPr="00313CB3">
        <w:rPr>
          <w:rStyle w:val="AERbody"/>
        </w:rPr>
        <w:t>:</w:t>
      </w:r>
    </w:p>
    <w:p w:rsidR="00B95D2A" w:rsidRPr="00B95D2A" w:rsidRDefault="00B95D2A" w:rsidP="00AC29DB">
      <w:pPr>
        <w:pStyle w:val="AERbulletlistfirststyle"/>
        <w:rPr>
          <w:rStyle w:val="AERbody"/>
        </w:rPr>
      </w:pPr>
      <w:r w:rsidRPr="00B505F7">
        <w:rPr>
          <w:rStyle w:val="AERbody"/>
        </w:rPr>
        <w:t>Other studies using market prices g</w:t>
      </w:r>
      <w:r w:rsidRPr="00B95D2A">
        <w:rPr>
          <w:rStyle w:val="AERbody"/>
        </w:rPr>
        <w:t>enerated a very wide range in the estimates of the utilisation rate, even over the same period. This damages the credibility of all such estimates unless it can be demonstrated that one methodology is clearly superior, which has not been done.</w:t>
      </w:r>
      <w:r w:rsidRPr="00B95D2A">
        <w:rPr>
          <w:rStyle w:val="FootnoteReference"/>
        </w:rPr>
        <w:footnoteReference w:id="719"/>
      </w:r>
    </w:p>
    <w:p w:rsidR="00B95D2A" w:rsidRPr="00B95D2A" w:rsidRDefault="00B95D2A" w:rsidP="00AC29DB">
      <w:pPr>
        <w:pStyle w:val="AERbulletlistfirststyle"/>
        <w:rPr>
          <w:rStyle w:val="AERbody"/>
        </w:rPr>
      </w:pPr>
      <w:r w:rsidRPr="00A316DD">
        <w:rPr>
          <w:rStyle w:val="AERbody"/>
        </w:rPr>
        <w:t>The variation over time in results from the same methodology does not exhibit a pattern that is consistent with changes in the tax regime, and this also damages the credibi</w:t>
      </w:r>
      <w:r w:rsidRPr="00B95D2A">
        <w:rPr>
          <w:rStyle w:val="AERbody"/>
        </w:rPr>
        <w:t>lity of all such estimates.</w:t>
      </w:r>
      <w:r w:rsidRPr="00B95D2A">
        <w:rPr>
          <w:rStyle w:val="FootnoteReference"/>
        </w:rPr>
        <w:footnoteReference w:id="720"/>
      </w:r>
    </w:p>
    <w:p w:rsidR="00B95D2A" w:rsidRPr="00B95D2A" w:rsidRDefault="00B95D2A" w:rsidP="00AC29DB">
      <w:pPr>
        <w:pStyle w:val="AERbulletlistfirststyle"/>
        <w:rPr>
          <w:rStyle w:val="AERbody"/>
        </w:rPr>
      </w:pPr>
      <w:r w:rsidRPr="000028DB">
        <w:rPr>
          <w:rStyle w:val="AERbody"/>
        </w:rPr>
        <w:t>Despite the very large sample size in Frontier's analysis, there is considerable statistical uncertainty in the results, arising from 'noise' in the data.</w:t>
      </w:r>
      <w:r w:rsidRPr="00B95D2A">
        <w:rPr>
          <w:rStyle w:val="FootnoteReference"/>
        </w:rPr>
        <w:footnoteReference w:id="721"/>
      </w:r>
    </w:p>
    <w:p w:rsidR="00B95D2A" w:rsidRPr="00B95D2A" w:rsidRDefault="00B95D2A" w:rsidP="00AC29DB">
      <w:pPr>
        <w:pStyle w:val="AERbulletlistfirststyle"/>
      </w:pPr>
      <w:r>
        <w:t>A</w:t>
      </w:r>
      <w:r w:rsidRPr="00B95D2A">
        <w:t>pplying the same methodology and data filtering rules to data from an almost identical period to that in SFG (2013), Vo et al (2013) generates some quite significant different</w:t>
      </w:r>
      <w:r w:rsidRPr="00AC29DB">
        <w:t xml:space="preserve"> point estimates for the coefficients on the credits and their standard errors</w:t>
      </w:r>
      <w:r w:rsidRPr="00B95D2A">
        <w:t xml:space="preserve"> in contrast to SFG (2013)</w:t>
      </w:r>
      <w:r w:rsidRPr="00AC29DB">
        <w:t>. This damages the credibility of both sets of estimates.</w:t>
      </w:r>
      <w:r w:rsidRPr="00B95D2A">
        <w:rPr>
          <w:rStyle w:val="FootnoteReference"/>
        </w:rPr>
        <w:t xml:space="preserve"> </w:t>
      </w:r>
      <w:r w:rsidRPr="00B95D2A">
        <w:rPr>
          <w:rStyle w:val="FootnoteReference"/>
        </w:rPr>
        <w:footnoteReference w:id="722"/>
      </w:r>
    </w:p>
    <w:p w:rsidR="00B95D2A" w:rsidRPr="00B95D2A" w:rsidRDefault="00B95D2A" w:rsidP="00AC29DB">
      <w:pPr>
        <w:pStyle w:val="AERbulletlistfirststyle"/>
      </w:pPr>
      <w:r w:rsidRPr="00AC29DB">
        <w:t>Frontier’s method of assessing the impact of outliers on the result</w:t>
      </w:r>
      <w:r w:rsidRPr="00AC29DB">
        <w:rPr>
          <w:rStyle w:val="FootnoteReference"/>
        </w:rPr>
        <w:footnoteReference w:id="723"/>
      </w:r>
      <w:r w:rsidRPr="00AC29DB">
        <w:t xml:space="preserve"> is unconventional and would have the effect of suppressing the apparent impact of </w:t>
      </w:r>
      <w:r w:rsidRPr="00AC29DB">
        <w:lastRenderedPageBreak/>
        <w:t>outliers upon the estimated franking credit coefficient. Consistent with this, Vo et al’s (2013) more conventional approach</w:t>
      </w:r>
      <w:r w:rsidRPr="00AC29DB">
        <w:rPr>
          <w:rStyle w:val="FootnoteReference"/>
        </w:rPr>
        <w:footnoteReference w:id="724"/>
      </w:r>
      <w:r w:rsidRPr="00AC29DB">
        <w:t xml:space="preserve"> shows more variation in the results.</w:t>
      </w:r>
      <w:r w:rsidRPr="00B95D2A">
        <w:rPr>
          <w:rStyle w:val="FootnoteReference"/>
        </w:rPr>
        <w:footnoteReference w:id="725"/>
      </w:r>
    </w:p>
    <w:p w:rsidR="00B95D2A" w:rsidRPr="00B95D2A" w:rsidRDefault="00B95D2A" w:rsidP="00AC29DB">
      <w:pPr>
        <w:pStyle w:val="AERbulletlistfirststyle"/>
      </w:pPr>
      <w:r w:rsidRPr="00A962CC">
        <w:t>I</w:t>
      </w:r>
      <w:r w:rsidRPr="00AC29DB">
        <w:t>n respect of the robust regression models used by both Frontier (2016a) and Vo et al (2013), Frontier adopts the default option value for the “tuning coefficient” in the models whilst Vo et al considers various values of this “tuning coefficient” and obtains significantly different estimates of the coefficient on franking credits to that of SFG (2013), across the range of values for the tuning coefficient and for each of SFG’s four models</w:t>
      </w:r>
      <w:r w:rsidRPr="00B95D2A">
        <w:t>.</w:t>
      </w:r>
      <w:r w:rsidRPr="00B95D2A">
        <w:rPr>
          <w:rStyle w:val="FootnoteReference"/>
        </w:rPr>
        <w:t xml:space="preserve"> </w:t>
      </w:r>
      <w:r w:rsidRPr="00B95D2A">
        <w:rPr>
          <w:rStyle w:val="FootnoteReference"/>
        </w:rPr>
        <w:footnoteReference w:id="726"/>
      </w:r>
    </w:p>
    <w:p w:rsidR="00B95D2A" w:rsidRPr="00B95D2A" w:rsidRDefault="00B95D2A" w:rsidP="00AC29DB">
      <w:pPr>
        <w:pStyle w:val="AERbulletlistfirststyle"/>
      </w:pPr>
      <w:r w:rsidRPr="00AC29DB">
        <w:t>Frontier do</w:t>
      </w:r>
      <w:r w:rsidRPr="00B95D2A">
        <w:t>es</w:t>
      </w:r>
      <w:r w:rsidRPr="00AC29DB">
        <w:t xml:space="preserve"> not include a constant in their regression model, the case for doing so is not clear, and </w:t>
      </w:r>
      <w:r w:rsidRPr="00B95D2A">
        <w:t xml:space="preserve">the </w:t>
      </w:r>
      <w:r w:rsidRPr="00AC29DB">
        <w:t>omission of the constant could materially alter the estimate for the coefficient on the franking credits.</w:t>
      </w:r>
      <w:r w:rsidRPr="00B95D2A">
        <w:rPr>
          <w:rStyle w:val="FootnoteReference"/>
        </w:rPr>
        <w:footnoteReference w:id="727"/>
      </w:r>
    </w:p>
    <w:p w:rsidR="00B95D2A" w:rsidRPr="00B95D2A" w:rsidRDefault="00B95D2A" w:rsidP="00AC29DB">
      <w:pPr>
        <w:pStyle w:val="AERbulletlistfirststyle"/>
      </w:pPr>
      <w:r w:rsidRPr="00AC29DB">
        <w:t>Frontier deletes observations from companies with a market cap below 0.03% of the market index. Since they also (sensibly) delete observations if trades are not present on both the cum and ex-dividend dates, this company size rule has no apparent merit. Furthermore, the choice of 0.03% is highly arbitrary, the rule tends to exclude observations that are least likely to be contaminated by tax arbitrage (the best ones), and the rule may have significantly biased Frontier’s results.</w:t>
      </w:r>
      <w:r w:rsidRPr="00B95D2A">
        <w:rPr>
          <w:rStyle w:val="FootnoteReference"/>
        </w:rPr>
        <w:footnoteReference w:id="728"/>
      </w:r>
    </w:p>
    <w:p w:rsidR="00B95D2A" w:rsidRPr="00B95D2A" w:rsidRDefault="00B95D2A" w:rsidP="00AC29DB">
      <w:pPr>
        <w:pStyle w:val="AERbulletlistfirststyle"/>
      </w:pPr>
      <w:r w:rsidRPr="00AC29DB">
        <w:t xml:space="preserve">Frontier </w:t>
      </w:r>
      <w:r w:rsidRPr="00B95D2A">
        <w:t>favours</w:t>
      </w:r>
      <w:r w:rsidRPr="00AC29DB">
        <w:t xml:space="preserve"> results from Model 4, but their basis for doing so (as described in SFG, 2011) is inadequate in failing to use formal tests and in using the wrong type of graphical analysis.</w:t>
      </w:r>
      <w:r w:rsidRPr="00AC29DB">
        <w:rPr>
          <w:rStyle w:val="FootnoteReference"/>
        </w:rPr>
        <w:footnoteReference w:id="729"/>
      </w:r>
    </w:p>
    <w:p w:rsidR="00B95D2A" w:rsidRPr="00B95D2A" w:rsidRDefault="00B95D2A" w:rsidP="00AC29DB">
      <w:pPr>
        <w:pStyle w:val="AERbulletlistfirststyle"/>
      </w:pPr>
      <w:r>
        <w:t>A</w:t>
      </w:r>
      <w:r w:rsidRPr="00B95D2A">
        <w:t>lthough the utilisation rate is a value-weighted average over all investors in the market, the use of DDO studies will produce an estimate of it that reflects the action of tax arbitrageurs, and these investors may be quite unrepresentative of the entire market.</w:t>
      </w:r>
      <w:r w:rsidRPr="00B95D2A">
        <w:rPr>
          <w:rStyle w:val="FootnoteReference"/>
        </w:rPr>
        <w:footnoteReference w:id="730"/>
      </w:r>
    </w:p>
    <w:p w:rsidR="00B95D2A" w:rsidRPr="00B95D2A" w:rsidRDefault="00B95D2A" w:rsidP="00AC29DB">
      <w:pPr>
        <w:pStyle w:val="AERbulletlistfirststyle"/>
      </w:pPr>
      <w:r>
        <w:t>M</w:t>
      </w:r>
      <w:r w:rsidRPr="00B95D2A">
        <w:t>any DDO studies have identified various anomalies that cannot be attributed to any kind of tax explanation, this raises the possibility that ex-day behaviour is also affected by factors other than taxes, and this concern has been raised by a number of researchers in this area (including Professor Gray himself).</w:t>
      </w:r>
      <w:r w:rsidRPr="00B95D2A">
        <w:rPr>
          <w:rStyle w:val="FootnoteReference"/>
        </w:rPr>
        <w:footnoteReference w:id="731"/>
      </w:r>
    </w:p>
    <w:p w:rsidR="00B95D2A" w:rsidRDefault="00B95D2A" w:rsidP="00B95D2A">
      <w:pPr>
        <w:rPr>
          <w:rStyle w:val="AERbody"/>
        </w:rPr>
      </w:pPr>
      <w:r>
        <w:rPr>
          <w:rStyle w:val="AERbody"/>
        </w:rPr>
        <w:lastRenderedPageBreak/>
        <w:t>Lally notes that most of the issues identified above are inherent in the dividend drop off approach and cannot be overcome by an alternative dividend drop off methodology.</w:t>
      </w:r>
      <w:r w:rsidRPr="00313CB3">
        <w:rPr>
          <w:rStyle w:val="FootnoteReference"/>
        </w:rPr>
        <w:t xml:space="preserve"> </w:t>
      </w:r>
      <w:r w:rsidRPr="00A962CC">
        <w:rPr>
          <w:rStyle w:val="FootnoteReference"/>
        </w:rPr>
        <w:footnoteReference w:id="732"/>
      </w:r>
      <w:r>
        <w:rPr>
          <w:rStyle w:val="AERbody"/>
        </w:rPr>
        <w:t xml:space="preserve"> However, some points can be overcome by:</w:t>
      </w:r>
      <w:r w:rsidRPr="00A962CC">
        <w:rPr>
          <w:rStyle w:val="FootnoteReference"/>
        </w:rPr>
        <w:footnoteReference w:id="733"/>
      </w:r>
    </w:p>
    <w:p w:rsidR="00B95D2A" w:rsidRPr="00B95D2A" w:rsidRDefault="00B95D2A" w:rsidP="00AC29DB">
      <w:pPr>
        <w:pStyle w:val="AERbulletlistfirststyle"/>
        <w:rPr>
          <w:rStyle w:val="AERbody"/>
        </w:rPr>
      </w:pPr>
      <w:r>
        <w:rPr>
          <w:rStyle w:val="AERbody"/>
        </w:rPr>
        <w:t xml:space="preserve">Dividing the estimate </w:t>
      </w:r>
      <w:r w:rsidRPr="00B95D2A">
        <w:rPr>
          <w:rStyle w:val="AERbody"/>
        </w:rPr>
        <w:t>coefficient on the credit by the estimate on cash dividends</w:t>
      </w:r>
    </w:p>
    <w:p w:rsidR="00B95D2A" w:rsidRPr="00B95D2A" w:rsidRDefault="00B95D2A" w:rsidP="00AC29DB">
      <w:pPr>
        <w:pStyle w:val="AERbulletlistfirststyle"/>
        <w:rPr>
          <w:rStyle w:val="AERbody"/>
        </w:rPr>
      </w:pPr>
      <w:r>
        <w:rPr>
          <w:rStyle w:val="AERbody"/>
        </w:rPr>
        <w:t xml:space="preserve">Assessing </w:t>
      </w:r>
      <w:r w:rsidR="001132B3">
        <w:rPr>
          <w:rStyle w:val="AERbody"/>
        </w:rPr>
        <w:t>the effect of outli</w:t>
      </w:r>
      <w:r w:rsidRPr="00B95D2A">
        <w:rPr>
          <w:rStyle w:val="AERbody"/>
        </w:rPr>
        <w:t>ers individually rather in pairs</w:t>
      </w:r>
    </w:p>
    <w:p w:rsidR="00B95D2A" w:rsidRPr="00B95D2A" w:rsidRDefault="00B95D2A" w:rsidP="00AC29DB">
      <w:pPr>
        <w:pStyle w:val="AERbulletlistfirststyle"/>
        <w:rPr>
          <w:rStyle w:val="AERbody"/>
        </w:rPr>
      </w:pPr>
      <w:r>
        <w:rPr>
          <w:rStyle w:val="AERbody"/>
        </w:rPr>
        <w:t>Presenting resul</w:t>
      </w:r>
      <w:r w:rsidRPr="00B95D2A">
        <w:rPr>
          <w:rStyle w:val="AERbody"/>
        </w:rPr>
        <w:t>ts for a range of values for the tuning coefficient in robust regression</w:t>
      </w:r>
    </w:p>
    <w:p w:rsidR="00B95D2A" w:rsidRPr="00B95D2A" w:rsidRDefault="00B95D2A" w:rsidP="00AC29DB">
      <w:pPr>
        <w:pStyle w:val="AERbulletlistfirststyle"/>
        <w:rPr>
          <w:rStyle w:val="AERbody"/>
        </w:rPr>
      </w:pPr>
      <w:r>
        <w:rPr>
          <w:rStyle w:val="AERbody"/>
        </w:rPr>
        <w:t xml:space="preserve">Additionally </w:t>
      </w:r>
      <w:r w:rsidRPr="00B95D2A">
        <w:rPr>
          <w:rStyle w:val="AERbody"/>
        </w:rPr>
        <w:t>presenting results with a constant in the regression model</w:t>
      </w:r>
    </w:p>
    <w:p w:rsidR="00B95D2A" w:rsidRPr="00B95D2A" w:rsidRDefault="00B95D2A" w:rsidP="00AC29DB">
      <w:pPr>
        <w:pStyle w:val="AERbulletlistfirststyle"/>
        <w:rPr>
          <w:rStyle w:val="AERbody"/>
        </w:rPr>
      </w:pPr>
      <w:r>
        <w:rPr>
          <w:rStyle w:val="AERbody"/>
        </w:rPr>
        <w:t>Not</w:t>
      </w:r>
      <w:r w:rsidRPr="00B95D2A">
        <w:rPr>
          <w:rStyle w:val="AERbody"/>
        </w:rPr>
        <w:t xml:space="preserve"> deleting observations from small companies</w:t>
      </w:r>
    </w:p>
    <w:p w:rsidR="00B95D2A" w:rsidRDefault="00B95D2A" w:rsidP="00B95D2A">
      <w:pPr>
        <w:rPr>
          <w:rStyle w:val="AERbody"/>
        </w:rPr>
      </w:pPr>
      <w:r>
        <w:rPr>
          <w:rStyle w:val="AERbody"/>
        </w:rPr>
        <w:t>As a result of the analysis from Lally, we remain of the view that estimates from the 2011 SFG dividend drop off study and subsequent 2016 update should be given less weight for estimating the value of theta than the use of estimates from taxation statistics and the equity ownership approach. Lally considers that the drawbacks identified are so severs as to warrant giving the lowest weight on the results from dividend drop off studies.</w:t>
      </w:r>
      <w:r>
        <w:rPr>
          <w:rStyle w:val="FootnoteReference"/>
        </w:rPr>
        <w:footnoteReference w:id="734"/>
      </w:r>
    </w:p>
    <w:p w:rsidR="00B95D2A" w:rsidRDefault="00B95D2A" w:rsidP="00780170">
      <w:pPr>
        <w:rPr>
          <w:rStyle w:val="AERbody"/>
        </w:rPr>
      </w:pPr>
      <w:r>
        <w:rPr>
          <w:rStyle w:val="AERbody"/>
        </w:rPr>
        <w:t>Further, we do not agree that Professor Gray has undertaken the same analysis that was undertaken in the 2011 study</w:t>
      </w:r>
      <w:r w:rsidRPr="000A20C4">
        <w:rPr>
          <w:rStyle w:val="AERbody"/>
        </w:rPr>
        <w:t xml:space="preserve"> </w:t>
      </w:r>
      <w:r>
        <w:rPr>
          <w:rStyle w:val="AERbody"/>
        </w:rPr>
        <w:t>when updating the study for the most recent data. We have reviewed the 2016 Frontier</w:t>
      </w:r>
      <w:r w:rsidR="001132B3">
        <w:rPr>
          <w:rStyle w:val="AERbody"/>
        </w:rPr>
        <w:t>'</w:t>
      </w:r>
      <w:r>
        <w:rPr>
          <w:rStyle w:val="AERbody"/>
        </w:rPr>
        <w:t>s paper and note that it does not determine a new point estimate for theta using the most recent data as per the 2011 study. Rather it determines whether a theta of 0.35 is within the confidence intervals around all of the specifications and hence remains an appropriate estimate for theta.</w:t>
      </w:r>
    </w:p>
    <w:p w:rsidR="00B95D2A" w:rsidRPr="00780170" w:rsidRDefault="00B95D2A" w:rsidP="00780170">
      <w:pPr>
        <w:pStyle w:val="AERquote"/>
        <w:rPr>
          <w:rStyle w:val="AERbody"/>
          <w:color w:val="000000"/>
          <w:sz w:val="20"/>
        </w:rPr>
      </w:pPr>
      <w:r w:rsidRPr="00780170">
        <w:rPr>
          <w:rStyle w:val="AERbody"/>
          <w:color w:val="000000"/>
          <w:sz w:val="20"/>
        </w:rPr>
        <w:t>We begin by noting that our preferred final estimate of 0.35 lies within the standard statistical 95% confidence interval for all of the specifications. The range of overlap in the confidence intervals is from 0.26 to 0.41, which has a mid-point of 0.34.</w:t>
      </w:r>
      <w:r w:rsidRPr="00780170">
        <w:rPr>
          <w:rStyle w:val="FootnoteReference"/>
        </w:rPr>
        <w:footnoteReference w:id="735"/>
      </w:r>
    </w:p>
    <w:p w:rsidR="00B95D2A" w:rsidRDefault="00B95D2A" w:rsidP="00780170">
      <w:pPr>
        <w:rPr>
          <w:rStyle w:val="AERbody"/>
        </w:rPr>
      </w:pPr>
      <w:r>
        <w:rPr>
          <w:rStyle w:val="AERbody"/>
        </w:rPr>
        <w:t>However, we consider that such an approach is inappropriate and Frontier should determine a new point estimate using the most recent data. In the 2011 study SFG used the following methodology to get a point estimate:</w:t>
      </w:r>
    </w:p>
    <w:p w:rsidR="00B95D2A" w:rsidRPr="00780170" w:rsidRDefault="00B95D2A" w:rsidP="00780170">
      <w:pPr>
        <w:pStyle w:val="AERquote"/>
        <w:rPr>
          <w:rStyle w:val="AERbody"/>
          <w:color w:val="000000"/>
          <w:sz w:val="20"/>
        </w:rPr>
      </w:pPr>
      <w:r w:rsidRPr="00780170">
        <w:rPr>
          <w:rStyle w:val="AERbody"/>
          <w:color w:val="000000"/>
          <w:sz w:val="20"/>
        </w:rPr>
        <w:t>In determining a final recommendation point estimate, we assign more weight to the results of Model specification 4 and to the results of robustness regression estimation. This is because these results are the most stable and consistent across the range of sensitivity analysis and robustness checks that we have performed. In this regards, we note that:</w:t>
      </w:r>
    </w:p>
    <w:p w:rsidR="00B95D2A" w:rsidRPr="00AC29DB" w:rsidRDefault="00B95D2A" w:rsidP="00B95D2A">
      <w:pPr>
        <w:pStyle w:val="AERquote"/>
        <w:rPr>
          <w:rStyle w:val="AERbody"/>
        </w:rPr>
      </w:pPr>
      <w:r w:rsidRPr="00B95D2A">
        <w:rPr>
          <w:rStyle w:val="AERbody"/>
        </w:rPr>
        <w:lastRenderedPageBreak/>
        <w:t xml:space="preserve">a. The average of the robust regression estimate of theta in Table 6 is 0.34; and </w:t>
      </w:r>
    </w:p>
    <w:p w:rsidR="00B95D2A" w:rsidRPr="00B95D2A" w:rsidRDefault="00B95D2A" w:rsidP="00B95D2A">
      <w:pPr>
        <w:pStyle w:val="AERquote"/>
        <w:rPr>
          <w:rStyle w:val="AERbody"/>
        </w:rPr>
      </w:pPr>
      <w:r w:rsidRPr="00B95D2A">
        <w:rPr>
          <w:rStyle w:val="AERbody"/>
        </w:rPr>
        <w:t>b. The average of the estimate of theta from Model Specification 4 across Table 5 to 8 is 0.35.</w:t>
      </w:r>
      <w:r w:rsidRPr="00B95D2A">
        <w:rPr>
          <w:rStyle w:val="FootnoteReference"/>
        </w:rPr>
        <w:t xml:space="preserve"> </w:t>
      </w:r>
      <w:r w:rsidRPr="00C32CF1">
        <w:rPr>
          <w:rStyle w:val="FootnoteReference"/>
        </w:rPr>
        <w:footnoteReference w:id="736"/>
      </w:r>
    </w:p>
    <w:p w:rsidR="00B95D2A" w:rsidRPr="006C300E" w:rsidRDefault="00B95D2A" w:rsidP="00780170">
      <w:pPr>
        <w:rPr>
          <w:rStyle w:val="AERbody"/>
        </w:rPr>
      </w:pPr>
      <w:r w:rsidRPr="00625A3E">
        <w:rPr>
          <w:rStyle w:val="AERbody"/>
        </w:rPr>
        <w:t xml:space="preserve">We note that Frontier in </w:t>
      </w:r>
      <w:r w:rsidR="001132B3" w:rsidRPr="00625A3E">
        <w:rPr>
          <w:rStyle w:val="AERbody"/>
        </w:rPr>
        <w:t>its</w:t>
      </w:r>
      <w:r w:rsidRPr="00625A3E">
        <w:rPr>
          <w:rStyle w:val="AERbody"/>
        </w:rPr>
        <w:t xml:space="preserve"> most recent report </w:t>
      </w:r>
      <w:r w:rsidR="001132B3" w:rsidRPr="00625A3E">
        <w:rPr>
          <w:rStyle w:val="AERbody"/>
        </w:rPr>
        <w:t>has</w:t>
      </w:r>
      <w:r w:rsidRPr="006C300E">
        <w:rPr>
          <w:rStyle w:val="AERbody"/>
        </w:rPr>
        <w:t xml:space="preserve"> not provided enough data to compute a new point estimate as per the methodology in the 2011 SFG study. However, from the data that has been presented it appears the point estimate may</w:t>
      </w:r>
      <w:r w:rsidRPr="009B1202">
        <w:rPr>
          <w:rStyle w:val="AERbody"/>
        </w:rPr>
        <w:t xml:space="preserve"> have slightly increased.</w:t>
      </w:r>
      <w:r w:rsidRPr="00F2175D">
        <w:rPr>
          <w:rStyle w:val="AERsuperscript"/>
        </w:rPr>
        <w:footnoteReference w:id="737"/>
      </w:r>
      <w:r w:rsidRPr="00F2175D">
        <w:rPr>
          <w:rStyle w:val="AERsuperscript"/>
        </w:rPr>
        <w:t xml:space="preserve"> </w:t>
      </w:r>
      <w:r w:rsidRPr="00625A3E">
        <w:rPr>
          <w:rStyle w:val="AERbody"/>
        </w:rPr>
        <w:t>Overall from the new Frontier report the only outcome that can be obtained is that that theta is in between 0.26 to 0.41.</w:t>
      </w:r>
    </w:p>
    <w:p w:rsidR="00B95D2A" w:rsidRPr="00625A3E" w:rsidRDefault="00B95D2A" w:rsidP="00780170">
      <w:pPr>
        <w:rPr>
          <w:rStyle w:val="AERbody"/>
        </w:rPr>
      </w:pPr>
      <w:r w:rsidRPr="009B1202">
        <w:rPr>
          <w:rStyle w:val="AERbody"/>
        </w:rPr>
        <w:t xml:space="preserve">Lally considers that given Frontier </w:t>
      </w:r>
      <w:r w:rsidRPr="00F2175D">
        <w:rPr>
          <w:rStyle w:val="AERbody"/>
        </w:rPr>
        <w:t>methodology and results, and having a preference for Model 4, a 0.35 theta estimate is reasonable.</w:t>
      </w:r>
      <w:r w:rsidRPr="00F2175D">
        <w:rPr>
          <w:rStyle w:val="AERsuperscript"/>
        </w:rPr>
        <w:footnoteReference w:id="738"/>
      </w:r>
      <w:r w:rsidRPr="00625A3E">
        <w:rPr>
          <w:rStyle w:val="AERbody"/>
        </w:rPr>
        <w:t xml:space="preserve"> However, Lally does have concerns with the methodology and this has been highlighted above.</w:t>
      </w:r>
      <w:r w:rsidRPr="00F2175D">
        <w:rPr>
          <w:rStyle w:val="AERsuperscript"/>
        </w:rPr>
        <w:footnoteReference w:id="739"/>
      </w:r>
    </w:p>
    <w:p w:rsidR="00B95D2A" w:rsidRPr="009B1202" w:rsidRDefault="00B95D2A" w:rsidP="00B95D2A">
      <w:pPr>
        <w:rPr>
          <w:rStyle w:val="AERbody"/>
        </w:rPr>
      </w:pPr>
      <w:r w:rsidRPr="006C300E">
        <w:rPr>
          <w:rStyle w:val="AERbody"/>
        </w:rPr>
        <w:br w:type="page"/>
      </w:r>
    </w:p>
    <w:p w:rsidR="00B95D2A" w:rsidRPr="00883125" w:rsidRDefault="00B95D2A" w:rsidP="00B95D2A">
      <w:pPr>
        <w:pStyle w:val="Caption"/>
      </w:pPr>
      <w:bookmarkStart w:id="479" w:name="_Ref449538408"/>
      <w:r w:rsidRPr="00883125">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noBreakHyphen/>
      </w:r>
      <w:r w:rsidRPr="001D37D5">
        <w:fldChar w:fldCharType="begin"/>
      </w:r>
      <w:r>
        <w:instrText xml:space="preserve"> SEQ Table \* ARABIC \s 1 </w:instrText>
      </w:r>
      <w:r w:rsidRPr="001D37D5">
        <w:fldChar w:fldCharType="separate"/>
      </w:r>
      <w:r w:rsidR="003E419A">
        <w:rPr>
          <w:noProof/>
        </w:rPr>
        <w:t>20</w:t>
      </w:r>
      <w:r w:rsidRPr="001D37D5">
        <w:fldChar w:fldCharType="end"/>
      </w:r>
      <w:bookmarkEnd w:id="478"/>
      <w:bookmarkEnd w:id="479"/>
      <w:r w:rsidRPr="00883125">
        <w:tab/>
        <w:t>Estimates of the utilisation rate from alternative market value studies</w:t>
      </w:r>
    </w:p>
    <w:tbl>
      <w:tblPr>
        <w:tblStyle w:val="AERtable-text0"/>
        <w:tblW w:w="0" w:type="auto"/>
        <w:tblLayout w:type="fixed"/>
        <w:tblLook w:val="04A0" w:firstRow="1" w:lastRow="0" w:firstColumn="1" w:lastColumn="0" w:noHBand="0" w:noVBand="1"/>
      </w:tblPr>
      <w:tblGrid>
        <w:gridCol w:w="392"/>
        <w:gridCol w:w="2835"/>
        <w:gridCol w:w="1346"/>
        <w:gridCol w:w="1347"/>
        <w:gridCol w:w="3260"/>
        <w:gridCol w:w="62"/>
      </w:tblGrid>
      <w:tr w:rsidR="00B95D2A" w:rsidRPr="00222643" w:rsidTr="00AC29DB">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B95D2A" w:rsidRPr="00883125" w:rsidRDefault="00B95D2A" w:rsidP="00B95D2A"/>
        </w:tc>
        <w:tc>
          <w:tcPr>
            <w:tcW w:w="2835" w:type="dxa"/>
          </w:tcPr>
          <w:p w:rsidR="00B95D2A" w:rsidRPr="00B95D2A" w:rsidRDefault="00B95D2A" w:rsidP="00B95D2A">
            <w:r w:rsidRPr="00883125">
              <w:t>Authors</w:t>
            </w:r>
          </w:p>
        </w:tc>
        <w:tc>
          <w:tcPr>
            <w:tcW w:w="1346" w:type="dxa"/>
          </w:tcPr>
          <w:p w:rsidR="00B95D2A" w:rsidRPr="00B95D2A" w:rsidRDefault="00B95D2A" w:rsidP="00B95D2A">
            <w:r w:rsidRPr="00883125">
              <w:t>Pre-2000 results</w:t>
            </w:r>
          </w:p>
        </w:tc>
        <w:tc>
          <w:tcPr>
            <w:tcW w:w="1347" w:type="dxa"/>
          </w:tcPr>
          <w:p w:rsidR="00B95D2A" w:rsidRPr="00B95D2A" w:rsidRDefault="00B95D2A" w:rsidP="00B95D2A">
            <w:r w:rsidRPr="00883125">
              <w:t>Post-2000 results</w:t>
            </w:r>
          </w:p>
        </w:tc>
        <w:tc>
          <w:tcPr>
            <w:tcW w:w="3260" w:type="dxa"/>
          </w:tcPr>
          <w:p w:rsidR="00B95D2A" w:rsidRPr="00B95D2A" w:rsidRDefault="00B95D2A" w:rsidP="00B95D2A">
            <w:r w:rsidRPr="00883125">
              <w:t>Notes</w:t>
            </w:r>
          </w:p>
        </w:tc>
      </w:tr>
      <w:tr w:rsidR="00B95D2A" w:rsidRPr="00222643" w:rsidTr="00AC29DB">
        <w:trPr>
          <w:cantSplit/>
          <w:trHeight w:val="479"/>
        </w:trPr>
        <w:tc>
          <w:tcPr>
            <w:tcW w:w="3227" w:type="dxa"/>
            <w:gridSpan w:val="2"/>
          </w:tcPr>
          <w:p w:rsidR="00B95D2A" w:rsidRPr="00B95D2A" w:rsidRDefault="00B95D2A" w:rsidP="00B95D2A">
            <w:pPr>
              <w:rPr>
                <w:rStyle w:val="Strong"/>
              </w:rPr>
            </w:pPr>
            <w:r w:rsidRPr="00883125">
              <w:rPr>
                <w:rStyle w:val="Strong"/>
              </w:rPr>
              <w:t>Dividend drop off study using hybrids</w:t>
            </w:r>
          </w:p>
        </w:tc>
        <w:tc>
          <w:tcPr>
            <w:tcW w:w="1346" w:type="dxa"/>
          </w:tcPr>
          <w:p w:rsidR="00B95D2A" w:rsidRPr="00883125" w:rsidRDefault="00B95D2A" w:rsidP="00B95D2A"/>
        </w:tc>
        <w:tc>
          <w:tcPr>
            <w:tcW w:w="1347" w:type="dxa"/>
          </w:tcPr>
          <w:p w:rsidR="00B95D2A" w:rsidRPr="00883125" w:rsidRDefault="00B95D2A" w:rsidP="00B95D2A"/>
        </w:tc>
        <w:tc>
          <w:tcPr>
            <w:tcW w:w="3322" w:type="dxa"/>
            <w:gridSpan w:val="2"/>
          </w:tcPr>
          <w:p w:rsidR="00B95D2A" w:rsidRPr="00883125"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Pr>
        <w:tc>
          <w:tcPr>
            <w:tcW w:w="392" w:type="dxa"/>
          </w:tcPr>
          <w:p w:rsidR="00B95D2A" w:rsidRPr="00883125" w:rsidRDefault="00B95D2A" w:rsidP="00B95D2A"/>
        </w:tc>
        <w:tc>
          <w:tcPr>
            <w:tcW w:w="2835" w:type="dxa"/>
          </w:tcPr>
          <w:p w:rsidR="00B95D2A" w:rsidRPr="00B95D2A" w:rsidRDefault="00B95D2A" w:rsidP="00B95D2A">
            <w:r w:rsidRPr="00883125">
              <w:t>Feuerherdt, Gray and Hall (2010)</w:t>
            </w:r>
            <w:r w:rsidRPr="00B95D2A">
              <w:rPr>
                <w:rStyle w:val="FootnoteReference"/>
              </w:rPr>
              <w:footnoteReference w:id="740"/>
            </w:r>
          </w:p>
        </w:tc>
        <w:tc>
          <w:tcPr>
            <w:tcW w:w="1346" w:type="dxa"/>
          </w:tcPr>
          <w:p w:rsidR="00B95D2A" w:rsidRPr="00B95D2A" w:rsidRDefault="00B95D2A" w:rsidP="00B95D2A">
            <w:r w:rsidRPr="00883125">
              <w:t>N/A</w:t>
            </w:r>
            <w:r w:rsidRPr="00883125">
              <w:br/>
              <w:t>(1995–2002)</w:t>
            </w:r>
          </w:p>
        </w:tc>
        <w:tc>
          <w:tcPr>
            <w:tcW w:w="1347" w:type="dxa"/>
          </w:tcPr>
          <w:p w:rsidR="00B95D2A" w:rsidRPr="00883125" w:rsidRDefault="00B95D2A" w:rsidP="00B95D2A"/>
        </w:tc>
        <w:tc>
          <w:tcPr>
            <w:tcW w:w="3322" w:type="dxa"/>
            <w:gridSpan w:val="2"/>
          </w:tcPr>
          <w:p w:rsidR="00B95D2A" w:rsidRPr="00B95D2A" w:rsidRDefault="00B95D2A" w:rsidP="00B95D2A">
            <w:r w:rsidRPr="00883125">
              <w:t xml:space="preserve">Combined drop </w:t>
            </w:r>
            <w:r w:rsidRPr="00B95D2A">
              <w:t>off of 1.0. With dividends at full value, this is a utilisation rate of 0.</w:t>
            </w:r>
          </w:p>
        </w:tc>
      </w:tr>
      <w:tr w:rsidR="00B95D2A" w:rsidRPr="00222643" w:rsidTr="00AC29DB">
        <w:trPr>
          <w:cantSplit/>
        </w:trPr>
        <w:tc>
          <w:tcPr>
            <w:tcW w:w="3227" w:type="dxa"/>
            <w:gridSpan w:val="2"/>
          </w:tcPr>
          <w:p w:rsidR="00B95D2A" w:rsidRPr="00B95D2A" w:rsidRDefault="00B95D2A" w:rsidP="00B95D2A">
            <w:pPr>
              <w:rPr>
                <w:rStyle w:val="Strong"/>
              </w:rPr>
            </w:pPr>
            <w:r w:rsidRPr="00883125">
              <w:rPr>
                <w:rStyle w:val="Strong"/>
              </w:rPr>
              <w:t xml:space="preserve">Futures study (individual or </w:t>
            </w:r>
            <w:r w:rsidRPr="00B95D2A">
              <w:rPr>
                <w:rStyle w:val="Strong"/>
              </w:rPr>
              <w:t>index)</w:t>
            </w:r>
          </w:p>
        </w:tc>
        <w:tc>
          <w:tcPr>
            <w:tcW w:w="1346" w:type="dxa"/>
          </w:tcPr>
          <w:p w:rsidR="00B95D2A" w:rsidRPr="00883125" w:rsidRDefault="00B95D2A" w:rsidP="00B95D2A">
            <w:pPr>
              <w:rPr>
                <w:rStyle w:val="Strong"/>
              </w:rPr>
            </w:pPr>
          </w:p>
        </w:tc>
        <w:tc>
          <w:tcPr>
            <w:tcW w:w="1347" w:type="dxa"/>
          </w:tcPr>
          <w:p w:rsidR="00B95D2A" w:rsidRPr="00883125" w:rsidRDefault="00B95D2A" w:rsidP="00B95D2A"/>
        </w:tc>
        <w:tc>
          <w:tcPr>
            <w:tcW w:w="3322" w:type="dxa"/>
            <w:gridSpan w:val="2"/>
          </w:tcPr>
          <w:p w:rsidR="00B95D2A" w:rsidRPr="00883125"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542"/>
        </w:trPr>
        <w:tc>
          <w:tcPr>
            <w:tcW w:w="392" w:type="dxa"/>
          </w:tcPr>
          <w:p w:rsidR="00B95D2A" w:rsidRPr="00883125" w:rsidRDefault="00B95D2A" w:rsidP="00B95D2A"/>
        </w:tc>
        <w:tc>
          <w:tcPr>
            <w:tcW w:w="2835" w:type="dxa"/>
          </w:tcPr>
          <w:p w:rsidR="00B95D2A" w:rsidRPr="00B95D2A" w:rsidRDefault="00B95D2A" w:rsidP="00B95D2A">
            <w:r w:rsidRPr="00883125">
              <w:t xml:space="preserve">SFG </w:t>
            </w:r>
            <w:r w:rsidRPr="00B95D2A">
              <w:t>(2013b)</w:t>
            </w:r>
            <w:r w:rsidRPr="00B95D2A">
              <w:rPr>
                <w:rStyle w:val="FootnoteReference"/>
              </w:rPr>
              <w:footnoteReference w:id="741"/>
            </w:r>
          </w:p>
        </w:tc>
        <w:tc>
          <w:tcPr>
            <w:tcW w:w="1346" w:type="dxa"/>
          </w:tcPr>
          <w:p w:rsidR="00B95D2A" w:rsidRPr="00883125" w:rsidRDefault="00B95D2A" w:rsidP="00B95D2A"/>
        </w:tc>
        <w:tc>
          <w:tcPr>
            <w:tcW w:w="1347" w:type="dxa"/>
          </w:tcPr>
          <w:p w:rsidR="00B95D2A" w:rsidRPr="00B95D2A" w:rsidRDefault="00B95D2A" w:rsidP="00B95D2A">
            <w:r w:rsidRPr="00883125">
              <w:t>0.12</w:t>
            </w:r>
            <w:r w:rsidRPr="00883125">
              <w:br/>
              <w:t>(2000–2013)</w:t>
            </w:r>
          </w:p>
        </w:tc>
        <w:tc>
          <w:tcPr>
            <w:tcW w:w="3322" w:type="dxa"/>
            <w:gridSpan w:val="2"/>
          </w:tcPr>
          <w:p w:rsidR="00B95D2A" w:rsidRPr="00B95D2A" w:rsidRDefault="00B95D2A" w:rsidP="00B95D2A">
            <w:r w:rsidRPr="00883125">
              <w:t>Uses individual firms.</w:t>
            </w:r>
          </w:p>
        </w:tc>
      </w:tr>
      <w:tr w:rsidR="00B95D2A" w:rsidRPr="00222643" w:rsidTr="00AC29DB">
        <w:trPr>
          <w:cantSplit/>
          <w:trHeight w:val="465"/>
        </w:trPr>
        <w:tc>
          <w:tcPr>
            <w:tcW w:w="392" w:type="dxa"/>
          </w:tcPr>
          <w:p w:rsidR="00B95D2A" w:rsidRPr="00883125" w:rsidRDefault="00B95D2A" w:rsidP="00B95D2A"/>
        </w:tc>
        <w:tc>
          <w:tcPr>
            <w:tcW w:w="2835" w:type="dxa"/>
          </w:tcPr>
          <w:p w:rsidR="00B95D2A" w:rsidRPr="00B95D2A" w:rsidRDefault="00B95D2A" w:rsidP="00B95D2A">
            <w:r w:rsidRPr="00883125">
              <w:t>Cannavan et al (2004)</w:t>
            </w:r>
            <w:r w:rsidRPr="00B95D2A">
              <w:rPr>
                <w:rStyle w:val="FootnoteReference"/>
              </w:rPr>
              <w:footnoteReference w:id="742"/>
            </w:r>
          </w:p>
        </w:tc>
        <w:tc>
          <w:tcPr>
            <w:tcW w:w="1346" w:type="dxa"/>
          </w:tcPr>
          <w:p w:rsidR="00B95D2A" w:rsidRPr="00B95D2A" w:rsidRDefault="00B95D2A" w:rsidP="00B95D2A">
            <w:r w:rsidRPr="00883125">
              <w:t>0–0.15</w:t>
            </w:r>
            <w:r w:rsidRPr="00883125">
              <w:br/>
              <w:t>(1994–1999)</w:t>
            </w:r>
          </w:p>
        </w:tc>
        <w:tc>
          <w:tcPr>
            <w:tcW w:w="1347" w:type="dxa"/>
          </w:tcPr>
          <w:p w:rsidR="00B95D2A" w:rsidRPr="00883125" w:rsidRDefault="00B95D2A" w:rsidP="00B95D2A"/>
        </w:tc>
        <w:tc>
          <w:tcPr>
            <w:tcW w:w="3322" w:type="dxa"/>
            <w:gridSpan w:val="2"/>
          </w:tcPr>
          <w:p w:rsidR="00B95D2A" w:rsidRPr="00B95D2A" w:rsidRDefault="00B95D2A" w:rsidP="00B95D2A">
            <w:r w:rsidRPr="00883125">
              <w:t>Uses individual firms.</w:t>
            </w:r>
          </w:p>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Pr>
        <w:tc>
          <w:tcPr>
            <w:tcW w:w="392" w:type="dxa"/>
          </w:tcPr>
          <w:p w:rsidR="00B95D2A" w:rsidRPr="00883125" w:rsidRDefault="00B95D2A" w:rsidP="00B95D2A"/>
        </w:tc>
        <w:tc>
          <w:tcPr>
            <w:tcW w:w="2835" w:type="dxa"/>
          </w:tcPr>
          <w:p w:rsidR="00B95D2A" w:rsidRPr="00B95D2A" w:rsidRDefault="00B95D2A" w:rsidP="00B95D2A">
            <w:r w:rsidRPr="00883125">
              <w:t xml:space="preserve">Cummings and </w:t>
            </w:r>
            <w:r w:rsidRPr="00B95D2A">
              <w:t>Frino (2008)</w:t>
            </w:r>
            <w:r w:rsidRPr="00B95D2A">
              <w:rPr>
                <w:rStyle w:val="FootnoteReference"/>
              </w:rPr>
              <w:footnoteReference w:id="743"/>
            </w:r>
          </w:p>
        </w:tc>
        <w:tc>
          <w:tcPr>
            <w:tcW w:w="1346" w:type="dxa"/>
          </w:tcPr>
          <w:p w:rsidR="00B95D2A" w:rsidRPr="00883125" w:rsidRDefault="00B95D2A" w:rsidP="00B95D2A"/>
        </w:tc>
        <w:tc>
          <w:tcPr>
            <w:tcW w:w="1347" w:type="dxa"/>
          </w:tcPr>
          <w:p w:rsidR="00B95D2A" w:rsidRPr="00B95D2A" w:rsidRDefault="00B95D2A" w:rsidP="00B95D2A">
            <w:r w:rsidRPr="00883125">
              <w:t>0.52</w:t>
            </w:r>
            <w:r w:rsidRPr="00883125">
              <w:br/>
              <w:t>(2002–2005)</w:t>
            </w:r>
          </w:p>
        </w:tc>
        <w:tc>
          <w:tcPr>
            <w:tcW w:w="3322" w:type="dxa"/>
            <w:gridSpan w:val="2"/>
          </w:tcPr>
          <w:p w:rsidR="00B95D2A" w:rsidRPr="00B95D2A" w:rsidRDefault="00B95D2A" w:rsidP="00B95D2A">
            <w:r w:rsidRPr="00883125">
              <w:t>Uses index.</w:t>
            </w:r>
          </w:p>
        </w:tc>
      </w:tr>
      <w:tr w:rsidR="00B95D2A" w:rsidRPr="00222643" w:rsidTr="00AC29DB">
        <w:trPr>
          <w:cantSplit/>
        </w:trPr>
        <w:tc>
          <w:tcPr>
            <w:tcW w:w="3227" w:type="dxa"/>
            <w:gridSpan w:val="2"/>
          </w:tcPr>
          <w:p w:rsidR="00B95D2A" w:rsidRPr="00B95D2A" w:rsidRDefault="00B95D2A" w:rsidP="00B95D2A">
            <w:pPr>
              <w:rPr>
                <w:rStyle w:val="Strong"/>
              </w:rPr>
            </w:pPr>
            <w:r w:rsidRPr="00883125">
              <w:rPr>
                <w:rStyle w:val="Strong"/>
              </w:rPr>
              <w:t>Rate of return study</w:t>
            </w:r>
          </w:p>
        </w:tc>
        <w:tc>
          <w:tcPr>
            <w:tcW w:w="1346" w:type="dxa"/>
          </w:tcPr>
          <w:p w:rsidR="00B95D2A" w:rsidRPr="00883125" w:rsidRDefault="00B95D2A" w:rsidP="00B95D2A"/>
        </w:tc>
        <w:tc>
          <w:tcPr>
            <w:tcW w:w="1347" w:type="dxa"/>
          </w:tcPr>
          <w:p w:rsidR="00B95D2A" w:rsidRPr="00883125" w:rsidRDefault="00B95D2A" w:rsidP="00B95D2A"/>
        </w:tc>
        <w:tc>
          <w:tcPr>
            <w:tcW w:w="3322" w:type="dxa"/>
            <w:gridSpan w:val="2"/>
          </w:tcPr>
          <w:p w:rsidR="00B95D2A" w:rsidRPr="00883125"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Pr>
        <w:tc>
          <w:tcPr>
            <w:tcW w:w="392" w:type="dxa"/>
          </w:tcPr>
          <w:p w:rsidR="00B95D2A" w:rsidRPr="00883125" w:rsidRDefault="00B95D2A" w:rsidP="00B95D2A"/>
        </w:tc>
        <w:tc>
          <w:tcPr>
            <w:tcW w:w="2835" w:type="dxa"/>
          </w:tcPr>
          <w:p w:rsidR="00B95D2A" w:rsidRPr="00B95D2A" w:rsidRDefault="00B95D2A" w:rsidP="00B95D2A">
            <w:r w:rsidRPr="00883125">
              <w:t>NERA (2013b)</w:t>
            </w:r>
            <w:r w:rsidRPr="00B95D2A">
              <w:rPr>
                <w:rStyle w:val="FootnoteReference"/>
              </w:rPr>
              <w:footnoteReference w:id="744"/>
            </w:r>
          </w:p>
        </w:tc>
        <w:tc>
          <w:tcPr>
            <w:tcW w:w="1346" w:type="dxa"/>
          </w:tcPr>
          <w:p w:rsidR="00B95D2A" w:rsidRPr="00B95D2A" w:rsidRDefault="00B95D2A" w:rsidP="00B95D2A">
            <w:r w:rsidRPr="00883125">
              <w:t>-1.57</w:t>
            </w:r>
            <w:r w:rsidRPr="00883125">
              <w:br/>
              <w:t>(1987–2000)</w:t>
            </w:r>
          </w:p>
        </w:tc>
        <w:tc>
          <w:tcPr>
            <w:tcW w:w="1347" w:type="dxa"/>
          </w:tcPr>
          <w:p w:rsidR="00B95D2A" w:rsidRPr="00B95D2A" w:rsidRDefault="00B95D2A" w:rsidP="00B95D2A">
            <w:r w:rsidRPr="00883125">
              <w:t>-1.90</w:t>
            </w:r>
            <w:r w:rsidRPr="00883125">
              <w:br/>
              <w:t>(2000–2012)</w:t>
            </w:r>
          </w:p>
        </w:tc>
        <w:tc>
          <w:tcPr>
            <w:tcW w:w="3322" w:type="dxa"/>
            <w:gridSpan w:val="2"/>
          </w:tcPr>
          <w:p w:rsidR="00B95D2A" w:rsidRPr="00B95D2A" w:rsidRDefault="00B95D2A" w:rsidP="00B95D2A">
            <w:r w:rsidRPr="00883125">
              <w:t>Uses past returns. For the entire period, estimate is -1.50.</w:t>
            </w:r>
          </w:p>
        </w:tc>
      </w:tr>
      <w:tr w:rsidR="00B95D2A" w:rsidRPr="00222643" w:rsidTr="00AC29DB">
        <w:trPr>
          <w:cantSplit/>
          <w:trHeight w:val="535"/>
        </w:trPr>
        <w:tc>
          <w:tcPr>
            <w:tcW w:w="392" w:type="dxa"/>
          </w:tcPr>
          <w:p w:rsidR="00B95D2A" w:rsidRPr="00883125" w:rsidRDefault="00B95D2A" w:rsidP="00B95D2A"/>
        </w:tc>
        <w:tc>
          <w:tcPr>
            <w:tcW w:w="2835" w:type="dxa"/>
          </w:tcPr>
          <w:p w:rsidR="00B95D2A" w:rsidRPr="00B95D2A" w:rsidRDefault="00B95D2A" w:rsidP="00B95D2A">
            <w:r w:rsidRPr="00883125">
              <w:t>Lajbcygier and Wheatley (2012)</w:t>
            </w:r>
            <w:r w:rsidRPr="00B95D2A">
              <w:rPr>
                <w:rStyle w:val="FootnoteReference"/>
              </w:rPr>
              <w:footnoteReference w:id="745"/>
            </w:r>
          </w:p>
        </w:tc>
        <w:tc>
          <w:tcPr>
            <w:tcW w:w="1346" w:type="dxa"/>
          </w:tcPr>
          <w:p w:rsidR="00B95D2A" w:rsidRPr="00B95D2A" w:rsidRDefault="00B95D2A" w:rsidP="00B95D2A">
            <w:r w:rsidRPr="00883125">
              <w:t>-1.57</w:t>
            </w:r>
            <w:r w:rsidRPr="00883125">
              <w:br/>
              <w:t>(1987–2000)</w:t>
            </w:r>
          </w:p>
        </w:tc>
        <w:tc>
          <w:tcPr>
            <w:tcW w:w="1347" w:type="dxa"/>
          </w:tcPr>
          <w:p w:rsidR="00B95D2A" w:rsidRPr="00B95D2A" w:rsidRDefault="00B95D2A" w:rsidP="00B95D2A">
            <w:r w:rsidRPr="00883125">
              <w:t>-1.68</w:t>
            </w:r>
            <w:r w:rsidRPr="00883125">
              <w:br/>
            </w:r>
            <w:r w:rsidRPr="00B95D2A">
              <w:t>(2000–2009)</w:t>
            </w:r>
          </w:p>
        </w:tc>
        <w:tc>
          <w:tcPr>
            <w:tcW w:w="3322" w:type="dxa"/>
            <w:gridSpan w:val="2"/>
          </w:tcPr>
          <w:p w:rsidR="00B95D2A" w:rsidRPr="00B95D2A" w:rsidRDefault="00B95D2A" w:rsidP="00B95D2A">
            <w:r w:rsidRPr="00883125">
              <w:t>Uses</w:t>
            </w:r>
            <w:r w:rsidRPr="00B95D2A">
              <w:t xml:space="preserve"> past returns. For the entire period, estimate is -1.88</w:t>
            </w:r>
          </w:p>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95D2A" w:rsidRPr="00883125" w:rsidRDefault="00B95D2A" w:rsidP="00B95D2A"/>
        </w:tc>
        <w:tc>
          <w:tcPr>
            <w:tcW w:w="2835" w:type="dxa"/>
          </w:tcPr>
          <w:p w:rsidR="00B95D2A" w:rsidRPr="00B95D2A" w:rsidRDefault="00B95D2A" w:rsidP="00B95D2A">
            <w:r w:rsidRPr="00883125">
              <w:t>Siau et al (2013)</w:t>
            </w:r>
            <w:r w:rsidRPr="00B95D2A">
              <w:rPr>
                <w:rStyle w:val="FootnoteReference"/>
              </w:rPr>
              <w:footnoteReference w:id="746"/>
            </w:r>
          </w:p>
        </w:tc>
        <w:tc>
          <w:tcPr>
            <w:tcW w:w="1346" w:type="dxa"/>
          </w:tcPr>
          <w:p w:rsidR="00B95D2A" w:rsidRPr="00883125" w:rsidRDefault="00B95D2A" w:rsidP="00B95D2A"/>
        </w:tc>
        <w:tc>
          <w:tcPr>
            <w:tcW w:w="1347" w:type="dxa"/>
          </w:tcPr>
          <w:p w:rsidR="00B95D2A" w:rsidRPr="00B95D2A" w:rsidRDefault="00B95D2A" w:rsidP="00B95D2A">
            <w:r w:rsidRPr="00883125">
              <w:t>-0.29–0.30</w:t>
            </w:r>
            <w:r w:rsidRPr="00883125">
              <w:br/>
              <w:t>(1996–2011)</w:t>
            </w:r>
          </w:p>
        </w:tc>
        <w:tc>
          <w:tcPr>
            <w:tcW w:w="3322" w:type="dxa"/>
            <w:gridSpan w:val="2"/>
          </w:tcPr>
          <w:p w:rsidR="00B95D2A" w:rsidRPr="00B95D2A" w:rsidRDefault="00B95D2A" w:rsidP="00B95D2A">
            <w:r w:rsidRPr="00883125">
              <w:t xml:space="preserve">Uses forecast </w:t>
            </w:r>
            <w:r w:rsidRPr="00B95D2A">
              <w:t>returns. Note range is from negative 0.29 to positive 0.30.</w:t>
            </w:r>
          </w:p>
        </w:tc>
      </w:tr>
      <w:tr w:rsidR="00B95D2A" w:rsidRPr="00222643" w:rsidTr="00AC29DB">
        <w:trPr>
          <w:cantSplit/>
          <w:trHeight w:val="299"/>
        </w:trPr>
        <w:tc>
          <w:tcPr>
            <w:tcW w:w="392" w:type="dxa"/>
          </w:tcPr>
          <w:p w:rsidR="00B95D2A" w:rsidRPr="00883125" w:rsidRDefault="00B95D2A" w:rsidP="00B95D2A"/>
        </w:tc>
        <w:tc>
          <w:tcPr>
            <w:tcW w:w="2835" w:type="dxa"/>
          </w:tcPr>
          <w:p w:rsidR="00B95D2A" w:rsidRPr="00B95D2A" w:rsidRDefault="00B95D2A" w:rsidP="00B95D2A">
            <w:r w:rsidRPr="00883125">
              <w:t>Siau et al (2015)</w:t>
            </w:r>
            <w:r w:rsidRPr="00B95D2A">
              <w:rPr>
                <w:rStyle w:val="FootnoteReference"/>
              </w:rPr>
              <w:footnoteReference w:id="747"/>
            </w:r>
          </w:p>
        </w:tc>
        <w:tc>
          <w:tcPr>
            <w:tcW w:w="1346" w:type="dxa"/>
          </w:tcPr>
          <w:p w:rsidR="00B95D2A" w:rsidRPr="00883125" w:rsidRDefault="00B95D2A" w:rsidP="00B95D2A"/>
        </w:tc>
        <w:tc>
          <w:tcPr>
            <w:tcW w:w="1347" w:type="dxa"/>
          </w:tcPr>
          <w:p w:rsidR="00B95D2A" w:rsidRPr="00B95D2A" w:rsidRDefault="00B95D2A" w:rsidP="00B95D2A">
            <w:r w:rsidRPr="00883125">
              <w:t>-0.29–0.30</w:t>
            </w:r>
            <w:r w:rsidRPr="00883125">
              <w:br/>
              <w:t>(1996–2011)</w:t>
            </w:r>
          </w:p>
        </w:tc>
        <w:tc>
          <w:tcPr>
            <w:tcW w:w="3322" w:type="dxa"/>
            <w:gridSpan w:val="2"/>
          </w:tcPr>
          <w:p w:rsidR="00B95D2A" w:rsidRPr="00B95D2A" w:rsidRDefault="00B95D2A" w:rsidP="00B95D2A">
            <w:r w:rsidRPr="00883125">
              <w:t xml:space="preserve">Uses forecast returns. Note range is from negative 0.29 to positive 0.30. </w:t>
            </w:r>
          </w:p>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B95D2A" w:rsidRPr="00883125" w:rsidRDefault="00B95D2A" w:rsidP="00B95D2A"/>
        </w:tc>
        <w:tc>
          <w:tcPr>
            <w:tcW w:w="2835" w:type="dxa"/>
          </w:tcPr>
          <w:p w:rsidR="00B95D2A" w:rsidRPr="00B95D2A" w:rsidRDefault="00B95D2A" w:rsidP="00B95D2A">
            <w:r w:rsidRPr="00883125">
              <w:t>NERA (2015)</w:t>
            </w:r>
            <w:r w:rsidRPr="00B95D2A">
              <w:rPr>
                <w:rStyle w:val="FootnoteReference"/>
              </w:rPr>
              <w:footnoteReference w:id="748"/>
            </w:r>
          </w:p>
        </w:tc>
        <w:tc>
          <w:tcPr>
            <w:tcW w:w="1346" w:type="dxa"/>
          </w:tcPr>
          <w:p w:rsidR="00B95D2A" w:rsidRPr="00B95D2A" w:rsidRDefault="00B95D2A" w:rsidP="00B95D2A">
            <w:r w:rsidRPr="00883125">
              <w:t>-0.90                         (1987-2000)</w:t>
            </w:r>
          </w:p>
        </w:tc>
        <w:tc>
          <w:tcPr>
            <w:tcW w:w="1347" w:type="dxa"/>
          </w:tcPr>
          <w:p w:rsidR="00B95D2A" w:rsidRPr="00B95D2A" w:rsidRDefault="00B95D2A" w:rsidP="00B95D2A">
            <w:r w:rsidRPr="00883125">
              <w:t xml:space="preserve">-3.18              </w:t>
            </w:r>
            <w:r w:rsidRPr="00B95D2A">
              <w:t xml:space="preserve">      (2000-2013)</w:t>
            </w:r>
          </w:p>
        </w:tc>
        <w:tc>
          <w:tcPr>
            <w:tcW w:w="3322" w:type="dxa"/>
            <w:gridSpan w:val="2"/>
          </w:tcPr>
          <w:p w:rsidR="00B95D2A" w:rsidRPr="00B95D2A" w:rsidRDefault="00B95D2A" w:rsidP="00B95D2A">
            <w:r w:rsidRPr="00883125">
              <w:t>Uses past returns. For the entire period, estimate is -1.76</w:t>
            </w:r>
          </w:p>
        </w:tc>
      </w:tr>
      <w:tr w:rsidR="00B95D2A" w:rsidRPr="00222643" w:rsidTr="00AC29DB">
        <w:trPr>
          <w:cantSplit/>
          <w:trHeight w:val="402"/>
        </w:trPr>
        <w:tc>
          <w:tcPr>
            <w:tcW w:w="3227" w:type="dxa"/>
            <w:gridSpan w:val="2"/>
          </w:tcPr>
          <w:p w:rsidR="00B95D2A" w:rsidRPr="00B95D2A" w:rsidRDefault="00B95D2A" w:rsidP="00B95D2A">
            <w:pPr>
              <w:rPr>
                <w:rStyle w:val="Strong"/>
              </w:rPr>
            </w:pPr>
            <w:r w:rsidRPr="00883125">
              <w:rPr>
                <w:rStyle w:val="Strong"/>
              </w:rPr>
              <w:lastRenderedPageBreak/>
              <w:t>Simultaneous share trades</w:t>
            </w:r>
          </w:p>
        </w:tc>
        <w:tc>
          <w:tcPr>
            <w:tcW w:w="1346" w:type="dxa"/>
          </w:tcPr>
          <w:p w:rsidR="00B95D2A" w:rsidRPr="00883125" w:rsidRDefault="00B95D2A" w:rsidP="00B95D2A"/>
        </w:tc>
        <w:tc>
          <w:tcPr>
            <w:tcW w:w="1347" w:type="dxa"/>
          </w:tcPr>
          <w:p w:rsidR="00B95D2A" w:rsidRPr="00883125" w:rsidRDefault="00B95D2A" w:rsidP="00B95D2A"/>
        </w:tc>
        <w:tc>
          <w:tcPr>
            <w:tcW w:w="3322" w:type="dxa"/>
            <w:gridSpan w:val="2"/>
          </w:tcPr>
          <w:p w:rsidR="00B95D2A" w:rsidRPr="00883125"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B95D2A" w:rsidRPr="00883125" w:rsidRDefault="00B95D2A" w:rsidP="00B95D2A"/>
        </w:tc>
        <w:tc>
          <w:tcPr>
            <w:tcW w:w="2835" w:type="dxa"/>
          </w:tcPr>
          <w:p w:rsidR="00B95D2A" w:rsidRPr="00B95D2A" w:rsidRDefault="00B95D2A" w:rsidP="00B95D2A">
            <w:r w:rsidRPr="00883125">
              <w:t>Chu and Partington (2008)</w:t>
            </w:r>
            <w:r w:rsidRPr="00B95D2A">
              <w:rPr>
                <w:rStyle w:val="FootnoteReference"/>
              </w:rPr>
              <w:footnoteReference w:id="749"/>
            </w:r>
          </w:p>
        </w:tc>
        <w:tc>
          <w:tcPr>
            <w:tcW w:w="1346" w:type="dxa"/>
          </w:tcPr>
          <w:p w:rsidR="00B95D2A" w:rsidRPr="00B95D2A" w:rsidRDefault="00B95D2A" w:rsidP="00B95D2A">
            <w:r w:rsidRPr="00883125">
              <w:t>N/A</w:t>
            </w:r>
            <w:r w:rsidRPr="00883125">
              <w:br/>
              <w:t>(1996)</w:t>
            </w:r>
          </w:p>
        </w:tc>
        <w:tc>
          <w:tcPr>
            <w:tcW w:w="1347" w:type="dxa"/>
          </w:tcPr>
          <w:p w:rsidR="00B95D2A" w:rsidRPr="00883125" w:rsidRDefault="00B95D2A" w:rsidP="00B95D2A"/>
        </w:tc>
        <w:tc>
          <w:tcPr>
            <w:tcW w:w="3322" w:type="dxa"/>
            <w:gridSpan w:val="2"/>
          </w:tcPr>
          <w:p w:rsidR="00B95D2A" w:rsidRPr="00B95D2A" w:rsidRDefault="00B95D2A" w:rsidP="00B95D2A">
            <w:r w:rsidRPr="00883125">
              <w:t>Combined drop off of 1.29. With dividends at full value, this is a utilisation rate of 0.68.</w:t>
            </w:r>
          </w:p>
        </w:tc>
      </w:tr>
      <w:tr w:rsidR="00B95D2A" w:rsidRPr="00222643" w:rsidTr="00AC29DB">
        <w:trPr>
          <w:cantSplit/>
          <w:trHeight w:val="284"/>
        </w:trPr>
        <w:tc>
          <w:tcPr>
            <w:tcW w:w="392" w:type="dxa"/>
          </w:tcPr>
          <w:p w:rsidR="00B95D2A" w:rsidRPr="00883125" w:rsidRDefault="00B95D2A" w:rsidP="00B95D2A"/>
        </w:tc>
        <w:tc>
          <w:tcPr>
            <w:tcW w:w="2835" w:type="dxa"/>
          </w:tcPr>
          <w:p w:rsidR="00B95D2A" w:rsidRPr="00B95D2A" w:rsidRDefault="00B95D2A" w:rsidP="00B95D2A">
            <w:r w:rsidRPr="00883125">
              <w:t xml:space="preserve">Walker and </w:t>
            </w:r>
            <w:r w:rsidRPr="00B95D2A">
              <w:t>Partington (1999)</w:t>
            </w:r>
            <w:r w:rsidRPr="00B95D2A">
              <w:rPr>
                <w:rStyle w:val="FootnoteReference"/>
              </w:rPr>
              <w:footnoteReference w:id="750"/>
            </w:r>
          </w:p>
        </w:tc>
        <w:tc>
          <w:tcPr>
            <w:tcW w:w="1346" w:type="dxa"/>
          </w:tcPr>
          <w:p w:rsidR="00B95D2A" w:rsidRPr="00B95D2A" w:rsidRDefault="00B95D2A" w:rsidP="00B95D2A">
            <w:r w:rsidRPr="00883125">
              <w:t>0.88–0.96</w:t>
            </w:r>
            <w:r w:rsidRPr="00883125">
              <w:br/>
              <w:t>(1995–1997)</w:t>
            </w:r>
          </w:p>
        </w:tc>
        <w:tc>
          <w:tcPr>
            <w:tcW w:w="1347" w:type="dxa"/>
          </w:tcPr>
          <w:p w:rsidR="00B95D2A" w:rsidRPr="00883125" w:rsidRDefault="00B95D2A" w:rsidP="00B95D2A"/>
        </w:tc>
        <w:tc>
          <w:tcPr>
            <w:tcW w:w="3322" w:type="dxa"/>
            <w:gridSpan w:val="2"/>
          </w:tcPr>
          <w:p w:rsidR="00B95D2A" w:rsidRPr="00883125" w:rsidDel="003D6627" w:rsidRDefault="00B95D2A" w:rsidP="00B95D2A"/>
        </w:tc>
      </w:tr>
      <w:tr w:rsidR="00B95D2A" w:rsidRPr="00222643" w:rsidTr="00AC29DB">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B95D2A" w:rsidRPr="00883125" w:rsidRDefault="00B95D2A" w:rsidP="00B95D2A"/>
        </w:tc>
        <w:tc>
          <w:tcPr>
            <w:tcW w:w="2835" w:type="dxa"/>
          </w:tcPr>
          <w:p w:rsidR="00B95D2A" w:rsidRPr="00B95D2A" w:rsidRDefault="00B95D2A" w:rsidP="00B95D2A">
            <w:r w:rsidRPr="00883125">
              <w:t>Chu and Partington (2001)</w:t>
            </w:r>
            <w:r w:rsidRPr="00B95D2A">
              <w:rPr>
                <w:rStyle w:val="FootnoteReference"/>
              </w:rPr>
              <w:footnoteReference w:id="751"/>
            </w:r>
          </w:p>
        </w:tc>
        <w:tc>
          <w:tcPr>
            <w:tcW w:w="1346" w:type="dxa"/>
          </w:tcPr>
          <w:p w:rsidR="00B95D2A" w:rsidRPr="00B95D2A" w:rsidRDefault="00B95D2A" w:rsidP="00B95D2A">
            <w:r w:rsidRPr="00883125">
              <w:t>N/A</w:t>
            </w:r>
            <w:r w:rsidRPr="00883125">
              <w:br/>
              <w:t>(1991–1999)</w:t>
            </w:r>
          </w:p>
        </w:tc>
        <w:tc>
          <w:tcPr>
            <w:tcW w:w="1347" w:type="dxa"/>
          </w:tcPr>
          <w:p w:rsidR="00B95D2A" w:rsidRPr="00883125" w:rsidRDefault="00B95D2A" w:rsidP="00B95D2A"/>
        </w:tc>
        <w:tc>
          <w:tcPr>
            <w:tcW w:w="3322" w:type="dxa"/>
            <w:gridSpan w:val="2"/>
          </w:tcPr>
          <w:p w:rsidR="00B95D2A" w:rsidRPr="00B95D2A" w:rsidDel="003D6627" w:rsidRDefault="00B95D2A" w:rsidP="00B95D2A">
            <w:r w:rsidRPr="00883125">
              <w:t>Combined drop off</w:t>
            </w:r>
            <w:r w:rsidRPr="00B95D2A">
              <w:t xml:space="preserve"> of 1.5. With dividends at full value, this is a utilisation rate above 1.</w:t>
            </w:r>
          </w:p>
        </w:tc>
      </w:tr>
    </w:tbl>
    <w:p w:rsidR="00B95D2A" w:rsidRPr="00883125" w:rsidRDefault="00B95D2A" w:rsidP="00B95D2A">
      <w:pPr>
        <w:pStyle w:val="AERtablesource"/>
      </w:pPr>
      <w:r w:rsidRPr="00883125">
        <w:t xml:space="preserve">Source: </w:t>
      </w:r>
      <w:r w:rsidRPr="00883125">
        <w:tab/>
        <w:t>As specified in table.</w:t>
      </w:r>
    </w:p>
    <w:p w:rsidR="00B95D2A" w:rsidRPr="00883125" w:rsidRDefault="00B95D2A" w:rsidP="00B95D2A">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752"/>
      </w:r>
      <w:r w:rsidRPr="00883125">
        <w:t xml:space="preserve"> </w:t>
      </w:r>
    </w:p>
    <w:p w:rsidR="00B95D2A" w:rsidRDefault="00B95D2A" w:rsidP="00B95D2A">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753"/>
      </w:r>
      <w:r w:rsidRPr="00883125">
        <w:t xml:space="preserve"> While NERA has responded to the criticism effectively stating the results may indicate there is something wrong with the SLCAPM</w:t>
      </w:r>
      <w:r w:rsidRPr="00883125">
        <w:rPr>
          <w:rStyle w:val="FootnoteReference"/>
        </w:rPr>
        <w:footnoteReference w:id="754"/>
      </w:r>
      <w:r w:rsidRPr="00883125">
        <w:t>, this does not resolve the issue of the reliability of the theta estimate for use in the SLCAPM.</w:t>
      </w:r>
      <w:r w:rsidRPr="00883125">
        <w:rPr>
          <w:rStyle w:val="FootnoteReference"/>
        </w:rPr>
        <w:footnoteReference w:id="755"/>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756"/>
      </w:r>
    </w:p>
    <w:p w:rsidR="006C300E" w:rsidRPr="00883125" w:rsidRDefault="006C300E" w:rsidP="00B95D2A"/>
    <w:p w:rsidR="00B95D2A" w:rsidRPr="00CA67C0" w:rsidRDefault="00B95D2A" w:rsidP="00B95D2A">
      <w:pPr>
        <w:pStyle w:val="Heading9"/>
      </w:pPr>
      <w:bookmarkStart w:id="480" w:name="_Ref435171205"/>
      <w:bookmarkStart w:id="481" w:name="_Toc456614340"/>
      <w:bookmarkStart w:id="482" w:name="_Toc462823344"/>
      <w:bookmarkStart w:id="483" w:name="_Toc479694016"/>
      <w:bookmarkStart w:id="484" w:name="_Toc480815650"/>
      <w:r w:rsidRPr="00883125">
        <w:lastRenderedPageBreak/>
        <w:t>Comparison with other market-based estimation approaches</w:t>
      </w:r>
      <w:bookmarkEnd w:id="480"/>
      <w:bookmarkEnd w:id="481"/>
      <w:bookmarkEnd w:id="482"/>
      <w:bookmarkEnd w:id="483"/>
      <w:bookmarkEnd w:id="484"/>
    </w:p>
    <w:p w:rsidR="00B95D2A" w:rsidRPr="00CA67C0" w:rsidRDefault="00B95D2A" w:rsidP="00B95D2A">
      <w:r w:rsidRPr="00883125">
        <w:t>The majority of service providers have submitted that the use of implied market value studies to estimate the value of imputation credits is consistent with the approach to estimating other rate of return parameters.</w:t>
      </w:r>
      <w:r w:rsidRPr="00CA67C0">
        <w:rPr>
          <w:rStyle w:val="FootnoteReference"/>
        </w:rPr>
        <w:footnoteReference w:id="757"/>
      </w:r>
      <w:r w:rsidRPr="00CA67C0">
        <w:t xml:space="preserve"> We disagree. As we set our prior decisions, we consider that the use of market prices to estimate the value of imputation credits is fundamentally different to using market prices to estimate other rate of return parameters. </w:t>
      </w:r>
      <w:r>
        <w:t xml:space="preserve">This is further discussed in section </w:t>
      </w:r>
      <w:r>
        <w:fldChar w:fldCharType="begin"/>
      </w:r>
      <w:r>
        <w:instrText xml:space="preserve"> REF _Ref450298425 \r \h </w:instrText>
      </w:r>
      <w:r>
        <w:fldChar w:fldCharType="separate"/>
      </w:r>
      <w:r w:rsidR="003E419A">
        <w:t>A.8.2</w:t>
      </w:r>
      <w:r>
        <w:fldChar w:fldCharType="end"/>
      </w:r>
      <w:r>
        <w:t>, which shows our approach is internally consistent.</w:t>
      </w:r>
    </w:p>
    <w:p w:rsidR="00B95D2A" w:rsidRPr="00883125" w:rsidRDefault="00B95D2A" w:rsidP="00B95D2A">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758"/>
      </w:r>
      <w:r w:rsidRPr="00883125">
        <w:t xml:space="preserve"> By contrast, imputation credits are not separately traded. Therefore, no market price exists for imputation credits in the same manner as that for separately traded assets.</w:t>
      </w:r>
    </w:p>
    <w:p w:rsidR="00B95D2A" w:rsidRPr="00883125" w:rsidRDefault="00B95D2A" w:rsidP="00B95D2A">
      <w:r w:rsidRPr="00883125">
        <w:t>Further, when returns are calculated on bonds for the cost of debt, and capital gains/loss for the return on equity, these returns are</w:t>
      </w:r>
      <w:r>
        <w:t xml:space="preserve"> post (company) tax</w:t>
      </w:r>
      <w:r w:rsidRPr="00883125">
        <w:t xml:space="preserve"> </w:t>
      </w:r>
      <w:r>
        <w:t>(pre-personal tax) returns</w:t>
      </w:r>
      <w:r w:rsidRPr="00883125">
        <w:t>. However, imputation credits and dividends market values derived from drop off studies are influenced by differential personal tax</w:t>
      </w:r>
      <w:r>
        <w:t xml:space="preserve"> resulting in values being neither pre nor post personal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759"/>
      </w:r>
      <w:r>
        <w:t xml:space="preserve"> </w:t>
      </w:r>
      <w:r w:rsidRPr="00883125">
        <w:t xml:space="preserve">This is further discussed in detail in section </w:t>
      </w:r>
      <w:r>
        <w:fldChar w:fldCharType="begin"/>
      </w:r>
      <w:r>
        <w:instrText xml:space="preserve"> REF _Ref450840388 \r \h </w:instrText>
      </w:r>
      <w:r>
        <w:fldChar w:fldCharType="separate"/>
      </w:r>
      <w:r w:rsidR="003E419A">
        <w:t>A.8.2</w:t>
      </w:r>
      <w:r>
        <w:fldChar w:fldCharType="end"/>
      </w:r>
      <w:r w:rsidRPr="00883125">
        <w:t xml:space="preserve"> and an example is provided to demonstrate the impact below.</w:t>
      </w:r>
    </w:p>
    <w:p w:rsidR="00B95D2A" w:rsidRPr="00883125" w:rsidRDefault="00B95D2A" w:rsidP="00B95D2A">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76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761"/>
      </w:r>
    </w:p>
    <w:p w:rsidR="00B95D2A" w:rsidRPr="00883125" w:rsidRDefault="00B95D2A" w:rsidP="00B95D2A">
      <w:r w:rsidRPr="00883125">
        <w:t>A number of service providers also submitted, consistent with advice from Gray (for SFG), that we do not seek to adjust other rate of return parameters for personal costs.</w:t>
      </w:r>
      <w:r w:rsidRPr="00883125">
        <w:rPr>
          <w:rStyle w:val="FootnoteReference"/>
        </w:rPr>
        <w:footnoteReference w:id="762"/>
      </w:r>
      <w:r w:rsidRPr="00883125">
        <w:t xml:space="preserve"> They consider that the value of imputation credits will reflect transaction costs</w:t>
      </w:r>
      <w:r>
        <w:t xml:space="preserve"> that are associated </w:t>
      </w:r>
      <w:r w:rsidRPr="00883125">
        <w:t>with redeeming imputation credits.</w:t>
      </w:r>
      <w:r w:rsidRPr="00883125">
        <w:rPr>
          <w:rStyle w:val="FootnoteReference"/>
        </w:rPr>
        <w:footnoteReference w:id="763"/>
      </w:r>
    </w:p>
    <w:p w:rsidR="00B95D2A" w:rsidRPr="00883125" w:rsidRDefault="00B95D2A" w:rsidP="00B95D2A">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764"/>
      </w:r>
    </w:p>
    <w:p w:rsidR="00B95D2A" w:rsidRPr="00883125" w:rsidRDefault="00B95D2A" w:rsidP="00B95D2A">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B95D2A" w:rsidRPr="00883125" w:rsidRDefault="00B95D2A" w:rsidP="00B95D2A">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B95D2A" w:rsidRPr="00883125" w:rsidRDefault="00B95D2A" w:rsidP="00B95D2A">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765"/>
      </w:r>
    </w:p>
    <w:p w:rsidR="00B95D2A" w:rsidRPr="001D37D5" w:rsidRDefault="00B95D2A" w:rsidP="00B95D2A">
      <w:pPr>
        <w:pStyle w:val="AERbulletlistfirststyle"/>
      </w:pPr>
      <w:r w:rsidRPr="00883125">
        <w:t>Sell</w:t>
      </w:r>
      <w:r w:rsidRPr="001D37D5">
        <w:t>ing their stock the day before the shareholder is entitled to receive the dividend at the cum-dividend price (P</w:t>
      </w:r>
      <w:r w:rsidRPr="001D37D5">
        <w:rPr>
          <w:rStyle w:val="AERsubscript"/>
        </w:rPr>
        <w:t>cum-div</w:t>
      </w:r>
      <w:r w:rsidRPr="001D37D5">
        <w:t>). In this scenario the shareholder receives only the proceeds from the sale of the shares.</w:t>
      </w:r>
    </w:p>
    <w:p w:rsidR="00B95D2A" w:rsidRPr="001D37D5" w:rsidRDefault="00B95D2A" w:rsidP="00B95D2A">
      <w:pPr>
        <w:pStyle w:val="AERbulletlistfirststyle"/>
      </w:pPr>
      <w:r w:rsidRPr="00883125">
        <w:t>Se</w:t>
      </w:r>
      <w:r w:rsidRPr="001D37D5">
        <w:t>lling their stock when the shareholder is entitled to receive the dividend at the ex-dividend price (P</w:t>
      </w:r>
      <w:r w:rsidRPr="001D37D5">
        <w:rPr>
          <w:rStyle w:val="AERsubscript"/>
        </w:rPr>
        <w:t>ex-div</w:t>
      </w:r>
      <w:r w:rsidRPr="001D37D5">
        <w:t>). In this scenario the shareholder receives both the dividend (D) and proceeds from the sale of the shares.</w:t>
      </w:r>
    </w:p>
    <w:p w:rsidR="00B95D2A" w:rsidRPr="00883125" w:rsidRDefault="00B95D2A" w:rsidP="00B95D2A">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B95D2A" w:rsidRPr="00883125" w:rsidRDefault="00B95D2A" w:rsidP="00B95D2A">
      <w:r>
        <w:t xml:space="preserve">Where income and capital gains are taxed at the same rate, </w:t>
      </w:r>
      <w:r w:rsidRPr="00883125">
        <w:t xml:space="preserve">the investor should be indifferent between receiving the cum-dividend price or the ex-dividend price plus the dividend. </w:t>
      </w:r>
      <w:r w:rsidR="006C300E">
        <w:t xml:space="preserve">That is, </w:t>
      </w:r>
    </w:p>
    <w:p w:rsidR="00B95D2A" w:rsidRPr="00883125" w:rsidRDefault="00B95D2A" w:rsidP="00B95D2A"/>
    <w:p w:rsidR="00B95D2A" w:rsidRDefault="00B95D2A" w:rsidP="00B95D2A">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B95D2A" w:rsidRPr="00B27BE5" w:rsidRDefault="00B95D2A" w:rsidP="00B95D2A"/>
    <w:p w:rsidR="00B95D2A" w:rsidRPr="00883125" w:rsidRDefault="00B95D2A" w:rsidP="00B95D2A">
      <w:r>
        <w:t xml:space="preserve">More generally, </w:t>
      </w:r>
      <w:r w:rsidRPr="00883125">
        <w:t xml:space="preserve">the results </w:t>
      </w:r>
      <w:r>
        <w:t xml:space="preserve">of market studies </w:t>
      </w:r>
      <w:r w:rsidRPr="00883125">
        <w:t>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w:t>
      </w:r>
      <w:r>
        <w:t xml:space="preserve">company </w:t>
      </w:r>
      <w:r w:rsidRPr="00883125">
        <w:t xml:space="preserve">tax costs faced by the benchmark efficient entity are not appropriate estimates under our post tax regulatory framework. </w:t>
      </w:r>
    </w:p>
    <w:p w:rsidR="00B95D2A" w:rsidRPr="00883125" w:rsidRDefault="00B95D2A" w:rsidP="00B95D2A">
      <w:r w:rsidRPr="00883125">
        <w:t>To demonstrate assume an investor faces the following investment scenario:</w:t>
      </w:r>
    </w:p>
    <w:p w:rsidR="00B95D2A" w:rsidRPr="00B27BE5" w:rsidRDefault="00B95D2A" w:rsidP="00F2175D">
      <w:pPr>
        <w:pStyle w:val="AERbulletlistfirststyle"/>
      </w:pPr>
      <w:r w:rsidRPr="00883125">
        <w:t>(P</w:t>
      </w:r>
      <w:r w:rsidRPr="00B27BE5">
        <w:rPr>
          <w:rStyle w:val="AERsubscript"/>
        </w:rPr>
        <w:t>cost</w:t>
      </w:r>
      <w:r w:rsidRPr="00B27BE5">
        <w:t>) Purchased share in 2010 for $10</w:t>
      </w:r>
    </w:p>
    <w:p w:rsidR="00B95D2A" w:rsidRPr="00B27BE5" w:rsidRDefault="00B95D2A" w:rsidP="00F2175D">
      <w:pPr>
        <w:pStyle w:val="AERbulletlistfirststyle"/>
      </w:pPr>
      <w:r w:rsidRPr="00883125">
        <w:t>(P</w:t>
      </w:r>
      <w:r w:rsidRPr="00B27BE5">
        <w:rPr>
          <w:rStyle w:val="AERsubscript"/>
        </w:rPr>
        <w:t>cum-div</w:t>
      </w:r>
      <w:r w:rsidRPr="00B27BE5">
        <w:t>) Current cum dividend price in 2016 is $20</w:t>
      </w:r>
    </w:p>
    <w:p w:rsidR="00B95D2A" w:rsidRPr="00B27BE5" w:rsidRDefault="00B95D2A" w:rsidP="00F2175D">
      <w:pPr>
        <w:pStyle w:val="AERbulletlistfirststyle"/>
      </w:pPr>
      <w:r w:rsidRPr="00883125">
        <w:t xml:space="preserve">(D) </w:t>
      </w:r>
      <w:r w:rsidRPr="00B27BE5">
        <w:t>2016 dividend is $1 assume fully unfranked</w:t>
      </w:r>
    </w:p>
    <w:p w:rsidR="00B95D2A" w:rsidRPr="00B27BE5" w:rsidRDefault="00B95D2A" w:rsidP="00F2175D">
      <w:pPr>
        <w:pStyle w:val="AERbulletlistfirststyle"/>
      </w:pPr>
      <w:r w:rsidRPr="00883125">
        <w:t>(P</w:t>
      </w:r>
      <w:r w:rsidRPr="00B27BE5">
        <w:rPr>
          <w:rStyle w:val="AERsubscript"/>
        </w:rPr>
        <w:t>ex-div</w:t>
      </w:r>
      <w:r w:rsidRPr="00B27BE5">
        <w:t>) Ex-dividend price in 2016 is $19 (calculated as cum-div price minus dividend)</w:t>
      </w:r>
    </w:p>
    <w:p w:rsidR="00B95D2A" w:rsidRPr="00B27BE5" w:rsidRDefault="00B95D2A" w:rsidP="00F2175D">
      <w:pPr>
        <w:pStyle w:val="AERbulletlistfirststyle"/>
      </w:pPr>
      <w:r w:rsidRPr="00883125">
        <w:lastRenderedPageBreak/>
        <w:t xml:space="preserve">(MTR) </w:t>
      </w:r>
      <w:r w:rsidRPr="00B27BE5">
        <w:t>Investors marginal tax rate = 47 %</w:t>
      </w:r>
    </w:p>
    <w:p w:rsidR="00B95D2A" w:rsidRPr="00B27BE5" w:rsidRDefault="00B95D2A" w:rsidP="00F2175D">
      <w:pPr>
        <w:pStyle w:val="AERbulletlistfirststyle"/>
      </w:pPr>
      <w:r w:rsidRPr="00883125">
        <w:t>(CGT</w:t>
      </w:r>
      <w:r w:rsidRPr="00B27BE5">
        <w:rPr>
          <w:rStyle w:val="AERsubscript"/>
        </w:rPr>
        <w:t>discount</w:t>
      </w:r>
      <w:r w:rsidRPr="00B27BE5">
        <w:t>) capital gains discount (0.5 when shares held for more than 12 months, otherwise 1)</w:t>
      </w:r>
    </w:p>
    <w:p w:rsidR="00B95D2A" w:rsidRPr="00B27BE5" w:rsidRDefault="00B95D2A" w:rsidP="00F2175D">
      <w:pPr>
        <w:pStyle w:val="AERbulletlistfirststyle"/>
      </w:pPr>
      <w:r w:rsidRPr="00883125">
        <w:t xml:space="preserve">For the time being it will </w:t>
      </w:r>
      <w:r w:rsidRPr="00B27BE5">
        <w:t>be assumed that there is one type of investor in the economy, however, this assumption will be relaxed.</w:t>
      </w:r>
    </w:p>
    <w:p w:rsidR="00B95D2A" w:rsidRPr="00E1560E" w:rsidRDefault="00B95D2A" w:rsidP="00B95D2A">
      <w:pPr>
        <w:rPr>
          <w:rStyle w:val="AERbody"/>
        </w:rPr>
      </w:pPr>
      <w:r w:rsidRPr="00E1560E">
        <w:rPr>
          <w:rStyle w:val="AERbody"/>
        </w:rPr>
        <w:t>Under this scenario ex-dividend and cum-dividend returns are equal on a pre-personal tax basis:</w:t>
      </w:r>
    </w:p>
    <w:p w:rsidR="00B95D2A" w:rsidRPr="00883125" w:rsidRDefault="00B95D2A" w:rsidP="00B95D2A">
      <w:pPr>
        <w:rPr>
          <w:rStyle w:val="AERbody"/>
        </w:rPr>
      </w:pPr>
    </w:p>
    <w:p w:rsidR="00B95D2A" w:rsidRPr="00883125" w:rsidRDefault="00B95D2A" w:rsidP="00B95D2A">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B95D2A" w:rsidRPr="00883125" w:rsidRDefault="00B95D2A" w:rsidP="00B95D2A">
      <w:pPr>
        <w:pStyle w:val="AERbodytextcentre"/>
      </w:pPr>
      <w:r w:rsidRPr="00883125">
        <w:t>20 = 19 +1</w:t>
      </w:r>
    </w:p>
    <w:p w:rsidR="00B95D2A" w:rsidRPr="00B27BE5" w:rsidRDefault="00B95D2A" w:rsidP="00B95D2A">
      <w:pPr>
        <w:rPr>
          <w:rStyle w:val="AERbody"/>
        </w:rPr>
      </w:pPr>
    </w:p>
    <w:p w:rsidR="00B95D2A" w:rsidRPr="00B27BE5" w:rsidRDefault="00B95D2A" w:rsidP="00B95D2A">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B95D2A" w:rsidRPr="00B27BE5" w:rsidRDefault="00B95D2A" w:rsidP="00B95D2A">
      <w:pPr>
        <w:rPr>
          <w:rStyle w:val="AERbody"/>
        </w:rPr>
      </w:pPr>
    </w:p>
    <w:p w:rsidR="00B95D2A" w:rsidRPr="00883125" w:rsidRDefault="00B95D2A" w:rsidP="00B95D2A">
      <w:pPr>
        <w:pStyle w:val="AERbodytextcentre"/>
      </w:pPr>
      <w:r w:rsidRPr="00883125">
        <w:t>Post Tax return = P</w:t>
      </w:r>
      <w:r w:rsidRPr="00883125">
        <w:rPr>
          <w:rStyle w:val="AERsubscript"/>
        </w:rPr>
        <w:t>cum-div</w:t>
      </w:r>
      <w:r w:rsidRPr="00883125">
        <w:t xml:space="preserve"> - Personal Tax (CGT)</w:t>
      </w:r>
    </w:p>
    <w:p w:rsidR="00B95D2A" w:rsidRPr="00883125" w:rsidRDefault="00B95D2A" w:rsidP="00B95D2A">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B95D2A" w:rsidRPr="00883125" w:rsidRDefault="00B95D2A" w:rsidP="00B95D2A">
      <w:pPr>
        <w:pStyle w:val="AERbodytextcentre"/>
      </w:pPr>
      <w:r w:rsidRPr="00883125">
        <w:t>Personal Tax Capital Gain = (20-10) * 0.5 * 0.47</w:t>
      </w:r>
    </w:p>
    <w:p w:rsidR="00B95D2A" w:rsidRPr="00883125" w:rsidRDefault="00B95D2A" w:rsidP="00B95D2A">
      <w:pPr>
        <w:pStyle w:val="AERbodytextcentre"/>
      </w:pPr>
      <w:r w:rsidRPr="00883125">
        <w:t>Personal Tax Capital Gain = 2.35</w:t>
      </w:r>
    </w:p>
    <w:p w:rsidR="00B95D2A" w:rsidRPr="00883125" w:rsidRDefault="00B95D2A" w:rsidP="00B95D2A">
      <w:pPr>
        <w:pStyle w:val="AERbodytextcentre"/>
      </w:pPr>
      <w:r w:rsidRPr="00883125">
        <w:t>Post Tax return = 20 - 2.35 = 17.65</w:t>
      </w:r>
    </w:p>
    <w:p w:rsidR="00B95D2A" w:rsidRPr="00883125" w:rsidRDefault="00B95D2A" w:rsidP="00B95D2A"/>
    <w:p w:rsidR="00B95D2A" w:rsidRPr="00883125" w:rsidRDefault="00B95D2A" w:rsidP="00B95D2A">
      <w:r w:rsidRPr="00883125">
        <w:t>The investors post personal tax return if they sell ex-dividend is:</w:t>
      </w:r>
    </w:p>
    <w:p w:rsidR="00B95D2A" w:rsidRPr="00883125" w:rsidRDefault="00B95D2A" w:rsidP="00B95D2A"/>
    <w:p w:rsidR="00B95D2A" w:rsidRPr="00883125" w:rsidRDefault="00B95D2A" w:rsidP="00B95D2A">
      <w:pPr>
        <w:pStyle w:val="AERbodytextcentre"/>
      </w:pPr>
      <w:r w:rsidRPr="00883125">
        <w:t>Post Tax return = P</w:t>
      </w:r>
      <w:r w:rsidRPr="00883125">
        <w:rPr>
          <w:rStyle w:val="AERsubscript"/>
        </w:rPr>
        <w:t>ex-div</w:t>
      </w:r>
      <w:r w:rsidRPr="00883125">
        <w:t xml:space="preserve"> + D - Personal Tax (CGT) - Personal Tax (Dividend)</w:t>
      </w:r>
    </w:p>
    <w:p w:rsidR="00B95D2A" w:rsidRPr="00883125" w:rsidRDefault="00B95D2A" w:rsidP="00B95D2A">
      <w:pPr>
        <w:pStyle w:val="AERbodytextcentre"/>
      </w:pPr>
      <w:r w:rsidRPr="00883125">
        <w:t>Personal Tax (CGT) = (19-10) * 0.5 * 0.47 = 2.115</w:t>
      </w:r>
    </w:p>
    <w:p w:rsidR="00B95D2A" w:rsidRPr="00883125" w:rsidRDefault="00B95D2A" w:rsidP="00B95D2A">
      <w:pPr>
        <w:pStyle w:val="AERbodytextcentre"/>
      </w:pPr>
      <w:r w:rsidRPr="00883125">
        <w:t>Personal Tax (Dividend) = 1 * 0.47 = 0.47</w:t>
      </w:r>
    </w:p>
    <w:p w:rsidR="00B95D2A" w:rsidRPr="00883125" w:rsidRDefault="00B95D2A" w:rsidP="00B95D2A">
      <w:pPr>
        <w:pStyle w:val="AERbodytextcentre"/>
      </w:pPr>
      <w:r w:rsidRPr="00883125">
        <w:t>Total Tax = 2.115 + 0.47 = 2.585</w:t>
      </w:r>
    </w:p>
    <w:p w:rsidR="00B95D2A" w:rsidRPr="00883125" w:rsidRDefault="00B95D2A" w:rsidP="00B95D2A">
      <w:pPr>
        <w:pStyle w:val="AERbodytextcentre"/>
      </w:pPr>
      <w:r w:rsidRPr="00883125">
        <w:t>Post Tax return = P</w:t>
      </w:r>
      <w:r w:rsidRPr="00883125">
        <w:rPr>
          <w:rStyle w:val="AERsubscript"/>
        </w:rPr>
        <w:t>ex-div</w:t>
      </w:r>
      <w:r w:rsidRPr="00883125">
        <w:t xml:space="preserve"> + D - Personal Tax (CGT) - Personal Tax (Dividend)</w:t>
      </w:r>
    </w:p>
    <w:p w:rsidR="00B95D2A" w:rsidRPr="00883125" w:rsidRDefault="00B95D2A" w:rsidP="00B95D2A">
      <w:pPr>
        <w:pStyle w:val="AERbodytextcentre"/>
      </w:pPr>
      <w:r w:rsidRPr="00883125">
        <w:t>Post Tax return = 19 + 1 - 2.115 - 0.47 = 17.415</w:t>
      </w:r>
    </w:p>
    <w:p w:rsidR="00B95D2A" w:rsidRPr="00883125" w:rsidRDefault="00B95D2A" w:rsidP="00B95D2A"/>
    <w:p w:rsidR="00B95D2A" w:rsidRPr="00B27BE5" w:rsidRDefault="00B95D2A" w:rsidP="00B95D2A">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B95D2A" w:rsidRPr="00B27BE5" w:rsidRDefault="00B95D2A" w:rsidP="00B95D2A">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B95D2A" w:rsidRPr="00883125" w:rsidRDefault="00B95D2A" w:rsidP="00B95D2A"/>
    <w:p w:rsidR="00B95D2A" w:rsidRPr="00883125" w:rsidRDefault="00B95D2A" w:rsidP="00B95D2A">
      <w:pPr>
        <w:pStyle w:val="AERbodytextcentre"/>
      </w:pPr>
      <w:r w:rsidRPr="00883125">
        <w:t>Post Tax return cum div = Post Tax return ex div</w:t>
      </w:r>
    </w:p>
    <w:p w:rsidR="00B95D2A" w:rsidRPr="00883125" w:rsidRDefault="00B95D2A" w:rsidP="00B95D2A">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B95D2A" w:rsidRPr="00883125" w:rsidRDefault="00B95D2A" w:rsidP="00B95D2A">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B95D2A" w:rsidRPr="00883125" w:rsidRDefault="00B95D2A" w:rsidP="00B95D2A">
      <w:pPr>
        <w:pStyle w:val="AERbodytextcentre"/>
      </w:pPr>
      <w:r w:rsidRPr="00883125">
        <w:t>This is the equilibrium condition.</w:t>
      </w:r>
    </w:p>
    <w:p w:rsidR="00B95D2A" w:rsidRPr="00883125" w:rsidRDefault="00B95D2A" w:rsidP="00B95D2A"/>
    <w:p w:rsidR="00B95D2A" w:rsidRPr="00B27BE5" w:rsidRDefault="00B95D2A" w:rsidP="00B95D2A">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B95D2A" w:rsidRPr="00883125" w:rsidRDefault="00B95D2A" w:rsidP="00B95D2A"/>
    <w:p w:rsidR="00B95D2A" w:rsidRPr="00883125" w:rsidRDefault="00B95D2A" w:rsidP="00B95D2A">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95D2A" w:rsidRPr="00883125" w:rsidRDefault="00B95D2A" w:rsidP="00B95D2A"/>
    <w:p w:rsidR="00B95D2A" w:rsidRPr="00B27BE5" w:rsidRDefault="00B95D2A" w:rsidP="00B95D2A">
      <w:r w:rsidRPr="00883125">
        <w:t>S</w:t>
      </w:r>
      <w:r w:rsidRPr="00B27BE5">
        <w:t>ubstituting in all the parameters into the formula and solving for D we get the following:</w:t>
      </w:r>
    </w:p>
    <w:p w:rsidR="00B95D2A" w:rsidRPr="00883125" w:rsidRDefault="00B95D2A" w:rsidP="00B95D2A"/>
    <w:p w:rsidR="00B95D2A" w:rsidRPr="00883125" w:rsidRDefault="00B95D2A" w:rsidP="00B95D2A">
      <w:pPr>
        <w:pStyle w:val="AERbodytextcentre"/>
      </w:pPr>
      <w:r w:rsidRPr="00883125">
        <w:t>20 - (20 - 10)* 0.5*0.47 = 20 - x + 1 - (20 - x - 10) * 0.5 * 0.47 - 0.47</w:t>
      </w:r>
    </w:p>
    <w:p w:rsidR="00B95D2A" w:rsidRPr="00883125" w:rsidRDefault="00B95D2A" w:rsidP="00B95D2A">
      <w:pPr>
        <w:pStyle w:val="AERbodytextcentre"/>
      </w:pPr>
      <w:r w:rsidRPr="00883125">
        <w:t xml:space="preserve">17.65 = 21 - x - (10 - x) * 0.235 - 0.47 </w:t>
      </w:r>
    </w:p>
    <w:p w:rsidR="00B95D2A" w:rsidRPr="00883125" w:rsidRDefault="00B95D2A" w:rsidP="00B95D2A">
      <w:pPr>
        <w:pStyle w:val="AERbodytextcentre"/>
      </w:pPr>
      <w:r w:rsidRPr="00883125">
        <w:t>X = 0.6928</w:t>
      </w:r>
    </w:p>
    <w:p w:rsidR="00B95D2A" w:rsidRPr="00883125" w:rsidRDefault="00B95D2A" w:rsidP="00B95D2A"/>
    <w:p w:rsidR="00B95D2A" w:rsidRPr="00883125" w:rsidRDefault="00B95D2A" w:rsidP="00B95D2A">
      <w:r w:rsidRPr="00883125">
        <w:t>As a result, for arbitrage opportunities to not exist the dollar face value dividend must be worth 69 cents in the dividend drop off study. In such a situation the following market prices will persist in the market:</w:t>
      </w:r>
    </w:p>
    <w:p w:rsidR="00B95D2A" w:rsidRPr="00883125" w:rsidRDefault="00B95D2A" w:rsidP="00B95D2A"/>
    <w:p w:rsidR="00B95D2A" w:rsidRPr="00883125" w:rsidRDefault="00B95D2A" w:rsidP="00F2175D">
      <w:pPr>
        <w:pStyle w:val="AERbulletlistfirststyle"/>
      </w:pPr>
      <w:r w:rsidRPr="00883125">
        <w:lastRenderedPageBreak/>
        <w:t>P</w:t>
      </w:r>
      <w:r w:rsidRPr="00883125">
        <w:rPr>
          <w:rStyle w:val="AERsubscript"/>
        </w:rPr>
        <w:t>cum-div</w:t>
      </w:r>
      <w:r w:rsidRPr="00883125">
        <w:t>: $20</w:t>
      </w:r>
    </w:p>
    <w:p w:rsidR="00B95D2A" w:rsidRPr="00883125" w:rsidRDefault="00B95D2A" w:rsidP="00F2175D">
      <w:pPr>
        <w:pStyle w:val="AERbulletlistfirststyle"/>
      </w:pPr>
      <w:r w:rsidRPr="00883125">
        <w:t>D: Face value = $1, as per dividend drop off $0.6928</w:t>
      </w:r>
    </w:p>
    <w:p w:rsidR="00B95D2A" w:rsidRPr="00883125" w:rsidRDefault="00B95D2A" w:rsidP="00F2175D">
      <w:pPr>
        <w:pStyle w:val="AERbulletlistfirststyle"/>
      </w:pPr>
      <w:r w:rsidRPr="00883125">
        <w:t>P</w:t>
      </w:r>
      <w:r w:rsidRPr="00883125">
        <w:rPr>
          <w:rStyle w:val="AERsubscript"/>
        </w:rPr>
        <w:t>ex-div</w:t>
      </w:r>
      <w:r w:rsidRPr="00883125">
        <w:t>: $19.3072</w:t>
      </w:r>
      <w:r w:rsidRPr="00883125">
        <w:rPr>
          <w:rStyle w:val="FootnoteReference"/>
        </w:rPr>
        <w:footnoteReference w:id="766"/>
      </w:r>
    </w:p>
    <w:p w:rsidR="00B95D2A" w:rsidRPr="00883125" w:rsidRDefault="00B95D2A" w:rsidP="00B95D2A">
      <w:r w:rsidRPr="00883125">
        <w:t>With these arbitrage free market parameters the investors post personal tax return is as follows:</w:t>
      </w:r>
    </w:p>
    <w:p w:rsidR="00B95D2A" w:rsidRPr="00883125" w:rsidRDefault="00B95D2A" w:rsidP="00B95D2A"/>
    <w:p w:rsidR="00B95D2A" w:rsidRPr="00883125" w:rsidRDefault="00B95D2A" w:rsidP="00B95D2A">
      <w:pPr>
        <w:pStyle w:val="AERbodytextcentre"/>
      </w:pPr>
      <w:r w:rsidRPr="00883125">
        <w:t>Post Tax return cum div = P</w:t>
      </w:r>
      <w:r w:rsidRPr="00883125">
        <w:rPr>
          <w:rStyle w:val="AERsubscript"/>
        </w:rPr>
        <w:t>cum-div</w:t>
      </w:r>
      <w:r w:rsidRPr="00883125">
        <w:t xml:space="preserve"> - Personal Tax (CGT)</w:t>
      </w:r>
    </w:p>
    <w:p w:rsidR="00B95D2A" w:rsidRPr="00883125" w:rsidRDefault="00B95D2A" w:rsidP="00B95D2A">
      <w:pPr>
        <w:pStyle w:val="AERbodytextcentre"/>
      </w:pPr>
      <w:r w:rsidRPr="00883125">
        <w:t>Post Tax return cum div = 20 - 0.5 * 0.47 * (20-10)</w:t>
      </w:r>
    </w:p>
    <w:p w:rsidR="00B95D2A" w:rsidRPr="00AC2168" w:rsidRDefault="00B95D2A" w:rsidP="00B95D2A">
      <w:pPr>
        <w:pStyle w:val="AERbodytextcentre"/>
      </w:pPr>
      <w:r w:rsidRPr="00AC2168">
        <w:t>Post Tax return cum div = 20 - 2.35 = 17.65</w:t>
      </w:r>
    </w:p>
    <w:p w:rsidR="00B95D2A" w:rsidRPr="00883125" w:rsidRDefault="00B95D2A" w:rsidP="00B95D2A"/>
    <w:p w:rsidR="00B95D2A" w:rsidRPr="00883125" w:rsidRDefault="00B95D2A" w:rsidP="00B95D2A">
      <w:pPr>
        <w:pStyle w:val="AERbodytextcentre"/>
      </w:pPr>
      <w:r w:rsidRPr="00883125">
        <w:t>Post Tax return ex div = P</w:t>
      </w:r>
      <w:r w:rsidRPr="00883125">
        <w:rPr>
          <w:rStyle w:val="AERsubscript"/>
        </w:rPr>
        <w:t>ex-div</w:t>
      </w:r>
      <w:r w:rsidRPr="00883125">
        <w:t xml:space="preserve"> + D - Personal Tax (CGT) - Personal Tax (Dividend)</w:t>
      </w:r>
    </w:p>
    <w:p w:rsidR="00B95D2A" w:rsidRPr="00883125" w:rsidRDefault="00B95D2A" w:rsidP="00B95D2A">
      <w:pPr>
        <w:pStyle w:val="AERbodytextcentre"/>
      </w:pPr>
      <w:r w:rsidRPr="00883125">
        <w:t>Post Tax return ex div = 19.3072 + 1 - ((19.3072 - 10)*0.47*0.5) - 1*0.47</w:t>
      </w:r>
    </w:p>
    <w:p w:rsidR="00B95D2A" w:rsidRPr="00883125" w:rsidRDefault="00B95D2A" w:rsidP="00B95D2A">
      <w:pPr>
        <w:pStyle w:val="AERbodytextcentre"/>
      </w:pPr>
      <w:r w:rsidRPr="00883125">
        <w:t xml:space="preserve">Post Tax return ex div = </w:t>
      </w:r>
      <w:r w:rsidRPr="00AC2168">
        <w:t>17.65</w:t>
      </w:r>
    </w:p>
    <w:p w:rsidR="00B95D2A" w:rsidRPr="00883125" w:rsidRDefault="00B95D2A" w:rsidP="00B95D2A">
      <w:pPr>
        <w:rPr>
          <w:rStyle w:val="AERbody"/>
        </w:rPr>
      </w:pPr>
    </w:p>
    <w:p w:rsidR="00B95D2A" w:rsidRPr="00CB38D8" w:rsidRDefault="00B95D2A" w:rsidP="00B95D2A">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B95D2A" w:rsidRPr="00CB38D8" w:rsidRDefault="00B95D2A" w:rsidP="00B95D2A">
      <w:pPr>
        <w:rPr>
          <w:rStyle w:val="AERbody"/>
        </w:rPr>
      </w:pPr>
      <w:r w:rsidRPr="00CB38D8">
        <w:rPr>
          <w:rStyle w:val="AERbody"/>
        </w:rPr>
        <w:t>As a result, the investor's pre-personal tax return is:</w:t>
      </w:r>
    </w:p>
    <w:p w:rsidR="00B95D2A" w:rsidRPr="00B27BE5" w:rsidRDefault="00B95D2A" w:rsidP="00F2175D">
      <w:pPr>
        <w:pStyle w:val="AERbulletlistfirststyle"/>
        <w:rPr>
          <w:rStyle w:val="AERbody"/>
        </w:rPr>
      </w:pPr>
      <w:r w:rsidRPr="00883125">
        <w:rPr>
          <w:rStyle w:val="AERbody"/>
        </w:rPr>
        <w:t>$20 if they sold on the cum-dividend date</w:t>
      </w:r>
    </w:p>
    <w:p w:rsidR="00B95D2A" w:rsidRPr="00B27BE5" w:rsidRDefault="00B95D2A" w:rsidP="00F2175D">
      <w:pPr>
        <w:pStyle w:val="AERbulletlistfirststyle"/>
        <w:rPr>
          <w:rStyle w:val="AERbody"/>
        </w:rPr>
      </w:pPr>
      <w:r w:rsidRPr="00883125">
        <w:rPr>
          <w:rStyle w:val="AERbody"/>
        </w:rPr>
        <w:t xml:space="preserve">$20.3072 </w:t>
      </w:r>
      <w:r w:rsidRPr="00B27BE5">
        <w:rPr>
          <w:rStyle w:val="AERbody"/>
        </w:rPr>
        <w:t>($19.3072 + $1) if they sold on the ex-dividend date</w:t>
      </w:r>
    </w:p>
    <w:p w:rsidR="00B95D2A" w:rsidRPr="00883125" w:rsidRDefault="00B95D2A" w:rsidP="00B95D2A">
      <w:pPr>
        <w:rPr>
          <w:rStyle w:val="AERbody"/>
        </w:rPr>
      </w:pPr>
      <w:r w:rsidRPr="00883125">
        <w:rPr>
          <w:rStyle w:val="AERbody"/>
        </w:rPr>
        <w:t>The investor's post-personal tax return is:</w:t>
      </w:r>
    </w:p>
    <w:p w:rsidR="00B95D2A" w:rsidRPr="00883125" w:rsidRDefault="00B95D2A" w:rsidP="00F2175D">
      <w:pPr>
        <w:pStyle w:val="AERbulletlistfirststyle"/>
        <w:rPr>
          <w:rStyle w:val="AERbody"/>
        </w:rPr>
      </w:pPr>
      <w:r w:rsidRPr="00883125">
        <w:rPr>
          <w:rStyle w:val="AERbody"/>
        </w:rPr>
        <w:t>$17.65 ($20 - $2.35) if they sold on the cum-dividend date</w:t>
      </w:r>
    </w:p>
    <w:p w:rsidR="00B95D2A" w:rsidRPr="00883125" w:rsidRDefault="00B95D2A" w:rsidP="00F2175D">
      <w:pPr>
        <w:pStyle w:val="AERbulletlistfirststyle"/>
        <w:rPr>
          <w:rStyle w:val="AERbody"/>
        </w:rPr>
      </w:pPr>
      <w:r w:rsidRPr="00883125">
        <w:rPr>
          <w:rStyle w:val="AERbody"/>
        </w:rPr>
        <w:t>$17.65 ($20.3072 - $2.6572) if they sold on the ex-dividend date</w:t>
      </w:r>
    </w:p>
    <w:p w:rsidR="00B95D2A" w:rsidRPr="00883125" w:rsidRDefault="00B95D2A" w:rsidP="00B95D2A">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relative difference in in the tax level on ordinary income (of which dividends are </w:t>
      </w:r>
      <w:r w:rsidRPr="00883125">
        <w:lastRenderedPageBreak/>
        <w:t>classed) and on capital gains. It is driven by investor's preference for capital gains over dividend income, as capital gains are taxed at a concessional rate relative to dividends assuming the shares are held for more than 12 months.</w:t>
      </w:r>
    </w:p>
    <w:p w:rsidR="00B95D2A" w:rsidRPr="00883125" w:rsidRDefault="00B95D2A" w:rsidP="00B95D2A">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r>
        <w:t>This supported by Lally.</w:t>
      </w:r>
      <w:r w:rsidRPr="00AD7E20">
        <w:rPr>
          <w:rStyle w:val="FootnoteReference"/>
        </w:rPr>
        <w:t xml:space="preserve"> </w:t>
      </w:r>
      <w:r>
        <w:rPr>
          <w:rStyle w:val="FootnoteReference"/>
        </w:rPr>
        <w:footnoteReference w:id="767"/>
      </w:r>
    </w:p>
    <w:p w:rsidR="00B95D2A" w:rsidRPr="00883125" w:rsidRDefault="00B95D2A" w:rsidP="00B95D2A">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768"/>
      </w:r>
    </w:p>
    <w:p w:rsidR="00B95D2A" w:rsidRPr="00883125" w:rsidRDefault="00B95D2A" w:rsidP="00B95D2A">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B95D2A" w:rsidRPr="00883125" w:rsidRDefault="00B95D2A" w:rsidP="00B95D2A">
      <w:pPr>
        <w:rPr>
          <w:rStyle w:val="AERbody"/>
        </w:rPr>
      </w:pPr>
    </w:p>
    <w:p w:rsidR="00B95D2A" w:rsidRPr="00883125" w:rsidRDefault="00B95D2A" w:rsidP="00B95D2A">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B95D2A" w:rsidRPr="00883125" w:rsidRDefault="00B95D2A" w:rsidP="00B95D2A">
      <w:pPr>
        <w:pStyle w:val="AERbodytextcentre"/>
      </w:pPr>
      <w:r w:rsidRPr="00883125">
        <w:t>Solving for X the formula simplifies to:</w:t>
      </w:r>
    </w:p>
    <w:p w:rsidR="00B95D2A" w:rsidRPr="00B27BE5" w:rsidRDefault="00B95D2A" w:rsidP="00B95D2A">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B95D2A" w:rsidRPr="00883125" w:rsidRDefault="00B95D2A" w:rsidP="00B95D2A">
      <w:pPr>
        <w:pStyle w:val="AERbodytextcentre"/>
        <w:rPr>
          <w:rStyle w:val="AERbody"/>
        </w:rPr>
      </w:pPr>
    </w:p>
    <w:p w:rsidR="00B95D2A" w:rsidRPr="00883125" w:rsidRDefault="00B95D2A" w:rsidP="00B95D2A">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769"/>
      </w:r>
    </w:p>
    <w:p w:rsidR="00B95D2A" w:rsidRPr="00883125" w:rsidRDefault="00B95D2A" w:rsidP="00B95D2A">
      <w:pPr>
        <w:rPr>
          <w:rStyle w:val="AERbody"/>
        </w:rPr>
      </w:pPr>
    </w:p>
    <w:p w:rsidR="00B95D2A" w:rsidRPr="00883125" w:rsidRDefault="003E419A" w:rsidP="00B95D2A">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B95D2A" w:rsidRPr="00883125" w:rsidRDefault="00B95D2A" w:rsidP="00B95D2A">
      <w:pPr>
        <w:rPr>
          <w:rStyle w:val="AERbody"/>
        </w:rPr>
      </w:pPr>
    </w:p>
    <w:p w:rsidR="00B95D2A" w:rsidRPr="00883125" w:rsidRDefault="00B95D2A" w:rsidP="00B95D2A">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B95D2A" w:rsidRDefault="00B95D2A" w:rsidP="00B95D2A">
      <w:r>
        <w:t>Further, Lally generalises the dividend relationship to the following:</w:t>
      </w:r>
      <w:r>
        <w:rPr>
          <w:rStyle w:val="FootnoteReference"/>
        </w:rPr>
        <w:footnoteReference w:id="770"/>
      </w:r>
    </w:p>
    <w:p w:rsidR="00B95D2A" w:rsidRDefault="00B95D2A" w:rsidP="00B95D2A"/>
    <w:p w:rsidR="00B95D2A" w:rsidRPr="00883125" w:rsidRDefault="00B95D2A" w:rsidP="00B95D2A">
      <w:pPr>
        <w:rPr>
          <w:rStyle w:val="AERbody"/>
        </w:rPr>
      </w:pPr>
      <m:oMathPara>
        <m:oMath>
          <m:r>
            <w:rPr>
              <w:rFonts w:ascii="Cambria Math" w:hAnsi="Cambria Math"/>
            </w:rPr>
            <m:t>∆P= δD+δθ</m:t>
          </m:r>
          <m:d>
            <m:dPr>
              <m:ctrlPr>
                <w:rPr>
                  <w:rFonts w:ascii="Cambria Math" w:hAnsi="Cambria Math"/>
                </w:rPr>
              </m:ctrlPr>
            </m:dPr>
            <m:e>
              <m:r>
                <w:rPr>
                  <w:rFonts w:ascii="Cambria Math" w:hAnsi="Cambria Math"/>
                </w:rPr>
                <m:t>IC</m:t>
              </m:r>
            </m:e>
          </m:d>
          <m:r>
            <w:rPr>
              <w:rFonts w:ascii="Cambria Math" w:hAnsi="Cambria Math"/>
            </w:rPr>
            <m:t>+ε</m:t>
          </m:r>
        </m:oMath>
      </m:oMathPara>
    </w:p>
    <w:p w:rsidR="00B95D2A" w:rsidRDefault="00B95D2A" w:rsidP="00B95D2A"/>
    <w:p w:rsidR="00B95D2A" w:rsidRDefault="00B95D2A" w:rsidP="00B95D2A">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771"/>
      </w:r>
      <w:r>
        <w:rPr>
          <w:rStyle w:val="FootnoteReference"/>
        </w:rPr>
        <w:t xml:space="preserve"> </w:t>
      </w:r>
    </w:p>
    <w:p w:rsidR="00B95D2A" w:rsidRPr="00883125" w:rsidRDefault="00B95D2A" w:rsidP="00B95D2A">
      <w:r w:rsidRPr="00883125">
        <w:t>Using different values for MTR (0%, 15%, 21%, 34.5%. 39% 47%) and CGT discount (50% if shares held for more than 12 months and 100% if shares held for less than 12 months)</w:t>
      </w:r>
      <w:r>
        <w:rPr>
          <w:rStyle w:val="FootnoteReference"/>
        </w:rPr>
        <w:footnoteReference w:id="772"/>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B95D2A" w:rsidRPr="00883125" w:rsidRDefault="00B95D2A" w:rsidP="00B95D2A">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B95D2A" w:rsidRDefault="00B95D2A" w:rsidP="00B95D2A">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9B1202" w:rsidRDefault="009B1202" w:rsidP="00B95D2A"/>
    <w:p w:rsidR="009B1202" w:rsidRDefault="009B1202" w:rsidP="00B95D2A"/>
    <w:p w:rsidR="009B1202" w:rsidRDefault="009B1202" w:rsidP="00B95D2A"/>
    <w:p w:rsidR="009B1202" w:rsidRPr="00883125" w:rsidRDefault="009B1202" w:rsidP="00B95D2A"/>
    <w:p w:rsidR="00B95D2A" w:rsidRPr="00B27BE5" w:rsidRDefault="00B95D2A" w:rsidP="00B95D2A">
      <w:pPr>
        <w:pStyle w:val="Caption"/>
      </w:pPr>
      <w:r w:rsidRPr="00883125">
        <w:lastRenderedPageBreak/>
        <w:t xml:space="preserve">Table </w:t>
      </w:r>
      <w:r w:rsidRPr="001D37D5">
        <w:fldChar w:fldCharType="begin"/>
      </w:r>
      <w:r>
        <w:instrText xml:space="preserve"> STYLEREF 1 \s </w:instrText>
      </w:r>
      <w:r w:rsidRPr="001D37D5">
        <w:fldChar w:fldCharType="separate"/>
      </w:r>
      <w:r w:rsidR="003E419A">
        <w:rPr>
          <w:noProof/>
        </w:rPr>
        <w:t>4</w:t>
      </w:r>
      <w:r w:rsidRPr="001D37D5">
        <w:fldChar w:fldCharType="end"/>
      </w:r>
      <w:r w:rsidRPr="00B27BE5">
        <w:noBreakHyphen/>
      </w:r>
      <w:r w:rsidRPr="001D37D5">
        <w:fldChar w:fldCharType="begin"/>
      </w:r>
      <w:r>
        <w:instrText xml:space="preserve"> SEQ Table \* ARABIC \s 1 </w:instrText>
      </w:r>
      <w:r w:rsidRPr="001D37D5">
        <w:fldChar w:fldCharType="separate"/>
      </w:r>
      <w:r w:rsidR="003E419A">
        <w:rPr>
          <w:noProof/>
        </w:rPr>
        <w:t>21</w:t>
      </w:r>
      <w:r w:rsidRPr="001D37D5">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B95D2A" w:rsidRPr="00CF5360" w:rsidTr="00AC29DB">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B95D2A" w:rsidRPr="00C52695" w:rsidRDefault="00B95D2A" w:rsidP="00AC29DB">
            <w:pPr>
              <w:pStyle w:val="ListContinue2"/>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CGT</w:t>
            </w:r>
          </w:p>
        </w:tc>
      </w:tr>
      <w:tr w:rsidR="00B95D2A" w:rsidRPr="00CF5360" w:rsidTr="00AC29DB">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95D2A" w:rsidRPr="00F1222E" w:rsidRDefault="00B95D2A" w:rsidP="00AC29DB">
            <w:pPr>
              <w:pStyle w:val="ListContinue2"/>
            </w:pPr>
          </w:p>
        </w:tc>
        <w:tc>
          <w:tcPr>
            <w:tcW w:w="2063" w:type="dxa"/>
            <w:tcBorders>
              <w:top w:val="nil"/>
              <w:left w:val="nil"/>
              <w:bottom w:val="nil"/>
              <w:right w:val="single" w:sz="4" w:space="0" w:color="auto"/>
            </w:tcBorders>
            <w:shd w:val="clear" w:color="000000" w:fill="FDE9D9"/>
            <w:noWrap/>
            <w:vAlign w:val="bottom"/>
            <w:hideMark/>
          </w:tcPr>
          <w:p w:rsidR="00B95D2A" w:rsidRPr="00C52695" w:rsidRDefault="00B95D2A" w:rsidP="00AC29DB">
            <w:r w:rsidRPr="005764F6">
              <w:t>50%</w:t>
            </w:r>
          </w:p>
        </w:tc>
        <w:tc>
          <w:tcPr>
            <w:tcW w:w="897" w:type="dxa"/>
            <w:tcBorders>
              <w:top w:val="nil"/>
              <w:left w:val="nil"/>
              <w:bottom w:val="nil"/>
              <w:right w:val="single" w:sz="4" w:space="0" w:color="auto"/>
            </w:tcBorders>
            <w:shd w:val="clear" w:color="000000" w:fill="FDE9D9"/>
            <w:noWrap/>
            <w:vAlign w:val="bottom"/>
            <w:hideMark/>
          </w:tcPr>
          <w:p w:rsidR="00B95D2A" w:rsidRPr="00C52695" w:rsidRDefault="00B95D2A" w:rsidP="00AC29DB">
            <w:r w:rsidRPr="005764F6">
              <w:t>100%</w:t>
            </w:r>
          </w:p>
        </w:tc>
      </w:tr>
      <w:tr w:rsidR="00B95D2A" w:rsidRPr="00CF5360" w:rsidTr="00AC29DB">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B95D2A" w:rsidRPr="00C52695" w:rsidRDefault="00B95D2A" w:rsidP="00AC29DB">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r>
      <w:tr w:rsidR="00B95D2A" w:rsidRPr="00CF5360" w:rsidTr="00AC29DB">
        <w:trPr>
          <w:trHeight w:val="300"/>
        </w:trPr>
        <w:tc>
          <w:tcPr>
            <w:tcW w:w="486" w:type="dxa"/>
            <w:vMerge/>
            <w:tcBorders>
              <w:top w:val="nil"/>
              <w:left w:val="single" w:sz="4" w:space="0" w:color="auto"/>
              <w:bottom w:val="single" w:sz="4" w:space="0" w:color="auto"/>
              <w:right w:val="single" w:sz="4" w:space="0" w:color="auto"/>
            </w:tcBorders>
            <w:vAlign w:val="center"/>
            <w:hideMark/>
          </w:tcPr>
          <w:p w:rsidR="00B95D2A" w:rsidRPr="00AC2168" w:rsidRDefault="00B95D2A" w:rsidP="00AC29DB"/>
        </w:tc>
        <w:tc>
          <w:tcPr>
            <w:tcW w:w="1074" w:type="dxa"/>
            <w:tcBorders>
              <w:top w:val="nil"/>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r>
      <w:tr w:rsidR="00B95D2A" w:rsidRPr="00CF5360" w:rsidTr="00AC29DB">
        <w:trPr>
          <w:trHeight w:val="300"/>
        </w:trPr>
        <w:tc>
          <w:tcPr>
            <w:tcW w:w="486" w:type="dxa"/>
            <w:vMerge/>
            <w:tcBorders>
              <w:top w:val="nil"/>
              <w:left w:val="single" w:sz="4" w:space="0" w:color="auto"/>
              <w:bottom w:val="single" w:sz="4" w:space="0" w:color="auto"/>
              <w:right w:val="single" w:sz="4" w:space="0" w:color="auto"/>
            </w:tcBorders>
            <w:vAlign w:val="center"/>
            <w:hideMark/>
          </w:tcPr>
          <w:p w:rsidR="00B95D2A" w:rsidRPr="00AC2168" w:rsidRDefault="00B95D2A" w:rsidP="00AC29DB"/>
        </w:tc>
        <w:tc>
          <w:tcPr>
            <w:tcW w:w="1074" w:type="dxa"/>
            <w:tcBorders>
              <w:top w:val="nil"/>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r>
      <w:tr w:rsidR="00B95D2A" w:rsidRPr="00CF5360" w:rsidTr="00AC29DB">
        <w:trPr>
          <w:trHeight w:val="300"/>
        </w:trPr>
        <w:tc>
          <w:tcPr>
            <w:tcW w:w="486" w:type="dxa"/>
            <w:vMerge/>
            <w:tcBorders>
              <w:top w:val="nil"/>
              <w:left w:val="single" w:sz="4" w:space="0" w:color="auto"/>
              <w:bottom w:val="single" w:sz="4" w:space="0" w:color="auto"/>
              <w:right w:val="single" w:sz="4" w:space="0" w:color="auto"/>
            </w:tcBorders>
            <w:vAlign w:val="center"/>
            <w:hideMark/>
          </w:tcPr>
          <w:p w:rsidR="00B95D2A" w:rsidRPr="00AC2168" w:rsidRDefault="00B95D2A" w:rsidP="00AC29DB"/>
        </w:tc>
        <w:tc>
          <w:tcPr>
            <w:tcW w:w="1074" w:type="dxa"/>
            <w:tcBorders>
              <w:top w:val="nil"/>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r>
      <w:tr w:rsidR="00B95D2A" w:rsidRPr="00CF5360" w:rsidTr="00AC29DB">
        <w:trPr>
          <w:trHeight w:val="300"/>
        </w:trPr>
        <w:tc>
          <w:tcPr>
            <w:tcW w:w="486" w:type="dxa"/>
            <w:vMerge/>
            <w:tcBorders>
              <w:top w:val="nil"/>
              <w:left w:val="single" w:sz="4" w:space="0" w:color="auto"/>
              <w:bottom w:val="single" w:sz="4" w:space="0" w:color="auto"/>
              <w:right w:val="single" w:sz="4" w:space="0" w:color="auto"/>
            </w:tcBorders>
            <w:vAlign w:val="center"/>
            <w:hideMark/>
          </w:tcPr>
          <w:p w:rsidR="00B95D2A" w:rsidRPr="00AC2168" w:rsidRDefault="00B95D2A" w:rsidP="00AC29DB"/>
        </w:tc>
        <w:tc>
          <w:tcPr>
            <w:tcW w:w="1074" w:type="dxa"/>
            <w:tcBorders>
              <w:top w:val="nil"/>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r>
      <w:tr w:rsidR="00B95D2A" w:rsidRPr="00CF5360" w:rsidTr="00AC29DB">
        <w:trPr>
          <w:trHeight w:val="300"/>
        </w:trPr>
        <w:tc>
          <w:tcPr>
            <w:tcW w:w="486" w:type="dxa"/>
            <w:vMerge/>
            <w:tcBorders>
              <w:top w:val="nil"/>
              <w:left w:val="single" w:sz="4" w:space="0" w:color="auto"/>
              <w:bottom w:val="single" w:sz="4" w:space="0" w:color="auto"/>
              <w:right w:val="single" w:sz="4" w:space="0" w:color="auto"/>
            </w:tcBorders>
            <w:vAlign w:val="center"/>
            <w:hideMark/>
          </w:tcPr>
          <w:p w:rsidR="00B95D2A" w:rsidRPr="00AC2168" w:rsidRDefault="00B95D2A" w:rsidP="00AC29DB"/>
        </w:tc>
        <w:tc>
          <w:tcPr>
            <w:tcW w:w="1074" w:type="dxa"/>
            <w:tcBorders>
              <w:top w:val="nil"/>
              <w:left w:val="nil"/>
              <w:bottom w:val="single" w:sz="4" w:space="0" w:color="auto"/>
              <w:right w:val="single" w:sz="4" w:space="0" w:color="auto"/>
            </w:tcBorders>
            <w:shd w:val="clear" w:color="000000" w:fill="FDE9D9"/>
            <w:noWrap/>
            <w:vAlign w:val="bottom"/>
            <w:hideMark/>
          </w:tcPr>
          <w:p w:rsidR="00B95D2A" w:rsidRPr="00C52695" w:rsidRDefault="00B95D2A" w:rsidP="00AC29DB">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B95D2A" w:rsidRPr="00C52695" w:rsidRDefault="00B95D2A" w:rsidP="00AC29DB">
            <w:pPr>
              <w:pStyle w:val="ListContinue2"/>
            </w:pPr>
            <w:r w:rsidRPr="00F1222E">
              <w:t>1</w:t>
            </w:r>
          </w:p>
        </w:tc>
      </w:tr>
    </w:tbl>
    <w:p w:rsidR="00B95D2A" w:rsidRPr="00883125" w:rsidRDefault="00B95D2A" w:rsidP="00B95D2A">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B95D2A" w:rsidRPr="00883125" w:rsidRDefault="00B95D2A" w:rsidP="00B95D2A">
      <w:r w:rsidRPr="00883125">
        <w:t>As is evident above, different investors have a different dividend drop off ratio and this is determined by many factors such as:</w:t>
      </w:r>
    </w:p>
    <w:p w:rsidR="00B95D2A" w:rsidRPr="00B27BE5" w:rsidRDefault="00B95D2A" w:rsidP="00F2175D">
      <w:pPr>
        <w:pStyle w:val="AERbulletlistfirststyle"/>
      </w:pPr>
      <w:r w:rsidRPr="00883125">
        <w:t xml:space="preserve">Investor </w:t>
      </w:r>
      <w:r w:rsidRPr="00B27BE5">
        <w:t>marginal income tax rate</w:t>
      </w:r>
    </w:p>
    <w:p w:rsidR="00B95D2A" w:rsidRDefault="00B95D2A" w:rsidP="00F2175D">
      <w:pPr>
        <w:pStyle w:val="AERbulletlistfirststyle"/>
      </w:pPr>
      <w:r w:rsidRPr="00883125">
        <w:t>Whether the investor held the share for more than 12 months</w:t>
      </w:r>
    </w:p>
    <w:p w:rsidR="00B95D2A" w:rsidRPr="00B27BE5" w:rsidRDefault="00B95D2A" w:rsidP="00F2175D">
      <w:pPr>
        <w:pStyle w:val="AERbulletlistfirststyle"/>
      </w:pPr>
      <w:r>
        <w:t>Whether the investor is super fund or not</w:t>
      </w:r>
    </w:p>
    <w:p w:rsidR="00B95D2A" w:rsidRPr="00B27BE5" w:rsidRDefault="00B95D2A" w:rsidP="00F2175D">
      <w:pPr>
        <w:pStyle w:val="AERbulletlistfirststyle"/>
      </w:pPr>
      <w:r w:rsidRPr="00883125">
        <w:t xml:space="preserve">Whether the investor is foreign and how foreign income is taxed </w:t>
      </w:r>
      <w:r w:rsidRPr="00B27BE5">
        <w:t>at their home country</w:t>
      </w:r>
      <w:r w:rsidR="009B1202">
        <w:t>.</w:t>
      </w:r>
    </w:p>
    <w:p w:rsidR="00B95D2A" w:rsidRPr="00883125" w:rsidRDefault="00B95D2A" w:rsidP="00B95D2A">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773"/>
      </w:r>
    </w:p>
    <w:p w:rsidR="00B95D2A" w:rsidRPr="00883125" w:rsidRDefault="00B95D2A" w:rsidP="00B95D2A">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774"/>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B95D2A" w:rsidRPr="00B27BE5" w:rsidRDefault="00B95D2A" w:rsidP="00B95D2A">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B95D2A" w:rsidRPr="00883125" w:rsidRDefault="00B95D2A" w:rsidP="00B95D2A">
      <w:r w:rsidRPr="00883125">
        <w:t xml:space="preserve">In the recent </w:t>
      </w:r>
      <w:r>
        <w:t xml:space="preserve">Ausgrid </w:t>
      </w:r>
      <w:r w:rsidRPr="00883125">
        <w:t xml:space="preserve">Tribunal decision, the </w:t>
      </w:r>
      <w:r>
        <w:t xml:space="preserve">Ausgrid </w:t>
      </w:r>
      <w:r w:rsidRPr="00883125">
        <w:t xml:space="preserve">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B95D2A" w:rsidRPr="00883125" w:rsidRDefault="00B95D2A" w:rsidP="00B95D2A">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B95D2A" w:rsidRPr="00883125" w:rsidRDefault="00B95D2A" w:rsidP="00B95D2A">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B95D2A" w:rsidRPr="00883125" w:rsidRDefault="00B95D2A" w:rsidP="00B95D2A">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B95D2A" w:rsidRPr="00883125" w:rsidRDefault="00B95D2A" w:rsidP="00B95D2A">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3E419A">
        <w:t>A.8.2</w:t>
      </w:r>
      <w:r w:rsidRPr="00883125">
        <w:fldChar w:fldCharType="end"/>
      </w:r>
      <w:r w:rsidRPr="00883125">
        <w:t>.</w:t>
      </w:r>
    </w:p>
    <w:p w:rsidR="00B95D2A" w:rsidRPr="00883125" w:rsidRDefault="00B95D2A" w:rsidP="00B95D2A">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B95D2A" w:rsidRPr="00883125" w:rsidRDefault="00B95D2A" w:rsidP="00B95D2A">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B95D2A" w:rsidRPr="00883125" w:rsidRDefault="00B95D2A" w:rsidP="00B95D2A">
      <w:r w:rsidRPr="00883125">
        <w:t>The analysis above is based around dividend drop off studies but is equally applicable to alternative market value studies.</w:t>
      </w:r>
    </w:p>
    <w:p w:rsidR="00B95D2A" w:rsidRPr="00883125" w:rsidRDefault="00B95D2A" w:rsidP="00B95D2A">
      <w:pPr>
        <w:pStyle w:val="Heading9"/>
      </w:pPr>
      <w:bookmarkStart w:id="485" w:name="_Ref415065117"/>
      <w:bookmarkStart w:id="486" w:name="_Toc456614341"/>
      <w:bookmarkStart w:id="487" w:name="_Toc462823345"/>
      <w:bookmarkStart w:id="488" w:name="_Toc479694017"/>
      <w:bookmarkStart w:id="489" w:name="_Toc480815651"/>
      <w:r w:rsidRPr="00883125">
        <w:t>Adjustment of estimates from implied market value studies</w:t>
      </w:r>
      <w:bookmarkEnd w:id="485"/>
      <w:bookmarkEnd w:id="486"/>
      <w:bookmarkEnd w:id="487"/>
      <w:bookmarkEnd w:id="488"/>
      <w:bookmarkEnd w:id="489"/>
    </w:p>
    <w:p w:rsidR="00B95D2A" w:rsidRDefault="00B95D2A" w:rsidP="00B95D2A">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775"/>
      </w:r>
      <w:r w:rsidRPr="00883125">
        <w:t xml:space="preserve"> </w:t>
      </w:r>
      <w:r>
        <w:t>However, the service providers do not propose this adjustment as they consider it to be unnecessary and inappropriate.</w:t>
      </w:r>
      <w:r w:rsidRPr="00883125">
        <w:rPr>
          <w:rStyle w:val="FootnoteReference"/>
        </w:rPr>
        <w:footnoteReference w:id="776"/>
      </w:r>
      <w:r>
        <w:t xml:space="preserve"> </w:t>
      </w:r>
    </w:p>
    <w:p w:rsidR="00B95D2A" w:rsidRPr="00883125" w:rsidRDefault="00B95D2A" w:rsidP="00B95D2A">
      <w:r>
        <w:lastRenderedPageBreak/>
        <w:t>W</w:t>
      </w:r>
      <w:r w:rsidRPr="00883125">
        <w:t xml:space="preserve">e do not consider that the relevant adjustment—proposed by Handley and Lally and discussed in section </w:t>
      </w:r>
      <w:r>
        <w:fldChar w:fldCharType="begin"/>
      </w:r>
      <w:r>
        <w:instrText xml:space="preserve"> REF _Ref475972971 \r \h </w:instrText>
      </w:r>
      <w:r>
        <w:fldChar w:fldCharType="separate"/>
      </w:r>
      <w:r w:rsidR="003E419A">
        <w:rPr>
          <w:b/>
          <w:bCs/>
          <w:lang w:val="en-US"/>
        </w:rPr>
        <w:t>Error! Reference source not found.</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777"/>
      </w:r>
    </w:p>
    <w:p w:rsidR="00B95D2A" w:rsidRPr="00883125" w:rsidRDefault="00B95D2A" w:rsidP="00B95D2A">
      <w:pPr>
        <w:pStyle w:val="AERquote"/>
      </w:pPr>
      <w:r w:rsidRPr="00883125">
        <w:t>…costs that reasonable, efficient investors would incur in relation to imputation credits, which do not apply to dividends or capital gains.</w:t>
      </w:r>
    </w:p>
    <w:p w:rsidR="00B95D2A" w:rsidRPr="00883125" w:rsidRDefault="00B95D2A" w:rsidP="00B95D2A">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778"/>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B95D2A" w:rsidRDefault="00B95D2A" w:rsidP="00B95D2A">
      <w:r w:rsidRPr="00883125">
        <w:t xml:space="preserve">As outlined above in section </w:t>
      </w:r>
      <w:r w:rsidRPr="00883125">
        <w:fldChar w:fldCharType="begin"/>
      </w:r>
      <w:r w:rsidRPr="00883125">
        <w:instrText xml:space="preserve"> REF _Ref435171205 \r \h </w:instrText>
      </w:r>
      <w:r w:rsidRPr="00883125">
        <w:fldChar w:fldCharType="separate"/>
      </w:r>
      <w:r w:rsidR="003E419A">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B95D2A" w:rsidRDefault="00B95D2A" w:rsidP="00B95D2A">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779"/>
      </w:r>
    </w:p>
    <w:p w:rsidR="00B95D2A" w:rsidRDefault="00B95D2A" w:rsidP="00B95D2A">
      <w:r>
        <w:t>Frontier submits that if the coefficient on the dividend is less than one, then the total revenue should be increased and not decreased as is the case with the AER's proposed adjustment.</w:t>
      </w:r>
      <w:r>
        <w:rPr>
          <w:rStyle w:val="FootnoteReference"/>
        </w:rPr>
        <w:footnoteReference w:id="780"/>
      </w:r>
      <w:r>
        <w:t xml:space="preserve"> This is due to shareholders requiring a higher compensation for them valuing dividend at less than face value. However, Lally does not agree with this proposition.</w:t>
      </w:r>
      <w:r w:rsidRPr="00D0581B">
        <w:rPr>
          <w:rStyle w:val="FootnoteReference"/>
        </w:rPr>
        <w:t xml:space="preserve"> </w:t>
      </w:r>
      <w:r w:rsidRPr="00BF2DCE">
        <w:rPr>
          <w:rStyle w:val="FootnoteReference"/>
        </w:rPr>
        <w:footnoteReference w:id="781"/>
      </w:r>
      <w:r>
        <w:t xml:space="preserve"> Lally considers that if dividend drop off studies produce an estimate of cash dividends of less than one this implies that shareholders do not value dividends as highly as capital gain and this does not suggest that revenue should be increased.</w:t>
      </w:r>
      <w:r w:rsidRPr="00BF2DCE">
        <w:rPr>
          <w:rStyle w:val="FootnoteReference"/>
        </w:rPr>
        <w:footnoteReference w:id="782"/>
      </w:r>
      <w:r>
        <w:t xml:space="preserve"> The result is an artefact of personal costs, almost certainly differential </w:t>
      </w:r>
      <w:r>
        <w:lastRenderedPageBreak/>
        <w:t xml:space="preserve">taxation on dividends and capital gains biasing the dividend drop off results.  The effect of differential taxation is demonstrated in section </w:t>
      </w:r>
      <w:r>
        <w:fldChar w:fldCharType="begin"/>
      </w:r>
      <w:r>
        <w:instrText xml:space="preserve"> REF _Ref435171205 \r \h </w:instrText>
      </w:r>
      <w:r>
        <w:fldChar w:fldCharType="separate"/>
      </w:r>
      <w:r w:rsidR="003E419A">
        <w:t>A.15.3</w:t>
      </w:r>
      <w:r>
        <w:fldChar w:fldCharType="end"/>
      </w:r>
      <w:r>
        <w:t xml:space="preserve"> above. </w:t>
      </w:r>
    </w:p>
    <w:p w:rsidR="00B95D2A" w:rsidRPr="00883125" w:rsidRDefault="00B95D2A" w:rsidP="00B95D2A">
      <w:pPr>
        <w:pStyle w:val="Heading9"/>
      </w:pPr>
      <w:bookmarkStart w:id="490" w:name="_Ref414624721"/>
      <w:bookmarkStart w:id="491" w:name="_Toc456614342"/>
      <w:bookmarkStart w:id="492" w:name="_Toc462823346"/>
      <w:bookmarkStart w:id="493" w:name="_Toc479694018"/>
      <w:bookmarkStart w:id="494" w:name="_Toc480815652"/>
      <w:r w:rsidRPr="00883125">
        <w:t>Limitations of SFG's dividend drop off study</w:t>
      </w:r>
      <w:bookmarkEnd w:id="490"/>
      <w:bookmarkEnd w:id="491"/>
      <w:bookmarkEnd w:id="492"/>
      <w:bookmarkEnd w:id="493"/>
      <w:bookmarkEnd w:id="494"/>
    </w:p>
    <w:p w:rsidR="00B95D2A" w:rsidRPr="00883125" w:rsidRDefault="00B95D2A" w:rsidP="00B95D2A">
      <w:r w:rsidRPr="00883125">
        <w:t>A number of service providers submitted that ‘several of the general limitations [of implied market value studies identified] do not apply to the SFG study’.</w:t>
      </w:r>
      <w:r w:rsidRPr="00883125">
        <w:rPr>
          <w:rStyle w:val="FootnoteReference"/>
        </w:rPr>
        <w:footnoteReference w:id="783"/>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784"/>
      </w:r>
      <w:r w:rsidRPr="00883125">
        <w:t xml:space="preserve"> The 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785"/>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786"/>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B95D2A" w:rsidRPr="00883125" w:rsidRDefault="00B95D2A" w:rsidP="00B95D2A">
      <w:pPr>
        <w:pStyle w:val="HeadingBoldBlue"/>
      </w:pPr>
      <w:bookmarkStart w:id="495" w:name="_Toc456614343"/>
      <w:bookmarkStart w:id="496" w:name="_Toc479694019"/>
      <w:r w:rsidRPr="00883125">
        <w:t>These studies can produce nonsensical estimates of the utilisation rate; that is, greater than one or less than zero.</w:t>
      </w:r>
      <w:bookmarkEnd w:id="495"/>
      <w:bookmarkEnd w:id="496"/>
    </w:p>
    <w:p w:rsidR="00B95D2A" w:rsidRPr="00883125" w:rsidRDefault="00B95D2A" w:rsidP="00B95D2A">
      <w:r w:rsidRPr="00883125">
        <w:t>We accept that this limitation does not apply to SFG’s study. Its estimate of the utilisation rate is 0.35.</w:t>
      </w:r>
    </w:p>
    <w:p w:rsidR="00B95D2A" w:rsidRPr="00883125" w:rsidRDefault="00B95D2A" w:rsidP="00B95D2A">
      <w:pPr>
        <w:pStyle w:val="HeadingBoldBlue"/>
      </w:pPr>
      <w:bookmarkStart w:id="497" w:name="_Toc456614344"/>
      <w:bookmarkStart w:id="498" w:name="_Toc479694020"/>
      <w:r w:rsidRPr="00883125">
        <w:lastRenderedPageBreak/>
        <w:t>The results of these studies can reflect factors, such as differential personal taxes and risk, which are not relevant to the utilisation rate.</w:t>
      </w:r>
      <w:bookmarkEnd w:id="497"/>
      <w:bookmarkEnd w:id="498"/>
    </w:p>
    <w:p w:rsidR="00B95D2A" w:rsidRPr="00883125" w:rsidRDefault="00B95D2A" w:rsidP="00B95D2A">
      <w:r w:rsidRPr="00883125">
        <w:t>Both Handley and Lally advised that the results from SFG’s dividend drop off study reflect these factors.</w:t>
      </w:r>
      <w:r w:rsidRPr="00883125">
        <w:rPr>
          <w:rStyle w:val="FootnoteReference"/>
        </w:rPr>
        <w:footnoteReference w:id="787"/>
      </w:r>
      <w:r w:rsidRPr="00883125">
        <w:t xml:space="preserve"> A number of service providers themselves also acknowledged this elsewhere in their proposals:</w:t>
      </w:r>
      <w:r w:rsidRPr="00883125">
        <w:rPr>
          <w:rStyle w:val="FootnoteReference"/>
        </w:rPr>
        <w:footnoteReference w:id="788"/>
      </w:r>
    </w:p>
    <w:p w:rsidR="00B95D2A" w:rsidRPr="00883125" w:rsidRDefault="00B95D2A" w:rsidP="00B95D2A">
      <w:pPr>
        <w:pStyle w:val="AERquote"/>
      </w:pPr>
      <w:r w:rsidRPr="00883125">
        <w:t>…even if the AER’s definition of theta were to be adopted, there is a relatively simple adjustment that can be made to estimates from market value studies to address this concern. As explained by Associate Professor Handley, this involves ‘grossing up’ the theta estimate from a market value study to reflect the effect of personal taxes and personal costs.</w:t>
      </w:r>
    </w:p>
    <w:p w:rsidR="00B95D2A" w:rsidRPr="00883125" w:rsidRDefault="00B95D2A" w:rsidP="00B95D2A">
      <w:r w:rsidRPr="00883125">
        <w:t>Therefore, we conclude that this limitation does apply to SFG’s study.</w:t>
      </w:r>
    </w:p>
    <w:p w:rsidR="00B95D2A" w:rsidRPr="00883125" w:rsidRDefault="00B95D2A" w:rsidP="00B95D2A">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3E419A">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B95D2A" w:rsidRPr="00883125" w:rsidRDefault="00B95D2A" w:rsidP="00B95D2A">
      <w:pPr>
        <w:pStyle w:val="HeadingBoldBlue"/>
      </w:pPr>
      <w:bookmarkStart w:id="499" w:name="_Toc456614345"/>
      <w:bookmarkStart w:id="500" w:name="_Toc479694021"/>
      <w:r w:rsidRPr="00883125">
        <w:t>The results of these studies might not be reflective of the value of imputation credits to investors in the market as a whole.</w:t>
      </w:r>
      <w:bookmarkEnd w:id="499"/>
      <w:bookmarkEnd w:id="500"/>
    </w:p>
    <w:p w:rsidR="00B95D2A" w:rsidRPr="00883125" w:rsidRDefault="00B95D2A" w:rsidP="00B95D2A">
      <w:r w:rsidRPr="00883125">
        <w:t>Gray’s response to this point (for SFG) was:</w:t>
      </w:r>
      <w:r w:rsidRPr="00883125">
        <w:rPr>
          <w:rStyle w:val="FootnoteReference"/>
        </w:rPr>
        <w:footnoteReference w:id="789"/>
      </w:r>
    </w:p>
    <w:p w:rsidR="00B95D2A" w:rsidRPr="00883125" w:rsidRDefault="00B95D2A" w:rsidP="00B95D2A">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B95D2A" w:rsidRPr="00883125" w:rsidRDefault="00B95D2A" w:rsidP="00B95D2A">
      <w:pPr>
        <w:pStyle w:val="AERquote"/>
      </w:pPr>
      <w:r w:rsidRPr="00883125">
        <w:t>I have previously addressed this issue at pp. 31-32 of SFG (2014 Gamma) and at ENA (2013), Section 7.9, pp.119-123.</w:t>
      </w:r>
    </w:p>
    <w:p w:rsidR="00B95D2A" w:rsidRPr="00883125" w:rsidRDefault="00B95D2A" w:rsidP="00B95D2A">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790"/>
      </w:r>
    </w:p>
    <w:p w:rsidR="00B95D2A" w:rsidRPr="00883125" w:rsidRDefault="00B95D2A" w:rsidP="00B95D2A">
      <w:pPr>
        <w:pStyle w:val="AERquote"/>
      </w:pPr>
      <w:r w:rsidRPr="00883125">
        <w:lastRenderedPageBreak/>
        <w:t>The AER’s third approach to estimating [the utilisation rate] involves estimates derived from market prices (AER, 2013, pp. 133–134, 239–247). The AER does not consider that these estimates are useful for a number of reasons.</w:t>
      </w:r>
    </w:p>
    <w:p w:rsidR="00B95D2A" w:rsidRPr="00883125" w:rsidRDefault="00B95D2A" w:rsidP="00B95D2A">
      <w:pPr>
        <w:pStyle w:val="AERquote"/>
      </w:pPr>
      <w:r w:rsidRPr="00883125">
        <w:t>…</w:t>
      </w:r>
    </w:p>
    <w:p w:rsidR="00B95D2A" w:rsidRPr="00883125" w:rsidRDefault="00B95D2A" w:rsidP="00B95D2A">
      <w:pPr>
        <w:pStyle w:val="AERquote"/>
      </w:pPr>
      <w:r w:rsidRPr="00883125">
        <w:t>I concur with all of these concerns, and I have additional concerns about these studies or their interpretation.</w:t>
      </w:r>
    </w:p>
    <w:p w:rsidR="00B95D2A" w:rsidRPr="00883125" w:rsidRDefault="00B95D2A" w:rsidP="00B95D2A">
      <w:r w:rsidRPr="00883125">
        <w:t>Regarding the particular limitation at hand, Lally noted:</w:t>
      </w:r>
      <w:r w:rsidRPr="00883125">
        <w:rPr>
          <w:rStyle w:val="FootnoteReference"/>
        </w:rPr>
        <w:footnoteReference w:id="791"/>
      </w:r>
    </w:p>
    <w:p w:rsidR="00B95D2A" w:rsidRPr="00883125" w:rsidRDefault="00B95D2A" w:rsidP="00B95D2A">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B95D2A" w:rsidRPr="00883125" w:rsidRDefault="00B95D2A" w:rsidP="00B95D2A">
      <w:r w:rsidRPr="00883125">
        <w:t>And on the effect of trading around the ex-dividend date, Lally noted:</w:t>
      </w:r>
      <w:r w:rsidRPr="00883125">
        <w:rPr>
          <w:rStyle w:val="FootnoteReference"/>
        </w:rPr>
        <w:footnoteReference w:id="792"/>
      </w:r>
    </w:p>
    <w:p w:rsidR="00B95D2A" w:rsidRPr="00883125" w:rsidRDefault="00B95D2A" w:rsidP="00B95D2A">
      <w:pPr>
        <w:pStyle w:val="AERquote"/>
      </w:pPr>
      <w:r w:rsidRPr="00883125">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B95D2A" w:rsidRPr="00883125" w:rsidRDefault="00B95D2A" w:rsidP="00B95D2A">
      <w:r w:rsidRPr="00883125">
        <w:t>Thus, Lally appeared unconvinced by the ENA’s views and provided no indication that SFG’s study (or any implied market value study) should necessarily be deemed free of this limitation.</w:t>
      </w:r>
    </w:p>
    <w:p w:rsidR="00B95D2A" w:rsidRPr="00883125" w:rsidRDefault="00B95D2A" w:rsidP="00B95D2A">
      <w:r w:rsidRPr="00883125">
        <w:t>Handley also appeared unconvinced by the views of Gray (for SFG) in his 2014 report on this limitation, noting in his September 2014 report:</w:t>
      </w:r>
      <w:r w:rsidRPr="00883125">
        <w:rPr>
          <w:rStyle w:val="FootnoteReference"/>
        </w:rPr>
        <w:footnoteReference w:id="793"/>
      </w:r>
    </w:p>
    <w:p w:rsidR="00B95D2A" w:rsidRPr="00883125" w:rsidRDefault="00B95D2A" w:rsidP="00B95D2A">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95D2A" w:rsidRPr="00883125" w:rsidRDefault="00B95D2A" w:rsidP="00B95D2A">
      <w:r w:rsidRPr="00883125">
        <w:t>Handley reiterated this view in his April 2015 report.</w:t>
      </w:r>
      <w:r w:rsidRPr="00883125">
        <w:rPr>
          <w:rStyle w:val="FootnoteReference"/>
        </w:rPr>
        <w:footnoteReference w:id="794"/>
      </w:r>
    </w:p>
    <w:p w:rsidR="00B95D2A" w:rsidRPr="00883125" w:rsidRDefault="00B95D2A" w:rsidP="00B95D2A">
      <w:r w:rsidRPr="00883125">
        <w:lastRenderedPageBreak/>
        <w:t>Finally, we note the South Australian Centre for Economic Studies recommended disregarding evidence from all dividend drop off studies due to this limitation entirely:</w:t>
      </w:r>
      <w:r w:rsidRPr="00883125">
        <w:rPr>
          <w:rStyle w:val="FootnoteReference"/>
        </w:rPr>
        <w:footnoteReference w:id="795"/>
      </w:r>
    </w:p>
    <w:p w:rsidR="00B95D2A" w:rsidRPr="00883125" w:rsidRDefault="00B95D2A" w:rsidP="00B95D2A">
      <w:pPr>
        <w:pStyle w:val="AERquote"/>
      </w:pPr>
      <w:r w:rsidRPr="00883125">
        <w:t>The studies included by SFG consulting in their review of estimates for theta all appear to be of good quality and are undertaken in a manner which reflects the current best practice in the literature.</w:t>
      </w:r>
    </w:p>
    <w:p w:rsidR="00B95D2A" w:rsidRPr="00883125" w:rsidRDefault="00B95D2A" w:rsidP="00B95D2A">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95D2A" w:rsidRPr="00883125" w:rsidRDefault="00B95D2A" w:rsidP="00B95D2A">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95D2A" w:rsidRPr="00883125" w:rsidRDefault="00B95D2A" w:rsidP="00B95D2A">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95D2A" w:rsidRPr="00883125" w:rsidRDefault="00B95D2A" w:rsidP="00B95D2A">
      <w:r w:rsidRPr="00883125">
        <w:t>We consider that there is sufficient evidence in the expert views quoted above to suggest that SFG's dividend drop off study is subject to this limitation.</w:t>
      </w:r>
    </w:p>
    <w:p w:rsidR="00B95D2A" w:rsidRDefault="00B95D2A" w:rsidP="00B95D2A">
      <w:r>
        <w:t>In their most recent report, Frontier submits that McKenzie and Partington support that tax-induced trading around ex-dividend days would "inflate' the estimate of the utilisation rate.</w:t>
      </w:r>
      <w:r>
        <w:rPr>
          <w:rStyle w:val="FootnoteReference"/>
        </w:rPr>
        <w:footnoteReference w:id="796"/>
      </w:r>
      <w:r>
        <w:t xml:space="preserve"> Lally does not agree and considers that Frontier is misrepresenting what McKenzie and Partington said in their report:</w:t>
      </w:r>
      <w:r w:rsidRPr="00CF3D56">
        <w:rPr>
          <w:rStyle w:val="FootnoteReference"/>
        </w:rPr>
        <w:t xml:space="preserve"> </w:t>
      </w:r>
      <w:r w:rsidRPr="003A0C07">
        <w:rPr>
          <w:rStyle w:val="FootnoteReference"/>
        </w:rPr>
        <w:footnoteReference w:id="797"/>
      </w:r>
    </w:p>
    <w:p w:rsidR="00B95D2A" w:rsidRPr="00B95D2A" w:rsidRDefault="00B95D2A" w:rsidP="00AC29DB">
      <w:pPr>
        <w:pStyle w:val="AERquote"/>
      </w:pPr>
      <w:r w:rsidRPr="00CF3D56">
        <w:t xml:space="preserve">… </w:t>
      </w:r>
      <w:r w:rsidRPr="00AC29DB">
        <w:t xml:space="preserve">the statements quoted by Frontier represent a summary from McKenzie and Partington of only two of the many papers examined by them.  Subsequently, in expressing their own views, McKenzie and Partington (2011, page 10) state that “Arbitrageurs can be engaged in both dividend avoidance (e.g.: foreign investors with lower franking credit values) and dividend capture (e.g.: domestic investors with higher franking credit values).”  The latter of these activities would raise the estimate of the utilization rate but the former would have the reverse effect.  McKenzie and Partington (2011, page 11) also state that “..if short-term traders did determine prices, then the observed price drop would underestimate the value of dividends and franking credits…” due to the effect of </w:t>
      </w:r>
      <w:r w:rsidRPr="00AC29DB">
        <w:lastRenderedPageBreak/>
        <w:t>transactions costs.  McKenzie and Partington (2011, page 13) also summarise results from various papers that examine contemporaneous trades on cum and ex-dividend shares, which suggests that the dividend drop-off studies give “downward biased estimates of dividends and franking credit value.”</w:t>
      </w:r>
    </w:p>
    <w:p w:rsidR="00B95D2A" w:rsidRDefault="00B95D2A" w:rsidP="00B95D2A">
      <w:r>
        <w:t>In his latest report, Lally demonstrates tax-induced trading around the ex-dividend date can bias the utilisation rate in either direction and there is no apparent means of determining whether overall there will be an over or under estimation.</w:t>
      </w:r>
      <w:r w:rsidRPr="003A0C07">
        <w:rPr>
          <w:rStyle w:val="FootnoteReference"/>
        </w:rPr>
        <w:footnoteReference w:id="798"/>
      </w:r>
      <w:r>
        <w:rPr>
          <w:rStyle w:val="FootnoteReference"/>
        </w:rPr>
        <w:t xml:space="preserve"> </w:t>
      </w:r>
      <w:r>
        <w:t>In his simple example, Lally demonstrates the if the actual utilisation value is 0.5 dividend drop off studies can produce a utilisation value in the range of 0 to 1.</w:t>
      </w:r>
      <w:r>
        <w:rPr>
          <w:rStyle w:val="FootnoteReference"/>
        </w:rPr>
        <w:footnoteReference w:id="799"/>
      </w:r>
    </w:p>
    <w:p w:rsidR="00B95D2A" w:rsidRPr="00883125" w:rsidRDefault="00B95D2A" w:rsidP="00B95D2A">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3E419A">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w:t>
      </w:r>
      <w:r w:rsidR="009B1202" w:rsidRPr="00883125">
        <w:t>investor</w:t>
      </w:r>
      <w:r w:rsidR="009B1202">
        <w:t xml:space="preserve"> that</w:t>
      </w:r>
      <w:r w:rsidRPr="00883125">
        <w:t xml:space="preserve"> trades around the ex-dividend date</w:t>
      </w:r>
      <w:r>
        <w:t>,</w:t>
      </w:r>
      <w:r w:rsidRPr="00883125">
        <w:t xml:space="preserve"> marginal tax rate. However, the marginal investor dividend drop off ratio is not relevant for estimating gamma in the regulatory context for two reasons:</w:t>
      </w:r>
    </w:p>
    <w:p w:rsidR="00B95D2A" w:rsidRPr="001D37D5" w:rsidRDefault="00B95D2A" w:rsidP="00B95D2A">
      <w:pPr>
        <w:pStyle w:val="AERbulletlistfirststyle"/>
      </w:pPr>
      <w:r w:rsidRPr="00883125">
        <w:t xml:space="preserve">The purpose of gamma </w:t>
      </w:r>
      <w:r w:rsidRPr="001D37D5">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B95D2A" w:rsidRPr="001D37D5" w:rsidRDefault="00B95D2A" w:rsidP="00B95D2A">
      <w:pPr>
        <w:pStyle w:val="AERbulletlistfirststyle"/>
      </w:pPr>
      <w:r w:rsidRPr="00883125">
        <w:t>This dividend drop off ratio is neither a pre-personal nor a post-persona tax measure of dividends</w:t>
      </w:r>
      <w:r w:rsidRPr="001D37D5">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1D37D5">
        <w:rPr>
          <w:rStyle w:val="AERtexthighlight"/>
        </w:rPr>
        <w:fldChar w:fldCharType="begin"/>
      </w:r>
      <w:r w:rsidRPr="001D37D5">
        <w:instrText xml:space="preserve"> REF _Ref435171205 \r \h </w:instrText>
      </w:r>
      <w:r w:rsidRPr="001D37D5">
        <w:rPr>
          <w:rStyle w:val="AERtexthighlight"/>
        </w:rPr>
      </w:r>
      <w:r w:rsidRPr="001D37D5">
        <w:rPr>
          <w:rStyle w:val="AERtexthighlight"/>
        </w:rPr>
        <w:fldChar w:fldCharType="separate"/>
      </w:r>
      <w:r w:rsidR="003E419A">
        <w:t>A.15.3</w:t>
      </w:r>
      <w:r w:rsidRPr="001D37D5">
        <w:rPr>
          <w:rStyle w:val="AERtexthighlight"/>
        </w:rPr>
        <w:fldChar w:fldCharType="end"/>
      </w:r>
      <w:r w:rsidRPr="001D37D5">
        <w:t>.</w:t>
      </w:r>
    </w:p>
    <w:p w:rsidR="00B95D2A" w:rsidRPr="00883125" w:rsidRDefault="00B95D2A" w:rsidP="00B95D2A">
      <w:pPr>
        <w:pStyle w:val="HeadingBoldBlue"/>
      </w:pPr>
      <w:bookmarkStart w:id="501" w:name="_Toc456614346"/>
      <w:bookmarkStart w:id="502" w:name="_Toc479694022"/>
      <w:r w:rsidRPr="00883125">
        <w:t>These studies can be data intensive and employ complex and sometimes problematic estimation methodologies.</w:t>
      </w:r>
      <w:bookmarkEnd w:id="501"/>
      <w:bookmarkEnd w:id="502"/>
    </w:p>
    <w:p w:rsidR="00B95D2A" w:rsidRPr="00883125" w:rsidRDefault="00B95D2A" w:rsidP="00B95D2A">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800"/>
      </w:r>
    </w:p>
    <w:p w:rsidR="00B95D2A" w:rsidRPr="00883125" w:rsidRDefault="00B95D2A" w:rsidP="00B95D2A">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w:t>
      </w:r>
      <w:r w:rsidRPr="00883125">
        <w:lastRenderedPageBreak/>
        <w:t xml:space="preserve">out in section </w:t>
      </w:r>
      <w:r w:rsidR="00780170">
        <w:fldChar w:fldCharType="begin"/>
      </w:r>
      <w:r w:rsidR="00780170">
        <w:instrText xml:space="preserve"> REF _Ref480818331 \r \h </w:instrText>
      </w:r>
      <w:r w:rsidR="00780170">
        <w:fldChar w:fldCharType="separate"/>
      </w:r>
      <w:r w:rsidR="003E419A">
        <w:t>A.15.6</w:t>
      </w:r>
      <w:r w:rsidR="00780170">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regard to the </w:t>
      </w:r>
      <w:r>
        <w:t xml:space="preserve">Energex </w:t>
      </w:r>
      <w:r w:rsidRPr="00883125">
        <w:t>Tribunal's acceptance of the results from SFG's dividend drop off study in 2011.</w:t>
      </w:r>
    </w:p>
    <w:p w:rsidR="00B95D2A" w:rsidRPr="00883125" w:rsidRDefault="00B95D2A" w:rsidP="00B95D2A">
      <w:r w:rsidRPr="00883125">
        <w:t>Therefore, we consider that there is evidence both for and against the idea that this limitation applies to SFG's dividend drop off study.</w:t>
      </w:r>
    </w:p>
    <w:p w:rsidR="00B95D2A" w:rsidRPr="00883125" w:rsidRDefault="00B95D2A" w:rsidP="00B95D2A">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B95D2A" w:rsidRDefault="00780170" w:rsidP="00B95D2A">
      <w:r>
        <w:t>First</w:t>
      </w:r>
      <w:r w:rsidR="00B95D2A" w:rsidRPr="00883125">
        <w:t>,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00B95D2A" w:rsidRPr="00883125">
        <w:rPr>
          <w:rStyle w:val="FootnoteReference"/>
        </w:rPr>
        <w:footnoteReference w:id="801"/>
      </w:r>
      <w:r w:rsidR="00B95D2A"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503" w:name="_Ref402180002"/>
      <w:bookmarkStart w:id="504" w:name="_Ref414619467"/>
    </w:p>
    <w:p w:rsidR="00B95D2A" w:rsidRPr="00B27BE5" w:rsidRDefault="00B95D2A" w:rsidP="00B95D2A">
      <w:pPr>
        <w:pStyle w:val="Heading9"/>
      </w:pPr>
      <w:bookmarkStart w:id="505" w:name="_Toc456614347"/>
      <w:bookmarkStart w:id="506" w:name="_Toc462823347"/>
      <w:bookmarkStart w:id="507" w:name="_Toc479694023"/>
      <w:bookmarkStart w:id="508" w:name="_Toc480815653"/>
      <w:bookmarkStart w:id="509" w:name="_Ref480818318"/>
      <w:bookmarkStart w:id="510" w:name="_Ref480818331"/>
      <w:r w:rsidRPr="00883125">
        <w:t>The views of academics and other regulators</w:t>
      </w:r>
      <w:bookmarkEnd w:id="503"/>
      <w:r w:rsidRPr="00883125">
        <w:t xml:space="preserve"> on dividend drop off studies</w:t>
      </w:r>
      <w:bookmarkEnd w:id="504"/>
      <w:bookmarkEnd w:id="505"/>
      <w:bookmarkEnd w:id="506"/>
      <w:bookmarkEnd w:id="507"/>
      <w:bookmarkEnd w:id="508"/>
      <w:bookmarkEnd w:id="509"/>
      <w:bookmarkEnd w:id="510"/>
    </w:p>
    <w:p w:rsidR="00B95D2A" w:rsidRPr="00883125" w:rsidRDefault="00B95D2A" w:rsidP="00B95D2A">
      <w:pPr>
        <w:numPr>
          <w:ilvl w:val="0"/>
          <w:numId w:val="24"/>
        </w:numPr>
      </w:pPr>
      <w:r w:rsidRPr="00883125">
        <w:t xml:space="preserve">A number of academics and regulators have recognised the limitations of dividend drop off studies. Moreover, many of these concerns continue to be expressed even after the first version of SFG's dividend drop off study in 2011 (which was relied upon by the </w:t>
      </w:r>
      <w:r>
        <w:t xml:space="preserve">Energex </w:t>
      </w:r>
      <w:r w:rsidRPr="00883125">
        <w:t>Tribunal), and the 2013 update of that study (which was relied upon in service providers' current proposals).</w:t>
      </w:r>
      <w:r w:rsidRPr="00883125">
        <w:rPr>
          <w:rStyle w:val="FootnoteReference"/>
        </w:rPr>
        <w:footnoteReference w:id="802"/>
      </w:r>
      <w:r w:rsidRPr="00883125">
        <w:t xml:space="preserve"> The comments of academics and other regulators support the lesser reliance we place on SFG's dividend drop off study in estimating the utilisation rate. </w:t>
      </w:r>
    </w:p>
    <w:p w:rsidR="00B95D2A" w:rsidRPr="00883125" w:rsidRDefault="00B95D2A" w:rsidP="00B95D2A">
      <w:pPr>
        <w:numPr>
          <w:ilvl w:val="0"/>
          <w:numId w:val="24"/>
        </w:numPr>
      </w:pPr>
      <w:r w:rsidRPr="00883125">
        <w:t>Some academics have identified a number of practical and methodological issues:</w:t>
      </w:r>
    </w:p>
    <w:p w:rsidR="00B95D2A" w:rsidRPr="00CA67C0" w:rsidRDefault="00B95D2A" w:rsidP="00B95D2A">
      <w:pPr>
        <w:pStyle w:val="AERbulletlistfirststyle"/>
      </w:pPr>
      <w:r w:rsidRPr="00883125">
        <w:lastRenderedPageBreak/>
        <w:t>Cannavan, Finn and Gray (2004):</w:t>
      </w:r>
      <w:r w:rsidRPr="00CA67C0">
        <w:rPr>
          <w:rStyle w:val="FootnoteReference"/>
        </w:rPr>
        <w:footnoteReference w:id="803"/>
      </w:r>
    </w:p>
    <w:p w:rsidR="00B95D2A" w:rsidRPr="00CA67C0" w:rsidRDefault="00B95D2A" w:rsidP="00B95D2A">
      <w:pPr>
        <w:pStyle w:val="AERquote"/>
      </w:pPr>
      <w:r w:rsidRPr="00883125">
        <w:t>…it is unlikely that the traditional ex-dividend day drop-off methodology will be able to separately identify the value of cash dividends and imputation credits.</w:t>
      </w:r>
    </w:p>
    <w:p w:rsidR="00B95D2A" w:rsidRPr="001D37D5" w:rsidRDefault="00B95D2A" w:rsidP="00B95D2A">
      <w:pPr>
        <w:pStyle w:val="AERbulletlistfirststyle"/>
      </w:pPr>
      <w:r w:rsidRPr="00883125">
        <w:t>Siau, Sault and Warren (2013):</w:t>
      </w:r>
      <w:r w:rsidRPr="001D37D5">
        <w:rPr>
          <w:rStyle w:val="FootnoteReference"/>
        </w:rPr>
        <w:footnoteReference w:id="804"/>
      </w:r>
    </w:p>
    <w:p w:rsidR="00B95D2A" w:rsidRPr="00883125" w:rsidRDefault="00B95D2A" w:rsidP="00B95D2A">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B95D2A" w:rsidRPr="00883125" w:rsidRDefault="00B95D2A" w:rsidP="00B95D2A">
      <w:pPr>
        <w:pStyle w:val="AERquote"/>
      </w:pPr>
      <w:r w:rsidRPr="00883125">
        <w:t>…</w:t>
      </w:r>
    </w:p>
    <w:p w:rsidR="00B95D2A" w:rsidRPr="00883125" w:rsidRDefault="00B95D2A" w:rsidP="00B95D2A">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B95D2A" w:rsidRPr="00883125" w:rsidRDefault="00B95D2A" w:rsidP="00B95D2A">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w:t>
      </w:r>
      <w:r w:rsidRPr="00883125">
        <w:lastRenderedPageBreak/>
        <w:t>(2008)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B95D2A" w:rsidRPr="001D37D5" w:rsidRDefault="00B95D2A" w:rsidP="00B95D2A">
      <w:pPr>
        <w:pStyle w:val="AERbulletlistfirststyle"/>
      </w:pPr>
      <w:r w:rsidRPr="00883125">
        <w:t>McKenzie and Partington (2013):</w:t>
      </w:r>
      <w:r w:rsidRPr="001D37D5">
        <w:rPr>
          <w:rStyle w:val="FootnoteReference"/>
        </w:rPr>
        <w:footnoteReference w:id="805"/>
      </w:r>
    </w:p>
    <w:p w:rsidR="00B95D2A" w:rsidRPr="00883125" w:rsidRDefault="00B95D2A" w:rsidP="00B95D2A">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B95D2A" w:rsidRPr="00883125" w:rsidRDefault="00B95D2A" w:rsidP="00B95D2A">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B95D2A" w:rsidRPr="00883125" w:rsidRDefault="00B95D2A" w:rsidP="00B95D2A">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B95D2A" w:rsidRPr="00883125" w:rsidRDefault="00B95D2A" w:rsidP="00B95D2A">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w:t>
      </w:r>
      <w:r w:rsidRPr="00883125">
        <w:lastRenderedPageBreak/>
        <w:t>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multicollinearity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B95D2A" w:rsidRPr="001D37D5" w:rsidRDefault="00B95D2A" w:rsidP="00B95D2A">
      <w:pPr>
        <w:pStyle w:val="AERbulletlistfirststyle"/>
      </w:pPr>
      <w:r w:rsidRPr="00883125">
        <w:t>Lally (2013):</w:t>
      </w:r>
      <w:r w:rsidRPr="001D37D5">
        <w:rPr>
          <w:rStyle w:val="FootnoteReference"/>
        </w:rPr>
        <w:footnoteReference w:id="806"/>
      </w:r>
    </w:p>
    <w:p w:rsidR="00B95D2A" w:rsidRPr="00883125" w:rsidRDefault="00B95D2A" w:rsidP="00B95D2A">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B95D2A" w:rsidRPr="00883125" w:rsidRDefault="00B95D2A" w:rsidP="00B95D2A">
      <w:pPr>
        <w:pStyle w:val="AERquote"/>
      </w:pPr>
      <w:r w:rsidRPr="00883125">
        <w:t>I concur with all of these concerns, and I have additional concerns about these studies or their interpretation.</w:t>
      </w:r>
    </w:p>
    <w:p w:rsidR="00B95D2A" w:rsidRPr="00883125" w:rsidRDefault="00B95D2A" w:rsidP="00B95D2A">
      <w:r w:rsidRPr="00883125">
        <w:t>Other academics have focussed on the specific issue of whether dividend drop off studies produce results that are reflective of investors in the market as a whole:</w:t>
      </w:r>
    </w:p>
    <w:p w:rsidR="00B95D2A" w:rsidRPr="001D37D5" w:rsidRDefault="00B95D2A" w:rsidP="00B95D2A">
      <w:pPr>
        <w:pStyle w:val="AERbulletlistfirststyle"/>
      </w:pPr>
      <w:r w:rsidRPr="00883125">
        <w:t>Handley (2014):</w:t>
      </w:r>
      <w:r w:rsidRPr="001D37D5">
        <w:rPr>
          <w:rStyle w:val="FootnoteReference"/>
        </w:rPr>
        <w:footnoteReference w:id="807"/>
      </w:r>
    </w:p>
    <w:p w:rsidR="00B95D2A" w:rsidRPr="00883125" w:rsidRDefault="00B95D2A" w:rsidP="00B95D2A">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B95D2A" w:rsidRPr="00CA67C0" w:rsidRDefault="00B95D2A" w:rsidP="00B95D2A">
      <w:pPr>
        <w:pStyle w:val="AERbulletlistfirststyle"/>
      </w:pPr>
      <w:r w:rsidRPr="00883125">
        <w:t>South Australian Centre for Economic Studies (2015):</w:t>
      </w:r>
      <w:r w:rsidRPr="00CA67C0">
        <w:rPr>
          <w:rStyle w:val="FootnoteReference"/>
        </w:rPr>
        <w:footnoteReference w:id="808"/>
      </w:r>
    </w:p>
    <w:p w:rsidR="00B95D2A" w:rsidRPr="00CA67C0" w:rsidRDefault="00B95D2A" w:rsidP="00B95D2A">
      <w:pPr>
        <w:pStyle w:val="AERquote"/>
      </w:pPr>
      <w:r w:rsidRPr="00883125">
        <w:lastRenderedPageBreak/>
        <w:t>In order for a dividend drop-off study to provide useful evidence of the value of franking credits to a representative owner of equity three conditions need to be met:</w:t>
      </w:r>
    </w:p>
    <w:p w:rsidR="00B95D2A" w:rsidRPr="00883125" w:rsidRDefault="00B95D2A" w:rsidP="00B95D2A">
      <w:pPr>
        <w:pStyle w:val="AERquotebullet1"/>
      </w:pPr>
      <w:r w:rsidRPr="00883125">
        <w:t>the studies being drawn on need to be of high quality;</w:t>
      </w:r>
    </w:p>
    <w:p w:rsidR="00B95D2A" w:rsidRPr="00883125" w:rsidRDefault="00B95D2A" w:rsidP="00B95D2A">
      <w:pPr>
        <w:pStyle w:val="AERquotebullet1"/>
      </w:pPr>
      <w:r w:rsidRPr="00883125">
        <w:t>the equity holders who buy shares in the period after dividends are issued need to be representative of the whole class of equity holders; and</w:t>
      </w:r>
    </w:p>
    <w:p w:rsidR="00B95D2A" w:rsidRPr="00883125" w:rsidRDefault="00B95D2A" w:rsidP="00B95D2A">
      <w:pPr>
        <w:pStyle w:val="AERquotebullet1"/>
      </w:pPr>
      <w:r w:rsidRPr="00883125">
        <w:t>the equity for which data is drawn on for the dividend drop off study needs to be representative of the overall stock of equity in the Australian economy</w:t>
      </w:r>
    </w:p>
    <w:p w:rsidR="00B95D2A" w:rsidRPr="00883125" w:rsidRDefault="00B95D2A" w:rsidP="00B95D2A">
      <w:pPr>
        <w:pStyle w:val="AERquote"/>
      </w:pPr>
      <w:r w:rsidRPr="00883125">
        <w:t>We would contend that only the first of these three conditions is definitely met.</w:t>
      </w:r>
    </w:p>
    <w:p w:rsidR="00B95D2A" w:rsidRPr="00883125" w:rsidRDefault="00B95D2A" w:rsidP="00B95D2A">
      <w:pPr>
        <w:pStyle w:val="AERquote"/>
      </w:pPr>
      <w:r w:rsidRPr="00883125">
        <w:t>The studies included by SFG consulting in their review of estimates for theta all appear to be of good quality and are undertaken in a manner which reflects the current best practice in the literature.</w:t>
      </w:r>
    </w:p>
    <w:p w:rsidR="00B95D2A" w:rsidRPr="00883125" w:rsidRDefault="00B95D2A" w:rsidP="00B95D2A">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B95D2A" w:rsidRPr="00883125" w:rsidRDefault="00B95D2A" w:rsidP="00B95D2A">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B95D2A" w:rsidRPr="00883125" w:rsidRDefault="00B95D2A" w:rsidP="00B95D2A">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B95D2A" w:rsidRPr="00883125" w:rsidRDefault="00B95D2A" w:rsidP="00B95D2A">
      <w:r w:rsidRPr="00883125">
        <w:t>The limitations identified have been recognised by other regulators and reflected in their respective approaches to determining the utilisation rate:</w:t>
      </w:r>
    </w:p>
    <w:p w:rsidR="00B95D2A" w:rsidRPr="001D37D5" w:rsidRDefault="00B95D2A" w:rsidP="00B95D2A">
      <w:pPr>
        <w:pStyle w:val="AERbulletlistfirststyle"/>
      </w:pPr>
      <w:r w:rsidRPr="00883125">
        <w:t>QCA (2014):</w:t>
      </w:r>
      <w:r w:rsidRPr="001D37D5">
        <w:rPr>
          <w:rStyle w:val="FootnoteReference"/>
        </w:rPr>
        <w:footnoteReference w:id="809"/>
      </w:r>
    </w:p>
    <w:p w:rsidR="00B95D2A" w:rsidRPr="00883125" w:rsidRDefault="00B95D2A" w:rsidP="00B95D2A">
      <w:pPr>
        <w:pStyle w:val="AERquote"/>
      </w:pPr>
      <w:r w:rsidRPr="00883125">
        <w:t>Given the concerns identified, the QCA does not prefer an estimate of 0.35 for the utilisation rate. The estimate is the result from only one study from one class of evidence, and this class of evidence suffers from serious conceptual and empirical limitations. Therefore, the QCA has assessed and given more weight to alternative approaches to estimate the utilisation rate.</w:t>
      </w:r>
    </w:p>
    <w:p w:rsidR="00B95D2A" w:rsidRPr="001D37D5" w:rsidRDefault="00B95D2A" w:rsidP="00B95D2A">
      <w:pPr>
        <w:pStyle w:val="AERbulletlistfirststyle"/>
      </w:pPr>
      <w:r w:rsidRPr="00883125">
        <w:lastRenderedPageBreak/>
        <w:t>The ERA, which until the publication of a revised draft Guideline in November 2014 preferred the use of dividend drop off studies, stated:</w:t>
      </w:r>
      <w:r w:rsidRPr="001D37D5">
        <w:rPr>
          <w:rStyle w:val="FootnoteReference"/>
        </w:rPr>
        <w:footnoteReference w:id="810"/>
      </w:r>
    </w:p>
    <w:p w:rsidR="00B95D2A" w:rsidRPr="00883125" w:rsidRDefault="00B95D2A" w:rsidP="00B95D2A">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B95D2A" w:rsidRPr="00373BE8" w:rsidRDefault="00B95D2A" w:rsidP="00B95D2A">
      <w:pPr>
        <w:pStyle w:val="Heading8"/>
      </w:pPr>
      <w:bookmarkStart w:id="511" w:name="_Ref403481482"/>
      <w:bookmarkStart w:id="512" w:name="_Toc433449226"/>
      <w:bookmarkStart w:id="513" w:name="_Toc451938317"/>
      <w:bookmarkStart w:id="514" w:name="_Toc456614348"/>
      <w:bookmarkStart w:id="515" w:name="_Toc462823348"/>
      <w:bookmarkStart w:id="516" w:name="_Toc479694024"/>
      <w:bookmarkStart w:id="517" w:name="_Toc480815654"/>
      <w:r w:rsidRPr="00373BE8">
        <w:t>Revised consideration of the conceptual goalposts approach</w:t>
      </w:r>
      <w:bookmarkEnd w:id="511"/>
      <w:bookmarkEnd w:id="512"/>
      <w:bookmarkEnd w:id="513"/>
      <w:bookmarkEnd w:id="514"/>
      <w:bookmarkEnd w:id="515"/>
      <w:bookmarkEnd w:id="516"/>
      <w:bookmarkEnd w:id="517"/>
    </w:p>
    <w:p w:rsidR="00B95D2A" w:rsidRPr="00373BE8" w:rsidRDefault="00B95D2A" w:rsidP="00B95D2A">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decision. This is mainly to be consistent with Handley's advice on the conceptual framework, which we have accepted in making this</w:t>
      </w:r>
      <w:r>
        <w:t xml:space="preserve"> final</w:t>
      </w:r>
      <w:r w:rsidRPr="00373BE8">
        <w:t xml:space="preserve">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811"/>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B95D2A" w:rsidRPr="00373BE8" w:rsidRDefault="00B95D2A" w:rsidP="00B95D2A">
      <w:pPr>
        <w:pStyle w:val="Heading9"/>
      </w:pPr>
      <w:bookmarkStart w:id="518" w:name="_Toc456614349"/>
      <w:bookmarkStart w:id="519" w:name="_Toc462823349"/>
      <w:bookmarkStart w:id="520" w:name="_Toc479694025"/>
      <w:bookmarkStart w:id="521" w:name="_Toc480815655"/>
      <w:r w:rsidRPr="00373BE8">
        <w:t>Description of the approach</w:t>
      </w:r>
      <w:bookmarkEnd w:id="518"/>
      <w:bookmarkEnd w:id="519"/>
      <w:bookmarkEnd w:id="520"/>
      <w:bookmarkEnd w:id="521"/>
    </w:p>
    <w:p w:rsidR="00B95D2A" w:rsidRPr="00373BE8" w:rsidRDefault="00B95D2A" w:rsidP="00B95D2A">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812"/>
      </w:r>
      <w:r w:rsidRPr="00373BE8">
        <w:t xml:space="preserve"> In the Officer CAPM, the given set of assets is the domestic market and Lally considered that the given set of investors is domestic investors; that is, the domestic market is assumed to be 'fully segmented' from international markets.</w:t>
      </w:r>
      <w:r w:rsidRPr="00373BE8">
        <w:rPr>
          <w:rStyle w:val="FootnoteReference"/>
        </w:rPr>
        <w:footnoteReference w:id="813"/>
      </w:r>
    </w:p>
    <w:p w:rsidR="00B95D2A" w:rsidRPr="00373BE8" w:rsidRDefault="00B95D2A" w:rsidP="00B95D2A">
      <w:pPr>
        <w:numPr>
          <w:ilvl w:val="0"/>
          <w:numId w:val="24"/>
        </w:numPr>
      </w:pPr>
      <w:r w:rsidRPr="00373BE8">
        <w:lastRenderedPageBreak/>
        <w:t>Lally considered it paramount to estimate the utilisation rate consistently with the underlying theoretical framework:</w:t>
      </w:r>
      <w:r w:rsidRPr="00373BE8">
        <w:rPr>
          <w:rStyle w:val="FootnoteReference"/>
        </w:rPr>
        <w:footnoteReference w:id="814"/>
      </w:r>
    </w:p>
    <w:p w:rsidR="00B95D2A" w:rsidRPr="00373BE8" w:rsidRDefault="00B95D2A" w:rsidP="00B95D2A">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B95D2A" w:rsidRPr="00373BE8" w:rsidRDefault="00B95D2A" w:rsidP="00B95D2A">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815"/>
      </w:r>
    </w:p>
    <w:p w:rsidR="00B95D2A" w:rsidRPr="00373BE8" w:rsidRDefault="00B95D2A" w:rsidP="00B95D2A">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B95D2A" w:rsidRPr="00373BE8" w:rsidRDefault="00B95D2A" w:rsidP="00B95D2A">
      <w:pPr>
        <w:pStyle w:val="AERquote"/>
      </w:pPr>
      <w:r w:rsidRPr="00373BE8">
        <w:t>…</w:t>
      </w:r>
    </w:p>
    <w:p w:rsidR="00B95D2A" w:rsidRPr="00373BE8" w:rsidRDefault="00B95D2A" w:rsidP="00B95D2A">
      <w:pPr>
        <w:pStyle w:val="AERquote"/>
      </w:pPr>
      <w:r w:rsidRPr="00373BE8">
        <w:t>Using the three criteria described above, my preferred estimate is 1 from the first approach…</w:t>
      </w:r>
    </w:p>
    <w:p w:rsidR="00B95D2A" w:rsidRPr="00373BE8" w:rsidRDefault="00B95D2A" w:rsidP="00B95D2A">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B95D2A" w:rsidRPr="00373BE8" w:rsidRDefault="00B95D2A" w:rsidP="00B95D2A">
      <w:pPr>
        <w:numPr>
          <w:ilvl w:val="0"/>
          <w:numId w:val="24"/>
        </w:numPr>
      </w:pPr>
      <w:r w:rsidRPr="00373BE8">
        <w:t xml:space="preserve">Both in the Guideline and in this </w:t>
      </w:r>
      <w:r>
        <w:t xml:space="preserve">final </w:t>
      </w:r>
      <w:r w:rsidRPr="00373BE8">
        <w:t>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816"/>
      </w:r>
    </w:p>
    <w:p w:rsidR="00B95D2A" w:rsidRPr="00373BE8" w:rsidRDefault="00B95D2A" w:rsidP="00B95D2A">
      <w:pPr>
        <w:pStyle w:val="AERquote"/>
      </w:pPr>
      <w:r w:rsidRPr="00373BE8">
        <w:t>The AER (2013, section 8.3.1, page 120) also includes foreign investors to the extent that they invest in the Australian market, to reflect the empirical reality of their existence. However this involves use of a model (the Officer CAPM) that assumes that national markets for risky assets are segmented along with the definition for a parameter (</w:t>
      </w:r>
      <w:r w:rsidRPr="00373BE8">
        <w:rPr>
          <w:rStyle w:val="AERtextitalic"/>
        </w:rPr>
        <w:t>U</w:t>
      </w:r>
      <w:r w:rsidRPr="00373BE8">
        <w:t>) that is inconsistent with this model.</w:t>
      </w:r>
    </w:p>
    <w:p w:rsidR="00B95D2A" w:rsidRPr="00373BE8" w:rsidRDefault="00B95D2A" w:rsidP="00B95D2A">
      <w:pPr>
        <w:numPr>
          <w:ilvl w:val="0"/>
          <w:numId w:val="24"/>
        </w:numPr>
      </w:pPr>
      <w:r w:rsidRPr="00373BE8">
        <w:t xml:space="preserve">Lally considered the overarching concern is whether the inconsistency between input parameters and model definitions might produce an unreasonable outcome. That is, </w:t>
      </w:r>
      <w:r w:rsidRPr="00373BE8">
        <w:lastRenderedPageBreak/>
        <w:t>even if the individual components are each justified in isolation, the combination might produce an overall result that is no longer reasonable:</w:t>
      </w:r>
      <w:r w:rsidRPr="00373BE8">
        <w:rPr>
          <w:rStyle w:val="FootnoteReference"/>
        </w:rPr>
        <w:footnoteReference w:id="817"/>
      </w:r>
      <w:r w:rsidRPr="00373BE8">
        <w:t xml:space="preserve"> </w:t>
      </w:r>
    </w:p>
    <w:p w:rsidR="00B95D2A" w:rsidRPr="00373BE8" w:rsidRDefault="00B95D2A" w:rsidP="00B95D2A">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B95D2A" w:rsidRPr="00373BE8" w:rsidRDefault="00B95D2A" w:rsidP="00B95D2A">
      <w:pPr>
        <w:pStyle w:val="AERquote"/>
      </w:pPr>
      <w:r w:rsidRPr="00373BE8">
        <w:t>To do so it is necessary to consider the implications for the cost of equity of complete integration and complete segmentation of national markets for risky assets.</w:t>
      </w:r>
    </w:p>
    <w:p w:rsidR="00B95D2A" w:rsidRPr="00373BE8" w:rsidRDefault="00B95D2A" w:rsidP="00B95D2A">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818"/>
      </w:r>
      <w:r w:rsidRPr="00373BE8">
        <w:t xml:space="preserve"> </w:t>
      </w:r>
    </w:p>
    <w:p w:rsidR="00B95D2A" w:rsidRPr="00373BE8" w:rsidRDefault="00B95D2A" w:rsidP="00B95D2A">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B95D2A" w:rsidRPr="00373BE8" w:rsidRDefault="00B95D2A" w:rsidP="00B95D2A">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B95D2A" w:rsidRPr="00373BE8" w:rsidRDefault="00B95D2A" w:rsidP="00B95D2A">
      <w:pPr>
        <w:pStyle w:val="AERbulletlistfirststyle"/>
      </w:pPr>
      <w:r w:rsidRPr="00373BE8">
        <w:t xml:space="preserve">The return on equity using a segmented (Officer) CAPM, populated with parameters that accord with our 'partially integrated' market definition. That is, a market risk premium and an equity beta that reflect the domestic market, but recognising foreign investors to the extent that they invest in the domestic (Australian) market. </w:t>
      </w:r>
    </w:p>
    <w:p w:rsidR="00B95D2A" w:rsidRPr="00373BE8" w:rsidRDefault="00B95D2A" w:rsidP="00B95D2A">
      <w:pPr>
        <w:numPr>
          <w:ilvl w:val="0"/>
          <w:numId w:val="24"/>
        </w:numPr>
      </w:pPr>
      <w:r w:rsidRPr="00373BE8">
        <w:lastRenderedPageBreak/>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819"/>
      </w:r>
      <w:r w:rsidRPr="00373BE8">
        <w:t xml:space="preserve"> </w:t>
      </w:r>
    </w:p>
    <w:p w:rsidR="00B95D2A" w:rsidRPr="00373BE8" w:rsidRDefault="00B95D2A" w:rsidP="00B95D2A">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B95D2A" w:rsidRPr="00373BE8" w:rsidRDefault="00B95D2A" w:rsidP="00B95D2A">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B95D2A" w:rsidRPr="00373BE8" w:rsidRDefault="00B95D2A" w:rsidP="00B95D2A">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B95D2A" w:rsidRPr="00CA67C0" w:rsidRDefault="00B95D2A" w:rsidP="00B95D2A">
      <w:pPr>
        <w:pStyle w:val="Heading9"/>
      </w:pPr>
      <w:bookmarkStart w:id="522" w:name="_Toc456614350"/>
      <w:bookmarkStart w:id="523" w:name="_Toc462823350"/>
      <w:bookmarkStart w:id="524" w:name="_Toc479694026"/>
      <w:bookmarkStart w:id="525" w:name="_Toc480815656"/>
      <w:r w:rsidRPr="00373BE8">
        <w:t>Advice received since the Guideline</w:t>
      </w:r>
      <w:bookmarkEnd w:id="522"/>
      <w:bookmarkEnd w:id="523"/>
      <w:bookmarkEnd w:id="524"/>
      <w:bookmarkEnd w:id="525"/>
    </w:p>
    <w:p w:rsidR="00B95D2A" w:rsidRPr="00373BE8" w:rsidRDefault="00B95D2A" w:rsidP="00B95D2A">
      <w:pPr>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820"/>
      </w:r>
    </w:p>
    <w:p w:rsidR="00B95D2A" w:rsidRPr="00373BE8" w:rsidRDefault="00B95D2A" w:rsidP="00B95D2A">
      <w:pPr>
        <w:pStyle w:val="AERquote"/>
      </w:pPr>
      <w:r w:rsidRPr="00373BE8">
        <w:lastRenderedPageBreak/>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B95D2A" w:rsidRPr="00373BE8" w:rsidRDefault="00B95D2A" w:rsidP="00B95D2A">
      <w:pPr>
        <w:numPr>
          <w:ilvl w:val="0"/>
          <w:numId w:val="24"/>
        </w:numPr>
      </w:pPr>
      <w:r w:rsidRPr="00373BE8">
        <w:t>Handley expanded on his first point elsewhere in his advice:</w:t>
      </w:r>
      <w:r w:rsidRPr="00373BE8">
        <w:rPr>
          <w:rStyle w:val="FootnoteReference"/>
        </w:rPr>
        <w:footnoteReference w:id="821"/>
      </w:r>
    </w:p>
    <w:p w:rsidR="00B95D2A" w:rsidRPr="00373BE8" w:rsidRDefault="00B95D2A" w:rsidP="00B95D2A">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B95D2A" w:rsidRPr="00373BE8" w:rsidRDefault="00B95D2A" w:rsidP="00B95D2A">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822"/>
      </w:r>
    </w:p>
    <w:p w:rsidR="00B95D2A" w:rsidRPr="00B95D2A" w:rsidRDefault="00B95D2A" w:rsidP="00B95D2A">
      <w:r w:rsidRPr="00373BE8">
        <w:t>Gray (for SFG) also raised concerns with the approach, and a number of these have been responded to by Lally.</w:t>
      </w:r>
      <w:r w:rsidRPr="00373BE8">
        <w:rPr>
          <w:rStyle w:val="FootnoteReference"/>
        </w:rPr>
        <w:footnoteReference w:id="823"/>
      </w:r>
    </w:p>
    <w:sectPr w:rsidR="00B95D2A" w:rsidRPr="00B95D2A" w:rsidSect="00CF42AA">
      <w:headerReference w:type="default" r:id="rId26"/>
      <w:footerReference w:type="even" r:id="rId27"/>
      <w:footerReference w:type="default" r:id="rId28"/>
      <w:footerReference w:type="first" r:id="rId2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82" w:rsidRPr="00290C63" w:rsidRDefault="00363C82" w:rsidP="00290C63">
      <w:r>
        <w:separator/>
      </w:r>
    </w:p>
    <w:p w:rsidR="00363C82" w:rsidRDefault="00363C82"/>
  </w:endnote>
  <w:endnote w:type="continuationSeparator" w:id="0">
    <w:p w:rsidR="00363C82" w:rsidRPr="00290C63" w:rsidRDefault="00363C82" w:rsidP="00290C63">
      <w:r>
        <w:continuationSeparator/>
      </w:r>
    </w:p>
    <w:p w:rsidR="00363C82" w:rsidRDefault="00363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Pr="00290C63" w:rsidRDefault="00363C8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63C82" w:rsidRDefault="00363C82"/>
  <w:p w:rsidR="00363C82" w:rsidRDefault="00363C82"/>
  <w:p w:rsidR="00363C82" w:rsidRDefault="00363C82"/>
  <w:p w:rsidR="00363C82" w:rsidRDefault="00363C82"/>
  <w:p w:rsidR="00363C82" w:rsidRDefault="00363C82"/>
  <w:p w:rsidR="00363C82" w:rsidRDefault="00363C82"/>
  <w:p w:rsidR="00363C82" w:rsidRDefault="00363C82"/>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Pr="00290C63" w:rsidRDefault="00363C8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63C82" w:rsidRDefault="00363C82">
    <w:pPr>
      <w:pStyle w:val="Footer"/>
    </w:pPr>
  </w:p>
  <w:p w:rsidR="00363C82" w:rsidRDefault="00363C82"/>
  <w:p w:rsidR="00363C82" w:rsidRDefault="00363C82"/>
  <w:p w:rsidR="00363C82" w:rsidRDefault="00363C82"/>
  <w:p w:rsidR="00363C82" w:rsidRDefault="00363C82"/>
  <w:p w:rsidR="00363C82" w:rsidRDefault="00363C82"/>
  <w:p w:rsidR="00363C82" w:rsidRDefault="00363C82"/>
  <w:p w:rsidR="00363C82" w:rsidRDefault="00363C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363C82" w:rsidRPr="009B6F84" w:rsidRDefault="00363C82">
        <w:pPr>
          <w:pStyle w:val="Footer"/>
          <w:rPr>
            <w:sz w:val="20"/>
          </w:rPr>
        </w:pPr>
        <w:r>
          <w:fldChar w:fldCharType="begin"/>
        </w:r>
        <w:r>
          <w:instrText xml:space="preserve"> PAGE   \* MERGEFORMAT </w:instrText>
        </w:r>
        <w:r>
          <w:fldChar w:fldCharType="separate"/>
        </w:r>
        <w:r w:rsidR="003E419A">
          <w:rPr>
            <w:noProof/>
          </w:rPr>
          <w:t>4-0</w:t>
        </w:r>
        <w:r>
          <w:rPr>
            <w:noProof/>
          </w:rPr>
          <w:fldChar w:fldCharType="end"/>
        </w:r>
        <w:r>
          <w:rPr>
            <w:noProof/>
          </w:rPr>
          <w:t xml:space="preserve">  </w:t>
        </w:r>
        <w:r>
          <w:t>Attachment 4 – Value of imputation credits</w:t>
        </w:r>
        <w:r w:rsidRPr="004523B2">
          <w:t xml:space="preserve"> | </w:t>
        </w:r>
        <w:r>
          <w:t>TasNetworks distribution final determination</w:t>
        </w:r>
        <w:r w:rsidRPr="004523B2">
          <w:t xml:space="preserve"> 201</w:t>
        </w:r>
        <w:r>
          <w:t>7</w:t>
        </w:r>
        <w:r w:rsidRPr="004523B2">
          <w:t>–</w:t>
        </w:r>
        <w:r>
          <w:t>19</w:t>
        </w:r>
      </w:p>
    </w:sdtContent>
  </w:sdt>
  <w:p w:rsidR="00363C82" w:rsidRDefault="00363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Pr="00290C63" w:rsidRDefault="00363C82"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63C82" w:rsidRDefault="00363C82">
    <w:pPr>
      <w:pStyle w:val="Footer"/>
    </w:pPr>
  </w:p>
  <w:p w:rsidR="00363C82" w:rsidRDefault="00363C82"/>
  <w:p w:rsidR="00363C82" w:rsidRDefault="00363C82"/>
  <w:p w:rsidR="00363C82" w:rsidRDefault="00363C82"/>
  <w:p w:rsidR="00363C82" w:rsidRDefault="00363C82"/>
  <w:p w:rsidR="00363C82" w:rsidRDefault="00363C82"/>
  <w:p w:rsidR="00363C82" w:rsidRDefault="00363C82"/>
  <w:p w:rsidR="00363C82" w:rsidRDefault="00363C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109787"/>
      <w:docPartObj>
        <w:docPartGallery w:val="Page Numbers (Bottom of Page)"/>
        <w:docPartUnique/>
      </w:docPartObj>
    </w:sdtPr>
    <w:sdtEndPr/>
    <w:sdtContent>
      <w:p w:rsidR="00363C82" w:rsidRPr="00824CC8" w:rsidRDefault="00363C82" w:rsidP="00AC29DB">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Pr="00C86DFC" w:rsidRDefault="00363C82" w:rsidP="00AC29DB">
    <w:pPr>
      <w:pStyle w:val="Footer"/>
    </w:pPr>
    <w:r w:rsidRPr="00C97C1E">
      <w:fldChar w:fldCharType="begin"/>
    </w:r>
    <w:r w:rsidRPr="00C97C1E">
      <w:instrText xml:space="preserve"> PAGE   \* MERGEFORMAT </w:instrText>
    </w:r>
    <w:r w:rsidRPr="00C97C1E">
      <w:fldChar w:fldCharType="separate"/>
    </w:r>
    <w:r w:rsidR="003E419A">
      <w:rPr>
        <w:noProof/>
      </w:rPr>
      <w:t>4-63</w:t>
    </w:r>
    <w:r w:rsidRPr="00C97C1E">
      <w:fldChar w:fldCharType="end"/>
    </w:r>
    <w:r w:rsidRPr="00562433">
      <w:t xml:space="preserve">  </w:t>
    </w:r>
    <w:r>
      <w:t>Attachment 4 – Value of imputation credits</w:t>
    </w:r>
    <w:r w:rsidRPr="004523B2">
      <w:t xml:space="preserve"> | </w:t>
    </w:r>
    <w:r>
      <w:t>TasNetworks distribution final determination</w:t>
    </w:r>
    <w:r w:rsidRPr="004523B2">
      <w:t xml:space="preserve"> 201</w:t>
    </w:r>
    <w:r>
      <w:t>7</w:t>
    </w:r>
    <w:r w:rsidRPr="004523B2">
      <w:t>–</w:t>
    </w:r>
    <w:r>
      <w:t>19</w:t>
    </w:r>
    <w:r w:rsidDel="00997BDC">
      <w:t xml:space="preserve"> </w:t>
    </w:r>
  </w:p>
  <w:p w:rsidR="00363C82" w:rsidRPr="00C86DFC" w:rsidRDefault="00363C82" w:rsidP="00AC29DB">
    <w:pPr>
      <w:pStyle w:val="Footer"/>
    </w:pPr>
  </w:p>
  <w:p w:rsidR="00363C82" w:rsidRPr="00C97C1E" w:rsidRDefault="00363C82" w:rsidP="00AC29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894039"/>
      <w:docPartObj>
        <w:docPartGallery w:val="Page Numbers (Bottom of Page)"/>
        <w:docPartUnique/>
      </w:docPartObj>
    </w:sdtPr>
    <w:sdtEndPr/>
    <w:sdtContent>
      <w:p w:rsidR="00363C82" w:rsidRPr="00824CC8" w:rsidRDefault="00363C82" w:rsidP="00AC29DB">
        <w:pPr>
          <w:pStyle w:val="Footer"/>
        </w:pPr>
        <w:r w:rsidRPr="00824CC8">
          <w:fldChar w:fldCharType="begin"/>
        </w:r>
        <w:r w:rsidRPr="00824CC8">
          <w:instrText xml:space="preserve"> PAGE   \* MERGEFORMAT </w:instrText>
        </w:r>
        <w:r w:rsidRPr="00824CC8">
          <w:fldChar w:fldCharType="separate"/>
        </w:r>
        <w:r>
          <w:rPr>
            <w:noProof/>
          </w:rPr>
          <w:t>4-186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Pr="00C86DFC" w:rsidRDefault="00363C82" w:rsidP="00AC29DB">
    <w:pPr>
      <w:pStyle w:val="Footer"/>
    </w:pPr>
    <w:r w:rsidRPr="00C97C1E">
      <w:fldChar w:fldCharType="begin"/>
    </w:r>
    <w:r w:rsidRPr="00C97C1E">
      <w:instrText xml:space="preserve"> PAGE   \* MERGEFORMAT </w:instrText>
    </w:r>
    <w:r w:rsidRPr="00C97C1E">
      <w:fldChar w:fldCharType="separate"/>
    </w:r>
    <w:r w:rsidR="003E419A">
      <w:rPr>
        <w:noProof/>
      </w:rPr>
      <w:t>4-158</w:t>
    </w:r>
    <w:r w:rsidRPr="00C97C1E">
      <w:fldChar w:fldCharType="end"/>
    </w:r>
    <w:r w:rsidRPr="00562433">
      <w:t xml:space="preserve">  </w:t>
    </w:r>
    <w:r>
      <w:t>Attachment 4 – Value of imputation credits</w:t>
    </w:r>
    <w:r w:rsidRPr="004523B2">
      <w:t xml:space="preserve"> | </w:t>
    </w:r>
    <w:r>
      <w:t>TasNetworks distribution final determination</w:t>
    </w:r>
    <w:r w:rsidRPr="004523B2">
      <w:t xml:space="preserve"> 201</w:t>
    </w:r>
    <w:r>
      <w:t>7</w:t>
    </w:r>
    <w:r w:rsidRPr="004523B2">
      <w:t>–</w:t>
    </w:r>
    <w:r>
      <w:t>19</w:t>
    </w:r>
  </w:p>
  <w:p w:rsidR="00363C82" w:rsidRPr="00C86DFC" w:rsidRDefault="00363C82" w:rsidP="00AC29DB">
    <w:pPr>
      <w:pStyle w:val="Footer"/>
    </w:pPr>
  </w:p>
  <w:p w:rsidR="00363C82" w:rsidRPr="00C97C1E" w:rsidRDefault="00363C82" w:rsidP="00AC29D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Pr="00290C63" w:rsidRDefault="00363C82"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63C82" w:rsidRDefault="00363C82"/>
  <w:p w:rsidR="00363C82" w:rsidRDefault="00363C82"/>
  <w:p w:rsidR="00363C82" w:rsidRDefault="00363C82"/>
  <w:p w:rsidR="00363C82" w:rsidRDefault="00363C82"/>
  <w:p w:rsidR="00363C82" w:rsidRDefault="00363C82"/>
  <w:p w:rsidR="00363C82" w:rsidRDefault="00363C82"/>
  <w:p w:rsidR="00363C82" w:rsidRDefault="00363C8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363C82" w:rsidRPr="009B6F84" w:rsidRDefault="00363C82">
        <w:pPr>
          <w:pStyle w:val="Footer"/>
          <w:rPr>
            <w:sz w:val="20"/>
          </w:rPr>
        </w:pPr>
        <w:r>
          <w:fldChar w:fldCharType="begin"/>
        </w:r>
        <w:r>
          <w:instrText xml:space="preserve"> PAGE   \* MERGEFORMAT </w:instrText>
        </w:r>
        <w:r>
          <w:fldChar w:fldCharType="separate"/>
        </w:r>
        <w:r w:rsidR="003E419A">
          <w:rPr>
            <w:noProof/>
          </w:rPr>
          <w:t>4-177</w:t>
        </w:r>
        <w:r>
          <w:rPr>
            <w:noProof/>
          </w:rPr>
          <w:fldChar w:fldCharType="end"/>
        </w:r>
        <w:r w:rsidRPr="00562433">
          <w:t xml:space="preserve">  </w:t>
        </w:r>
        <w:r>
          <w:t>Attachment 4 – Value of imputation credits</w:t>
        </w:r>
        <w:r w:rsidRPr="004523B2">
          <w:t xml:space="preserve"> | </w:t>
        </w:r>
        <w:r>
          <w:t>TasNetworks distribution final determination</w:t>
        </w:r>
        <w:r w:rsidRPr="004523B2">
          <w:t xml:space="preserve"> 201</w:t>
        </w:r>
        <w:r>
          <w:t>7</w:t>
        </w:r>
        <w:r w:rsidRPr="004523B2">
          <w:t>–</w:t>
        </w:r>
        <w:r>
          <w:t>19</w:t>
        </w:r>
      </w:p>
    </w:sdtContent>
  </w:sdt>
  <w:p w:rsidR="00363C82" w:rsidRDefault="00363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82" w:rsidRPr="00290C63" w:rsidRDefault="00363C82" w:rsidP="00290C63">
      <w:r>
        <w:separator/>
      </w:r>
    </w:p>
    <w:p w:rsidR="00363C82" w:rsidRDefault="00363C82"/>
  </w:footnote>
  <w:footnote w:type="continuationSeparator" w:id="0">
    <w:p w:rsidR="00363C82" w:rsidRPr="00290C63" w:rsidRDefault="00363C82" w:rsidP="00290C63">
      <w:r>
        <w:continuationSeparator/>
      </w:r>
    </w:p>
    <w:p w:rsidR="00363C82" w:rsidRDefault="00363C82"/>
  </w:footnote>
  <w:footnote w:id="1">
    <w:p w:rsidR="00363C82" w:rsidRDefault="00363C82" w:rsidP="00B95D2A">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363C82" w:rsidRDefault="00363C82" w:rsidP="00B95D2A">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363C82" w:rsidRDefault="00363C82" w:rsidP="00B95D2A">
      <w:pPr>
        <w:pStyle w:val="FootnoteText"/>
      </w:pPr>
      <w:r>
        <w:rPr>
          <w:rStyle w:val="FootnoteReference"/>
        </w:rPr>
        <w:footnoteRef/>
      </w:r>
      <w:r>
        <w:t xml:space="preserve"> </w:t>
      </w:r>
      <w:r>
        <w:tab/>
        <w:t>NER, cll. 6.4.3(a)(4), 6.4.3(b)(4), 6.5.3, 6A.5.4(a)(4), 6A.5.4(b)(4), 6A.6.4; NGR, rr. 76(c), 87A.</w:t>
      </w:r>
    </w:p>
  </w:footnote>
  <w:footnote w:id="4">
    <w:p w:rsidR="00363C82" w:rsidRDefault="00363C82" w:rsidP="00B95D2A">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rsidR="003E419A">
        <w:t>A.1</w:t>
      </w:r>
      <w:r>
        <w:fldChar w:fldCharType="end"/>
      </w:r>
      <w:r>
        <w:t xml:space="preserve"> of appendix A.</w:t>
      </w:r>
    </w:p>
  </w:footnote>
  <w:footnote w:id="5">
    <w:p w:rsidR="00363C82" w:rsidRDefault="00363C82" w:rsidP="00B95D2A">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363C82" w:rsidRPr="003547F6" w:rsidRDefault="00363C82" w:rsidP="00D42E5D">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DF30C3">
        <w:rPr>
          <w:rStyle w:val="AERtextitalic"/>
          <w:i w:val="0"/>
        </w:rPr>
        <w:t>2 December 2016, pp. 16-17.</w:t>
      </w:r>
    </w:p>
  </w:footnote>
  <w:footnote w:id="7">
    <w:p w:rsidR="00363C82" w:rsidRDefault="00363C82" w:rsidP="00B95D2A">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rsidR="003E419A">
        <w:t>A.6</w:t>
      </w:r>
      <w:r>
        <w:fldChar w:fldCharType="end"/>
      </w:r>
      <w:r>
        <w:t>.</w:t>
      </w:r>
    </w:p>
  </w:footnote>
  <w:footnote w:id="8">
    <w:p w:rsidR="00363C82" w:rsidRDefault="00363C82" w:rsidP="00B95D2A">
      <w:pPr>
        <w:pStyle w:val="FootnoteText"/>
      </w:pPr>
      <w:r>
        <w:rPr>
          <w:rStyle w:val="FootnoteReference"/>
        </w:rPr>
        <w:footnoteRef/>
      </w:r>
      <w:r>
        <w:t xml:space="preserve"> </w:t>
      </w:r>
      <w:r>
        <w:tab/>
        <w:t>Post-tax refers to after company tax and before personal tax.</w:t>
      </w:r>
    </w:p>
  </w:footnote>
  <w:footnote w:id="9">
    <w:p w:rsidR="00363C82" w:rsidRDefault="00363C82" w:rsidP="00B95D2A">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10">
    <w:p w:rsidR="00363C82" w:rsidRDefault="00363C82" w:rsidP="00B95D2A">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11">
    <w:p w:rsidR="00363C82" w:rsidRDefault="00363C82" w:rsidP="00B95D2A">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_Ref476648777 \r \h </w:instrText>
      </w:r>
      <w:r>
        <w:fldChar w:fldCharType="separate"/>
      </w:r>
      <w:r w:rsidR="003E419A">
        <w:rPr>
          <w:b/>
          <w:bCs/>
          <w:lang w:val="en-US"/>
        </w:rPr>
        <w:t>Error! Reference source not found.</w:t>
      </w:r>
      <w:r>
        <w:fldChar w:fldCharType="end"/>
      </w:r>
      <w:r>
        <w:t>.</w:t>
      </w:r>
    </w:p>
  </w:footnote>
  <w:footnote w:id="12">
    <w:p w:rsidR="00363C82" w:rsidRDefault="00363C82" w:rsidP="00B95D2A">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3">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w:t>
      </w:r>
    </w:p>
  </w:footnote>
  <w:footnote w:id="14">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28 October 2016.</w:t>
      </w:r>
    </w:p>
  </w:footnote>
  <w:footnote w:id="15">
    <w:p w:rsidR="00363C82" w:rsidRDefault="00363C82" w:rsidP="00B95D2A">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pp. 18–20</w:t>
      </w:r>
      <w:r>
        <w:t xml:space="preserve">; Lally, </w:t>
      </w:r>
      <w:r w:rsidRPr="004744FB">
        <w:rPr>
          <w:rStyle w:val="AERtextitalic"/>
        </w:rPr>
        <w:t>Issues in the estimation of gamma</w:t>
      </w:r>
      <w:r>
        <w:t>, March 2017</w:t>
      </w:r>
      <w:r w:rsidRPr="00F5204A">
        <w:rPr>
          <w:rStyle w:val="AERtextitalic"/>
          <w:i w:val="0"/>
        </w:rPr>
        <w:t>, p. 13.</w:t>
      </w:r>
    </w:p>
  </w:footnote>
  <w:footnote w:id="16">
    <w:p w:rsidR="00363C82" w:rsidRDefault="00363C82" w:rsidP="00B95D2A">
      <w:pPr>
        <w:pStyle w:val="FootnoteText"/>
      </w:pPr>
      <w:r>
        <w:rPr>
          <w:rStyle w:val="FootnoteReference"/>
        </w:rPr>
        <w:footnoteRef/>
      </w:r>
      <w:r>
        <w:t xml:space="preserve"> </w:t>
      </w:r>
      <w:r>
        <w:tab/>
      </w:r>
      <w:r w:rsidRPr="009A6FC1">
        <w:t xml:space="preserve">Australian Competition Tribunal, </w:t>
      </w:r>
      <w:r w:rsidRPr="00E729A5">
        <w:rPr>
          <w:rStyle w:val="AERtextitalic"/>
        </w:rPr>
        <w:t>Application by Public Interest Advocacy Centre Ltd and Ausgrid [2016] ACompT 1</w:t>
      </w:r>
      <w:r w:rsidRPr="009A6FC1">
        <w:t>, 26 February 2016, paras. 1048, 1090 and 1095.</w:t>
      </w:r>
    </w:p>
  </w:footnote>
  <w:footnote w:id="17">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18">
    <w:p w:rsidR="00363C82" w:rsidRDefault="00363C82" w:rsidP="00B95D2A">
      <w:pPr>
        <w:pStyle w:val="FootnoteText"/>
      </w:pPr>
      <w:r>
        <w:rPr>
          <w:rStyle w:val="FootnoteReference"/>
        </w:rPr>
        <w:footnoteRef/>
      </w:r>
      <w:r>
        <w:t xml:space="preserve"> </w:t>
      </w:r>
      <w:r>
        <w:tab/>
      </w:r>
      <w:r w:rsidRPr="009A6FC1">
        <w:t xml:space="preserve">Lally, </w:t>
      </w:r>
      <w:r w:rsidRPr="00AC29DB">
        <w:rPr>
          <w:rStyle w:val="AERtextitalic"/>
        </w:rPr>
        <w:t>Gamma and the ACT Decision</w:t>
      </w:r>
      <w:r>
        <w:t xml:space="preserve">, May 2016, p. 20; Lally, </w:t>
      </w:r>
      <w:r w:rsidRPr="004744FB">
        <w:rPr>
          <w:rStyle w:val="AERtextitalic"/>
        </w:rPr>
        <w:t>Issues in the estimation of gamma</w:t>
      </w:r>
      <w:r>
        <w:t>, March 2017</w:t>
      </w:r>
      <w:r w:rsidRPr="00E26B5E">
        <w:rPr>
          <w:rStyle w:val="AERtextitalic"/>
        </w:rPr>
        <w:t xml:space="preserve">, </w:t>
      </w:r>
      <w:r w:rsidRPr="00F5204A">
        <w:rPr>
          <w:rStyle w:val="AERtextitalic"/>
          <w:i w:val="0"/>
        </w:rPr>
        <w:t>p. 13.</w:t>
      </w:r>
    </w:p>
  </w:footnote>
  <w:footnote w:id="19">
    <w:p w:rsidR="00363C82" w:rsidRDefault="00363C82" w:rsidP="00B95D2A">
      <w:pPr>
        <w:pStyle w:val="FootnoteText"/>
      </w:pPr>
      <w:r>
        <w:rPr>
          <w:rStyle w:val="FootnoteReference"/>
        </w:rPr>
        <w:footnoteRef/>
      </w:r>
      <w:r>
        <w:t xml:space="preserve"> </w:t>
      </w:r>
      <w:r>
        <w:tab/>
      </w:r>
      <w:r w:rsidRPr="009A6FC1">
        <w:t xml:space="preserve">Lally, </w:t>
      </w:r>
      <w:r w:rsidRPr="00CD376D">
        <w:rPr>
          <w:rStyle w:val="AERtextitalic"/>
        </w:rPr>
        <w:t>Gamma and the ACT Decision</w:t>
      </w:r>
      <w:r w:rsidRPr="009A6FC1">
        <w:t>, May 2016, p. 22</w:t>
      </w:r>
      <w:r>
        <w:t xml:space="preserve">; Lally, </w:t>
      </w:r>
      <w:r w:rsidRPr="004744FB">
        <w:rPr>
          <w:rStyle w:val="AERtextitalic"/>
        </w:rPr>
        <w:t>Issues in the estimation of gamma</w:t>
      </w:r>
      <w:r>
        <w:t>, March 2017</w:t>
      </w:r>
      <w:r w:rsidRPr="00E26B5E">
        <w:rPr>
          <w:rStyle w:val="AERtextitalic"/>
        </w:rPr>
        <w:t>,</w:t>
      </w:r>
      <w:r w:rsidRPr="00F5204A">
        <w:rPr>
          <w:rStyle w:val="AERtextitalic"/>
          <w:i w:val="0"/>
        </w:rPr>
        <w:t xml:space="preserve"> p. 24.</w:t>
      </w:r>
    </w:p>
  </w:footnote>
  <w:footnote w:id="20">
    <w:p w:rsidR="00363C82" w:rsidRDefault="00363C82" w:rsidP="00B95D2A">
      <w:pPr>
        <w:pStyle w:val="FootnoteText"/>
      </w:pPr>
      <w:r>
        <w:rPr>
          <w:rStyle w:val="FootnoteReference"/>
        </w:rPr>
        <w:footnoteRef/>
      </w:r>
      <w:r>
        <w:t xml:space="preserve"> </w:t>
      </w:r>
      <w:r>
        <w:tab/>
        <w:t xml:space="preserve">See M </w:t>
      </w:r>
      <w:r w:rsidRPr="001B2D3D">
        <w:t xml:space="preserve">Lally, </w:t>
      </w:r>
      <w:r w:rsidRPr="005764F6">
        <w:rPr>
          <w:rStyle w:val="AERtextitalic"/>
        </w:rPr>
        <w:t>Gamma and the ACT Decision</w:t>
      </w:r>
      <w:r>
        <w:t>, May 2016, pp. 24–26</w:t>
      </w:r>
      <w:r w:rsidRPr="001B2D3D">
        <w:t>.</w:t>
      </w:r>
    </w:p>
  </w:footnote>
  <w:footnote w:id="21">
    <w:p w:rsidR="00363C82" w:rsidRPr="00EA3C68"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E71C3">
        <w:rPr>
          <w:rStyle w:val="AERtextitalic"/>
          <w:i w:val="0"/>
        </w:rPr>
        <w:t>, p. 13.</w:t>
      </w:r>
    </w:p>
  </w:footnote>
  <w:footnote w:id="22">
    <w:p w:rsidR="00363C82" w:rsidRDefault="00363C82" w:rsidP="00B95D2A">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363C82" w:rsidRDefault="00363C82" w:rsidP="00B95D2A">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363C82" w:rsidRDefault="00363C82" w:rsidP="00B95D2A">
      <w:pPr>
        <w:pStyle w:val="FootnoteText"/>
      </w:pPr>
      <w:r>
        <w:rPr>
          <w:rStyle w:val="FootnoteReference"/>
        </w:rPr>
        <w:footnoteRef/>
      </w:r>
      <w:r>
        <w:t xml:space="preserve"> </w:t>
      </w:r>
      <w:r>
        <w:tab/>
        <w:t>Federal Court of Australia, New South Wales Registry, matter numbers NSD415/2016 through NSD420/216.</w:t>
      </w:r>
    </w:p>
  </w:footnote>
  <w:footnote w:id="25">
    <w:p w:rsidR="00363C82" w:rsidRDefault="00363C82" w:rsidP="00B95D2A">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6">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12-15.</w:t>
      </w:r>
    </w:p>
  </w:footnote>
  <w:footnote w:id="27">
    <w:p w:rsidR="00363C82" w:rsidRDefault="00363C82" w:rsidP="00B95D2A">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8">
    <w:p w:rsidR="00363C82" w:rsidRDefault="00363C82" w:rsidP="00B95D2A">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9">
    <w:p w:rsidR="00363C82" w:rsidRDefault="00363C82" w:rsidP="00B95D2A">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30">
    <w:p w:rsidR="00363C82" w:rsidRDefault="00363C82" w:rsidP="00425DD6">
      <w:pPr>
        <w:pStyle w:val="FootnoteText"/>
      </w:pPr>
      <w:r>
        <w:rPr>
          <w:rStyle w:val="FootnoteReference"/>
        </w:rPr>
        <w:footnoteRef/>
      </w:r>
      <w:r>
        <w:t xml:space="preserve"> </w:t>
      </w:r>
      <w:r>
        <w:tab/>
        <w:t>This utilisation rate is for all equity, as tax statistics do not provide data on the listed equity utilisation. For the purpose of the calculation of the listed equity value of imputation credits, this utilisation rate has been combined with the listed equity distribution rate.</w:t>
      </w:r>
    </w:p>
  </w:footnote>
  <w:footnote w:id="31">
    <w:p w:rsidR="00363C82" w:rsidRDefault="00363C82" w:rsidP="00B95D2A">
      <w:pPr>
        <w:pStyle w:val="FootnoteText"/>
      </w:pPr>
      <w:r>
        <w:rPr>
          <w:rStyle w:val="FootnoteReference"/>
        </w:rPr>
        <w:footnoteRef/>
      </w:r>
      <w:r>
        <w:t xml:space="preserve"> </w:t>
      </w:r>
      <w:r>
        <w:tab/>
        <w:t>This relies on cumulative distribution rate based on FAB data being used which matches to the 0.48 tax statistic.</w:t>
      </w:r>
    </w:p>
  </w:footnote>
  <w:footnote w:id="32">
    <w:p w:rsidR="00363C82" w:rsidRDefault="00363C82">
      <w:pPr>
        <w:pStyle w:val="FootnoteText"/>
      </w:pPr>
      <w:r>
        <w:rPr>
          <w:rStyle w:val="FootnoteReference"/>
        </w:rPr>
        <w:footnoteRef/>
      </w:r>
      <w:r>
        <w:t xml:space="preserve"> </w:t>
      </w:r>
      <w:r>
        <w:tab/>
        <w:t xml:space="preserve">Depending on whether dividend data or FAB data is used, tax statistics can provide a different utilisation rate. See: </w:t>
      </w:r>
      <w:r w:rsidRPr="005764F6">
        <w:t xml:space="preserve">Lally, </w:t>
      </w:r>
      <w:r w:rsidRPr="00583683">
        <w:rPr>
          <w:rStyle w:val="AERtextitalic"/>
        </w:rPr>
        <w:t>Gamma and the ACT Decision</w:t>
      </w:r>
      <w:r w:rsidRPr="005764F6">
        <w:t>, May 2016, p. 20.</w:t>
      </w:r>
    </w:p>
  </w:footnote>
  <w:footnote w:id="33">
    <w:p w:rsidR="00363C82" w:rsidRDefault="00363C82" w:rsidP="00B95D2A">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4">
    <w:p w:rsidR="00363C82" w:rsidRDefault="00363C82" w:rsidP="00B95D2A">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5">
    <w:p w:rsidR="00363C82" w:rsidRDefault="00363C82" w:rsidP="00B95D2A">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r>
        <w:t>.</w:t>
      </w:r>
    </w:p>
  </w:footnote>
  <w:footnote w:id="36">
    <w:p w:rsidR="00363C82" w:rsidRPr="00AB0B17" w:rsidRDefault="00363C82" w:rsidP="00B95D2A">
      <w:pPr>
        <w:pStyle w:val="FootnoteText"/>
      </w:pPr>
      <w:r>
        <w:rPr>
          <w:rStyle w:val="FootnoteReference"/>
        </w:rPr>
        <w:footnoteRef/>
      </w:r>
      <w:r>
        <w:t xml:space="preserve"> </w:t>
      </w:r>
      <w:r>
        <w:tab/>
      </w:r>
      <w:r w:rsidRPr="004E65F8">
        <w:t xml:space="preserve">N. Hathaway, </w:t>
      </w:r>
      <w:r w:rsidRPr="00452E57">
        <w:rPr>
          <w:rStyle w:val="AERtextitalic"/>
        </w:rPr>
        <w:t>Imputation credit redemption ATO data 1988–2011: Where have all the credits gone?,</w:t>
      </w:r>
      <w:r w:rsidRPr="004E65F8">
        <w:t xml:space="preserve"> September 2013.</w:t>
      </w:r>
    </w:p>
  </w:footnote>
  <w:footnote w:id="37">
    <w:p w:rsidR="00363C82" w:rsidRDefault="00363C82" w:rsidP="00B95D2A">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8">
    <w:p w:rsidR="00363C82" w:rsidRDefault="00363C82" w:rsidP="00B95D2A">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9">
    <w:p w:rsidR="00363C82" w:rsidRDefault="00363C82" w:rsidP="00B95D2A">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EF4AD5">
        <w:rPr>
          <w:rStyle w:val="AERtextitalic"/>
          <w:i w:val="0"/>
        </w:rPr>
        <w:t>2 December 2016, p. 17.</w:t>
      </w:r>
    </w:p>
  </w:footnote>
  <w:footnote w:id="40">
    <w:p w:rsidR="00363C82" w:rsidRPr="003547F6" w:rsidRDefault="00363C82" w:rsidP="00B95D2A">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DF30C3">
        <w:rPr>
          <w:rStyle w:val="AERtextitalic"/>
          <w:i w:val="0"/>
        </w:rPr>
        <w:t>2 December 2016, pp. 16-17.</w:t>
      </w:r>
    </w:p>
  </w:footnote>
  <w:footnote w:id="41">
    <w:p w:rsidR="00363C82" w:rsidRDefault="00363C82" w:rsidP="00B95D2A">
      <w:pPr>
        <w:pStyle w:val="FootnoteText"/>
      </w:pPr>
      <w:r>
        <w:rPr>
          <w:rStyle w:val="FootnoteReference"/>
        </w:rPr>
        <w:footnoteRef/>
      </w:r>
      <w:r>
        <w:t xml:space="preserve"> </w:t>
      </w:r>
      <w:r>
        <w:tab/>
        <w:t>NER, cll. 6.5.3, 6A.6.4; NGR, r. 87A.</w:t>
      </w:r>
    </w:p>
  </w:footnote>
  <w:footnote w:id="42">
    <w:p w:rsidR="00363C82" w:rsidRDefault="00363C82" w:rsidP="00B95D2A">
      <w:pPr>
        <w:pStyle w:val="FootnoteText"/>
      </w:pPr>
      <w:r>
        <w:rPr>
          <w:rStyle w:val="FootnoteReference"/>
        </w:rPr>
        <w:footnoteRef/>
      </w:r>
      <w:r>
        <w:t xml:space="preserve"> </w:t>
      </w:r>
      <w:r>
        <w:tab/>
        <w:t>NER, cll. 6.5.2(d)(2), 6A.6.2(d)(2); NGR, r. 87(4)(b).</w:t>
      </w:r>
    </w:p>
  </w:footnote>
  <w:footnote w:id="43">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363C82" w:rsidRDefault="00363C82" w:rsidP="00B95D2A">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363C82" w:rsidRDefault="00363C82" w:rsidP="00B95D2A">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363C82" w:rsidRDefault="00363C82" w:rsidP="00B95D2A">
      <w:pPr>
        <w:pStyle w:val="FootnoteText"/>
      </w:pPr>
      <w:r>
        <w:rPr>
          <w:rStyle w:val="FootnoteReference"/>
        </w:rPr>
        <w:footnoteRef/>
      </w:r>
      <w:r>
        <w:t xml:space="preserve"> </w:t>
      </w:r>
      <w:r>
        <w:tab/>
        <w:t>NER, cll. 6.5.2, 6A.6.2;</w:t>
      </w:r>
      <w:r w:rsidRPr="0042735A">
        <w:t xml:space="preserve"> </w:t>
      </w:r>
      <w:r>
        <w:t>NGR, r. 87.</w:t>
      </w:r>
    </w:p>
  </w:footnote>
  <w:footnote w:id="49">
    <w:p w:rsidR="00363C82" w:rsidRDefault="00363C82" w:rsidP="00B95D2A">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363C82" w:rsidRDefault="00363C82" w:rsidP="00B95D2A">
      <w:pPr>
        <w:pStyle w:val="FootnoteText"/>
      </w:pPr>
      <w:r>
        <w:rPr>
          <w:rStyle w:val="FootnoteReference"/>
        </w:rPr>
        <w:footnoteRef/>
      </w:r>
      <w:r>
        <w:tab/>
        <w:t>NEL, s. 16(1)(a); NGL, s. 28(1)(a).</w:t>
      </w:r>
    </w:p>
  </w:footnote>
  <w:footnote w:id="51">
    <w:p w:rsidR="00363C82" w:rsidRDefault="00363C82" w:rsidP="00B95D2A">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363C82" w:rsidRDefault="00363C82" w:rsidP="00B95D2A">
      <w:pPr>
        <w:pStyle w:val="FootnoteText"/>
      </w:pPr>
      <w:r>
        <w:rPr>
          <w:rStyle w:val="FootnoteReference"/>
        </w:rPr>
        <w:footnoteRef/>
      </w:r>
      <w:r>
        <w:tab/>
        <w:t>NEL, s. 16(1)(a); NGL, s. 28(1)(a).</w:t>
      </w:r>
    </w:p>
  </w:footnote>
  <w:footnote w:id="54">
    <w:p w:rsidR="00363C82" w:rsidRDefault="00363C82" w:rsidP="00B95D2A">
      <w:pPr>
        <w:pStyle w:val="FootnoteText"/>
      </w:pPr>
      <w:r>
        <w:rPr>
          <w:rStyle w:val="FootnoteReference"/>
        </w:rPr>
        <w:footnoteRef/>
      </w:r>
      <w:r>
        <w:t xml:space="preserve"> </w:t>
      </w:r>
      <w:r>
        <w:tab/>
        <w:t>NEL, s. 16(2)(a)(i); NGL, s. 28(2)(a)(i).</w:t>
      </w:r>
    </w:p>
  </w:footnote>
  <w:footnote w:id="55">
    <w:p w:rsidR="00363C82" w:rsidRDefault="00363C82" w:rsidP="00B95D2A">
      <w:pPr>
        <w:pStyle w:val="FootnoteText"/>
      </w:pPr>
      <w:r>
        <w:rPr>
          <w:rStyle w:val="FootnoteReference"/>
        </w:rPr>
        <w:footnoteRef/>
      </w:r>
      <w:r>
        <w:t xml:space="preserve"> </w:t>
      </w:r>
      <w:r>
        <w:tab/>
        <w:t>NEL, ss. 7A(2)–(7); NGL, ss. 24(2)–(7).</w:t>
      </w:r>
    </w:p>
  </w:footnote>
  <w:footnote w:id="56">
    <w:p w:rsidR="00363C82" w:rsidRDefault="00363C82" w:rsidP="00B95D2A">
      <w:pPr>
        <w:pStyle w:val="FootnoteText"/>
      </w:pPr>
      <w:r>
        <w:rPr>
          <w:rStyle w:val="FootnoteReference"/>
        </w:rPr>
        <w:footnoteRef/>
      </w:r>
      <w:r>
        <w:t xml:space="preserve"> </w:t>
      </w:r>
      <w:r>
        <w:tab/>
        <w:t xml:space="preserve">The requirements to make and publish the Guideline are set out in: NER, cll. 6.5.2(m) and 6A.6.2(m); NGR, r. 87(13). </w:t>
      </w:r>
      <w:r w:rsidRPr="004B0617">
        <w:t xml:space="preserve">The </w:t>
      </w:r>
      <w:r>
        <w:t>Guideline</w:t>
      </w:r>
      <w:r w:rsidRPr="004B0617">
        <w:t xml:space="preserve"> is available at: </w:t>
      </w:r>
      <w:r w:rsidRPr="00F8556F">
        <w:t>http://www.aer.gov.au/node/18859</w:t>
      </w:r>
      <w:r>
        <w:t>.</w:t>
      </w:r>
    </w:p>
  </w:footnote>
  <w:footnote w:id="57">
    <w:p w:rsidR="00363C82" w:rsidRDefault="00363C82" w:rsidP="00B95D2A">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363C82" w:rsidRDefault="00363C82" w:rsidP="00B95D2A">
      <w:pPr>
        <w:pStyle w:val="FootnoteText"/>
      </w:pPr>
      <w:r>
        <w:rPr>
          <w:rStyle w:val="FootnoteReference"/>
        </w:rPr>
        <w:footnoteRef/>
      </w:r>
      <w:r>
        <w:t xml:space="preserve"> </w:t>
      </w:r>
      <w:r>
        <w:tab/>
        <w:t xml:space="preserve">NER, cll. </w:t>
      </w:r>
      <w:r w:rsidRPr="001E5B06">
        <w:t>6.5.2(n)</w:t>
      </w:r>
      <w:r>
        <w:t>(2), 6.A.6.2(n)(2); NGR, r. 87(14)(b).</w:t>
      </w:r>
    </w:p>
  </w:footnote>
  <w:footnote w:id="59">
    <w:p w:rsidR="00363C82" w:rsidRDefault="00363C82" w:rsidP="00B95D2A">
      <w:pPr>
        <w:pStyle w:val="FootnoteText"/>
      </w:pPr>
      <w:r>
        <w:rPr>
          <w:rStyle w:val="FootnoteReference"/>
        </w:rPr>
        <w:footnoteRef/>
      </w:r>
      <w:r>
        <w:t xml:space="preserve"> </w:t>
      </w:r>
      <w:r>
        <w:tab/>
        <w:t>NER, cll. 6.2.8(c), 6A.2.3(c); NGR, r. 87(18).</w:t>
      </w:r>
    </w:p>
  </w:footnote>
  <w:footnote w:id="60">
    <w:p w:rsidR="00363C82" w:rsidRDefault="00363C82" w:rsidP="00B95D2A">
      <w:pPr>
        <w:pStyle w:val="FootnoteText"/>
      </w:pPr>
      <w:r>
        <w:rPr>
          <w:rStyle w:val="FootnoteReference"/>
        </w:rPr>
        <w:footnoteRef/>
      </w:r>
      <w:r>
        <w:t xml:space="preserve"> </w:t>
      </w:r>
      <w:r>
        <w:tab/>
        <w:t xml:space="preserve">NER, ss. </w:t>
      </w:r>
      <w:r w:rsidRPr="00A609E3">
        <w:t>S6.1.3</w:t>
      </w:r>
      <w:r>
        <w:t>(9)–(9B), S6A.1.3(4)(vi),(4A)–(4C); NGR, r. 72(1)(g).</w:t>
      </w:r>
    </w:p>
  </w:footnote>
  <w:footnote w:id="61">
    <w:p w:rsidR="00363C82" w:rsidRDefault="00363C82" w:rsidP="00B95D2A">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363C82" w:rsidRDefault="00363C82" w:rsidP="00B95D2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363C82" w:rsidRDefault="00363C82" w:rsidP="00B95D2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363C82" w:rsidRDefault="00363C82" w:rsidP="00B95D2A">
      <w:pPr>
        <w:pStyle w:val="FootnoteText"/>
      </w:pPr>
      <w:r>
        <w:rPr>
          <w:rStyle w:val="FootnoteReference"/>
        </w:rPr>
        <w:footnoteRef/>
      </w:r>
      <w:r>
        <w:t xml:space="preserve"> </w:t>
      </w:r>
      <w:r>
        <w:tab/>
        <w:t>NER, cll. 6.5.2(d)(2), 6A.6.2(d)(2); NGR, r. 87(4)(b).</w:t>
      </w:r>
    </w:p>
  </w:footnote>
  <w:footnote w:id="65">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363C82" w:rsidRDefault="00363C82" w:rsidP="00B95D2A">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20 May 2015</w:t>
      </w:r>
      <w:r>
        <w:t>;</w:t>
      </w:r>
      <w:r w:rsidRPr="00583683">
        <w:t xml:space="preserve"> Lally, </w:t>
      </w:r>
      <w:r w:rsidRPr="00583683">
        <w:rPr>
          <w:rStyle w:val="AERtextitalic"/>
        </w:rPr>
        <w:t>Gamma and the ACT decision</w:t>
      </w:r>
      <w:r w:rsidRPr="005764F6">
        <w:t>, May 2016</w:t>
      </w:r>
      <w:r>
        <w:t xml:space="preserve">; M. Lally, </w:t>
      </w:r>
      <w:r w:rsidRPr="00AC29DB">
        <w:rPr>
          <w:rStyle w:val="AERtextitalic"/>
        </w:rPr>
        <w:t>Issues in the estimation of gamma</w:t>
      </w:r>
      <w:r>
        <w:t>, April 2017</w:t>
      </w:r>
      <w:r w:rsidRPr="009E16C6">
        <w:rPr>
          <w:rStyle w:val="AERtextitalic"/>
          <w:i w:val="0"/>
        </w:rPr>
        <w:t>.</w:t>
      </w:r>
    </w:p>
  </w:footnote>
  <w:footnote w:id="67">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 xml:space="preserve">January 2016; Frontier, </w:t>
      </w:r>
      <w:r w:rsidRPr="0074444C">
        <w:rPr>
          <w:rStyle w:val="AERtextitalic"/>
        </w:rPr>
        <w:t xml:space="preserve">Regulatory estimation of gamma report prepared for </w:t>
      </w:r>
      <w:r>
        <w:rPr>
          <w:rStyle w:val="AERtextitalic"/>
        </w:rPr>
        <w:t>P</w:t>
      </w:r>
      <w:r w:rsidRPr="0074444C">
        <w:rPr>
          <w:rStyle w:val="AERtextitalic"/>
        </w:rPr>
        <w:t>owerlink</w:t>
      </w:r>
      <w:r w:rsidRPr="00213B4B">
        <w:t xml:space="preserve">, </w:t>
      </w:r>
      <w:r>
        <w:t xml:space="preserve">January 2016; </w:t>
      </w:r>
      <w:r w:rsidRPr="009C153C">
        <w:t xml:space="preserve"> </w:t>
      </w:r>
      <w:r>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68">
    <w:p w:rsidR="00363C82" w:rsidRDefault="00363C82" w:rsidP="00B95D2A">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363C82" w:rsidRDefault="00363C82" w:rsidP="00B95D2A">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363C82" w:rsidRDefault="00363C82" w:rsidP="00B95D2A">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363C82" w:rsidRDefault="00363C82" w:rsidP="00B95D2A">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363C82" w:rsidRDefault="00363C82" w:rsidP="00B95D2A">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rsidR="003E419A">
        <w:t>A.1</w:t>
      </w:r>
      <w:r>
        <w:fldChar w:fldCharType="end"/>
      </w:r>
      <w:r>
        <w:t xml:space="preserve"> and </w:t>
      </w:r>
      <w:r>
        <w:fldChar w:fldCharType="begin"/>
      </w:r>
      <w:r>
        <w:instrText xml:space="preserve"> REF _Ref414621875 \r \h </w:instrText>
      </w:r>
      <w:r>
        <w:fldChar w:fldCharType="separate"/>
      </w:r>
      <w:r w:rsidR="003E419A">
        <w:t>A.2</w:t>
      </w:r>
      <w:r>
        <w:fldChar w:fldCharType="end"/>
      </w:r>
      <w:r>
        <w:t xml:space="preserve"> of appendix A.</w:t>
      </w:r>
    </w:p>
  </w:footnote>
  <w:footnote w:id="74">
    <w:p w:rsidR="00363C82" w:rsidRDefault="00363C82" w:rsidP="00B95D2A">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rsidR="003E419A">
        <w:t>A.5</w:t>
      </w:r>
      <w:r>
        <w:fldChar w:fldCharType="end"/>
      </w:r>
      <w:r>
        <w:t xml:space="preserve"> of appendix A.</w:t>
      </w:r>
    </w:p>
  </w:footnote>
  <w:footnote w:id="75">
    <w:p w:rsidR="00363C82" w:rsidRDefault="00363C82" w:rsidP="00B95D2A">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rsidR="003E419A">
        <w:t>4.3.1</w:t>
      </w:r>
      <w:r>
        <w:fldChar w:fldCharType="end"/>
      </w:r>
      <w:r>
        <w:t xml:space="preserve"> and </w:t>
      </w:r>
      <w:r>
        <w:fldChar w:fldCharType="begin"/>
      </w:r>
      <w:r>
        <w:instrText xml:space="preserve"> REF _Ref400965182 \r \h </w:instrText>
      </w:r>
      <w:r>
        <w:fldChar w:fldCharType="separate"/>
      </w:r>
      <w:r w:rsidR="003E419A">
        <w:t>A.6</w:t>
      </w:r>
      <w:r>
        <w:fldChar w:fldCharType="end"/>
      </w:r>
      <w:r>
        <w:t xml:space="preserve"> of appendix A. </w:t>
      </w:r>
    </w:p>
  </w:footnote>
  <w:footnote w:id="76">
    <w:p w:rsidR="00363C82" w:rsidRDefault="00363C82" w:rsidP="00B95D2A">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rsidR="003E419A">
        <w:t>A.6</w:t>
      </w:r>
      <w:r>
        <w:fldChar w:fldCharType="end"/>
      </w:r>
      <w:r>
        <w:t xml:space="preserve"> of appendix A.</w:t>
      </w:r>
    </w:p>
  </w:footnote>
  <w:footnote w:id="77">
    <w:p w:rsidR="00363C82" w:rsidRDefault="00363C82" w:rsidP="00B95D2A">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p>
  </w:footnote>
  <w:footnote w:id="78">
    <w:p w:rsidR="00363C82" w:rsidRDefault="00363C82" w:rsidP="00B95D2A">
      <w:pPr>
        <w:pStyle w:val="FootnoteText"/>
      </w:pPr>
      <w:r>
        <w:rPr>
          <w:rStyle w:val="FootnoteReference"/>
        </w:rPr>
        <w:footnoteRef/>
      </w:r>
      <w:r>
        <w:t xml:space="preserve"> </w:t>
      </w:r>
      <w:r>
        <w:tab/>
        <w:t xml:space="preserve">See section </w:t>
      </w:r>
      <w:r>
        <w:fldChar w:fldCharType="begin"/>
      </w:r>
      <w:r>
        <w:instrText xml:space="preserve"> REF _Ref476520189 \r \h </w:instrText>
      </w:r>
      <w:r>
        <w:fldChar w:fldCharType="separate"/>
      </w:r>
      <w:r w:rsidR="003E419A">
        <w:rPr>
          <w:b/>
          <w:bCs/>
          <w:lang w:val="en-US"/>
        </w:rPr>
        <w:t>Error! Reference source not found.</w:t>
      </w:r>
      <w:r>
        <w:fldChar w:fldCharType="end"/>
      </w:r>
      <w:r>
        <w:t>.</w:t>
      </w:r>
    </w:p>
  </w:footnote>
  <w:footnote w:id="79">
    <w:p w:rsidR="00363C82" w:rsidRDefault="00363C82" w:rsidP="00B95D2A">
      <w:pPr>
        <w:pStyle w:val="FootnoteText"/>
      </w:pPr>
      <w:r>
        <w:rPr>
          <w:rStyle w:val="FootnoteReference"/>
        </w:rPr>
        <w:footnoteRef/>
      </w:r>
      <w:r>
        <w:t xml:space="preserve"> </w:t>
      </w:r>
      <w:r>
        <w:tab/>
        <w:t xml:space="preserve">See section </w:t>
      </w:r>
      <w:r>
        <w:fldChar w:fldCharType="begin"/>
      </w:r>
      <w:r>
        <w:instrText xml:space="preserve"> REF _Ref476520204 \r \h </w:instrText>
      </w:r>
      <w:r>
        <w:fldChar w:fldCharType="separate"/>
      </w:r>
      <w:r w:rsidR="003E419A">
        <w:rPr>
          <w:b/>
          <w:bCs/>
          <w:lang w:val="en-US"/>
        </w:rPr>
        <w:t>Error! Reference source not found.</w:t>
      </w:r>
      <w:r>
        <w:fldChar w:fldCharType="end"/>
      </w:r>
      <w:r>
        <w:t>.</w:t>
      </w:r>
    </w:p>
  </w:footnote>
  <w:footnote w:id="80">
    <w:p w:rsidR="00363C82" w:rsidRDefault="00363C82" w:rsidP="00B95D2A">
      <w:pPr>
        <w:pStyle w:val="FootnoteText"/>
      </w:pPr>
      <w:r>
        <w:rPr>
          <w:rStyle w:val="FootnoteReference"/>
        </w:rPr>
        <w:footnoteRef/>
      </w:r>
      <w:r>
        <w:t xml:space="preserve"> </w:t>
      </w:r>
      <w:r>
        <w:tab/>
        <w:t xml:space="preserve">See section </w:t>
      </w:r>
      <w:r>
        <w:fldChar w:fldCharType="begin"/>
      </w:r>
      <w:r>
        <w:instrText xml:space="preserve"> REF _Ref476520210 \r \h </w:instrText>
      </w:r>
      <w:r>
        <w:fldChar w:fldCharType="separate"/>
      </w:r>
      <w:r w:rsidR="003E419A">
        <w:rPr>
          <w:b/>
          <w:bCs/>
          <w:lang w:val="en-US"/>
        </w:rPr>
        <w:t>Error! Reference source not found.</w:t>
      </w:r>
      <w:r>
        <w:fldChar w:fldCharType="end"/>
      </w:r>
      <w:r>
        <w:t>.</w:t>
      </w:r>
    </w:p>
  </w:footnote>
  <w:footnote w:id="81">
    <w:p w:rsidR="00363C82" w:rsidRDefault="00363C82" w:rsidP="00B95D2A">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363C82" w:rsidRDefault="00363C82" w:rsidP="00B95D2A">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363C82" w:rsidRDefault="00363C82" w:rsidP="00B95D2A">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rsidR="003E419A">
        <w:t>A.9.1</w:t>
      </w:r>
      <w:r>
        <w:fldChar w:fldCharType="end"/>
      </w:r>
      <w:r>
        <w:t xml:space="preserve"> of appendix A for more discussion.</w:t>
      </w:r>
    </w:p>
  </w:footnote>
  <w:footnote w:id="84">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and M. Lally, </w:t>
      </w:r>
      <w:r w:rsidRPr="00AC29DB">
        <w:rPr>
          <w:rStyle w:val="AERtextitalic"/>
        </w:rPr>
        <w:t>Issues in the estimation of gamma</w:t>
      </w:r>
      <w:r>
        <w:t>, April 2017</w:t>
      </w:r>
      <w:r w:rsidRPr="000E71C3">
        <w:rPr>
          <w:rStyle w:val="AERtextitalic"/>
          <w:i w:val="0"/>
        </w:rPr>
        <w:t>, pp. </w:t>
      </w:r>
      <w:r w:rsidRPr="00B12938">
        <w:rPr>
          <w:rStyle w:val="AERtextitalic"/>
          <w:i w:val="0"/>
        </w:rPr>
        <w:t>27,29</w:t>
      </w:r>
      <w:r>
        <w:t>;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363C82" w:rsidRDefault="00363C82" w:rsidP="00B95D2A">
      <w:pPr>
        <w:pStyle w:val="FootnoteText"/>
      </w:pPr>
      <w:r>
        <w:rPr>
          <w:rStyle w:val="FootnoteReference"/>
        </w:rPr>
        <w:footnoteRef/>
      </w:r>
      <w:r>
        <w:t xml:space="preserve"> </w:t>
      </w:r>
      <w:r>
        <w:tab/>
        <w:t xml:space="preserve">M. </w:t>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rsidR="003E419A">
        <w:t>A.1</w:t>
      </w:r>
      <w:r>
        <w:fldChar w:fldCharType="end"/>
      </w:r>
      <w:r>
        <w:t xml:space="preserve"> of appendix A.</w:t>
      </w:r>
    </w:p>
  </w:footnote>
  <w:footnote w:id="89">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363C82" w:rsidRPr="00EA3C68"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F403D5">
        <w:rPr>
          <w:rStyle w:val="AERtextitalic"/>
          <w:i w:val="0"/>
        </w:rPr>
        <w:t>, p. 13.</w:t>
      </w:r>
    </w:p>
  </w:footnote>
  <w:footnote w:id="9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363C82" w:rsidRDefault="00363C82" w:rsidP="00B95D2A">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363C82" w:rsidRDefault="00363C82" w:rsidP="00EC2610">
      <w:pPr>
        <w:pStyle w:val="FootnoteText"/>
      </w:pPr>
      <w:r>
        <w:rPr>
          <w:rStyle w:val="FootnoteReference"/>
        </w:rPr>
        <w:footnoteRef/>
      </w:r>
      <w:r>
        <w:t xml:space="preserve"> </w:t>
      </w:r>
      <w:r>
        <w:tab/>
        <w:t xml:space="preserve">Lally does no use a range for the utilisation rate, rather Lally recommends a utilisation rate of at least 0.6 (all equity). See </w:t>
      </w:r>
      <w:r w:rsidRPr="005764F6">
        <w:t xml:space="preserve">Lally, </w:t>
      </w:r>
      <w:r w:rsidRPr="00583683">
        <w:rPr>
          <w:rStyle w:val="AERtextitalic"/>
        </w:rPr>
        <w:t>Gamma and the ACT Decision</w:t>
      </w:r>
      <w:r w:rsidRPr="005764F6">
        <w:t>, May 2016, pp. </w:t>
      </w:r>
      <w:r>
        <w:t>5, 6, 21, 23, 31, 32</w:t>
      </w:r>
      <w:r w:rsidRPr="005764F6">
        <w:t>.</w:t>
      </w:r>
    </w:p>
  </w:footnote>
  <w:footnote w:id="94">
    <w:p w:rsidR="00363C82" w:rsidRDefault="00363C82" w:rsidP="00B95D2A">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5">
    <w:p w:rsidR="00363C82" w:rsidRDefault="00363C82" w:rsidP="00B95D2A">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6">
    <w:p w:rsidR="00363C82" w:rsidRPr="00C4634F"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AF1BD9">
        <w:rPr>
          <w:rStyle w:val="AERtextitalic"/>
          <w:i w:val="0"/>
        </w:rPr>
        <w:t>, p. 29.</w:t>
      </w:r>
    </w:p>
  </w:footnote>
  <w:footnote w:id="97">
    <w:p w:rsidR="00363C82" w:rsidRPr="003547F6" w:rsidRDefault="00363C82" w:rsidP="00D42E5D">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DF30C3">
        <w:rPr>
          <w:rStyle w:val="AERtextitalic"/>
          <w:i w:val="0"/>
        </w:rPr>
        <w:t>2 December 2016, pp. 16-17.</w:t>
      </w:r>
    </w:p>
  </w:footnote>
  <w:footnote w:id="98">
    <w:p w:rsidR="00363C82" w:rsidRDefault="00363C82" w:rsidP="00B95D2A">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rsidR="003E419A">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9">
    <w:p w:rsidR="00363C82" w:rsidRDefault="00363C82" w:rsidP="00B95D2A">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100">
    <w:p w:rsidR="00363C82" w:rsidRDefault="00363C82" w:rsidP="00B95D2A">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101">
    <w:p w:rsidR="00363C82" w:rsidRDefault="00363C82" w:rsidP="00B95D2A">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rsidR="003E419A">
        <w:t>A.8.3</w:t>
      </w:r>
      <w:r>
        <w:fldChar w:fldCharType="end"/>
      </w:r>
      <w:r>
        <w:t>.</w:t>
      </w:r>
    </w:p>
  </w:footnote>
  <w:footnote w:id="102">
    <w:p w:rsidR="00363C82" w:rsidRDefault="00363C82" w:rsidP="00B95D2A">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3">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4">
    <w:p w:rsidR="00363C82" w:rsidRDefault="00363C82" w:rsidP="00B95D2A">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rsidR="003E419A">
        <w:t>A.10</w:t>
      </w:r>
      <w:r>
        <w:fldChar w:fldCharType="end"/>
      </w:r>
      <w:r w:rsidRPr="007F4E38">
        <w:t xml:space="preserve"> of </w:t>
      </w:r>
      <w:r>
        <w:t>appendix A.</w:t>
      </w:r>
    </w:p>
  </w:footnote>
  <w:footnote w:id="105">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6">
    <w:p w:rsidR="00363C82" w:rsidRDefault="00363C82" w:rsidP="00B95D2A">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7">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8">
    <w:p w:rsidR="00363C82" w:rsidRDefault="00363C82" w:rsidP="00B95D2A">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3E419A">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9">
    <w:p w:rsidR="00363C82" w:rsidRDefault="00363C82" w:rsidP="00B95D2A">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10">
    <w:p w:rsidR="00363C82" w:rsidRDefault="00363C82" w:rsidP="00B95D2A">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11">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12">
    <w:p w:rsidR="00363C82" w:rsidRDefault="00363C82" w:rsidP="00B95D2A">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rsidR="003E419A">
        <w:t>A.10</w:t>
      </w:r>
      <w:r>
        <w:fldChar w:fldCharType="end"/>
      </w:r>
      <w:r>
        <w:t xml:space="preserve"> for more detail.</w:t>
      </w:r>
    </w:p>
  </w:footnote>
  <w:footnote w:id="113">
    <w:p w:rsidR="00363C82" w:rsidRDefault="00363C82" w:rsidP="00B95D2A">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rsidR="003E419A">
        <w:t>A.10</w:t>
      </w:r>
      <w:r>
        <w:fldChar w:fldCharType="end"/>
      </w:r>
      <w:r>
        <w:t xml:space="preserve"> of appendix A. </w:t>
      </w:r>
    </w:p>
  </w:footnote>
  <w:footnote w:id="114">
    <w:p w:rsidR="00363C82" w:rsidRDefault="00363C82" w:rsidP="00B95D2A">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5">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6">
    <w:p w:rsidR="00363C82" w:rsidRPr="00EA3C68"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F403D5">
        <w:rPr>
          <w:rStyle w:val="AERtextitalic"/>
          <w:i w:val="0"/>
        </w:rPr>
        <w:t>, p. 13.</w:t>
      </w:r>
    </w:p>
  </w:footnote>
  <w:footnote w:id="117">
    <w:p w:rsidR="00363C82" w:rsidRDefault="00363C82" w:rsidP="00B95D2A">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8">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9">
    <w:p w:rsidR="00363C82" w:rsidRPr="00EA3C68"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xml:space="preserve">, </w:t>
      </w:r>
      <w:r w:rsidRPr="00AC26C8">
        <w:t>A</w:t>
      </w:r>
      <w:r w:rsidRPr="00A42583">
        <w:t>pril</w:t>
      </w:r>
      <w:r w:rsidRPr="00D81354">
        <w:t xml:space="preserve"> 2017</w:t>
      </w:r>
      <w:r w:rsidRPr="00D81354">
        <w:rPr>
          <w:rStyle w:val="AERtextitalic"/>
          <w:i w:val="0"/>
        </w:rPr>
        <w:t>, p. </w:t>
      </w:r>
      <w:r w:rsidRPr="004423C9">
        <w:rPr>
          <w:rStyle w:val="AERtextitalic"/>
          <w:i w:val="0"/>
        </w:rPr>
        <w:t>27</w:t>
      </w:r>
      <w:r w:rsidRPr="00AC26C8">
        <w:rPr>
          <w:rStyle w:val="AERtextitalic"/>
          <w:i w:val="0"/>
        </w:rPr>
        <w:t>.</w:t>
      </w:r>
    </w:p>
  </w:footnote>
  <w:footnote w:id="120">
    <w:p w:rsidR="00363C82" w:rsidRDefault="00363C82" w:rsidP="00B95D2A">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21">
    <w:p w:rsidR="00363C82" w:rsidRDefault="00363C82" w:rsidP="00B95D2A">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rsidR="003E419A">
        <w:t>A.8.1</w:t>
      </w:r>
      <w:r>
        <w:fldChar w:fldCharType="end"/>
      </w:r>
      <w:r>
        <w:t xml:space="preserve"> of appendix A.</w:t>
      </w:r>
    </w:p>
  </w:footnote>
  <w:footnote w:id="122">
    <w:p w:rsidR="00363C82" w:rsidRDefault="00363C82" w:rsidP="00B95D2A">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sidRPr="00CA6B82">
        <w:rPr>
          <w:rStyle w:val="AERtextitalic"/>
        </w:rPr>
        <w:t xml:space="preserve">, </w:t>
      </w:r>
      <w:r w:rsidRPr="00F5204A">
        <w:rPr>
          <w:rStyle w:val="AERtextitalic"/>
          <w:i w:val="0"/>
        </w:rPr>
        <w:t>p</w:t>
      </w:r>
      <w:r w:rsidRPr="00434A21">
        <w:rPr>
          <w:rStyle w:val="AERtextitalic"/>
          <w:i w:val="0"/>
        </w:rPr>
        <w:t>p. </w:t>
      </w:r>
      <w:r w:rsidRPr="00BF534C">
        <w:rPr>
          <w:rStyle w:val="AERtextitalic"/>
          <w:i w:val="0"/>
        </w:rPr>
        <w:t>21-22.</w:t>
      </w:r>
    </w:p>
  </w:footnote>
  <w:footnote w:id="123">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24">
    <w:p w:rsidR="00363C82" w:rsidRDefault="00363C82" w:rsidP="00B95D2A">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25">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127">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8">
    <w:p w:rsidR="00363C82" w:rsidRDefault="00363C82" w:rsidP="00B95D2A">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rsidR="003E419A">
        <w:t>A.11</w:t>
      </w:r>
      <w:r>
        <w:fldChar w:fldCharType="end"/>
      </w:r>
      <w:r>
        <w:t xml:space="preserve"> of appendix A.</w:t>
      </w:r>
    </w:p>
  </w:footnote>
  <w:footnote w:id="129">
    <w:p w:rsidR="00363C82" w:rsidRDefault="00363C82" w:rsidP="00B95D2A">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30">
    <w:p w:rsidR="00363C82" w:rsidRDefault="00363C82" w:rsidP="00B95D2A">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3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32">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33">
    <w:p w:rsidR="00363C82" w:rsidRDefault="00363C82" w:rsidP="00B95D2A">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34">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35">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 4–5.</w:t>
      </w:r>
    </w:p>
  </w:footnote>
  <w:footnote w:id="136">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 4–5.</w:t>
      </w:r>
    </w:p>
  </w:footnote>
  <w:footnote w:id="137">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8">
    <w:p w:rsidR="00363C82" w:rsidRDefault="00363C82" w:rsidP="00B95D2A">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9">
    <w:p w:rsidR="00363C82" w:rsidRDefault="00363C82" w:rsidP="00B95D2A">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rsidR="003E419A">
        <w:t>A.9.1</w:t>
      </w:r>
      <w:r>
        <w:fldChar w:fldCharType="end"/>
      </w:r>
      <w:r>
        <w:t xml:space="preserve"> of appendix A.</w:t>
      </w:r>
    </w:p>
  </w:footnote>
  <w:footnote w:id="14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41">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42">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43">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44">
    <w:p w:rsidR="00363C82" w:rsidRDefault="00363C82" w:rsidP="00B95D2A">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45">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34, 12-15.</w:t>
      </w:r>
    </w:p>
  </w:footnote>
  <w:footnote w:id="146">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7">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M. Lally, </w:t>
      </w:r>
      <w:r w:rsidRPr="00AC29DB">
        <w:rPr>
          <w:rStyle w:val="AERtextitalic"/>
        </w:rPr>
        <w:t>Issues in the estimation of gamma</w:t>
      </w:r>
      <w:r>
        <w:t>, April 2017</w:t>
      </w:r>
      <w:r w:rsidRPr="00AF1BD9">
        <w:rPr>
          <w:rStyle w:val="AERtextitalic"/>
          <w:i w:val="0"/>
        </w:rPr>
        <w:t>, p</w:t>
      </w:r>
      <w:r w:rsidRPr="009E16C6">
        <w:rPr>
          <w:rStyle w:val="AERtextitalic"/>
          <w:i w:val="0"/>
        </w:rPr>
        <w:t>p</w:t>
      </w:r>
      <w:r w:rsidRPr="00705600">
        <w:rPr>
          <w:rStyle w:val="AERtextitalic"/>
          <w:i w:val="0"/>
        </w:rPr>
        <w:t>.</w:t>
      </w:r>
      <w:r w:rsidRPr="009A213E">
        <w:rPr>
          <w:rStyle w:val="AERtextitalic"/>
          <w:i w:val="0"/>
        </w:rPr>
        <w:t> 4-6.</w:t>
      </w:r>
    </w:p>
  </w:footnote>
  <w:footnote w:id="148">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9">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0">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51">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AF1BD9">
        <w:rPr>
          <w:rStyle w:val="AERtextitalic"/>
          <w:i w:val="0"/>
        </w:rPr>
        <w:t>, pp. 4-6.</w:t>
      </w:r>
    </w:p>
  </w:footnote>
  <w:footnote w:id="152">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53">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4">
    <w:p w:rsidR="00363C82" w:rsidRDefault="00363C82" w:rsidP="00B95D2A">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55">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56">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xml:space="preserve">, 12 March 2014, pp. 35–38; M. Lally, </w:t>
      </w:r>
      <w:r w:rsidRPr="00AC29DB">
        <w:rPr>
          <w:rStyle w:val="AERtextitalic"/>
        </w:rPr>
        <w:t>Issues in the estimation of gamma</w:t>
      </w:r>
      <w:r>
        <w:t>, April 2017</w:t>
      </w:r>
      <w:r w:rsidRPr="00AF1BD9">
        <w:rPr>
          <w:rStyle w:val="AERtextitalic"/>
          <w:i w:val="0"/>
        </w:rPr>
        <w:t>, pp. 4-6.</w:t>
      </w:r>
    </w:p>
  </w:footnote>
  <w:footnote w:id="157">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8">
    <w:p w:rsidR="00363C82" w:rsidRDefault="00363C82" w:rsidP="00B95D2A">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9">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60">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61">
    <w:p w:rsidR="00363C82" w:rsidRDefault="00363C82" w:rsidP="00B95D2A">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62">
    <w:p w:rsidR="00363C82" w:rsidRDefault="00363C82" w:rsidP="00B95D2A">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63">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64">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 33; </w:t>
      </w:r>
      <w:r w:rsidRPr="00C13949">
        <w:t xml:space="preserve"> </w:t>
      </w:r>
      <w:r>
        <w:t xml:space="preserve">Frontier Economics, </w:t>
      </w:r>
      <w:r>
        <w:rPr>
          <w:rStyle w:val="AERtextitalic"/>
        </w:rPr>
        <w:t>Regulatory estimation of gamma report prepared for Powerlink</w:t>
      </w:r>
      <w:r>
        <w:t xml:space="preserve">, January 2016, p. 10; </w:t>
      </w:r>
      <w:r w:rsidRPr="002110F5">
        <w:t xml:space="preserve"> </w:t>
      </w:r>
      <w:r>
        <w:t xml:space="preserve">Frontier Economics, </w:t>
      </w:r>
      <w:r>
        <w:rPr>
          <w:rStyle w:val="AERtextitalic"/>
        </w:rPr>
        <w:t>Regulatory An updated dividend drop-off estimate of theta</w:t>
      </w:r>
      <w:r>
        <w:t>, September 2016.</w:t>
      </w:r>
    </w:p>
  </w:footnote>
  <w:footnote w:id="165">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66">
    <w:p w:rsidR="00363C82" w:rsidRDefault="00363C82" w:rsidP="00B95D2A">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DF30C3">
        <w:rPr>
          <w:rStyle w:val="AERtextitalic"/>
          <w:i w:val="0"/>
        </w:rPr>
        <w:t>2 December 2016, pp. 16-17.</w:t>
      </w:r>
    </w:p>
  </w:footnote>
  <w:footnote w:id="167">
    <w:p w:rsidR="00363C82" w:rsidRDefault="00363C82" w:rsidP="00B95D2A">
      <w:pPr>
        <w:pStyle w:val="FootnoteText"/>
      </w:pPr>
      <w:r>
        <w:rPr>
          <w:rStyle w:val="FootnoteReference"/>
        </w:rPr>
        <w:footnoteRef/>
      </w:r>
      <w:r>
        <w:t xml:space="preserve"> </w:t>
      </w:r>
      <w:r>
        <w:tab/>
        <w:t>NER, cl. 6.12.3(c1).</w:t>
      </w:r>
    </w:p>
  </w:footnote>
  <w:footnote w:id="168">
    <w:p w:rsidR="00363C82" w:rsidRDefault="00363C82" w:rsidP="00B95D2A">
      <w:pPr>
        <w:pStyle w:val="FootnoteText"/>
      </w:pPr>
      <w:r>
        <w:rPr>
          <w:rStyle w:val="FootnoteReference"/>
        </w:rPr>
        <w:footnoteRef/>
      </w:r>
      <w:r>
        <w:t xml:space="preserve"> </w:t>
      </w:r>
      <w:r>
        <w:tab/>
        <w:t>NER, cl. 6.5.2(d)(2).</w:t>
      </w:r>
    </w:p>
  </w:footnote>
  <w:footnote w:id="169">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para.</w:t>
      </w:r>
      <w:r>
        <w:t> 111.</w:t>
      </w:r>
    </w:p>
  </w:footnote>
  <w:footnote w:id="170">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288 and 289;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71">
    <w:p w:rsidR="00363C82" w:rsidRDefault="00363C82" w:rsidP="00B95D2A">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6; Frontier Economics, </w:t>
      </w:r>
      <w:r>
        <w:rPr>
          <w:rStyle w:val="AERtextitalic"/>
        </w:rPr>
        <w:t>Regulatory estimation of gamma report prepared for Powerlink</w:t>
      </w:r>
      <w:r>
        <w:t>, January 2016, pp. 7-10.</w:t>
      </w:r>
    </w:p>
  </w:footnote>
  <w:footnote w:id="172">
    <w:p w:rsidR="00363C82" w:rsidRDefault="00363C82" w:rsidP="00B95D2A">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173">
    <w:p w:rsidR="00363C82" w:rsidRDefault="00363C82" w:rsidP="00B95D2A">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74">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AusNet Transmission, </w:t>
      </w:r>
      <w:r>
        <w:rPr>
          <w:rStyle w:val="AERtextitalic"/>
        </w:rPr>
        <w:t>Transmission Revenue Proposal Review 2017-2022, Revised Revenue Proposal</w:t>
      </w:r>
      <w:r>
        <w:t xml:space="preserve">, 21 September 2016, pp. 205-206; Frontier Economics, </w:t>
      </w:r>
      <w:r>
        <w:rPr>
          <w:rStyle w:val="AERtextitalic"/>
        </w:rPr>
        <w:t>Issues in the estimation of gamma</w:t>
      </w:r>
      <w:r>
        <w:t>, September 2016, p. 3.</w:t>
      </w:r>
    </w:p>
  </w:footnote>
  <w:footnote w:id="175">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292;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w:t>
      </w:r>
      <w:r>
        <w:t xml:space="preserve">0; AusNet Transmission, </w:t>
      </w:r>
      <w:r>
        <w:rPr>
          <w:rStyle w:val="AERtextitalic"/>
        </w:rPr>
        <w:t>Transmission Revenue Proposal Review 2017-2022, Revised Revenue Proposal</w:t>
      </w:r>
      <w:r>
        <w:t>, 21 September 2016, pp. 205-206.</w:t>
      </w:r>
    </w:p>
  </w:footnote>
  <w:footnote w:id="17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77">
    <w:p w:rsidR="00363C82" w:rsidRDefault="00363C82" w:rsidP="00B95D2A">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 xml:space="preserve">354, 368; AusNet Transmission, </w:t>
      </w:r>
      <w:r>
        <w:rPr>
          <w:rStyle w:val="AERtextitalic"/>
        </w:rPr>
        <w:t>Transmission Revenue Proposal Review 2017-2022, Revised Revenue Proposal</w:t>
      </w:r>
      <w:r>
        <w:t>, 21 September 2016, p. 205.</w:t>
      </w:r>
    </w:p>
  </w:footnote>
  <w:footnote w:id="178">
    <w:p w:rsidR="00363C82" w:rsidRPr="00EA3C68"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F403D5">
        <w:rPr>
          <w:rStyle w:val="AERtextitalic"/>
          <w:i w:val="0"/>
        </w:rPr>
        <w:t>, p. 13.</w:t>
      </w:r>
    </w:p>
  </w:footnote>
  <w:footnote w:id="179">
    <w:p w:rsidR="00363C82" w:rsidRPr="00EA3C68" w:rsidRDefault="00363C82" w:rsidP="00B95D2A">
      <w:pPr>
        <w:pStyle w:val="FootnoteText"/>
      </w:pPr>
      <w:r>
        <w:rPr>
          <w:rStyle w:val="FootnoteReference"/>
        </w:rPr>
        <w:footnoteRef/>
      </w:r>
      <w:r>
        <w:t xml:space="preserve"> </w:t>
      </w:r>
      <w:r>
        <w:tab/>
        <w:t xml:space="preserve">M. Lally, </w:t>
      </w:r>
      <w:r w:rsidRPr="004744FB">
        <w:rPr>
          <w:rStyle w:val="AERtextitalic"/>
        </w:rPr>
        <w:t>Issues in the estimation of gamma</w:t>
      </w:r>
      <w:r>
        <w:t>, April 2017</w:t>
      </w:r>
      <w:r>
        <w:rPr>
          <w:rStyle w:val="AERtextitalic"/>
          <w:i w:val="0"/>
        </w:rPr>
        <w:t>, p. </w:t>
      </w:r>
      <w:r w:rsidRPr="00F5204A">
        <w:rPr>
          <w:rStyle w:val="AERtextitalic"/>
          <w:i w:val="0"/>
        </w:rPr>
        <w:t>27</w:t>
      </w:r>
      <w:r w:rsidRPr="00CC480F">
        <w:rPr>
          <w:rStyle w:val="AERtextitalic"/>
          <w:i w:val="0"/>
        </w:rPr>
        <w:t>.</w:t>
      </w:r>
    </w:p>
  </w:footnote>
  <w:footnote w:id="180">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and 288;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81">
    <w:p w:rsidR="00363C82" w:rsidRDefault="00363C82" w:rsidP="00B95D2A">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82">
    <w:p w:rsidR="00363C82" w:rsidRDefault="00363C82" w:rsidP="00B95D2A">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83">
    <w:p w:rsidR="00363C82" w:rsidRDefault="00363C82" w:rsidP="00B95D2A">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84">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294, 296, 298;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xml:space="preserve">, January 2016, p. 356; AusNet Transmission, </w:t>
      </w:r>
      <w:r>
        <w:rPr>
          <w:rStyle w:val="AERtextitalic"/>
        </w:rPr>
        <w:t>Transmission Revenue Proposal Review 2017-2022, Revised Revenue Proposal</w:t>
      </w:r>
      <w:r>
        <w:t>, 21 September 2016, pp. 204, 207.</w:t>
      </w:r>
    </w:p>
  </w:footnote>
  <w:footnote w:id="185">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288; </w:t>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xml:space="preserve">, January 2016, pp. 10-11;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xml:space="preserve">; January 2016, pp. 362-363;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xml:space="preserve">, January 2016, pp. 356-357; Australian Competition Tribunal, </w:t>
      </w:r>
      <w:r w:rsidRPr="002D5177">
        <w:rPr>
          <w:rStyle w:val="AERtextitalic"/>
        </w:rPr>
        <w:t>Application by Public Interest Advocacy Centre Ltd and Ausgrid [2016] ACompT 1</w:t>
      </w:r>
      <w:r w:rsidRPr="002D5177">
        <w:t>, 26 February 2016, para. 1095</w:t>
      </w:r>
      <w:r>
        <w:t>;</w:t>
      </w:r>
      <w:r w:rsidRPr="00CA79AB">
        <w:t xml:space="preserve"> </w:t>
      </w:r>
      <w:r>
        <w:t xml:space="preserve">Frontier Economics, </w:t>
      </w:r>
      <w:r>
        <w:rPr>
          <w:rStyle w:val="AERtextitalic"/>
        </w:rPr>
        <w:t>Regulatory estimation of gamma report prepared for Powerlink</w:t>
      </w:r>
      <w:r>
        <w:t xml:space="preserve">, January 2016, p. 10; AusNet Transmission, </w:t>
      </w:r>
      <w:r>
        <w:rPr>
          <w:rStyle w:val="AERtextitalic"/>
        </w:rPr>
        <w:t>Transmission Revenue Proposal Review 2017-2022, Revised Revenue Proposal</w:t>
      </w:r>
      <w:r>
        <w:t>, 21 September 2016, p. 208.</w:t>
      </w:r>
    </w:p>
  </w:footnote>
  <w:footnote w:id="186">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87">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xml:space="preserve">, January 2016, pp. 364-365; Frontier Economics, </w:t>
      </w:r>
      <w:r>
        <w:rPr>
          <w:rStyle w:val="AERtextitalic"/>
        </w:rPr>
        <w:t>Regulatory estimation of gamma report prepared for Powerlink</w:t>
      </w:r>
      <w:r>
        <w:t>, January 2016, pp. 13-15.</w:t>
      </w:r>
    </w:p>
  </w:footnote>
  <w:footnote w:id="188">
    <w:p w:rsidR="00363C82" w:rsidRDefault="00363C82" w:rsidP="00B95D2A">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89">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294;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210.</w:t>
      </w:r>
    </w:p>
  </w:footnote>
  <w:footnote w:id="190">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286, 288, 305;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 Powerlink</w:t>
      </w:r>
      <w:r w:rsidRPr="003E1CE7">
        <w:t xml:space="preserve">, </w:t>
      </w:r>
      <w:r>
        <w:rPr>
          <w:rStyle w:val="AERtextitalic"/>
        </w:rPr>
        <w:t>Powerlink Queensland Revenue Proposal Appendix 9.02</w:t>
      </w:r>
      <w:r w:rsidRPr="003E1CE7">
        <w:t xml:space="preserve">, </w:t>
      </w:r>
      <w:r>
        <w:t>31 January 2016, p</w:t>
      </w:r>
      <w:r w:rsidRPr="003E1CE7">
        <w:t>. </w:t>
      </w:r>
      <w:r>
        <w:t>6;</w:t>
      </w:r>
      <w:r w:rsidRPr="00F07197">
        <w:t xml:space="preserve"> </w:t>
      </w:r>
      <w:r>
        <w:t xml:space="preserve">AusNet Transmission, </w:t>
      </w:r>
      <w:r>
        <w:rPr>
          <w:rStyle w:val="AERtextitalic"/>
        </w:rPr>
        <w:t>Transmission Revenue Proposal Review 2017-2022, Revised Revenue Proposal</w:t>
      </w:r>
      <w:r>
        <w:t xml:space="preserve">, 21 September 2016, pp. 208, 210; Frontier Economics, </w:t>
      </w:r>
      <w:r>
        <w:rPr>
          <w:rStyle w:val="AERtextitalic"/>
        </w:rPr>
        <w:t>Issues in the estimation of gamma</w:t>
      </w:r>
      <w:r>
        <w:t>, September 2016, p. 4.</w:t>
      </w:r>
    </w:p>
  </w:footnote>
  <w:footnote w:id="191">
    <w:p w:rsidR="00363C82" w:rsidRDefault="00363C82" w:rsidP="00B95D2A">
      <w:pPr>
        <w:pStyle w:val="FootnoteText"/>
      </w:pPr>
      <w:r>
        <w:rPr>
          <w:rStyle w:val="FootnoteReference"/>
        </w:rPr>
        <w:footnoteRef/>
      </w:r>
      <w:r>
        <w:t xml:space="preserve"> </w:t>
      </w:r>
      <w:r>
        <w:tab/>
        <w:t>For an example of the correct use of the term "upper bound" see John. C. Hull, Options Futures and other Derivatives, Fourth Edition, 2000, p. 171.</w:t>
      </w:r>
    </w:p>
  </w:footnote>
  <w:footnote w:id="192">
    <w:p w:rsidR="00363C82" w:rsidRDefault="00363C82" w:rsidP="00B95D2A">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93">
    <w:p w:rsidR="00363C82" w:rsidRPr="00341F69" w:rsidRDefault="00363C82" w:rsidP="00B95D2A">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CC480F">
        <w:rPr>
          <w:rStyle w:val="AERtextitalic"/>
          <w:i w:val="0"/>
        </w:rPr>
        <w:t>p</w:t>
      </w:r>
      <w:r w:rsidRPr="00F5204A">
        <w:rPr>
          <w:rStyle w:val="AERtextitalic"/>
          <w:i w:val="0"/>
        </w:rPr>
        <w:t>p</w:t>
      </w:r>
      <w:r w:rsidRPr="00CC480F">
        <w:rPr>
          <w:rStyle w:val="AERtextitalic"/>
          <w:i w:val="0"/>
        </w:rPr>
        <w:t>. 3-4</w:t>
      </w:r>
      <w:r w:rsidRPr="00F5204A">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194">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286; 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211.</w:t>
      </w:r>
    </w:p>
  </w:footnote>
  <w:footnote w:id="195">
    <w:p w:rsidR="00363C82" w:rsidRDefault="00363C82" w:rsidP="00B95D2A">
      <w:pPr>
        <w:pStyle w:val="FootnoteText"/>
      </w:pPr>
      <w:r>
        <w:rPr>
          <w:rStyle w:val="FootnoteReference"/>
        </w:rPr>
        <w:footnoteRef/>
      </w:r>
      <w:r>
        <w:t xml:space="preserve"> </w:t>
      </w:r>
      <w:r>
        <w:tab/>
        <w:t>Powerlink</w:t>
      </w:r>
      <w:r w:rsidRPr="003E1CE7">
        <w:t xml:space="preserve">, </w:t>
      </w:r>
      <w:r>
        <w:rPr>
          <w:rStyle w:val="AERtextitalic"/>
        </w:rPr>
        <w:t>Powerlink Queensland Revenue Proposal Appendix 9.02</w:t>
      </w:r>
      <w:r w:rsidRPr="003E1CE7">
        <w:t xml:space="preserve">, </w:t>
      </w:r>
      <w:r>
        <w:t>31 January 2016, p</w:t>
      </w:r>
      <w:r w:rsidRPr="003E1CE7">
        <w:t>. </w:t>
      </w:r>
      <w:r>
        <w:t>7.</w:t>
      </w:r>
    </w:p>
  </w:footnote>
  <w:footnote w:id="196">
    <w:p w:rsidR="00363C82" w:rsidRDefault="00363C82" w:rsidP="00B95D2A">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97">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xml:space="preserve">, June 2015, p. 33; Frontier Economics, </w:t>
      </w:r>
      <w:r>
        <w:rPr>
          <w:rStyle w:val="AERtextitalic"/>
        </w:rPr>
        <w:t>Regulatory estimation of gamma report prepared for Powerlink</w:t>
      </w:r>
      <w:r>
        <w:t>, January 2016, p. 10; Powerlink</w:t>
      </w:r>
      <w:r w:rsidRPr="003E1CE7">
        <w:t xml:space="preserve">, </w:t>
      </w:r>
      <w:r>
        <w:rPr>
          <w:rStyle w:val="AERtextitalic"/>
        </w:rPr>
        <w:t>Powerlink Queensland Revenue Proposal Appendix 9.02</w:t>
      </w:r>
      <w:r w:rsidRPr="003E1CE7">
        <w:t xml:space="preserve">, </w:t>
      </w:r>
      <w:r>
        <w:t>31 January 2016, p</w:t>
      </w:r>
      <w:r w:rsidRPr="003E1CE7">
        <w:t>. </w:t>
      </w:r>
      <w:r>
        <w:t xml:space="preserve">7; AusNet Transmission, </w:t>
      </w:r>
      <w:r>
        <w:rPr>
          <w:rStyle w:val="AERtextitalic"/>
        </w:rPr>
        <w:t>Transmission Revenue Proposal Review 2017-2022, Revised Revenue Proposal</w:t>
      </w:r>
      <w:r>
        <w:t>, 21 September 2016, pp. 209, 211-212.</w:t>
      </w:r>
    </w:p>
  </w:footnote>
  <w:footnote w:id="198">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 </w:t>
      </w:r>
      <w:r>
        <w:t xml:space="preserve">300; Australian Gas Networks, </w:t>
      </w:r>
      <w:r>
        <w:rPr>
          <w:rStyle w:val="AERtextitalic"/>
        </w:rPr>
        <w:t>Attachment 11 Response to Draft Decision: Cost of Tax</w:t>
      </w:r>
      <w:r>
        <w:t xml:space="preserve">, January 2016, p. 13; ActewAGL, </w:t>
      </w:r>
      <w:r w:rsidRPr="00C3341F">
        <w:rPr>
          <w:rStyle w:val="AERtextitalic"/>
        </w:rPr>
        <w:t>Appendix 5.01 Detailed response to rate of return, gamma and inflation</w:t>
      </w:r>
      <w:r>
        <w:t xml:space="preserve">, January 2016, p. 117; AusNet Electricity Services, </w:t>
      </w:r>
      <w:r w:rsidRPr="00C3341F">
        <w:rPr>
          <w:rStyle w:val="AERtextitalic"/>
        </w:rPr>
        <w:t>Revised Regulatory Proposal</w:t>
      </w:r>
      <w:r>
        <w:t>, January 2016, p. 7-85; United Energy, Re</w:t>
      </w:r>
      <w:r w:rsidRPr="00C3341F">
        <w:rPr>
          <w:rStyle w:val="AERtextitalic"/>
        </w:rPr>
        <w:t>sponse to AER Preliminary Determination Re: Rate of return and gamma</w:t>
      </w:r>
      <w:r>
        <w:t xml:space="preserve">, January 2016, p. 87; CitiPower, </w:t>
      </w:r>
      <w:r w:rsidRPr="00C3341F">
        <w:rPr>
          <w:rStyle w:val="AERtextitalic"/>
        </w:rPr>
        <w:t>Revised Regulatory Proposal 2016-2020</w:t>
      </w:r>
      <w:r>
        <w:t xml:space="preserve">; January 2016, p. 365; Jemena Electricity Networks, </w:t>
      </w:r>
      <w:r w:rsidRPr="00C3341F">
        <w:rPr>
          <w:rStyle w:val="AERtextitalic"/>
        </w:rPr>
        <w:t>Attachment 6-1 Rate of return, gamma, forecast inflation, and debt and equity raising costs</w:t>
      </w:r>
      <w:r>
        <w:t xml:space="preserve">, January 2016, p. 93; Powercor, </w:t>
      </w:r>
      <w:r w:rsidRPr="00C3341F">
        <w:rPr>
          <w:rStyle w:val="AERtextitalic"/>
        </w:rPr>
        <w:t>Revised Regulatory Proposal 2016-2020</w:t>
      </w:r>
      <w:r>
        <w:t xml:space="preserve">, January 2016, p. 359; AusNet Transmission, </w:t>
      </w:r>
      <w:r>
        <w:rPr>
          <w:rStyle w:val="AERtextitalic"/>
        </w:rPr>
        <w:t>Transmission Revenue Proposal Review 2017-2022, Revised Revenue Proposal</w:t>
      </w:r>
      <w:r>
        <w:t>, 21 September 2016, p. 204.</w:t>
      </w:r>
    </w:p>
  </w:footnote>
  <w:footnote w:id="199">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200">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201">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37–38; Frontier Economics, </w:t>
      </w:r>
      <w:r>
        <w:rPr>
          <w:rStyle w:val="AERtextitalic"/>
        </w:rPr>
        <w:t>Issues in the estimation of gamma</w:t>
      </w:r>
      <w:r>
        <w:t>, September 2016, pp. 23-24.</w:t>
      </w:r>
    </w:p>
  </w:footnote>
  <w:footnote w:id="202">
    <w:p w:rsidR="00363C82" w:rsidRPr="00D81354" w:rsidRDefault="00363C82" w:rsidP="00B95D2A">
      <w:pPr>
        <w:pStyle w:val="FootnoteText"/>
      </w:pPr>
      <w:r>
        <w:rPr>
          <w:rStyle w:val="FootnoteReference"/>
        </w:rPr>
        <w:footnoteRef/>
      </w:r>
      <w:r>
        <w:t xml:space="preserve"> </w:t>
      </w:r>
      <w:r>
        <w:tab/>
        <w:t xml:space="preserve">M. Lally, </w:t>
      </w:r>
      <w:r w:rsidRPr="00AC29DB">
        <w:rPr>
          <w:rStyle w:val="AERtextitalic"/>
        </w:rPr>
        <w:t xml:space="preserve">Issues in the estimation of gamma, </w:t>
      </w:r>
      <w:r w:rsidRPr="004423C9">
        <w:rPr>
          <w:rStyle w:val="AERtextitalic"/>
          <w:i w:val="0"/>
        </w:rPr>
        <w:t>April</w:t>
      </w:r>
      <w:r w:rsidRPr="00AC29DB">
        <w:rPr>
          <w:rStyle w:val="AERtextitalic"/>
          <w:i w:val="0"/>
        </w:rPr>
        <w:t xml:space="preserve"> 2017</w:t>
      </w:r>
      <w:r w:rsidRPr="00AC26C8">
        <w:rPr>
          <w:rStyle w:val="AERtextitalic"/>
          <w:i w:val="0"/>
        </w:rPr>
        <w:t xml:space="preserve">, </w:t>
      </w:r>
      <w:r w:rsidRPr="00A42583">
        <w:rPr>
          <w:rStyle w:val="AERtextitalic"/>
          <w:i w:val="0"/>
        </w:rPr>
        <w:t>p</w:t>
      </w:r>
      <w:r w:rsidRPr="00D81354">
        <w:rPr>
          <w:rStyle w:val="AERtextitalic"/>
          <w:i w:val="0"/>
        </w:rPr>
        <w:t>p. 21-22</w:t>
      </w:r>
      <w:r w:rsidRPr="004423C9">
        <w:rPr>
          <w:rStyle w:val="AERtextitalic"/>
          <w:i w:val="0"/>
        </w:rPr>
        <w:t>,</w:t>
      </w:r>
      <w:r w:rsidRPr="00AC26C8">
        <w:rPr>
          <w:rStyle w:val="AERtextitalic"/>
          <w:i w:val="0"/>
        </w:rPr>
        <w:t xml:space="preserve"> 26</w:t>
      </w:r>
      <w:r w:rsidRPr="00A42583">
        <w:rPr>
          <w:rStyle w:val="AERtextitalic"/>
          <w:i w:val="0"/>
        </w:rPr>
        <w:t>.</w:t>
      </w:r>
    </w:p>
  </w:footnote>
  <w:footnote w:id="203">
    <w:p w:rsidR="00363C82" w:rsidRDefault="00363C82" w:rsidP="00B95D2A">
      <w:pPr>
        <w:pStyle w:val="FootnoteText"/>
      </w:pPr>
      <w:r>
        <w:rPr>
          <w:rStyle w:val="FootnoteReference"/>
        </w:rPr>
        <w:footnoteRef/>
      </w:r>
      <w:r>
        <w:t xml:space="preserve"> </w:t>
      </w:r>
      <w:r>
        <w:tab/>
      </w:r>
      <w:r w:rsidRPr="008F5D24">
        <w:t xml:space="preserve">HoustonKemp, </w:t>
      </w:r>
      <w:r w:rsidRPr="00276CAA">
        <w:rPr>
          <w:rStyle w:val="AERtextitalic"/>
        </w:rPr>
        <w:t>A response to the Australian Energy Regulator Draft Decision on Australian Gas Networks AA2016 Revenue Reset</w:t>
      </w:r>
      <w:r w:rsidRPr="008F5D24">
        <w:t xml:space="preserve">, February 2016, p. </w:t>
      </w:r>
      <w:r>
        <w:t>28</w:t>
      </w:r>
      <w:r w:rsidRPr="008F5D24">
        <w:t>.</w:t>
      </w:r>
    </w:p>
  </w:footnote>
  <w:footnote w:id="204">
    <w:p w:rsidR="00363C82" w:rsidRDefault="00363C82" w:rsidP="00B95D2A">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205">
    <w:p w:rsidR="00363C82" w:rsidRPr="001966E3" w:rsidRDefault="00363C82" w:rsidP="00B95D2A">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206">
    <w:p w:rsidR="00363C82" w:rsidRDefault="00363C82" w:rsidP="00B95D2A">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207">
    <w:p w:rsidR="00363C82" w:rsidRDefault="00363C82" w:rsidP="00B95D2A">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208">
    <w:p w:rsidR="00363C82" w:rsidRDefault="00363C82" w:rsidP="00B95D2A">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209">
    <w:p w:rsidR="00363C82" w:rsidRDefault="00363C82" w:rsidP="00B95D2A">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210">
    <w:p w:rsidR="00363C82" w:rsidRDefault="00363C82" w:rsidP="00B95D2A">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211">
    <w:p w:rsidR="00363C82" w:rsidRDefault="00363C82" w:rsidP="00B95D2A">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212">
    <w:p w:rsidR="00363C82" w:rsidRDefault="00363C82" w:rsidP="00B95D2A">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213">
    <w:p w:rsidR="00363C82" w:rsidRDefault="00363C82" w:rsidP="00B95D2A">
      <w:pPr>
        <w:pStyle w:val="FootnoteText"/>
      </w:pPr>
      <w:r>
        <w:rPr>
          <w:rStyle w:val="FootnoteReference"/>
        </w:rPr>
        <w:footnoteRef/>
      </w:r>
      <w:r>
        <w:t xml:space="preserve"> </w:t>
      </w:r>
      <w:r>
        <w:tab/>
        <w:t xml:space="preserve">ECCSA, </w:t>
      </w:r>
      <w:r w:rsidRPr="003504FC">
        <w:rPr>
          <w:rStyle w:val="AERtextitalic"/>
        </w:rPr>
        <w:t>SA Electricity Distribution Revenue Reset, SA Power</w:t>
      </w:r>
      <w:r>
        <w:rPr>
          <w:rStyle w:val="AERtextitalic"/>
        </w:rPr>
        <w:t xml:space="preserve"> </w:t>
      </w:r>
      <w:r w:rsidRPr="003504FC">
        <w:rPr>
          <w:rStyle w:val="AERtextitalic"/>
        </w:rPr>
        <w:t>Networks Application, A response</w:t>
      </w:r>
      <w:r>
        <w:t>, December 2014, pp. 80–81.</w:t>
      </w:r>
    </w:p>
  </w:footnote>
  <w:footnote w:id="214">
    <w:p w:rsidR="00363C82" w:rsidRDefault="00363C82" w:rsidP="00B95D2A">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15">
    <w:p w:rsidR="00363C82" w:rsidRDefault="00363C82" w:rsidP="00B95D2A">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16">
    <w:p w:rsidR="00363C82" w:rsidRDefault="00363C82" w:rsidP="00B95D2A">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17">
    <w:p w:rsidR="00363C82" w:rsidRDefault="00363C82" w:rsidP="00B95D2A">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18">
    <w:p w:rsidR="00363C82" w:rsidRDefault="00363C82" w:rsidP="00B95D2A">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19">
    <w:p w:rsidR="00363C82" w:rsidRDefault="00363C82" w:rsidP="00B95D2A">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w:t>
      </w:r>
      <w:r>
        <w:t> </w:t>
      </w:r>
      <w:r w:rsidRPr="00B239C6">
        <w:t>29.</w:t>
      </w:r>
    </w:p>
  </w:footnote>
  <w:footnote w:id="220">
    <w:p w:rsidR="00363C82" w:rsidRDefault="00363C82" w:rsidP="00B95D2A">
      <w:pPr>
        <w:pStyle w:val="FootnoteText"/>
      </w:pPr>
      <w:r>
        <w:rPr>
          <w:rStyle w:val="FootnoteReference"/>
        </w:rPr>
        <w:footnoteRef/>
      </w:r>
      <w:r>
        <w:t xml:space="preserve"> </w:t>
      </w:r>
      <w:r>
        <w:tab/>
        <w:t xml:space="preserve">CCP, </w:t>
      </w:r>
      <w:r>
        <w:rPr>
          <w:rStyle w:val="AERtextitalic"/>
        </w:rPr>
        <w:t>Transmission for the Generators</w:t>
      </w:r>
      <w:r>
        <w:t>, February 2016, pp. 6, 43.</w:t>
      </w:r>
    </w:p>
  </w:footnote>
  <w:footnote w:id="221">
    <w:p w:rsidR="00363C82" w:rsidRDefault="00363C82" w:rsidP="00B95D2A">
      <w:pPr>
        <w:pStyle w:val="FootnoteText"/>
      </w:pPr>
      <w:r>
        <w:rPr>
          <w:rStyle w:val="FootnoteReference"/>
        </w:rPr>
        <w:footnoteRef/>
      </w:r>
      <w:r>
        <w:t xml:space="preserve"> </w:t>
      </w:r>
      <w:r>
        <w:tab/>
        <w:t xml:space="preserve">CCP, </w:t>
      </w:r>
      <w:r>
        <w:rPr>
          <w:rStyle w:val="AERtextitalic"/>
        </w:rPr>
        <w:t>Transmission for the Generators</w:t>
      </w:r>
      <w:r>
        <w:t>, February 2016, p. 43.</w:t>
      </w:r>
    </w:p>
  </w:footnote>
  <w:footnote w:id="222">
    <w:p w:rsidR="00363C82" w:rsidRDefault="00363C82" w:rsidP="00B95D2A">
      <w:pPr>
        <w:pStyle w:val="FootnoteText"/>
      </w:pPr>
      <w:r>
        <w:rPr>
          <w:rStyle w:val="FootnoteReference"/>
        </w:rPr>
        <w:footnoteRef/>
      </w:r>
      <w:r>
        <w:t xml:space="preserve"> </w:t>
      </w:r>
      <w:r>
        <w:tab/>
        <w:t>TasCOSS, Submission on the AER issues paper regarding TasNetworks regulatory proposal, April 2016, p. 2.</w:t>
      </w:r>
    </w:p>
  </w:footnote>
  <w:footnote w:id="223">
    <w:p w:rsidR="00363C82" w:rsidRDefault="00363C82" w:rsidP="00B95D2A">
      <w:pPr>
        <w:pStyle w:val="FootnoteText"/>
      </w:pPr>
      <w:r>
        <w:rPr>
          <w:rStyle w:val="FootnoteReference"/>
        </w:rPr>
        <w:footnoteRef/>
      </w:r>
      <w:r>
        <w:t xml:space="preserve"> </w:t>
      </w:r>
      <w:r>
        <w:tab/>
        <w:t xml:space="preserve">Tasmanian Small Business Council, </w:t>
      </w:r>
      <w:r>
        <w:rPr>
          <w:rStyle w:val="AERtextitalic"/>
        </w:rPr>
        <w:t>Submission on TasNetwork's regulatory proposal</w:t>
      </w:r>
      <w:r>
        <w:t>, May 2016, p. 36.</w:t>
      </w:r>
    </w:p>
  </w:footnote>
  <w:footnote w:id="224">
    <w:p w:rsidR="00363C82" w:rsidRDefault="00363C82" w:rsidP="00B95D2A">
      <w:pPr>
        <w:pStyle w:val="FootnoteText"/>
        <w:rPr>
          <w:rStyle w:val="AERtextitalic"/>
        </w:rPr>
      </w:pPr>
      <w:r>
        <w:rPr>
          <w:rStyle w:val="FootnoteReference"/>
        </w:rPr>
        <w:footnoteRef/>
      </w:r>
      <w:r>
        <w:t xml:space="preserve"> </w:t>
      </w:r>
      <w:r>
        <w:tab/>
        <w:t xml:space="preserve">CCP sub panel 4, </w:t>
      </w:r>
      <w:r>
        <w:rPr>
          <w:rStyle w:val="AERtextitalic"/>
        </w:rPr>
        <w:t xml:space="preserve">Submission on TasNetworks' regulatory proposal, </w:t>
      </w:r>
      <w:r>
        <w:rPr>
          <w:rStyle w:val="AERtextitalic"/>
          <w:i w:val="0"/>
        </w:rPr>
        <w:t>May 2016, pp. 44-45.</w:t>
      </w:r>
      <w:r>
        <w:rPr>
          <w:rStyle w:val="AERtextitalic"/>
        </w:rPr>
        <w:t> </w:t>
      </w:r>
    </w:p>
  </w:footnote>
  <w:footnote w:id="225">
    <w:p w:rsidR="00363C82" w:rsidRDefault="00363C82" w:rsidP="00B95D2A">
      <w:pPr>
        <w:pStyle w:val="FootnoteText"/>
      </w:pPr>
      <w:r>
        <w:rPr>
          <w:rStyle w:val="FootnoteReference"/>
        </w:rPr>
        <w:footnoteRef/>
      </w:r>
      <w:r>
        <w:t xml:space="preserve"> </w:t>
      </w:r>
      <w:r>
        <w:tab/>
        <w:t xml:space="preserve">CCP sub panel 4, </w:t>
      </w:r>
      <w:r w:rsidRPr="00AC29DB">
        <w:rPr>
          <w:rStyle w:val="AERtextitalic"/>
        </w:rPr>
        <w:t>Submission on TasNetworks' revised proposal and AER's draft decision</w:t>
      </w:r>
      <w:r>
        <w:t>, December 2016, pp. 30-31.</w:t>
      </w:r>
    </w:p>
  </w:footnote>
  <w:footnote w:id="226">
    <w:p w:rsidR="00363C82" w:rsidRDefault="00363C82" w:rsidP="00B95D2A">
      <w:pPr>
        <w:pStyle w:val="FootnoteText"/>
      </w:pPr>
      <w:r>
        <w:rPr>
          <w:rStyle w:val="FootnoteReference"/>
        </w:rPr>
        <w:footnoteRef/>
      </w:r>
      <w:r>
        <w:t xml:space="preserve"> </w:t>
      </w:r>
      <w:r>
        <w:tab/>
        <w:t xml:space="preserve">CCP, </w:t>
      </w:r>
      <w:r>
        <w:rPr>
          <w:rStyle w:val="AERtextitalic"/>
        </w:rPr>
        <w:t>Transmission for the Generators II</w:t>
      </w:r>
      <w:r>
        <w:t xml:space="preserve">, September 2016, pp. 6, 43; CCP, </w:t>
      </w:r>
      <w:r>
        <w:rPr>
          <w:rStyle w:val="AERtextitalic"/>
        </w:rPr>
        <w:t>Transmission for the Generators III</w:t>
      </w:r>
      <w:r>
        <w:t>, October 2016, p. 13.</w:t>
      </w:r>
    </w:p>
  </w:footnote>
  <w:footnote w:id="227">
    <w:p w:rsidR="00363C82" w:rsidRDefault="00363C82" w:rsidP="00B95D2A">
      <w:pPr>
        <w:pStyle w:val="FootnoteText"/>
      </w:pPr>
      <w:r>
        <w:rPr>
          <w:rStyle w:val="FootnoteReference"/>
        </w:rPr>
        <w:footnoteRef/>
      </w:r>
      <w:r>
        <w:t xml:space="preserve"> </w:t>
      </w:r>
      <w:r>
        <w:tab/>
        <w:t xml:space="preserve">Consumer Challenge Panel Sub Panel 4 (David Headberry), </w:t>
      </w:r>
      <w:r w:rsidRPr="00AC29DB">
        <w:rPr>
          <w:rStyle w:val="AERtextitalic"/>
        </w:rPr>
        <w:t>Response to the AER's Draft Decision and Revised Proposal to Tasmania's electricity distribution network service provider for a revenue reset for the 2017-19 regulatory period</w:t>
      </w:r>
      <w:r>
        <w:t>, 25 November 2016, p. 28.</w:t>
      </w:r>
    </w:p>
  </w:footnote>
  <w:footnote w:id="228">
    <w:p w:rsidR="00363C82" w:rsidRDefault="00363C82" w:rsidP="00B95D2A">
      <w:pPr>
        <w:pStyle w:val="FootnoteText"/>
      </w:pPr>
      <w:r>
        <w:rPr>
          <w:rStyle w:val="FootnoteReference"/>
        </w:rPr>
        <w:footnoteRef/>
      </w:r>
      <w:r>
        <w:t xml:space="preserve"> </w:t>
      </w:r>
      <w:r>
        <w:tab/>
        <w:t xml:space="preserve">Tasmanian Small Business Council, </w:t>
      </w:r>
      <w:r w:rsidRPr="00AC29DB">
        <w:rPr>
          <w:rStyle w:val="AERtextitalic"/>
        </w:rPr>
        <w:t>Submission: TasNetworks Distribution - Draft Regulatory and Tariff Structure Statement Determination,</w:t>
      </w:r>
      <w:r>
        <w:t xml:space="preserve"> November 2016, p. 9.</w:t>
      </w:r>
    </w:p>
  </w:footnote>
  <w:footnote w:id="229">
    <w:p w:rsidR="00363C82" w:rsidRDefault="00363C82" w:rsidP="00B95D2A">
      <w:pPr>
        <w:pStyle w:val="FootnoteText"/>
      </w:pPr>
      <w:r>
        <w:rPr>
          <w:rStyle w:val="FootnoteReference"/>
        </w:rPr>
        <w:footnoteRef/>
      </w:r>
      <w:r>
        <w:t xml:space="preserve"> </w:t>
      </w:r>
      <w:r>
        <w:tab/>
        <w:t xml:space="preserve">Consumer Challenge Panel sub Panel 4 (CCP4), </w:t>
      </w:r>
      <w:r w:rsidRPr="00AC29DB">
        <w:rPr>
          <w:rStyle w:val="AERtextitalic"/>
        </w:rPr>
        <w:t>Response to the AER Draft decision and Revised Proposal to Powerlink's electricity transmission network for a revenue reset for the 2017-2019 regulatory period</w:t>
      </w:r>
      <w:r>
        <w:t>, 19 December 2016, p. 3.</w:t>
      </w:r>
    </w:p>
  </w:footnote>
  <w:footnote w:id="230">
    <w:p w:rsidR="00363C82" w:rsidRDefault="00363C82" w:rsidP="00B95D2A">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3547F6">
        <w:rPr>
          <w:rStyle w:val="AERtextitalic"/>
          <w:i w:val="0"/>
        </w:rPr>
        <w:t>2 December 2016, p. 17.</w:t>
      </w:r>
    </w:p>
  </w:footnote>
  <w:footnote w:id="231">
    <w:p w:rsidR="00363C82" w:rsidRDefault="00363C82" w:rsidP="00B95D2A">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EF4AD5">
        <w:rPr>
          <w:rStyle w:val="AERtextitalic"/>
          <w:i w:val="0"/>
        </w:rPr>
        <w:t xml:space="preserve">2 December 2016, </w:t>
      </w:r>
      <w:r w:rsidRPr="009B20EA">
        <w:rPr>
          <w:rStyle w:val="AERtextitalic"/>
          <w:i w:val="0"/>
        </w:rPr>
        <w:t>p</w:t>
      </w:r>
      <w:r w:rsidRPr="003547F6">
        <w:rPr>
          <w:rStyle w:val="AERtextitalic"/>
          <w:i w:val="0"/>
        </w:rPr>
        <w:t>p</w:t>
      </w:r>
      <w:r w:rsidRPr="009B20EA">
        <w:rPr>
          <w:rStyle w:val="AERtextitalic"/>
          <w:i w:val="0"/>
        </w:rPr>
        <w:t>. </w:t>
      </w:r>
      <w:r w:rsidRPr="003547F6">
        <w:rPr>
          <w:rStyle w:val="AERtextitalic"/>
          <w:i w:val="0"/>
        </w:rPr>
        <w:t>16-</w:t>
      </w:r>
      <w:r w:rsidRPr="009B20EA">
        <w:rPr>
          <w:rStyle w:val="AERtextitalic"/>
          <w:i w:val="0"/>
        </w:rPr>
        <w:t>17.</w:t>
      </w:r>
    </w:p>
  </w:footnote>
  <w:footnote w:id="232">
    <w:p w:rsidR="00363C82" w:rsidRDefault="00363C82" w:rsidP="00B95D2A">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 xml:space="preserve">January 2016; Frontier, </w:t>
      </w:r>
      <w:r>
        <w:rPr>
          <w:rStyle w:val="AERtextitalic"/>
        </w:rPr>
        <w:t>Regulatory estimation of gamma report prepared form Powerlink</w:t>
      </w:r>
      <w:r w:rsidRPr="00C2259D">
        <w:t xml:space="preserve">, </w:t>
      </w:r>
      <w:r>
        <w:t xml:space="preserve">January 2016; Frontier Economics, </w:t>
      </w:r>
      <w:r>
        <w:rPr>
          <w:rStyle w:val="AERtextitalic"/>
        </w:rPr>
        <w:t>Regulatory An updated dividend drop-off estimate of theta</w:t>
      </w:r>
      <w:r>
        <w:t xml:space="preserve">, September 2016 and Frontier Economics, </w:t>
      </w:r>
      <w:r>
        <w:rPr>
          <w:rStyle w:val="AERtextitalic"/>
        </w:rPr>
        <w:t>Issues in the estimation of gamma</w:t>
      </w:r>
      <w:r>
        <w:t>, September 2016.</w:t>
      </w:r>
    </w:p>
  </w:footnote>
  <w:footnote w:id="233">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34">
    <w:p w:rsidR="00363C82" w:rsidRPr="0036034D"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6; M. Lally, </w:t>
      </w:r>
      <w:r w:rsidRPr="00AC29DB">
        <w:rPr>
          <w:rStyle w:val="AERtextitalic"/>
        </w:rPr>
        <w:t>Issues in the estimation of gamma</w:t>
      </w:r>
      <w:r w:rsidRPr="00AC29DB">
        <w:rPr>
          <w:rStyle w:val="AERtextitalic"/>
          <w:i w:val="0"/>
        </w:rPr>
        <w:t xml:space="preserve">, </w:t>
      </w:r>
      <w:r w:rsidRPr="004423C9">
        <w:rPr>
          <w:rStyle w:val="AERtextitalic"/>
          <w:i w:val="0"/>
        </w:rPr>
        <w:t xml:space="preserve">April </w:t>
      </w:r>
      <w:r w:rsidRPr="00AC29DB">
        <w:rPr>
          <w:rStyle w:val="AERtextitalic"/>
          <w:i w:val="0"/>
        </w:rPr>
        <w:t>2017</w:t>
      </w:r>
      <w:r w:rsidRPr="00AC26C8">
        <w:rPr>
          <w:rStyle w:val="AERtextitalic"/>
          <w:i w:val="0"/>
        </w:rPr>
        <w:t>, pp. 27, 29.</w:t>
      </w:r>
    </w:p>
  </w:footnote>
  <w:footnote w:id="235">
    <w:p w:rsidR="00363C82" w:rsidRDefault="00363C82" w:rsidP="00B95D2A">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36">
    <w:p w:rsidR="00363C82" w:rsidRDefault="00363C82" w:rsidP="00B95D2A">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37">
    <w:p w:rsidR="00363C82" w:rsidRDefault="00363C82" w:rsidP="00B95D2A">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38">
    <w:p w:rsidR="00363C82" w:rsidRPr="00EB47DF" w:rsidRDefault="00363C82" w:rsidP="00B95D2A">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39">
    <w:p w:rsidR="00363C82" w:rsidRDefault="00363C82" w:rsidP="00B95D2A">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40">
    <w:p w:rsidR="00363C82" w:rsidRDefault="00363C82" w:rsidP="00B95D2A">
      <w:pPr>
        <w:pStyle w:val="FootnoteText"/>
      </w:pPr>
      <w:r>
        <w:rPr>
          <w:rStyle w:val="FootnoteReference"/>
        </w:rPr>
        <w:footnoteRef/>
      </w:r>
      <w:r>
        <w:t xml:space="preserve"> </w:t>
      </w:r>
      <w:r>
        <w:tab/>
      </w:r>
      <w:r w:rsidRPr="00712BC2">
        <w:t xml:space="preserve">SFG, </w:t>
      </w:r>
      <w:r>
        <w:rPr>
          <w:rStyle w:val="AERtextitalic"/>
        </w:rPr>
        <w:t>Estimating gamma for regulatory purposes</w:t>
      </w:r>
      <w:r>
        <w:t xml:space="preserve">, February 2015 and Frontier Economics, </w:t>
      </w:r>
      <w:r>
        <w:rPr>
          <w:rStyle w:val="AERtextitalic"/>
        </w:rPr>
        <w:t>Regulatory estimation of gamma report prepared for Powerlink</w:t>
      </w:r>
      <w:r>
        <w:t>, January 2016, p. 10.</w:t>
      </w:r>
    </w:p>
  </w:footnote>
  <w:footnote w:id="241">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 xml:space="preserve">January 2016; Frontier Economics, </w:t>
      </w:r>
      <w:r>
        <w:rPr>
          <w:rStyle w:val="AERtextitalic"/>
        </w:rPr>
        <w:t>Regulatory An updated dividend drop-off estimate of theta</w:t>
      </w:r>
      <w:r>
        <w:t xml:space="preserve">, September 2016 and Frontier Economics, </w:t>
      </w:r>
      <w:r w:rsidRPr="00DB750D">
        <w:rPr>
          <w:rStyle w:val="AERtextitalic"/>
        </w:rPr>
        <w:t>Issues in the estimation of gamma</w:t>
      </w:r>
      <w:r w:rsidRPr="00DB750D">
        <w:t>, September 2016.</w:t>
      </w:r>
    </w:p>
  </w:footnote>
  <w:footnote w:id="242">
    <w:p w:rsidR="00363C82" w:rsidRPr="00664394"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xml:space="preserve">, April </w:t>
      </w:r>
      <w:r w:rsidRPr="00664394">
        <w:t>2017</w:t>
      </w:r>
      <w:r w:rsidRPr="00F5204A">
        <w:rPr>
          <w:rStyle w:val="AERtextitalic"/>
          <w:i w:val="0"/>
        </w:rPr>
        <w:t>, p. 13.</w:t>
      </w:r>
    </w:p>
  </w:footnote>
  <w:footnote w:id="243">
    <w:p w:rsidR="00363C82" w:rsidRDefault="00363C82" w:rsidP="00B95D2A">
      <w:pPr>
        <w:pStyle w:val="FootnoteText"/>
      </w:pPr>
      <w:r>
        <w:rPr>
          <w:rStyle w:val="FootnoteReference"/>
        </w:rPr>
        <w:footnoteRef/>
      </w:r>
      <w:r>
        <w:t xml:space="preserve"> </w:t>
      </w:r>
      <w:r>
        <w:tab/>
      </w:r>
      <w:r w:rsidRPr="00227D75">
        <w:t>Independent Pricing and Regulatory Tribunal</w:t>
      </w:r>
      <w:r>
        <w:t xml:space="preserve">, </w:t>
      </w:r>
      <w:r w:rsidRPr="00AC29DB">
        <w:rPr>
          <w:rStyle w:val="AERtextitalic"/>
        </w:rPr>
        <w:t xml:space="preserve">Sydney Desalination Plant </w:t>
      </w:r>
      <w:r w:rsidRPr="006D36C8">
        <w:rPr>
          <w:rStyle w:val="AERtextitalic"/>
        </w:rPr>
        <w:t>Revi</w:t>
      </w:r>
      <w:r w:rsidRPr="00227D75">
        <w:rPr>
          <w:rStyle w:val="AERtextitalic"/>
        </w:rPr>
        <w:t>ew</w:t>
      </w:r>
      <w:r>
        <w:rPr>
          <w:rStyle w:val="AERtextitalic"/>
        </w:rPr>
        <w:t xml:space="preserve"> of prices from 1 July 2017 to June 2022</w:t>
      </w:r>
      <w:r w:rsidRPr="00227D75">
        <w:rPr>
          <w:rStyle w:val="AERtextitalic"/>
        </w:rPr>
        <w:t>—</w:t>
      </w:r>
      <w:r>
        <w:rPr>
          <w:rStyle w:val="AERtextitalic"/>
        </w:rPr>
        <w:t>Draft Report</w:t>
      </w:r>
      <w:r w:rsidRPr="00227D75">
        <w:rPr>
          <w:rStyle w:val="AERtextitalic"/>
        </w:rPr>
        <w:t xml:space="preserve"> decision</w:t>
      </w:r>
      <w:r>
        <w:t xml:space="preserve">, March 2017, p. 94. Note IPART completed a major review of WACC in 2013 (see: </w:t>
      </w:r>
      <w:r w:rsidRPr="00227D75">
        <w:t>Independent Pricing and Regulatory Tribunal</w:t>
      </w:r>
      <w:r>
        <w:t xml:space="preserve">, </w:t>
      </w:r>
      <w:r w:rsidRPr="00AC29DB">
        <w:rPr>
          <w:rStyle w:val="AERtextitalic"/>
        </w:rPr>
        <w:t>Review of WACC methodology-Final Report</w:t>
      </w:r>
      <w:r>
        <w:t>, December 2013, p. 17</w:t>
      </w:r>
      <w:hyperlink w:history="1"/>
      <w:r>
        <w:t>).</w:t>
      </w:r>
    </w:p>
  </w:footnote>
  <w:footnote w:id="244">
    <w:p w:rsidR="00363C82" w:rsidRDefault="00363C82" w:rsidP="00B95D2A">
      <w:pPr>
        <w:pStyle w:val="FootnoteText"/>
      </w:pPr>
      <w:r>
        <w:rPr>
          <w:rStyle w:val="FootnoteReference"/>
        </w:rPr>
        <w:footnoteRef/>
      </w:r>
      <w:r>
        <w:t xml:space="preserve"> </w:t>
      </w:r>
      <w:r>
        <w:tab/>
        <w:t>Essential Services Commission</w:t>
      </w:r>
      <w:r w:rsidRPr="00922C37">
        <w:t xml:space="preserve">, </w:t>
      </w:r>
      <w:r>
        <w:rPr>
          <w:rStyle w:val="AERtextitalic"/>
        </w:rPr>
        <w:t xml:space="preserve">Melbourne Water price Review 2016-Final </w:t>
      </w:r>
      <w:r w:rsidRPr="00922C37">
        <w:rPr>
          <w:rStyle w:val="AERtextitalic"/>
        </w:rPr>
        <w:t>decision</w:t>
      </w:r>
      <w:r w:rsidRPr="00922C37">
        <w:t xml:space="preserve">, </w:t>
      </w:r>
      <w:r>
        <w:t>June 2016, p. 53</w:t>
      </w:r>
      <w:r w:rsidRPr="00922C37">
        <w:t>.</w:t>
      </w:r>
    </w:p>
  </w:footnote>
  <w:footnote w:id="245">
    <w:p w:rsidR="00363C82" w:rsidRDefault="00363C82" w:rsidP="00B95D2A">
      <w:pPr>
        <w:pStyle w:val="FootnoteText"/>
      </w:pPr>
      <w:r>
        <w:rPr>
          <w:rStyle w:val="FootnoteReference"/>
        </w:rPr>
        <w:footnoteRef/>
      </w:r>
      <w:r>
        <w:t xml:space="preserve"> </w:t>
      </w:r>
      <w:r>
        <w:tab/>
        <w:t xml:space="preserve">Queensland Competition Authority, </w:t>
      </w:r>
      <w:r>
        <w:rPr>
          <w:rStyle w:val="AERtextitalic"/>
        </w:rPr>
        <w:t>DBCT Management's 2015 draft access undertaking - Final decision</w:t>
      </w:r>
      <w:r>
        <w:t>, November 2016, pp. 107-121, 123, 155.</w:t>
      </w:r>
    </w:p>
  </w:footnote>
  <w:footnote w:id="246">
    <w:p w:rsidR="00363C82" w:rsidRDefault="00363C82" w:rsidP="00B95D2A">
      <w:pPr>
        <w:pStyle w:val="FootnoteText"/>
      </w:pPr>
      <w:r>
        <w:rPr>
          <w:rStyle w:val="FootnoteReference"/>
        </w:rPr>
        <w:footnoteRef/>
      </w:r>
      <w:r>
        <w:t xml:space="preserve"> </w:t>
      </w:r>
      <w:r>
        <w:tab/>
        <w:t xml:space="preserve">Economic Regulation Authority, </w:t>
      </w:r>
      <w:r>
        <w:rPr>
          <w:rStyle w:val="AERtextitalic"/>
        </w:rPr>
        <w:t>Appendix 5 - Gamma: Proposed Revisions to the Access Arrangement for the Dampier to Bunbury Natural Gas pipeline 2016-2020, Final decision</w:t>
      </w:r>
      <w:r>
        <w:t>, 30 June 2016, p. 48.</w:t>
      </w:r>
    </w:p>
  </w:footnote>
  <w:footnote w:id="247">
    <w:p w:rsidR="00363C82" w:rsidRDefault="00363C82" w:rsidP="00B95D2A"/>
  </w:footnote>
  <w:footnote w:id="248">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49">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175</w:t>
      </w:r>
      <w:r w:rsidRPr="008F5D24">
        <w:t>.</w:t>
      </w:r>
    </w:p>
  </w:footnote>
  <w:footnote w:id="250">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51">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52">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253">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54">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186</w:t>
      </w:r>
      <w:r w:rsidRPr="008F5D24">
        <w:t>.</w:t>
      </w:r>
    </w:p>
  </w:footnote>
  <w:footnote w:id="255">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188</w:t>
      </w:r>
      <w:r w:rsidRPr="008F5D24">
        <w:t>.</w:t>
      </w:r>
    </w:p>
  </w:footnote>
  <w:footnote w:id="25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190</w:t>
      </w:r>
      <w:r w:rsidRPr="008F5D24">
        <w:t>.</w:t>
      </w:r>
    </w:p>
  </w:footnote>
  <w:footnote w:id="257">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258">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195</w:t>
      </w:r>
      <w:r w:rsidRPr="008F5D24">
        <w:t>.</w:t>
      </w:r>
    </w:p>
  </w:footnote>
  <w:footnote w:id="259">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170</w:t>
      </w:r>
      <w:r w:rsidRPr="008F5D24">
        <w:t>.</w:t>
      </w:r>
    </w:p>
  </w:footnote>
  <w:footnote w:id="260">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171</w:t>
      </w:r>
      <w:r w:rsidRPr="008F5D24">
        <w:t>.</w:t>
      </w:r>
    </w:p>
  </w:footnote>
  <w:footnote w:id="261">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176</w:t>
      </w:r>
      <w:r w:rsidRPr="008F5D24">
        <w:t>.</w:t>
      </w:r>
    </w:p>
  </w:footnote>
  <w:footnote w:id="262">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138</w:t>
      </w:r>
      <w:r w:rsidRPr="008F5D24">
        <w:t>.</w:t>
      </w:r>
    </w:p>
  </w:footnote>
  <w:footnote w:id="263">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64">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196</w:t>
      </w:r>
      <w:r w:rsidRPr="008F5D24">
        <w:t>.</w:t>
      </w:r>
    </w:p>
  </w:footnote>
  <w:footnote w:id="265">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6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r w:rsidRPr="008F5D24">
        <w:t>.</w:t>
      </w:r>
    </w:p>
  </w:footnote>
  <w:footnote w:id="267">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68">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146</w:t>
      </w:r>
      <w:r w:rsidRPr="008F5D24">
        <w:t>.</w:t>
      </w:r>
    </w:p>
  </w:footnote>
  <w:footnote w:id="269">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110</w:t>
      </w:r>
      <w:r w:rsidRPr="008F5D24">
        <w:t>.</w:t>
      </w:r>
    </w:p>
  </w:footnote>
  <w:footnote w:id="270">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112</w:t>
      </w:r>
      <w:r w:rsidRPr="008F5D24">
        <w:t>.</w:t>
      </w:r>
    </w:p>
  </w:footnote>
  <w:footnote w:id="271">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159</w:t>
      </w:r>
      <w:r w:rsidRPr="008F5D24">
        <w:t>.</w:t>
      </w:r>
    </w:p>
  </w:footnote>
  <w:footnote w:id="272">
    <w:p w:rsidR="00363C82" w:rsidRDefault="00363C82" w:rsidP="00B95D2A">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73">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74">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75">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76">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77">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78">
    <w:p w:rsidR="00363C82" w:rsidRDefault="00363C82" w:rsidP="00B95D2A">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7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80">
    <w:p w:rsidR="00363C82" w:rsidRPr="00434A2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541886">
        <w:rPr>
          <w:rStyle w:val="AERtextitalic"/>
          <w:i w:val="0"/>
        </w:rPr>
        <w:t>, p. 13.</w:t>
      </w:r>
    </w:p>
  </w:footnote>
  <w:footnote w:id="28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82">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83">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84">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85">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86">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87">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4.</w:t>
      </w:r>
    </w:p>
  </w:footnote>
  <w:footnote w:id="288">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8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90">
    <w:p w:rsidR="00363C82" w:rsidRPr="00395D01" w:rsidRDefault="00363C82" w:rsidP="00B95D2A">
      <w:pPr>
        <w:pStyle w:val="FootnoteText"/>
      </w:pPr>
      <w:r>
        <w:rPr>
          <w:rStyle w:val="FootnoteReference"/>
        </w:rPr>
        <w:footnoteRef/>
      </w:r>
      <w:r>
        <w:t xml:space="preserve"> </w:t>
      </w:r>
      <w:r>
        <w:tab/>
      </w:r>
      <w:r w:rsidRPr="008F5D24">
        <w:t xml:space="preserve">Australian Competition Tribunal, </w:t>
      </w:r>
      <w:r w:rsidRPr="00276CAA">
        <w:rPr>
          <w:rStyle w:val="AERtextitalic"/>
        </w:rPr>
        <w:t>Application by Public Interest Advocacy Centre Ltd and Ausgrid [2016] ACompT 1</w:t>
      </w:r>
      <w:r w:rsidRPr="008F5D24">
        <w:t>, 26 February 2016, paras. 1048, 1090 and 1095.</w:t>
      </w:r>
    </w:p>
  </w:footnote>
  <w:footnote w:id="291">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2">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3">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94">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95">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9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97">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98">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1101-1103.</w:t>
      </w:r>
    </w:p>
  </w:footnote>
  <w:footnote w:id="299">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300">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301">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302">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303">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04">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305">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306">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307">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308">
    <w:p w:rsidR="00363C82" w:rsidRPr="00395D01"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309">
    <w:p w:rsidR="00363C82" w:rsidRDefault="00363C82" w:rsidP="00B95D2A">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310">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311">
    <w:p w:rsidR="00363C82" w:rsidRDefault="00363C82" w:rsidP="00B95D2A">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312">
    <w:p w:rsidR="00363C82" w:rsidRDefault="00363C82" w:rsidP="00B95D2A">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313">
    <w:p w:rsidR="00363C82" w:rsidRDefault="00363C82" w:rsidP="00B95D2A">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314">
    <w:p w:rsidR="00363C82" w:rsidRDefault="00363C82" w:rsidP="00B95D2A">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315">
    <w:p w:rsidR="00363C82" w:rsidRDefault="00363C82" w:rsidP="00B95D2A">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316">
    <w:p w:rsidR="00363C82" w:rsidRDefault="00363C82" w:rsidP="00B95D2A">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317">
    <w:p w:rsidR="00363C82" w:rsidRDefault="00363C82" w:rsidP="00B95D2A">
      <w:pPr>
        <w:pStyle w:val="FootnoteText"/>
      </w:pPr>
      <w:r>
        <w:rPr>
          <w:rStyle w:val="FootnoteReference"/>
        </w:rPr>
        <w:footnoteRef/>
      </w:r>
      <w:r>
        <w:t xml:space="preserve"> </w:t>
      </w:r>
      <w:r>
        <w:tab/>
      </w:r>
      <w:r w:rsidRPr="003E1CE7">
        <w:t xml:space="preserve">AusNet Transmission, </w:t>
      </w:r>
      <w:r w:rsidRPr="003E1CE7">
        <w:rPr>
          <w:rStyle w:val="AERtextitalic"/>
        </w:rPr>
        <w:t>Transmission Revenue Review 2017-2022</w:t>
      </w:r>
      <w:r w:rsidRPr="003E1CE7">
        <w:t>, October 2015, p</w:t>
      </w:r>
      <w:r>
        <w:t>p</w:t>
      </w:r>
      <w:r w:rsidRPr="003E1CE7">
        <w:t>. </w:t>
      </w:r>
      <w:r>
        <w:t xml:space="preserve">301, 303, 306; 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318">
    <w:p w:rsidR="00363C82" w:rsidRDefault="00363C82" w:rsidP="00B95D2A">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319">
    <w:p w:rsidR="00363C82" w:rsidRDefault="00363C82" w:rsidP="00B95D2A">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320">
    <w:p w:rsidR="00363C82" w:rsidRDefault="00363C82" w:rsidP="00B95D2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Ausgrid, </w:t>
      </w:r>
      <w:r w:rsidRPr="00D75F7A">
        <w:rPr>
          <w:rStyle w:val="AERtextitalic"/>
        </w:rPr>
        <w:t>Ausgrid's revised proposal on gamma</w:t>
      </w:r>
      <w:r>
        <w:t xml:space="preserve">, January 2015; Directlink, </w:t>
      </w:r>
      <w:r w:rsidRPr="0000771B">
        <w:rPr>
          <w:rStyle w:val="AERtextitalic"/>
        </w:rPr>
        <w:t>Directlink submission on gamma (updated)</w:t>
      </w:r>
      <w:r>
        <w:t xml:space="preserve">, January 2015; Endeavour Energy, </w:t>
      </w:r>
      <w:r w:rsidRPr="00DF3162">
        <w:rPr>
          <w:rStyle w:val="AERtextitalic"/>
        </w:rPr>
        <w:t>Endeavour Energy's response to the AER draft decision re gamma</w:t>
      </w:r>
      <w:r>
        <w:t xml:space="preserve">, January 2015; Essential Energy, </w:t>
      </w:r>
      <w:r w:rsidRPr="000E181F">
        <w:rPr>
          <w:rStyle w:val="AERtextitalic"/>
        </w:rPr>
        <w:t>Essential's response to AER draft decision re gamma</w:t>
      </w:r>
      <w:r>
        <w:t xml:space="preserve">, January 2015; and JGN, </w:t>
      </w:r>
      <w:r w:rsidRPr="000E181F">
        <w:rPr>
          <w:rStyle w:val="AERtextitalic"/>
        </w:rPr>
        <w:t>Gamma - response to the draft decision</w:t>
      </w:r>
      <w:r>
        <w:t xml:space="preserve">, February 2015; TransGrid, </w:t>
      </w:r>
      <w:r>
        <w:rPr>
          <w:rStyle w:val="AERtextitalic"/>
        </w:rPr>
        <w:t>TransGrid</w:t>
      </w:r>
      <w:r w:rsidRPr="00B53917">
        <w:rPr>
          <w:rStyle w:val="AERtextitalic"/>
        </w:rPr>
        <w:t>'s approach to gamma</w:t>
      </w:r>
      <w:r>
        <w:t>, May 2014.</w:t>
      </w:r>
    </w:p>
  </w:footnote>
  <w:footnote w:id="321">
    <w:p w:rsidR="00363C82" w:rsidRDefault="00363C82" w:rsidP="00B95D2A">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Ergon, </w:t>
      </w:r>
      <w:r w:rsidRPr="00F2175D">
        <w:rPr>
          <w:rStyle w:val="Emphasis"/>
        </w:rPr>
        <w:t>Submission on value of imputation credits (gamma)</w:t>
      </w:r>
      <w:r>
        <w:t>, July 2015</w:t>
      </w:r>
      <w:r w:rsidRPr="008D7509">
        <w:t xml:space="preserve">; </w:t>
      </w:r>
      <w:r>
        <w:t xml:space="preserve">Energex, </w:t>
      </w:r>
      <w:r w:rsidRPr="00C94140">
        <w:t>S</w:t>
      </w:r>
      <w:r w:rsidRPr="00F2175D">
        <w:rPr>
          <w:rStyle w:val="Emphasis"/>
        </w:rPr>
        <w:t>ubmission on Energex's regulatory proposal 2015-20 and AER issues paper - attachment 2</w:t>
      </w:r>
      <w:r>
        <w:t>, January 2015.</w:t>
      </w:r>
    </w:p>
  </w:footnote>
  <w:footnote w:id="322">
    <w:p w:rsidR="00363C82" w:rsidRDefault="00363C82" w:rsidP="00B95D2A">
      <w:pPr>
        <w:pStyle w:val="FootnoteText"/>
      </w:pPr>
      <w:r>
        <w:rPr>
          <w:rStyle w:val="FootnoteReference"/>
        </w:rPr>
        <w:footnoteRef/>
      </w:r>
      <w:r>
        <w:t xml:space="preserve"> </w:t>
      </w:r>
      <w:r>
        <w:tab/>
        <w:t xml:space="preserve">AusNet Services, </w:t>
      </w:r>
      <w:r w:rsidRPr="00F2175D">
        <w:rPr>
          <w:rStyle w:val="Emphasis"/>
        </w:rPr>
        <w:t>2016-20 Regulatory Proposal</w:t>
      </w:r>
      <w:r>
        <w:t>, April 2015; United Energy</w:t>
      </w:r>
      <w:r w:rsidRPr="00F2175D">
        <w:rPr>
          <w:rStyle w:val="Emphasis"/>
        </w:rPr>
        <w:t>, Assessment of the Value of Imputation Credits - Gamma, Proposal for 2016 to 2020</w:t>
      </w:r>
      <w:r>
        <w:t xml:space="preserve">, April 2015; CitiPower, </w:t>
      </w:r>
      <w:r w:rsidRPr="00F2175D">
        <w:rPr>
          <w:rStyle w:val="Emphasis"/>
        </w:rPr>
        <w:t>Appendix J - Gamma</w:t>
      </w:r>
      <w:r>
        <w:t xml:space="preserve">, April 2015; Powercor, </w:t>
      </w:r>
      <w:r w:rsidRPr="00F2175D">
        <w:rPr>
          <w:rStyle w:val="Emphasis"/>
        </w:rPr>
        <w:t>Appendix J -</w:t>
      </w:r>
      <w:r w:rsidRPr="00C94140">
        <w:t xml:space="preserve"> </w:t>
      </w:r>
      <w:r w:rsidRPr="00F2175D">
        <w:rPr>
          <w:rStyle w:val="Emphasis"/>
        </w:rPr>
        <w:t>Gamma</w:t>
      </w:r>
      <w:r>
        <w:t xml:space="preserve">, April 2015; Jemena Electricity, </w:t>
      </w:r>
      <w:r w:rsidRPr="00F2175D">
        <w:rPr>
          <w:rStyle w:val="Emphasis"/>
        </w:rPr>
        <w:t>Attachment 06-06 Gamma proposal</w:t>
      </w:r>
      <w:r>
        <w:t xml:space="preserve">, April 2015; ActewAGL Distribution, </w:t>
      </w:r>
      <w:r w:rsidRPr="00F2175D">
        <w:rPr>
          <w:rStyle w:val="Emphasis"/>
        </w:rPr>
        <w:t>Attachment 8 Detailed gamma proposal</w:t>
      </w:r>
      <w:r>
        <w:t xml:space="preserve">; Australian Gas Networks, </w:t>
      </w:r>
      <w:r w:rsidRPr="00F2175D">
        <w:rPr>
          <w:rStyle w:val="Emphasis"/>
        </w:rPr>
        <w:t>Attachment 11.2 Value of Imputation Credits</w:t>
      </w:r>
      <w:r>
        <w:t>, July 2015.</w:t>
      </w:r>
    </w:p>
  </w:footnote>
  <w:footnote w:id="323">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TasNetworks, </w:t>
      </w:r>
      <w:r>
        <w:rPr>
          <w:rStyle w:val="AERtextitalic"/>
        </w:rPr>
        <w:t xml:space="preserve">Tasmanian Distribution Revised Regulatory Proposal, </w:t>
      </w:r>
      <w:r w:rsidRPr="00541886">
        <w:rPr>
          <w:rStyle w:val="AERtextitalic"/>
          <w:i w:val="0"/>
        </w:rPr>
        <w:t>2 December 2016;</w:t>
      </w:r>
      <w:r>
        <w:rPr>
          <w:rStyle w:val="AERtextitalic"/>
        </w:rPr>
        <w:t xml:space="preserve"> </w:t>
      </w:r>
      <w:r>
        <w:t xml:space="preserve">Powerlink, </w:t>
      </w:r>
      <w:r>
        <w:rPr>
          <w:rStyle w:val="AERtextitalic"/>
        </w:rPr>
        <w:t xml:space="preserve">Revised Revenue Proposal, </w:t>
      </w:r>
      <w:r w:rsidRPr="00541886">
        <w:rPr>
          <w:rStyle w:val="AERtextitalic"/>
          <w:i w:val="0"/>
        </w:rPr>
        <w:t>1 December 2016.</w:t>
      </w:r>
    </w:p>
  </w:footnote>
  <w:footnote w:id="324">
    <w:p w:rsidR="00363C82" w:rsidRDefault="00363C82" w:rsidP="00B95D2A">
      <w:pPr>
        <w:pStyle w:val="FootnoteText"/>
      </w:pPr>
      <w:r>
        <w:rPr>
          <w:rStyle w:val="FootnoteReference"/>
        </w:rPr>
        <w:footnoteRef/>
      </w:r>
      <w:r>
        <w:t xml:space="preserve"> </w:t>
      </w:r>
      <w:r>
        <w:tab/>
        <w:t xml:space="preserve">TasNetworks, </w:t>
      </w:r>
      <w:r>
        <w:rPr>
          <w:rStyle w:val="AERtextitalic"/>
        </w:rPr>
        <w:t xml:space="preserve">Tasmanian Distribution Revised Regulatory Proposal, </w:t>
      </w:r>
      <w:r w:rsidRPr="00541886">
        <w:rPr>
          <w:rStyle w:val="AERtextitalic"/>
          <w:i w:val="0"/>
        </w:rPr>
        <w:t>2 December 2016, p. 17</w:t>
      </w:r>
      <w:r>
        <w:rPr>
          <w:rStyle w:val="AERtextitalic"/>
        </w:rPr>
        <w:t xml:space="preserve">; </w:t>
      </w:r>
      <w:r>
        <w:t xml:space="preserve">Powerlink, </w:t>
      </w:r>
      <w:r>
        <w:rPr>
          <w:rStyle w:val="AERtextitalic"/>
        </w:rPr>
        <w:t>Revised Revenue Proposal,</w:t>
      </w:r>
      <w:r w:rsidRPr="004744FB">
        <w:rPr>
          <w:rStyle w:val="AERtextitalic"/>
        </w:rPr>
        <w:t xml:space="preserve"> </w:t>
      </w:r>
      <w:r w:rsidRPr="00541886">
        <w:rPr>
          <w:rStyle w:val="AERtextitalic"/>
          <w:i w:val="0"/>
        </w:rPr>
        <w:t xml:space="preserve">1 December 2016, </w:t>
      </w:r>
      <w:r w:rsidRPr="00823068">
        <w:rPr>
          <w:rStyle w:val="AERtextitalic"/>
          <w:i w:val="0"/>
        </w:rPr>
        <w:t>p</w:t>
      </w:r>
      <w:r w:rsidRPr="00023359">
        <w:rPr>
          <w:rStyle w:val="AERtextitalic"/>
          <w:i w:val="0"/>
        </w:rPr>
        <w:t>p. 10</w:t>
      </w:r>
      <w:r w:rsidRPr="00CB3A71">
        <w:rPr>
          <w:rStyle w:val="AERtextitalic"/>
          <w:i w:val="0"/>
        </w:rPr>
        <w:t>-11.</w:t>
      </w:r>
    </w:p>
  </w:footnote>
  <w:footnote w:id="325">
    <w:p w:rsidR="00363C82" w:rsidRDefault="00363C82" w:rsidP="00B95D2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326">
    <w:p w:rsidR="00363C82" w:rsidRDefault="00363C82" w:rsidP="00B95D2A">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327">
    <w:p w:rsidR="00363C82" w:rsidRDefault="00363C82" w:rsidP="00B95D2A">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w:t>
      </w:r>
      <w:r w:rsidRPr="00F2175D">
        <w:rPr>
          <w:rStyle w:val="Emphasis"/>
        </w:rPr>
        <w:t>Submission on value of imputation credits (gamma)</w:t>
      </w:r>
      <w:r>
        <w:t xml:space="preserve">, July 2015, p. 7; Frontier Economics, </w:t>
      </w:r>
      <w:r w:rsidRPr="00F2175D">
        <w:rPr>
          <w:rStyle w:val="Emphasis"/>
        </w:rPr>
        <w:t>An appropriate regulatory estimate of gamma</w:t>
      </w:r>
      <w:r>
        <w:t>, p. 8, June 2015.</w:t>
      </w:r>
    </w:p>
  </w:footnote>
  <w:footnote w:id="328">
    <w:p w:rsidR="00363C82" w:rsidRDefault="00363C82" w:rsidP="00B95D2A">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w:t>
      </w:r>
      <w:r>
        <w:t>.</w:t>
      </w:r>
    </w:p>
  </w:footnote>
  <w:footnote w:id="329">
    <w:p w:rsidR="00363C82" w:rsidRDefault="00363C82" w:rsidP="00B95D2A">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33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331">
    <w:p w:rsidR="00363C82" w:rsidRDefault="00363C82" w:rsidP="00B95D2A">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332">
    <w:p w:rsidR="00363C82" w:rsidRDefault="00363C82" w:rsidP="00B95D2A">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333">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334">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35">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336">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337">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338">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339">
    <w:p w:rsidR="00363C82" w:rsidRDefault="00363C82" w:rsidP="00B95D2A">
      <w:pPr>
        <w:pStyle w:val="FootnoteText"/>
      </w:pPr>
      <w:r>
        <w:rPr>
          <w:rStyle w:val="FootnoteReference"/>
        </w:rPr>
        <w:footnoteRef/>
      </w:r>
      <w:r>
        <w:t xml:space="preserve"> </w:t>
      </w:r>
      <w:r>
        <w:tab/>
        <w:t xml:space="preserve">Frontier Economics, </w:t>
      </w:r>
      <w:r>
        <w:rPr>
          <w:rStyle w:val="AERtextitalic"/>
        </w:rPr>
        <w:t>Regulatory An updated dividend drop-off estimate of theta</w:t>
      </w:r>
      <w:r>
        <w:t xml:space="preserve">, September 2016; Frontier Economics, </w:t>
      </w:r>
      <w:r>
        <w:rPr>
          <w:rStyle w:val="AERtextitalic"/>
        </w:rPr>
        <w:t>Issues in the estimation of gamma</w:t>
      </w:r>
      <w:r>
        <w:t>, September 2016.</w:t>
      </w:r>
    </w:p>
  </w:footnote>
  <w:footnote w:id="340">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209, 212; Frontier Economics, </w:t>
      </w:r>
      <w:r>
        <w:rPr>
          <w:rStyle w:val="AERtextitalic"/>
        </w:rPr>
        <w:t>Regulatory An updated dividend drop-off estimate of theta</w:t>
      </w:r>
      <w:r>
        <w:t>, September 2016.</w:t>
      </w:r>
    </w:p>
  </w:footnote>
  <w:footnote w:id="341">
    <w:p w:rsidR="00363C82" w:rsidRPr="00AC29DB" w:rsidRDefault="00363C82" w:rsidP="00B95D2A">
      <w:pPr>
        <w:pStyle w:val="FootnoteText"/>
        <w:rPr>
          <w:rStyle w:val="AERtextitalic"/>
        </w:rPr>
      </w:pPr>
      <w:r>
        <w:rPr>
          <w:rStyle w:val="FootnoteReference"/>
        </w:rPr>
        <w:footnoteRef/>
      </w:r>
      <w:r>
        <w:t xml:space="preserve"> </w:t>
      </w:r>
      <w:r>
        <w:tab/>
        <w:t xml:space="preserve">M. Lally, </w:t>
      </w:r>
      <w:r>
        <w:rPr>
          <w:rStyle w:val="AERtextitalic"/>
        </w:rPr>
        <w:t>Issues in the estimation of gamma,</w:t>
      </w:r>
      <w:r w:rsidRPr="004423C9">
        <w:rPr>
          <w:rStyle w:val="AERtextitalic"/>
          <w:i w:val="0"/>
        </w:rPr>
        <w:t xml:space="preserve"> April</w:t>
      </w:r>
      <w:r w:rsidRPr="00E5634C">
        <w:rPr>
          <w:rStyle w:val="AERtextitalic"/>
          <w:i w:val="0"/>
        </w:rPr>
        <w:t xml:space="preserve"> 2017</w:t>
      </w:r>
      <w:r w:rsidRPr="00541886">
        <w:rPr>
          <w:rStyle w:val="AERtextitalic"/>
          <w:i w:val="0"/>
        </w:rPr>
        <w:t>, p</w:t>
      </w:r>
      <w:r w:rsidRPr="00823068">
        <w:rPr>
          <w:rStyle w:val="AERtextitalic"/>
          <w:i w:val="0"/>
        </w:rPr>
        <w:t>p</w:t>
      </w:r>
      <w:r w:rsidRPr="00023359">
        <w:rPr>
          <w:rStyle w:val="AERtextitalic"/>
          <w:i w:val="0"/>
        </w:rPr>
        <w:t>.</w:t>
      </w:r>
      <w:r w:rsidRPr="00CB3A71">
        <w:rPr>
          <w:rStyle w:val="AERtextitalic"/>
          <w:i w:val="0"/>
        </w:rPr>
        <w:t> 6-9.</w:t>
      </w:r>
    </w:p>
  </w:footnote>
  <w:footnote w:id="342">
    <w:p w:rsidR="00363C82" w:rsidRDefault="00363C82" w:rsidP="00B95D2A">
      <w:pPr>
        <w:pStyle w:val="FootnoteText"/>
      </w:pPr>
      <w:r>
        <w:rPr>
          <w:rStyle w:val="FootnoteReference"/>
        </w:rPr>
        <w:footnoteRef/>
      </w:r>
      <w:r>
        <w:t xml:space="preserve"> </w:t>
      </w:r>
      <w:r>
        <w:tab/>
      </w:r>
      <w:r w:rsidRPr="00C4792B">
        <w:t xml:space="preserve">AusNet Transmission, </w:t>
      </w:r>
      <w:r w:rsidRPr="00C4792B">
        <w:rPr>
          <w:rStyle w:val="AERtextitalic"/>
        </w:rPr>
        <w:t>Transmission Revenue Proposal Review 2017-2022, Revised Revenue Proposal</w:t>
      </w:r>
      <w:r w:rsidRPr="00C4792B">
        <w:t>, 21 September 2016, p. </w:t>
      </w:r>
      <w:r>
        <w:t xml:space="preserve">210; Frontier Economics, </w:t>
      </w:r>
      <w:r>
        <w:rPr>
          <w:rStyle w:val="AERtextitalic"/>
        </w:rPr>
        <w:t>Issues in the estimation of gamma</w:t>
      </w:r>
      <w:r>
        <w:t>, September 2016, pp. 3-4, 12-15.</w:t>
      </w:r>
    </w:p>
  </w:footnote>
  <w:footnote w:id="343">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44">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205; Frontier Economics, </w:t>
      </w:r>
      <w:r>
        <w:rPr>
          <w:rStyle w:val="AERtextitalic"/>
        </w:rPr>
        <w:t>Issues in the estimation of gamma</w:t>
      </w:r>
      <w:r>
        <w:t>, September 2016, pp. 6-11.</w:t>
      </w:r>
    </w:p>
  </w:footnote>
  <w:footnote w:id="345">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873B3">
        <w:rPr>
          <w:rStyle w:val="AERtextitalic"/>
          <w:i w:val="0"/>
        </w:rPr>
        <w:t>, p</w:t>
      </w:r>
      <w:r w:rsidRPr="009F08EB">
        <w:rPr>
          <w:rStyle w:val="AERtextitalic"/>
          <w:i w:val="0"/>
        </w:rPr>
        <w:t>p</w:t>
      </w:r>
      <w:r w:rsidRPr="007B2660">
        <w:rPr>
          <w:rStyle w:val="AERtextitalic"/>
          <w:i w:val="0"/>
        </w:rPr>
        <w:t>. </w:t>
      </w:r>
      <w:r w:rsidRPr="009608B3">
        <w:rPr>
          <w:rStyle w:val="AERtextitalic"/>
          <w:i w:val="0"/>
        </w:rPr>
        <w:t>9-12.</w:t>
      </w:r>
    </w:p>
  </w:footnote>
  <w:footnote w:id="346">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873B3">
        <w:rPr>
          <w:rStyle w:val="AERtextitalic"/>
          <w:i w:val="0"/>
        </w:rPr>
        <w:t>, pp. 9-12</w:t>
      </w:r>
      <w:r w:rsidRPr="0048052E">
        <w:rPr>
          <w:rStyle w:val="AERtextitalic"/>
        </w:rPr>
        <w:t>.</w:t>
      </w:r>
    </w:p>
  </w:footnote>
  <w:footnote w:id="347">
    <w:p w:rsidR="00363C82" w:rsidRDefault="00363C82" w:rsidP="00B95D2A">
      <w:pPr>
        <w:pStyle w:val="FootnoteText"/>
      </w:pPr>
      <w:r>
        <w:rPr>
          <w:rStyle w:val="FootnoteReference"/>
        </w:rPr>
        <w:footnoteRef/>
      </w:r>
      <w:r>
        <w:t xml:space="preserve"> </w:t>
      </w:r>
      <w:r>
        <w:tab/>
      </w:r>
      <w:r w:rsidRPr="00FF5DB5">
        <w:t>NER, cl</w:t>
      </w:r>
      <w:r>
        <w:t xml:space="preserve">l. 6.4.3, </w:t>
      </w:r>
      <w:r w:rsidRPr="00FF5DB5">
        <w:t>6A.5.4; NGR, r. 76.</w:t>
      </w:r>
    </w:p>
  </w:footnote>
  <w:footnote w:id="348">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349">
    <w:p w:rsidR="00363C82" w:rsidRDefault="00363C82" w:rsidP="00B95D2A">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35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351">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7.</w:t>
      </w:r>
    </w:p>
  </w:footnote>
  <w:footnote w:id="352">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6.</w:t>
      </w:r>
    </w:p>
  </w:footnote>
  <w:footnote w:id="353">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712BC2">
        <w:t xml:space="preserve">M. Lally, </w:t>
      </w:r>
      <w:r>
        <w:rPr>
          <w:rStyle w:val="AERtextitalic"/>
        </w:rPr>
        <w:t>Gamma and the ACT Decision</w:t>
      </w:r>
      <w:r>
        <w:t>, May 2016, pp. 7, 11, 12.</w:t>
      </w:r>
    </w:p>
  </w:footnote>
  <w:footnote w:id="354">
    <w:p w:rsidR="00363C82" w:rsidRDefault="00363C82" w:rsidP="00B95D2A">
      <w:pPr>
        <w:pStyle w:val="FootnoteText"/>
      </w:pPr>
      <w:r>
        <w:rPr>
          <w:rStyle w:val="FootnoteReference"/>
        </w:rPr>
        <w:footnoteRef/>
      </w:r>
      <w:r>
        <w:t xml:space="preserve"> </w:t>
      </w:r>
      <w:r>
        <w:tab/>
        <w:t>NER, cll. 6.5.2, 6A.6.2;</w:t>
      </w:r>
      <w:r w:rsidRPr="0042735A">
        <w:t xml:space="preserve"> </w:t>
      </w:r>
      <w:r>
        <w:t>NGR, r. 87.</w:t>
      </w:r>
    </w:p>
  </w:footnote>
  <w:footnote w:id="355">
    <w:p w:rsidR="00363C82" w:rsidRDefault="00363C82" w:rsidP="00B95D2A">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356">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57">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358">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359">
    <w:p w:rsidR="00363C82" w:rsidRDefault="00363C82" w:rsidP="00B95D2A">
      <w:pPr>
        <w:pStyle w:val="FootnoteText"/>
      </w:pPr>
      <w:r>
        <w:rPr>
          <w:rStyle w:val="FootnoteReference"/>
        </w:rPr>
        <w:footnoteRef/>
      </w:r>
      <w:r>
        <w:t xml:space="preserve"> </w:t>
      </w:r>
      <w:r>
        <w:tab/>
        <w:t>NER, cll. 6.5.2, 6A.6.2;</w:t>
      </w:r>
      <w:r w:rsidRPr="0042735A">
        <w:t xml:space="preserve"> </w:t>
      </w:r>
      <w:r>
        <w:t>NGR, r. 87.</w:t>
      </w:r>
    </w:p>
  </w:footnote>
  <w:footnote w:id="360">
    <w:p w:rsidR="00363C82" w:rsidRDefault="00363C82" w:rsidP="00B95D2A">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361">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62">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63">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64">
    <w:p w:rsidR="00363C82" w:rsidRDefault="00363C82" w:rsidP="00B95D2A">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65">
    <w:p w:rsidR="00363C82" w:rsidRDefault="00363C82" w:rsidP="00B95D2A">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66">
    <w:p w:rsidR="00363C82" w:rsidRPr="00CD707C" w:rsidRDefault="00363C82" w:rsidP="00B95D2A">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67">
    <w:p w:rsidR="00363C82" w:rsidRDefault="00363C82" w:rsidP="00B95D2A">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rsidR="003E419A">
        <w:t>A.8.3</w:t>
      </w:r>
      <w:r>
        <w:fldChar w:fldCharType="end"/>
      </w:r>
    </w:p>
  </w:footnote>
  <w:footnote w:id="368">
    <w:p w:rsidR="00363C82" w:rsidRDefault="00363C82" w:rsidP="00B95D2A">
      <w:pPr>
        <w:pStyle w:val="FootnoteText"/>
      </w:pPr>
      <w:r>
        <w:rPr>
          <w:rStyle w:val="FootnoteReference"/>
        </w:rPr>
        <w:footnoteRef/>
      </w:r>
      <w:r>
        <w:t xml:space="preserve"> </w:t>
      </w:r>
      <w:r>
        <w:tab/>
        <w:t>This is evident in companies having positive franking account balances in aggregate.</w:t>
      </w:r>
    </w:p>
  </w:footnote>
  <w:footnote w:id="369">
    <w:p w:rsidR="00363C82" w:rsidRDefault="00363C82" w:rsidP="00B95D2A">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70">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71">
    <w:p w:rsidR="00363C82" w:rsidRDefault="00363C82" w:rsidP="00B95D2A">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72">
    <w:p w:rsidR="00363C82" w:rsidRDefault="00363C82" w:rsidP="00B95D2A">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rsidR="003E419A">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73">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74">
    <w:p w:rsidR="00363C82" w:rsidRDefault="00363C82" w:rsidP="00B95D2A">
      <w:pPr>
        <w:pStyle w:val="FootnoteText"/>
      </w:pPr>
      <w:r>
        <w:rPr>
          <w:rStyle w:val="FootnoteReference"/>
        </w:rPr>
        <w:footnoteRef/>
      </w:r>
      <w:r>
        <w:t xml:space="preserve"> </w:t>
      </w:r>
      <w:r>
        <w:tab/>
      </w:r>
      <w:r w:rsidRPr="003B4589">
        <w:t xml:space="preserve">L. Gitman, R. Juchau and J. Flanagan, </w:t>
      </w:r>
      <w:r w:rsidRPr="00F2175D">
        <w:rPr>
          <w:rStyle w:val="Emphasis"/>
        </w:rPr>
        <w:t>Principles of Managerial Finance</w:t>
      </w:r>
      <w:r>
        <w:t>, 6th Edition, 2011, p</w:t>
      </w:r>
      <w:r w:rsidRPr="003B4589">
        <w:t xml:space="preserve">. </w:t>
      </w:r>
      <w:r>
        <w:t>475</w:t>
      </w:r>
      <w:r w:rsidRPr="003B4589">
        <w:t>.</w:t>
      </w:r>
    </w:p>
  </w:footnote>
  <w:footnote w:id="375">
    <w:p w:rsidR="00363C82" w:rsidRDefault="00363C82" w:rsidP="00B95D2A">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76">
    <w:p w:rsidR="00363C82" w:rsidRDefault="00363C82" w:rsidP="00B95D2A">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77">
    <w:p w:rsidR="00363C82" w:rsidRDefault="00363C82" w:rsidP="00B95D2A">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78">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79">
    <w:p w:rsidR="00363C82" w:rsidRPr="00CD707C" w:rsidRDefault="00363C82" w:rsidP="00B95D2A">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80">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81">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82">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83">
    <w:p w:rsidR="00363C82" w:rsidRDefault="00363C82" w:rsidP="00B95D2A">
      <w:pPr>
        <w:pStyle w:val="FootnoteText"/>
      </w:pPr>
      <w:r>
        <w:rPr>
          <w:rStyle w:val="FootnoteReference"/>
        </w:rPr>
        <w:footnoteRef/>
      </w:r>
      <w:r>
        <w:t xml:space="preserve"> </w:t>
      </w:r>
      <w:r>
        <w:tab/>
        <w:t>See section A.6.1 of the draft decisions.</w:t>
      </w:r>
    </w:p>
  </w:footnote>
  <w:footnote w:id="384">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85">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86">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87">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88">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89">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90">
    <w:p w:rsidR="00363C82" w:rsidRDefault="00363C82" w:rsidP="00B95D2A">
      <w:pPr>
        <w:pStyle w:val="FootnoteText"/>
      </w:pPr>
      <w:r>
        <w:rPr>
          <w:rStyle w:val="FootnoteReference"/>
        </w:rPr>
        <w:footnoteRef/>
      </w:r>
      <w:r>
        <w:t xml:space="preserve"> </w:t>
      </w:r>
      <w:r>
        <w:tab/>
        <w:t>Recall that the utilisation rate equals gamma under Officer's perpetuity framework.</w:t>
      </w:r>
    </w:p>
  </w:footnote>
  <w:footnote w:id="391">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92">
    <w:p w:rsidR="00363C82" w:rsidRDefault="00363C82" w:rsidP="00B95D2A">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93">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94">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95">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96">
    <w:p w:rsidR="00363C82" w:rsidRDefault="00363C82" w:rsidP="00B95D2A">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97">
    <w:p w:rsidR="00363C82" w:rsidRDefault="00363C82" w:rsidP="00B95D2A">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98">
    <w:p w:rsidR="00363C82" w:rsidRDefault="00363C82" w:rsidP="00B95D2A">
      <w:pPr>
        <w:pStyle w:val="FootnoteText"/>
      </w:pPr>
      <w:r>
        <w:rPr>
          <w:rStyle w:val="FootnoteReference"/>
        </w:rPr>
        <w:footnoteRef/>
      </w:r>
      <w:r>
        <w:t xml:space="preserve"> </w:t>
      </w:r>
      <w:r>
        <w:tab/>
        <w:t xml:space="preserve">L. Gitman, R. Juchau and J. Flanagan, </w:t>
      </w:r>
      <w:r w:rsidRPr="00F2175D">
        <w:rPr>
          <w:rStyle w:val="Emphasis"/>
        </w:rPr>
        <w:t>Principles of Managerial Finance</w:t>
      </w:r>
      <w:r>
        <w:t>, 6th Edition, 2011, pp. 543 and 546.</w:t>
      </w:r>
    </w:p>
  </w:footnote>
  <w:footnote w:id="399">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400">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401">
    <w:p w:rsidR="00363C82" w:rsidRDefault="00363C82" w:rsidP="00B95D2A">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402">
    <w:p w:rsidR="00363C82" w:rsidRDefault="00363C82" w:rsidP="00B95D2A">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403">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04">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405">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406">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407">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45–48.</w:t>
      </w:r>
    </w:p>
  </w:footnote>
  <w:footnote w:id="408">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409">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10">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411">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12">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413">
    <w:p w:rsidR="00363C82" w:rsidRPr="001224E1" w:rsidRDefault="00363C82" w:rsidP="00B95D2A">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AD7E20">
        <w:rPr>
          <w:rStyle w:val="AERtextitalic"/>
          <w:i w:val="0"/>
        </w:rPr>
        <w:t>,</w:t>
      </w:r>
      <w:r w:rsidRPr="005B77D3">
        <w:rPr>
          <w:rStyle w:val="AERtextitalic"/>
          <w:i w:val="0"/>
        </w:rPr>
        <w:t xml:space="preserve"> p</w:t>
      </w:r>
      <w:r w:rsidRPr="00D7695B">
        <w:rPr>
          <w:rStyle w:val="AERtextitalic"/>
          <w:i w:val="0"/>
        </w:rPr>
        <w:t>p</w:t>
      </w:r>
      <w:r w:rsidRPr="00AD7E20">
        <w:rPr>
          <w:rStyle w:val="AERtextitalic"/>
          <w:i w:val="0"/>
        </w:rPr>
        <w:t>. </w:t>
      </w:r>
      <w:r w:rsidRPr="005B77D3">
        <w:rPr>
          <w:rStyle w:val="AERtextitalic"/>
          <w:i w:val="0"/>
        </w:rPr>
        <w:t>3</w:t>
      </w:r>
      <w:r w:rsidRPr="00D7695B">
        <w:rPr>
          <w:rStyle w:val="AERtextitalic"/>
          <w:i w:val="0"/>
        </w:rPr>
        <w:t>, 26</w:t>
      </w:r>
      <w:r w:rsidRPr="00AD7E20">
        <w:rPr>
          <w:rStyle w:val="AERtextitalic"/>
          <w:i w:val="0"/>
        </w:rPr>
        <w:t>.</w:t>
      </w:r>
    </w:p>
  </w:footnote>
  <w:footnote w:id="414">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 20.</w:t>
      </w:r>
    </w:p>
  </w:footnote>
  <w:footnote w:id="415">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w:t>
      </w:r>
      <w:r w:rsidRPr="00BD2C2C">
        <w:rPr>
          <w:rStyle w:val="AERtextitalic"/>
          <w:i w:val="0"/>
        </w:rPr>
        <w:t> </w:t>
      </w:r>
      <w:r w:rsidRPr="002D7AA8">
        <w:rPr>
          <w:rStyle w:val="AERtextitalic"/>
          <w:i w:val="0"/>
        </w:rPr>
        <w:t>16</w:t>
      </w:r>
      <w:r w:rsidRPr="00BD2C2C">
        <w:rPr>
          <w:rStyle w:val="AERtextitalic"/>
          <w:i w:val="0"/>
        </w:rPr>
        <w:t>.</w:t>
      </w:r>
    </w:p>
  </w:footnote>
  <w:footnote w:id="416">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20-21.</w:t>
      </w:r>
    </w:p>
  </w:footnote>
  <w:footnote w:id="417">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 </w:t>
      </w:r>
      <w:r w:rsidRPr="002D7AA8">
        <w:rPr>
          <w:rStyle w:val="AERtextitalic"/>
          <w:i w:val="0"/>
        </w:rPr>
        <w:t>16-17</w:t>
      </w:r>
      <w:r w:rsidRPr="00BD2C2C">
        <w:rPr>
          <w:rStyle w:val="AERtextitalic"/>
          <w:i w:val="0"/>
        </w:rPr>
        <w:t>.</w:t>
      </w:r>
    </w:p>
  </w:footnote>
  <w:footnote w:id="418">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19">
    <w:p w:rsidR="00363C82" w:rsidRPr="001224E1" w:rsidRDefault="00363C82" w:rsidP="00B95D2A">
      <w:pPr>
        <w:pStyle w:val="FootnoteText"/>
      </w:pPr>
      <w:r>
        <w:rPr>
          <w:rStyle w:val="FootnoteReference"/>
        </w:rPr>
        <w:footnoteRef/>
      </w:r>
      <w:r>
        <w:t xml:space="preserve"> </w:t>
      </w:r>
      <w:r>
        <w:tab/>
        <w:t xml:space="preserve">M. Lally, </w:t>
      </w:r>
      <w:r w:rsidRPr="0006518E">
        <w:rPr>
          <w:rStyle w:val="AERtextitalic"/>
        </w:rPr>
        <w:t>Issues in the estimation of gamma</w:t>
      </w:r>
      <w:r>
        <w:t>, April 2017</w:t>
      </w:r>
      <w:r w:rsidRPr="001224E1">
        <w:rPr>
          <w:rStyle w:val="AERtextitalic"/>
          <w:i w:val="0"/>
        </w:rPr>
        <w:t>, p</w:t>
      </w:r>
      <w:r w:rsidRPr="002D7AA8">
        <w:rPr>
          <w:rStyle w:val="AERtextitalic"/>
          <w:i w:val="0"/>
        </w:rPr>
        <w:t>p</w:t>
      </w:r>
      <w:r w:rsidRPr="00BD2C2C">
        <w:rPr>
          <w:rStyle w:val="AERtextitalic"/>
          <w:i w:val="0"/>
        </w:rPr>
        <w:t>.</w:t>
      </w:r>
      <w:r w:rsidRPr="005C46D8">
        <w:rPr>
          <w:rStyle w:val="AERtextitalic"/>
          <w:i w:val="0"/>
        </w:rPr>
        <w:t> </w:t>
      </w:r>
      <w:r w:rsidRPr="007D76DD">
        <w:rPr>
          <w:rStyle w:val="AERtextitalic"/>
          <w:i w:val="0"/>
        </w:rPr>
        <w:t>1</w:t>
      </w:r>
      <w:r w:rsidRPr="00541886">
        <w:rPr>
          <w:rStyle w:val="AERtextitalic"/>
          <w:i w:val="0"/>
        </w:rPr>
        <w:t>7</w:t>
      </w:r>
      <w:r w:rsidRPr="005C46D8">
        <w:rPr>
          <w:rStyle w:val="AERtextitalic"/>
          <w:i w:val="0"/>
        </w:rPr>
        <w:t>-</w:t>
      </w:r>
      <w:r w:rsidRPr="00541886">
        <w:rPr>
          <w:rStyle w:val="AERtextitalic"/>
          <w:i w:val="0"/>
        </w:rPr>
        <w:t>20</w:t>
      </w:r>
      <w:r w:rsidRPr="00BD2C2C">
        <w:rPr>
          <w:rStyle w:val="AERtextitalic"/>
          <w:i w:val="0"/>
        </w:rPr>
        <w:t>.</w:t>
      </w:r>
    </w:p>
  </w:footnote>
  <w:footnote w:id="420">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421">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21-22.</w:t>
      </w:r>
    </w:p>
  </w:footnote>
  <w:footnote w:id="422">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BD2C2C">
        <w:rPr>
          <w:rStyle w:val="AERtextitalic"/>
          <w:i w:val="0"/>
        </w:rPr>
        <w:t>p. </w:t>
      </w:r>
      <w:r w:rsidRPr="002D7AA8">
        <w:rPr>
          <w:rStyle w:val="AERtextitalic"/>
          <w:i w:val="0"/>
        </w:rPr>
        <w:t>20</w:t>
      </w:r>
      <w:r w:rsidRPr="00BD2C2C">
        <w:rPr>
          <w:rStyle w:val="AERtextitalic"/>
          <w:i w:val="0"/>
        </w:rPr>
        <w:t>.</w:t>
      </w:r>
    </w:p>
  </w:footnote>
  <w:footnote w:id="423">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424">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425">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26">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427">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428">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429">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430">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43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432">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433">
    <w:p w:rsidR="00363C82" w:rsidRDefault="00363C82" w:rsidP="00B95D2A">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434">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xml:space="preserve">, January 2016, p. 352; AusNet Transmission, </w:t>
      </w:r>
      <w:r>
        <w:rPr>
          <w:rStyle w:val="AERtextitalic"/>
        </w:rPr>
        <w:t>Transmission Revenue Proposal Review 2017-2022, Revised Revenue Proposal</w:t>
      </w:r>
      <w:r>
        <w:t>, 21 September 2016, p. 199.</w:t>
      </w:r>
    </w:p>
  </w:footnote>
  <w:footnote w:id="435">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 Powerlink</w:t>
      </w:r>
      <w:r w:rsidRPr="003E1CE7">
        <w:t xml:space="preserve">, </w:t>
      </w:r>
      <w:r>
        <w:rPr>
          <w:rStyle w:val="AERtextitalic"/>
        </w:rPr>
        <w:t>Powerlink Queensland Revenue Proposal Appendix 9.02</w:t>
      </w:r>
      <w:r w:rsidRPr="003E1CE7">
        <w:t xml:space="preserve">, </w:t>
      </w:r>
      <w:r>
        <w:t>31 January 2016, p</w:t>
      </w:r>
      <w:r w:rsidRPr="003E1CE7">
        <w:t>. </w:t>
      </w:r>
      <w:r>
        <w:t>6.</w:t>
      </w:r>
    </w:p>
  </w:footnote>
  <w:footnote w:id="436">
    <w:p w:rsidR="00363C82" w:rsidRDefault="00363C82" w:rsidP="00B95D2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June 2015, p. 7.</w:t>
      </w:r>
    </w:p>
  </w:footnote>
  <w:footnote w:id="437">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9.</w:t>
      </w:r>
    </w:p>
  </w:footnote>
  <w:footnote w:id="438">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39">
    <w:p w:rsidR="00363C82" w:rsidRDefault="00363C82" w:rsidP="00B95D2A">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440">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441">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442">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443">
    <w:p w:rsidR="00363C82" w:rsidRDefault="00363C82" w:rsidP="00B95D2A">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444">
    <w:p w:rsidR="00363C82" w:rsidRDefault="00363C82" w:rsidP="00B95D2A">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445">
    <w:p w:rsidR="00363C82" w:rsidRDefault="00363C82" w:rsidP="00B95D2A">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44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447">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448">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D7695B">
        <w:rPr>
          <w:rStyle w:val="AERtextitalic"/>
          <w:i w:val="0"/>
        </w:rPr>
        <w:t>, p. 27.</w:t>
      </w:r>
    </w:p>
  </w:footnote>
  <w:footnote w:id="449">
    <w:p w:rsidR="00363C82" w:rsidRDefault="00363C82" w:rsidP="009875E3">
      <w:pPr>
        <w:pStyle w:val="FootnoteText"/>
      </w:pPr>
      <w:r>
        <w:rPr>
          <w:rStyle w:val="FootnoteReference"/>
        </w:rPr>
        <w:footnoteRef/>
      </w:r>
      <w:r>
        <w:t xml:space="preserve"> </w:t>
      </w:r>
      <w:r>
        <w:tab/>
      </w:r>
      <w:r w:rsidRPr="005D01B1">
        <w:t>Brailsford, Handley, Maheswaran</w:t>
      </w:r>
      <w:r w:rsidRPr="009875E3">
        <w:t>, ‘</w:t>
      </w:r>
      <w:r w:rsidRPr="009875E3">
        <w:rPr>
          <w:rStyle w:val="AERtextitalic"/>
          <w:i w:val="0"/>
        </w:rPr>
        <w:t>Re-examination of the historical equity risk premium in Australia’</w:t>
      </w:r>
      <w:r w:rsidRPr="009875E3">
        <w:t xml:space="preserve">, </w:t>
      </w:r>
      <w:r w:rsidRPr="009875E3">
        <w:rPr>
          <w:rStyle w:val="AERtextitalic"/>
        </w:rPr>
        <w:t>Accounting and Finance</w:t>
      </w:r>
      <w:r w:rsidRPr="009875E3">
        <w:t>, Vol. 48, 2008, pp. 84–85.</w:t>
      </w:r>
    </w:p>
  </w:footnote>
  <w:footnote w:id="450">
    <w:p w:rsidR="00363C82" w:rsidRDefault="00363C82" w:rsidP="00AC29DB">
      <w:pPr>
        <w:pStyle w:val="FootnoteText"/>
      </w:pPr>
      <w:r>
        <w:rPr>
          <w:rStyle w:val="FootnoteReference"/>
        </w:rPr>
        <w:footnoteRef/>
      </w:r>
      <w:r>
        <w:t xml:space="preserve"> </w:t>
      </w:r>
      <w:r>
        <w:tab/>
        <w:t>Source:</w:t>
      </w:r>
    </w:p>
    <w:p w:rsidR="00363C82" w:rsidRDefault="00363C82" w:rsidP="00B95D2A">
      <w:pPr>
        <w:pStyle w:val="FootnoteText"/>
      </w:pPr>
      <w:r>
        <w:tab/>
      </w:r>
      <w:r w:rsidRPr="00245EB8">
        <w:t>https://www.ato.gov.au/Rates/Company-tax---imputation--average-franking-credit---rebate-yields/?page=2#List_of_yields</w:t>
      </w:r>
    </w:p>
  </w:footnote>
  <w:footnote w:id="451">
    <w:p w:rsidR="00363C82" w:rsidRDefault="00363C82" w:rsidP="00B95D2A">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 xml:space="preserve"> 294; 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xml:space="preserve">, January 2016, pp. 356-358; AusNet Transmission, </w:t>
      </w:r>
      <w:r>
        <w:rPr>
          <w:rStyle w:val="AERtextitalic"/>
        </w:rPr>
        <w:t>Transmission Revenue Proposal Review 2017-2022, Revised Revenue Proposal</w:t>
      </w:r>
      <w:r>
        <w:t>, 21 September 2016, pp. 204, 207.</w:t>
      </w:r>
    </w:p>
  </w:footnote>
  <w:footnote w:id="452">
    <w:p w:rsidR="00363C82" w:rsidRDefault="00363C82" w:rsidP="00B95D2A">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w:t>
      </w:r>
      <w:r>
        <w:t xml:space="preserve"> 296, 298;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453">
    <w:p w:rsidR="00363C82" w:rsidRDefault="00363C82" w:rsidP="00B95D2A">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298-299, 305; 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454">
    <w:p w:rsidR="00363C82" w:rsidRDefault="00363C82" w:rsidP="00B95D2A">
      <w:pPr>
        <w:pStyle w:val="FootnoteText"/>
      </w:pPr>
      <w:r>
        <w:rPr>
          <w:rStyle w:val="FootnoteReference"/>
        </w:rPr>
        <w:footnoteRef/>
      </w:r>
      <w:r>
        <w:t xml:space="preserve"> </w:t>
      </w:r>
      <w:r>
        <w:tab/>
        <w:t xml:space="preserve">Frontier Economics, </w:t>
      </w:r>
      <w:r w:rsidRPr="00AC29DB">
        <w:rPr>
          <w:rStyle w:val="AERtextitalic"/>
        </w:rPr>
        <w:t>The appropriate use of tax statistics when estimating gamma</w:t>
      </w:r>
      <w:r>
        <w:t>, January 2016, p. 7.</w:t>
      </w:r>
    </w:p>
  </w:footnote>
  <w:footnote w:id="455">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10.</w:t>
      </w:r>
    </w:p>
  </w:footnote>
  <w:footnote w:id="456">
    <w:p w:rsidR="00363C82" w:rsidRDefault="00363C82" w:rsidP="00B95D2A">
      <w:pPr>
        <w:pStyle w:val="FootnoteText"/>
      </w:pPr>
      <w:r>
        <w:rPr>
          <w:rStyle w:val="FootnoteReference"/>
        </w:rPr>
        <w:footnoteRef/>
      </w:r>
      <w:r>
        <w:t xml:space="preserve"> </w:t>
      </w:r>
      <w:r>
        <w:tab/>
        <w:t xml:space="preserve">Frontier Economics, </w:t>
      </w:r>
      <w:r w:rsidRPr="00AC29DB">
        <w:rPr>
          <w:rStyle w:val="AERtextitalic"/>
        </w:rPr>
        <w:t>The appropriate use of tax statistics when estimating gamma</w:t>
      </w:r>
      <w:r>
        <w:t>, January 2016, p. 7.</w:t>
      </w:r>
    </w:p>
  </w:footnote>
  <w:footnote w:id="457">
    <w:p w:rsidR="00363C82" w:rsidRDefault="00363C82" w:rsidP="00B95D2A">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458">
    <w:p w:rsidR="00363C82" w:rsidRDefault="00363C82" w:rsidP="00B95D2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459">
    <w:p w:rsidR="00363C82" w:rsidRDefault="00363C82" w:rsidP="00B95D2A">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460">
    <w:p w:rsidR="00363C82" w:rsidRDefault="00363C82" w:rsidP="00B95D2A">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461">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462">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463">
    <w:p w:rsidR="00363C82" w:rsidRPr="00590D86"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464">
    <w:p w:rsidR="00363C82" w:rsidRDefault="00363C82" w:rsidP="00B95D2A">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65">
    <w:p w:rsidR="00363C82" w:rsidRDefault="00363C82" w:rsidP="00B95D2A">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466">
    <w:p w:rsidR="00363C82" w:rsidRDefault="00363C82" w:rsidP="00B95D2A">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_Ref477266198 \r \h </w:instrText>
      </w:r>
      <w:r>
        <w:fldChar w:fldCharType="separate"/>
      </w:r>
      <w:r w:rsidR="003E419A">
        <w:rPr>
          <w:b/>
          <w:bCs/>
          <w:lang w:val="en-US"/>
        </w:rPr>
        <w:t>Error! Reference source not found.</w:t>
      </w:r>
      <w:r>
        <w:fldChar w:fldCharType="end"/>
      </w:r>
      <w:r>
        <w:t xml:space="preserve"> of attachment 4.</w:t>
      </w:r>
    </w:p>
  </w:footnote>
  <w:footnote w:id="467">
    <w:p w:rsidR="00363C82" w:rsidRDefault="00363C82" w:rsidP="00B95D2A">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288; 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468">
    <w:p w:rsidR="00363C82" w:rsidRDefault="00363C82" w:rsidP="00B95D2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469">
    <w:p w:rsidR="00363C82" w:rsidRDefault="00363C82" w:rsidP="00B95D2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70">
    <w:p w:rsidR="00363C82" w:rsidRDefault="00363C82" w:rsidP="00B95D2A">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w:t>
      </w:r>
      <w:r>
        <w:t>p</w:t>
      </w:r>
      <w:r w:rsidRPr="00B51819">
        <w:t>. </w:t>
      </w:r>
      <w:r>
        <w:t xml:space="preserve">286, 288, 305; 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71">
    <w:p w:rsidR="00363C82" w:rsidRDefault="00363C82" w:rsidP="00B95D2A">
      <w:pPr>
        <w:pStyle w:val="FootnoteText"/>
      </w:pPr>
      <w:r>
        <w:rPr>
          <w:rStyle w:val="FootnoteReference"/>
        </w:rPr>
        <w:footnoteRef/>
      </w:r>
      <w:r>
        <w:t xml:space="preserve"> </w:t>
      </w:r>
      <w:r>
        <w:tab/>
        <w:t xml:space="preserve">Frontier Economics, </w:t>
      </w:r>
      <w:r w:rsidRPr="00AC29DB">
        <w:rPr>
          <w:rStyle w:val="AERtextitalic"/>
        </w:rPr>
        <w:t>The appropriate use of tax statistics when estimating gamma</w:t>
      </w:r>
      <w:r>
        <w:t xml:space="preserve">, January 2016, </w:t>
      </w:r>
      <w:r w:rsidRPr="006D49F4">
        <w:t>p. 28.</w:t>
      </w:r>
    </w:p>
  </w:footnote>
  <w:footnote w:id="472">
    <w:p w:rsidR="00363C82" w:rsidRDefault="00363C82" w:rsidP="00B95D2A">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473">
    <w:p w:rsidR="00363C82" w:rsidRDefault="00363C82" w:rsidP="00B95D2A">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474">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75">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476">
    <w:p w:rsidR="00363C82" w:rsidRDefault="00363C82" w:rsidP="00B95D2A">
      <w:pPr>
        <w:pStyle w:val="FootnoteText"/>
      </w:pPr>
      <w:r>
        <w:rPr>
          <w:rStyle w:val="FootnoteReference"/>
        </w:rPr>
        <w:footnoteRef/>
      </w:r>
      <w:r>
        <w:t xml:space="preserve"> </w:t>
      </w:r>
      <w:r>
        <w:tab/>
      </w:r>
      <w:r w:rsidRPr="00B51819">
        <w:t xml:space="preserve">AusNet Transmission, </w:t>
      </w:r>
      <w:r w:rsidRPr="00B51819">
        <w:rPr>
          <w:rStyle w:val="AERtextitalic"/>
        </w:rPr>
        <w:t>Transmission Revenue Review 2017-2022</w:t>
      </w:r>
      <w:r w:rsidRPr="00B51819">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77">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297, 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478">
    <w:p w:rsidR="00363C82" w:rsidRDefault="00363C82" w:rsidP="00B95D2A">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79">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199, 204.</w:t>
      </w:r>
    </w:p>
  </w:footnote>
  <w:footnote w:id="480">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E4542B">
        <w:rPr>
          <w:rStyle w:val="AERtextitalic"/>
          <w:i w:val="0"/>
        </w:rPr>
        <w:t>, p. 25</w:t>
      </w:r>
      <w:r>
        <w:rPr>
          <w:rStyle w:val="AERtextitalic"/>
        </w:rPr>
        <w:t>.</w:t>
      </w:r>
    </w:p>
  </w:footnote>
  <w:footnote w:id="481">
    <w:p w:rsidR="00363C82" w:rsidRDefault="00363C82" w:rsidP="00B95D2A">
      <w:pPr>
        <w:pStyle w:val="FootnoteText"/>
      </w:pPr>
      <w:r>
        <w:rPr>
          <w:rStyle w:val="FootnoteReference"/>
        </w:rPr>
        <w:footnoteRef/>
      </w:r>
      <w:r>
        <w:t xml:space="preserve"> </w:t>
      </w:r>
      <w:r>
        <w:tab/>
        <w:t>See tables 3-11 and 3-12 in Attachment 3.</w:t>
      </w:r>
    </w:p>
  </w:footnote>
  <w:footnote w:id="482">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D7695B">
        <w:rPr>
          <w:rStyle w:val="AERtextitalic"/>
          <w:i w:val="0"/>
        </w:rPr>
        <w:t>, pp. 28-29.</w:t>
      </w:r>
    </w:p>
  </w:footnote>
  <w:footnote w:id="483">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873B3">
        <w:rPr>
          <w:rStyle w:val="AERtextitalic"/>
          <w:i w:val="0"/>
        </w:rPr>
        <w:t xml:space="preserve">, </w:t>
      </w:r>
      <w:r w:rsidRPr="00177AB1">
        <w:rPr>
          <w:rStyle w:val="AERtextitalic"/>
          <w:i w:val="0"/>
        </w:rPr>
        <w:t>p</w:t>
      </w:r>
      <w:r w:rsidRPr="004423C9">
        <w:rPr>
          <w:rStyle w:val="AERtextitalic"/>
          <w:i w:val="0"/>
        </w:rPr>
        <w:t>p</w:t>
      </w:r>
      <w:r w:rsidRPr="00177AB1">
        <w:rPr>
          <w:rStyle w:val="AERtextitalic"/>
          <w:i w:val="0"/>
        </w:rPr>
        <w:t>. 25</w:t>
      </w:r>
      <w:r w:rsidRPr="004423C9">
        <w:rPr>
          <w:rStyle w:val="AERtextitalic"/>
          <w:i w:val="0"/>
        </w:rPr>
        <w:t>, 27, 29</w:t>
      </w:r>
      <w:r w:rsidRPr="00177AB1">
        <w:rPr>
          <w:rStyle w:val="AERtextitalic"/>
          <w:i w:val="0"/>
        </w:rPr>
        <w:t>.</w:t>
      </w:r>
    </w:p>
  </w:footnote>
  <w:footnote w:id="484">
    <w:p w:rsidR="00363C82" w:rsidRDefault="00363C82" w:rsidP="00B95D2A">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85">
    <w:p w:rsidR="00363C82" w:rsidRDefault="00363C82" w:rsidP="00B95D2A">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86">
    <w:p w:rsidR="00363C82" w:rsidRDefault="00363C82" w:rsidP="00B95D2A">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87">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9-10; M. Lally, </w:t>
      </w:r>
      <w:r w:rsidRPr="00AC29DB">
        <w:rPr>
          <w:rStyle w:val="AERtextitalic"/>
        </w:rPr>
        <w:t>Issues in the estimation of gamma</w:t>
      </w:r>
      <w:r>
        <w:t>, April 2017</w:t>
      </w:r>
      <w:r w:rsidRPr="00D7695B">
        <w:rPr>
          <w:rStyle w:val="AERtextitalic"/>
          <w:i w:val="0"/>
        </w:rPr>
        <w:t>, pp. 27</w:t>
      </w:r>
      <w:r w:rsidRPr="00C56A93">
        <w:rPr>
          <w:rStyle w:val="AERtextitalic"/>
          <w:i w:val="0"/>
        </w:rPr>
        <w:t>-2</w:t>
      </w:r>
      <w:r w:rsidRPr="0089265C">
        <w:rPr>
          <w:rStyle w:val="AERtextitalic"/>
          <w:i w:val="0"/>
        </w:rPr>
        <w:t>9</w:t>
      </w:r>
      <w:r>
        <w:rPr>
          <w:rStyle w:val="AERtextitalic"/>
        </w:rPr>
        <w:t>.</w:t>
      </w:r>
    </w:p>
  </w:footnote>
  <w:footnote w:id="488">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FF354E">
        <w:rPr>
          <w:rStyle w:val="AERtextitalic"/>
          <w:i w:val="0"/>
        </w:rPr>
        <w:t xml:space="preserve">, </w:t>
      </w:r>
      <w:r w:rsidRPr="00D7695B">
        <w:rPr>
          <w:rStyle w:val="AERtextitalic"/>
          <w:i w:val="0"/>
        </w:rPr>
        <w:t>p</w:t>
      </w:r>
      <w:r w:rsidRPr="0059076A">
        <w:rPr>
          <w:rStyle w:val="AERtextitalic"/>
          <w:i w:val="0"/>
        </w:rPr>
        <w:t>p. 25</w:t>
      </w:r>
      <w:r w:rsidRPr="00D7695B">
        <w:rPr>
          <w:rStyle w:val="AERtextitalic"/>
          <w:i w:val="0"/>
        </w:rPr>
        <w:t>, 27</w:t>
      </w:r>
      <w:r w:rsidRPr="0059076A">
        <w:rPr>
          <w:rStyle w:val="AERtextitalic"/>
          <w:i w:val="0"/>
        </w:rPr>
        <w:t>.</w:t>
      </w:r>
    </w:p>
  </w:footnote>
  <w:footnote w:id="489">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 357; AusNet Transmission, </w:t>
      </w:r>
      <w:r>
        <w:rPr>
          <w:rStyle w:val="AERtextitalic"/>
        </w:rPr>
        <w:t>Transmission Revenue Proposal Review 2017-2022, Revised Revenue Proposal</w:t>
      </w:r>
      <w:r>
        <w:t>, 21 September 2016, pp. 204, 207.</w:t>
      </w:r>
    </w:p>
  </w:footnote>
  <w:footnote w:id="490">
    <w:p w:rsidR="00363C82" w:rsidRDefault="00363C82" w:rsidP="00B95D2A">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91">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299; 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83-84;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xml:space="preserve">, January 2016, pp. 357-358; AusNet Transmission, </w:t>
      </w:r>
      <w:r>
        <w:rPr>
          <w:rStyle w:val="AERtextitalic"/>
        </w:rPr>
        <w:t>Transmission Revenue Proposal Review 2017-2022, Revised Revenue Proposal</w:t>
      </w:r>
      <w:r>
        <w:t>, 21 September 2016, pp. 204, 207.</w:t>
      </w:r>
    </w:p>
  </w:footnote>
  <w:footnote w:id="492">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93">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177</w:t>
      </w:r>
      <w:r w:rsidRPr="008F5D24">
        <w:t>.</w:t>
      </w:r>
    </w:p>
  </w:footnote>
  <w:footnote w:id="494">
    <w:p w:rsidR="00363C82" w:rsidRDefault="00363C82" w:rsidP="00B95D2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95">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6">
    <w:p w:rsidR="00363C82" w:rsidRDefault="00363C82" w:rsidP="00B95D2A">
      <w:pPr>
        <w:pStyle w:val="FootnoteText"/>
      </w:pPr>
      <w:r>
        <w:rPr>
          <w:rStyle w:val="FootnoteReference"/>
        </w:rPr>
        <w:footnoteRef/>
      </w:r>
      <w:r>
        <w:t xml:space="preserve"> </w:t>
      </w:r>
      <w:r>
        <w:tab/>
        <w:t>The refined foreign ownership share of all equity between June 2001 and December 2012 was 0.39 on average.</w:t>
      </w:r>
    </w:p>
  </w:footnote>
  <w:footnote w:id="497">
    <w:p w:rsidR="00363C82" w:rsidRDefault="00363C82" w:rsidP="00B95D2A">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98">
    <w:p w:rsidR="00363C82" w:rsidRDefault="00363C82" w:rsidP="00B95D2A">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99">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500">
    <w:p w:rsidR="00363C82" w:rsidRDefault="00363C82" w:rsidP="00B95D2A">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576F7">
        <w:rPr>
          <w:rStyle w:val="AERtextitalic"/>
          <w:i w:val="0"/>
        </w:rPr>
        <w:t>September 2016, pp. 3-4, 12-15.</w:t>
      </w:r>
    </w:p>
  </w:footnote>
  <w:footnote w:id="501">
    <w:p w:rsidR="00363C82" w:rsidRDefault="00363C82" w:rsidP="00B95D2A">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502">
    <w:p w:rsidR="00363C82" w:rsidRDefault="00363C82" w:rsidP="00B95D2A">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503">
    <w:p w:rsidR="00363C82" w:rsidRDefault="00363C82" w:rsidP="00B95D2A">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504">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4576F7">
        <w:rPr>
          <w:rStyle w:val="AERtextitalic"/>
          <w:i w:val="0"/>
        </w:rPr>
        <w:t>,</w:t>
      </w:r>
      <w:r w:rsidRPr="00C56A93">
        <w:rPr>
          <w:rStyle w:val="AERtextitalic"/>
          <w:i w:val="0"/>
        </w:rPr>
        <w:t xml:space="preserve"> p</w:t>
      </w:r>
      <w:r w:rsidRPr="004423C9">
        <w:rPr>
          <w:rStyle w:val="AERtextitalic"/>
          <w:i w:val="0"/>
        </w:rPr>
        <w:t>p</w:t>
      </w:r>
      <w:r w:rsidRPr="00C56A93">
        <w:rPr>
          <w:rStyle w:val="AERtextitalic"/>
          <w:i w:val="0"/>
        </w:rPr>
        <w:t>. </w:t>
      </w:r>
      <w:r w:rsidRPr="004423C9">
        <w:rPr>
          <w:rStyle w:val="AERtextitalic"/>
          <w:i w:val="0"/>
        </w:rPr>
        <w:t>12-</w:t>
      </w:r>
      <w:r w:rsidRPr="00C56A93">
        <w:rPr>
          <w:rStyle w:val="AERtextitalic"/>
          <w:i w:val="0"/>
        </w:rPr>
        <w:t>13.</w:t>
      </w:r>
    </w:p>
  </w:footnote>
  <w:footnote w:id="505">
    <w:p w:rsidR="00363C82" w:rsidRDefault="00363C82" w:rsidP="00B95D2A">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506">
    <w:p w:rsidR="00363C82" w:rsidRDefault="00363C82" w:rsidP="00B95D2A">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507">
    <w:p w:rsidR="00363C82" w:rsidRDefault="00363C82" w:rsidP="00B95D2A">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08">
    <w:p w:rsidR="00363C82" w:rsidRDefault="00363C82" w:rsidP="00B95D2A">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509">
    <w:p w:rsidR="00363C82" w:rsidRDefault="00363C82" w:rsidP="00B95D2A">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510">
    <w:p w:rsidR="00363C82" w:rsidRDefault="00363C82" w:rsidP="00B95D2A">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511">
    <w:p w:rsidR="00363C82" w:rsidRDefault="00363C82" w:rsidP="00B95D2A">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512">
    <w:p w:rsidR="00363C82" w:rsidRDefault="00363C82" w:rsidP="00B95D2A">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513">
    <w:p w:rsidR="00363C82" w:rsidRDefault="00363C82" w:rsidP="00B95D2A">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14">
    <w:p w:rsidR="00363C82" w:rsidRDefault="00363C82" w:rsidP="00B95D2A">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515">
    <w:p w:rsidR="00363C82" w:rsidRDefault="00363C82" w:rsidP="00B95D2A">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516">
    <w:p w:rsidR="00363C82" w:rsidRDefault="00363C82" w:rsidP="00B95D2A">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517">
    <w:p w:rsidR="00363C82" w:rsidRDefault="00363C82" w:rsidP="00B95D2A">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518">
    <w:p w:rsidR="00363C82" w:rsidRDefault="00363C82" w:rsidP="00B95D2A">
      <w:pPr>
        <w:pStyle w:val="FootnoteText"/>
      </w:pPr>
      <w:r>
        <w:rPr>
          <w:rStyle w:val="FootnoteReference"/>
        </w:rPr>
        <w:footnoteRef/>
      </w:r>
      <w:r>
        <w:t xml:space="preserve"> </w:t>
      </w:r>
      <w:r>
        <w:tab/>
        <w:t>Koedijk, K,G, and van Dijk, M, A., 2004, Global risk factors and the cost of capital</w:t>
      </w:r>
      <w:r w:rsidRPr="004C726F">
        <w:rPr>
          <w:rStyle w:val="AERtextitalic"/>
        </w:rPr>
        <w:t>, Financial analysts journal</w:t>
      </w:r>
      <w:r>
        <w:t xml:space="preserve">, March/April 2004, p. 33.  </w:t>
      </w:r>
    </w:p>
  </w:footnote>
  <w:footnote w:id="519">
    <w:p w:rsidR="00363C82" w:rsidRDefault="00363C82" w:rsidP="00B95D2A">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520">
    <w:p w:rsidR="00363C82" w:rsidRDefault="00363C82" w:rsidP="00B95D2A">
      <w:pPr>
        <w:pStyle w:val="FootnoteText"/>
      </w:pPr>
      <w:r>
        <w:rPr>
          <w:rStyle w:val="FootnoteReference"/>
        </w:rPr>
        <w:footnoteRef/>
      </w:r>
      <w:r>
        <w:t xml:space="preserve"> </w:t>
      </w:r>
      <w:r>
        <w:tab/>
        <w:t xml:space="preserve">Koedijk, K,G,, and van Dijk, M, A., 2004, Global risk factors and the cost of capital, </w:t>
      </w:r>
      <w:r w:rsidRPr="004C726F">
        <w:rPr>
          <w:rStyle w:val="AERtextitalic"/>
        </w:rPr>
        <w:t>Financial analysts journal</w:t>
      </w:r>
      <w:r>
        <w:t xml:space="preserve">, March/April 2004, p. 33.  </w:t>
      </w:r>
    </w:p>
  </w:footnote>
  <w:footnote w:id="521">
    <w:p w:rsidR="00363C82" w:rsidRDefault="00363C82" w:rsidP="00B95D2A">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522">
    <w:p w:rsidR="00363C82" w:rsidRDefault="00363C82" w:rsidP="00B95D2A">
      <w:pPr>
        <w:pStyle w:val="FootnoteText"/>
      </w:pPr>
      <w:r>
        <w:rPr>
          <w:rStyle w:val="FootnoteReference"/>
        </w:rPr>
        <w:footnoteRef/>
      </w:r>
      <w:r>
        <w:t xml:space="preserve"> </w:t>
      </w:r>
      <w:r>
        <w:tab/>
        <w:t xml:space="preserve">Lally, </w:t>
      </w:r>
      <w:r w:rsidRPr="00CD376D">
        <w:rPr>
          <w:rStyle w:val="AERtextitalic"/>
        </w:rPr>
        <w:t>The estimation of gamma</w:t>
      </w:r>
      <w:r>
        <w:t>, November 2013, pp. 39–43.</w:t>
      </w:r>
    </w:p>
  </w:footnote>
  <w:footnote w:id="523">
    <w:p w:rsidR="00363C82" w:rsidRDefault="00363C82" w:rsidP="00B95D2A">
      <w:pPr>
        <w:pStyle w:val="FootnoteText"/>
      </w:pPr>
      <w:r>
        <w:rPr>
          <w:rStyle w:val="FootnoteReference"/>
        </w:rPr>
        <w:footnoteRef/>
      </w:r>
      <w:r>
        <w:t xml:space="preserve"> </w:t>
      </w:r>
      <w:r>
        <w:tab/>
      </w:r>
      <w:r w:rsidRPr="006D49F4">
        <w:t xml:space="preserve">United Energy, </w:t>
      </w:r>
      <w:r w:rsidRPr="00CD376D">
        <w:rPr>
          <w:rStyle w:val="AERtextitalic"/>
        </w:rPr>
        <w:t>Submission on AER preliminary determination - Submission on gamma</w:t>
      </w:r>
      <w:r w:rsidRPr="006D49F4">
        <w:t>, 26 April 2016.</w:t>
      </w:r>
    </w:p>
  </w:footnote>
  <w:footnote w:id="524">
    <w:p w:rsidR="00363C82" w:rsidRPr="00B27BE5" w:rsidRDefault="00363C82" w:rsidP="00B95D2A">
      <w:pPr>
        <w:pStyle w:val="FootnoteText"/>
        <w:rPr>
          <w:rStyle w:val="AERtexthighlight"/>
        </w:rPr>
      </w:pPr>
      <w:r>
        <w:rPr>
          <w:rStyle w:val="FootnoteReference"/>
        </w:rPr>
        <w:footnoteRef/>
      </w:r>
      <w:r>
        <w:t xml:space="preserve"> </w:t>
      </w:r>
      <w:r>
        <w:tab/>
      </w:r>
      <w:r w:rsidRPr="006D49F4">
        <w:t xml:space="preserve">Australian Competition Tribunal, </w:t>
      </w:r>
      <w:r w:rsidRPr="00CD376D">
        <w:rPr>
          <w:rStyle w:val="AERtextitalic"/>
        </w:rPr>
        <w:t>Application by Public Interest Advocacy Centre Ltd and Ausgrid [2016] ACompT 1</w:t>
      </w:r>
      <w:r w:rsidRPr="006D49F4">
        <w:t>, 26 February 2016, para. 1106.</w:t>
      </w:r>
    </w:p>
  </w:footnote>
  <w:footnote w:id="525">
    <w:p w:rsidR="00363C82" w:rsidRDefault="00363C82" w:rsidP="00B95D2A">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526">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18; M. Lally, </w:t>
      </w:r>
      <w:r w:rsidRPr="00AC29DB">
        <w:rPr>
          <w:rStyle w:val="AERtextitalic"/>
        </w:rPr>
        <w:t>Issues in the estimation of gamma</w:t>
      </w:r>
      <w:r>
        <w:t>, April 2017</w:t>
      </w:r>
      <w:r w:rsidRPr="002B7E95">
        <w:rPr>
          <w:rStyle w:val="AERtextitalic"/>
          <w:i w:val="0"/>
        </w:rPr>
        <w:t>, p. 29.</w:t>
      </w:r>
    </w:p>
  </w:footnote>
  <w:footnote w:id="527">
    <w:p w:rsidR="00363C82" w:rsidRDefault="00363C82" w:rsidP="00B95D2A">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528">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529">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30">
    <w:p w:rsidR="00363C82" w:rsidRDefault="00363C82" w:rsidP="00B95D2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531">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284; 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532">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184.</w:t>
      </w:r>
    </w:p>
  </w:footnote>
  <w:footnote w:id="533">
    <w:p w:rsidR="00363C82" w:rsidRDefault="00363C82" w:rsidP="00B95D2A">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534">
    <w:p w:rsidR="00363C82" w:rsidRDefault="00363C82" w:rsidP="00B95D2A">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p>
  </w:footnote>
  <w:footnote w:id="535">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xml:space="preserve">, January 2016, pp. 354, 368; AusNet Transmission, </w:t>
      </w:r>
      <w:r>
        <w:rPr>
          <w:rStyle w:val="AERtextitalic"/>
        </w:rPr>
        <w:t>Transmission Revenue Proposal Review 2017-2022, Revised Revenue Proposal</w:t>
      </w:r>
      <w:r>
        <w:t>, 21 September 2016, p. 205.</w:t>
      </w:r>
    </w:p>
  </w:footnote>
  <w:footnote w:id="536">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537">
    <w:p w:rsidR="00363C82" w:rsidRPr="00CB3A71"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AusNet Transmission, </w:t>
      </w:r>
      <w:r>
        <w:rPr>
          <w:rStyle w:val="AERtextitalic"/>
        </w:rPr>
        <w:t>Transmission Revenue Proposal Review 2017-2022, Revised Revenue Proposal</w:t>
      </w:r>
      <w:r>
        <w:t>, 21 September 2016, p. 205;</w:t>
      </w:r>
      <w:r w:rsidRPr="00CB3A71">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538">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367-368.</w:t>
      </w:r>
    </w:p>
  </w:footnote>
  <w:footnote w:id="539">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540">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541">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542">
    <w:p w:rsidR="00363C82" w:rsidRDefault="00363C82" w:rsidP="00B95D2A">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543">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44">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545">
    <w:p w:rsidR="00363C82" w:rsidRDefault="00363C82" w:rsidP="00B95D2A">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546">
    <w:p w:rsidR="00363C82" w:rsidRPr="00EA3C68"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F403D5">
        <w:rPr>
          <w:rStyle w:val="AERtextitalic"/>
        </w:rPr>
        <w:t xml:space="preserve">, </w:t>
      </w:r>
      <w:r w:rsidRPr="004423C9">
        <w:rPr>
          <w:rStyle w:val="AERtextitalic"/>
          <w:i w:val="0"/>
        </w:rPr>
        <w:t>p. 13.</w:t>
      </w:r>
    </w:p>
  </w:footnote>
  <w:footnote w:id="547">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548">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4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550">
    <w:p w:rsidR="00363C82" w:rsidRDefault="00363C82" w:rsidP="00B95D2A">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551">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552">
    <w:p w:rsidR="00363C82" w:rsidRDefault="00363C82" w:rsidP="00B95D2A">
      <w:pPr>
        <w:pStyle w:val="FootnoteText"/>
      </w:pPr>
      <w:r>
        <w:rPr>
          <w:rStyle w:val="FootnoteReference"/>
        </w:rPr>
        <w:footnoteRef/>
      </w:r>
      <w:r>
        <w:t xml:space="preserve"> </w:t>
      </w:r>
      <w:r>
        <w:tab/>
        <w:t xml:space="preserve">Frontier, </w:t>
      </w:r>
      <w:r w:rsidRPr="00AC29DB">
        <w:rPr>
          <w:rStyle w:val="AERtextitalic"/>
        </w:rPr>
        <w:t>The appropriate use of tax statistics when estimating gamma</w:t>
      </w:r>
      <w:r>
        <w:t>, January 2016, p. 15.</w:t>
      </w:r>
    </w:p>
  </w:footnote>
  <w:footnote w:id="553">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554">
    <w:p w:rsidR="00363C82" w:rsidRDefault="00363C82" w:rsidP="00B95D2A">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555">
    <w:p w:rsidR="00363C82" w:rsidRDefault="00363C82" w:rsidP="00B95D2A">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556">
    <w:p w:rsidR="00363C82" w:rsidRDefault="00363C82" w:rsidP="00B95D2A">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rsidR="003E419A">
        <w:t>A.13</w:t>
      </w:r>
      <w:r>
        <w:fldChar w:fldCharType="end"/>
      </w:r>
      <w:r>
        <w:t xml:space="preserve">, we have regard to </w:t>
      </w:r>
      <w:r w:rsidRPr="007938F1">
        <w:t>Hathaway's finding that the ATO statistics are subject to a number of issues prior to 2004</w:t>
      </w:r>
      <w:r>
        <w:t>.</w:t>
      </w:r>
    </w:p>
  </w:footnote>
  <w:footnote w:id="557">
    <w:p w:rsidR="00363C82" w:rsidRDefault="00363C82" w:rsidP="00B95D2A">
      <w:pPr>
        <w:pStyle w:val="FootnoteText"/>
      </w:pPr>
      <w:r>
        <w:rPr>
          <w:rStyle w:val="FootnoteReference"/>
        </w:rPr>
        <w:footnoteRef/>
      </w:r>
      <w:r>
        <w:t xml:space="preserve"> </w:t>
      </w:r>
      <w:r>
        <w:tab/>
        <w:t xml:space="preserve">Frontier, </w:t>
      </w:r>
      <w:r w:rsidRPr="00AC29DB">
        <w:rPr>
          <w:rStyle w:val="AERtextitalic"/>
        </w:rPr>
        <w:t>The appropriate use of tax statistics when estimating gamma</w:t>
      </w:r>
      <w:r>
        <w:t>, January 2016, p. 20.</w:t>
      </w:r>
    </w:p>
  </w:footnote>
  <w:footnote w:id="558">
    <w:p w:rsidR="00363C82" w:rsidRDefault="00363C82" w:rsidP="00B95D2A">
      <w:pPr>
        <w:pStyle w:val="FootnoteText"/>
      </w:pPr>
      <w:r>
        <w:rPr>
          <w:rStyle w:val="FootnoteReference"/>
        </w:rPr>
        <w:footnoteRef/>
      </w:r>
      <w:r>
        <w:t xml:space="preserve"> </w:t>
      </w:r>
      <w:r>
        <w:tab/>
        <w:t xml:space="preserve">Frontier, </w:t>
      </w:r>
      <w:r w:rsidRPr="00AC29DB">
        <w:rPr>
          <w:rStyle w:val="AERtextitalic"/>
        </w:rPr>
        <w:t>The appropriate use of tax statistics when estimating gamma</w:t>
      </w:r>
      <w:r>
        <w:t>, January 2016, p. 20.</w:t>
      </w:r>
    </w:p>
  </w:footnote>
  <w:footnote w:id="55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56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561">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92; AusNet Transmission, </w:t>
      </w:r>
      <w:r>
        <w:rPr>
          <w:rStyle w:val="AERtextitalic"/>
        </w:rPr>
        <w:t>Transmission Revenue Proposal Review 2017-2022, Revised Revenue Proposal</w:t>
      </w:r>
      <w:r>
        <w:t xml:space="preserve">, 21 September 2016, pp. 204-206; Frontier Economics, </w:t>
      </w:r>
      <w:r>
        <w:rPr>
          <w:rStyle w:val="AERtextitalic"/>
        </w:rPr>
        <w:t xml:space="preserve">Issues in the estimation of gamma, Report prepared for AGN, Multinet Gas, AusNet Transmission and AusNet Gas, September 2016, </w:t>
      </w:r>
      <w:r w:rsidRPr="004423C9">
        <w:rPr>
          <w:rStyle w:val="AERtextitalic"/>
          <w:i w:val="0"/>
        </w:rPr>
        <w:t>p. 3.</w:t>
      </w:r>
    </w:p>
  </w:footnote>
  <w:footnote w:id="562">
    <w:p w:rsidR="00363C82" w:rsidRDefault="00363C82" w:rsidP="00B95D2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563">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564">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565">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 xml:space="preserve">Frontier, </w:t>
      </w:r>
      <w:r w:rsidRPr="00AC29DB">
        <w:rPr>
          <w:rStyle w:val="AERtextitalic"/>
        </w:rPr>
        <w:t>The appropriate use of tax statistics when estimating gamm</w:t>
      </w:r>
      <w:r w:rsidRPr="003168FF">
        <w:t>a, January 2016, p. </w:t>
      </w:r>
      <w:r>
        <w:t>6.</w:t>
      </w:r>
    </w:p>
  </w:footnote>
  <w:footnote w:id="566">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 xml:space="preserve">Frontier, </w:t>
      </w:r>
      <w:r w:rsidRPr="004C726F">
        <w:rPr>
          <w:rStyle w:val="AERtextitalic"/>
        </w:rPr>
        <w:t>The appropriate use of tax statistics when estimating gamma</w:t>
      </w:r>
      <w:r w:rsidRPr="003168FF">
        <w:t>, January 2016, p. </w:t>
      </w:r>
      <w:r>
        <w:t>6.</w:t>
      </w:r>
    </w:p>
  </w:footnote>
  <w:footnote w:id="567">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568">
    <w:p w:rsidR="00363C82" w:rsidRDefault="00363C82" w:rsidP="00B95D2A">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569">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57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57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572">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24-26, 28-29.</w:t>
      </w:r>
    </w:p>
  </w:footnote>
  <w:footnote w:id="573">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pp. 205-206; 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6-11.</w:t>
      </w:r>
    </w:p>
  </w:footnote>
  <w:footnote w:id="574">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21 September 2016, pp. 205-206;</w:t>
      </w:r>
      <w:r w:rsidRPr="005957B5">
        <w:t xml:space="preserve"> </w:t>
      </w:r>
      <w:r>
        <w:t xml:space="preserve">Frontier Economics, </w:t>
      </w:r>
      <w:r>
        <w:rPr>
          <w:rStyle w:val="AERtextitalic"/>
        </w:rPr>
        <w:t xml:space="preserve">Issues in the estimation of gamma, Report prepared for AGN, Multinet Gas, AusNet Transmission and AusNet Gas, </w:t>
      </w:r>
      <w:r w:rsidRPr="005957B5">
        <w:rPr>
          <w:rStyle w:val="AERtextitalic"/>
        </w:rPr>
        <w:t xml:space="preserve">September 2016, </w:t>
      </w:r>
      <w:r w:rsidRPr="004423C9">
        <w:rPr>
          <w:rStyle w:val="AERtextitalic"/>
          <w:i w:val="0"/>
        </w:rPr>
        <w:t>pp. 6-11.</w:t>
      </w:r>
    </w:p>
  </w:footnote>
  <w:footnote w:id="575">
    <w:p w:rsidR="00363C82" w:rsidRDefault="00363C82" w:rsidP="00B95D2A">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pp. 10-11.</w:t>
      </w:r>
    </w:p>
  </w:footnote>
  <w:footnote w:id="576">
    <w:p w:rsidR="00363C82" w:rsidRPr="001224E1" w:rsidRDefault="00363C82" w:rsidP="00B95D2A">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September 2016, </w:t>
      </w:r>
      <w:r w:rsidRPr="004423C9">
        <w:rPr>
          <w:rStyle w:val="AERtextitalic"/>
          <w:i w:val="0"/>
        </w:rPr>
        <w:t>p. 9.</w:t>
      </w:r>
    </w:p>
  </w:footnote>
  <w:footnote w:id="577">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9.</w:t>
      </w:r>
    </w:p>
  </w:footnote>
  <w:footnote w:id="578">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Pr>
          <w:rStyle w:val="AERtextitalic"/>
          <w:i w:val="0"/>
        </w:rPr>
        <w:t>, p. </w:t>
      </w:r>
      <w:r w:rsidRPr="00F24DB2">
        <w:rPr>
          <w:rStyle w:val="AERtextitalic"/>
          <w:i w:val="0"/>
        </w:rPr>
        <w:t>10</w:t>
      </w:r>
      <w:r w:rsidRPr="001224E1">
        <w:rPr>
          <w:rStyle w:val="AERtextitalic"/>
          <w:i w:val="0"/>
        </w:rPr>
        <w:t>.</w:t>
      </w:r>
    </w:p>
  </w:footnote>
  <w:footnote w:id="579">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580">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w:t>
      </w:r>
      <w:r w:rsidRPr="005957B5">
        <w:rPr>
          <w:rStyle w:val="AERtextitalic"/>
          <w:i w:val="0"/>
        </w:rPr>
        <w:t> </w:t>
      </w:r>
      <w:r w:rsidRPr="004423C9">
        <w:rPr>
          <w:rStyle w:val="AERtextitalic"/>
          <w:i w:val="0"/>
        </w:rPr>
        <w:t>10</w:t>
      </w:r>
      <w:r w:rsidRPr="005957B5">
        <w:rPr>
          <w:rStyle w:val="AERtextitalic"/>
          <w:i w:val="0"/>
        </w:rPr>
        <w:t>.</w:t>
      </w:r>
    </w:p>
  </w:footnote>
  <w:footnote w:id="581">
    <w:p w:rsidR="00363C82" w:rsidRPr="001224E1" w:rsidRDefault="00363C82" w:rsidP="00B95D2A">
      <w:pPr>
        <w:pStyle w:val="FootnoteText"/>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9</w:t>
      </w:r>
      <w:r w:rsidRPr="005957B5">
        <w:rPr>
          <w:rStyle w:val="AERtextitalic"/>
          <w:i w:val="0"/>
        </w:rPr>
        <w:t>.</w:t>
      </w:r>
    </w:p>
  </w:footnote>
  <w:footnote w:id="582">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4576F7">
        <w:rPr>
          <w:rStyle w:val="AERtextitalic"/>
          <w:i w:val="0"/>
        </w:rPr>
        <w:t>, p. 10.</w:t>
      </w:r>
    </w:p>
  </w:footnote>
  <w:footnote w:id="583">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E43353">
        <w:rPr>
          <w:rStyle w:val="AERtextitalic"/>
          <w:i w:val="0"/>
        </w:rPr>
        <w:t>, p. </w:t>
      </w:r>
      <w:r w:rsidRPr="004423C9">
        <w:rPr>
          <w:rStyle w:val="AERtextitalic"/>
          <w:i w:val="0"/>
        </w:rPr>
        <w:t>10</w:t>
      </w:r>
      <w:r w:rsidRPr="00E43353">
        <w:rPr>
          <w:rStyle w:val="AERtextitalic"/>
          <w:i w:val="0"/>
        </w:rPr>
        <w:t>.</w:t>
      </w:r>
    </w:p>
  </w:footnote>
  <w:footnote w:id="584">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xml:space="preserve">, April </w:t>
      </w:r>
      <w:r w:rsidRPr="00E43353">
        <w:t>2017</w:t>
      </w:r>
      <w:r w:rsidRPr="00E43353">
        <w:rPr>
          <w:rStyle w:val="AERtextitalic"/>
          <w:i w:val="0"/>
        </w:rPr>
        <w:t>, p. </w:t>
      </w:r>
      <w:r w:rsidRPr="004423C9">
        <w:rPr>
          <w:rStyle w:val="AERtextitalic"/>
          <w:i w:val="0"/>
        </w:rPr>
        <w:t>10</w:t>
      </w:r>
      <w:r w:rsidRPr="001224E1">
        <w:rPr>
          <w:rStyle w:val="AERtextitalic"/>
          <w:i w:val="0"/>
        </w:rPr>
        <w:t>.</w:t>
      </w:r>
    </w:p>
  </w:footnote>
  <w:footnote w:id="585">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182</w:t>
      </w:r>
      <w:r w:rsidRPr="008F5D24">
        <w:t>.</w:t>
      </w:r>
    </w:p>
  </w:footnote>
  <w:footnote w:id="586">
    <w:p w:rsidR="00363C82" w:rsidRPr="001224E1" w:rsidRDefault="00363C82" w:rsidP="00B95D2A">
      <w:pPr>
        <w:pStyle w:val="FootnoteText"/>
      </w:pPr>
      <w:r>
        <w:rPr>
          <w:rStyle w:val="FootnoteReference"/>
        </w:rPr>
        <w:footnoteRef/>
      </w:r>
      <w:r>
        <w:t xml:space="preserve"> </w:t>
      </w:r>
      <w:r>
        <w:tab/>
        <w:t>M. Lally, Issues in the estimation of gamma, April 2017</w:t>
      </w:r>
      <w:r w:rsidRPr="001224E1">
        <w:rPr>
          <w:rStyle w:val="AERtextitalic"/>
          <w:i w:val="0"/>
        </w:rPr>
        <w:t>, p.</w:t>
      </w:r>
      <w:r w:rsidRPr="00E43353">
        <w:rPr>
          <w:rStyle w:val="AERtextitalic"/>
          <w:i w:val="0"/>
        </w:rPr>
        <w:t> </w:t>
      </w:r>
      <w:r w:rsidRPr="004423C9">
        <w:rPr>
          <w:rStyle w:val="AERtextitalic"/>
          <w:i w:val="0"/>
        </w:rPr>
        <w:t>10;</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pp. 9-10</w:t>
      </w:r>
      <w:r>
        <w:rPr>
          <w:rStyle w:val="AERtextitalic"/>
        </w:rPr>
        <w:t>.</w:t>
      </w:r>
    </w:p>
  </w:footnote>
  <w:footnote w:id="587">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Pr>
          <w:rStyle w:val="AERtextitalic"/>
          <w:i w:val="0"/>
        </w:rPr>
        <w:t>, p</w:t>
      </w:r>
      <w:r w:rsidRPr="00E43353">
        <w:rPr>
          <w:rStyle w:val="AERtextitalic"/>
          <w:i w:val="0"/>
        </w:rPr>
        <w:t>. </w:t>
      </w:r>
      <w:r w:rsidRPr="004423C9">
        <w:rPr>
          <w:rStyle w:val="AERtextitalic"/>
          <w:i w:val="0"/>
        </w:rPr>
        <w:t>10</w:t>
      </w:r>
      <w:r w:rsidRPr="00E43353">
        <w:rPr>
          <w:rStyle w:val="AERtextitalic"/>
          <w:i w:val="0"/>
        </w:rPr>
        <w:t>.</w:t>
      </w:r>
    </w:p>
  </w:footnote>
  <w:footnote w:id="588">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w:t>
      </w:r>
      <w:r w:rsidRPr="00BF1C4B">
        <w:rPr>
          <w:rStyle w:val="AERtextitalic"/>
          <w:i w:val="0"/>
        </w:rPr>
        <w:t> </w:t>
      </w:r>
      <w:r w:rsidRPr="004576F7">
        <w:rPr>
          <w:rStyle w:val="AERtextitalic"/>
          <w:i w:val="0"/>
        </w:rPr>
        <w:t>10</w:t>
      </w:r>
      <w:r w:rsidRPr="00BF1C4B">
        <w:rPr>
          <w:rStyle w:val="AERtextitalic"/>
          <w:i w:val="0"/>
        </w:rPr>
        <w:t>.</w:t>
      </w:r>
    </w:p>
  </w:footnote>
  <w:footnote w:id="589">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Pr>
          <w:rStyle w:val="AERtextitalic"/>
          <w:i w:val="0"/>
        </w:rPr>
        <w:t>, p.</w:t>
      </w:r>
      <w:r w:rsidRPr="00677BC6">
        <w:rPr>
          <w:rStyle w:val="AERtextitalic"/>
          <w:i w:val="0"/>
        </w:rPr>
        <w:t> </w:t>
      </w:r>
      <w:r w:rsidRPr="004423C9">
        <w:rPr>
          <w:rStyle w:val="AERtextitalic"/>
          <w:i w:val="0"/>
        </w:rPr>
        <w:t>10</w:t>
      </w:r>
      <w:r w:rsidRPr="00677BC6">
        <w:rPr>
          <w:rStyle w:val="AERtextitalic"/>
          <w:i w:val="0"/>
        </w:rPr>
        <w:t>.</w:t>
      </w:r>
    </w:p>
  </w:footnote>
  <w:footnote w:id="590">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677BC6">
        <w:rPr>
          <w:rStyle w:val="AERtextitalic"/>
          <w:i w:val="0"/>
        </w:rPr>
        <w:t>p</w:t>
      </w:r>
      <w:r w:rsidRPr="004423C9">
        <w:rPr>
          <w:rStyle w:val="AERtextitalic"/>
          <w:i w:val="0"/>
        </w:rPr>
        <w:t>p</w:t>
      </w:r>
      <w:r w:rsidRPr="00677BC6">
        <w:rPr>
          <w:rStyle w:val="AERtextitalic"/>
          <w:i w:val="0"/>
        </w:rPr>
        <w:t>. </w:t>
      </w:r>
      <w:r w:rsidRPr="004423C9">
        <w:rPr>
          <w:rStyle w:val="AERtextitalic"/>
          <w:i w:val="0"/>
        </w:rPr>
        <w:t>10-11, 27, 29</w:t>
      </w:r>
      <w:r w:rsidRPr="00677BC6">
        <w:rPr>
          <w:rStyle w:val="AERtextitalic"/>
          <w:i w:val="0"/>
        </w:rPr>
        <w:t>.</w:t>
      </w:r>
    </w:p>
  </w:footnote>
  <w:footnote w:id="591">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68340D">
        <w:rPr>
          <w:rStyle w:val="AERtextitalic"/>
          <w:i w:val="0"/>
        </w:rPr>
        <w:t>11</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p>
  </w:footnote>
  <w:footnote w:id="592">
    <w:p w:rsidR="00363C82" w:rsidRPr="00396EBB"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396EBB">
        <w:rPr>
          <w:rStyle w:val="AERtextitalic"/>
          <w:i w:val="0"/>
        </w:rPr>
        <w:t>p</w:t>
      </w:r>
      <w:r w:rsidRPr="00D7695B">
        <w:rPr>
          <w:rStyle w:val="AERtextitalic"/>
          <w:i w:val="0"/>
        </w:rPr>
        <w:t>p</w:t>
      </w:r>
      <w:r w:rsidRPr="00396EBB">
        <w:rPr>
          <w:rStyle w:val="AERtextitalic"/>
          <w:i w:val="0"/>
        </w:rPr>
        <w:t>. 11</w:t>
      </w:r>
      <w:r w:rsidRPr="00D7695B">
        <w:rPr>
          <w:rStyle w:val="AERtextitalic"/>
          <w:i w:val="0"/>
        </w:rPr>
        <w:t>, 23</w:t>
      </w:r>
      <w:r w:rsidRPr="00396EBB">
        <w:rPr>
          <w:rStyle w:val="AERtextitalic"/>
          <w:i w:val="0"/>
        </w:rPr>
        <w:t>.</w:t>
      </w:r>
    </w:p>
  </w:footnote>
  <w:footnote w:id="593">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D7695B">
        <w:rPr>
          <w:rStyle w:val="AERtextitalic"/>
          <w:i w:val="0"/>
        </w:rPr>
        <w:t>p</w:t>
      </w:r>
      <w:r w:rsidRPr="00396EBB">
        <w:rPr>
          <w:rStyle w:val="AERtextitalic"/>
          <w:i w:val="0"/>
        </w:rPr>
        <w:t>p. 11</w:t>
      </w:r>
      <w:r w:rsidRPr="00D7695B">
        <w:rPr>
          <w:rStyle w:val="AERtextitalic"/>
          <w:i w:val="0"/>
        </w:rPr>
        <w:t>, 23</w:t>
      </w:r>
      <w:r w:rsidRPr="00396EBB">
        <w:rPr>
          <w:rStyle w:val="AERtextitalic"/>
          <w:i w:val="0"/>
        </w:rPr>
        <w:t>.</w:t>
      </w:r>
    </w:p>
  </w:footnote>
  <w:footnote w:id="594">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FF354E">
        <w:rPr>
          <w:rStyle w:val="AERtextitalic"/>
          <w:i w:val="0"/>
        </w:rPr>
        <w:t>p</w:t>
      </w:r>
      <w:r w:rsidRPr="00396EBB">
        <w:rPr>
          <w:rStyle w:val="AERtextitalic"/>
          <w:i w:val="0"/>
        </w:rPr>
        <w:t>. </w:t>
      </w:r>
      <w:r w:rsidRPr="00FF354E">
        <w:rPr>
          <w:rStyle w:val="AERtextitalic"/>
          <w:i w:val="0"/>
        </w:rPr>
        <w:t>23</w:t>
      </w:r>
      <w:r w:rsidRPr="00396EBB">
        <w:rPr>
          <w:rStyle w:val="AERtextitalic"/>
          <w:i w:val="0"/>
        </w:rPr>
        <w:t>.</w:t>
      </w:r>
    </w:p>
  </w:footnote>
  <w:footnote w:id="595">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2D6646">
        <w:rPr>
          <w:rStyle w:val="AERtextitalic"/>
          <w:i w:val="0"/>
        </w:rPr>
        <w:t>1</w:t>
      </w:r>
      <w:r w:rsidRPr="002D7AA8">
        <w:rPr>
          <w:rStyle w:val="AERtextitalic"/>
          <w:i w:val="0"/>
        </w:rPr>
        <w:t>2</w:t>
      </w:r>
      <w:r>
        <w:rPr>
          <w:rStyle w:val="AERtextitalic"/>
        </w:rPr>
        <w:t xml:space="preserve">; </w:t>
      </w:r>
      <w:r>
        <w:t xml:space="preserve">Frontier Economics, </w:t>
      </w:r>
      <w:r>
        <w:rPr>
          <w:rStyle w:val="AERtextitalic"/>
        </w:rPr>
        <w:t xml:space="preserve">Issues in the estimation of gamma, Report prepared for AGN, Multinet Gas, AusNet Transmission and AusNet Gas, </w:t>
      </w:r>
      <w:r w:rsidRPr="004423C9">
        <w:rPr>
          <w:rStyle w:val="AERtextitalic"/>
          <w:i w:val="0"/>
        </w:rPr>
        <w:t>September 2016, p. 10.</w:t>
      </w:r>
      <w:r>
        <w:rPr>
          <w:rStyle w:val="AERtextitalic"/>
        </w:rPr>
        <w:t xml:space="preserve"> </w:t>
      </w:r>
    </w:p>
  </w:footnote>
  <w:footnote w:id="596">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597">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2D6646">
        <w:rPr>
          <w:rStyle w:val="AERtextitalic"/>
          <w:i w:val="0"/>
        </w:rPr>
        <w:t>1</w:t>
      </w:r>
      <w:r w:rsidRPr="00DC0074">
        <w:rPr>
          <w:rStyle w:val="AERtextitalic"/>
          <w:i w:val="0"/>
        </w:rPr>
        <w:t>2</w:t>
      </w:r>
      <w:r w:rsidRPr="002D6646">
        <w:rPr>
          <w:rStyle w:val="AERtextitalic"/>
          <w:i w:val="0"/>
        </w:rPr>
        <w:t>.</w:t>
      </w:r>
    </w:p>
  </w:footnote>
  <w:footnote w:id="598">
    <w:p w:rsidR="00363C82" w:rsidRDefault="00363C82" w:rsidP="00B95D2A">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599">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600">
    <w:p w:rsidR="00363C82" w:rsidRDefault="00363C82" w:rsidP="00B95D2A">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601">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602">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 </w:t>
      </w:r>
      <w:r>
        <w:t xml:space="preserve">292; Australian Gas Networks, </w:t>
      </w:r>
      <w:r>
        <w:rPr>
          <w:rStyle w:val="AERtextitalic"/>
        </w:rPr>
        <w:t>Attachment 11 Response to Draft Decision: Cost of Tax</w:t>
      </w:r>
      <w:r>
        <w:t xml:space="preserve">, January 2016, pp. 7-8;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xml:space="preserve">, January 2016, p. 91; AusNet Transmission, </w:t>
      </w:r>
      <w:r>
        <w:rPr>
          <w:rStyle w:val="AERtextitalic"/>
        </w:rPr>
        <w:t>Transmission Revenue Proposal Review 2017-2022, Revised Revenue Proposal</w:t>
      </w:r>
      <w:r>
        <w:t>, 21 September 2016, pp. 205-206.</w:t>
      </w:r>
    </w:p>
  </w:footnote>
  <w:footnote w:id="603">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26-29.</w:t>
      </w:r>
    </w:p>
  </w:footnote>
  <w:footnote w:id="604">
    <w:p w:rsidR="00363C82" w:rsidRDefault="00363C82" w:rsidP="00B95D2A">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605">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288, 292; AusNet Services, 2016-20 Regulatory Proposal, April 2015, pp. 353-354; United Energy, </w:t>
      </w:r>
      <w:r w:rsidRPr="004C726F">
        <w:rPr>
          <w:rStyle w:val="AERtextitalic"/>
        </w:rPr>
        <w:t>Assessment of the Value of Imputation Credits - Gamma</w:t>
      </w:r>
      <w:r>
        <w:t xml:space="preserve">, </w:t>
      </w:r>
      <w:r w:rsidRPr="004C726F">
        <w:rPr>
          <w:rStyle w:val="AERtextitalic"/>
        </w:rPr>
        <w:t>Proposal for 2016 to 2020</w:t>
      </w:r>
      <w:r>
        <w:t xml:space="preserve">, April 2015, pp. 1–4; CitiPower, </w:t>
      </w:r>
      <w:r w:rsidRPr="00596AF9">
        <w:rPr>
          <w:i/>
        </w:rPr>
        <w:t>Appendix J - Gamma</w:t>
      </w:r>
      <w:r>
        <w:t xml:space="preserve">, April 2015, pp. 4–7; Powercor, Appendix J - Gamma, April 2015, pp. 4–7; Jemena Electricity, </w:t>
      </w:r>
      <w:r w:rsidRPr="004C726F">
        <w:rPr>
          <w:rStyle w:val="AERtextitalic"/>
        </w:rPr>
        <w:t>Attachment 06-06 Gamma proposal</w:t>
      </w:r>
      <w:r>
        <w:t>, April 2015, pp. 6–8;</w:t>
      </w:r>
      <w:r w:rsidRPr="00A427FF">
        <w:t xml:space="preserve"> </w:t>
      </w:r>
      <w:r>
        <w:t xml:space="preserve">SA Power Networks, </w:t>
      </w:r>
      <w:r>
        <w:rPr>
          <w:rStyle w:val="AERtextitalic"/>
        </w:rPr>
        <w:t>Revised regulatory proposal 2015-20</w:t>
      </w:r>
      <w:r>
        <w:t xml:space="preserve">, July 2015, p. 378; Energex, </w:t>
      </w:r>
      <w:r w:rsidRPr="004C726F">
        <w:rPr>
          <w:rStyle w:val="AERtextitalic"/>
        </w:rPr>
        <w:t>Revised Regulatory Proposal</w:t>
      </w:r>
      <w:r>
        <w:t xml:space="preserve">, July 2015, pp. 124–125; Ergon, </w:t>
      </w:r>
      <w:r w:rsidRPr="00596AF9">
        <w:rPr>
          <w:i/>
        </w:rPr>
        <w:t>Revised Regulatory Proposal</w:t>
      </w:r>
      <w:r>
        <w:t xml:space="preserve">, July 2015, p. 153; ActewAGL Distribution, </w:t>
      </w:r>
      <w:r w:rsidRPr="004C726F">
        <w:rPr>
          <w:rStyle w:val="AERtextitalic"/>
        </w:rPr>
        <w:t>Attachment 8 Detailed gamma proposal</w:t>
      </w:r>
      <w:r>
        <w:t xml:space="preserve">,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xml:space="preserve">, January 2016, p. 355; AusNet Transmission, </w:t>
      </w:r>
      <w:r>
        <w:rPr>
          <w:rStyle w:val="AERtextitalic"/>
        </w:rPr>
        <w:t>Transmission Revenue Proposal Review 2017-2022, Revised Revenue Proposal</w:t>
      </w:r>
      <w:r>
        <w:t>, 21 September 2016, pp. 205-206.</w:t>
      </w:r>
    </w:p>
  </w:footnote>
  <w:footnote w:id="606">
    <w:p w:rsidR="00363C82" w:rsidRDefault="00363C82" w:rsidP="00B95D2A">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607">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608">
    <w:p w:rsidR="00363C82" w:rsidRDefault="00363C82" w:rsidP="00B95D2A">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60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25; AusNet Transmission, </w:t>
      </w:r>
      <w:r>
        <w:rPr>
          <w:rStyle w:val="AERtextitalic"/>
        </w:rPr>
        <w:t>Transmission Revenue Proposal Review 2017-2022, Revised Revenue Proposal</w:t>
      </w:r>
      <w:r>
        <w:t>, 21 September 2016, p. 205.</w:t>
      </w:r>
    </w:p>
  </w:footnote>
  <w:footnote w:id="610">
    <w:p w:rsidR="00363C82" w:rsidRPr="004D25AD"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6A200A">
        <w:rPr>
          <w:rStyle w:val="AERtextitalic"/>
          <w:i w:val="0"/>
        </w:rPr>
        <w:t xml:space="preserve">, </w:t>
      </w:r>
      <w:r w:rsidRPr="00CD38B5">
        <w:rPr>
          <w:rStyle w:val="AERtextitalic"/>
          <w:i w:val="0"/>
        </w:rPr>
        <w:t>p</w:t>
      </w:r>
      <w:r w:rsidRPr="004423C9">
        <w:rPr>
          <w:rStyle w:val="AERtextitalic"/>
          <w:i w:val="0"/>
        </w:rPr>
        <w:t>p</w:t>
      </w:r>
      <w:r w:rsidRPr="00CD38B5">
        <w:rPr>
          <w:rStyle w:val="AERtextitalic"/>
          <w:i w:val="0"/>
        </w:rPr>
        <w:t>. </w:t>
      </w:r>
      <w:r w:rsidRPr="004423C9">
        <w:rPr>
          <w:rStyle w:val="AERtextitalic"/>
          <w:i w:val="0"/>
        </w:rPr>
        <w:t xml:space="preserve">13, </w:t>
      </w:r>
      <w:r w:rsidRPr="00CD38B5">
        <w:rPr>
          <w:rStyle w:val="AERtextitalic"/>
          <w:i w:val="0"/>
        </w:rPr>
        <w:t>24.</w:t>
      </w:r>
    </w:p>
  </w:footnote>
  <w:footnote w:id="61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612">
    <w:p w:rsidR="00363C82" w:rsidRDefault="00363C82" w:rsidP="00B95D2A">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 29.</w:t>
      </w:r>
    </w:p>
  </w:footnote>
  <w:footnote w:id="613">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614">
    <w:p w:rsidR="00363C82" w:rsidRDefault="00363C82" w:rsidP="00B95D2A">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615">
    <w:p w:rsidR="00363C82" w:rsidRDefault="00363C82" w:rsidP="00B95D2A">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616">
    <w:p w:rsidR="00363C82" w:rsidRDefault="00363C82" w:rsidP="00B95D2A">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617">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18">
    <w:p w:rsidR="00363C82" w:rsidRDefault="00363C82" w:rsidP="00B95D2A">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619">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620">
    <w:p w:rsidR="00363C82" w:rsidRDefault="00363C82" w:rsidP="00B95D2A">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30;</w:t>
      </w:r>
      <w:r w:rsidRPr="000921FF">
        <w:t xml:space="preserve"> </w:t>
      </w:r>
      <w:r w:rsidRPr="00712BC2">
        <w:t xml:space="preserve">M. Lally, </w:t>
      </w:r>
      <w:r>
        <w:rPr>
          <w:rStyle w:val="AERtextitalic"/>
        </w:rPr>
        <w:t>Gamma and the ACT Decision</w:t>
      </w:r>
      <w:r>
        <w:t>, May 2016, p. 26.</w:t>
      </w:r>
    </w:p>
  </w:footnote>
  <w:footnote w:id="621">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22">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623">
    <w:p w:rsidR="00363C82" w:rsidRDefault="00363C82" w:rsidP="00B95D2A">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624">
    <w:p w:rsidR="00363C82" w:rsidRDefault="00363C82" w:rsidP="00B95D2A">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625">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26">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27">
    <w:p w:rsidR="00363C82" w:rsidRDefault="00363C82" w:rsidP="00B95D2A">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628">
    <w:p w:rsidR="00363C82" w:rsidRDefault="00363C82" w:rsidP="00B95D2A">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629">
    <w:p w:rsidR="00363C82" w:rsidRDefault="00363C82" w:rsidP="00B95D2A">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630">
    <w:p w:rsidR="00363C82" w:rsidRDefault="00363C82" w:rsidP="00B95D2A">
      <w:pPr>
        <w:pStyle w:val="FootnoteText"/>
      </w:pPr>
      <w:r>
        <w:rPr>
          <w:rStyle w:val="FootnoteReference"/>
        </w:rPr>
        <w:footnoteRef/>
      </w:r>
      <w:r>
        <w:t xml:space="preserve"> </w:t>
      </w:r>
      <w:r>
        <w:tab/>
      </w:r>
      <w:r w:rsidRPr="005F06A5">
        <w:t xml:space="preserve">Frontier, </w:t>
      </w:r>
      <w:r w:rsidRPr="000779DE">
        <w:rPr>
          <w:rStyle w:val="AERtextitalic"/>
        </w:rPr>
        <w:t>The appropriate use of tax statistics when estimating gamma</w:t>
      </w:r>
      <w:r w:rsidRPr="005F06A5">
        <w:t>, January 2016, p. </w:t>
      </w:r>
      <w:r>
        <w:t>7</w:t>
      </w:r>
      <w:r w:rsidRPr="005F06A5">
        <w:t>.</w:t>
      </w:r>
    </w:p>
  </w:footnote>
  <w:footnote w:id="631">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32">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 16.</w:t>
      </w:r>
    </w:p>
  </w:footnote>
  <w:footnote w:id="633">
    <w:p w:rsidR="00363C82" w:rsidRDefault="00363C82" w:rsidP="00B95D2A">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634">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635">
    <w:p w:rsidR="00363C82" w:rsidRDefault="00363C82" w:rsidP="00B95D2A">
      <w:pPr>
        <w:pStyle w:val="FootnoteText"/>
      </w:pPr>
      <w:r>
        <w:rPr>
          <w:rStyle w:val="FootnoteReference"/>
        </w:rPr>
        <w:footnoteRef/>
      </w:r>
      <w:r>
        <w:t xml:space="preserve"> </w:t>
      </w:r>
      <w:r>
        <w:tab/>
      </w:r>
      <w:r w:rsidRPr="00DD218F">
        <w:t xml:space="preserve">AusNet Transmission, </w:t>
      </w:r>
      <w:r w:rsidRPr="00DD218F">
        <w:rPr>
          <w:rStyle w:val="AERtextitalic"/>
        </w:rPr>
        <w:t>Transmission Revenue Review 2017-2022</w:t>
      </w:r>
      <w:r w:rsidRPr="00DD218F">
        <w:t>, October 2015, p</w:t>
      </w:r>
      <w:r>
        <w:t>p</w:t>
      </w:r>
      <w:r w:rsidRPr="00DD218F">
        <w:t>. </w:t>
      </w:r>
      <w:r>
        <w:t xml:space="preserve">304-305; 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xml:space="preserve">, January 2016, pp. 362, 364; AusNet Transmission, </w:t>
      </w:r>
      <w:r>
        <w:rPr>
          <w:rStyle w:val="AERtextitalic"/>
        </w:rPr>
        <w:t>Transmission Revenue Proposal Review 2017-2022, Revised Revenue Proposal</w:t>
      </w:r>
      <w:r>
        <w:t>, 21 September 2016, p. 210.</w:t>
      </w:r>
    </w:p>
  </w:footnote>
  <w:footnote w:id="636">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37">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638">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January 2016, pp. 13-15.</w:t>
      </w:r>
    </w:p>
  </w:footnote>
  <w:footnote w:id="63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4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641">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642">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643">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644">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645">
    <w:p w:rsidR="00363C82" w:rsidRDefault="00363C82" w:rsidP="00B95D2A">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1093.</w:t>
      </w:r>
    </w:p>
  </w:footnote>
  <w:footnote w:id="64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647">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648">
    <w:p w:rsidR="00363C82" w:rsidRDefault="00363C82" w:rsidP="00B95D2A">
      <w:pPr>
        <w:pStyle w:val="FootnoteText"/>
      </w:pPr>
      <w:r>
        <w:rPr>
          <w:rStyle w:val="FootnoteReference"/>
        </w:rPr>
        <w:footnoteRef/>
      </w:r>
      <w:r>
        <w:t xml:space="preserve"> </w:t>
      </w:r>
      <w:r>
        <w:tab/>
      </w:r>
      <w:r w:rsidRPr="00AC2168">
        <w:t xml:space="preserve">United Energy, </w:t>
      </w:r>
      <w:r w:rsidRPr="00C3341F">
        <w:rPr>
          <w:rStyle w:val="AERtextitalic"/>
        </w:rPr>
        <w:t>Submission on AER preliminary determination - Submission on gamma</w:t>
      </w:r>
      <w:r w:rsidRPr="00AC2168">
        <w:t xml:space="preserve">, 26 April 2016; Australian Competition Tribunal, </w:t>
      </w:r>
      <w:r w:rsidRPr="00C3341F">
        <w:rPr>
          <w:rStyle w:val="AERtextitalic"/>
        </w:rPr>
        <w:t>Application by Public Interest Advocacy Centre Ltd and Ausgrid [2016] ACompT 1</w:t>
      </w:r>
      <w:r w:rsidRPr="00AC2168">
        <w:t>, 26 February 2016, para. 1100.</w:t>
      </w:r>
    </w:p>
  </w:footnote>
  <w:footnote w:id="649">
    <w:p w:rsidR="00363C82" w:rsidRDefault="00363C82" w:rsidP="00B95D2A">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650">
    <w:p w:rsidR="00363C82" w:rsidRDefault="00363C82" w:rsidP="00B95D2A">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651">
    <w:p w:rsidR="00363C82" w:rsidRDefault="00363C82" w:rsidP="00B95D2A">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652">
    <w:p w:rsidR="00363C82" w:rsidRDefault="00363C82" w:rsidP="00B95D2A">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653">
    <w:p w:rsidR="00363C82" w:rsidRDefault="00363C82" w:rsidP="00B95D2A">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654">
    <w:p w:rsidR="00363C82" w:rsidRDefault="00363C82" w:rsidP="00B95D2A">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 xml:space="preserve">Frontier, </w:t>
      </w:r>
      <w:r w:rsidRPr="00780170">
        <w:rPr>
          <w:rStyle w:val="AERtextitalic"/>
        </w:rPr>
        <w:t>The appropriate use of tax statistics when estimating gamma</w:t>
      </w:r>
      <w:r w:rsidRPr="00312B47">
        <w:t>, January 2016, p. </w:t>
      </w:r>
      <w:r>
        <w:t>31.</w:t>
      </w:r>
    </w:p>
  </w:footnote>
  <w:footnote w:id="655">
    <w:p w:rsidR="00363C82" w:rsidRDefault="00363C82" w:rsidP="00B95D2A">
      <w:pPr>
        <w:pStyle w:val="FootnoteText"/>
      </w:pPr>
      <w:r>
        <w:rPr>
          <w:rStyle w:val="FootnoteReference"/>
        </w:rPr>
        <w:footnoteRef/>
      </w:r>
      <w:r>
        <w:t xml:space="preserve"> </w:t>
      </w:r>
      <w:r>
        <w:tab/>
      </w:r>
      <w:r w:rsidRPr="00AC2168">
        <w:t xml:space="preserve">Australian Competition Tribunal, </w:t>
      </w:r>
      <w:r w:rsidRPr="00C3341F">
        <w:rPr>
          <w:rStyle w:val="AERtextitalic"/>
        </w:rPr>
        <w:t>Application by Public Interest Advocacy Centre Ltd and Ausgrid [2016] ACompT 1</w:t>
      </w:r>
      <w:r w:rsidRPr="00AC2168">
        <w:t>, 26 February 2016, paras. 1048, 1090 and 1095.</w:t>
      </w:r>
    </w:p>
  </w:footnote>
  <w:footnote w:id="656">
    <w:p w:rsidR="00363C82" w:rsidRDefault="00363C82" w:rsidP="00B95D2A">
      <w:pPr>
        <w:pStyle w:val="FootnoteText"/>
      </w:pPr>
      <w:r>
        <w:rPr>
          <w:rStyle w:val="FootnoteReference"/>
        </w:rPr>
        <w:footnoteRef/>
      </w:r>
      <w:r>
        <w:t xml:space="preserve"> </w:t>
      </w:r>
      <w:r>
        <w:tab/>
        <w:t xml:space="preserve">Frontier, </w:t>
      </w:r>
      <w:r>
        <w:rPr>
          <w:rStyle w:val="AERtextitalic"/>
        </w:rPr>
        <w:t>Regulatory estimation of gamma report prepared form Powerlink</w:t>
      </w:r>
      <w:r w:rsidRPr="00C2259D">
        <w:t xml:space="preserve">, </w:t>
      </w:r>
      <w:r>
        <w:t xml:space="preserve">January 2016, p. 10; Frontier Economics, </w:t>
      </w:r>
      <w:r>
        <w:rPr>
          <w:rStyle w:val="AERtextitalic"/>
        </w:rPr>
        <w:t xml:space="preserve">Issues in the estimation of gamma, Report prepared for AGN, Multinet Gas, AusNet Transmission and AusNet Gas, </w:t>
      </w:r>
      <w:r w:rsidRPr="004423C9">
        <w:rPr>
          <w:rStyle w:val="AERtextitalic"/>
          <w:i w:val="0"/>
        </w:rPr>
        <w:t>September 2016, p. 3.</w:t>
      </w:r>
    </w:p>
  </w:footnote>
  <w:footnote w:id="657">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SA Power Networks</w:t>
      </w:r>
      <w:r w:rsidRPr="000F2066">
        <w:rPr>
          <w:rStyle w:val="AERtextitalic"/>
        </w:rPr>
        <w:t xml:space="preserve"> [20</w:t>
      </w:r>
      <w:r>
        <w:rPr>
          <w:rStyle w:val="AERtextitalic"/>
        </w:rPr>
        <w:t>16</w:t>
      </w:r>
      <w:r w:rsidRPr="000F2066">
        <w:rPr>
          <w:rStyle w:val="AERtextitalic"/>
        </w:rPr>
        <w:t xml:space="preserve">] ACompT </w:t>
      </w:r>
      <w:r>
        <w:rPr>
          <w:rStyle w:val="AERtextitalic"/>
        </w:rPr>
        <w:t>11</w:t>
      </w:r>
      <w:r>
        <w:t xml:space="preserve">, 28 October 2016, </w:t>
      </w:r>
      <w:r w:rsidRPr="008F5D24">
        <w:t xml:space="preserve">para. </w:t>
      </w:r>
      <w:r>
        <w:t>193</w:t>
      </w:r>
      <w:r w:rsidRPr="008F5D24">
        <w:t>.</w:t>
      </w:r>
    </w:p>
  </w:footnote>
  <w:footnote w:id="658">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 M. Lally, Issues in the estimation of gamma, April 2017</w:t>
      </w:r>
      <w:r w:rsidRPr="00D7695B">
        <w:rPr>
          <w:rStyle w:val="AERtextitalic"/>
          <w:i w:val="0"/>
        </w:rPr>
        <w:t>, p. 24.</w:t>
      </w:r>
    </w:p>
  </w:footnote>
  <w:footnote w:id="65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660">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D7695B">
        <w:rPr>
          <w:rStyle w:val="AERtextitalic"/>
          <w:i w:val="0"/>
        </w:rPr>
        <w:t>, 24</w:t>
      </w:r>
      <w:r>
        <w:rPr>
          <w:rStyle w:val="AERtextitalic"/>
        </w:rPr>
        <w:t xml:space="preserve">; </w:t>
      </w:r>
      <w:r>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0248B">
        <w:t>para</w:t>
      </w:r>
      <w:r>
        <w:t>s. </w:t>
      </w:r>
      <w:r w:rsidRPr="00E0248B">
        <w:t>10</w:t>
      </w:r>
      <w:r>
        <w:t>66, 10</w:t>
      </w:r>
      <w:r w:rsidRPr="00E0248B">
        <w:t>93,</w:t>
      </w:r>
      <w:r>
        <w:t xml:space="preserve"> </w:t>
      </w:r>
      <w:r w:rsidRPr="00E0248B">
        <w:t>1095</w:t>
      </w:r>
      <w:r>
        <w:t>.</w:t>
      </w:r>
    </w:p>
  </w:footnote>
  <w:footnote w:id="661">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6646">
        <w:rPr>
          <w:rStyle w:val="AERtextitalic"/>
          <w:i w:val="0"/>
        </w:rPr>
        <w:t>.</w:t>
      </w:r>
    </w:p>
  </w:footnote>
  <w:footnote w:id="662">
    <w:p w:rsidR="00363C82" w:rsidRPr="00E24154" w:rsidRDefault="00363C82" w:rsidP="00B95D2A">
      <w:pPr>
        <w:pStyle w:val="FootnoteText"/>
      </w:pPr>
      <w:r>
        <w:rPr>
          <w:rStyle w:val="FootnoteReference"/>
        </w:rPr>
        <w:footnoteRef/>
      </w:r>
      <w:r>
        <w:t xml:space="preserve"> </w:t>
      </w:r>
      <w:r>
        <w:tab/>
        <w:t xml:space="preserve">M. Lally, </w:t>
      </w:r>
      <w:r w:rsidRPr="00780170">
        <w:rPr>
          <w:rStyle w:val="AERtextitalic"/>
        </w:rPr>
        <w:t>Issues in the estimation of gamma</w:t>
      </w:r>
      <w:r>
        <w:t>, April 2017</w:t>
      </w:r>
      <w:r w:rsidRPr="00D7695B">
        <w:rPr>
          <w:rStyle w:val="AERtextitalic"/>
          <w:i w:val="0"/>
        </w:rPr>
        <w:t xml:space="preserve">, </w:t>
      </w:r>
      <w:r w:rsidRPr="00BC1E8B">
        <w:rPr>
          <w:rStyle w:val="AERtextitalic"/>
          <w:i w:val="0"/>
        </w:rPr>
        <w:t>p</w:t>
      </w:r>
      <w:r w:rsidRPr="004423C9">
        <w:rPr>
          <w:rStyle w:val="AERtextitalic"/>
          <w:i w:val="0"/>
        </w:rPr>
        <w:t>p</w:t>
      </w:r>
      <w:r w:rsidRPr="00BC1E8B">
        <w:rPr>
          <w:rStyle w:val="AERtextitalic"/>
          <w:i w:val="0"/>
        </w:rPr>
        <w:t>. </w:t>
      </w:r>
      <w:r w:rsidRPr="004423C9">
        <w:rPr>
          <w:rStyle w:val="AERtextitalic"/>
          <w:i w:val="0"/>
        </w:rPr>
        <w:t>13, 24</w:t>
      </w:r>
      <w:r w:rsidRPr="00BC1E8B">
        <w:rPr>
          <w:rStyle w:val="AERtextitalic"/>
          <w:i w:val="0"/>
        </w:rPr>
        <w:t>.</w:t>
      </w:r>
    </w:p>
  </w:footnote>
  <w:footnote w:id="663">
    <w:p w:rsidR="00363C82" w:rsidRDefault="00363C82" w:rsidP="00B95D2A">
      <w:pPr>
        <w:pStyle w:val="FootnoteText"/>
      </w:pPr>
      <w:r>
        <w:rPr>
          <w:rStyle w:val="FootnoteReference"/>
        </w:rPr>
        <w:footnoteRef/>
      </w:r>
      <w:r>
        <w:t xml:space="preserve"> </w:t>
      </w:r>
      <w:r>
        <w:tab/>
        <w:t xml:space="preserve">M. Lally, </w:t>
      </w:r>
      <w:r w:rsidRPr="00EF4AD5">
        <w:rPr>
          <w:rStyle w:val="AERtextitalic"/>
        </w:rPr>
        <w:t>Issues in the estimation of gamma</w:t>
      </w:r>
      <w:r>
        <w:t>, April 2017</w:t>
      </w:r>
      <w:r w:rsidRPr="004423C9">
        <w:rPr>
          <w:rStyle w:val="AERtextitalic"/>
          <w:i w:val="0"/>
        </w:rPr>
        <w:t>, pp. 13, 24.</w:t>
      </w:r>
    </w:p>
  </w:footnote>
  <w:footnote w:id="664">
    <w:p w:rsidR="00363C82" w:rsidRDefault="00363C82" w:rsidP="00B95D2A">
      <w:pPr>
        <w:pStyle w:val="FootnoteText"/>
      </w:pPr>
      <w:r>
        <w:rPr>
          <w:rStyle w:val="FootnoteReference"/>
        </w:rPr>
        <w:footnoteRef/>
      </w:r>
      <w:r>
        <w:t xml:space="preserve"> </w:t>
      </w:r>
      <w:r>
        <w:tab/>
      </w:r>
      <w:r w:rsidRPr="004635C5">
        <w:t xml:space="preserve">Lally, </w:t>
      </w:r>
      <w:r w:rsidRPr="005764F6">
        <w:rPr>
          <w:rStyle w:val="AERtextitalic"/>
        </w:rPr>
        <w:t>Gamma and the ACT Decision</w:t>
      </w:r>
      <w:r w:rsidRPr="004635C5">
        <w:t>, May 2016, p. 5.</w:t>
      </w:r>
    </w:p>
  </w:footnote>
  <w:footnote w:id="665">
    <w:p w:rsidR="00363C82" w:rsidRPr="00AC29DB" w:rsidRDefault="00363C82" w:rsidP="00B95D2A">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85A29">
        <w:rPr>
          <w:rStyle w:val="AERtextitalic"/>
          <w:i w:val="0"/>
        </w:rPr>
        <w:t xml:space="preserve">September 2016, </w:t>
      </w:r>
      <w:r w:rsidRPr="004741BD">
        <w:rPr>
          <w:rStyle w:val="AERtextitalic"/>
          <w:i w:val="0"/>
        </w:rPr>
        <w:t>p</w:t>
      </w:r>
      <w:r w:rsidRPr="004423C9">
        <w:rPr>
          <w:rStyle w:val="AERtextitalic"/>
          <w:i w:val="0"/>
        </w:rPr>
        <w:t>p</w:t>
      </w:r>
      <w:r w:rsidRPr="004741BD">
        <w:rPr>
          <w:rStyle w:val="AERtextitalic"/>
          <w:i w:val="0"/>
        </w:rPr>
        <w:t>. 3-4</w:t>
      </w:r>
      <w:r w:rsidRPr="004423C9">
        <w:rPr>
          <w:rStyle w:val="AERtextitalic"/>
          <w:i w:val="0"/>
        </w:rPr>
        <w:t>, 12-15</w:t>
      </w:r>
      <w:r>
        <w:rPr>
          <w:rStyle w:val="AERtextitalic"/>
        </w:rPr>
        <w:t xml:space="preserve">; </w:t>
      </w:r>
      <w:r>
        <w:t xml:space="preserve">AusNet Transmission, </w:t>
      </w:r>
      <w:r>
        <w:rPr>
          <w:rStyle w:val="AERtextitalic"/>
        </w:rPr>
        <w:t>Transmission Revenue Proposal Review 2017-2022, Revised Revenue Proposal</w:t>
      </w:r>
      <w:r>
        <w:t>, 21 September 2016, p. 210.</w:t>
      </w:r>
    </w:p>
  </w:footnote>
  <w:footnote w:id="666">
    <w:p w:rsidR="00363C82" w:rsidRPr="00025FF7" w:rsidRDefault="00363C82" w:rsidP="00B95D2A">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4741BD">
        <w:rPr>
          <w:rStyle w:val="AERtextitalic"/>
          <w:i w:val="0"/>
        </w:rPr>
        <w:t>September 2016, p</w:t>
      </w:r>
      <w:r w:rsidRPr="004423C9">
        <w:rPr>
          <w:rStyle w:val="AERtextitalic"/>
          <w:i w:val="0"/>
        </w:rPr>
        <w:t>p</w:t>
      </w:r>
      <w:r w:rsidRPr="004741BD">
        <w:rPr>
          <w:rStyle w:val="AERtextitalic"/>
          <w:i w:val="0"/>
        </w:rPr>
        <w:t>. 3-4</w:t>
      </w:r>
      <w:r w:rsidRPr="004423C9">
        <w:rPr>
          <w:rStyle w:val="AERtextitalic"/>
          <w:i w:val="0"/>
        </w:rPr>
        <w:t>, 14-15.</w:t>
      </w:r>
    </w:p>
  </w:footnote>
  <w:footnote w:id="667">
    <w:p w:rsidR="00363C82" w:rsidRPr="00574CB8" w:rsidRDefault="00363C82" w:rsidP="00B95D2A">
      <w:pPr>
        <w:pStyle w:val="FootnoteText"/>
        <w:rPr>
          <w:rStyle w:val="AERtextitalic"/>
          <w:i w:val="0"/>
        </w:rPr>
      </w:pPr>
      <w:r>
        <w:rPr>
          <w:rStyle w:val="FootnoteReference"/>
        </w:rPr>
        <w:footnoteRef/>
      </w:r>
      <w:r>
        <w:t xml:space="preserve"> </w:t>
      </w:r>
      <w:r>
        <w:tab/>
        <w:t xml:space="preserve">Frontier Economics, </w:t>
      </w:r>
      <w:r>
        <w:rPr>
          <w:rStyle w:val="AERtextitalic"/>
        </w:rPr>
        <w:t xml:space="preserve">Issues in the estimation of gamma, Report prepared for AGN, Multinet Gas, AusNet Transmission and AusNet Gas, </w:t>
      </w:r>
      <w:r w:rsidRPr="00025FF7">
        <w:rPr>
          <w:rStyle w:val="AERtextitalic"/>
          <w:i w:val="0"/>
        </w:rPr>
        <w:t xml:space="preserve">September 2016, </w:t>
      </w:r>
      <w:r w:rsidRPr="00574CB8">
        <w:rPr>
          <w:rStyle w:val="AERtextitalic"/>
          <w:i w:val="0"/>
        </w:rPr>
        <w:t>p</w:t>
      </w:r>
      <w:r w:rsidRPr="00D42E5D">
        <w:rPr>
          <w:rStyle w:val="AERtextitalic"/>
          <w:i w:val="0"/>
        </w:rPr>
        <w:t>p</w:t>
      </w:r>
      <w:r w:rsidRPr="00574CB8">
        <w:rPr>
          <w:rStyle w:val="AERtextitalic"/>
          <w:i w:val="0"/>
        </w:rPr>
        <w:t>. 3-4</w:t>
      </w:r>
      <w:r w:rsidRPr="00D42E5D">
        <w:rPr>
          <w:rStyle w:val="AERtextitalic"/>
          <w:i w:val="0"/>
        </w:rPr>
        <w:t>.</w:t>
      </w:r>
    </w:p>
  </w:footnote>
  <w:footnote w:id="668">
    <w:p w:rsidR="00363C82" w:rsidRPr="00AC29DB" w:rsidRDefault="00363C82" w:rsidP="00B95D2A">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E73A9E">
        <w:rPr>
          <w:rStyle w:val="AERtextitalic"/>
          <w:i w:val="0"/>
        </w:rPr>
        <w:t>September 2013, p. 5.</w:t>
      </w:r>
    </w:p>
  </w:footnote>
  <w:footnote w:id="669">
    <w:p w:rsidR="00363C82" w:rsidRPr="00970F7A" w:rsidRDefault="00363C82" w:rsidP="00B95D2A">
      <w:pPr>
        <w:pStyle w:val="FootnoteText"/>
        <w:rPr>
          <w:rStyle w:val="AERtextitalic"/>
          <w:i w:val="0"/>
        </w:rPr>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970F7A">
        <w:rPr>
          <w:rStyle w:val="AERtextitalic"/>
          <w:i w:val="0"/>
        </w:rPr>
        <w:t>September 2013, p. </w:t>
      </w:r>
      <w:r w:rsidRPr="00E73A9E">
        <w:rPr>
          <w:rStyle w:val="AERtextitalic"/>
          <w:i w:val="0"/>
        </w:rPr>
        <w:t>39</w:t>
      </w:r>
      <w:r w:rsidRPr="00970F7A">
        <w:rPr>
          <w:rStyle w:val="AERtextitalic"/>
          <w:i w:val="0"/>
        </w:rPr>
        <w:t>.</w:t>
      </w:r>
    </w:p>
  </w:footnote>
  <w:footnote w:id="670">
    <w:p w:rsidR="00363C82" w:rsidRDefault="00363C82" w:rsidP="00B95D2A">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r w:rsidRPr="0023036D">
        <w:rPr>
          <w:rStyle w:val="AERtextitalic"/>
        </w:rPr>
        <w:t>.</w:t>
      </w:r>
    </w:p>
  </w:footnote>
  <w:footnote w:id="671">
    <w:p w:rsidR="00363C82" w:rsidRDefault="00363C82" w:rsidP="00B95D2A">
      <w:pPr>
        <w:pStyle w:val="FootnoteText"/>
      </w:pPr>
      <w:r>
        <w:rPr>
          <w:rStyle w:val="FootnoteReference"/>
        </w:rPr>
        <w:footnoteRef/>
      </w:r>
      <w:r>
        <w:t xml:space="preserve"> </w:t>
      </w:r>
      <w:r>
        <w:tab/>
        <w:t xml:space="preserve">Hathaway, </w:t>
      </w:r>
      <w:r>
        <w:rPr>
          <w:rStyle w:val="AERtextitalic"/>
        </w:rPr>
        <w:t xml:space="preserve">Imputation Credit Redemption ATO data 1988-2011 Where have all the credits gone, </w:t>
      </w:r>
      <w:r w:rsidRPr="00D20596">
        <w:rPr>
          <w:rStyle w:val="AERtextitalic"/>
          <w:i w:val="0"/>
        </w:rPr>
        <w:t>September 2013, p. 39.</w:t>
      </w:r>
    </w:p>
  </w:footnote>
  <w:footnote w:id="672">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E24154">
        <w:rPr>
          <w:rStyle w:val="AERtextitalic"/>
          <w:i w:val="0"/>
        </w:rPr>
        <w:t>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673">
    <w:p w:rsidR="00363C82" w:rsidRPr="00E24154"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E24154">
        <w:rPr>
          <w:rStyle w:val="AERtextitalic"/>
          <w:i w:val="0"/>
        </w:rPr>
        <w:t>, p</w:t>
      </w:r>
      <w:r w:rsidRPr="00D7695B">
        <w:rPr>
          <w:rStyle w:val="AERtextitalic"/>
          <w:i w:val="0"/>
        </w:rPr>
        <w:t>p</w:t>
      </w:r>
      <w:r w:rsidRPr="00E24154">
        <w:rPr>
          <w:rStyle w:val="AERtextitalic"/>
          <w:i w:val="0"/>
        </w:rPr>
        <w:t>. 13</w:t>
      </w:r>
      <w:r w:rsidRPr="00D7695B">
        <w:rPr>
          <w:rStyle w:val="AERtextitalic"/>
          <w:i w:val="0"/>
        </w:rPr>
        <w:t>, 24</w:t>
      </w:r>
      <w:r w:rsidRPr="00E24154">
        <w:rPr>
          <w:rStyle w:val="AERtextitalic"/>
          <w:i w:val="0"/>
        </w:rPr>
        <w:t>.</w:t>
      </w:r>
    </w:p>
  </w:footnote>
  <w:footnote w:id="674">
    <w:p w:rsidR="00363C82" w:rsidRPr="007C48E7"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w:t>
      </w:r>
      <w:r w:rsidRPr="007C48E7">
        <w:rPr>
          <w:rStyle w:val="AERtextitalic"/>
          <w:i w:val="0"/>
        </w:rPr>
        <w:t xml:space="preserve"> p</w:t>
      </w:r>
      <w:r w:rsidRPr="00D7695B">
        <w:rPr>
          <w:rStyle w:val="AERtextitalic"/>
          <w:i w:val="0"/>
        </w:rPr>
        <w:t>p</w:t>
      </w:r>
      <w:r w:rsidRPr="007C48E7">
        <w:rPr>
          <w:rStyle w:val="AERtextitalic"/>
          <w:i w:val="0"/>
        </w:rPr>
        <w:t>. 1</w:t>
      </w:r>
      <w:r w:rsidRPr="000F2FCF">
        <w:rPr>
          <w:rStyle w:val="AERtextitalic"/>
          <w:i w:val="0"/>
        </w:rPr>
        <w:t>3</w:t>
      </w:r>
      <w:r w:rsidRPr="00D7695B">
        <w:rPr>
          <w:rStyle w:val="AERtextitalic"/>
          <w:i w:val="0"/>
        </w:rPr>
        <w:t>, 24</w:t>
      </w:r>
      <w:r w:rsidRPr="00E24154">
        <w:rPr>
          <w:rStyle w:val="AERtextitalic"/>
          <w:i w:val="0"/>
        </w:rPr>
        <w:t>.</w:t>
      </w:r>
    </w:p>
  </w:footnote>
  <w:footnote w:id="675">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676">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77">
    <w:p w:rsidR="00363C82" w:rsidRPr="00EB7A6C"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78">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679">
    <w:p w:rsidR="00363C82" w:rsidRDefault="00363C82" w:rsidP="00B95D2A">
      <w:pPr>
        <w:pStyle w:val="FootnoteText"/>
      </w:pPr>
      <w:r>
        <w:rPr>
          <w:rStyle w:val="FootnoteReference"/>
        </w:rPr>
        <w:footnoteRef/>
      </w:r>
      <w:r>
        <w:t xml:space="preserve"> </w:t>
      </w:r>
      <w:r>
        <w:tab/>
      </w:r>
      <w:r w:rsidRPr="00645287">
        <w:t xml:space="preserve">Lally, </w:t>
      </w:r>
      <w:r w:rsidRPr="00E64E9B">
        <w:rPr>
          <w:rStyle w:val="AERtextitalic"/>
        </w:rPr>
        <w:t>Gamma and the ACT Decision</w:t>
      </w:r>
      <w:r w:rsidRPr="00645287">
        <w:t>, May 2016, p. 5</w:t>
      </w:r>
      <w:r>
        <w:t xml:space="preserve">; M. Lally, </w:t>
      </w:r>
      <w:r w:rsidRPr="00AC29DB">
        <w:rPr>
          <w:rStyle w:val="AERtextitalic"/>
        </w:rPr>
        <w:t>Issues in the estimation of gamma</w:t>
      </w:r>
      <w:r>
        <w:t>, April 2017</w:t>
      </w:r>
      <w:r w:rsidRPr="006A200A">
        <w:rPr>
          <w:rStyle w:val="AERtextitalic"/>
          <w:i w:val="0"/>
        </w:rPr>
        <w:t>, pp. 27, 2</w:t>
      </w:r>
      <w:r w:rsidRPr="002915B0">
        <w:rPr>
          <w:rStyle w:val="AERtextitalic"/>
          <w:i w:val="0"/>
        </w:rPr>
        <w:t>9.</w:t>
      </w:r>
    </w:p>
  </w:footnote>
  <w:footnote w:id="68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681">
    <w:p w:rsidR="00363C82" w:rsidRPr="00EB7A6C"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682">
    <w:p w:rsidR="00363C82" w:rsidRDefault="00363C82" w:rsidP="00B95D2A">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683">
    <w:p w:rsidR="00363C82" w:rsidRDefault="00363C82" w:rsidP="00B95D2A">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684">
    <w:p w:rsidR="00363C82" w:rsidRDefault="00363C82" w:rsidP="00B95D2A">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685">
    <w:p w:rsidR="00363C82" w:rsidRDefault="00363C82" w:rsidP="00B95D2A">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686">
    <w:p w:rsidR="00363C82" w:rsidRDefault="00363C82" w:rsidP="00B95D2A">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687">
    <w:p w:rsidR="00363C82" w:rsidRDefault="00363C82" w:rsidP="00B95D2A">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688">
    <w:p w:rsidR="00363C82" w:rsidRDefault="00363C82" w:rsidP="00B95D2A">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689">
    <w:p w:rsidR="00363C82" w:rsidRDefault="00363C82" w:rsidP="00B95D2A">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690">
    <w:p w:rsidR="00363C82" w:rsidRDefault="00363C82" w:rsidP="00B95D2A">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691">
    <w:p w:rsidR="00363C82" w:rsidRDefault="00363C82" w:rsidP="00B95D2A">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692">
    <w:p w:rsidR="00363C82" w:rsidRDefault="00363C82" w:rsidP="00B95D2A">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693">
    <w:p w:rsidR="00363C82" w:rsidRDefault="00363C82" w:rsidP="00B95D2A">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694">
    <w:p w:rsidR="00363C82" w:rsidRDefault="00363C82" w:rsidP="00B95D2A">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695">
    <w:p w:rsidR="00363C82" w:rsidRDefault="00363C82" w:rsidP="00B95D2A">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696">
    <w:p w:rsidR="00363C82" w:rsidRDefault="00363C82" w:rsidP="00B95D2A">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697">
    <w:p w:rsidR="00363C82" w:rsidRDefault="00363C82" w:rsidP="00B95D2A">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698">
    <w:p w:rsidR="00363C82" w:rsidRDefault="00363C82" w:rsidP="00B95D2A">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699">
    <w:p w:rsidR="00363C82" w:rsidRDefault="00363C82" w:rsidP="00B95D2A">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00">
    <w:p w:rsidR="00363C82" w:rsidRDefault="00363C82" w:rsidP="00B95D2A">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701">
    <w:p w:rsidR="00363C82" w:rsidRDefault="00363C82" w:rsidP="00B95D2A">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02">
    <w:p w:rsidR="00363C82" w:rsidRDefault="00363C82" w:rsidP="00B95D2A">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703">
    <w:p w:rsidR="00363C82" w:rsidRDefault="00363C82" w:rsidP="00B95D2A">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704">
    <w:p w:rsidR="00363C82" w:rsidRDefault="00363C82" w:rsidP="00B95D2A">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 </w:t>
      </w:r>
      <w:r>
        <w:t xml:space="preserve">306; 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705">
    <w:p w:rsidR="00363C82" w:rsidRDefault="00363C82" w:rsidP="00B95D2A">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706">
    <w:p w:rsidR="00363C82" w:rsidRDefault="00363C82" w:rsidP="00B95D2A">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07">
    <w:p w:rsidR="00363C82" w:rsidRDefault="00363C82" w:rsidP="00B95D2A">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708">
    <w:p w:rsidR="00363C82" w:rsidRDefault="00363C82" w:rsidP="00B95D2A">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709">
    <w:p w:rsidR="00363C82" w:rsidRDefault="00363C82" w:rsidP="00B95D2A">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710">
    <w:p w:rsidR="00363C82" w:rsidRDefault="00363C82" w:rsidP="00B95D2A">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711">
    <w:p w:rsidR="00363C82" w:rsidRDefault="00363C82" w:rsidP="00B95D2A">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712">
    <w:p w:rsidR="00363C82" w:rsidRDefault="00363C82" w:rsidP="00B95D2A">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713">
    <w:p w:rsidR="00363C82" w:rsidRDefault="00363C82" w:rsidP="00B95D2A">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714">
    <w:p w:rsidR="00363C82" w:rsidRDefault="00363C82" w:rsidP="00B95D2A">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715">
    <w:p w:rsidR="00363C82" w:rsidRDefault="00363C82" w:rsidP="00B95D2A">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716">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717">
    <w:p w:rsidR="00363C82" w:rsidRDefault="00363C82" w:rsidP="00B95D2A">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 xml:space="preserve">6, p. 6; AusNet Transmission, </w:t>
      </w:r>
      <w:r>
        <w:rPr>
          <w:rStyle w:val="AERtextitalic"/>
        </w:rPr>
        <w:t>Transmission Revenue Proposal Review 2017-2022, Revised Revenue Proposal</w:t>
      </w:r>
      <w:r>
        <w:t>, 21 September 2016, pp. 209, 212.</w:t>
      </w:r>
    </w:p>
  </w:footnote>
  <w:footnote w:id="718">
    <w:p w:rsidR="00363C82" w:rsidRDefault="00363C82" w:rsidP="00B95D2A">
      <w:pPr>
        <w:pStyle w:val="FootnoteText"/>
      </w:pPr>
      <w:r>
        <w:rPr>
          <w:rStyle w:val="FootnoteReference"/>
        </w:rPr>
        <w:footnoteRef/>
      </w:r>
      <w:r>
        <w:t xml:space="preserve"> </w:t>
      </w:r>
      <w:r>
        <w:tab/>
        <w:t xml:space="preserve">AusNet Transmission, </w:t>
      </w:r>
      <w:r>
        <w:rPr>
          <w:rStyle w:val="AERtextitalic"/>
        </w:rPr>
        <w:t>Transmission Revenue Proposal Review 2017-2022, Revised Revenue Proposal</w:t>
      </w:r>
      <w:r>
        <w:t xml:space="preserve">, 21 September 2016, p. 209; Frontier, </w:t>
      </w:r>
      <w:r>
        <w:rPr>
          <w:rStyle w:val="AERtextitalic"/>
        </w:rPr>
        <w:t>An updated dividend drop-off estimate of theta: Report prepared for AGN, MultiNet Gas, AusNet Transmission, AusNet Gas Distribution and Transgrid</w:t>
      </w:r>
      <w:r>
        <w:t>, September</w:t>
      </w:r>
      <w:r w:rsidRPr="00B86472">
        <w:t xml:space="preserve"> 201</w:t>
      </w:r>
      <w:r>
        <w:t>6</w:t>
      </w:r>
      <w:r w:rsidRPr="00B86472">
        <w:t>.</w:t>
      </w:r>
    </w:p>
  </w:footnote>
  <w:footnote w:id="719">
    <w:p w:rsidR="00363C82" w:rsidRPr="00037690" w:rsidRDefault="00363C82" w:rsidP="00B95D2A">
      <w:pPr>
        <w:pStyle w:val="FootnoteText"/>
        <w:rPr>
          <w:rStyle w:val="AERtextitalic"/>
          <w:i w:val="0"/>
        </w:rPr>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4.</w:t>
      </w:r>
    </w:p>
  </w:footnote>
  <w:footnote w:id="720">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4.</w:t>
      </w:r>
    </w:p>
  </w:footnote>
  <w:footnote w:id="721">
    <w:p w:rsidR="00363C82" w:rsidRDefault="00363C82" w:rsidP="00B95D2A">
      <w:pPr>
        <w:pStyle w:val="FootnoteText"/>
      </w:pPr>
      <w:r>
        <w:rPr>
          <w:rStyle w:val="FootnoteReference"/>
        </w:rPr>
        <w:footnoteRef/>
      </w:r>
      <w:r>
        <w:t xml:space="preserve"> </w:t>
      </w:r>
      <w:r>
        <w:tab/>
        <w:t xml:space="preserve">Due to bid-ask bounce and to unrelated price movement over the cum to ex-day interval, aggravated by the high correlation between the imputation credits and the cash dividend which makes it difficult to identify the impact of only the credits on market prices even if the aggregate effect from the cash dividend and the credit were clear. See: M. Lally, </w:t>
      </w:r>
      <w:r w:rsidRPr="00AC29DB">
        <w:rPr>
          <w:rStyle w:val="AERtextitalic"/>
        </w:rPr>
        <w:t>Issues in the estimation of gamma</w:t>
      </w:r>
      <w:r>
        <w:t>, April 2017</w:t>
      </w:r>
      <w:r w:rsidRPr="00037690">
        <w:rPr>
          <w:rStyle w:val="AERtextitalic"/>
          <w:i w:val="0"/>
        </w:rPr>
        <w:t>, p. 4.</w:t>
      </w:r>
    </w:p>
  </w:footnote>
  <w:footnote w:id="722">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w:t>
      </w:r>
      <w:r w:rsidRPr="00D75E7C">
        <w:rPr>
          <w:rStyle w:val="AERtextitalic"/>
          <w:i w:val="0"/>
        </w:rPr>
        <w:t>5</w:t>
      </w:r>
      <w:r w:rsidRPr="00037690">
        <w:rPr>
          <w:rStyle w:val="AERtextitalic"/>
          <w:i w:val="0"/>
        </w:rPr>
        <w:t>.</w:t>
      </w:r>
    </w:p>
  </w:footnote>
  <w:footnote w:id="723">
    <w:p w:rsidR="00363C82" w:rsidRDefault="00363C82" w:rsidP="00B95D2A">
      <w:pPr>
        <w:pStyle w:val="FootnoteText"/>
      </w:pPr>
      <w:r>
        <w:rPr>
          <w:rStyle w:val="FootnoteReference"/>
        </w:rPr>
        <w:footnoteRef/>
      </w:r>
      <w:r>
        <w:t xml:space="preserve"> </w:t>
      </w:r>
      <w:r>
        <w:tab/>
        <w:t>Pr</w:t>
      </w:r>
      <w:r w:rsidRPr="00875062">
        <w:rPr>
          <w:lang w:val="en-US"/>
        </w:rPr>
        <w:t>ogressively removing the 20 most extreme pairs of observations comprising the one that exerts the most upward effect on the estimated franking credit coefficient and the one exerting the most downward effect, and rerunning the model after each pair is deleted</w:t>
      </w:r>
      <w:r>
        <w:t>.</w:t>
      </w:r>
    </w:p>
  </w:footnote>
  <w:footnote w:id="724">
    <w:p w:rsidR="00363C82" w:rsidRDefault="00363C82" w:rsidP="00B95D2A">
      <w:pPr>
        <w:pStyle w:val="FootnoteText"/>
      </w:pPr>
      <w:r>
        <w:rPr>
          <w:rStyle w:val="FootnoteReference"/>
        </w:rPr>
        <w:footnoteRef/>
      </w:r>
      <w:r>
        <w:t xml:space="preserve"> </w:t>
      </w:r>
      <w:r>
        <w:tab/>
        <w:t>P</w:t>
      </w:r>
      <w:r w:rsidRPr="00875062">
        <w:rPr>
          <w:lang w:val="en-US"/>
        </w:rPr>
        <w:t>rogressively removing the 30 most extreme observations in absolute terms, and rerunning the model after each deletion</w:t>
      </w:r>
      <w:r>
        <w:t>.</w:t>
      </w:r>
    </w:p>
  </w:footnote>
  <w:footnote w:id="725">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26">
    <w:p w:rsidR="00363C82" w:rsidRPr="005A48E0"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5A48E0">
        <w:rPr>
          <w:rStyle w:val="AERtextitalic"/>
          <w:i w:val="0"/>
        </w:rPr>
        <w:t>, p</w:t>
      </w:r>
      <w:r w:rsidRPr="00D75E7C">
        <w:rPr>
          <w:rStyle w:val="AERtextitalic"/>
          <w:i w:val="0"/>
        </w:rPr>
        <w:t>p</w:t>
      </w:r>
      <w:r w:rsidRPr="005A48E0">
        <w:rPr>
          <w:rStyle w:val="AERtextitalic"/>
          <w:i w:val="0"/>
        </w:rPr>
        <w:t>. 5</w:t>
      </w:r>
      <w:r w:rsidRPr="00D75E7C">
        <w:rPr>
          <w:rStyle w:val="AERtextitalic"/>
          <w:i w:val="0"/>
        </w:rPr>
        <w:t>, 8-9</w:t>
      </w:r>
      <w:r w:rsidRPr="00B449E0">
        <w:rPr>
          <w:rStyle w:val="AERtextitalic"/>
          <w:i w:val="0"/>
        </w:rPr>
        <w:t>.</w:t>
      </w:r>
    </w:p>
  </w:footnote>
  <w:footnote w:id="727">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w:t>
      </w:r>
      <w:r w:rsidRPr="00797AF3">
        <w:rPr>
          <w:rStyle w:val="AERtextitalic"/>
          <w:i w:val="0"/>
        </w:rPr>
        <w:t>5</w:t>
      </w:r>
      <w:r w:rsidRPr="00037690">
        <w:rPr>
          <w:rStyle w:val="AERtextitalic"/>
          <w:i w:val="0"/>
        </w:rPr>
        <w:t>.</w:t>
      </w:r>
    </w:p>
  </w:footnote>
  <w:footnote w:id="728">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B449E0">
        <w:rPr>
          <w:rStyle w:val="AERtextitalic"/>
          <w:i w:val="0"/>
        </w:rPr>
        <w:t>, p</w:t>
      </w:r>
      <w:r w:rsidRPr="00D75E7C">
        <w:rPr>
          <w:rStyle w:val="AERtextitalic"/>
          <w:i w:val="0"/>
        </w:rPr>
        <w:t>p</w:t>
      </w:r>
      <w:r w:rsidRPr="00B505F7">
        <w:rPr>
          <w:rStyle w:val="AERtextitalic"/>
          <w:i w:val="0"/>
        </w:rPr>
        <w:t>. </w:t>
      </w:r>
      <w:r w:rsidRPr="00B449E0">
        <w:rPr>
          <w:rStyle w:val="AERtextitalic"/>
          <w:i w:val="0"/>
        </w:rPr>
        <w:t>5</w:t>
      </w:r>
      <w:r w:rsidRPr="00D75E7C">
        <w:rPr>
          <w:rStyle w:val="AERtextitalic"/>
          <w:i w:val="0"/>
        </w:rPr>
        <w:t>, 7</w:t>
      </w:r>
      <w:r w:rsidRPr="00B505F7">
        <w:rPr>
          <w:rStyle w:val="AERtextitalic"/>
          <w:i w:val="0"/>
        </w:rPr>
        <w:t>.</w:t>
      </w:r>
    </w:p>
  </w:footnote>
  <w:footnote w:id="729">
    <w:p w:rsidR="00363C82" w:rsidRPr="00032060" w:rsidRDefault="00363C82" w:rsidP="00AC29DB">
      <w:pPr>
        <w:pStyle w:val="FootnoteText"/>
        <w:rPr>
          <w:rFonts w:ascii="Times New Roman" w:hAnsi="Times New Roman" w:cs="Times New Roman"/>
        </w:rPr>
      </w:pPr>
      <w:r w:rsidRPr="00032060">
        <w:rPr>
          <w:rStyle w:val="FootnoteReference"/>
          <w:rFonts w:ascii="Times New Roman" w:hAnsi="Times New Roman" w:cs="Times New Roman"/>
        </w:rPr>
        <w:footnoteRef/>
      </w:r>
      <w:r w:rsidRPr="00032060">
        <w:t xml:space="preserve"> </w:t>
      </w:r>
      <w:r>
        <w:tab/>
      </w:r>
      <w:r w:rsidRPr="00AC29DB">
        <w:t xml:space="preserve">Mero et al (2017) conduct a number of </w:t>
      </w:r>
      <w:r w:rsidRPr="00FF38EE">
        <w:t>formal tests of these models.</w:t>
      </w:r>
      <w:r w:rsidRPr="00AC29DB">
        <w:t xml:space="preserve"> Remarkably, they find that only Model 4 fails the heteroscedasticity test despite the fact that SFG (2011) develops it in order to address this problem and Frontier (2016a) favours it.</w:t>
      </w:r>
      <w:r>
        <w:t xml:space="preserve"> See: M. Lally, Issues in the estimation of gamma, April 2017</w:t>
      </w:r>
      <w:r w:rsidRPr="00AC29DB">
        <w:rPr>
          <w:rStyle w:val="AERtextitalic"/>
          <w:i w:val="0"/>
        </w:rPr>
        <w:t>, pp. 5-6.</w:t>
      </w:r>
    </w:p>
  </w:footnote>
  <w:footnote w:id="730">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w:t>
      </w:r>
      <w:r w:rsidRPr="00D75E7C">
        <w:rPr>
          <w:rStyle w:val="AERtextitalic"/>
          <w:i w:val="0"/>
        </w:rPr>
        <w:t>6</w:t>
      </w:r>
      <w:r w:rsidRPr="00037690">
        <w:rPr>
          <w:rStyle w:val="AERtextitalic"/>
          <w:i w:val="0"/>
        </w:rPr>
        <w:t>.</w:t>
      </w:r>
    </w:p>
  </w:footnote>
  <w:footnote w:id="731">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037690">
        <w:rPr>
          <w:rStyle w:val="AERtextitalic"/>
          <w:i w:val="0"/>
        </w:rPr>
        <w:t>, p. </w:t>
      </w:r>
      <w:r w:rsidRPr="00797AF3">
        <w:rPr>
          <w:rStyle w:val="AERtextitalic"/>
          <w:i w:val="0"/>
        </w:rPr>
        <w:t>6</w:t>
      </w:r>
      <w:r w:rsidRPr="00037690">
        <w:rPr>
          <w:rStyle w:val="AERtextitalic"/>
          <w:i w:val="0"/>
        </w:rPr>
        <w:t>.</w:t>
      </w:r>
    </w:p>
  </w:footnote>
  <w:footnote w:id="732">
    <w:p w:rsidR="00363C82" w:rsidRPr="00780170" w:rsidRDefault="00363C82" w:rsidP="00780170">
      <w:pPr>
        <w:pStyle w:val="FootnoteText"/>
      </w:pPr>
      <w:r>
        <w:rPr>
          <w:rStyle w:val="FootnoteReference"/>
        </w:rPr>
        <w:footnoteRef/>
      </w:r>
      <w:r>
        <w:t xml:space="preserve"> </w:t>
      </w:r>
      <w:r>
        <w:tab/>
        <w:t xml:space="preserve">M. Lally, </w:t>
      </w:r>
      <w:r w:rsidRPr="00AC29DB">
        <w:rPr>
          <w:rStyle w:val="AERtextitalic"/>
        </w:rPr>
        <w:t>Issues in the estimation of gamma</w:t>
      </w:r>
      <w:r>
        <w:t xml:space="preserve">, </w:t>
      </w:r>
      <w:r w:rsidRPr="00780170">
        <w:t>April 2017</w:t>
      </w:r>
      <w:r w:rsidRPr="00780170">
        <w:rPr>
          <w:rStyle w:val="AERtextitalic"/>
          <w:i w:val="0"/>
        </w:rPr>
        <w:t>, p. 7.</w:t>
      </w:r>
    </w:p>
  </w:footnote>
  <w:footnote w:id="733">
    <w:p w:rsidR="00363C82" w:rsidRDefault="00363C82" w:rsidP="00780170">
      <w:pPr>
        <w:pStyle w:val="FootnoteText"/>
      </w:pPr>
      <w:r>
        <w:rPr>
          <w:rStyle w:val="FootnoteReference"/>
        </w:rPr>
        <w:footnoteRef/>
      </w:r>
      <w:r>
        <w:t xml:space="preserve"> </w:t>
      </w:r>
      <w:r>
        <w:tab/>
        <w:t xml:space="preserve">M. Lally, </w:t>
      </w:r>
      <w:r w:rsidRPr="00AC29DB">
        <w:rPr>
          <w:rStyle w:val="AERtextitalic"/>
        </w:rPr>
        <w:t>Issues in the estimation of gamma</w:t>
      </w:r>
      <w:r>
        <w:t xml:space="preserve">, </w:t>
      </w:r>
      <w:r w:rsidRPr="00780170">
        <w:t>April 2017</w:t>
      </w:r>
      <w:r w:rsidRPr="00780170">
        <w:rPr>
          <w:rStyle w:val="AERtextitalic"/>
          <w:i w:val="0"/>
        </w:rPr>
        <w:t>, p. 7.</w:t>
      </w:r>
    </w:p>
  </w:footnote>
  <w:footnote w:id="734">
    <w:p w:rsidR="00363C82" w:rsidRDefault="00363C82" w:rsidP="00780170">
      <w:pPr>
        <w:pStyle w:val="FootnoteText"/>
      </w:pPr>
      <w:r>
        <w:rPr>
          <w:rStyle w:val="FootnoteReference"/>
        </w:rPr>
        <w:footnoteRef/>
      </w:r>
      <w:r>
        <w:t xml:space="preserve"> </w:t>
      </w:r>
      <w:r>
        <w:tab/>
        <w:t xml:space="preserve">M. Lally, </w:t>
      </w:r>
      <w:r w:rsidRPr="00780170">
        <w:rPr>
          <w:rStyle w:val="AERtextitalic"/>
        </w:rPr>
        <w:t>Issues in the estimation of gamma</w:t>
      </w:r>
      <w:r>
        <w:t xml:space="preserve">, </w:t>
      </w:r>
      <w:r w:rsidRPr="00780170">
        <w:t>April 2017</w:t>
      </w:r>
      <w:r w:rsidRPr="00780170">
        <w:rPr>
          <w:rStyle w:val="AERtextitalic"/>
          <w:i w:val="0"/>
        </w:rPr>
        <w:t>, p. 25.</w:t>
      </w:r>
    </w:p>
  </w:footnote>
  <w:footnote w:id="735">
    <w:p w:rsidR="00363C82" w:rsidRDefault="00363C82" w:rsidP="00B95D2A">
      <w:pPr>
        <w:pStyle w:val="FootnoteText"/>
      </w:pPr>
      <w:r>
        <w:rPr>
          <w:rStyle w:val="FootnoteReference"/>
        </w:rPr>
        <w:footnoteRef/>
      </w:r>
      <w:r>
        <w:t xml:space="preserve"> </w:t>
      </w:r>
      <w:r>
        <w:tab/>
        <w:t xml:space="preserve">Frontier, </w:t>
      </w:r>
      <w:r>
        <w:rPr>
          <w:rStyle w:val="AERtextitalic"/>
        </w:rPr>
        <w:t>An updated dividend drop-off estimate of theta: Report prepared for AGN, MultiNet Gas, AusNet Transmission, AusNet Gas Distribution and Transgrid</w:t>
      </w:r>
      <w:r>
        <w:t>, September</w:t>
      </w:r>
      <w:r w:rsidRPr="00B86472">
        <w:t xml:space="preserve"> 201</w:t>
      </w:r>
      <w:r>
        <w:t>6, p. 31.</w:t>
      </w:r>
    </w:p>
  </w:footnote>
  <w:footnote w:id="736">
    <w:p w:rsidR="00363C82" w:rsidRDefault="00363C82" w:rsidP="00B95D2A">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pp. 32-33.</w:t>
      </w:r>
    </w:p>
  </w:footnote>
  <w:footnote w:id="737">
    <w:p w:rsidR="00363C82" w:rsidRPr="00CB04CA" w:rsidRDefault="00363C82" w:rsidP="00B95D2A">
      <w:pPr>
        <w:pStyle w:val="FootnoteText"/>
      </w:pPr>
      <w:r>
        <w:rPr>
          <w:rStyle w:val="FootnoteReference"/>
        </w:rPr>
        <w:footnoteRef/>
      </w:r>
      <w:r>
        <w:t xml:space="preserve"> </w:t>
      </w:r>
      <w:r>
        <w:tab/>
      </w:r>
      <w:r w:rsidRPr="00933EC6">
        <w:rPr>
          <w:rStyle w:val="AERbody"/>
          <w:sz w:val="16"/>
        </w:rPr>
        <w:t>Consistent with the 2011 methodology, we note that average of the robust regression estimate of theta is 0.34 which is consistent with the 2011 study. However, the average of the</w:t>
      </w:r>
      <w:r w:rsidRPr="00E268FF">
        <w:rPr>
          <w:rStyle w:val="AERbody"/>
          <w:sz w:val="16"/>
        </w:rPr>
        <w:t xml:space="preserve"> estimate of theta from Model Specification 4 across Table 5 to 6 is 0.38 using the most recent data which is higher than the 0.34 presented in the 2011 study. In the latest Frontier report we have not bee</w:t>
      </w:r>
      <w:r w:rsidRPr="00D647C5">
        <w:rPr>
          <w:rStyle w:val="AERbody"/>
          <w:sz w:val="16"/>
        </w:rPr>
        <w:t>n provided for data for table 7 and 8. As a result we have only average table 5 and 6. It should be noted that a theta estimate of 0.38 is also consistent with the confidence intervals presented in the latest Frontier report (0.26 to 0.34).</w:t>
      </w:r>
    </w:p>
  </w:footnote>
  <w:footnote w:id="738">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39">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B505F7">
        <w:rPr>
          <w:rStyle w:val="AERtextitalic"/>
          <w:i w:val="0"/>
        </w:rPr>
        <w:t>, p. </w:t>
      </w:r>
      <w:r w:rsidRPr="00D75E7C">
        <w:rPr>
          <w:rStyle w:val="AERtextitalic"/>
          <w:i w:val="0"/>
        </w:rPr>
        <w:t>8</w:t>
      </w:r>
      <w:r w:rsidRPr="00B505F7">
        <w:rPr>
          <w:rStyle w:val="AERtextitalic"/>
          <w:i w:val="0"/>
        </w:rPr>
        <w:t>.</w:t>
      </w:r>
    </w:p>
  </w:footnote>
  <w:footnote w:id="740">
    <w:p w:rsidR="00363C82" w:rsidRDefault="00363C82" w:rsidP="00B95D2A">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741">
    <w:p w:rsidR="00363C82" w:rsidRDefault="00363C82" w:rsidP="00B95D2A">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742">
    <w:p w:rsidR="00363C82" w:rsidRDefault="00363C82" w:rsidP="00B95D2A">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743">
    <w:p w:rsidR="00363C82" w:rsidRDefault="00363C82" w:rsidP="00B95D2A">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744">
    <w:p w:rsidR="00363C82" w:rsidRDefault="00363C82" w:rsidP="00B95D2A">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745">
    <w:p w:rsidR="00363C82" w:rsidRDefault="00363C82" w:rsidP="00B95D2A">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746">
    <w:p w:rsidR="00363C82" w:rsidRDefault="00363C82" w:rsidP="00B95D2A">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747">
    <w:p w:rsidR="00363C82" w:rsidRDefault="00363C82" w:rsidP="00B95D2A">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748">
    <w:p w:rsidR="00363C82" w:rsidRDefault="00363C82" w:rsidP="00B95D2A">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 23.</w:t>
      </w:r>
    </w:p>
  </w:footnote>
  <w:footnote w:id="749">
    <w:p w:rsidR="00363C82" w:rsidRDefault="00363C82" w:rsidP="00B95D2A">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750">
    <w:p w:rsidR="00363C82" w:rsidRDefault="00363C82" w:rsidP="00B95D2A">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751">
    <w:p w:rsidR="00363C82" w:rsidRDefault="00363C82" w:rsidP="00B95D2A">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752">
    <w:p w:rsidR="00363C82" w:rsidRDefault="00363C82" w:rsidP="00B95D2A">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753">
    <w:p w:rsidR="00363C82" w:rsidRDefault="00363C82" w:rsidP="00B95D2A">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754">
    <w:p w:rsidR="00363C82" w:rsidRDefault="00363C82" w:rsidP="00B95D2A">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755">
    <w:p w:rsidR="00363C82" w:rsidRDefault="00363C82" w:rsidP="00B95D2A">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756">
    <w:p w:rsidR="00363C82" w:rsidRDefault="00363C82" w:rsidP="00B95D2A">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757">
    <w:p w:rsidR="00363C82" w:rsidRDefault="00363C82" w:rsidP="00B95D2A">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288, 300;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xml:space="preserve">, January 2016, p. 93; AusNet Transmission, </w:t>
      </w:r>
      <w:r>
        <w:rPr>
          <w:rStyle w:val="AERtextitalic"/>
        </w:rPr>
        <w:t>Transmission Revenue Proposal Review 2017-2022, Revised Revenue Proposal</w:t>
      </w:r>
      <w:r>
        <w:t>, 21 September 2016, p. 204.</w:t>
      </w:r>
    </w:p>
  </w:footnote>
  <w:footnote w:id="758">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75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760">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761">
    <w:p w:rsidR="00363C82" w:rsidRDefault="00363C82" w:rsidP="00B95D2A">
      <w:pPr>
        <w:pStyle w:val="FootnoteText"/>
      </w:pPr>
      <w:r>
        <w:rPr>
          <w:rStyle w:val="FootnoteReference"/>
        </w:rPr>
        <w:footnoteRef/>
      </w:r>
      <w:r>
        <w:t xml:space="preserve"> </w:t>
      </w:r>
      <w:r>
        <w:tab/>
        <w:t>SFG</w:t>
      </w:r>
      <w:r w:rsidRPr="007C38AD">
        <w:rPr>
          <w:rStyle w:val="AERtextitalic"/>
        </w:rPr>
        <w:t>, Equity beta</w:t>
      </w:r>
      <w:r>
        <w:t>, 12 May 2014, para. 15.</w:t>
      </w:r>
    </w:p>
  </w:footnote>
  <w:footnote w:id="762">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763">
    <w:p w:rsidR="00363C82" w:rsidRDefault="00363C82" w:rsidP="00B95D2A">
      <w:pPr>
        <w:pStyle w:val="FootnoteText"/>
      </w:pPr>
      <w:r>
        <w:rPr>
          <w:rStyle w:val="FootnoteReference"/>
        </w:rPr>
        <w:footnoteRef/>
      </w:r>
      <w:r>
        <w:t xml:space="preserve"> </w:t>
      </w:r>
      <w:r>
        <w:tab/>
      </w:r>
      <w:r w:rsidRPr="00D064B9">
        <w:t xml:space="preserve">AusNet Transmission, </w:t>
      </w:r>
      <w:r w:rsidRPr="00D064B9">
        <w:rPr>
          <w:rStyle w:val="AERtextitalic"/>
        </w:rPr>
        <w:t>Transmission Revenue Review 2017-2022</w:t>
      </w:r>
      <w:r w:rsidRPr="00D064B9">
        <w:t>, October 2015, p</w:t>
      </w:r>
      <w:r>
        <w:t>p</w:t>
      </w:r>
      <w:r w:rsidRPr="00D064B9">
        <w:t>. </w:t>
      </w:r>
      <w:r>
        <w:t xml:space="preserve">294, 300; 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764">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765">
    <w:p w:rsidR="00363C82" w:rsidRDefault="00363C82" w:rsidP="00B95D2A">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766">
    <w:p w:rsidR="00363C82" w:rsidRDefault="00363C82" w:rsidP="00B95D2A">
      <w:pPr>
        <w:pStyle w:val="FootnoteText"/>
      </w:pPr>
      <w:r>
        <w:rPr>
          <w:rStyle w:val="FootnoteReference"/>
        </w:rPr>
        <w:footnoteRef/>
      </w:r>
      <w:r>
        <w:t xml:space="preserve"> </w:t>
      </w:r>
      <w:r>
        <w:tab/>
        <w:t>Defined as 20 minus 0.6928.</w:t>
      </w:r>
    </w:p>
  </w:footnote>
  <w:footnote w:id="767">
    <w:p w:rsidR="00363C82"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FF354E">
        <w:rPr>
          <w:rStyle w:val="AERtextitalic"/>
          <w:i w:val="0"/>
        </w:rPr>
        <w:t xml:space="preserve">, </w:t>
      </w:r>
      <w:r w:rsidRPr="00AD7E20">
        <w:rPr>
          <w:rStyle w:val="AERtextitalic"/>
          <w:i w:val="0"/>
        </w:rPr>
        <w:t>p</w:t>
      </w:r>
      <w:r w:rsidRPr="00D7695B">
        <w:rPr>
          <w:rStyle w:val="AERtextitalic"/>
          <w:i w:val="0"/>
        </w:rPr>
        <w:t>p</w:t>
      </w:r>
      <w:r w:rsidRPr="00AD7E20">
        <w:rPr>
          <w:rStyle w:val="AERtextitalic"/>
          <w:i w:val="0"/>
        </w:rPr>
        <w:t>. </w:t>
      </w:r>
      <w:r w:rsidRPr="00D7695B">
        <w:rPr>
          <w:rStyle w:val="AERtextitalic"/>
          <w:i w:val="0"/>
        </w:rPr>
        <w:t>6-7</w:t>
      </w:r>
      <w:r w:rsidRPr="00AD7E20">
        <w:rPr>
          <w:rStyle w:val="AERtextitalic"/>
          <w:i w:val="0"/>
        </w:rPr>
        <w:t>.</w:t>
      </w:r>
    </w:p>
  </w:footnote>
  <w:footnote w:id="768">
    <w:p w:rsidR="00363C82" w:rsidRDefault="00363C82" w:rsidP="00B95D2A">
      <w:pPr>
        <w:pStyle w:val="FootnoteText"/>
      </w:pPr>
      <w:r>
        <w:rPr>
          <w:rStyle w:val="FootnoteReference"/>
        </w:rPr>
        <w:footnoteRef/>
      </w:r>
      <w:r>
        <w:t xml:space="preserve"> </w:t>
      </w:r>
      <w:r>
        <w:tab/>
        <w:t>We also note distributed dividends are directly observable.</w:t>
      </w:r>
    </w:p>
  </w:footnote>
  <w:footnote w:id="769">
    <w:p w:rsidR="00363C82" w:rsidRDefault="00363C82" w:rsidP="00B95D2A">
      <w:pPr>
        <w:pStyle w:val="FootnoteText"/>
      </w:pPr>
      <w:r>
        <w:rPr>
          <w:rStyle w:val="FootnoteReference"/>
        </w:rPr>
        <w:footnoteRef/>
      </w:r>
      <w:r>
        <w:t xml:space="preserve"> </w:t>
      </w:r>
      <w:r>
        <w:tab/>
        <w:t xml:space="preserve">Edwin J. Elton and Martin J. Gruber, 'Marginal Stockholder Tax Rates and the Clientele effect' </w:t>
      </w:r>
      <w:r w:rsidRPr="00780170">
        <w:rPr>
          <w:rStyle w:val="AERtextitalic"/>
        </w:rPr>
        <w:t>The Review of Economics and Statistics</w:t>
      </w:r>
      <w:r>
        <w:t>, Vol. 52, No.1 (Feb 1970), pp. 68-74, pin point ref: 69.</w:t>
      </w:r>
    </w:p>
  </w:footnote>
  <w:footnote w:id="770">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771">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772">
    <w:p w:rsidR="00363C82" w:rsidRDefault="00363C82" w:rsidP="00B95D2A">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773">
    <w:p w:rsidR="00363C82" w:rsidRDefault="00363C82" w:rsidP="00B95D2A">
      <w:pPr>
        <w:pStyle w:val="FootnoteText"/>
      </w:pPr>
      <w:r>
        <w:rPr>
          <w:rStyle w:val="FootnoteReference"/>
        </w:rPr>
        <w:footnoteRef/>
      </w:r>
      <w:r>
        <w:t xml:space="preserve"> </w:t>
      </w:r>
      <w:r>
        <w:tab/>
        <w:t xml:space="preserve">Edwin J. Elton and Martin J. Gruber, 'Marginal Stockholder Tax Rates and the Clientele effect' </w:t>
      </w:r>
      <w:r w:rsidRPr="00780170">
        <w:rPr>
          <w:rStyle w:val="AERtextitalic"/>
        </w:rPr>
        <w:t>The Review of Economics and Statistics</w:t>
      </w:r>
      <w:r>
        <w:t>, Vol. 52, No.1 (Feb 1970), p. 6.</w:t>
      </w:r>
    </w:p>
  </w:footnote>
  <w:footnote w:id="774">
    <w:p w:rsidR="00363C82" w:rsidRPr="00F267EC" w:rsidRDefault="00363C82" w:rsidP="00B95D2A">
      <w:pPr>
        <w:pStyle w:val="FootnoteText"/>
      </w:pPr>
      <w:r>
        <w:rPr>
          <w:rStyle w:val="FootnoteReference"/>
        </w:rPr>
        <w:footnoteRef/>
      </w:r>
      <w:r>
        <w:t xml:space="preserve"> </w:t>
      </w:r>
      <w:r>
        <w:tab/>
      </w:r>
      <w:r w:rsidRPr="005764F6">
        <w:rPr>
          <w:rStyle w:val="FootnoteReference"/>
          <w:vertAlign w:val="baseline"/>
        </w:rPr>
        <w:t xml:space="preserve">Ainsworth A, K Fong, D Gallagher, and G Partington (2015),’Institutional Trading around the ex-dividend day’, </w:t>
      </w:r>
      <w:r w:rsidRPr="00780170">
        <w:rPr>
          <w:rStyle w:val="AERtextitalic"/>
        </w:rPr>
        <w:t>Australian Journal of Management</w:t>
      </w:r>
      <w:r w:rsidRPr="005764F6">
        <w:rPr>
          <w:rStyle w:val="FootnoteReference"/>
          <w:vertAlign w:val="baseline"/>
        </w:rPr>
        <w:t>, January, pp. 1-25.</w:t>
      </w:r>
      <w:r w:rsidRPr="00F267EC">
        <w:t xml:space="preserve"> </w:t>
      </w:r>
    </w:p>
    <w:p w:rsidR="00363C82" w:rsidRDefault="00363C82" w:rsidP="00B95D2A">
      <w:pPr>
        <w:pStyle w:val="FootnoteText"/>
      </w:pPr>
    </w:p>
  </w:footnote>
  <w:footnote w:id="775">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776">
    <w:p w:rsidR="00363C82" w:rsidRDefault="00363C82" w:rsidP="00B95D2A">
      <w:pPr>
        <w:pStyle w:val="FootnoteText"/>
      </w:pPr>
      <w:r>
        <w:rPr>
          <w:rStyle w:val="FootnoteReference"/>
        </w:rPr>
        <w:footnoteRef/>
      </w:r>
      <w:r>
        <w:t xml:space="preserve"> </w:t>
      </w:r>
      <w:r>
        <w:tab/>
      </w:r>
      <w:r w:rsidRPr="0015337C">
        <w:t xml:space="preserve">AusNet Transmission, </w:t>
      </w:r>
      <w:r w:rsidRPr="0015337C">
        <w:rPr>
          <w:rStyle w:val="AERtextitalic"/>
        </w:rPr>
        <w:t>Transmission Revenue Review 2017-2022</w:t>
      </w:r>
      <w:r w:rsidRPr="0015337C">
        <w:t>, October 2015, p. </w:t>
      </w:r>
      <w:r>
        <w:t xml:space="preserve">307; 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xml:space="preserve">, January 2016, p. 94; Frontier Economics, </w:t>
      </w:r>
      <w:r>
        <w:rPr>
          <w:rStyle w:val="AERtextitalic"/>
        </w:rPr>
        <w:t>Issues in the estimation of gamma</w:t>
      </w:r>
      <w:r>
        <w:t>, September 2016, paras. 91-93.</w:t>
      </w:r>
    </w:p>
  </w:footnote>
  <w:footnote w:id="777">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778">
    <w:p w:rsidR="00363C82" w:rsidRDefault="00363C82" w:rsidP="00B95D2A">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779">
    <w:p w:rsidR="00363C82" w:rsidRDefault="00363C82" w:rsidP="00B95D2A">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 24; M. Lally, </w:t>
      </w:r>
      <w:r w:rsidRPr="00AC29DB">
        <w:rPr>
          <w:rStyle w:val="AERtextitalic"/>
        </w:rPr>
        <w:t>Issues in the estimation of gamma</w:t>
      </w:r>
      <w:r>
        <w:t>, April 2017</w:t>
      </w:r>
      <w:r w:rsidRPr="00447949">
        <w:rPr>
          <w:rStyle w:val="AERtextitalic"/>
          <w:i w:val="0"/>
        </w:rPr>
        <w:t>, pp. 21-22.</w:t>
      </w:r>
    </w:p>
  </w:footnote>
  <w:footnote w:id="780">
    <w:p w:rsidR="00363C82" w:rsidRDefault="00363C82" w:rsidP="00B95D2A">
      <w:pPr>
        <w:pStyle w:val="FootnoteText"/>
      </w:pPr>
      <w:r>
        <w:rPr>
          <w:rStyle w:val="FootnoteReference"/>
        </w:rPr>
        <w:footnoteRef/>
      </w:r>
      <w:r>
        <w:t xml:space="preserve"> </w:t>
      </w:r>
      <w:r>
        <w:tab/>
      </w:r>
      <w:r w:rsidRPr="00AC29DB">
        <w:rPr>
          <w:rStyle w:val="Hyperlink"/>
          <w:color w:val="auto"/>
          <w:sz w:val="16"/>
          <w:u w:val="none"/>
        </w:rPr>
        <w:t xml:space="preserve">Frontier Economics, </w:t>
      </w:r>
      <w:r w:rsidRPr="00AC29DB">
        <w:rPr>
          <w:rStyle w:val="AERtextitalic"/>
        </w:rPr>
        <w:t>Issues in the estimation of gamma</w:t>
      </w:r>
      <w:r w:rsidRPr="00AC29DB">
        <w:rPr>
          <w:rStyle w:val="Hyperlink"/>
          <w:color w:val="auto"/>
          <w:sz w:val="16"/>
          <w:u w:val="none"/>
        </w:rPr>
        <w:t>, September 2016, p</w:t>
      </w:r>
      <w:r w:rsidRPr="004423C9">
        <w:rPr>
          <w:rStyle w:val="Hyperlink"/>
          <w:color w:val="auto"/>
          <w:sz w:val="16"/>
          <w:u w:val="none"/>
        </w:rPr>
        <w:t>. 23.</w:t>
      </w:r>
    </w:p>
  </w:footnote>
  <w:footnote w:id="781">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w:t>
      </w:r>
      <w:r w:rsidRPr="00D0581B">
        <w:rPr>
          <w:rStyle w:val="AERtextitalic"/>
          <w:i w:val="0"/>
        </w:rPr>
        <w:t>. </w:t>
      </w:r>
      <w:r w:rsidRPr="00D7695B">
        <w:rPr>
          <w:rStyle w:val="AERtextitalic"/>
          <w:i w:val="0"/>
        </w:rPr>
        <w:t>2</w:t>
      </w:r>
      <w:r w:rsidRPr="00D0581B">
        <w:rPr>
          <w:rStyle w:val="AERtextitalic"/>
          <w:i w:val="0"/>
        </w:rPr>
        <w:t>1.</w:t>
      </w:r>
    </w:p>
  </w:footnote>
  <w:footnote w:id="782">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xml:space="preserve">, </w:t>
      </w:r>
      <w:r w:rsidRPr="0057145F">
        <w:rPr>
          <w:rStyle w:val="AERtextitalic"/>
          <w:i w:val="0"/>
        </w:rPr>
        <w:t>p</w:t>
      </w:r>
      <w:r w:rsidRPr="00D7695B">
        <w:rPr>
          <w:rStyle w:val="AERtextitalic"/>
          <w:i w:val="0"/>
        </w:rPr>
        <w:t>p</w:t>
      </w:r>
      <w:r w:rsidRPr="0057145F">
        <w:rPr>
          <w:rStyle w:val="AERtextitalic"/>
          <w:i w:val="0"/>
        </w:rPr>
        <w:t>. </w:t>
      </w:r>
      <w:r w:rsidRPr="00D7695B">
        <w:rPr>
          <w:rStyle w:val="AERtextitalic"/>
          <w:i w:val="0"/>
        </w:rPr>
        <w:t>21-22</w:t>
      </w:r>
      <w:r>
        <w:rPr>
          <w:rStyle w:val="AERtextitalic"/>
        </w:rPr>
        <w:t>,</w:t>
      </w:r>
      <w:r w:rsidRPr="00D7695B">
        <w:rPr>
          <w:rStyle w:val="AERtextitalic"/>
          <w:i w:val="0"/>
        </w:rPr>
        <w:t xml:space="preserve"> 26</w:t>
      </w:r>
      <w:r w:rsidRPr="00AD7E20">
        <w:rPr>
          <w:rStyle w:val="AERtextitalic"/>
          <w:i w:val="0"/>
        </w:rPr>
        <w:t>.</w:t>
      </w:r>
    </w:p>
  </w:footnote>
  <w:footnote w:id="783">
    <w:p w:rsidR="00363C82" w:rsidRDefault="00363C82" w:rsidP="00B95D2A">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w:t>
      </w:r>
      <w:r>
        <w:t>p</w:t>
      </w:r>
      <w:r w:rsidRPr="003A52B7">
        <w:t>. </w:t>
      </w:r>
      <w:r>
        <w:t xml:space="preserve">301, 303, 306; 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784">
    <w:p w:rsidR="00363C82" w:rsidRDefault="00363C82" w:rsidP="00B95D2A">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785">
    <w:p w:rsidR="00363C82" w:rsidRDefault="00363C82" w:rsidP="00B95D2A">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286, 303; 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786">
    <w:p w:rsidR="00363C82" w:rsidRDefault="00363C82" w:rsidP="00B95D2A">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787">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788">
    <w:p w:rsidR="00363C82" w:rsidRDefault="00363C82" w:rsidP="00B95D2A">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789">
    <w:p w:rsidR="00363C82" w:rsidRDefault="00363C82" w:rsidP="00B95D2A">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790">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791">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792">
    <w:p w:rsidR="00363C82" w:rsidRDefault="00363C82" w:rsidP="00B95D2A">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793">
    <w:p w:rsidR="00363C82" w:rsidRDefault="00363C82" w:rsidP="00B95D2A">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794">
    <w:p w:rsidR="00363C82" w:rsidRDefault="00363C82" w:rsidP="00B95D2A">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795">
    <w:p w:rsidR="00363C82" w:rsidRDefault="00363C82" w:rsidP="00B95D2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796">
    <w:p w:rsidR="00363C82" w:rsidRDefault="00363C82" w:rsidP="00B95D2A">
      <w:pPr>
        <w:pStyle w:val="FootnoteText"/>
      </w:pPr>
      <w:r>
        <w:rPr>
          <w:rStyle w:val="FootnoteReference"/>
        </w:rPr>
        <w:footnoteRef/>
      </w:r>
      <w:r>
        <w:t xml:space="preserve"> </w:t>
      </w:r>
      <w:r>
        <w:tab/>
        <w:t xml:space="preserve">Frontier Economics, </w:t>
      </w:r>
      <w:r>
        <w:rPr>
          <w:rStyle w:val="AERtextitalic"/>
        </w:rPr>
        <w:t>Issues in the estimation of gamma</w:t>
      </w:r>
      <w:r>
        <w:t>, September 2016, pp. 4, 17-18.</w:t>
      </w:r>
    </w:p>
  </w:footnote>
  <w:footnote w:id="797">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1224E1">
        <w:rPr>
          <w:rStyle w:val="AERtextitalic"/>
          <w:i w:val="0"/>
        </w:rPr>
        <w:t>, p. </w:t>
      </w:r>
      <w:r w:rsidRPr="003A0C07">
        <w:rPr>
          <w:rStyle w:val="AERtextitalic"/>
          <w:i w:val="0"/>
        </w:rPr>
        <w:t>1</w:t>
      </w:r>
      <w:r w:rsidRPr="00DC0074">
        <w:rPr>
          <w:rStyle w:val="AERtextitalic"/>
          <w:i w:val="0"/>
        </w:rPr>
        <w:t>3</w:t>
      </w:r>
      <w:r w:rsidRPr="002D7AA8">
        <w:rPr>
          <w:rStyle w:val="AERtextitalic"/>
          <w:i w:val="0"/>
        </w:rPr>
        <w:t>-14</w:t>
      </w:r>
      <w:r w:rsidRPr="002D6646">
        <w:rPr>
          <w:rStyle w:val="AERtextitalic"/>
          <w:i w:val="0"/>
        </w:rPr>
        <w:t>.</w:t>
      </w:r>
    </w:p>
  </w:footnote>
  <w:footnote w:id="798">
    <w:p w:rsidR="00363C82" w:rsidRPr="001224E1" w:rsidRDefault="00363C82" w:rsidP="00B95D2A">
      <w:pPr>
        <w:pStyle w:val="FootnoteText"/>
      </w:pPr>
      <w:r>
        <w:rPr>
          <w:rStyle w:val="FootnoteReference"/>
        </w:rPr>
        <w:footnoteRef/>
      </w:r>
      <w:r>
        <w:t xml:space="preserve"> </w:t>
      </w:r>
      <w:r>
        <w:tab/>
        <w:t xml:space="preserve">M. Lally, </w:t>
      </w:r>
      <w:r w:rsidRPr="00AC29DB">
        <w:rPr>
          <w:rStyle w:val="AERtextitalic"/>
        </w:rPr>
        <w:t>Issues in the estimation of gamma</w:t>
      </w:r>
      <w:r>
        <w:t>, April 2017</w:t>
      </w:r>
      <w:r w:rsidRPr="00AD7E20">
        <w:rPr>
          <w:rStyle w:val="AERtextitalic"/>
          <w:i w:val="0"/>
        </w:rPr>
        <w:t>, p</w:t>
      </w:r>
      <w:r w:rsidRPr="005B77D3">
        <w:rPr>
          <w:rStyle w:val="AERtextitalic"/>
          <w:i w:val="0"/>
        </w:rPr>
        <w:t>p. 14</w:t>
      </w:r>
      <w:r w:rsidRPr="0059076A">
        <w:rPr>
          <w:rStyle w:val="AERtextitalic"/>
          <w:i w:val="0"/>
        </w:rPr>
        <w:t>-16</w:t>
      </w:r>
      <w:r w:rsidRPr="00D7695B">
        <w:rPr>
          <w:rStyle w:val="AERtextitalic"/>
          <w:i w:val="0"/>
        </w:rPr>
        <w:t>, 25-26</w:t>
      </w:r>
      <w:r w:rsidRPr="00AD7E20">
        <w:rPr>
          <w:rStyle w:val="AERtextitalic"/>
          <w:i w:val="0"/>
        </w:rPr>
        <w:t>.</w:t>
      </w:r>
    </w:p>
  </w:footnote>
  <w:footnote w:id="799">
    <w:p w:rsidR="00363C82" w:rsidRDefault="00363C82" w:rsidP="00B95D2A">
      <w:pPr>
        <w:pStyle w:val="FootnoteText"/>
      </w:pPr>
      <w:r>
        <w:rPr>
          <w:rStyle w:val="FootnoteReference"/>
        </w:rPr>
        <w:footnoteRef/>
      </w:r>
      <w:r>
        <w:t xml:space="preserve"> </w:t>
      </w:r>
      <w:r>
        <w:tab/>
        <w:t xml:space="preserve">In his example Lally shows that for a dividend of 4 dollars and an imputation credit of $2, the net effect of all these transaction costs could produce an expected price drop of anywhere in the range of $4 to $6. See: M. Lally, </w:t>
      </w:r>
      <w:r w:rsidRPr="00AC29DB">
        <w:rPr>
          <w:rStyle w:val="AERtextitalic"/>
        </w:rPr>
        <w:t>Issues in the estimation of gamma</w:t>
      </w:r>
      <w:r>
        <w:t>, April 2017</w:t>
      </w:r>
      <w:r w:rsidRPr="004423C9">
        <w:rPr>
          <w:rStyle w:val="AERtextitalic"/>
          <w:i w:val="0"/>
        </w:rPr>
        <w:t>, pp. 14-16</w:t>
      </w:r>
      <w:r w:rsidRPr="0021673C">
        <w:rPr>
          <w:rStyle w:val="AERtextitalic"/>
        </w:rPr>
        <w:t>.</w:t>
      </w:r>
    </w:p>
  </w:footnote>
  <w:footnote w:id="800">
    <w:p w:rsidR="00363C82" w:rsidRDefault="00363C82" w:rsidP="00B95D2A">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801">
    <w:p w:rsidR="00363C82" w:rsidRDefault="00363C82" w:rsidP="00B95D2A">
      <w:pPr>
        <w:pStyle w:val="FootnoteText"/>
      </w:pPr>
      <w:r>
        <w:rPr>
          <w:rStyle w:val="FootnoteReference"/>
        </w:rPr>
        <w:footnoteRef/>
      </w:r>
      <w:r>
        <w:t xml:space="preserve"> </w:t>
      </w:r>
      <w:r>
        <w:tab/>
      </w:r>
      <w:r w:rsidRPr="003A52B7">
        <w:t xml:space="preserve">AusNet Transmission, </w:t>
      </w:r>
      <w:r w:rsidRPr="003A52B7">
        <w:rPr>
          <w:rStyle w:val="AERtextitalic"/>
        </w:rPr>
        <w:t>Transmission Revenue Review 2017-2022</w:t>
      </w:r>
      <w:r w:rsidRPr="003A52B7">
        <w:t>, October 2015, p. </w:t>
      </w:r>
      <w:r>
        <w:t xml:space="preserve">303; 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802">
    <w:p w:rsidR="00363C82" w:rsidRDefault="00363C82" w:rsidP="00B95D2A">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803">
    <w:p w:rsidR="00363C82" w:rsidRDefault="00363C82" w:rsidP="00B95D2A">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804">
    <w:p w:rsidR="00363C82" w:rsidRDefault="00363C82" w:rsidP="00B95D2A">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805">
    <w:p w:rsidR="00363C82" w:rsidRDefault="00363C82" w:rsidP="00B95D2A">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806">
    <w:p w:rsidR="00363C82" w:rsidRDefault="00363C82" w:rsidP="00B95D2A">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807">
    <w:p w:rsidR="00363C82" w:rsidRDefault="00363C82" w:rsidP="00B95D2A">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808">
    <w:p w:rsidR="00363C82" w:rsidRDefault="00363C82" w:rsidP="00B95D2A">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809">
    <w:p w:rsidR="00363C82" w:rsidRDefault="00363C82" w:rsidP="00B95D2A">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810">
    <w:p w:rsidR="00363C82" w:rsidRDefault="00363C82" w:rsidP="00B95D2A">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811">
    <w:p w:rsidR="00363C82" w:rsidRDefault="00363C82" w:rsidP="00B95D2A">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812">
    <w:p w:rsidR="00363C82" w:rsidRDefault="00363C82" w:rsidP="00B95D2A">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813">
    <w:p w:rsidR="00363C82" w:rsidRDefault="00363C82" w:rsidP="00B95D2A">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814">
    <w:p w:rsidR="00363C82" w:rsidRDefault="00363C82" w:rsidP="00B95D2A">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w:t>
      </w:r>
    </w:p>
  </w:footnote>
  <w:footnote w:id="815">
    <w:p w:rsidR="00363C82" w:rsidRDefault="00363C82" w:rsidP="00B95D2A">
      <w:pPr>
        <w:pStyle w:val="FootnoteText"/>
      </w:pPr>
      <w:r>
        <w:rPr>
          <w:rStyle w:val="FootnoteReference"/>
        </w:rPr>
        <w:footnoteRef/>
      </w:r>
      <w:r>
        <w:t xml:space="preserve"> </w:t>
      </w:r>
      <w:r>
        <w:tab/>
        <w:t xml:space="preserve">M. </w:t>
      </w:r>
      <w:r w:rsidRPr="002B01D6">
        <w:t xml:space="preserve">Lally, </w:t>
      </w:r>
      <w:r w:rsidRPr="00A70E2C">
        <w:rPr>
          <w:rStyle w:val="AERtextitalic"/>
        </w:rPr>
        <w:t>The estimation of gamma</w:t>
      </w:r>
      <w:r>
        <w:t>, 23 November 2013, pp. 3 and 4.</w:t>
      </w:r>
    </w:p>
  </w:footnote>
  <w:footnote w:id="816">
    <w:p w:rsidR="00363C82" w:rsidRDefault="00363C82" w:rsidP="00B95D2A">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14.</w:t>
      </w:r>
    </w:p>
  </w:footnote>
  <w:footnote w:id="817">
    <w:p w:rsidR="00363C82" w:rsidRDefault="00363C82" w:rsidP="00B95D2A">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 38.</w:t>
      </w:r>
    </w:p>
  </w:footnote>
  <w:footnote w:id="818">
    <w:p w:rsidR="00363C82" w:rsidRDefault="00363C82" w:rsidP="00B95D2A">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38–47.</w:t>
      </w:r>
    </w:p>
  </w:footnote>
  <w:footnote w:id="819">
    <w:p w:rsidR="00363C82" w:rsidRDefault="00363C82" w:rsidP="00B95D2A">
      <w:pPr>
        <w:pStyle w:val="FootnoteText"/>
      </w:pPr>
      <w:r>
        <w:rPr>
          <w:rStyle w:val="FootnoteReference"/>
        </w:rPr>
        <w:footnoteRef/>
      </w:r>
      <w:r>
        <w:t xml:space="preserve"> </w:t>
      </w:r>
      <w:r>
        <w:tab/>
        <w:t xml:space="preserve">M. </w:t>
      </w:r>
      <w:r w:rsidRPr="002B01D6">
        <w:t xml:space="preserve">Lally, </w:t>
      </w:r>
      <w:r w:rsidRPr="002B01D6">
        <w:rPr>
          <w:rStyle w:val="AERtextitalic"/>
        </w:rPr>
        <w:t>The estimation of gamma</w:t>
      </w:r>
      <w:r>
        <w:t>, 23 November 2013, pp. 46–47.</w:t>
      </w:r>
    </w:p>
  </w:footnote>
  <w:footnote w:id="820">
    <w:p w:rsidR="00363C82" w:rsidRDefault="00363C82" w:rsidP="00B95D2A">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821">
    <w:p w:rsidR="00363C82" w:rsidRDefault="00363C82" w:rsidP="00B95D2A">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822">
    <w:p w:rsidR="00363C82" w:rsidRDefault="00363C82" w:rsidP="00B95D2A">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823">
    <w:p w:rsidR="00363C82" w:rsidRDefault="00363C82" w:rsidP="00B95D2A">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82" w:rsidRDefault="00363C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1561E8A"/>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9B95977"/>
    <w:multiLevelType w:val="hybridMultilevel"/>
    <w:tmpl w:val="12B2A13C"/>
    <w:lvl w:ilvl="0" w:tplc="CC161006">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ECE4384"/>
    <w:multiLevelType w:val="multilevel"/>
    <w:tmpl w:val="A9C0A7BA"/>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4">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2"/>
  </w:num>
  <w:num w:numId="15">
    <w:abstractNumId w:val="15"/>
  </w:num>
  <w:num w:numId="16">
    <w:abstractNumId w:val="24"/>
  </w:num>
  <w:num w:numId="17">
    <w:abstractNumId w:val="11"/>
  </w:num>
  <w:num w:numId="18">
    <w:abstractNumId w:val="17"/>
  </w:num>
  <w:num w:numId="19">
    <w:abstractNumId w:val="25"/>
  </w:num>
  <w:num w:numId="20">
    <w:abstractNumId w:val="32"/>
  </w:num>
  <w:num w:numId="21">
    <w:abstractNumId w:val="28"/>
  </w:num>
  <w:num w:numId="22">
    <w:abstractNumId w:val="26"/>
  </w:num>
  <w:num w:numId="23">
    <w:abstractNumId w:val="18"/>
  </w:num>
  <w:num w:numId="24">
    <w:abstractNumId w:val="27"/>
  </w:num>
  <w:num w:numId="25">
    <w:abstractNumId w:val="30"/>
  </w:num>
  <w:num w:numId="26">
    <w:abstractNumId w:val="19"/>
  </w:num>
  <w:num w:numId="27">
    <w:abstractNumId w:val="16"/>
  </w:num>
  <w:num w:numId="28">
    <w:abstractNumId w:val="34"/>
  </w:num>
  <w:num w:numId="29">
    <w:abstractNumId w:val="22"/>
  </w:num>
  <w:num w:numId="30">
    <w:abstractNumId w:val="9"/>
  </w:num>
  <w:num w:numId="31">
    <w:abstractNumId w:val="33"/>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0"/>
  </w:num>
  <w:num w:numId="37">
    <w:abstractNumId w:val="20"/>
  </w:num>
  <w:num w:numId="38">
    <w:abstractNumId w:val="23"/>
  </w:num>
  <w:num w:numId="39">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r/OW9UQNXCyUImwGezs0i0jNb4u/N6xhbka0UDw4ANk=" w:saltValue="dWLBOltzvf0z5U3k1/QwFg==" w:algorithmName="SHA-256"/>
  <w:defaultTabStop w:val="34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704\D16 9223  AER - Final decision TasNetworks distribution determination - Attachment 4 - Value of imputation credits - April 2017.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5A28"/>
    <w:rsid w:val="00076416"/>
    <w:rsid w:val="000779DE"/>
    <w:rsid w:val="000805A8"/>
    <w:rsid w:val="0008190B"/>
    <w:rsid w:val="000836D9"/>
    <w:rsid w:val="00085663"/>
    <w:rsid w:val="00085EBF"/>
    <w:rsid w:val="00091B15"/>
    <w:rsid w:val="00095186"/>
    <w:rsid w:val="000A0E71"/>
    <w:rsid w:val="000A1C0C"/>
    <w:rsid w:val="000A3020"/>
    <w:rsid w:val="000A4840"/>
    <w:rsid w:val="000A565E"/>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32B3"/>
    <w:rsid w:val="00115743"/>
    <w:rsid w:val="00116EB2"/>
    <w:rsid w:val="0012132C"/>
    <w:rsid w:val="00121AD7"/>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6CAA"/>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3C82"/>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419A"/>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25DD6"/>
    <w:rsid w:val="004324F4"/>
    <w:rsid w:val="00434544"/>
    <w:rsid w:val="00441F4E"/>
    <w:rsid w:val="00445D43"/>
    <w:rsid w:val="00445F0C"/>
    <w:rsid w:val="00446CD2"/>
    <w:rsid w:val="004523B2"/>
    <w:rsid w:val="0045777E"/>
    <w:rsid w:val="00465258"/>
    <w:rsid w:val="00471BC6"/>
    <w:rsid w:val="00476221"/>
    <w:rsid w:val="004766F5"/>
    <w:rsid w:val="00480B4B"/>
    <w:rsid w:val="004838D8"/>
    <w:rsid w:val="00485DC4"/>
    <w:rsid w:val="00492EFD"/>
    <w:rsid w:val="00494D04"/>
    <w:rsid w:val="004A40BA"/>
    <w:rsid w:val="004A43D1"/>
    <w:rsid w:val="004A492B"/>
    <w:rsid w:val="004B0ED0"/>
    <w:rsid w:val="004B4412"/>
    <w:rsid w:val="004B6269"/>
    <w:rsid w:val="004C348C"/>
    <w:rsid w:val="004C462E"/>
    <w:rsid w:val="004C6CA3"/>
    <w:rsid w:val="004C726F"/>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81B"/>
    <w:rsid w:val="00513FA7"/>
    <w:rsid w:val="0051768F"/>
    <w:rsid w:val="00522DC2"/>
    <w:rsid w:val="00530128"/>
    <w:rsid w:val="00532467"/>
    <w:rsid w:val="005332A9"/>
    <w:rsid w:val="0053603C"/>
    <w:rsid w:val="00537871"/>
    <w:rsid w:val="00542FE9"/>
    <w:rsid w:val="00544598"/>
    <w:rsid w:val="00544C8D"/>
    <w:rsid w:val="00544DFD"/>
    <w:rsid w:val="00556B1E"/>
    <w:rsid w:val="00562433"/>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25A3E"/>
    <w:rsid w:val="00632D6D"/>
    <w:rsid w:val="00636569"/>
    <w:rsid w:val="00636EF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808CC"/>
    <w:rsid w:val="00683C89"/>
    <w:rsid w:val="00691B53"/>
    <w:rsid w:val="00697D0B"/>
    <w:rsid w:val="006A12BA"/>
    <w:rsid w:val="006A4739"/>
    <w:rsid w:val="006A66A1"/>
    <w:rsid w:val="006B032D"/>
    <w:rsid w:val="006B2395"/>
    <w:rsid w:val="006B40AC"/>
    <w:rsid w:val="006B4CF9"/>
    <w:rsid w:val="006B797C"/>
    <w:rsid w:val="006B7AC8"/>
    <w:rsid w:val="006C1736"/>
    <w:rsid w:val="006C300E"/>
    <w:rsid w:val="006C329B"/>
    <w:rsid w:val="006C6303"/>
    <w:rsid w:val="006D39C4"/>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5460"/>
    <w:rsid w:val="00777EE6"/>
    <w:rsid w:val="00780170"/>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E6764"/>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4081"/>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223E"/>
    <w:rsid w:val="00907683"/>
    <w:rsid w:val="009132B7"/>
    <w:rsid w:val="00916A2C"/>
    <w:rsid w:val="009233EE"/>
    <w:rsid w:val="00930B1A"/>
    <w:rsid w:val="00932612"/>
    <w:rsid w:val="009327DC"/>
    <w:rsid w:val="009338D9"/>
    <w:rsid w:val="00933988"/>
    <w:rsid w:val="009339BD"/>
    <w:rsid w:val="009356CF"/>
    <w:rsid w:val="00945E53"/>
    <w:rsid w:val="009460AA"/>
    <w:rsid w:val="00951978"/>
    <w:rsid w:val="00952C8B"/>
    <w:rsid w:val="009619EF"/>
    <w:rsid w:val="00961A4A"/>
    <w:rsid w:val="009661DE"/>
    <w:rsid w:val="00972C7C"/>
    <w:rsid w:val="009776F4"/>
    <w:rsid w:val="00982DA2"/>
    <w:rsid w:val="00983C25"/>
    <w:rsid w:val="0098466D"/>
    <w:rsid w:val="009856B7"/>
    <w:rsid w:val="009859D6"/>
    <w:rsid w:val="00985C86"/>
    <w:rsid w:val="009875E3"/>
    <w:rsid w:val="009A5FC3"/>
    <w:rsid w:val="009B1202"/>
    <w:rsid w:val="009B6F84"/>
    <w:rsid w:val="009B74B0"/>
    <w:rsid w:val="009C0152"/>
    <w:rsid w:val="009C1A74"/>
    <w:rsid w:val="009C3D42"/>
    <w:rsid w:val="009C491E"/>
    <w:rsid w:val="009D0DF1"/>
    <w:rsid w:val="009D1F9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3DF"/>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29DB"/>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0891"/>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95D2A"/>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2E5D"/>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715F"/>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29A5"/>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2610"/>
    <w:rsid w:val="00EC573A"/>
    <w:rsid w:val="00ED35C8"/>
    <w:rsid w:val="00ED3968"/>
    <w:rsid w:val="00ED7323"/>
    <w:rsid w:val="00ED7EC6"/>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75D"/>
    <w:rsid w:val="00F2722C"/>
    <w:rsid w:val="00F31168"/>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53C4"/>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F31168"/>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F3116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95D2A"/>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95D2A"/>
    <w:rPr>
      <w:rFonts w:ascii="Arial Narrow" w:eastAsia="Times New Roman" w:hAnsi="Arial Narrow" w:cs="Times New Roman"/>
      <w:sz w:val="24"/>
      <w:szCs w:val="20"/>
      <w:lang w:val="en-US" w:eastAsia="en-AU"/>
    </w:rPr>
  </w:style>
  <w:style w:type="numbering" w:styleId="ArticleSection">
    <w:name w:val="Outline List 3"/>
    <w:basedOn w:val="NoList"/>
    <w:semiHidden/>
    <w:rsid w:val="00B95D2A"/>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2"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F31168"/>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F3116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B95D2A"/>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B95D2A"/>
    <w:rPr>
      <w:rFonts w:ascii="Arial Narrow" w:eastAsia="Times New Roman" w:hAnsi="Arial Narrow" w:cs="Times New Roman"/>
      <w:sz w:val="24"/>
      <w:szCs w:val="20"/>
      <w:lang w:val="en-US" w:eastAsia="en-AU"/>
    </w:rPr>
  </w:style>
  <w:style w:type="numbering" w:styleId="ArticleSection">
    <w:name w:val="Outline List 3"/>
    <w:basedOn w:val="NoList"/>
    <w:semiHidden/>
    <w:rsid w:val="00B95D2A"/>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image" Target="media/image3.emf"/><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footer" Target="footer9.xml"/><Relationship Id="rId10" Type="http://schemas.openxmlformats.org/officeDocument/2006/relationships/image" Target="media/image1.jpeg"/><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5.emf"/><Relationship Id="rId27" Type="http://schemas.openxmlformats.org/officeDocument/2006/relationships/footer" Target="footer8.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smyc\AppData\Local\Microsoft\Windows\Temporary%20Internet%20Files\Content.Outlook\0B6F3HHR\Equity_ownership_approach_calculations_-_data_to_December_2016_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Listed_byownership!$AY$26:$DL$26</c:f>
              <c:numCache>
                <c:formatCode>0.000</c:formatCode>
                <c:ptCount val="66"/>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0.40715572143867662</c:v>
                </c:pt>
                <c:pt idx="49">
                  <c:v>0.41691417652603729</c:v>
                </c:pt>
                <c:pt idx="50">
                  <c:v>0.4315510678455885</c:v>
                </c:pt>
                <c:pt idx="51">
                  <c:v>0.41907671497619026</c:v>
                </c:pt>
                <c:pt idx="52">
                  <c:v>0.44419056906512755</c:v>
                </c:pt>
                <c:pt idx="53">
                  <c:v>0.45238654734388395</c:v>
                </c:pt>
                <c:pt idx="54">
                  <c:v>0.45229934813213296</c:v>
                </c:pt>
                <c:pt idx="55">
                  <c:v>0.45705642378418171</c:v>
                </c:pt>
                <c:pt idx="56">
                  <c:v>0.44573655151095753</c:v>
                </c:pt>
                <c:pt idx="57">
                  <c:v>0.45877624375864767</c:v>
                </c:pt>
                <c:pt idx="58">
                  <c:v>0.47019508958563133</c:v>
                </c:pt>
                <c:pt idx="59">
                  <c:v>0.45316227846725993</c:v>
                </c:pt>
                <c:pt idx="60">
                  <c:v>0.44637842288194929</c:v>
                </c:pt>
                <c:pt idx="61">
                  <c:v>0.46631156582769701</c:v>
                </c:pt>
                <c:pt idx="62">
                  <c:v>0.45718367582544445</c:v>
                </c:pt>
                <c:pt idx="63">
                  <c:v>0.4584669576312006</c:v>
                </c:pt>
                <c:pt idx="64">
                  <c:v>0.47010738258739848</c:v>
                </c:pt>
                <c:pt idx="65">
                  <c:v>0.47392897247897725</c:v>
                </c:pt>
              </c:numCache>
            </c:numRef>
          </c:val>
          <c:smooth val="0"/>
        </c:ser>
        <c:ser>
          <c:idx val="1"/>
          <c:order val="1"/>
          <c:tx>
            <c:v>Total equity</c:v>
          </c:tx>
          <c:marker>
            <c:symbol val="none"/>
          </c:marker>
          <c:cat>
            <c:numRef>
              <c:f>Listed_byownership!$AY$1:$DL$1</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Total_byownership!$AY$26:$DL$26</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dLbls>
          <c:showLegendKey val="0"/>
          <c:showVal val="0"/>
          <c:showCatName val="0"/>
          <c:showSerName val="0"/>
          <c:showPercent val="0"/>
          <c:showBubbleSize val="0"/>
        </c:dLbls>
        <c:marker val="1"/>
        <c:smooth val="0"/>
        <c:axId val="393583616"/>
        <c:axId val="394617984"/>
      </c:lineChart>
      <c:dateAx>
        <c:axId val="393583616"/>
        <c:scaling>
          <c:orientation val="minMax"/>
        </c:scaling>
        <c:delete val="0"/>
        <c:axPos val="b"/>
        <c:numFmt formatCode="mmm\-yyyy" sourceLinked="1"/>
        <c:majorTickMark val="out"/>
        <c:minorTickMark val="none"/>
        <c:tickLblPos val="nextTo"/>
        <c:crossAx val="394617984"/>
        <c:crosses val="autoZero"/>
        <c:auto val="0"/>
        <c:lblOffset val="100"/>
        <c:baseTimeUnit val="months"/>
        <c:majorUnit val="12"/>
        <c:majorTimeUnit val="months"/>
      </c:dateAx>
      <c:valAx>
        <c:axId val="394617984"/>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layout/>
          <c:overlay val="0"/>
        </c:title>
        <c:numFmt formatCode="0.000" sourceLinked="1"/>
        <c:majorTickMark val="out"/>
        <c:minorTickMark val="none"/>
        <c:tickLblPos val="nextTo"/>
        <c:crossAx val="393583616"/>
        <c:crossesAt val="36770"/>
        <c:crossBetween val="midCat"/>
        <c:majorUnit val="5.000000000000001E-2"/>
        <c:minorUnit val="4.000000000000001E-3"/>
      </c:valAx>
    </c:plotArea>
    <c:legend>
      <c:legendPos val="b"/>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983968801068669E-2"/>
          <c:y val="3.7957332256544858E-2"/>
          <c:w val="0.89400963894134788"/>
          <c:h val="0.63245225582774256"/>
        </c:manualLayout>
      </c:layout>
      <c:lineChart>
        <c:grouping val="standard"/>
        <c:varyColors val="0"/>
        <c:ser>
          <c:idx val="0"/>
          <c:order val="0"/>
          <c:tx>
            <c:strRef>
              <c:f>'[Taxation statistics approach calculations -with Handely calc -_REUupdated_final.xlsx]Sheet1'!$D$3</c:f>
              <c:strCache>
                <c:ptCount val="1"/>
                <c:pt idx="0">
                  <c:v>Equity ownership all equity</c:v>
                </c:pt>
              </c:strCache>
            </c:strRef>
          </c:tx>
          <c:marker>
            <c:symbol val="none"/>
          </c:marker>
          <c:cat>
            <c:numRef>
              <c:f>'[Taxation statistics approach calculations -with Handely calc -_REUupdated_final.xlsx]Sheet1'!$C$4:$C$69</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'[Taxation statistics approach calculations -with Handely calc -_REUupdated_final.xlsx]Sheet1'!$D$4:$D$69</c:f>
              <c:numCache>
                <c:formatCode>0.000</c:formatCode>
                <c:ptCount val="66"/>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0.58596023950606413</c:v>
                </c:pt>
                <c:pt idx="49">
                  <c:v>0.59424071617227037</c:v>
                </c:pt>
                <c:pt idx="50">
                  <c:v>0.60098107520022082</c:v>
                </c:pt>
                <c:pt idx="51">
                  <c:v>0.60254041395552238</c:v>
                </c:pt>
                <c:pt idx="52">
                  <c:v>0.6110817604515788</c:v>
                </c:pt>
                <c:pt idx="53">
                  <c:v>0.61290855810556089</c:v>
                </c:pt>
                <c:pt idx="54">
                  <c:v>0.61078779355156088</c:v>
                </c:pt>
                <c:pt idx="55">
                  <c:v>0.61305569631528833</c:v>
                </c:pt>
                <c:pt idx="56">
                  <c:v>0.60911118017280574</c:v>
                </c:pt>
                <c:pt idx="57">
                  <c:v>0.61559982431057736</c:v>
                </c:pt>
                <c:pt idx="58">
                  <c:v>0.61886899514260851</c:v>
                </c:pt>
                <c:pt idx="59">
                  <c:v>0.61649880383613764</c:v>
                </c:pt>
                <c:pt idx="60">
                  <c:v>0.61529557278293145</c:v>
                </c:pt>
                <c:pt idx="61">
                  <c:v>0.62168668078110756</c:v>
                </c:pt>
                <c:pt idx="62">
                  <c:v>0.61534355926976803</c:v>
                </c:pt>
                <c:pt idx="63">
                  <c:v>0.61269329697232633</c:v>
                </c:pt>
                <c:pt idx="64">
                  <c:v>0.60612201705758517</c:v>
                </c:pt>
                <c:pt idx="65">
                  <c:v>0.60322398382318576</c:v>
                </c:pt>
              </c:numCache>
            </c:numRef>
          </c:val>
          <c:smooth val="0"/>
        </c:ser>
        <c:ser>
          <c:idx val="1"/>
          <c:order val="1"/>
          <c:tx>
            <c:strRef>
              <c:f>'[Taxation statistics approach calculations -with Handely calc -_REUupdated_final.xlsx]Sheet1'!$E$3</c:f>
              <c:strCache>
                <c:ptCount val="1"/>
                <c:pt idx="0">
                  <c:v>Tax statistics all equity</c:v>
                </c:pt>
              </c:strCache>
            </c:strRef>
          </c:tx>
          <c:marker>
            <c:symbol val="none"/>
          </c:marker>
          <c:cat>
            <c:numRef>
              <c:f>'[Taxation statistics approach calculations -with Handely calc -_REUupdated_final.xlsx]Sheet1'!$C$4:$C$69</c:f>
              <c:numCache>
                <c:formatCode>mmm\-yyyy</c:formatCode>
                <c:ptCount val="66"/>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pt idx="62">
                  <c:v>42430</c:v>
                </c:pt>
                <c:pt idx="63">
                  <c:v>42522</c:v>
                </c:pt>
                <c:pt idx="64">
                  <c:v>42614</c:v>
                </c:pt>
                <c:pt idx="65">
                  <c:v>42705</c:v>
                </c:pt>
              </c:numCache>
            </c:numRef>
          </c:cat>
          <c:val>
            <c:numRef>
              <c:f>'[Taxation statistics approach calculations -with Handely calc -_REUupdated_final.xlsx]Sheet1'!$E$4:$E$69</c:f>
              <c:numCache>
                <c:formatCode>General</c:formatCode>
                <c:ptCount val="66"/>
                <c:pt idx="12" formatCode="0.0%">
                  <c:v>0.32999175516380386</c:v>
                </c:pt>
                <c:pt idx="13" formatCode="0.0%">
                  <c:v>0.32999175516380386</c:v>
                </c:pt>
                <c:pt idx="14" formatCode="0.0%">
                  <c:v>0.32999175516380386</c:v>
                </c:pt>
                <c:pt idx="15" formatCode="0.0%">
                  <c:v>0.32999175516380386</c:v>
                </c:pt>
                <c:pt idx="16" formatCode="0.0%">
                  <c:v>0.42143139117576217</c:v>
                </c:pt>
                <c:pt idx="17" formatCode="0.0%">
                  <c:v>0.42143139117576217</c:v>
                </c:pt>
                <c:pt idx="18" formatCode="0.0%">
                  <c:v>0.42143139117576217</c:v>
                </c:pt>
                <c:pt idx="19" formatCode="0.0%">
                  <c:v>0.42143139117576217</c:v>
                </c:pt>
                <c:pt idx="20" formatCode="0.0%">
                  <c:v>0.39051194260866623</c:v>
                </c:pt>
                <c:pt idx="21" formatCode="0.0%">
                  <c:v>0.39051194260866623</c:v>
                </c:pt>
                <c:pt idx="22" formatCode="0.0%">
                  <c:v>0.39051194260866623</c:v>
                </c:pt>
                <c:pt idx="23" formatCode="0.0%">
                  <c:v>0.39051194260866623</c:v>
                </c:pt>
                <c:pt idx="24" formatCode="0.0%">
                  <c:v>0.42538826718773515</c:v>
                </c:pt>
                <c:pt idx="25" formatCode="0.0%">
                  <c:v>0.42538826718773515</c:v>
                </c:pt>
                <c:pt idx="26" formatCode="0.0%">
                  <c:v>0.42538826718773515</c:v>
                </c:pt>
                <c:pt idx="27" formatCode="0.0%">
                  <c:v>0.42538826718773515</c:v>
                </c:pt>
                <c:pt idx="28" formatCode="0.0%">
                  <c:v>0.5384648306378621</c:v>
                </c:pt>
                <c:pt idx="29" formatCode="0.0%">
                  <c:v>0.5384648306378621</c:v>
                </c:pt>
                <c:pt idx="30" formatCode="0.0%">
                  <c:v>0.5384648306378621</c:v>
                </c:pt>
                <c:pt idx="31" formatCode="0.0%">
                  <c:v>0.5384648306378621</c:v>
                </c:pt>
                <c:pt idx="32" formatCode="0.0%">
                  <c:v>0.50513137718558443</c:v>
                </c:pt>
                <c:pt idx="33" formatCode="0.0%">
                  <c:v>0.50513137718558443</c:v>
                </c:pt>
                <c:pt idx="34" formatCode="0.0%">
                  <c:v>0.50513137718558443</c:v>
                </c:pt>
                <c:pt idx="35" formatCode="0.0%">
                  <c:v>0.50513137718558443</c:v>
                </c:pt>
                <c:pt idx="36" formatCode="0.0%">
                  <c:v>0.46965073621225473</c:v>
                </c:pt>
                <c:pt idx="37" formatCode="0.0%">
                  <c:v>0.46965073621225473</c:v>
                </c:pt>
                <c:pt idx="38" formatCode="0.0%">
                  <c:v>0.46965073621225473</c:v>
                </c:pt>
                <c:pt idx="39" formatCode="0.0%">
                  <c:v>0.46965073621225473</c:v>
                </c:pt>
                <c:pt idx="40" formatCode="0.0%">
                  <c:v>0.42649153101025561</c:v>
                </c:pt>
                <c:pt idx="41" formatCode="0.0%">
                  <c:v>0.42649153101025561</c:v>
                </c:pt>
                <c:pt idx="42" formatCode="0.0%">
                  <c:v>0.42649153101025561</c:v>
                </c:pt>
                <c:pt idx="43" formatCode="0.0%">
                  <c:v>0.42649153101025561</c:v>
                </c:pt>
                <c:pt idx="44" formatCode="0.0%">
                  <c:v>0.52456412826052867</c:v>
                </c:pt>
                <c:pt idx="45" formatCode="0.0%">
                  <c:v>0.52456412826052867</c:v>
                </c:pt>
                <c:pt idx="46" formatCode="0.0%">
                  <c:v>0.52456412826052867</c:v>
                </c:pt>
                <c:pt idx="47" formatCode="0.0%">
                  <c:v>0.52456412826052867</c:v>
                </c:pt>
                <c:pt idx="48" formatCode="0.0%">
                  <c:v>0.66386751127955024</c:v>
                </c:pt>
                <c:pt idx="49" formatCode="0.0%">
                  <c:v>0.66386751127955024</c:v>
                </c:pt>
                <c:pt idx="50" formatCode="0.0%">
                  <c:v>0.66386751127955024</c:v>
                </c:pt>
                <c:pt idx="51" formatCode="0.0%">
                  <c:v>0.66386751127955024</c:v>
                </c:pt>
                <c:pt idx="52" formatCode="0.0%">
                  <c:v>0.60064168318486477</c:v>
                </c:pt>
                <c:pt idx="53" formatCode="0.0%">
                  <c:v>0.60064168318486477</c:v>
                </c:pt>
                <c:pt idx="54" formatCode="0.0%">
                  <c:v>0.60064168318486477</c:v>
                </c:pt>
                <c:pt idx="55" formatCode="0.0%">
                  <c:v>0.60064168318486477</c:v>
                </c:pt>
              </c:numCache>
            </c:numRef>
          </c:val>
          <c:smooth val="0"/>
        </c:ser>
        <c:dLbls>
          <c:showLegendKey val="0"/>
          <c:showVal val="0"/>
          <c:showCatName val="0"/>
          <c:showSerName val="0"/>
          <c:showPercent val="0"/>
          <c:showBubbleSize val="0"/>
        </c:dLbls>
        <c:marker val="1"/>
        <c:smooth val="0"/>
        <c:axId val="403097472"/>
        <c:axId val="403099008"/>
      </c:lineChart>
      <c:dateAx>
        <c:axId val="403097472"/>
        <c:scaling>
          <c:orientation val="minMax"/>
        </c:scaling>
        <c:delete val="0"/>
        <c:axPos val="b"/>
        <c:numFmt formatCode="mmm\-yyyy" sourceLinked="1"/>
        <c:majorTickMark val="out"/>
        <c:minorTickMark val="none"/>
        <c:tickLblPos val="nextTo"/>
        <c:crossAx val="403099008"/>
        <c:crosses val="autoZero"/>
        <c:auto val="1"/>
        <c:lblOffset val="100"/>
        <c:baseTimeUnit val="months"/>
      </c:dateAx>
      <c:valAx>
        <c:axId val="403099008"/>
        <c:scaling>
          <c:orientation val="minMax"/>
        </c:scaling>
        <c:delete val="0"/>
        <c:axPos val="l"/>
        <c:majorGridlines/>
        <c:numFmt formatCode="0.000" sourceLinked="1"/>
        <c:majorTickMark val="out"/>
        <c:minorTickMark val="none"/>
        <c:tickLblPos val="nextTo"/>
        <c:crossAx val="403097472"/>
        <c:crosses val="autoZero"/>
        <c:crossBetween val="between"/>
      </c:valAx>
    </c:plotArea>
    <c:legend>
      <c:legendPos val="r"/>
      <c:layout>
        <c:manualLayout>
          <c:xMode val="edge"/>
          <c:yMode val="edge"/>
          <c:x val="6.3088914050896408E-2"/>
          <c:y val="0.84843448415101963"/>
          <c:w val="0.88454188318062432"/>
          <c:h val="0.1236438522107813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292177-D2E9-4DC3-A034-3A1636D4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B83A5328</Template>
  <TotalTime>0</TotalTime>
  <Pages>179</Pages>
  <Words>73639</Words>
  <Characters>387344</Characters>
  <Application>Microsoft Office Word</Application>
  <DocSecurity>0</DocSecurity>
  <Lines>7042</Lines>
  <Paragraphs>2532</Paragraphs>
  <ScaleCrop>false</ScaleCrop>
  <HeadingPairs>
    <vt:vector size="2" baseType="variant">
      <vt:variant>
        <vt:lpstr>Title</vt:lpstr>
      </vt:variant>
      <vt:variant>
        <vt:i4>1</vt:i4>
      </vt:variant>
    </vt:vector>
  </HeadingPairs>
  <TitlesOfParts>
    <vt:vector size="1" baseType="lpstr">
      <vt:lpstr>AER final decision - TasNetworks - Gamma</vt:lpstr>
    </vt:vector>
  </TitlesOfParts>
  <LinksUpToDate>false</LinksUpToDate>
  <CharactersWithSpaces>458451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Gamma</dc:title>
  <dc:creator/>
  <cp:lastModifiedBy/>
  <cp:revision>1</cp:revision>
  <dcterms:created xsi:type="dcterms:W3CDTF">2017-04-27T01:17:00Z</dcterms:created>
  <dcterms:modified xsi:type="dcterms:W3CDTF">2017-04-27T04:31:00Z</dcterms:modified>
</cp:coreProperties>
</file>