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00993C6" wp14:editId="5A76C2CF">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540C26">
            <w:t>FINAL</w:t>
          </w:r>
          <w:r w:rsidR="00DA4752">
            <w:t xml:space="preserve"> DECISION</w:t>
          </w:r>
        </w:p>
        <w:p w:rsidR="00415F31" w:rsidRDefault="005F73F5"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5F73F5">
            <w:t>8 to 20</w:t>
          </w:r>
          <w:r w:rsidR="000474DF">
            <w:t>1</w:t>
          </w:r>
          <w:r w:rsidR="005F73F5">
            <w:t>8</w:t>
          </w:r>
          <w:r>
            <w:rPr>
              <w:rFonts w:cs="Arial"/>
            </w:rPr>
            <w:t>−</w:t>
          </w:r>
          <w:r w:rsidR="005F73F5">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0474DF">
            <w:t xml:space="preserve"> </w:t>
          </w:r>
          <w:r w:rsidR="00185BA5">
            <w:t>–</w:t>
          </w:r>
          <w:r w:rsidR="000474DF">
            <w:t xml:space="preserve"> </w:t>
          </w:r>
          <w:r w:rsidR="005F73F5">
            <w:t xml:space="preserve">Annual </w:t>
          </w:r>
          <w:r w:rsidR="00471BC6">
            <w:t>revenue</w:t>
          </w:r>
          <w:r w:rsidR="005F73F5">
            <w:t xml:space="preserve"> requirement</w:t>
          </w:r>
        </w:p>
        <w:p w:rsidR="000A6C7B" w:rsidRPr="00327A1E" w:rsidRDefault="00540C26"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05789">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7D74CF">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60202"/>
      <w:r>
        <w:lastRenderedPageBreak/>
        <w:t>Note</w:t>
      </w:r>
      <w:bookmarkEnd w:id="1"/>
      <w:bookmarkEnd w:id="2"/>
      <w:bookmarkEnd w:id="3"/>
    </w:p>
    <w:p w:rsidR="007D74CF" w:rsidRDefault="007D74CF" w:rsidP="007D74CF">
      <w:pPr>
        <w:numPr>
          <w:ilvl w:val="0"/>
          <w:numId w:val="37"/>
        </w:numPr>
      </w:pPr>
      <w:r>
        <w:t>This attachment forms part of the AER's final decision on TasNetworks' distribution determination for 2017–19. It should be read with all other parts of the final decision.</w:t>
      </w:r>
    </w:p>
    <w:p w:rsidR="007D74CF" w:rsidRDefault="007D74CF" w:rsidP="007D74CF">
      <w:r>
        <w:t xml:space="preserve">This final decision consists of an Overview and 8 attachments. As many issues were settled at the draft decision stage or required only minor updates we have not prepared final decision attachments for: </w:t>
      </w:r>
    </w:p>
    <w:p w:rsidR="007D74CF" w:rsidRDefault="007D74CF" w:rsidP="007D74CF">
      <w:pPr>
        <w:pStyle w:val="AERbulletlistfirststyle"/>
        <w:numPr>
          <w:ilvl w:val="0"/>
          <w:numId w:val="36"/>
        </w:numPr>
        <w:ind w:left="357" w:hanging="357"/>
      </w:pPr>
      <w:r>
        <w:t xml:space="preserve">Regulatory asset base </w:t>
      </w:r>
    </w:p>
    <w:p w:rsidR="007D74CF" w:rsidRDefault="007D74CF" w:rsidP="007D74CF">
      <w:pPr>
        <w:pStyle w:val="AERbulletlistfirststyle"/>
        <w:numPr>
          <w:ilvl w:val="0"/>
          <w:numId w:val="36"/>
        </w:numPr>
        <w:ind w:left="357" w:hanging="357"/>
      </w:pPr>
      <w:r>
        <w:t>Regulatory depreciation</w:t>
      </w:r>
    </w:p>
    <w:p w:rsidR="007D74CF" w:rsidRDefault="007D74CF" w:rsidP="007D74CF">
      <w:pPr>
        <w:pStyle w:val="AERbulletlistfirststyle"/>
        <w:numPr>
          <w:ilvl w:val="0"/>
          <w:numId w:val="36"/>
        </w:numPr>
        <w:ind w:left="357" w:hanging="357"/>
      </w:pPr>
      <w:r>
        <w:t>Capital expenditure</w:t>
      </w:r>
    </w:p>
    <w:p w:rsidR="007D74CF" w:rsidRDefault="007D74CF" w:rsidP="007D74CF">
      <w:pPr>
        <w:pStyle w:val="AERbulletlistfirststyle"/>
        <w:numPr>
          <w:ilvl w:val="0"/>
          <w:numId w:val="36"/>
        </w:numPr>
        <w:ind w:left="357" w:hanging="357"/>
      </w:pPr>
      <w:r>
        <w:t>Operating expenditure</w:t>
      </w:r>
    </w:p>
    <w:p w:rsidR="007D74CF" w:rsidRDefault="007D74CF" w:rsidP="007D74CF">
      <w:pPr>
        <w:pStyle w:val="AERbulletlistfirststyle"/>
        <w:numPr>
          <w:ilvl w:val="0"/>
          <w:numId w:val="36"/>
        </w:numPr>
        <w:ind w:left="357" w:hanging="357"/>
      </w:pPr>
      <w:r>
        <w:t>Corporate income tax</w:t>
      </w:r>
    </w:p>
    <w:p w:rsidR="007D74CF" w:rsidRDefault="007D74CF" w:rsidP="007D74CF">
      <w:pPr>
        <w:pStyle w:val="AERbulletlistfirststyle"/>
        <w:numPr>
          <w:ilvl w:val="0"/>
          <w:numId w:val="36"/>
        </w:numPr>
        <w:ind w:left="357" w:hanging="357"/>
      </w:pPr>
      <w:r>
        <w:t>Capital expenditure sharing scheme</w:t>
      </w:r>
    </w:p>
    <w:p w:rsidR="007D74CF" w:rsidRDefault="007D74CF" w:rsidP="007D74CF">
      <w:pPr>
        <w:pStyle w:val="AERbulletlistfirststyle"/>
        <w:numPr>
          <w:ilvl w:val="0"/>
          <w:numId w:val="36"/>
        </w:numPr>
        <w:ind w:left="357" w:hanging="357"/>
      </w:pPr>
      <w:r>
        <w:t>Service target performance incentive scheme</w:t>
      </w:r>
    </w:p>
    <w:p w:rsidR="007D74CF" w:rsidRDefault="007D74CF" w:rsidP="007D74CF">
      <w:pPr>
        <w:pStyle w:val="AERbulletlistfirststyle"/>
        <w:numPr>
          <w:ilvl w:val="0"/>
          <w:numId w:val="36"/>
        </w:numPr>
        <w:ind w:left="357" w:hanging="357"/>
      </w:pPr>
      <w:r>
        <w:t>Demand management incentive scheme</w:t>
      </w:r>
    </w:p>
    <w:p w:rsidR="007D74CF" w:rsidRDefault="007D74CF" w:rsidP="007D74CF">
      <w:pPr>
        <w:pStyle w:val="AERbulletlistfirststyle"/>
        <w:numPr>
          <w:ilvl w:val="0"/>
          <w:numId w:val="36"/>
        </w:numPr>
        <w:ind w:left="357" w:hanging="357"/>
      </w:pPr>
      <w:r>
        <w:t>Classification of services</w:t>
      </w:r>
    </w:p>
    <w:p w:rsidR="007D74CF" w:rsidRDefault="007D74CF" w:rsidP="007D74CF">
      <w:pPr>
        <w:pStyle w:val="AERbulletlistfirststyle"/>
        <w:numPr>
          <w:ilvl w:val="0"/>
          <w:numId w:val="36"/>
        </w:numPr>
        <w:ind w:left="357" w:hanging="357"/>
      </w:pPr>
      <w:r>
        <w:t>Pass through events</w:t>
      </w:r>
    </w:p>
    <w:p w:rsidR="007D74CF" w:rsidRDefault="007D74CF" w:rsidP="007D74CF">
      <w:pPr>
        <w:pStyle w:val="AERbulletlistfirststyle"/>
        <w:numPr>
          <w:ilvl w:val="0"/>
          <w:numId w:val="36"/>
        </w:numPr>
        <w:ind w:left="357" w:hanging="357"/>
      </w:pPr>
      <w:r>
        <w:t xml:space="preserve">Connection policy. </w:t>
      </w:r>
    </w:p>
    <w:p w:rsidR="007D74CF" w:rsidRDefault="007D74CF" w:rsidP="007D74CF">
      <w:pPr>
        <w:numPr>
          <w:ilvl w:val="0"/>
          <w:numId w:val="37"/>
        </w:numPr>
      </w:pPr>
      <w:r>
        <w:t xml:space="preserve">The AER's final decision on these matters is set out in the Overview. For ease of reference the remaining attachments have been numbered consistently with the attachment numbering in our draft decision. </w:t>
      </w:r>
    </w:p>
    <w:p w:rsidR="007D74CF" w:rsidRDefault="007D74CF" w:rsidP="007D74CF">
      <w:pPr>
        <w:numPr>
          <w:ilvl w:val="0"/>
          <w:numId w:val="37"/>
        </w:numPr>
      </w:pPr>
      <w:r>
        <w:t>The final decision therefore includes the following documents:</w:t>
      </w:r>
    </w:p>
    <w:p w:rsidR="007D74CF" w:rsidRDefault="007D74CF" w:rsidP="007D74CF">
      <w:pPr>
        <w:numPr>
          <w:ilvl w:val="0"/>
          <w:numId w:val="37"/>
        </w:numPr>
      </w:pPr>
      <w:r>
        <w:t>Overview</w:t>
      </w:r>
    </w:p>
    <w:p w:rsidR="007D74CF" w:rsidRDefault="007D74CF" w:rsidP="007D74CF">
      <w:pPr>
        <w:numPr>
          <w:ilvl w:val="0"/>
          <w:numId w:val="37"/>
        </w:numPr>
      </w:pPr>
      <w:r>
        <w:t>Attachment 1 – Annual revenue requirement</w:t>
      </w:r>
    </w:p>
    <w:p w:rsidR="007D74CF" w:rsidRDefault="007D74CF" w:rsidP="007D74CF">
      <w:pPr>
        <w:numPr>
          <w:ilvl w:val="0"/>
          <w:numId w:val="37"/>
        </w:numPr>
      </w:pPr>
      <w:r>
        <w:t>Attachment 3 – Rate of return</w:t>
      </w:r>
    </w:p>
    <w:p w:rsidR="007D74CF" w:rsidRDefault="007D74CF" w:rsidP="007D74CF">
      <w:pPr>
        <w:numPr>
          <w:ilvl w:val="0"/>
          <w:numId w:val="37"/>
        </w:numPr>
      </w:pPr>
      <w:r>
        <w:t>Attachment 4 – Value of imputation credits</w:t>
      </w:r>
    </w:p>
    <w:p w:rsidR="007D74CF" w:rsidRDefault="007D74CF" w:rsidP="007D74CF">
      <w:pPr>
        <w:numPr>
          <w:ilvl w:val="0"/>
          <w:numId w:val="37"/>
        </w:numPr>
      </w:pPr>
      <w:r>
        <w:t>Attachment 9 – Efficiency benefit sharing scheme</w:t>
      </w:r>
    </w:p>
    <w:p w:rsidR="007D74CF" w:rsidRDefault="007D74CF" w:rsidP="007D74CF">
      <w:pPr>
        <w:numPr>
          <w:ilvl w:val="0"/>
          <w:numId w:val="37"/>
        </w:numPr>
      </w:pPr>
      <w:r>
        <w:t>Attachment 14 – Control mechanisms</w:t>
      </w:r>
    </w:p>
    <w:p w:rsidR="007D74CF" w:rsidRDefault="007D74CF" w:rsidP="007D74CF">
      <w:pPr>
        <w:numPr>
          <w:ilvl w:val="0"/>
          <w:numId w:val="37"/>
        </w:numPr>
      </w:pPr>
      <w:r>
        <w:t>Attachment 16 – Alternative control services</w:t>
      </w:r>
    </w:p>
    <w:p w:rsidR="007D74CF" w:rsidRDefault="007D74CF" w:rsidP="007D74CF">
      <w:pPr>
        <w:numPr>
          <w:ilvl w:val="0"/>
          <w:numId w:val="37"/>
        </w:numPr>
      </w:pPr>
      <w:r>
        <w:t>Attachment 17 – Negotiated services framework and criteria</w:t>
      </w:r>
    </w:p>
    <w:p w:rsidR="00CE2A23" w:rsidRPr="00CE2A23" w:rsidRDefault="007D74CF" w:rsidP="00CE2A23">
      <w:r>
        <w:t>Attachment 19 – Tariff structure statement</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60203"/>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A44284"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60202" w:history="1">
            <w:r w:rsidR="00A44284" w:rsidRPr="00430416">
              <w:rPr>
                <w:rStyle w:val="Hyperlink"/>
              </w:rPr>
              <w:t>Note</w:t>
            </w:r>
            <w:r w:rsidR="00A44284">
              <w:rPr>
                <w:webHidden/>
              </w:rPr>
              <w:tab/>
            </w:r>
            <w:r w:rsidR="00A44284">
              <w:rPr>
                <w:webHidden/>
              </w:rPr>
              <w:fldChar w:fldCharType="begin"/>
            </w:r>
            <w:r w:rsidR="00A44284">
              <w:rPr>
                <w:webHidden/>
              </w:rPr>
              <w:instrText xml:space="preserve"> PAGEREF _Toc481060202 \h </w:instrText>
            </w:r>
            <w:r w:rsidR="00A44284">
              <w:rPr>
                <w:webHidden/>
              </w:rPr>
            </w:r>
            <w:r w:rsidR="00A44284">
              <w:rPr>
                <w:webHidden/>
              </w:rPr>
              <w:fldChar w:fldCharType="separate"/>
            </w:r>
            <w:r w:rsidR="00A44284">
              <w:rPr>
                <w:webHidden/>
              </w:rPr>
              <w:t>1-2</w:t>
            </w:r>
            <w:r w:rsidR="00A44284">
              <w:rPr>
                <w:webHidden/>
              </w:rPr>
              <w:fldChar w:fldCharType="end"/>
            </w:r>
          </w:hyperlink>
        </w:p>
        <w:p w:rsidR="00A44284" w:rsidRDefault="00182195">
          <w:pPr>
            <w:pStyle w:val="TOC1"/>
            <w:rPr>
              <w:rFonts w:asciiTheme="minorHAnsi" w:eastAsiaTheme="minorEastAsia" w:hAnsiTheme="minorHAnsi"/>
              <w:b w:val="0"/>
              <w:color w:val="auto"/>
              <w:sz w:val="22"/>
              <w:lang w:val="en-AU" w:eastAsia="en-AU"/>
            </w:rPr>
          </w:pPr>
          <w:hyperlink w:anchor="_Toc481060203" w:history="1">
            <w:r w:rsidR="00A44284" w:rsidRPr="00430416">
              <w:rPr>
                <w:rStyle w:val="Hyperlink"/>
              </w:rPr>
              <w:t>Contents</w:t>
            </w:r>
            <w:r w:rsidR="00A44284">
              <w:rPr>
                <w:webHidden/>
              </w:rPr>
              <w:tab/>
            </w:r>
            <w:r w:rsidR="00A44284">
              <w:rPr>
                <w:webHidden/>
              </w:rPr>
              <w:fldChar w:fldCharType="begin"/>
            </w:r>
            <w:r w:rsidR="00A44284">
              <w:rPr>
                <w:webHidden/>
              </w:rPr>
              <w:instrText xml:space="preserve"> PAGEREF _Toc481060203 \h </w:instrText>
            </w:r>
            <w:r w:rsidR="00A44284">
              <w:rPr>
                <w:webHidden/>
              </w:rPr>
            </w:r>
            <w:r w:rsidR="00A44284">
              <w:rPr>
                <w:webHidden/>
              </w:rPr>
              <w:fldChar w:fldCharType="separate"/>
            </w:r>
            <w:r w:rsidR="00A44284">
              <w:rPr>
                <w:webHidden/>
              </w:rPr>
              <w:t>1-3</w:t>
            </w:r>
            <w:r w:rsidR="00A44284">
              <w:rPr>
                <w:webHidden/>
              </w:rPr>
              <w:fldChar w:fldCharType="end"/>
            </w:r>
          </w:hyperlink>
        </w:p>
        <w:p w:rsidR="00A44284" w:rsidRDefault="00182195">
          <w:pPr>
            <w:pStyle w:val="TOC1"/>
            <w:rPr>
              <w:rFonts w:asciiTheme="minorHAnsi" w:eastAsiaTheme="minorEastAsia" w:hAnsiTheme="minorHAnsi"/>
              <w:b w:val="0"/>
              <w:color w:val="auto"/>
              <w:sz w:val="22"/>
              <w:lang w:val="en-AU" w:eastAsia="en-AU"/>
            </w:rPr>
          </w:pPr>
          <w:hyperlink w:anchor="_Toc481060204" w:history="1">
            <w:r w:rsidR="00A44284" w:rsidRPr="00430416">
              <w:rPr>
                <w:rStyle w:val="Hyperlink"/>
              </w:rPr>
              <w:t>Shortened forms</w:t>
            </w:r>
            <w:r w:rsidR="00A44284">
              <w:rPr>
                <w:webHidden/>
              </w:rPr>
              <w:tab/>
            </w:r>
            <w:r w:rsidR="00A44284">
              <w:rPr>
                <w:webHidden/>
              </w:rPr>
              <w:fldChar w:fldCharType="begin"/>
            </w:r>
            <w:r w:rsidR="00A44284">
              <w:rPr>
                <w:webHidden/>
              </w:rPr>
              <w:instrText xml:space="preserve"> PAGEREF _Toc481060204 \h </w:instrText>
            </w:r>
            <w:r w:rsidR="00A44284">
              <w:rPr>
                <w:webHidden/>
              </w:rPr>
            </w:r>
            <w:r w:rsidR="00A44284">
              <w:rPr>
                <w:webHidden/>
              </w:rPr>
              <w:fldChar w:fldCharType="separate"/>
            </w:r>
            <w:r w:rsidR="00A44284">
              <w:rPr>
                <w:webHidden/>
              </w:rPr>
              <w:t>1-4</w:t>
            </w:r>
            <w:r w:rsidR="00A44284">
              <w:rPr>
                <w:webHidden/>
              </w:rPr>
              <w:fldChar w:fldCharType="end"/>
            </w:r>
          </w:hyperlink>
        </w:p>
        <w:p w:rsidR="00A44284" w:rsidRDefault="00182195">
          <w:pPr>
            <w:pStyle w:val="TOC1"/>
            <w:rPr>
              <w:rFonts w:asciiTheme="minorHAnsi" w:eastAsiaTheme="minorEastAsia" w:hAnsiTheme="minorHAnsi"/>
              <w:b w:val="0"/>
              <w:color w:val="auto"/>
              <w:sz w:val="22"/>
              <w:lang w:val="en-AU" w:eastAsia="en-AU"/>
            </w:rPr>
          </w:pPr>
          <w:hyperlink w:anchor="_Toc481060205" w:history="1">
            <w:r w:rsidR="00A44284" w:rsidRPr="00430416">
              <w:rPr>
                <w:rStyle w:val="Hyperlink"/>
              </w:rPr>
              <w:t>1</w:t>
            </w:r>
            <w:r w:rsidR="00A44284">
              <w:rPr>
                <w:rFonts w:asciiTheme="minorHAnsi" w:eastAsiaTheme="minorEastAsia" w:hAnsiTheme="minorHAnsi"/>
                <w:b w:val="0"/>
                <w:color w:val="auto"/>
                <w:sz w:val="22"/>
                <w:lang w:val="en-AU" w:eastAsia="en-AU"/>
              </w:rPr>
              <w:tab/>
            </w:r>
            <w:r w:rsidR="00A44284" w:rsidRPr="00430416">
              <w:rPr>
                <w:rStyle w:val="Hyperlink"/>
              </w:rPr>
              <w:t>Annual revenue requirement</w:t>
            </w:r>
            <w:r w:rsidR="00A44284">
              <w:rPr>
                <w:webHidden/>
              </w:rPr>
              <w:tab/>
            </w:r>
            <w:r w:rsidR="00A44284">
              <w:rPr>
                <w:webHidden/>
              </w:rPr>
              <w:fldChar w:fldCharType="begin"/>
            </w:r>
            <w:r w:rsidR="00A44284">
              <w:rPr>
                <w:webHidden/>
              </w:rPr>
              <w:instrText xml:space="preserve"> PAGEREF _Toc481060205 \h </w:instrText>
            </w:r>
            <w:r w:rsidR="00A44284">
              <w:rPr>
                <w:webHidden/>
              </w:rPr>
            </w:r>
            <w:r w:rsidR="00A44284">
              <w:rPr>
                <w:webHidden/>
              </w:rPr>
              <w:fldChar w:fldCharType="separate"/>
            </w:r>
            <w:r w:rsidR="00A44284">
              <w:rPr>
                <w:webHidden/>
              </w:rPr>
              <w:t>1-6</w:t>
            </w:r>
            <w:r w:rsidR="00A44284">
              <w:rPr>
                <w:webHidden/>
              </w:rPr>
              <w:fldChar w:fldCharType="end"/>
            </w:r>
          </w:hyperlink>
        </w:p>
        <w:p w:rsidR="00A44284" w:rsidRDefault="00182195">
          <w:pPr>
            <w:pStyle w:val="TOC2"/>
            <w:rPr>
              <w:rFonts w:asciiTheme="minorHAnsi" w:eastAsiaTheme="minorEastAsia" w:hAnsiTheme="minorHAnsi"/>
              <w:b w:val="0"/>
              <w:color w:val="auto"/>
              <w:sz w:val="22"/>
              <w:lang w:eastAsia="en-AU"/>
            </w:rPr>
          </w:pPr>
          <w:hyperlink w:anchor="_Toc481060206" w:history="1">
            <w:r w:rsidR="00A44284" w:rsidRPr="00430416">
              <w:rPr>
                <w:rStyle w:val="Hyperlink"/>
              </w:rPr>
              <w:t>1.1</w:t>
            </w:r>
            <w:r w:rsidR="00A44284">
              <w:rPr>
                <w:rFonts w:asciiTheme="minorHAnsi" w:eastAsiaTheme="minorEastAsia" w:hAnsiTheme="minorHAnsi"/>
                <w:b w:val="0"/>
                <w:color w:val="auto"/>
                <w:sz w:val="22"/>
                <w:lang w:eastAsia="en-AU"/>
              </w:rPr>
              <w:tab/>
            </w:r>
            <w:r w:rsidR="00A44284" w:rsidRPr="00430416">
              <w:rPr>
                <w:rStyle w:val="Hyperlink"/>
              </w:rPr>
              <w:t>Final decision</w:t>
            </w:r>
            <w:r w:rsidR="00A44284">
              <w:rPr>
                <w:webHidden/>
              </w:rPr>
              <w:tab/>
            </w:r>
            <w:r w:rsidR="00A44284">
              <w:rPr>
                <w:webHidden/>
              </w:rPr>
              <w:fldChar w:fldCharType="begin"/>
            </w:r>
            <w:r w:rsidR="00A44284">
              <w:rPr>
                <w:webHidden/>
              </w:rPr>
              <w:instrText xml:space="preserve"> PAGEREF _Toc481060206 \h </w:instrText>
            </w:r>
            <w:r w:rsidR="00A44284">
              <w:rPr>
                <w:webHidden/>
              </w:rPr>
            </w:r>
            <w:r w:rsidR="00A44284">
              <w:rPr>
                <w:webHidden/>
              </w:rPr>
              <w:fldChar w:fldCharType="separate"/>
            </w:r>
            <w:r w:rsidR="00A44284">
              <w:rPr>
                <w:webHidden/>
              </w:rPr>
              <w:t>1-6</w:t>
            </w:r>
            <w:r w:rsidR="00A44284">
              <w:rPr>
                <w:webHidden/>
              </w:rPr>
              <w:fldChar w:fldCharType="end"/>
            </w:r>
          </w:hyperlink>
        </w:p>
        <w:p w:rsidR="00A44284" w:rsidRDefault="00182195">
          <w:pPr>
            <w:pStyle w:val="TOC2"/>
            <w:rPr>
              <w:rFonts w:asciiTheme="minorHAnsi" w:eastAsiaTheme="minorEastAsia" w:hAnsiTheme="minorHAnsi"/>
              <w:b w:val="0"/>
              <w:color w:val="auto"/>
              <w:sz w:val="22"/>
              <w:lang w:eastAsia="en-AU"/>
            </w:rPr>
          </w:pPr>
          <w:hyperlink w:anchor="_Toc481060207" w:history="1">
            <w:r w:rsidR="00A44284" w:rsidRPr="00430416">
              <w:rPr>
                <w:rStyle w:val="Hyperlink"/>
              </w:rPr>
              <w:t>1.2</w:t>
            </w:r>
            <w:r w:rsidR="00A44284">
              <w:rPr>
                <w:rFonts w:asciiTheme="minorHAnsi" w:eastAsiaTheme="minorEastAsia" w:hAnsiTheme="minorHAnsi"/>
                <w:b w:val="0"/>
                <w:color w:val="auto"/>
                <w:sz w:val="22"/>
                <w:lang w:eastAsia="en-AU"/>
              </w:rPr>
              <w:tab/>
            </w:r>
            <w:r w:rsidR="00A44284" w:rsidRPr="00430416">
              <w:rPr>
                <w:rStyle w:val="Hyperlink"/>
              </w:rPr>
              <w:t>TasNetworks' revised proposal</w:t>
            </w:r>
            <w:r w:rsidR="00A44284">
              <w:rPr>
                <w:webHidden/>
              </w:rPr>
              <w:tab/>
            </w:r>
            <w:r w:rsidR="00A44284">
              <w:rPr>
                <w:webHidden/>
              </w:rPr>
              <w:fldChar w:fldCharType="begin"/>
            </w:r>
            <w:r w:rsidR="00A44284">
              <w:rPr>
                <w:webHidden/>
              </w:rPr>
              <w:instrText xml:space="preserve"> PAGEREF _Toc481060207 \h </w:instrText>
            </w:r>
            <w:r w:rsidR="00A44284">
              <w:rPr>
                <w:webHidden/>
              </w:rPr>
            </w:r>
            <w:r w:rsidR="00A44284">
              <w:rPr>
                <w:webHidden/>
              </w:rPr>
              <w:fldChar w:fldCharType="separate"/>
            </w:r>
            <w:r w:rsidR="00A44284">
              <w:rPr>
                <w:webHidden/>
              </w:rPr>
              <w:t>1-8</w:t>
            </w:r>
            <w:r w:rsidR="00A44284">
              <w:rPr>
                <w:webHidden/>
              </w:rPr>
              <w:fldChar w:fldCharType="end"/>
            </w:r>
          </w:hyperlink>
        </w:p>
        <w:p w:rsidR="00A44284" w:rsidRDefault="00182195">
          <w:pPr>
            <w:pStyle w:val="TOC2"/>
            <w:rPr>
              <w:rFonts w:asciiTheme="minorHAnsi" w:eastAsiaTheme="minorEastAsia" w:hAnsiTheme="minorHAnsi"/>
              <w:b w:val="0"/>
              <w:color w:val="auto"/>
              <w:sz w:val="22"/>
              <w:lang w:eastAsia="en-AU"/>
            </w:rPr>
          </w:pPr>
          <w:hyperlink w:anchor="_Toc481060208" w:history="1">
            <w:r w:rsidR="00A44284" w:rsidRPr="00430416">
              <w:rPr>
                <w:rStyle w:val="Hyperlink"/>
              </w:rPr>
              <w:t>1.3</w:t>
            </w:r>
            <w:r w:rsidR="00A44284">
              <w:rPr>
                <w:rFonts w:asciiTheme="minorHAnsi" w:eastAsiaTheme="minorEastAsia" w:hAnsiTheme="minorHAnsi"/>
                <w:b w:val="0"/>
                <w:color w:val="auto"/>
                <w:sz w:val="22"/>
                <w:lang w:eastAsia="en-AU"/>
              </w:rPr>
              <w:tab/>
            </w:r>
            <w:r w:rsidR="00A44284" w:rsidRPr="00430416">
              <w:rPr>
                <w:rStyle w:val="Hyperlink"/>
              </w:rPr>
              <w:t>Assessment approach</w:t>
            </w:r>
            <w:r w:rsidR="00A44284">
              <w:rPr>
                <w:webHidden/>
              </w:rPr>
              <w:tab/>
            </w:r>
            <w:r w:rsidR="00A44284">
              <w:rPr>
                <w:webHidden/>
              </w:rPr>
              <w:fldChar w:fldCharType="begin"/>
            </w:r>
            <w:r w:rsidR="00A44284">
              <w:rPr>
                <w:webHidden/>
              </w:rPr>
              <w:instrText xml:space="preserve"> PAGEREF _Toc481060208 \h </w:instrText>
            </w:r>
            <w:r w:rsidR="00A44284">
              <w:rPr>
                <w:webHidden/>
              </w:rPr>
            </w:r>
            <w:r w:rsidR="00A44284">
              <w:rPr>
                <w:webHidden/>
              </w:rPr>
              <w:fldChar w:fldCharType="separate"/>
            </w:r>
            <w:r w:rsidR="00A44284">
              <w:rPr>
                <w:webHidden/>
              </w:rPr>
              <w:t>1-9</w:t>
            </w:r>
            <w:r w:rsidR="00A44284">
              <w:rPr>
                <w:webHidden/>
              </w:rPr>
              <w:fldChar w:fldCharType="end"/>
            </w:r>
          </w:hyperlink>
        </w:p>
        <w:p w:rsidR="00A44284" w:rsidRDefault="00182195">
          <w:pPr>
            <w:pStyle w:val="TOC2"/>
            <w:rPr>
              <w:rFonts w:asciiTheme="minorHAnsi" w:eastAsiaTheme="minorEastAsia" w:hAnsiTheme="minorHAnsi"/>
              <w:b w:val="0"/>
              <w:color w:val="auto"/>
              <w:sz w:val="22"/>
              <w:lang w:eastAsia="en-AU"/>
            </w:rPr>
          </w:pPr>
          <w:hyperlink w:anchor="_Toc481060209" w:history="1">
            <w:r w:rsidR="00A44284" w:rsidRPr="00430416">
              <w:rPr>
                <w:rStyle w:val="Hyperlink"/>
              </w:rPr>
              <w:t>1.4</w:t>
            </w:r>
            <w:r w:rsidR="00A44284">
              <w:rPr>
                <w:rFonts w:asciiTheme="minorHAnsi" w:eastAsiaTheme="minorEastAsia" w:hAnsiTheme="minorHAnsi"/>
                <w:b w:val="0"/>
                <w:color w:val="auto"/>
                <w:sz w:val="22"/>
                <w:lang w:eastAsia="en-AU"/>
              </w:rPr>
              <w:tab/>
            </w:r>
            <w:r w:rsidR="00A44284" w:rsidRPr="00430416">
              <w:rPr>
                <w:rStyle w:val="Hyperlink"/>
              </w:rPr>
              <w:t>Reasons for final decision</w:t>
            </w:r>
            <w:r w:rsidR="00A44284">
              <w:rPr>
                <w:webHidden/>
              </w:rPr>
              <w:tab/>
            </w:r>
            <w:r w:rsidR="00A44284">
              <w:rPr>
                <w:webHidden/>
              </w:rPr>
              <w:fldChar w:fldCharType="begin"/>
            </w:r>
            <w:r w:rsidR="00A44284">
              <w:rPr>
                <w:webHidden/>
              </w:rPr>
              <w:instrText xml:space="preserve"> PAGEREF _Toc481060209 \h </w:instrText>
            </w:r>
            <w:r w:rsidR="00A44284">
              <w:rPr>
                <w:webHidden/>
              </w:rPr>
            </w:r>
            <w:r w:rsidR="00A44284">
              <w:rPr>
                <w:webHidden/>
              </w:rPr>
              <w:fldChar w:fldCharType="separate"/>
            </w:r>
            <w:r w:rsidR="00A44284">
              <w:rPr>
                <w:webHidden/>
              </w:rPr>
              <w:t>1-9</w:t>
            </w:r>
            <w:r w:rsidR="00A44284">
              <w:rPr>
                <w:webHidden/>
              </w:rPr>
              <w:fldChar w:fldCharType="end"/>
            </w:r>
          </w:hyperlink>
        </w:p>
        <w:p w:rsidR="00A44284" w:rsidRDefault="00182195">
          <w:pPr>
            <w:pStyle w:val="TOC3"/>
            <w:rPr>
              <w:rFonts w:asciiTheme="minorHAnsi" w:eastAsiaTheme="minorEastAsia" w:hAnsiTheme="minorHAnsi"/>
              <w:lang w:eastAsia="en-AU"/>
            </w:rPr>
          </w:pPr>
          <w:hyperlink w:anchor="_Toc481060210" w:history="1">
            <w:r w:rsidR="00A44284" w:rsidRPr="00430416">
              <w:rPr>
                <w:rStyle w:val="Hyperlink"/>
              </w:rPr>
              <w:t>1.4.1</w:t>
            </w:r>
            <w:r w:rsidR="00A44284">
              <w:rPr>
                <w:rFonts w:asciiTheme="minorHAnsi" w:eastAsiaTheme="minorEastAsia" w:hAnsiTheme="minorHAnsi"/>
                <w:lang w:eastAsia="en-AU"/>
              </w:rPr>
              <w:tab/>
            </w:r>
            <w:r w:rsidR="00A44284" w:rsidRPr="00430416">
              <w:rPr>
                <w:rStyle w:val="Hyperlink"/>
              </w:rPr>
              <w:t>Revenue smoothing</w:t>
            </w:r>
            <w:r w:rsidR="00A44284">
              <w:rPr>
                <w:webHidden/>
              </w:rPr>
              <w:tab/>
            </w:r>
            <w:r w:rsidR="00A44284">
              <w:rPr>
                <w:webHidden/>
              </w:rPr>
              <w:fldChar w:fldCharType="begin"/>
            </w:r>
            <w:r w:rsidR="00A44284">
              <w:rPr>
                <w:webHidden/>
              </w:rPr>
              <w:instrText xml:space="preserve"> PAGEREF _Toc481060210 \h </w:instrText>
            </w:r>
            <w:r w:rsidR="00A44284">
              <w:rPr>
                <w:webHidden/>
              </w:rPr>
            </w:r>
            <w:r w:rsidR="00A44284">
              <w:rPr>
                <w:webHidden/>
              </w:rPr>
              <w:fldChar w:fldCharType="separate"/>
            </w:r>
            <w:r w:rsidR="00A44284">
              <w:rPr>
                <w:webHidden/>
              </w:rPr>
              <w:t>1-10</w:t>
            </w:r>
            <w:r w:rsidR="00A44284">
              <w:rPr>
                <w:webHidden/>
              </w:rPr>
              <w:fldChar w:fldCharType="end"/>
            </w:r>
          </w:hyperlink>
        </w:p>
        <w:p w:rsidR="00A44284" w:rsidRDefault="00182195">
          <w:pPr>
            <w:pStyle w:val="TOC3"/>
            <w:rPr>
              <w:rFonts w:asciiTheme="minorHAnsi" w:eastAsiaTheme="minorEastAsia" w:hAnsiTheme="minorHAnsi"/>
              <w:lang w:eastAsia="en-AU"/>
            </w:rPr>
          </w:pPr>
          <w:hyperlink w:anchor="_Toc481060211" w:history="1">
            <w:r w:rsidR="00A44284" w:rsidRPr="00430416">
              <w:rPr>
                <w:rStyle w:val="Hyperlink"/>
              </w:rPr>
              <w:t>1.4.2</w:t>
            </w:r>
            <w:r w:rsidR="00A44284">
              <w:rPr>
                <w:rFonts w:asciiTheme="minorHAnsi" w:eastAsiaTheme="minorEastAsia" w:hAnsiTheme="minorHAnsi"/>
                <w:lang w:eastAsia="en-AU"/>
              </w:rPr>
              <w:tab/>
            </w:r>
            <w:r w:rsidR="00A44284" w:rsidRPr="00430416">
              <w:rPr>
                <w:rStyle w:val="Hyperlink"/>
              </w:rPr>
              <w:t>Shared assets</w:t>
            </w:r>
            <w:r w:rsidR="00A44284">
              <w:rPr>
                <w:webHidden/>
              </w:rPr>
              <w:tab/>
            </w:r>
            <w:r w:rsidR="00A44284">
              <w:rPr>
                <w:webHidden/>
              </w:rPr>
              <w:fldChar w:fldCharType="begin"/>
            </w:r>
            <w:r w:rsidR="00A44284">
              <w:rPr>
                <w:webHidden/>
              </w:rPr>
              <w:instrText xml:space="preserve"> PAGEREF _Toc481060211 \h </w:instrText>
            </w:r>
            <w:r w:rsidR="00A44284">
              <w:rPr>
                <w:webHidden/>
              </w:rPr>
            </w:r>
            <w:r w:rsidR="00A44284">
              <w:rPr>
                <w:webHidden/>
              </w:rPr>
              <w:fldChar w:fldCharType="separate"/>
            </w:r>
            <w:r w:rsidR="00A44284">
              <w:rPr>
                <w:webHidden/>
              </w:rPr>
              <w:t>1-11</w:t>
            </w:r>
            <w:r w:rsidR="00A44284">
              <w:rPr>
                <w:webHidden/>
              </w:rPr>
              <w:fldChar w:fldCharType="end"/>
            </w:r>
          </w:hyperlink>
        </w:p>
        <w:p w:rsidR="00A44284" w:rsidRDefault="00182195">
          <w:pPr>
            <w:pStyle w:val="TOC3"/>
            <w:rPr>
              <w:rFonts w:asciiTheme="minorHAnsi" w:eastAsiaTheme="minorEastAsia" w:hAnsiTheme="minorHAnsi"/>
              <w:lang w:eastAsia="en-AU"/>
            </w:rPr>
          </w:pPr>
          <w:hyperlink w:anchor="_Toc481060212" w:history="1">
            <w:r w:rsidR="00A44284" w:rsidRPr="00430416">
              <w:rPr>
                <w:rStyle w:val="Hyperlink"/>
              </w:rPr>
              <w:t>1.4.3</w:t>
            </w:r>
            <w:r w:rsidR="00A44284">
              <w:rPr>
                <w:rFonts w:asciiTheme="minorHAnsi" w:eastAsiaTheme="minorEastAsia" w:hAnsiTheme="minorHAnsi"/>
                <w:lang w:eastAsia="en-AU"/>
              </w:rPr>
              <w:tab/>
            </w:r>
            <w:r w:rsidR="00A44284" w:rsidRPr="00430416">
              <w:rPr>
                <w:rStyle w:val="Hyperlink"/>
              </w:rPr>
              <w:t>Indicative average distribution price impact</w:t>
            </w:r>
            <w:r w:rsidR="00A44284">
              <w:rPr>
                <w:webHidden/>
              </w:rPr>
              <w:tab/>
            </w:r>
            <w:r w:rsidR="00A44284">
              <w:rPr>
                <w:webHidden/>
              </w:rPr>
              <w:fldChar w:fldCharType="begin"/>
            </w:r>
            <w:r w:rsidR="00A44284">
              <w:rPr>
                <w:webHidden/>
              </w:rPr>
              <w:instrText xml:space="preserve"> PAGEREF _Toc481060212 \h </w:instrText>
            </w:r>
            <w:r w:rsidR="00A44284">
              <w:rPr>
                <w:webHidden/>
              </w:rPr>
            </w:r>
            <w:r w:rsidR="00A44284">
              <w:rPr>
                <w:webHidden/>
              </w:rPr>
              <w:fldChar w:fldCharType="separate"/>
            </w:r>
            <w:r w:rsidR="00A44284">
              <w:rPr>
                <w:webHidden/>
              </w:rPr>
              <w:t>1-12</w:t>
            </w:r>
            <w:r w:rsidR="00A44284">
              <w:rPr>
                <w:webHidden/>
              </w:rPr>
              <w:fldChar w:fldCharType="end"/>
            </w:r>
          </w:hyperlink>
        </w:p>
        <w:p w:rsidR="00A44284" w:rsidRDefault="00182195">
          <w:pPr>
            <w:pStyle w:val="TOC3"/>
            <w:rPr>
              <w:rFonts w:asciiTheme="minorHAnsi" w:eastAsiaTheme="minorEastAsia" w:hAnsiTheme="minorHAnsi"/>
              <w:lang w:eastAsia="en-AU"/>
            </w:rPr>
          </w:pPr>
          <w:hyperlink w:anchor="_Toc481060213" w:history="1">
            <w:r w:rsidR="00A44284" w:rsidRPr="00430416">
              <w:rPr>
                <w:rStyle w:val="Hyperlink"/>
              </w:rPr>
              <w:t>1.4.4</w:t>
            </w:r>
            <w:r w:rsidR="00A44284">
              <w:rPr>
                <w:rFonts w:asciiTheme="minorHAnsi" w:eastAsiaTheme="minorEastAsia" w:hAnsiTheme="minorHAnsi"/>
                <w:lang w:eastAsia="en-AU"/>
              </w:rPr>
              <w:tab/>
            </w:r>
            <w:r w:rsidR="00A44284" w:rsidRPr="00430416">
              <w:rPr>
                <w:rStyle w:val="Hyperlink"/>
              </w:rPr>
              <w:t>Expected impact of decision on electricity bills</w:t>
            </w:r>
            <w:r w:rsidR="00A44284">
              <w:rPr>
                <w:webHidden/>
              </w:rPr>
              <w:tab/>
            </w:r>
            <w:r w:rsidR="00A44284">
              <w:rPr>
                <w:webHidden/>
              </w:rPr>
              <w:fldChar w:fldCharType="begin"/>
            </w:r>
            <w:r w:rsidR="00A44284">
              <w:rPr>
                <w:webHidden/>
              </w:rPr>
              <w:instrText xml:space="preserve"> PAGEREF _Toc481060213 \h </w:instrText>
            </w:r>
            <w:r w:rsidR="00A44284">
              <w:rPr>
                <w:webHidden/>
              </w:rPr>
            </w:r>
            <w:r w:rsidR="00A44284">
              <w:rPr>
                <w:webHidden/>
              </w:rPr>
              <w:fldChar w:fldCharType="separate"/>
            </w:r>
            <w:r w:rsidR="00A44284">
              <w:rPr>
                <w:webHidden/>
              </w:rPr>
              <w:t>1-14</w:t>
            </w:r>
            <w:r w:rsidR="00A44284">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60204"/>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F711C5" w:rsidP="00471BC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60205"/>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Annual revenue requirement</w:t>
      </w:r>
      <w:bookmarkEnd w:id="71"/>
    </w:p>
    <w:p w:rsidR="00132D43" w:rsidRPr="00132D43" w:rsidRDefault="00F711C5" w:rsidP="00132D43">
      <w:pPr>
        <w:numPr>
          <w:ilvl w:val="0"/>
          <w:numId w:val="24"/>
        </w:numPr>
      </w:pPr>
      <w:r w:rsidRPr="002C043E">
        <w:t xml:space="preserve">The annual revenue requirement (ARR) is the sum of the various building block costs for each year of the regulatory control period before smoothing. The ARRs are smoothed across the period to reduce fluctuations between years and to determine expected revenues for each year. The expected revenues are the amounts that </w:t>
      </w:r>
      <w:r>
        <w:t>TasNetworks</w:t>
      </w:r>
      <w:r w:rsidRPr="002C043E">
        <w:t xml:space="preserve"> will target for annual pricing purposes and recover from customers for the provision of standard control services for each year of the regulatory control period. This attachment sets out our </w:t>
      </w:r>
      <w:r>
        <w:t>final</w:t>
      </w:r>
      <w:r w:rsidRPr="002C043E">
        <w:t xml:space="preserve"> decision on </w:t>
      </w:r>
      <w:r>
        <w:t>TasNetworks'</w:t>
      </w:r>
      <w:r w:rsidRPr="002C043E">
        <w:t xml:space="preserve"> ARRs and expected revenues for the </w:t>
      </w:r>
      <w:r>
        <w:t>2017–19</w:t>
      </w:r>
      <w:r w:rsidRPr="002C043E">
        <w:t xml:space="preserve"> regulatory control period.</w:t>
      </w:r>
    </w:p>
    <w:p w:rsidR="00132D43" w:rsidRDefault="00540C26" w:rsidP="00132D43">
      <w:pPr>
        <w:pStyle w:val="Heading2"/>
      </w:pPr>
      <w:bookmarkStart w:id="72" w:name="_Toc481060206"/>
      <w:r>
        <w:t>Final</w:t>
      </w:r>
      <w:r w:rsidR="00132D43">
        <w:t xml:space="preserve"> decision</w:t>
      </w:r>
      <w:bookmarkEnd w:id="72"/>
    </w:p>
    <w:p w:rsidR="00F711C5" w:rsidRDefault="00F711C5" w:rsidP="00F711C5">
      <w:r>
        <w:t xml:space="preserve">We </w:t>
      </w:r>
      <w:r w:rsidRPr="0094506C">
        <w:t xml:space="preserve">do not accept </w:t>
      </w:r>
      <w:r>
        <w:t>TasNetworks'</w:t>
      </w:r>
      <w:r w:rsidRPr="0094506C">
        <w:t xml:space="preserve"> </w:t>
      </w:r>
      <w:r w:rsidR="008B3D53">
        <w:t xml:space="preserve">revised </w:t>
      </w:r>
      <w:r w:rsidRPr="0094506C">
        <w:t>proposed total revenue requirement</w:t>
      </w:r>
      <w:r>
        <w:t xml:space="preserve"> </w:t>
      </w:r>
      <w:r w:rsidRPr="0094506C">
        <w:t>of $</w:t>
      </w:r>
      <w:r w:rsidR="00172D3E">
        <w:t>458.</w:t>
      </w:r>
      <w:r w:rsidR="00CD7205">
        <w:t>8</w:t>
      </w:r>
      <w:r>
        <w:t> </w:t>
      </w:r>
      <w:r w:rsidRPr="0094506C">
        <w:t xml:space="preserve">million </w:t>
      </w:r>
      <w:r>
        <w:t>($ nominal</w:t>
      </w:r>
      <w:r w:rsidR="00C14D6E">
        <w:t>, unsmoothed</w:t>
      </w:r>
      <w:r>
        <w:t xml:space="preserve">) </w:t>
      </w:r>
      <w:r w:rsidRPr="0094506C">
        <w:t xml:space="preserve">over the </w:t>
      </w:r>
      <w:r>
        <w:t>2017–19</w:t>
      </w:r>
      <w:r w:rsidRPr="0094506C">
        <w:t xml:space="preserve"> </w:t>
      </w:r>
      <w:r>
        <w:t xml:space="preserve">regulatory control </w:t>
      </w:r>
      <w:r w:rsidRPr="0094506C">
        <w:t xml:space="preserve">period. </w:t>
      </w:r>
      <w:r>
        <w:t xml:space="preserve">This is because we have not accepted the building block costs in TasNetworks' </w:t>
      </w:r>
      <w:r w:rsidR="0005588F">
        <w:t xml:space="preserve">revised </w:t>
      </w:r>
      <w:r>
        <w:t>proposal.</w:t>
      </w:r>
      <w:r w:rsidRPr="0094506C">
        <w:t xml:space="preserve"> We determine a total revenue requirement </w:t>
      </w:r>
      <w:r w:rsidRPr="000B6AE9">
        <w:t>of $</w:t>
      </w:r>
      <w:r w:rsidR="00CD7205">
        <w:t>47</w:t>
      </w:r>
      <w:r w:rsidR="00876C6B">
        <w:t>8</w:t>
      </w:r>
      <w:r w:rsidR="00CD7205">
        <w:t>.</w:t>
      </w:r>
      <w:r w:rsidR="00876C6B">
        <w:t>0</w:t>
      </w:r>
      <w:r w:rsidR="00A6131D">
        <w:t> </w:t>
      </w:r>
      <w:r w:rsidRPr="00C83946">
        <w:t>million ($ nominal</w:t>
      </w:r>
      <w:r w:rsidR="00C14D6E">
        <w:t>, unsmoothed</w:t>
      </w:r>
      <w:r w:rsidRPr="00C83946">
        <w:t>)</w:t>
      </w:r>
      <w:r w:rsidRPr="000B6AE9">
        <w:t xml:space="preserve"> for</w:t>
      </w:r>
      <w:r w:rsidRPr="002B52F6">
        <w:t xml:space="preserve"> </w:t>
      </w:r>
      <w:r>
        <w:t xml:space="preserve">TasNetworks </w:t>
      </w:r>
      <w:r w:rsidRPr="0094506C">
        <w:t xml:space="preserve">for </w:t>
      </w:r>
      <w:r>
        <w:t xml:space="preserve">the 2017–19 regulatory control period, reflecting our final decision on the </w:t>
      </w:r>
      <w:r w:rsidR="007A06A2">
        <w:t>various</w:t>
      </w:r>
      <w:r w:rsidR="00A6131D">
        <w:t xml:space="preserve"> </w:t>
      </w:r>
      <w:r w:rsidRPr="000B6AE9">
        <w:t>building block costs. This is a</w:t>
      </w:r>
      <w:r w:rsidR="00A6131D">
        <w:t>n</w:t>
      </w:r>
      <w:r w:rsidRPr="000B6AE9">
        <w:t xml:space="preserve"> </w:t>
      </w:r>
      <w:r w:rsidR="00A6131D">
        <w:t>increase</w:t>
      </w:r>
      <w:r w:rsidRPr="000B6AE9">
        <w:t xml:space="preserve"> of </w:t>
      </w:r>
      <w:r w:rsidRPr="00C83946">
        <w:t>$</w:t>
      </w:r>
      <w:r w:rsidR="00876C6B">
        <w:t>19.2</w:t>
      </w:r>
      <w:r w:rsidR="00A6131D">
        <w:t xml:space="preserve"> </w:t>
      </w:r>
      <w:r w:rsidRPr="00C83946">
        <w:t>million ($</w:t>
      </w:r>
      <w:r w:rsidR="00E847C4">
        <w:t> </w:t>
      </w:r>
      <w:r w:rsidRPr="00C83946">
        <w:t>nominal)</w:t>
      </w:r>
      <w:r w:rsidRPr="000B6AE9">
        <w:t xml:space="preserve"> or </w:t>
      </w:r>
      <w:r w:rsidR="00A6131D">
        <w:t>4.</w:t>
      </w:r>
      <w:r w:rsidR="00876C6B">
        <w:t>2</w:t>
      </w:r>
      <w:r w:rsidR="00A6131D">
        <w:t> </w:t>
      </w:r>
      <w:r>
        <w:t>p</w:t>
      </w:r>
      <w:r w:rsidRPr="00C83946">
        <w:t>er cent</w:t>
      </w:r>
      <w:r w:rsidRPr="000B6AE9">
        <w:t xml:space="preserve"> to </w:t>
      </w:r>
      <w:r>
        <w:t>TasNetworks'</w:t>
      </w:r>
      <w:r w:rsidRPr="002B52F6">
        <w:t xml:space="preserve"> </w:t>
      </w:r>
      <w:r w:rsidR="0005588F">
        <w:t xml:space="preserve">revised </w:t>
      </w:r>
      <w:r w:rsidRPr="002B52F6">
        <w:t>proposal.</w:t>
      </w:r>
    </w:p>
    <w:p w:rsidR="00F711C5" w:rsidRDefault="00F711C5" w:rsidP="00F45398">
      <w:pPr>
        <w:spacing w:line="240" w:lineRule="auto"/>
      </w:pPr>
      <w:r w:rsidRPr="00AC0E54">
        <w:t xml:space="preserve">As a result of our smoothing of the ARRs, our </w:t>
      </w:r>
      <w:r>
        <w:t>final</w:t>
      </w:r>
      <w:r w:rsidRPr="00AC0E54">
        <w:t xml:space="preserve"> decision </w:t>
      </w:r>
      <w:r>
        <w:t>on the annual expected revenue and X factor for each regulatory year of the 2017–19 regulatory control period is set out in</w:t>
      </w:r>
      <w:r w:rsidR="007D74CF">
        <w:t xml:space="preserve"> </w:t>
      </w:r>
      <w:r w:rsidR="007D74CF">
        <w:fldChar w:fldCharType="begin"/>
      </w:r>
      <w:r w:rsidR="007D74CF">
        <w:instrText xml:space="preserve"> REF _Ref480299329 \h </w:instrText>
      </w:r>
      <w:r w:rsidR="007D74CF">
        <w:fldChar w:fldCharType="separate"/>
      </w:r>
      <w:r w:rsidR="000D4227">
        <w:t xml:space="preserve">Table </w:t>
      </w:r>
      <w:r w:rsidR="000D4227">
        <w:rPr>
          <w:noProof/>
        </w:rPr>
        <w:t>1</w:t>
      </w:r>
      <w:r w:rsidR="000D4227">
        <w:t>.</w:t>
      </w:r>
      <w:r w:rsidR="000D4227">
        <w:rPr>
          <w:noProof/>
        </w:rPr>
        <w:t>1</w:t>
      </w:r>
      <w:r w:rsidR="007D74CF">
        <w:fldChar w:fldCharType="end"/>
      </w:r>
      <w:r>
        <w:t xml:space="preserve">. Our final decision </w:t>
      </w:r>
      <w:r w:rsidRPr="00AC0E54">
        <w:t xml:space="preserve">is to approve total expected revenues </w:t>
      </w:r>
      <w:r w:rsidRPr="000B6AE9">
        <w:t xml:space="preserve">of </w:t>
      </w:r>
      <w:r w:rsidRPr="00C83946">
        <w:t>$</w:t>
      </w:r>
      <w:r w:rsidR="00CD7205">
        <w:t>47</w:t>
      </w:r>
      <w:r w:rsidR="00823E36">
        <w:t>7</w:t>
      </w:r>
      <w:r w:rsidR="00CD7205">
        <w:t>.</w:t>
      </w:r>
      <w:r w:rsidR="00823E36">
        <w:t>3</w:t>
      </w:r>
      <w:r w:rsidR="00CD7205">
        <w:t> </w:t>
      </w:r>
      <w:r w:rsidRPr="00C83946">
        <w:t>million ($ nominal</w:t>
      </w:r>
      <w:r w:rsidR="009E3D32">
        <w:t>, smoothed</w:t>
      </w:r>
      <w:r w:rsidRPr="00C83946">
        <w:t>)</w:t>
      </w:r>
      <w:r w:rsidRPr="000B6AE9">
        <w:t xml:space="preserve"> for</w:t>
      </w:r>
      <w:r w:rsidRPr="00AC0E54">
        <w:t xml:space="preserve"> the </w:t>
      </w:r>
      <w:r>
        <w:t xml:space="preserve">2017–19 regulatory control </w:t>
      </w:r>
      <w:r w:rsidRPr="00AC0E54">
        <w:t>period.</w:t>
      </w:r>
    </w:p>
    <w:p w:rsidR="00CD7205" w:rsidRDefault="00F711C5" w:rsidP="00CD7205">
      <w:pPr>
        <w:numPr>
          <w:ilvl w:val="0"/>
          <w:numId w:val="24"/>
        </w:numPr>
      </w:pPr>
      <w:r>
        <w:fldChar w:fldCharType="begin"/>
      </w:r>
      <w:r>
        <w:instrText xml:space="preserve"> REF _Ref397598037 \h </w:instrText>
      </w:r>
      <w:r>
        <w:fldChar w:fldCharType="separate"/>
      </w:r>
      <w:r w:rsidR="000D4227">
        <w:t xml:space="preserve">Figure </w:t>
      </w:r>
      <w:r w:rsidR="000D4227">
        <w:rPr>
          <w:noProof/>
        </w:rPr>
        <w:t>1</w:t>
      </w:r>
      <w:r w:rsidR="000D4227">
        <w:t>.</w:t>
      </w:r>
      <w:r w:rsidR="000D4227">
        <w:rPr>
          <w:noProof/>
        </w:rPr>
        <w:t>1</w:t>
      </w:r>
      <w:r>
        <w:fldChar w:fldCharType="end"/>
      </w:r>
      <w:r w:rsidRPr="00933B05">
        <w:t xml:space="preserve"> </w:t>
      </w:r>
      <w:r>
        <w:t>shows</w:t>
      </w:r>
      <w:r w:rsidRPr="00933B05">
        <w:t xml:space="preserve"> the difference between </w:t>
      </w:r>
      <w:r>
        <w:t xml:space="preserve">TasNetworks' revised </w:t>
      </w:r>
      <w:r w:rsidRPr="00933B05">
        <w:t xml:space="preserve">proposal and </w:t>
      </w:r>
      <w:r>
        <w:t>our final</w:t>
      </w:r>
      <w:r w:rsidRPr="00933B05">
        <w:t xml:space="preserve"> </w:t>
      </w:r>
      <w:r>
        <w:t>decision</w:t>
      </w:r>
      <w:r w:rsidRPr="00933B05">
        <w:t>.</w:t>
      </w:r>
      <w:r>
        <w:t xml:space="preserve"> </w:t>
      </w:r>
    </w:p>
    <w:p w:rsidR="00F711C5" w:rsidRPr="00AF5046" w:rsidRDefault="007D74CF" w:rsidP="00F711C5">
      <w:pPr>
        <w:pStyle w:val="ListParagraph"/>
        <w:numPr>
          <w:ilvl w:val="0"/>
          <w:numId w:val="24"/>
        </w:numPr>
      </w:pPr>
      <w:r>
        <w:fldChar w:fldCharType="begin"/>
      </w:r>
      <w:r>
        <w:instrText xml:space="preserve"> REF _Ref480299329 \h </w:instrText>
      </w:r>
      <w:r>
        <w:fldChar w:fldCharType="separate"/>
      </w:r>
      <w:r w:rsidR="000D4227">
        <w:t xml:space="preserve">Table </w:t>
      </w:r>
      <w:r w:rsidR="000D4227">
        <w:rPr>
          <w:noProof/>
        </w:rPr>
        <w:t>1</w:t>
      </w:r>
      <w:r w:rsidR="000D4227">
        <w:t>.</w:t>
      </w:r>
      <w:r w:rsidR="000D4227">
        <w:rPr>
          <w:noProof/>
        </w:rPr>
        <w:t>1</w:t>
      </w:r>
      <w:r>
        <w:fldChar w:fldCharType="end"/>
      </w:r>
      <w:r>
        <w:t xml:space="preserve"> </w:t>
      </w:r>
      <w:r w:rsidR="00F711C5" w:rsidRPr="00AF5046">
        <w:t xml:space="preserve">shows our </w:t>
      </w:r>
      <w:r w:rsidR="00F711C5">
        <w:t>final</w:t>
      </w:r>
      <w:r w:rsidR="00F711C5" w:rsidRPr="00AF5046">
        <w:t xml:space="preserve"> decision on the building block costs, the ARR, annual expected revenue and X factor for each year of the </w:t>
      </w:r>
      <w:r w:rsidR="00F711C5">
        <w:t>2017–19</w:t>
      </w:r>
      <w:r w:rsidR="00F711C5" w:rsidRPr="00AF5046">
        <w:t xml:space="preserve"> regulatory control period. </w:t>
      </w:r>
    </w:p>
    <w:p w:rsidR="00F711C5" w:rsidRPr="00EF7A7F" w:rsidRDefault="00F711C5" w:rsidP="00F711C5">
      <w:pPr>
        <w:pStyle w:val="Caption"/>
        <w:numPr>
          <w:ilvl w:val="0"/>
          <w:numId w:val="24"/>
        </w:numPr>
        <w:rPr>
          <w:rStyle w:val="AERtexthighlight"/>
        </w:rPr>
      </w:pPr>
      <w:bookmarkStart w:id="73" w:name="_Ref397598037"/>
      <w:r>
        <w:lastRenderedPageBreak/>
        <w:t xml:space="preserve">Figure </w:t>
      </w:r>
      <w:r w:rsidRPr="00CC78B1">
        <w:fldChar w:fldCharType="begin"/>
      </w:r>
      <w:r>
        <w:instrText xml:space="preserve"> STYLEREF 1 \s </w:instrText>
      </w:r>
      <w:r w:rsidRPr="00CC78B1">
        <w:fldChar w:fldCharType="separate"/>
      </w:r>
      <w:r w:rsidR="000D4227">
        <w:rPr>
          <w:noProof/>
        </w:rPr>
        <w:t>1</w:t>
      </w:r>
      <w:r w:rsidRPr="00CC78B1">
        <w:fldChar w:fldCharType="end"/>
      </w:r>
      <w:r>
        <w:t>.</w:t>
      </w:r>
      <w:r w:rsidRPr="00CC78B1">
        <w:fldChar w:fldCharType="begin"/>
      </w:r>
      <w:r>
        <w:instrText xml:space="preserve"> SEQ Figure \* ARABIC \s 1 </w:instrText>
      </w:r>
      <w:r w:rsidRPr="00CC78B1">
        <w:fldChar w:fldCharType="separate"/>
      </w:r>
      <w:r w:rsidR="000D4227">
        <w:rPr>
          <w:noProof/>
        </w:rPr>
        <w:t>1</w:t>
      </w:r>
      <w:r w:rsidRPr="00CC78B1">
        <w:fldChar w:fldCharType="end"/>
      </w:r>
      <w:bookmarkEnd w:id="73"/>
      <w:r>
        <w:tab/>
      </w:r>
      <w:r w:rsidRPr="00090AE1">
        <w:t>AER</w:t>
      </w:r>
      <w:r>
        <w:t>'s final</w:t>
      </w:r>
      <w:r w:rsidRPr="00090AE1">
        <w:t xml:space="preserve"> </w:t>
      </w:r>
      <w:r>
        <w:t>decision</w:t>
      </w:r>
      <w:r w:rsidRPr="00090AE1">
        <w:t xml:space="preserve"> on </w:t>
      </w:r>
      <w:r>
        <w:t>TasNetworks' revenue for the 2017–19 regulatory control period</w:t>
      </w:r>
      <w:r w:rsidRPr="00090AE1">
        <w:t xml:space="preserve"> ($million, nominal)</w:t>
      </w:r>
      <w:r>
        <w:t xml:space="preserve"> </w:t>
      </w:r>
    </w:p>
    <w:p w:rsidR="00132D43" w:rsidRDefault="00823E36" w:rsidP="00132D43">
      <w:r>
        <w:rPr>
          <w:noProof/>
          <w:lang w:eastAsia="en-AU"/>
        </w:rPr>
        <w:drawing>
          <wp:inline distT="0" distB="0" distL="0" distR="0" wp14:anchorId="367A46E7">
            <wp:extent cx="5463741" cy="3992690"/>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3995" cy="3992876"/>
                    </a:xfrm>
                    <a:prstGeom prst="rect">
                      <a:avLst/>
                    </a:prstGeom>
                    <a:noFill/>
                  </pic:spPr>
                </pic:pic>
              </a:graphicData>
            </a:graphic>
          </wp:inline>
        </w:drawing>
      </w:r>
    </w:p>
    <w:p w:rsidR="009D18DC" w:rsidRPr="00891A81" w:rsidRDefault="009D18DC" w:rsidP="009D18DC">
      <w:pPr>
        <w:pStyle w:val="AERtablesource"/>
      </w:pPr>
      <w:r w:rsidRPr="00891A81">
        <w:t xml:space="preserve">Source: </w:t>
      </w:r>
      <w:r>
        <w:tab/>
        <w:t>TasNetworks</w:t>
      </w:r>
      <w:r w:rsidRPr="003321D6">
        <w:t xml:space="preserve">, </w:t>
      </w:r>
      <w:r w:rsidR="001B1B9A" w:rsidRPr="001B1B9A">
        <w:rPr>
          <w:rStyle w:val="AERtextitalic"/>
        </w:rPr>
        <w:t>Revised r</w:t>
      </w:r>
      <w:r w:rsidRPr="003321D6">
        <w:rPr>
          <w:rStyle w:val="Emphasis"/>
        </w:rPr>
        <w:t>egulatory proposal</w:t>
      </w:r>
      <w:r w:rsidRPr="003321D6">
        <w:t xml:space="preserve">, </w:t>
      </w:r>
      <w:r w:rsidR="001B1B9A">
        <w:rPr>
          <w:rStyle w:val="AERtextitalic"/>
        </w:rPr>
        <w:t>RT</w:t>
      </w:r>
      <w:r w:rsidRPr="006343F3">
        <w:rPr>
          <w:rStyle w:val="AERtextitalic"/>
        </w:rPr>
        <w:t>N0</w:t>
      </w:r>
      <w:r w:rsidR="001B1B9A">
        <w:rPr>
          <w:rStyle w:val="AERtextitalic"/>
        </w:rPr>
        <w:t>06</w:t>
      </w:r>
      <w:r w:rsidRPr="006343F3">
        <w:rPr>
          <w:rStyle w:val="AERtextitalic"/>
        </w:rPr>
        <w:t>–</w:t>
      </w:r>
      <w:r w:rsidRPr="003321D6">
        <w:rPr>
          <w:rStyle w:val="Emphasis"/>
        </w:rPr>
        <w:t>PTRM</w:t>
      </w:r>
      <w:r>
        <w:rPr>
          <w:rStyle w:val="Emphasis"/>
        </w:rPr>
        <w:t>,</w:t>
      </w:r>
      <w:r>
        <w:t xml:space="preserve"> </w:t>
      </w:r>
      <w:r w:rsidR="001B1B9A">
        <w:t>December</w:t>
      </w:r>
      <w:r>
        <w:t xml:space="preserve"> 2016</w:t>
      </w:r>
      <w:r w:rsidR="007D74CF">
        <w:t xml:space="preserve">; </w:t>
      </w:r>
      <w:r w:rsidRPr="00891A81">
        <w:t>AER analysis</w:t>
      </w:r>
      <w:r>
        <w:t>.</w:t>
      </w:r>
      <w:r w:rsidRPr="00891A81">
        <w:t xml:space="preserve"> </w:t>
      </w:r>
    </w:p>
    <w:p w:rsidR="00EF7A7F" w:rsidRDefault="00EF7A7F" w:rsidP="007D74CF">
      <w:pPr>
        <w:pStyle w:val="Caption"/>
      </w:pPr>
      <w:bookmarkStart w:id="74" w:name="_Ref397598046"/>
      <w:bookmarkStart w:id="75" w:name="_Ref480299329"/>
      <w:r>
        <w:lastRenderedPageBreak/>
        <w:t xml:space="preserve">Table </w:t>
      </w:r>
      <w:r w:rsidRPr="00CC78B1">
        <w:fldChar w:fldCharType="begin"/>
      </w:r>
      <w:r>
        <w:instrText xml:space="preserve"> STYLEREF 1 \s </w:instrText>
      </w:r>
      <w:r w:rsidRPr="00CC78B1">
        <w:fldChar w:fldCharType="separate"/>
      </w:r>
      <w:r w:rsidR="000D4227">
        <w:rPr>
          <w:noProof/>
        </w:rPr>
        <w:t>1</w:t>
      </w:r>
      <w:r w:rsidRPr="00CC78B1">
        <w:fldChar w:fldCharType="end"/>
      </w:r>
      <w:r>
        <w:t>.</w:t>
      </w:r>
      <w:r w:rsidRPr="00CC78B1">
        <w:fldChar w:fldCharType="begin"/>
      </w:r>
      <w:r>
        <w:instrText xml:space="preserve"> SEQ Table \* ARABIC \s 1 </w:instrText>
      </w:r>
      <w:r w:rsidRPr="00CC78B1">
        <w:fldChar w:fldCharType="separate"/>
      </w:r>
      <w:r w:rsidR="000D4227">
        <w:rPr>
          <w:noProof/>
        </w:rPr>
        <w:t>1</w:t>
      </w:r>
      <w:r w:rsidRPr="00CC78B1">
        <w:fldChar w:fldCharType="end"/>
      </w:r>
      <w:bookmarkEnd w:id="74"/>
      <w:bookmarkEnd w:id="75"/>
      <w:r>
        <w:tab/>
        <w:t>AER's</w:t>
      </w:r>
      <w:r w:rsidRPr="00090AE1">
        <w:t xml:space="preserve"> </w:t>
      </w:r>
      <w:r>
        <w:t>final</w:t>
      </w:r>
      <w:r w:rsidRPr="00090AE1">
        <w:t xml:space="preserve"> </w:t>
      </w:r>
      <w:r>
        <w:t>decision</w:t>
      </w:r>
      <w:r w:rsidRPr="00090AE1">
        <w:t xml:space="preserve"> on </w:t>
      </w:r>
      <w:r>
        <w:t xml:space="preserve">TasNetworks' </w:t>
      </w:r>
      <w:r w:rsidRPr="00090AE1">
        <w:t>revenue</w:t>
      </w:r>
      <w:r>
        <w:t xml:space="preserve">s for the </w:t>
      </w:r>
      <w:r>
        <w:br/>
        <w:t xml:space="preserve">2017–19 regulatory control period </w:t>
      </w:r>
      <w:r w:rsidRPr="00090AE1">
        <w:t>($million, nominal)</w:t>
      </w:r>
      <w:r>
        <w:t xml:space="preserve"> </w:t>
      </w:r>
    </w:p>
    <w:tbl>
      <w:tblPr>
        <w:tblStyle w:val="AERtable-numbers"/>
        <w:tblW w:w="4994" w:type="pct"/>
        <w:tblLayout w:type="fixed"/>
        <w:tblLook w:val="04A0" w:firstRow="1" w:lastRow="0" w:firstColumn="1" w:lastColumn="0" w:noHBand="0" w:noVBand="1"/>
      </w:tblPr>
      <w:tblGrid>
        <w:gridCol w:w="4826"/>
        <w:gridCol w:w="1285"/>
        <w:gridCol w:w="1287"/>
        <w:gridCol w:w="1285"/>
      </w:tblGrid>
      <w:tr w:rsidR="00EF7A7F" w:rsidRPr="00616865" w:rsidTr="004953A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EF7A7F" w:rsidRPr="00EF7A7F" w:rsidRDefault="00EF7A7F" w:rsidP="00D26540">
            <w:pPr>
              <w:keepNext/>
            </w:pPr>
            <w:r w:rsidRPr="00616865">
              <w:t> </w:t>
            </w:r>
          </w:p>
        </w:tc>
        <w:tc>
          <w:tcPr>
            <w:tcW w:w="740" w:type="pct"/>
            <w:noWrap/>
            <w:hideMark/>
          </w:tcPr>
          <w:p w:rsidR="00EF7A7F" w:rsidRPr="00EF7A7F" w:rsidRDefault="00EF7A7F" w:rsidP="00D26540">
            <w:pPr>
              <w:keepNext/>
              <w:cnfStyle w:val="100000000000" w:firstRow="1" w:lastRow="0" w:firstColumn="0" w:lastColumn="0" w:oddVBand="0" w:evenVBand="0" w:oddHBand="0" w:evenHBand="0" w:firstRowFirstColumn="0" w:firstRowLastColumn="0" w:lastRowFirstColumn="0" w:lastRowLastColumn="0"/>
            </w:pPr>
            <w:r>
              <w:t>2017–18</w:t>
            </w:r>
          </w:p>
        </w:tc>
        <w:tc>
          <w:tcPr>
            <w:tcW w:w="741" w:type="pct"/>
            <w:noWrap/>
          </w:tcPr>
          <w:p w:rsidR="00EF7A7F" w:rsidRPr="00EF7A7F" w:rsidRDefault="00EF7A7F" w:rsidP="00D26540">
            <w:pPr>
              <w:keepNext/>
              <w:cnfStyle w:val="100000000000" w:firstRow="1" w:lastRow="0" w:firstColumn="0" w:lastColumn="0" w:oddVBand="0" w:evenVBand="0" w:oddHBand="0" w:evenHBand="0" w:firstRowFirstColumn="0" w:firstRowLastColumn="0" w:lastRowFirstColumn="0" w:lastRowLastColumn="0"/>
            </w:pPr>
            <w:r>
              <w:t>2018–19</w:t>
            </w:r>
          </w:p>
        </w:tc>
        <w:tc>
          <w:tcPr>
            <w:tcW w:w="740" w:type="pct"/>
            <w:noWrap/>
            <w:hideMark/>
          </w:tcPr>
          <w:p w:rsidR="00EF7A7F" w:rsidRPr="00EF7A7F" w:rsidRDefault="00EF7A7F" w:rsidP="00D26540">
            <w:pPr>
              <w:keepNext/>
              <w:cnfStyle w:val="100000000000" w:firstRow="1" w:lastRow="0" w:firstColumn="0" w:lastColumn="0" w:oddVBand="0" w:evenVBand="0" w:oddHBand="0" w:evenHBand="0" w:firstRowFirstColumn="0" w:firstRowLastColumn="0" w:lastRowFirstColumn="0" w:lastRowLastColumn="0"/>
            </w:pPr>
            <w:r w:rsidRPr="00616865">
              <w:t>Total</w:t>
            </w:r>
          </w:p>
        </w:tc>
      </w:tr>
      <w:tr w:rsidR="00CD7205" w:rsidRPr="00616865" w:rsidTr="004953A8">
        <w:trPr>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CD7205" w:rsidRPr="00CD7205" w:rsidRDefault="00CD7205" w:rsidP="00D26540">
            <w:pPr>
              <w:keepNext/>
            </w:pPr>
            <w:r w:rsidRPr="00CD7205">
              <w:t>Return on capital</w:t>
            </w:r>
          </w:p>
        </w:tc>
        <w:tc>
          <w:tcPr>
            <w:tcW w:w="740" w:type="pct"/>
            <w:noWrap/>
          </w:tcPr>
          <w:p w:rsidR="00CD7205" w:rsidRPr="00CD7205" w:rsidRDefault="00CD7205" w:rsidP="00F33F74">
            <w:pPr>
              <w:keepNext/>
              <w:cnfStyle w:val="000000000000" w:firstRow="0" w:lastRow="0" w:firstColumn="0" w:lastColumn="0" w:oddVBand="0" w:evenVBand="0" w:oddHBand="0" w:evenHBand="0" w:firstRowFirstColumn="0" w:firstRowLastColumn="0" w:lastRowFirstColumn="0" w:lastRowLastColumn="0"/>
            </w:pPr>
            <w:r w:rsidRPr="00CD7205">
              <w:t>97.</w:t>
            </w:r>
            <w:r w:rsidR="00F33F74">
              <w:t>2</w:t>
            </w:r>
          </w:p>
        </w:tc>
        <w:tc>
          <w:tcPr>
            <w:tcW w:w="741" w:type="pct"/>
            <w:noWrap/>
          </w:tcPr>
          <w:p w:rsidR="00CD7205" w:rsidRPr="00CD7205" w:rsidRDefault="00CD7205" w:rsidP="00F33F74">
            <w:pPr>
              <w:keepNext/>
              <w:cnfStyle w:val="000000000000" w:firstRow="0" w:lastRow="0" w:firstColumn="0" w:lastColumn="0" w:oddVBand="0" w:evenVBand="0" w:oddHBand="0" w:evenHBand="0" w:firstRowFirstColumn="0" w:firstRowLastColumn="0" w:lastRowFirstColumn="0" w:lastRowLastColumn="0"/>
            </w:pPr>
            <w:r w:rsidRPr="00CD7205">
              <w:t>10</w:t>
            </w:r>
            <w:r w:rsidR="00F33F74">
              <w:t>1</w:t>
            </w:r>
            <w:r w:rsidRPr="00CD7205">
              <w:t>.</w:t>
            </w:r>
            <w:r w:rsidR="00F33F74">
              <w:t>9</w:t>
            </w:r>
          </w:p>
        </w:tc>
        <w:tc>
          <w:tcPr>
            <w:tcW w:w="740" w:type="pct"/>
            <w:noWrap/>
          </w:tcPr>
          <w:p w:rsidR="00CD7205" w:rsidRPr="00CD7205" w:rsidRDefault="00CD7205" w:rsidP="00F33F74">
            <w:pPr>
              <w:keepNext/>
              <w:cnfStyle w:val="000000000000" w:firstRow="0" w:lastRow="0" w:firstColumn="0" w:lastColumn="0" w:oddVBand="0" w:evenVBand="0" w:oddHBand="0" w:evenHBand="0" w:firstRowFirstColumn="0" w:firstRowLastColumn="0" w:lastRowFirstColumn="0" w:lastRowLastColumn="0"/>
            </w:pPr>
            <w:r w:rsidRPr="00CD7205">
              <w:t>199.</w:t>
            </w:r>
            <w:r w:rsidR="00F33F74">
              <w:t>1</w:t>
            </w:r>
          </w:p>
        </w:tc>
      </w:tr>
      <w:tr w:rsidR="00CD7205" w:rsidRPr="00616865" w:rsidTr="004953A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CD7205" w:rsidRPr="00CD7205" w:rsidRDefault="00CD7205" w:rsidP="00D26540">
            <w:pPr>
              <w:keepNext/>
            </w:pPr>
            <w:r w:rsidRPr="00CD7205">
              <w:t>Regulatory depreciation</w:t>
            </w:r>
            <w:r w:rsidR="00F45398" w:rsidRPr="00D26540">
              <w:rPr>
                <w:rStyle w:val="AERsuperscript"/>
              </w:rPr>
              <w:t>a</w:t>
            </w:r>
          </w:p>
        </w:tc>
        <w:tc>
          <w:tcPr>
            <w:tcW w:w="740" w:type="pct"/>
            <w:noWrap/>
          </w:tcPr>
          <w:p w:rsidR="00CD7205" w:rsidRPr="00CD7205" w:rsidRDefault="00CD7205" w:rsidP="00F33F74">
            <w:pPr>
              <w:keepNext/>
              <w:cnfStyle w:val="000000010000" w:firstRow="0" w:lastRow="0" w:firstColumn="0" w:lastColumn="0" w:oddVBand="0" w:evenVBand="0" w:oddHBand="0" w:evenHBand="1" w:firstRowFirstColumn="0" w:firstRowLastColumn="0" w:lastRowFirstColumn="0" w:lastRowLastColumn="0"/>
            </w:pPr>
            <w:r w:rsidRPr="00CD7205">
              <w:t>38.</w:t>
            </w:r>
            <w:r w:rsidR="00F33F74">
              <w:t>2</w:t>
            </w:r>
          </w:p>
        </w:tc>
        <w:tc>
          <w:tcPr>
            <w:tcW w:w="741" w:type="pct"/>
            <w:noWrap/>
          </w:tcPr>
          <w:p w:rsidR="00CD7205" w:rsidRPr="00CD7205" w:rsidRDefault="00CD7205" w:rsidP="00F33F74">
            <w:pPr>
              <w:keepNext/>
              <w:cnfStyle w:val="000000010000" w:firstRow="0" w:lastRow="0" w:firstColumn="0" w:lastColumn="0" w:oddVBand="0" w:evenVBand="0" w:oddHBand="0" w:evenHBand="1" w:firstRowFirstColumn="0" w:firstRowLastColumn="0" w:lastRowFirstColumn="0" w:lastRowLastColumn="0"/>
            </w:pPr>
            <w:r w:rsidRPr="00CD7205">
              <w:t>57.</w:t>
            </w:r>
            <w:r w:rsidR="00F33F74">
              <w:t>6</w:t>
            </w:r>
          </w:p>
        </w:tc>
        <w:tc>
          <w:tcPr>
            <w:tcW w:w="740" w:type="pct"/>
            <w:noWrap/>
          </w:tcPr>
          <w:p w:rsidR="00CD7205" w:rsidRPr="00CD7205" w:rsidRDefault="00CD7205" w:rsidP="00F33F74">
            <w:pPr>
              <w:keepNext/>
              <w:cnfStyle w:val="000000010000" w:firstRow="0" w:lastRow="0" w:firstColumn="0" w:lastColumn="0" w:oddVBand="0" w:evenVBand="0" w:oddHBand="0" w:evenHBand="1" w:firstRowFirstColumn="0" w:firstRowLastColumn="0" w:lastRowFirstColumn="0" w:lastRowLastColumn="0"/>
            </w:pPr>
            <w:r w:rsidRPr="00CD7205">
              <w:t>9</w:t>
            </w:r>
            <w:r w:rsidR="00F33F74">
              <w:t>5</w:t>
            </w:r>
            <w:r w:rsidRPr="00CD7205">
              <w:t>.</w:t>
            </w:r>
            <w:r w:rsidR="00F33F74">
              <w:t>8</w:t>
            </w:r>
          </w:p>
        </w:tc>
      </w:tr>
      <w:tr w:rsidR="00CD7205" w:rsidRPr="00616865" w:rsidTr="004953A8">
        <w:trPr>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CD7205" w:rsidRPr="00CD7205" w:rsidRDefault="00CD7205" w:rsidP="00D26540">
            <w:pPr>
              <w:keepNext/>
            </w:pPr>
            <w:r w:rsidRPr="00CD7205">
              <w:t>Operating expenditure</w:t>
            </w:r>
            <w:r w:rsidR="00F45398">
              <w:rPr>
                <w:rStyle w:val="AERsuperscript"/>
              </w:rPr>
              <w:t>b</w:t>
            </w:r>
          </w:p>
        </w:tc>
        <w:tc>
          <w:tcPr>
            <w:tcW w:w="740" w:type="pct"/>
            <w:noWrap/>
          </w:tcPr>
          <w:p w:rsidR="00CD7205" w:rsidRPr="00CD7205" w:rsidRDefault="00CD7205" w:rsidP="00D26540">
            <w:pPr>
              <w:keepNext/>
              <w:cnfStyle w:val="000000000000" w:firstRow="0" w:lastRow="0" w:firstColumn="0" w:lastColumn="0" w:oddVBand="0" w:evenVBand="0" w:oddHBand="0" w:evenHBand="0" w:firstRowFirstColumn="0" w:firstRowLastColumn="0" w:lastRowFirstColumn="0" w:lastRowLastColumn="0"/>
            </w:pPr>
            <w:r w:rsidRPr="00CD7205">
              <w:t>68.3</w:t>
            </w:r>
          </w:p>
        </w:tc>
        <w:tc>
          <w:tcPr>
            <w:tcW w:w="741" w:type="pct"/>
            <w:noWrap/>
          </w:tcPr>
          <w:p w:rsidR="00CD7205" w:rsidRPr="00CD7205" w:rsidRDefault="00CD7205" w:rsidP="00D26540">
            <w:pPr>
              <w:keepNext/>
              <w:cnfStyle w:val="000000000000" w:firstRow="0" w:lastRow="0" w:firstColumn="0" w:lastColumn="0" w:oddVBand="0" w:evenVBand="0" w:oddHBand="0" w:evenHBand="0" w:firstRowFirstColumn="0" w:firstRowLastColumn="0" w:lastRowFirstColumn="0" w:lastRowLastColumn="0"/>
            </w:pPr>
            <w:r w:rsidRPr="00CD7205">
              <w:t>68.4</w:t>
            </w:r>
          </w:p>
        </w:tc>
        <w:tc>
          <w:tcPr>
            <w:tcW w:w="740" w:type="pct"/>
            <w:noWrap/>
          </w:tcPr>
          <w:p w:rsidR="00CD7205" w:rsidRPr="00CD7205" w:rsidRDefault="00CD7205" w:rsidP="00D26540">
            <w:pPr>
              <w:keepNext/>
              <w:cnfStyle w:val="000000000000" w:firstRow="0" w:lastRow="0" w:firstColumn="0" w:lastColumn="0" w:oddVBand="0" w:evenVBand="0" w:oddHBand="0" w:evenHBand="0" w:firstRowFirstColumn="0" w:firstRowLastColumn="0" w:lastRowFirstColumn="0" w:lastRowLastColumn="0"/>
            </w:pPr>
            <w:r w:rsidRPr="00CD7205">
              <w:t>136.7</w:t>
            </w:r>
          </w:p>
        </w:tc>
      </w:tr>
      <w:tr w:rsidR="00CD7205" w:rsidRPr="00616865" w:rsidTr="004953A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CD7205" w:rsidRPr="00CD7205" w:rsidRDefault="00CD7205" w:rsidP="00D26540">
            <w:pPr>
              <w:keepNext/>
            </w:pPr>
            <w:r w:rsidRPr="00CD7205">
              <w:t>Revenue adjustments</w:t>
            </w:r>
            <w:r w:rsidR="00F45398">
              <w:rPr>
                <w:rStyle w:val="AERsuperscript"/>
              </w:rPr>
              <w:t>c</w:t>
            </w:r>
          </w:p>
        </w:tc>
        <w:tc>
          <w:tcPr>
            <w:tcW w:w="740" w:type="pct"/>
            <w:noWrap/>
          </w:tcPr>
          <w:p w:rsidR="00CD7205" w:rsidRPr="00CD7205" w:rsidRDefault="00CD7205" w:rsidP="00D26540">
            <w:pPr>
              <w:keepNext/>
              <w:cnfStyle w:val="000000010000" w:firstRow="0" w:lastRow="0" w:firstColumn="0" w:lastColumn="0" w:oddVBand="0" w:evenVBand="0" w:oddHBand="0" w:evenHBand="1" w:firstRowFirstColumn="0" w:firstRowLastColumn="0" w:lastRowFirstColumn="0" w:lastRowLastColumn="0"/>
            </w:pPr>
            <w:r w:rsidRPr="00CD7205">
              <w:t>12.</w:t>
            </w:r>
            <w:r w:rsidR="00BB7447">
              <w:t>5</w:t>
            </w:r>
          </w:p>
        </w:tc>
        <w:tc>
          <w:tcPr>
            <w:tcW w:w="741" w:type="pct"/>
            <w:noWrap/>
          </w:tcPr>
          <w:p w:rsidR="00CD7205" w:rsidRPr="00CD7205" w:rsidRDefault="00CD7205" w:rsidP="00D26540">
            <w:pPr>
              <w:keepNext/>
              <w:cnfStyle w:val="000000010000" w:firstRow="0" w:lastRow="0" w:firstColumn="0" w:lastColumn="0" w:oddVBand="0" w:evenVBand="0" w:oddHBand="0" w:evenHBand="1" w:firstRowFirstColumn="0" w:firstRowLastColumn="0" w:lastRowFirstColumn="0" w:lastRowLastColumn="0"/>
            </w:pPr>
            <w:r w:rsidRPr="00CD7205">
              <w:t>12.</w:t>
            </w:r>
            <w:r w:rsidR="00BB7447">
              <w:t>8</w:t>
            </w:r>
          </w:p>
        </w:tc>
        <w:tc>
          <w:tcPr>
            <w:tcW w:w="740" w:type="pct"/>
            <w:noWrap/>
          </w:tcPr>
          <w:p w:rsidR="00CD7205" w:rsidRPr="00CD7205" w:rsidRDefault="00CD7205" w:rsidP="00D26540">
            <w:pPr>
              <w:keepNext/>
              <w:cnfStyle w:val="000000010000" w:firstRow="0" w:lastRow="0" w:firstColumn="0" w:lastColumn="0" w:oddVBand="0" w:evenVBand="0" w:oddHBand="0" w:evenHBand="1" w:firstRowFirstColumn="0" w:firstRowLastColumn="0" w:lastRowFirstColumn="0" w:lastRowLastColumn="0"/>
            </w:pPr>
            <w:r w:rsidRPr="00CD7205">
              <w:t>25.</w:t>
            </w:r>
            <w:r w:rsidR="00BB7447">
              <w:t>4</w:t>
            </w:r>
          </w:p>
        </w:tc>
      </w:tr>
      <w:tr w:rsidR="00CD7205" w:rsidRPr="00616865" w:rsidTr="004953A8">
        <w:trPr>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CD7205" w:rsidRPr="00CD7205" w:rsidRDefault="00CD7205" w:rsidP="00D26540">
            <w:pPr>
              <w:keepNext/>
            </w:pPr>
            <w:r w:rsidRPr="00CD7205">
              <w:t>Net tax allowance</w:t>
            </w:r>
          </w:p>
        </w:tc>
        <w:tc>
          <w:tcPr>
            <w:tcW w:w="740" w:type="pct"/>
            <w:noWrap/>
          </w:tcPr>
          <w:p w:rsidR="00CD7205" w:rsidRPr="00CD7205" w:rsidRDefault="00F33F74" w:rsidP="00D26540">
            <w:pPr>
              <w:keepNext/>
              <w:cnfStyle w:val="000000000000" w:firstRow="0" w:lastRow="0" w:firstColumn="0" w:lastColumn="0" w:oddVBand="0" w:evenVBand="0" w:oddHBand="0" w:evenHBand="0" w:firstRowFirstColumn="0" w:firstRowLastColumn="0" w:lastRowFirstColumn="0" w:lastRowLastColumn="0"/>
            </w:pPr>
            <w:r>
              <w:t>8.9</w:t>
            </w:r>
          </w:p>
        </w:tc>
        <w:tc>
          <w:tcPr>
            <w:tcW w:w="741" w:type="pct"/>
            <w:noWrap/>
          </w:tcPr>
          <w:p w:rsidR="00CD7205" w:rsidRPr="00CD7205" w:rsidRDefault="00CD7205" w:rsidP="00D26540">
            <w:pPr>
              <w:keepNext/>
              <w:cnfStyle w:val="000000000000" w:firstRow="0" w:lastRow="0" w:firstColumn="0" w:lastColumn="0" w:oddVBand="0" w:evenVBand="0" w:oddHBand="0" w:evenHBand="0" w:firstRowFirstColumn="0" w:firstRowLastColumn="0" w:lastRowFirstColumn="0" w:lastRowLastColumn="0"/>
            </w:pPr>
            <w:r w:rsidRPr="00CD7205">
              <w:t>12.2</w:t>
            </w:r>
          </w:p>
        </w:tc>
        <w:tc>
          <w:tcPr>
            <w:tcW w:w="740" w:type="pct"/>
            <w:noWrap/>
          </w:tcPr>
          <w:p w:rsidR="00CD7205" w:rsidRPr="00CD7205" w:rsidRDefault="00CD7205" w:rsidP="00F33F74">
            <w:pPr>
              <w:keepNext/>
              <w:cnfStyle w:val="000000000000" w:firstRow="0" w:lastRow="0" w:firstColumn="0" w:lastColumn="0" w:oddVBand="0" w:evenVBand="0" w:oddHBand="0" w:evenHBand="0" w:firstRowFirstColumn="0" w:firstRowLastColumn="0" w:lastRowFirstColumn="0" w:lastRowLastColumn="0"/>
            </w:pPr>
            <w:r w:rsidRPr="00CD7205">
              <w:t>21.</w:t>
            </w:r>
            <w:r w:rsidR="00F33F74">
              <w:t>0</w:t>
            </w:r>
          </w:p>
        </w:tc>
      </w:tr>
      <w:tr w:rsidR="00CD7205" w:rsidRPr="00616865" w:rsidTr="004953A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CD7205" w:rsidRPr="00CD7205" w:rsidRDefault="00CD7205" w:rsidP="00D26540">
            <w:pPr>
              <w:keepNext/>
            </w:pPr>
            <w:r w:rsidRPr="00CD7205">
              <w:t>Annual revenue requirement (unsmoothed)</w:t>
            </w:r>
          </w:p>
        </w:tc>
        <w:tc>
          <w:tcPr>
            <w:tcW w:w="740" w:type="pct"/>
            <w:noWrap/>
          </w:tcPr>
          <w:p w:rsidR="00CD7205" w:rsidRPr="00CD7205" w:rsidRDefault="00CD7205" w:rsidP="00F33F74">
            <w:pPr>
              <w:keepNext/>
              <w:cnfStyle w:val="000000010000" w:firstRow="0" w:lastRow="0" w:firstColumn="0" w:lastColumn="0" w:oddVBand="0" w:evenVBand="0" w:oddHBand="0" w:evenHBand="1" w:firstRowFirstColumn="0" w:firstRowLastColumn="0" w:lastRowFirstColumn="0" w:lastRowLastColumn="0"/>
            </w:pPr>
            <w:r w:rsidRPr="00CD7205">
              <w:t>225.</w:t>
            </w:r>
            <w:r w:rsidR="00F33F74">
              <w:t>0</w:t>
            </w:r>
          </w:p>
        </w:tc>
        <w:tc>
          <w:tcPr>
            <w:tcW w:w="741" w:type="pct"/>
            <w:noWrap/>
          </w:tcPr>
          <w:p w:rsidR="00CD7205" w:rsidRPr="00CD7205" w:rsidRDefault="00CD7205" w:rsidP="00F33F74">
            <w:pPr>
              <w:keepNext/>
              <w:cnfStyle w:val="000000010000" w:firstRow="0" w:lastRow="0" w:firstColumn="0" w:lastColumn="0" w:oddVBand="0" w:evenVBand="0" w:oddHBand="0" w:evenHBand="1" w:firstRowFirstColumn="0" w:firstRowLastColumn="0" w:lastRowFirstColumn="0" w:lastRowLastColumn="0"/>
            </w:pPr>
            <w:r w:rsidRPr="00CD7205">
              <w:t>25</w:t>
            </w:r>
            <w:r w:rsidR="00F33F74">
              <w:t>2</w:t>
            </w:r>
            <w:r w:rsidRPr="00CD7205">
              <w:t>.</w:t>
            </w:r>
            <w:r w:rsidR="00F33F74">
              <w:t>9</w:t>
            </w:r>
          </w:p>
        </w:tc>
        <w:tc>
          <w:tcPr>
            <w:tcW w:w="740" w:type="pct"/>
            <w:noWrap/>
          </w:tcPr>
          <w:p w:rsidR="00CD7205" w:rsidRPr="00CD7205" w:rsidRDefault="00CD7205" w:rsidP="00F33F74">
            <w:pPr>
              <w:keepNext/>
              <w:cnfStyle w:val="000000010000" w:firstRow="0" w:lastRow="0" w:firstColumn="0" w:lastColumn="0" w:oddVBand="0" w:evenVBand="0" w:oddHBand="0" w:evenHBand="1" w:firstRowFirstColumn="0" w:firstRowLastColumn="0" w:lastRowFirstColumn="0" w:lastRowLastColumn="0"/>
            </w:pPr>
            <w:r w:rsidRPr="00CD7205">
              <w:t>47</w:t>
            </w:r>
            <w:r w:rsidR="00F33F74">
              <w:t>8</w:t>
            </w:r>
            <w:r w:rsidRPr="00CD7205">
              <w:t>.</w:t>
            </w:r>
            <w:r w:rsidR="00F33F74">
              <w:t>0</w:t>
            </w:r>
          </w:p>
        </w:tc>
      </w:tr>
      <w:tr w:rsidR="00CD7205" w:rsidRPr="00987739" w:rsidTr="004953A8">
        <w:trPr>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CD7205" w:rsidRPr="00CD7205" w:rsidRDefault="00CD7205" w:rsidP="00D26540">
            <w:pPr>
              <w:keepNext/>
              <w:rPr>
                <w:rStyle w:val="Strong"/>
              </w:rPr>
            </w:pPr>
            <w:r w:rsidRPr="00CD7205">
              <w:rPr>
                <w:rStyle w:val="Strong"/>
              </w:rPr>
              <w:t>Annual expected revenue (smoothed)</w:t>
            </w:r>
          </w:p>
        </w:tc>
        <w:tc>
          <w:tcPr>
            <w:tcW w:w="740" w:type="pct"/>
            <w:noWrap/>
          </w:tcPr>
          <w:p w:rsidR="00CD7205" w:rsidRPr="00CD7205" w:rsidRDefault="00CD7205" w:rsidP="00F33F74">
            <w:pPr>
              <w:keepNext/>
              <w:cnfStyle w:val="000000000000" w:firstRow="0" w:lastRow="0" w:firstColumn="0" w:lastColumn="0" w:oddVBand="0" w:evenVBand="0" w:oddHBand="0" w:evenHBand="0" w:firstRowFirstColumn="0" w:firstRowLastColumn="0" w:lastRowFirstColumn="0" w:lastRowLastColumn="0"/>
              <w:rPr>
                <w:rStyle w:val="Strong"/>
              </w:rPr>
            </w:pPr>
            <w:r w:rsidRPr="00B647F3">
              <w:rPr>
                <w:rStyle w:val="Strong"/>
              </w:rPr>
              <w:t>23</w:t>
            </w:r>
            <w:r w:rsidR="00F33F74">
              <w:rPr>
                <w:rStyle w:val="Strong"/>
              </w:rPr>
              <w:t>5</w:t>
            </w:r>
            <w:r w:rsidRPr="00B647F3">
              <w:rPr>
                <w:rStyle w:val="Strong"/>
              </w:rPr>
              <w:t>.</w:t>
            </w:r>
            <w:r w:rsidR="00F33F74">
              <w:rPr>
                <w:rStyle w:val="Strong"/>
              </w:rPr>
              <w:t>8</w:t>
            </w:r>
          </w:p>
        </w:tc>
        <w:tc>
          <w:tcPr>
            <w:tcW w:w="741" w:type="pct"/>
            <w:noWrap/>
          </w:tcPr>
          <w:p w:rsidR="00CD7205" w:rsidRPr="00CD7205" w:rsidRDefault="00CD7205" w:rsidP="00F33F74">
            <w:pPr>
              <w:keepNext/>
              <w:cnfStyle w:val="000000000000" w:firstRow="0" w:lastRow="0" w:firstColumn="0" w:lastColumn="0" w:oddVBand="0" w:evenVBand="0" w:oddHBand="0" w:evenHBand="0" w:firstRowFirstColumn="0" w:firstRowLastColumn="0" w:lastRowFirstColumn="0" w:lastRowLastColumn="0"/>
              <w:rPr>
                <w:rStyle w:val="Strong"/>
              </w:rPr>
            </w:pPr>
            <w:r w:rsidRPr="00B647F3">
              <w:rPr>
                <w:rStyle w:val="Strong"/>
              </w:rPr>
              <w:t>24</w:t>
            </w:r>
            <w:r w:rsidR="00F33F74">
              <w:rPr>
                <w:rStyle w:val="Strong"/>
              </w:rPr>
              <w:t>1</w:t>
            </w:r>
            <w:r w:rsidRPr="00B647F3">
              <w:rPr>
                <w:rStyle w:val="Strong"/>
              </w:rPr>
              <w:t>.</w:t>
            </w:r>
            <w:r w:rsidR="00F33F74">
              <w:rPr>
                <w:rStyle w:val="Strong"/>
              </w:rPr>
              <w:t>6</w:t>
            </w:r>
          </w:p>
        </w:tc>
        <w:tc>
          <w:tcPr>
            <w:tcW w:w="740" w:type="pct"/>
            <w:noWrap/>
          </w:tcPr>
          <w:p w:rsidR="00CD7205" w:rsidRPr="00CD7205" w:rsidRDefault="00CD7205" w:rsidP="00F33F74">
            <w:pPr>
              <w:keepNext/>
              <w:cnfStyle w:val="000000000000" w:firstRow="0" w:lastRow="0" w:firstColumn="0" w:lastColumn="0" w:oddVBand="0" w:evenVBand="0" w:oddHBand="0" w:evenHBand="0" w:firstRowFirstColumn="0" w:firstRowLastColumn="0" w:lastRowFirstColumn="0" w:lastRowLastColumn="0"/>
              <w:rPr>
                <w:rStyle w:val="Strong"/>
              </w:rPr>
            </w:pPr>
            <w:r w:rsidRPr="00B647F3">
              <w:rPr>
                <w:rStyle w:val="Strong"/>
              </w:rPr>
              <w:t>47</w:t>
            </w:r>
            <w:r w:rsidR="00F33F74">
              <w:rPr>
                <w:rStyle w:val="Strong"/>
              </w:rPr>
              <w:t>7</w:t>
            </w:r>
            <w:r w:rsidRPr="00B647F3">
              <w:rPr>
                <w:rStyle w:val="Strong"/>
              </w:rPr>
              <w:t>.</w:t>
            </w:r>
            <w:r w:rsidR="00F33F74">
              <w:rPr>
                <w:rStyle w:val="Strong"/>
              </w:rPr>
              <w:t>3</w:t>
            </w:r>
          </w:p>
        </w:tc>
      </w:tr>
      <w:tr w:rsidR="00CD7205" w:rsidRPr="00616865" w:rsidTr="004953A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CD7205" w:rsidRPr="00CD7205" w:rsidRDefault="00CD7205" w:rsidP="00D26540">
            <w:pPr>
              <w:keepNext/>
            </w:pPr>
            <w:r w:rsidRPr="00CD7205">
              <w:t>X factor</w:t>
            </w:r>
          </w:p>
        </w:tc>
        <w:tc>
          <w:tcPr>
            <w:tcW w:w="740" w:type="pct"/>
            <w:noWrap/>
          </w:tcPr>
          <w:p w:rsidR="00CD7205" w:rsidRPr="00CD7205" w:rsidRDefault="00F45398" w:rsidP="00D26540">
            <w:pPr>
              <w:keepNext/>
              <w:cnfStyle w:val="000000010000" w:firstRow="0" w:lastRow="0" w:firstColumn="0" w:lastColumn="0" w:oddVBand="0" w:evenVBand="0" w:oddHBand="0" w:evenHBand="1" w:firstRowFirstColumn="0" w:firstRowLastColumn="0" w:lastRowFirstColumn="0" w:lastRowLastColumn="0"/>
            </w:pPr>
            <w:r>
              <w:t>n/a</w:t>
            </w:r>
            <w:r>
              <w:rPr>
                <w:rStyle w:val="AERsuperscript"/>
              </w:rPr>
              <w:t>d</w:t>
            </w:r>
          </w:p>
        </w:tc>
        <w:tc>
          <w:tcPr>
            <w:tcW w:w="741" w:type="pct"/>
            <w:noWrap/>
          </w:tcPr>
          <w:p w:rsidR="00CD7205" w:rsidRPr="00CD7205" w:rsidRDefault="00CD7205" w:rsidP="00D26540">
            <w:pPr>
              <w:keepNext/>
              <w:cnfStyle w:val="000000010000" w:firstRow="0" w:lastRow="0" w:firstColumn="0" w:lastColumn="0" w:oddVBand="0" w:evenVBand="0" w:oddHBand="0" w:evenHBand="1" w:firstRowFirstColumn="0" w:firstRowLastColumn="0" w:lastRowFirstColumn="0" w:lastRowLastColumn="0"/>
            </w:pPr>
            <w:r w:rsidRPr="00CD7205">
              <w:t>0.00%</w:t>
            </w:r>
            <w:r w:rsidR="00F45398">
              <w:rPr>
                <w:rStyle w:val="AERsuperscript"/>
              </w:rPr>
              <w:t>e</w:t>
            </w:r>
          </w:p>
        </w:tc>
        <w:tc>
          <w:tcPr>
            <w:tcW w:w="740" w:type="pct"/>
            <w:noWrap/>
          </w:tcPr>
          <w:p w:rsidR="00CD7205" w:rsidRPr="00CD7205" w:rsidRDefault="00CD7205" w:rsidP="00D26540">
            <w:pPr>
              <w:keepNext/>
              <w:cnfStyle w:val="000000010000" w:firstRow="0" w:lastRow="0" w:firstColumn="0" w:lastColumn="0" w:oddVBand="0" w:evenVBand="0" w:oddHBand="0" w:evenHBand="1" w:firstRowFirstColumn="0" w:firstRowLastColumn="0" w:lastRowFirstColumn="0" w:lastRowLastColumn="0"/>
            </w:pPr>
            <w:r w:rsidRPr="00CD7205">
              <w:t>n/a</w:t>
            </w:r>
          </w:p>
        </w:tc>
      </w:tr>
    </w:tbl>
    <w:p w:rsidR="00CC026D" w:rsidRDefault="00CC026D" w:rsidP="00D26540">
      <w:pPr>
        <w:pStyle w:val="AERtablesource"/>
        <w:keepNext/>
      </w:pPr>
      <w:r>
        <w:t>Source:</w:t>
      </w:r>
      <w:r>
        <w:tab/>
        <w:t>AER analysis.</w:t>
      </w:r>
    </w:p>
    <w:p w:rsidR="00F45398" w:rsidRDefault="00CC026D" w:rsidP="00D26540">
      <w:pPr>
        <w:pStyle w:val="AERtablesource"/>
        <w:keepNext/>
      </w:pPr>
      <w:r>
        <w:t>(a)</w:t>
      </w:r>
      <w:r>
        <w:tab/>
      </w:r>
      <w:r w:rsidR="00F45398" w:rsidRPr="00F45398">
        <w:t>Regulatory depreciation is straight-line depreciation net of the inflation indexation on the opening RAB.</w:t>
      </w:r>
    </w:p>
    <w:p w:rsidR="00CC026D" w:rsidRDefault="00F45398" w:rsidP="00D26540">
      <w:pPr>
        <w:pStyle w:val="AERtablesource"/>
        <w:keepNext/>
      </w:pPr>
      <w:r>
        <w:t>(b)</w:t>
      </w:r>
      <w:r>
        <w:tab/>
      </w:r>
      <w:r w:rsidR="00CC026D">
        <w:t>Operating expenditure includes debt raising costs.</w:t>
      </w:r>
    </w:p>
    <w:p w:rsidR="00CC026D" w:rsidRDefault="00CC026D" w:rsidP="00D26540">
      <w:pPr>
        <w:pStyle w:val="AERtablesource"/>
        <w:keepNext/>
      </w:pPr>
      <w:r>
        <w:t>(</w:t>
      </w:r>
      <w:r w:rsidR="00F45398">
        <w:t>c</w:t>
      </w:r>
      <w:r>
        <w:t>)</w:t>
      </w:r>
      <w:r>
        <w:tab/>
      </w:r>
      <w:r w:rsidRPr="00D44939">
        <w:t xml:space="preserve">Revenue adjustments include </w:t>
      </w:r>
      <w:r>
        <w:t xml:space="preserve">the </w:t>
      </w:r>
      <w:r w:rsidRPr="00D44939">
        <w:t xml:space="preserve">efficiency benefit sharing scheme </w:t>
      </w:r>
      <w:r>
        <w:t xml:space="preserve">(EBSS) carry-overs and demand management incentive scheme (DMIS) allowance. </w:t>
      </w:r>
    </w:p>
    <w:p w:rsidR="00F45398" w:rsidRPr="00F45398" w:rsidRDefault="00F45398" w:rsidP="00F45398">
      <w:pPr>
        <w:pStyle w:val="AERtablesource"/>
      </w:pPr>
      <w:r>
        <w:t>(d)</w:t>
      </w:r>
      <w:r>
        <w:tab/>
      </w:r>
      <w:r w:rsidRPr="00F45398">
        <w:t xml:space="preserve">TasNetworks is not required to apply an X factor for 2017–18 because we set the </w:t>
      </w:r>
      <w:r w:rsidR="00217F5B">
        <w:t xml:space="preserve">expected revenue for </w:t>
      </w:r>
      <w:r w:rsidRPr="00F45398">
        <w:t xml:space="preserve">2017–18 in this decision. The </w:t>
      </w:r>
      <w:r w:rsidR="00217F5B">
        <w:t>expected revenue</w:t>
      </w:r>
      <w:r w:rsidRPr="00F45398">
        <w:t xml:space="preserve"> for 2017–18</w:t>
      </w:r>
      <w:r w:rsidR="00D26540">
        <w:t xml:space="preserve"> is $</w:t>
      </w:r>
      <w:r w:rsidR="00F33F74">
        <w:t>235.8</w:t>
      </w:r>
      <w:r w:rsidR="00D26540">
        <w:t xml:space="preserve"> million ($nominal). This</w:t>
      </w:r>
      <w:r w:rsidRPr="00F45398">
        <w:t xml:space="preserve"> is around 19.</w:t>
      </w:r>
      <w:r w:rsidR="00F33F74">
        <w:t>5</w:t>
      </w:r>
      <w:r w:rsidRPr="00F45398">
        <w:t xml:space="preserve"> per cent lower than the </w:t>
      </w:r>
      <w:r w:rsidR="00217F5B">
        <w:t>estimated revenue</w:t>
      </w:r>
      <w:r w:rsidRPr="00F45398">
        <w:t xml:space="preserve"> for 2016–17 in real terms, or around 17.</w:t>
      </w:r>
      <w:r w:rsidR="00F33F74">
        <w:t>6</w:t>
      </w:r>
      <w:r w:rsidRPr="00F45398">
        <w:t xml:space="preserve"> per cent </w:t>
      </w:r>
      <w:r w:rsidR="005F0764">
        <w:t xml:space="preserve">lower </w:t>
      </w:r>
      <w:r w:rsidRPr="00F45398">
        <w:t>in nominal terms.</w:t>
      </w:r>
    </w:p>
    <w:p w:rsidR="00CC026D" w:rsidRDefault="00CC026D" w:rsidP="00D26540">
      <w:pPr>
        <w:pStyle w:val="AERtablesource"/>
        <w:keepNext/>
      </w:pPr>
      <w:r>
        <w:t>(</w:t>
      </w:r>
      <w:r w:rsidR="00F45398">
        <w:t>e</w:t>
      </w:r>
      <w:r>
        <w:t>)</w:t>
      </w:r>
      <w:r>
        <w:tab/>
      </w:r>
      <w:r w:rsidRPr="001C2DB8">
        <w:t xml:space="preserve">The X factor </w:t>
      </w:r>
      <w:r>
        <w:t xml:space="preserve">for 2018–19 </w:t>
      </w:r>
      <w:r w:rsidRPr="001C2DB8">
        <w:t>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132D43" w:rsidRDefault="005F73F5" w:rsidP="00132D43">
      <w:pPr>
        <w:pStyle w:val="Heading2"/>
      </w:pPr>
      <w:bookmarkStart w:id="76" w:name="_Toc481060207"/>
      <w:r>
        <w:t>TasNetworks'</w:t>
      </w:r>
      <w:r w:rsidR="00132D43">
        <w:t xml:space="preserve"> </w:t>
      </w:r>
      <w:r w:rsidR="00540C26">
        <w:t xml:space="preserve">revised </w:t>
      </w:r>
      <w:r w:rsidR="00132D43">
        <w:t>proposal</w:t>
      </w:r>
      <w:bookmarkEnd w:id="76"/>
    </w:p>
    <w:p w:rsidR="00366980" w:rsidRDefault="00366980" w:rsidP="00366980">
      <w:pPr>
        <w:numPr>
          <w:ilvl w:val="0"/>
          <w:numId w:val="24"/>
        </w:numPr>
      </w:pPr>
      <w:r>
        <w:t>TasNetworks</w:t>
      </w:r>
      <w:r w:rsidR="00E12581">
        <w:t>'</w:t>
      </w:r>
      <w:r>
        <w:t xml:space="preserve"> revised proposal included a total expected revenue of $</w:t>
      </w:r>
      <w:r w:rsidR="00BF568F">
        <w:t>458.2</w:t>
      </w:r>
      <w:r>
        <w:t xml:space="preserve"> million ($ nominal</w:t>
      </w:r>
      <w:r w:rsidR="009421FF">
        <w:t>, smoothed</w:t>
      </w:r>
      <w:r>
        <w:t>) for the 2017–19 regulatory control period.</w:t>
      </w:r>
    </w:p>
    <w:p w:rsidR="00366980" w:rsidRDefault="007D74CF" w:rsidP="00366980">
      <w:pPr>
        <w:numPr>
          <w:ilvl w:val="0"/>
          <w:numId w:val="24"/>
        </w:numPr>
      </w:pPr>
      <w:r>
        <w:fldChar w:fldCharType="begin"/>
      </w:r>
      <w:r>
        <w:instrText xml:space="preserve"> REF _Ref480299445 \h </w:instrText>
      </w:r>
      <w:r>
        <w:fldChar w:fldCharType="separate"/>
      </w:r>
      <w:r w:rsidR="000D4227">
        <w:t xml:space="preserve">Table </w:t>
      </w:r>
      <w:r w:rsidR="000D4227">
        <w:rPr>
          <w:noProof/>
        </w:rPr>
        <w:t>1</w:t>
      </w:r>
      <w:r w:rsidR="000D4227">
        <w:t>.</w:t>
      </w:r>
      <w:r w:rsidR="000D4227">
        <w:rPr>
          <w:noProof/>
        </w:rPr>
        <w:t>2</w:t>
      </w:r>
      <w:r>
        <w:fldChar w:fldCharType="end"/>
      </w:r>
      <w:r>
        <w:t xml:space="preserve"> </w:t>
      </w:r>
      <w:r w:rsidR="00366980">
        <w:t>shows</w:t>
      </w:r>
      <w:r w:rsidR="00366980" w:rsidRPr="00BB6E98">
        <w:t xml:space="preserve"> </w:t>
      </w:r>
      <w:r w:rsidR="00366980">
        <w:t>TasNetworks' revised proposed</w:t>
      </w:r>
      <w:r w:rsidR="00366980" w:rsidRPr="00BB6E98">
        <w:t xml:space="preserve"> building block</w:t>
      </w:r>
      <w:r w:rsidR="00366980">
        <w:t xml:space="preserve"> cost</w:t>
      </w:r>
      <w:r w:rsidR="00366980" w:rsidRPr="00BB6E98">
        <w:t>s</w:t>
      </w:r>
      <w:r w:rsidR="00366980">
        <w:t>,</w:t>
      </w:r>
      <w:r w:rsidR="00366980" w:rsidRPr="00BB6E98">
        <w:t xml:space="preserve"> the </w:t>
      </w:r>
      <w:r w:rsidR="00366980">
        <w:t>ARR, expected revenue and X factor for each year of the 2017–19 regulatory control period</w:t>
      </w:r>
      <w:r w:rsidR="00366980" w:rsidRPr="00BB6E98">
        <w:t>.</w:t>
      </w:r>
    </w:p>
    <w:p w:rsidR="00366980" w:rsidRDefault="00366980" w:rsidP="007D74CF">
      <w:pPr>
        <w:pStyle w:val="Caption"/>
      </w:pPr>
      <w:bookmarkStart w:id="77" w:name="_Ref397603550"/>
      <w:bookmarkStart w:id="78" w:name="_Ref480299445"/>
      <w:r>
        <w:lastRenderedPageBreak/>
        <w:t xml:space="preserve">Table </w:t>
      </w:r>
      <w:r w:rsidRPr="00CC78B1">
        <w:fldChar w:fldCharType="begin"/>
      </w:r>
      <w:r>
        <w:instrText xml:space="preserve"> STYLEREF 1 \s </w:instrText>
      </w:r>
      <w:r w:rsidRPr="00CC78B1">
        <w:fldChar w:fldCharType="separate"/>
      </w:r>
      <w:r w:rsidR="000D4227">
        <w:rPr>
          <w:noProof/>
        </w:rPr>
        <w:t>1</w:t>
      </w:r>
      <w:r w:rsidRPr="00CC78B1">
        <w:fldChar w:fldCharType="end"/>
      </w:r>
      <w:r>
        <w:t>.</w:t>
      </w:r>
      <w:r w:rsidRPr="00CC78B1">
        <w:fldChar w:fldCharType="begin"/>
      </w:r>
      <w:r>
        <w:instrText xml:space="preserve"> SEQ Table \* ARABIC \s 1 </w:instrText>
      </w:r>
      <w:r w:rsidRPr="00CC78B1">
        <w:fldChar w:fldCharType="separate"/>
      </w:r>
      <w:r w:rsidR="000D4227">
        <w:rPr>
          <w:noProof/>
        </w:rPr>
        <w:t>2</w:t>
      </w:r>
      <w:r w:rsidRPr="00CC78B1">
        <w:fldChar w:fldCharType="end"/>
      </w:r>
      <w:bookmarkEnd w:id="77"/>
      <w:bookmarkEnd w:id="78"/>
      <w:r>
        <w:tab/>
        <w:t>TasNetworks' revised proposed revenues for the 2017–19 regulatory control period ($million, nominal)</w:t>
      </w:r>
    </w:p>
    <w:tbl>
      <w:tblPr>
        <w:tblStyle w:val="AERtable-numbers"/>
        <w:tblW w:w="8700" w:type="dxa"/>
        <w:tblLayout w:type="fixed"/>
        <w:tblLook w:val="04A0" w:firstRow="1" w:lastRow="0" w:firstColumn="1" w:lastColumn="0" w:noHBand="0" w:noVBand="1"/>
      </w:tblPr>
      <w:tblGrid>
        <w:gridCol w:w="4835"/>
        <w:gridCol w:w="1287"/>
        <w:gridCol w:w="1289"/>
        <w:gridCol w:w="1289"/>
      </w:tblGrid>
      <w:tr w:rsidR="00366980" w:rsidRPr="00616865" w:rsidTr="004953A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366980" w:rsidRPr="00366980" w:rsidRDefault="00366980" w:rsidP="00C97F62">
            <w:pPr>
              <w:keepNext/>
            </w:pPr>
            <w:r w:rsidRPr="00616865">
              <w:t> </w:t>
            </w:r>
          </w:p>
        </w:tc>
        <w:tc>
          <w:tcPr>
            <w:tcW w:w="1287" w:type="dxa"/>
            <w:noWrap/>
            <w:hideMark/>
          </w:tcPr>
          <w:p w:rsidR="00366980" w:rsidRPr="00366980" w:rsidRDefault="00366980" w:rsidP="00C97F62">
            <w:pPr>
              <w:keepNext/>
              <w:cnfStyle w:val="100000000000" w:firstRow="1" w:lastRow="0" w:firstColumn="0" w:lastColumn="0" w:oddVBand="0" w:evenVBand="0" w:oddHBand="0" w:evenHBand="0" w:firstRowFirstColumn="0" w:firstRowLastColumn="0" w:lastRowFirstColumn="0" w:lastRowLastColumn="0"/>
            </w:pPr>
            <w:r>
              <w:t>2017–18</w:t>
            </w:r>
          </w:p>
        </w:tc>
        <w:tc>
          <w:tcPr>
            <w:tcW w:w="1289" w:type="dxa"/>
            <w:noWrap/>
            <w:hideMark/>
          </w:tcPr>
          <w:p w:rsidR="00366980" w:rsidRPr="00366980" w:rsidRDefault="00366980" w:rsidP="00C97F62">
            <w:pPr>
              <w:keepNext/>
              <w:cnfStyle w:val="100000000000" w:firstRow="1" w:lastRow="0" w:firstColumn="0" w:lastColumn="0" w:oddVBand="0" w:evenVBand="0" w:oddHBand="0" w:evenHBand="0" w:firstRowFirstColumn="0" w:firstRowLastColumn="0" w:lastRowFirstColumn="0" w:lastRowLastColumn="0"/>
            </w:pPr>
            <w:r>
              <w:t>2018–19</w:t>
            </w:r>
          </w:p>
        </w:tc>
        <w:tc>
          <w:tcPr>
            <w:tcW w:w="1289" w:type="dxa"/>
            <w:noWrap/>
            <w:hideMark/>
          </w:tcPr>
          <w:p w:rsidR="00366980" w:rsidRPr="00366980" w:rsidRDefault="00366980" w:rsidP="00C97F62">
            <w:pPr>
              <w:keepNext/>
              <w:cnfStyle w:val="100000000000" w:firstRow="1" w:lastRow="0" w:firstColumn="0" w:lastColumn="0" w:oddVBand="0" w:evenVBand="0" w:oddHBand="0" w:evenHBand="0" w:firstRowFirstColumn="0" w:firstRowLastColumn="0" w:lastRowFirstColumn="0" w:lastRowLastColumn="0"/>
            </w:pPr>
            <w:r w:rsidRPr="00616865">
              <w:t>Total</w:t>
            </w:r>
          </w:p>
        </w:tc>
      </w:tr>
      <w:tr w:rsidR="00351AAD" w:rsidRPr="00616865" w:rsidTr="004953A8">
        <w:trPr>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351AAD" w:rsidRPr="00351AAD" w:rsidRDefault="00351AAD" w:rsidP="00C97F62">
            <w:pPr>
              <w:keepNext/>
            </w:pPr>
            <w:r w:rsidRPr="00351AAD">
              <w:t>Return on capital</w:t>
            </w:r>
          </w:p>
        </w:tc>
        <w:tc>
          <w:tcPr>
            <w:tcW w:w="1287"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pPr>
            <w:r w:rsidRPr="00351AAD">
              <w:t>88.8</w:t>
            </w:r>
          </w:p>
        </w:tc>
        <w:tc>
          <w:tcPr>
            <w:tcW w:w="1289"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pPr>
            <w:r w:rsidRPr="00351AAD">
              <w:t>93.0</w:t>
            </w:r>
          </w:p>
        </w:tc>
        <w:tc>
          <w:tcPr>
            <w:tcW w:w="1289"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pPr>
            <w:r w:rsidRPr="00351AAD">
              <w:t>181.8</w:t>
            </w:r>
          </w:p>
        </w:tc>
      </w:tr>
      <w:tr w:rsidR="00351AAD" w:rsidRPr="00616865" w:rsidTr="004953A8">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351AAD" w:rsidRPr="00351AAD" w:rsidRDefault="00351AAD" w:rsidP="00C97F62">
            <w:pPr>
              <w:keepNext/>
            </w:pPr>
            <w:r w:rsidRPr="00351AAD">
              <w:t>Regulatory depreciation</w:t>
            </w:r>
            <w:r w:rsidR="00AD2FCD" w:rsidRPr="00C97F62">
              <w:rPr>
                <w:rStyle w:val="AERsuperscript"/>
              </w:rPr>
              <w:t>a</w:t>
            </w:r>
          </w:p>
        </w:tc>
        <w:tc>
          <w:tcPr>
            <w:tcW w:w="1287"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38.4</w:t>
            </w:r>
          </w:p>
        </w:tc>
        <w:tc>
          <w:tcPr>
            <w:tcW w:w="1289"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57.8</w:t>
            </w:r>
          </w:p>
        </w:tc>
        <w:tc>
          <w:tcPr>
            <w:tcW w:w="1289"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96.2</w:t>
            </w:r>
          </w:p>
        </w:tc>
      </w:tr>
      <w:tr w:rsidR="00351AAD" w:rsidRPr="00616865" w:rsidTr="004953A8">
        <w:trPr>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351AAD" w:rsidRPr="00351AAD" w:rsidRDefault="00351AAD" w:rsidP="00C97F62">
            <w:pPr>
              <w:keepNext/>
            </w:pPr>
            <w:r w:rsidRPr="00351AAD">
              <w:t>Operating expenditure</w:t>
            </w:r>
            <w:r w:rsidR="00AD2FCD">
              <w:rPr>
                <w:rStyle w:val="AERsuperscript"/>
              </w:rPr>
              <w:t>b</w:t>
            </w:r>
          </w:p>
        </w:tc>
        <w:tc>
          <w:tcPr>
            <w:tcW w:w="1287"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pPr>
            <w:r w:rsidRPr="00351AAD">
              <w:t>68.3</w:t>
            </w:r>
          </w:p>
        </w:tc>
        <w:tc>
          <w:tcPr>
            <w:tcW w:w="1289"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pPr>
            <w:r w:rsidRPr="00351AAD">
              <w:t>68.4</w:t>
            </w:r>
          </w:p>
        </w:tc>
        <w:tc>
          <w:tcPr>
            <w:tcW w:w="1289"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pPr>
            <w:r w:rsidRPr="00351AAD">
              <w:t>136.7</w:t>
            </w:r>
          </w:p>
        </w:tc>
      </w:tr>
      <w:tr w:rsidR="00351AAD" w:rsidRPr="00616865" w:rsidTr="004953A8">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351AAD" w:rsidRPr="00351AAD" w:rsidRDefault="00351AAD" w:rsidP="00C97F62">
            <w:pPr>
              <w:keepNext/>
            </w:pPr>
            <w:r w:rsidRPr="00351AAD">
              <w:t>Revenue adjustments</w:t>
            </w:r>
            <w:r w:rsidR="00AD2FCD">
              <w:rPr>
                <w:rStyle w:val="AERsuperscript"/>
              </w:rPr>
              <w:t>c</w:t>
            </w:r>
          </w:p>
        </w:tc>
        <w:tc>
          <w:tcPr>
            <w:tcW w:w="1287"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12.6</w:t>
            </w:r>
          </w:p>
        </w:tc>
        <w:tc>
          <w:tcPr>
            <w:tcW w:w="1289"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12.9</w:t>
            </w:r>
          </w:p>
        </w:tc>
        <w:tc>
          <w:tcPr>
            <w:tcW w:w="1289"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25.6</w:t>
            </w:r>
          </w:p>
        </w:tc>
      </w:tr>
      <w:tr w:rsidR="00351AAD" w:rsidRPr="00616865" w:rsidTr="004953A8">
        <w:trPr>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351AAD" w:rsidRPr="00351AAD" w:rsidRDefault="00351AAD" w:rsidP="00C97F62">
            <w:pPr>
              <w:keepNext/>
            </w:pPr>
            <w:r w:rsidRPr="00351AAD">
              <w:t>Net tax allowance</w:t>
            </w:r>
          </w:p>
        </w:tc>
        <w:tc>
          <w:tcPr>
            <w:tcW w:w="1287"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pPr>
            <w:r w:rsidRPr="00351AAD">
              <w:t>7.7</w:t>
            </w:r>
          </w:p>
        </w:tc>
        <w:tc>
          <w:tcPr>
            <w:tcW w:w="1289"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pPr>
            <w:r w:rsidRPr="00351AAD">
              <w:t>10.9</w:t>
            </w:r>
          </w:p>
        </w:tc>
        <w:tc>
          <w:tcPr>
            <w:tcW w:w="1289"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pPr>
            <w:r w:rsidRPr="00351AAD">
              <w:t>18.6</w:t>
            </w:r>
          </w:p>
        </w:tc>
      </w:tr>
      <w:tr w:rsidR="00351AAD" w:rsidRPr="00616865" w:rsidTr="004953A8">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351AAD" w:rsidRPr="00351AAD" w:rsidRDefault="00351AAD" w:rsidP="00C97F62">
            <w:pPr>
              <w:keepNext/>
            </w:pPr>
            <w:r w:rsidRPr="00351AAD">
              <w:t>Annual revenue requirement (unsmoothed)</w:t>
            </w:r>
          </w:p>
        </w:tc>
        <w:tc>
          <w:tcPr>
            <w:tcW w:w="1287"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215.7</w:t>
            </w:r>
          </w:p>
        </w:tc>
        <w:tc>
          <w:tcPr>
            <w:tcW w:w="1289"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243.0</w:t>
            </w:r>
          </w:p>
        </w:tc>
        <w:tc>
          <w:tcPr>
            <w:tcW w:w="1289"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458.8</w:t>
            </w:r>
          </w:p>
        </w:tc>
      </w:tr>
      <w:tr w:rsidR="00351AAD" w:rsidRPr="005D1E0B" w:rsidTr="004953A8">
        <w:trPr>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351AAD" w:rsidRPr="00351AAD" w:rsidRDefault="00351AAD" w:rsidP="00C97F62">
            <w:pPr>
              <w:keepNext/>
              <w:rPr>
                <w:rStyle w:val="Strong"/>
              </w:rPr>
            </w:pPr>
            <w:r w:rsidRPr="00351AAD">
              <w:rPr>
                <w:rStyle w:val="Strong"/>
              </w:rPr>
              <w:t>Annual expected revenue (smoothed)</w:t>
            </w:r>
          </w:p>
        </w:tc>
        <w:tc>
          <w:tcPr>
            <w:tcW w:w="1287"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rPr>
                <w:rStyle w:val="Strong"/>
              </w:rPr>
            </w:pPr>
            <w:r w:rsidRPr="00351AAD">
              <w:rPr>
                <w:rStyle w:val="Strong"/>
              </w:rPr>
              <w:t>226.3</w:t>
            </w:r>
          </w:p>
        </w:tc>
        <w:tc>
          <w:tcPr>
            <w:tcW w:w="1289"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rPr>
                <w:rStyle w:val="Strong"/>
              </w:rPr>
            </w:pPr>
            <w:r w:rsidRPr="00351AAD">
              <w:rPr>
                <w:rStyle w:val="Strong"/>
              </w:rPr>
              <w:t>231.9</w:t>
            </w:r>
          </w:p>
        </w:tc>
        <w:tc>
          <w:tcPr>
            <w:tcW w:w="1289" w:type="dxa"/>
            <w:noWrap/>
          </w:tcPr>
          <w:p w:rsidR="00351AAD" w:rsidRPr="00351AAD" w:rsidRDefault="00351AAD" w:rsidP="00C97F62">
            <w:pPr>
              <w:keepNext/>
              <w:cnfStyle w:val="000000000000" w:firstRow="0" w:lastRow="0" w:firstColumn="0" w:lastColumn="0" w:oddVBand="0" w:evenVBand="0" w:oddHBand="0" w:evenHBand="0" w:firstRowFirstColumn="0" w:firstRowLastColumn="0" w:lastRowFirstColumn="0" w:lastRowLastColumn="0"/>
              <w:rPr>
                <w:rStyle w:val="Strong"/>
              </w:rPr>
            </w:pPr>
            <w:r w:rsidRPr="00351AAD">
              <w:rPr>
                <w:rStyle w:val="Strong"/>
              </w:rPr>
              <w:t>458.2</w:t>
            </w:r>
          </w:p>
        </w:tc>
      </w:tr>
      <w:tr w:rsidR="00351AAD" w:rsidRPr="00616865" w:rsidTr="004953A8">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351AAD" w:rsidRPr="00351AAD" w:rsidRDefault="00351AAD" w:rsidP="00C97F62">
            <w:pPr>
              <w:keepNext/>
            </w:pPr>
            <w:r w:rsidRPr="00351AAD">
              <w:t xml:space="preserve">X factor </w:t>
            </w:r>
          </w:p>
        </w:tc>
        <w:tc>
          <w:tcPr>
            <w:tcW w:w="1287"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t>22.76</w:t>
            </w:r>
            <w:r w:rsidRPr="00351AAD">
              <w:t>%</w:t>
            </w:r>
          </w:p>
        </w:tc>
        <w:tc>
          <w:tcPr>
            <w:tcW w:w="1289"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0.0</w:t>
            </w:r>
            <w:r>
              <w:t>0</w:t>
            </w:r>
            <w:r w:rsidRPr="00351AAD">
              <w:t>%</w:t>
            </w:r>
          </w:p>
        </w:tc>
        <w:tc>
          <w:tcPr>
            <w:tcW w:w="1289" w:type="dxa"/>
            <w:noWrap/>
          </w:tcPr>
          <w:p w:rsidR="00351AAD" w:rsidRPr="00351AAD" w:rsidRDefault="00351AAD" w:rsidP="00C97F62">
            <w:pPr>
              <w:keepNext/>
              <w:cnfStyle w:val="000000010000" w:firstRow="0" w:lastRow="0" w:firstColumn="0" w:lastColumn="0" w:oddVBand="0" w:evenVBand="0" w:oddHBand="0" w:evenHBand="1" w:firstRowFirstColumn="0" w:firstRowLastColumn="0" w:lastRowFirstColumn="0" w:lastRowLastColumn="0"/>
            </w:pPr>
            <w:r w:rsidRPr="00351AAD">
              <w:t>n/a</w:t>
            </w:r>
          </w:p>
        </w:tc>
      </w:tr>
    </w:tbl>
    <w:p w:rsidR="00366980" w:rsidRPr="005B3A6E" w:rsidRDefault="00366980" w:rsidP="00C97F62">
      <w:pPr>
        <w:pStyle w:val="AERtablesource"/>
        <w:keepNext/>
      </w:pPr>
      <w:r w:rsidRPr="004E488E">
        <w:t>Source:</w:t>
      </w:r>
      <w:r w:rsidRPr="004E488E">
        <w:tab/>
      </w:r>
      <w:r>
        <w:t>TasNetworks</w:t>
      </w:r>
      <w:r w:rsidRPr="00DB7CF9">
        <w:t xml:space="preserve">, </w:t>
      </w:r>
      <w:r w:rsidR="007405FE" w:rsidRPr="001B1B9A">
        <w:rPr>
          <w:rStyle w:val="AERtextitalic"/>
        </w:rPr>
        <w:t>Revised r</w:t>
      </w:r>
      <w:r w:rsidR="007405FE" w:rsidRPr="003321D6">
        <w:rPr>
          <w:rStyle w:val="Emphasis"/>
        </w:rPr>
        <w:t>egulatory proposal</w:t>
      </w:r>
      <w:r w:rsidR="007405FE" w:rsidRPr="003321D6">
        <w:t xml:space="preserve">, </w:t>
      </w:r>
      <w:r w:rsidR="007405FE">
        <w:rPr>
          <w:rStyle w:val="AERtextitalic"/>
        </w:rPr>
        <w:t>RT</w:t>
      </w:r>
      <w:r w:rsidR="007405FE" w:rsidRPr="006343F3">
        <w:rPr>
          <w:rStyle w:val="AERtextitalic"/>
        </w:rPr>
        <w:t>N0</w:t>
      </w:r>
      <w:r w:rsidR="007405FE">
        <w:rPr>
          <w:rStyle w:val="AERtextitalic"/>
        </w:rPr>
        <w:t>06</w:t>
      </w:r>
      <w:r w:rsidR="007405FE" w:rsidRPr="006343F3">
        <w:rPr>
          <w:rStyle w:val="AERtextitalic"/>
        </w:rPr>
        <w:t>–</w:t>
      </w:r>
      <w:r w:rsidR="007405FE" w:rsidRPr="003321D6">
        <w:rPr>
          <w:rStyle w:val="Emphasis"/>
        </w:rPr>
        <w:t>PTRM</w:t>
      </w:r>
      <w:r w:rsidR="007405FE">
        <w:rPr>
          <w:rStyle w:val="Emphasis"/>
        </w:rPr>
        <w:t>,</w:t>
      </w:r>
      <w:r w:rsidR="007405FE">
        <w:t xml:space="preserve"> December 2016.</w:t>
      </w:r>
    </w:p>
    <w:p w:rsidR="00AD2FCD" w:rsidRDefault="00366980" w:rsidP="00C97F62">
      <w:pPr>
        <w:pStyle w:val="AERtablesource"/>
        <w:keepNext/>
      </w:pPr>
      <w:r w:rsidRPr="00D817C6">
        <w:t>(a)</w:t>
      </w:r>
      <w:r w:rsidRPr="00D817C6">
        <w:tab/>
      </w:r>
      <w:r w:rsidR="00AD2FCD" w:rsidRPr="00AD2FCD">
        <w:t>Regulatory depreciation is straight-line depreciation net of the inflation indexation on the opening RAB.</w:t>
      </w:r>
    </w:p>
    <w:p w:rsidR="00366980" w:rsidRDefault="00AD2FCD" w:rsidP="00C97F62">
      <w:pPr>
        <w:pStyle w:val="AERtablesource"/>
        <w:keepNext/>
      </w:pPr>
      <w:r>
        <w:t>(b)</w:t>
      </w:r>
      <w:r>
        <w:tab/>
      </w:r>
      <w:r w:rsidR="00366980">
        <w:t xml:space="preserve">Operating expenditure includes debt raising costs. </w:t>
      </w:r>
    </w:p>
    <w:p w:rsidR="00132D43" w:rsidRDefault="00366980" w:rsidP="00C97F62">
      <w:pPr>
        <w:pStyle w:val="AERtablesource"/>
        <w:keepNext/>
      </w:pPr>
      <w:r>
        <w:t>(</w:t>
      </w:r>
      <w:r w:rsidR="00AD2FCD">
        <w:t>c</w:t>
      </w:r>
      <w:r>
        <w:t>)</w:t>
      </w:r>
      <w:r>
        <w:tab/>
      </w:r>
      <w:r w:rsidRPr="00D564A9">
        <w:t xml:space="preserve">Revenue adjustments include </w:t>
      </w:r>
      <w:r>
        <w:t>EBSS</w:t>
      </w:r>
      <w:r w:rsidRPr="00D564A9">
        <w:t xml:space="preserve"> carry-overs and DMIS allowance.</w:t>
      </w:r>
    </w:p>
    <w:p w:rsidR="00132D43" w:rsidRDefault="00132D43" w:rsidP="00132D43">
      <w:pPr>
        <w:pStyle w:val="Heading2"/>
      </w:pPr>
      <w:bookmarkStart w:id="79" w:name="_Toc481060208"/>
      <w:r>
        <w:t>Assessment approach</w:t>
      </w:r>
      <w:bookmarkEnd w:id="79"/>
    </w:p>
    <w:p w:rsidR="00BB152C" w:rsidRDefault="00A9464D" w:rsidP="00132D43">
      <w:r w:rsidRPr="00F87D06">
        <w:t xml:space="preserve">We have not changed our assessment approach for the ARR from our </w:t>
      </w:r>
      <w:r>
        <w:t xml:space="preserve">draft </w:t>
      </w:r>
      <w:r w:rsidRPr="00F87D06">
        <w:t>decision</w:t>
      </w:r>
      <w:r>
        <w:t>. Section 1.3 of our draft</w:t>
      </w:r>
      <w:r w:rsidRPr="00F87D06">
        <w:t xml:space="preserve"> decision details that approach.</w:t>
      </w:r>
      <w:r w:rsidRPr="00F87D06">
        <w:rPr>
          <w:rStyle w:val="FootnoteReference"/>
        </w:rPr>
        <w:footnoteReference w:id="1"/>
      </w:r>
      <w:r w:rsidRPr="00F87D06">
        <w:t xml:space="preserve"> </w:t>
      </w:r>
    </w:p>
    <w:p w:rsidR="00132D43" w:rsidRDefault="00132D43" w:rsidP="00132D43">
      <w:pPr>
        <w:pStyle w:val="Heading2"/>
      </w:pPr>
      <w:bookmarkStart w:id="80" w:name="_Toc481060209"/>
      <w:r>
        <w:t xml:space="preserve">Reasons for </w:t>
      </w:r>
      <w:r w:rsidR="00540C26">
        <w:t>final</w:t>
      </w:r>
      <w:r>
        <w:t xml:space="preserve"> decision</w:t>
      </w:r>
      <w:bookmarkEnd w:id="80"/>
    </w:p>
    <w:p w:rsidR="00F97F5C" w:rsidRDefault="00F97F5C" w:rsidP="00F97F5C">
      <w:r>
        <w:t>For this final decision, w</w:t>
      </w:r>
      <w:r w:rsidRPr="001903C4">
        <w:t xml:space="preserve">e determine </w:t>
      </w:r>
      <w:r>
        <w:t xml:space="preserve">a total revenue </w:t>
      </w:r>
      <w:r w:rsidRPr="000B6AE9">
        <w:t xml:space="preserve">requirement of </w:t>
      </w:r>
      <w:r w:rsidRPr="00C83946">
        <w:t>$</w:t>
      </w:r>
      <w:r w:rsidR="006C1A5F">
        <w:t>47</w:t>
      </w:r>
      <w:r w:rsidR="00793779">
        <w:t>8</w:t>
      </w:r>
      <w:r w:rsidR="006C1A5F">
        <w:t>.</w:t>
      </w:r>
      <w:r w:rsidR="00793779">
        <w:t>0</w:t>
      </w:r>
      <w:r w:rsidR="006C1A5F">
        <w:t> </w:t>
      </w:r>
      <w:r w:rsidRPr="00C83946">
        <w:t>million ($</w:t>
      </w:r>
      <w:r>
        <w:t> </w:t>
      </w:r>
      <w:r w:rsidRPr="00C83946">
        <w:t>nominal</w:t>
      </w:r>
      <w:r w:rsidR="009421FF">
        <w:t>, unsmoothed</w:t>
      </w:r>
      <w:r w:rsidRPr="00C83946">
        <w:t>)</w:t>
      </w:r>
      <w:r w:rsidRPr="000B6AE9">
        <w:t xml:space="preserve"> for </w:t>
      </w:r>
      <w:r>
        <w:t xml:space="preserve">TasNetworks over </w:t>
      </w:r>
      <w:r w:rsidRPr="001903C4">
        <w:t xml:space="preserve">the </w:t>
      </w:r>
      <w:r>
        <w:t>2017–19 regulatory control period</w:t>
      </w:r>
      <w:r w:rsidRPr="001903C4">
        <w:t xml:space="preserve">. This </w:t>
      </w:r>
      <w:r w:rsidRPr="000B6AE9">
        <w:t xml:space="preserve">is </w:t>
      </w:r>
      <w:r w:rsidRPr="00C83946">
        <w:t>$</w:t>
      </w:r>
      <w:r w:rsidR="00793779">
        <w:t>19.2</w:t>
      </w:r>
      <w:r w:rsidR="006C1A5F">
        <w:t> </w:t>
      </w:r>
      <w:r w:rsidRPr="00C83946">
        <w:t xml:space="preserve">million ($ nominal) or </w:t>
      </w:r>
      <w:r w:rsidR="006C1A5F">
        <w:t>4.</w:t>
      </w:r>
      <w:r w:rsidR="00793779">
        <w:t>2</w:t>
      </w:r>
      <w:r w:rsidR="006C1A5F">
        <w:t> </w:t>
      </w:r>
      <w:r w:rsidRPr="00C83946">
        <w:t>per cent</w:t>
      </w:r>
      <w:r w:rsidRPr="000B6AE9">
        <w:t xml:space="preserve"> </w:t>
      </w:r>
      <w:r w:rsidR="009421FF">
        <w:t>more than</w:t>
      </w:r>
      <w:r w:rsidR="006C1A5F" w:rsidRPr="001903C4">
        <w:t xml:space="preserve"> </w:t>
      </w:r>
      <w:r>
        <w:t xml:space="preserve">TasNetworks' </w:t>
      </w:r>
      <w:r w:rsidR="00AC62AE">
        <w:t xml:space="preserve">revised </w:t>
      </w:r>
      <w:r w:rsidRPr="001903C4">
        <w:t>proposal</w:t>
      </w:r>
      <w:r>
        <w:t xml:space="preserve">. This </w:t>
      </w:r>
      <w:r w:rsidRPr="001903C4">
        <w:t xml:space="preserve">reflects the impact of our </w:t>
      </w:r>
      <w:r>
        <w:t>final</w:t>
      </w:r>
      <w:r w:rsidRPr="001903C4">
        <w:t xml:space="preserve"> decision on the </w:t>
      </w:r>
      <w:r w:rsidR="006C1A5F">
        <w:t>return on capital</w:t>
      </w:r>
      <w:r w:rsidR="000B1971">
        <w:t>,</w:t>
      </w:r>
      <w:r w:rsidR="00793779">
        <w:t xml:space="preserve"> regulatory depreciation,</w:t>
      </w:r>
      <w:r w:rsidR="000B1971">
        <w:t xml:space="preserve"> EBSS</w:t>
      </w:r>
      <w:r w:rsidR="006C1A5F">
        <w:t xml:space="preserve"> and corporate income tax</w:t>
      </w:r>
      <w:r w:rsidR="006C1A5F" w:rsidRPr="001903C4">
        <w:t xml:space="preserve"> </w:t>
      </w:r>
      <w:r w:rsidRPr="001903C4">
        <w:t>building block c</w:t>
      </w:r>
      <w:r>
        <w:t>ost</w:t>
      </w:r>
      <w:r w:rsidRPr="001903C4">
        <w:t>s.</w:t>
      </w:r>
      <w:r>
        <w:t xml:space="preserve"> </w:t>
      </w:r>
    </w:p>
    <w:p w:rsidR="00F97F5C" w:rsidRDefault="00F97F5C" w:rsidP="00F97F5C">
      <w:r>
        <w:fldChar w:fldCharType="begin"/>
      </w:r>
      <w:r>
        <w:instrText xml:space="preserve"> REF _Ref398709260 \h </w:instrText>
      </w:r>
      <w:r>
        <w:fldChar w:fldCharType="separate"/>
      </w:r>
      <w:r w:rsidR="000D4227">
        <w:t xml:space="preserve">Figure </w:t>
      </w:r>
      <w:r w:rsidR="000D4227">
        <w:rPr>
          <w:noProof/>
        </w:rPr>
        <w:t>1</w:t>
      </w:r>
      <w:r w:rsidR="000D4227">
        <w:t>.</w:t>
      </w:r>
      <w:r w:rsidR="000D4227">
        <w:rPr>
          <w:noProof/>
        </w:rPr>
        <w:t>2</w:t>
      </w:r>
      <w:r>
        <w:fldChar w:fldCharType="end"/>
      </w:r>
      <w:r>
        <w:t xml:space="preserve"> shows the difference between</w:t>
      </w:r>
      <w:r w:rsidRPr="008659AA">
        <w:t xml:space="preserve"> </w:t>
      </w:r>
      <w:r>
        <w:t xml:space="preserve">TasNetworks' revised </w:t>
      </w:r>
      <w:r w:rsidRPr="008659AA">
        <w:t xml:space="preserve">proposed </w:t>
      </w:r>
      <w:r>
        <w:t>ARRs and our</w:t>
      </w:r>
      <w:r w:rsidRPr="008659AA">
        <w:t xml:space="preserve"> </w:t>
      </w:r>
      <w:r>
        <w:t>final decision</w:t>
      </w:r>
      <w:r w:rsidR="00B22534">
        <w:t>, as well as our draft decision and TasNetworks</w:t>
      </w:r>
      <w:r w:rsidR="007D74CF">
        <w:t>’</w:t>
      </w:r>
      <w:r w:rsidR="00B22534">
        <w:t xml:space="preserve"> initial proposal</w:t>
      </w:r>
      <w:r>
        <w:t>.</w:t>
      </w:r>
    </w:p>
    <w:p w:rsidR="00F97F5C" w:rsidRDefault="00F97F5C" w:rsidP="00F97F5C">
      <w:pPr>
        <w:pStyle w:val="Caption"/>
      </w:pPr>
      <w:bookmarkStart w:id="81" w:name="_Ref398709260"/>
      <w:r>
        <w:lastRenderedPageBreak/>
        <w:t xml:space="preserve">Figure </w:t>
      </w:r>
      <w:r w:rsidRPr="00CC78B1">
        <w:fldChar w:fldCharType="begin"/>
      </w:r>
      <w:r>
        <w:instrText xml:space="preserve"> STYLEREF 1 \s </w:instrText>
      </w:r>
      <w:r w:rsidRPr="00CC78B1">
        <w:fldChar w:fldCharType="separate"/>
      </w:r>
      <w:r w:rsidR="000D4227">
        <w:rPr>
          <w:noProof/>
        </w:rPr>
        <w:t>1</w:t>
      </w:r>
      <w:r w:rsidRPr="00CC78B1">
        <w:fldChar w:fldCharType="end"/>
      </w:r>
      <w:r>
        <w:t>.</w:t>
      </w:r>
      <w:r w:rsidRPr="00CC78B1">
        <w:fldChar w:fldCharType="begin"/>
      </w:r>
      <w:r>
        <w:instrText xml:space="preserve"> SEQ Figure \* ARABIC \s 1 </w:instrText>
      </w:r>
      <w:r w:rsidRPr="00CC78B1">
        <w:fldChar w:fldCharType="separate"/>
      </w:r>
      <w:r w:rsidR="000D4227">
        <w:rPr>
          <w:noProof/>
        </w:rPr>
        <w:t>2</w:t>
      </w:r>
      <w:r w:rsidRPr="00CC78B1">
        <w:fldChar w:fldCharType="end"/>
      </w:r>
      <w:bookmarkEnd w:id="81"/>
      <w:r>
        <w:tab/>
      </w:r>
      <w:r w:rsidRPr="00FC471A">
        <w:t xml:space="preserve">AER's </w:t>
      </w:r>
      <w:r>
        <w:t>draft</w:t>
      </w:r>
      <w:r w:rsidRPr="00FC471A">
        <w:t xml:space="preserve"> </w:t>
      </w:r>
      <w:r>
        <w:t>and final decisions</w:t>
      </w:r>
      <w:r w:rsidR="008E48A4">
        <w:t>,</w:t>
      </w:r>
      <w:r>
        <w:t xml:space="preserve"> and</w:t>
      </w:r>
      <w:r w:rsidRPr="00FC471A">
        <w:t xml:space="preserve"> </w:t>
      </w:r>
      <w:r>
        <w:t xml:space="preserve">TasNetworks' </w:t>
      </w:r>
      <w:r w:rsidR="008E48A4">
        <w:t xml:space="preserve">initial and revised </w:t>
      </w:r>
      <w:r w:rsidRPr="00FC471A">
        <w:t xml:space="preserve">proposed </w:t>
      </w:r>
      <w:r>
        <w:t>annual revenue requirement</w:t>
      </w:r>
      <w:r w:rsidRPr="00FC471A">
        <w:t xml:space="preserve"> ($million, nominal)</w:t>
      </w:r>
    </w:p>
    <w:p w:rsidR="00F97F5C" w:rsidRDefault="00793779" w:rsidP="00F97F5C">
      <w:pPr>
        <w:numPr>
          <w:ilvl w:val="0"/>
          <w:numId w:val="24"/>
        </w:numPr>
      </w:pPr>
      <w:r>
        <w:rPr>
          <w:noProof/>
          <w:lang w:eastAsia="en-AU"/>
        </w:rPr>
        <w:drawing>
          <wp:inline distT="0" distB="0" distL="0" distR="0" wp14:anchorId="3D1989E0">
            <wp:extent cx="5463682" cy="358658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4958" cy="3587423"/>
                    </a:xfrm>
                    <a:prstGeom prst="rect">
                      <a:avLst/>
                    </a:prstGeom>
                    <a:noFill/>
                  </pic:spPr>
                </pic:pic>
              </a:graphicData>
            </a:graphic>
          </wp:inline>
        </w:drawing>
      </w:r>
    </w:p>
    <w:p w:rsidR="00F97F5C" w:rsidRDefault="00F97F5C" w:rsidP="00D5373B">
      <w:pPr>
        <w:pStyle w:val="AERtablesource"/>
      </w:pPr>
      <w:r w:rsidRPr="004E488E">
        <w:t>Source:</w:t>
      </w:r>
      <w:r w:rsidRPr="004E488E">
        <w:tab/>
      </w:r>
      <w:r w:rsidR="00D5373B" w:rsidRPr="00D5373B">
        <w:t xml:space="preserve">TasNetworks, </w:t>
      </w:r>
      <w:r w:rsidR="00D5373B" w:rsidRPr="00D5373B">
        <w:rPr>
          <w:rStyle w:val="AERtextitalic"/>
        </w:rPr>
        <w:t>Revised r</w:t>
      </w:r>
      <w:r w:rsidR="00D5373B" w:rsidRPr="00D5373B">
        <w:rPr>
          <w:rStyle w:val="Emphasis"/>
        </w:rPr>
        <w:t>egulatory proposal</w:t>
      </w:r>
      <w:r w:rsidR="00D5373B" w:rsidRPr="00D5373B">
        <w:t xml:space="preserve">, </w:t>
      </w:r>
      <w:r w:rsidR="00D5373B" w:rsidRPr="00D5373B">
        <w:rPr>
          <w:rStyle w:val="AERtextitalic"/>
        </w:rPr>
        <w:t>RTN006–</w:t>
      </w:r>
      <w:r w:rsidR="00D5373B" w:rsidRPr="00D5373B">
        <w:rPr>
          <w:rStyle w:val="Emphasis"/>
        </w:rPr>
        <w:t>PTRM,</w:t>
      </w:r>
      <w:r w:rsidR="00D5373B" w:rsidRPr="00D5373B">
        <w:t xml:space="preserve"> December 2016.</w:t>
      </w:r>
    </w:p>
    <w:p w:rsidR="00F97F5C" w:rsidRDefault="00F97F5C" w:rsidP="00F97F5C">
      <w:pPr>
        <w:pStyle w:val="AERtablesource"/>
      </w:pPr>
      <w:r>
        <w:tab/>
        <w:t>AER analysis.</w:t>
      </w:r>
    </w:p>
    <w:p w:rsidR="00F97F5C" w:rsidRDefault="00F97F5C" w:rsidP="00F97F5C">
      <w:pPr>
        <w:pStyle w:val="AERtablesource"/>
      </w:pPr>
      <w:r>
        <w:t>Note:</w:t>
      </w:r>
      <w:r>
        <w:tab/>
      </w:r>
      <w:r w:rsidRPr="009A697B">
        <w:t xml:space="preserve">Revenue adjustments include </w:t>
      </w:r>
      <w:r>
        <w:t>EBSS</w:t>
      </w:r>
      <w:r w:rsidRPr="009A697B">
        <w:t xml:space="preserve"> carry-overs</w:t>
      </w:r>
      <w:r>
        <w:t xml:space="preserve"> and DMIS allowance. Opex includes debt raising costs.</w:t>
      </w:r>
      <w:r w:rsidRPr="009A697B">
        <w:t xml:space="preserve"> </w:t>
      </w:r>
    </w:p>
    <w:p w:rsidR="00F97F5C" w:rsidRDefault="00C762B8" w:rsidP="00F97F5C">
      <w:r>
        <w:t>The most significant change</w:t>
      </w:r>
      <w:r w:rsidR="00753BA0">
        <w:t>s</w:t>
      </w:r>
      <w:r w:rsidR="00F97F5C">
        <w:t xml:space="preserve"> to TasNetworks' revised proposal include:</w:t>
      </w:r>
    </w:p>
    <w:p w:rsidR="00F97F5C" w:rsidRDefault="00F97F5C" w:rsidP="00F97F5C">
      <w:pPr>
        <w:pStyle w:val="AERbulletlistfirststyle"/>
      </w:pPr>
      <w:r>
        <w:t>a</w:t>
      </w:r>
      <w:r w:rsidR="00063731">
        <w:t>n</w:t>
      </w:r>
      <w:r>
        <w:t xml:space="preserve"> </w:t>
      </w:r>
      <w:r w:rsidR="00063731">
        <w:t xml:space="preserve">increase </w:t>
      </w:r>
      <w:r>
        <w:t xml:space="preserve">in the return on capital allowance of </w:t>
      </w:r>
      <w:r w:rsidR="00063731">
        <w:t>9.</w:t>
      </w:r>
      <w:r w:rsidR="00E847C4">
        <w:t>5</w:t>
      </w:r>
      <w:r w:rsidR="00063731">
        <w:t> </w:t>
      </w:r>
      <w:r w:rsidRPr="00C83946">
        <w:t>per cent</w:t>
      </w:r>
      <w:r w:rsidRPr="000B6AE9">
        <w:t xml:space="preserve"> (</w:t>
      </w:r>
      <w:r w:rsidR="00B22534">
        <w:t>sections</w:t>
      </w:r>
      <w:r>
        <w:t xml:space="preserve"> </w:t>
      </w:r>
      <w:r w:rsidR="00CD3553">
        <w:t>3.1</w:t>
      </w:r>
      <w:r>
        <w:t xml:space="preserve"> and 3</w:t>
      </w:r>
      <w:r w:rsidR="00CD3553">
        <w:t>.2</w:t>
      </w:r>
      <w:r w:rsidR="00B22534">
        <w:t xml:space="preserve"> of </w:t>
      </w:r>
      <w:r w:rsidR="00CD3553">
        <w:t xml:space="preserve">the </w:t>
      </w:r>
      <w:r w:rsidR="00B22534">
        <w:t>Overview</w:t>
      </w:r>
      <w:r>
        <w:t xml:space="preserve">) </w:t>
      </w:r>
    </w:p>
    <w:p w:rsidR="00793779" w:rsidRDefault="00793779" w:rsidP="00F97F5C">
      <w:pPr>
        <w:pStyle w:val="AERbulletlistfirststyle"/>
      </w:pPr>
      <w:r>
        <w:t>a reduction in the regulatory depreciation allowance of 0.4 per cent (section 3.4 of the Overview)</w:t>
      </w:r>
    </w:p>
    <w:p w:rsidR="000B1971" w:rsidRDefault="00F97F5C" w:rsidP="000B1971">
      <w:pPr>
        <w:pStyle w:val="AERbulletlistfirststyle"/>
      </w:pPr>
      <w:r>
        <w:t>a</w:t>
      </w:r>
      <w:r w:rsidR="002B3CB0">
        <w:t>n</w:t>
      </w:r>
      <w:r>
        <w:t xml:space="preserve"> </w:t>
      </w:r>
      <w:r w:rsidR="002B3CB0">
        <w:t xml:space="preserve">increase </w:t>
      </w:r>
      <w:r>
        <w:t xml:space="preserve">in the cost of corporate income tax allowance of </w:t>
      </w:r>
      <w:r w:rsidR="002B3CB0">
        <w:t>1</w:t>
      </w:r>
      <w:r w:rsidR="00E847C4">
        <w:t>3.3</w:t>
      </w:r>
      <w:r w:rsidR="002B3CB0">
        <w:t> </w:t>
      </w:r>
      <w:r>
        <w:t>per cent (</w:t>
      </w:r>
      <w:r w:rsidR="00B22534">
        <w:t>section</w:t>
      </w:r>
      <w:r>
        <w:t xml:space="preserve"> </w:t>
      </w:r>
      <w:r w:rsidR="00CD3553">
        <w:t>3.7</w:t>
      </w:r>
      <w:r w:rsidR="00B22534">
        <w:t xml:space="preserve"> of </w:t>
      </w:r>
      <w:r w:rsidR="00CD3553">
        <w:t xml:space="preserve">the </w:t>
      </w:r>
      <w:r w:rsidR="00B22534">
        <w:t>Overview</w:t>
      </w:r>
      <w:r>
        <w:t xml:space="preserve">) </w:t>
      </w:r>
    </w:p>
    <w:p w:rsidR="009E3D32" w:rsidRPr="009E3D32" w:rsidRDefault="009E3D32" w:rsidP="009E3D32">
      <w:pPr>
        <w:pStyle w:val="AERbulletlistfirststyle"/>
      </w:pPr>
      <w:bookmarkStart w:id="82" w:name="_Toc415666268"/>
      <w:bookmarkStart w:id="83" w:name="_Toc433023332"/>
      <w:bookmarkStart w:id="84" w:name="_Toc462753429"/>
      <w:r w:rsidRPr="009E3D32">
        <w:t xml:space="preserve">a reduction in the EBSS carryover amounts from the 2012–17 regulatory control period of </w:t>
      </w:r>
      <w:r>
        <w:t>0.8</w:t>
      </w:r>
      <w:r w:rsidRPr="009E3D32">
        <w:t> per cent (</w:t>
      </w:r>
      <w:r>
        <w:t>section 4.3 of the Overview</w:t>
      </w:r>
      <w:r w:rsidRPr="009E3D32">
        <w:t>).</w:t>
      </w:r>
    </w:p>
    <w:p w:rsidR="008C3C85" w:rsidRPr="008C3C85" w:rsidRDefault="008C3C85" w:rsidP="008C3C85">
      <w:pPr>
        <w:pStyle w:val="Heading3"/>
      </w:pPr>
      <w:bookmarkStart w:id="85" w:name="_Toc481060210"/>
      <w:r w:rsidRPr="00056981">
        <w:t xml:space="preserve">Revenue </w:t>
      </w:r>
      <w:r w:rsidRPr="008C3C85">
        <w:t>smoothing</w:t>
      </w:r>
      <w:bookmarkEnd w:id="82"/>
      <w:bookmarkEnd w:id="83"/>
      <w:bookmarkEnd w:id="84"/>
      <w:bookmarkEnd w:id="85"/>
    </w:p>
    <w:p w:rsidR="008C3C85" w:rsidRDefault="008C3C85" w:rsidP="008C3C85">
      <w:r>
        <w:t xml:space="preserve">We have taken into account the building block costs determined in this decision when smoothing </w:t>
      </w:r>
      <w:r w:rsidRPr="00BD4F8B">
        <w:t>the expected revenues</w:t>
      </w:r>
      <w:r>
        <w:t xml:space="preserve"> for TasNetworks over the 2017–19 regulatory control period. </w:t>
      </w:r>
      <w:r w:rsidRPr="00F424C3">
        <w:t xml:space="preserve">We consider that our profile of X factors </w:t>
      </w:r>
      <w:r>
        <w:t xml:space="preserve">results </w:t>
      </w:r>
      <w:r w:rsidRPr="00C729DC">
        <w:t xml:space="preserve">in an expected </w:t>
      </w:r>
      <w:r>
        <w:t>revenue</w:t>
      </w:r>
      <w:r w:rsidRPr="00C729DC">
        <w:t xml:space="preserve"> </w:t>
      </w:r>
      <w:r w:rsidRPr="00C729DC">
        <w:lastRenderedPageBreak/>
        <w:t xml:space="preserve">in the last year of the regulatory control period that is as close as reasonably possible to the </w:t>
      </w:r>
      <w:r>
        <w:t>ARR</w:t>
      </w:r>
      <w:r w:rsidRPr="00C729DC">
        <w:t xml:space="preserve"> for that year</w:t>
      </w:r>
      <w:r>
        <w:t>.</w:t>
      </w:r>
      <w:r>
        <w:rPr>
          <w:rStyle w:val="FootnoteReference"/>
        </w:rPr>
        <w:footnoteReference w:id="2"/>
      </w:r>
      <w:r>
        <w:t xml:space="preserve"> </w:t>
      </w:r>
    </w:p>
    <w:p w:rsidR="008C3C85" w:rsidRDefault="008C3C85" w:rsidP="008C3C85">
      <w:r>
        <w:t xml:space="preserve">TasNetworks' 2017–19 </w:t>
      </w:r>
      <w:r w:rsidRPr="00FE4CD8">
        <w:t xml:space="preserve">regulatory control period is shorter than the usual five year period. </w:t>
      </w:r>
      <w:r>
        <w:t xml:space="preserve">To smooth the revenue reductions over this shorter period, we have allowed the difference between smoothed and unsmoothed revenues in the last year of the 2017–19 regulatory control period to diverge more than would be usual. This approach smooths the revenues by allowing for a more gradual path for lower revenues over the 2017–19 regulatory control period. </w:t>
      </w:r>
    </w:p>
    <w:p w:rsidR="008C3C85" w:rsidRPr="00C729DC" w:rsidRDefault="008C3C85" w:rsidP="008C3C85">
      <w:r>
        <w:t>B</w:t>
      </w:r>
      <w:r w:rsidRPr="007118FB">
        <w:t xml:space="preserve">ased on the X factors we have determined for </w:t>
      </w:r>
      <w:r>
        <w:t>TasNetworks</w:t>
      </w:r>
      <w:r w:rsidRPr="007118FB">
        <w:t xml:space="preserve">, the difference between the expected revenue and ARR for </w:t>
      </w:r>
      <w:r>
        <w:t>2018–19</w:t>
      </w:r>
      <w:r w:rsidRPr="007118FB">
        <w:t xml:space="preserve"> is </w:t>
      </w:r>
      <w:r w:rsidR="008A1DC1">
        <w:t>4.5 </w:t>
      </w:r>
      <w:r w:rsidRPr="007118FB">
        <w:t xml:space="preserve">per cent. </w:t>
      </w:r>
      <w:r w:rsidRPr="007A347E">
        <w:t xml:space="preserve">While we consider this divergence is larger than usual, it avoids the situation </w:t>
      </w:r>
      <w:r>
        <w:t>of</w:t>
      </w:r>
      <w:r w:rsidRPr="007A347E">
        <w:t xml:space="preserve"> a large price decrease in 20</w:t>
      </w:r>
      <w:r>
        <w:t xml:space="preserve">17–18 </w:t>
      </w:r>
      <w:r w:rsidRPr="007A347E">
        <w:t>followed by</w:t>
      </w:r>
      <w:r>
        <w:t xml:space="preserve"> a large</w:t>
      </w:r>
      <w:r w:rsidRPr="007A347E">
        <w:t xml:space="preserve"> </w:t>
      </w:r>
      <w:r>
        <w:t>price increase</w:t>
      </w:r>
      <w:r w:rsidRPr="007A347E">
        <w:t xml:space="preserve"> </w:t>
      </w:r>
      <w:r>
        <w:t>in 2018–19</w:t>
      </w:r>
      <w:r w:rsidRPr="007A347E">
        <w:t xml:space="preserve">. </w:t>
      </w:r>
    </w:p>
    <w:p w:rsidR="008C3C85" w:rsidRPr="008C3C85" w:rsidRDefault="008C3C85" w:rsidP="008C3C85">
      <w:pPr>
        <w:pStyle w:val="Heading3"/>
      </w:pPr>
      <w:bookmarkStart w:id="86" w:name="_Toc415666269"/>
      <w:bookmarkStart w:id="87" w:name="_Toc433023333"/>
      <w:bookmarkStart w:id="88" w:name="_Toc462753430"/>
      <w:bookmarkStart w:id="89" w:name="_Toc481060211"/>
      <w:r>
        <w:t>Shared assets</w:t>
      </w:r>
      <w:bookmarkEnd w:id="86"/>
      <w:bookmarkEnd w:id="87"/>
      <w:bookmarkEnd w:id="88"/>
      <w:bookmarkEnd w:id="89"/>
      <w:r>
        <w:t xml:space="preserve"> </w:t>
      </w:r>
    </w:p>
    <w:p w:rsidR="00436A77" w:rsidRDefault="001A3D0B" w:rsidP="00436A77">
      <w:pPr>
        <w:rPr>
          <w:rStyle w:val="AERbody"/>
        </w:rPr>
      </w:pPr>
      <w:bookmarkStart w:id="90" w:name="_Ref432521715"/>
      <w:bookmarkStart w:id="91" w:name="_Ref432521711"/>
      <w:bookmarkStart w:id="92" w:name="_Ref415670989"/>
      <w:r>
        <w:rPr>
          <w:rStyle w:val="AERbody"/>
        </w:rPr>
        <w:t>Our final decision is to</w:t>
      </w:r>
      <w:r w:rsidR="00436A77" w:rsidRPr="00436A77">
        <w:rPr>
          <w:rStyle w:val="AERbody"/>
        </w:rPr>
        <w:t xml:space="preserve"> not apply a shared asset revenue adjustment</w:t>
      </w:r>
      <w:r w:rsidR="00436A77">
        <w:rPr>
          <w:rStyle w:val="AERbody"/>
        </w:rPr>
        <w:t xml:space="preserve"> to TasNetworks' total revenue requirement because </w:t>
      </w:r>
      <w:r w:rsidR="00436A77" w:rsidRPr="00436A77">
        <w:rPr>
          <w:rStyle w:val="AERbody"/>
        </w:rPr>
        <w:t xml:space="preserve">the materiality threshold is not met in </w:t>
      </w:r>
      <w:r>
        <w:rPr>
          <w:rStyle w:val="AERbody"/>
        </w:rPr>
        <w:t xml:space="preserve">any year of </w:t>
      </w:r>
      <w:r w:rsidR="00436A77" w:rsidRPr="00436A77">
        <w:rPr>
          <w:rStyle w:val="AERbody"/>
        </w:rPr>
        <w:t>the 2017–19 regulatory control period.</w:t>
      </w:r>
    </w:p>
    <w:p w:rsidR="008C3C85" w:rsidRDefault="008C3C85" w:rsidP="008C3C85">
      <w:pPr>
        <w:numPr>
          <w:ilvl w:val="0"/>
          <w:numId w:val="24"/>
        </w:numPr>
      </w:pPr>
      <w:r>
        <w:t>Distributors</w:t>
      </w:r>
      <w:r w:rsidRPr="007F7AA6">
        <w:t xml:space="preserve">, such as </w:t>
      </w:r>
      <w:r>
        <w:t>TasNetworks</w:t>
      </w:r>
      <w:r w:rsidRPr="007F7AA6">
        <w:t xml:space="preserve">, may use assets to provide both </w:t>
      </w:r>
      <w:r>
        <w:t xml:space="preserve">the </w:t>
      </w:r>
      <w:r w:rsidRPr="007F7AA6">
        <w:t xml:space="preserve">standard control services we regulate and </w:t>
      </w:r>
      <w:r>
        <w:t xml:space="preserve">other </w:t>
      </w:r>
      <w:r w:rsidRPr="007F7AA6">
        <w:t>unregulated services. These assets are called 'shared assets'.</w:t>
      </w:r>
      <w:r w:rsidR="008C7B57">
        <w:rPr>
          <w:rStyle w:val="FootnoteReference"/>
        </w:rPr>
        <w:footnoteReference w:id="3"/>
      </w:r>
      <w:r>
        <w:t xml:space="preserve"> </w:t>
      </w:r>
      <w:r w:rsidRPr="007F7AA6">
        <w:t xml:space="preserve">Of the unregulated revenues a </w:t>
      </w:r>
      <w:r>
        <w:t>distributor</w:t>
      </w:r>
      <w:r w:rsidRPr="007F7AA6">
        <w:t xml:space="preserve"> earns from shared assets, 10</w:t>
      </w:r>
      <w:r>
        <w:t> </w:t>
      </w:r>
      <w:r w:rsidRPr="007F7AA6">
        <w:t xml:space="preserve">per cent will be used to reduce the </w:t>
      </w:r>
      <w:r>
        <w:t>distributo</w:t>
      </w:r>
      <w:r w:rsidRPr="007F7AA6">
        <w:t>r's prices for standard control services.</w:t>
      </w:r>
      <w:r w:rsidR="008C7B57">
        <w:rPr>
          <w:rStyle w:val="FootnoteReference"/>
        </w:rPr>
        <w:footnoteReference w:id="4"/>
      </w:r>
    </w:p>
    <w:p w:rsidR="008C3C85" w:rsidRPr="007F7AA6" w:rsidRDefault="008C3C85" w:rsidP="008C3C85">
      <w:pPr>
        <w:numPr>
          <w:ilvl w:val="0"/>
          <w:numId w:val="24"/>
        </w:numPr>
      </w:pPr>
      <w:r>
        <w:t>Shared asset</w:t>
      </w:r>
      <w:r w:rsidRPr="007F7AA6">
        <w:t xml:space="preserve"> </w:t>
      </w:r>
      <w:r>
        <w:t>revenue</w:t>
      </w:r>
      <w:r w:rsidRPr="007F7AA6">
        <w:t xml:space="preserve"> reductions are subject to a materiality threshold. Unregulated use of shared assets is material when a </w:t>
      </w:r>
      <w:r>
        <w:t>distributor</w:t>
      </w:r>
      <w:r w:rsidRPr="007F7AA6">
        <w:t>'s unregulated revenues from shared assets in a specific regulatory year a</w:t>
      </w:r>
      <w:r w:rsidR="00A616BE">
        <w:t>re expected to be greater than one</w:t>
      </w:r>
      <w:r w:rsidRPr="007F7AA6">
        <w:t xml:space="preserve"> per cent of its total expected revenue for that regulatory year.</w:t>
      </w:r>
      <w:r w:rsidR="008C7B57">
        <w:rPr>
          <w:rStyle w:val="FootnoteReference"/>
        </w:rPr>
        <w:footnoteReference w:id="5"/>
      </w:r>
      <w:r w:rsidRPr="007F7AA6">
        <w:t xml:space="preserve">  </w:t>
      </w:r>
    </w:p>
    <w:p w:rsidR="008C3C85" w:rsidRPr="003D05AA" w:rsidRDefault="00B22534" w:rsidP="008C3C85">
      <w:pPr>
        <w:rPr>
          <w:rStyle w:val="AERbody"/>
        </w:rPr>
      </w:pPr>
      <w:r>
        <w:rPr>
          <w:rStyle w:val="AERbody"/>
        </w:rPr>
        <w:t>In our draft decision, w</w:t>
      </w:r>
      <w:r w:rsidR="008C3C85" w:rsidRPr="003D05AA">
        <w:rPr>
          <w:rStyle w:val="AERbody"/>
        </w:rPr>
        <w:t>e consider</w:t>
      </w:r>
      <w:r w:rsidR="00436A77">
        <w:rPr>
          <w:rStyle w:val="AERbody"/>
        </w:rPr>
        <w:t>ed</w:t>
      </w:r>
      <w:r w:rsidR="008C3C85">
        <w:rPr>
          <w:rStyle w:val="AERbody"/>
        </w:rPr>
        <w:t xml:space="preserve"> TasNetworks</w:t>
      </w:r>
      <w:r w:rsidR="008C3C85" w:rsidRPr="003D05AA">
        <w:rPr>
          <w:rStyle w:val="AERbody"/>
        </w:rPr>
        <w:t>' forecast unregulated revenues</w:t>
      </w:r>
      <w:r w:rsidR="008C3C85">
        <w:rPr>
          <w:rStyle w:val="AERbody"/>
        </w:rPr>
        <w:t xml:space="preserve"> from shared assets</w:t>
      </w:r>
      <w:r w:rsidR="008C3C85" w:rsidRPr="003D05AA">
        <w:rPr>
          <w:rStyle w:val="AERbody"/>
        </w:rPr>
        <w:t xml:space="preserve"> </w:t>
      </w:r>
      <w:r w:rsidR="008C3C85">
        <w:rPr>
          <w:rStyle w:val="AERbody"/>
        </w:rPr>
        <w:t xml:space="preserve">for the 2017–19 regulatory control period </w:t>
      </w:r>
      <w:r>
        <w:rPr>
          <w:rStyle w:val="AERbody"/>
        </w:rPr>
        <w:t>to be</w:t>
      </w:r>
      <w:r w:rsidR="008C3C85" w:rsidRPr="003D05AA">
        <w:rPr>
          <w:rStyle w:val="AERbody"/>
        </w:rPr>
        <w:t xml:space="preserve"> reasonable</w:t>
      </w:r>
      <w:r w:rsidR="008C3C85">
        <w:rPr>
          <w:rStyle w:val="AERbody"/>
        </w:rPr>
        <w:t xml:space="preserve"> because they </w:t>
      </w:r>
      <w:r>
        <w:rPr>
          <w:rStyle w:val="AERbody"/>
        </w:rPr>
        <w:t>we</w:t>
      </w:r>
      <w:r w:rsidR="008C3C85">
        <w:rPr>
          <w:rStyle w:val="AERbody"/>
        </w:rPr>
        <w:t xml:space="preserve">re comparable with its historical </w:t>
      </w:r>
      <w:r w:rsidR="008C3C85" w:rsidRPr="003D05AA">
        <w:rPr>
          <w:rStyle w:val="AERbody"/>
        </w:rPr>
        <w:t>unregulated revenues</w:t>
      </w:r>
      <w:r w:rsidR="008C3C85">
        <w:rPr>
          <w:rStyle w:val="AERbody"/>
        </w:rPr>
        <w:t xml:space="preserve"> from shared assets. </w:t>
      </w:r>
      <w:r w:rsidR="009458CA">
        <w:rPr>
          <w:rStyle w:val="AERbody"/>
        </w:rPr>
        <w:t>Based on the expected revenues determined in this final decision, w</w:t>
      </w:r>
      <w:r w:rsidR="008C3C85" w:rsidRPr="003D05AA">
        <w:rPr>
          <w:rStyle w:val="AERbody"/>
        </w:rPr>
        <w:t xml:space="preserve">e </w:t>
      </w:r>
      <w:r w:rsidR="008C3C85">
        <w:rPr>
          <w:rStyle w:val="AERbody"/>
        </w:rPr>
        <w:t>estimate that</w:t>
      </w:r>
      <w:r w:rsidR="008C3C85" w:rsidRPr="003D05AA">
        <w:rPr>
          <w:rStyle w:val="AERbody"/>
        </w:rPr>
        <w:t xml:space="preserve"> </w:t>
      </w:r>
      <w:r w:rsidR="008C3C85">
        <w:rPr>
          <w:rStyle w:val="AERbody"/>
        </w:rPr>
        <w:t>the</w:t>
      </w:r>
      <w:r w:rsidR="008C3C85" w:rsidRPr="003D05AA">
        <w:rPr>
          <w:rStyle w:val="AERbody"/>
        </w:rPr>
        <w:t xml:space="preserve"> unregulated revenues </w:t>
      </w:r>
      <w:r w:rsidR="008C3C85">
        <w:rPr>
          <w:rStyle w:val="AERbody"/>
        </w:rPr>
        <w:t>will be</w:t>
      </w:r>
      <w:r w:rsidR="008C3C85" w:rsidRPr="003D05AA">
        <w:rPr>
          <w:rStyle w:val="AERbody"/>
        </w:rPr>
        <w:t xml:space="preserve"> </w:t>
      </w:r>
      <w:r w:rsidR="008C7B57">
        <w:t>0.3</w:t>
      </w:r>
      <w:r w:rsidR="008C7B57" w:rsidRPr="004F5D73">
        <w:t xml:space="preserve"> </w:t>
      </w:r>
      <w:r w:rsidR="008C3C85" w:rsidRPr="004F5D73">
        <w:t>per cent of</w:t>
      </w:r>
      <w:r w:rsidR="008C3C85" w:rsidRPr="003D05AA">
        <w:rPr>
          <w:rStyle w:val="AERbody"/>
        </w:rPr>
        <w:t xml:space="preserve"> </w:t>
      </w:r>
      <w:r w:rsidR="00FE436D">
        <w:rPr>
          <w:rStyle w:val="AERbody"/>
        </w:rPr>
        <w:t>the</w:t>
      </w:r>
      <w:r w:rsidR="008C3C85" w:rsidRPr="003D05AA">
        <w:rPr>
          <w:rStyle w:val="AERbody"/>
        </w:rPr>
        <w:t xml:space="preserve"> expected revenue</w:t>
      </w:r>
      <w:r w:rsidR="008C3C85">
        <w:rPr>
          <w:rStyle w:val="AERbody"/>
        </w:rPr>
        <w:t>s</w:t>
      </w:r>
      <w:r w:rsidR="008C3C85" w:rsidRPr="003D05AA">
        <w:rPr>
          <w:rStyle w:val="AERbody"/>
        </w:rPr>
        <w:t xml:space="preserve"> </w:t>
      </w:r>
      <w:r w:rsidR="009458CA">
        <w:rPr>
          <w:rStyle w:val="AERbody"/>
        </w:rPr>
        <w:t>in</w:t>
      </w:r>
      <w:r w:rsidR="008C3C85" w:rsidRPr="003D05AA">
        <w:rPr>
          <w:rStyle w:val="AERbody"/>
        </w:rPr>
        <w:t xml:space="preserve"> </w:t>
      </w:r>
      <w:r w:rsidR="008C3C85">
        <w:rPr>
          <w:rStyle w:val="AERbody"/>
        </w:rPr>
        <w:t>each year of the 2017–19</w:t>
      </w:r>
      <w:r w:rsidR="008C3C85" w:rsidRPr="003D05AA">
        <w:rPr>
          <w:rStyle w:val="AERbody"/>
        </w:rPr>
        <w:t xml:space="preserve"> </w:t>
      </w:r>
      <w:r w:rsidR="008C3C85">
        <w:rPr>
          <w:rStyle w:val="AERbody"/>
        </w:rPr>
        <w:t xml:space="preserve">regulatory control </w:t>
      </w:r>
      <w:r w:rsidR="008C3C85" w:rsidRPr="003D05AA">
        <w:rPr>
          <w:rStyle w:val="AERbody"/>
        </w:rPr>
        <w:t>period.</w:t>
      </w:r>
      <w:r w:rsidR="008C3C85">
        <w:rPr>
          <w:rStyle w:val="AERbody"/>
        </w:rPr>
        <w:t xml:space="preserve"> Hence, the materiality threshold</w:t>
      </w:r>
      <w:r w:rsidR="00A616BE">
        <w:rPr>
          <w:rStyle w:val="AERbody"/>
        </w:rPr>
        <w:t xml:space="preserve"> of one per cent</w:t>
      </w:r>
      <w:r w:rsidR="008C3C85">
        <w:rPr>
          <w:rStyle w:val="AERbody"/>
        </w:rPr>
        <w:t xml:space="preserve"> is not met in any year of the </w:t>
      </w:r>
      <w:r w:rsidR="008C3C85" w:rsidRPr="009F694D">
        <w:rPr>
          <w:rStyle w:val="AERbody"/>
        </w:rPr>
        <w:t xml:space="preserve">2017–19 </w:t>
      </w:r>
      <w:r w:rsidR="008C3C85">
        <w:rPr>
          <w:rStyle w:val="AERbody"/>
        </w:rPr>
        <w:t>regulatory control period and we do not apply a shared asset revenue adjustment.</w:t>
      </w:r>
    </w:p>
    <w:p w:rsidR="008C3C85" w:rsidRDefault="008C3C85" w:rsidP="008C3C85">
      <w:pPr>
        <w:numPr>
          <w:ilvl w:val="0"/>
          <w:numId w:val="24"/>
        </w:numPr>
      </w:pPr>
      <w:r>
        <w:rPr>
          <w:rStyle w:val="AERbody"/>
        </w:rPr>
        <w:t xml:space="preserve">We note </w:t>
      </w:r>
      <w:r w:rsidRPr="003D05AA">
        <w:rPr>
          <w:rStyle w:val="AERbody"/>
        </w:rPr>
        <w:t xml:space="preserve">unregulated revenues from shared assets may in future become material. We will monitor </w:t>
      </w:r>
      <w:r>
        <w:rPr>
          <w:rStyle w:val="AERbody"/>
        </w:rPr>
        <w:t>TasNetworks'</w:t>
      </w:r>
      <w:r w:rsidRPr="003D05AA">
        <w:rPr>
          <w:rStyle w:val="AERbody"/>
        </w:rPr>
        <w:t xml:space="preserve"> shared asset unregulated revenues for future regulatory control periods.</w:t>
      </w:r>
    </w:p>
    <w:p w:rsidR="00212C68" w:rsidRPr="00212C68" w:rsidRDefault="00212C68" w:rsidP="00C97F62">
      <w:pPr>
        <w:pStyle w:val="Heading3"/>
        <w:keepNext/>
      </w:pPr>
      <w:bookmarkStart w:id="93" w:name="_Toc415666270"/>
      <w:bookmarkStart w:id="94" w:name="_Toc433023334"/>
      <w:bookmarkStart w:id="95" w:name="_Toc462753431"/>
      <w:bookmarkStart w:id="96" w:name="_Toc481060212"/>
      <w:bookmarkEnd w:id="90"/>
      <w:bookmarkEnd w:id="91"/>
      <w:bookmarkEnd w:id="92"/>
      <w:r w:rsidRPr="00F37EDD">
        <w:lastRenderedPageBreak/>
        <w:t>Indicative</w:t>
      </w:r>
      <w:r w:rsidRPr="00212C68">
        <w:t xml:space="preserve"> average distribution price impact</w:t>
      </w:r>
      <w:bookmarkEnd w:id="93"/>
      <w:bookmarkEnd w:id="94"/>
      <w:bookmarkEnd w:id="95"/>
      <w:bookmarkEnd w:id="96"/>
    </w:p>
    <w:p w:rsidR="00212C68" w:rsidRDefault="00212C68" w:rsidP="00C97F62">
      <w:pPr>
        <w:keepNext/>
        <w:numPr>
          <w:ilvl w:val="0"/>
          <w:numId w:val="24"/>
        </w:numPr>
      </w:pPr>
      <w:r>
        <w:rPr>
          <w:rStyle w:val="AERbody"/>
        </w:rPr>
        <w:t xml:space="preserve">Our final decision on </w:t>
      </w:r>
      <w:r>
        <w:t>TasNetworks'</w:t>
      </w:r>
      <w:r>
        <w:rPr>
          <w:rStyle w:val="AERbody"/>
        </w:rPr>
        <w:t xml:space="preserve"> expected </w:t>
      </w:r>
      <w:r w:rsidRPr="00177C01">
        <w:rPr>
          <w:rStyle w:val="AERbody"/>
        </w:rPr>
        <w:t>revenue</w:t>
      </w:r>
      <w:r>
        <w:rPr>
          <w:rStyle w:val="AERbody"/>
        </w:rPr>
        <w:t>s</w:t>
      </w:r>
      <w:r w:rsidRPr="00177C01">
        <w:rPr>
          <w:rStyle w:val="AERbody"/>
        </w:rPr>
        <w:t xml:space="preserve"> ultimately affects the prices consumers pay for electricity. </w:t>
      </w:r>
      <w:r>
        <w:t>There are several steps required in translating our revenue decision to a price impact.</w:t>
      </w:r>
    </w:p>
    <w:p w:rsidR="00212C68" w:rsidRDefault="00212C68" w:rsidP="00212C68">
      <w:pPr>
        <w:numPr>
          <w:ilvl w:val="0"/>
          <w:numId w:val="24"/>
        </w:numPr>
        <w:rPr>
          <w:rStyle w:val="AERbody"/>
        </w:rPr>
      </w:pPr>
      <w:r>
        <w:rPr>
          <w:rStyle w:val="AERbody"/>
        </w:rPr>
        <w:t xml:space="preserve">We </w:t>
      </w:r>
      <w:r w:rsidRPr="00177C01">
        <w:rPr>
          <w:rStyle w:val="AERbody"/>
        </w:rPr>
        <w:t>regulat</w:t>
      </w:r>
      <w:r>
        <w:rPr>
          <w:rStyle w:val="AERbody"/>
        </w:rPr>
        <w:t>e</w:t>
      </w:r>
      <w:r w:rsidRPr="00177C01">
        <w:rPr>
          <w:rStyle w:val="AERbody"/>
        </w:rPr>
        <w:t xml:space="preserve"> </w:t>
      </w:r>
      <w:r>
        <w:t>TasNetworks'</w:t>
      </w:r>
      <w:r w:rsidRPr="00177C01">
        <w:rPr>
          <w:rStyle w:val="AERbody"/>
        </w:rPr>
        <w:t xml:space="preserve"> standard control services under a revenue cap</w:t>
      </w:r>
      <w:r>
        <w:rPr>
          <w:rStyle w:val="AERbody"/>
        </w:rPr>
        <w:t xml:space="preserve"> form of control. </w:t>
      </w:r>
      <w:r w:rsidRPr="007322F8">
        <w:t xml:space="preserve">This means our </w:t>
      </w:r>
      <w:r>
        <w:t>final</w:t>
      </w:r>
      <w:r w:rsidRPr="007322F8">
        <w:t xml:space="preserve"> decision on </w:t>
      </w:r>
      <w:r>
        <w:t>TasNetworks'</w:t>
      </w:r>
      <w:r w:rsidRPr="007322F8">
        <w:t xml:space="preserve"> expected revenues do not directly translate to price impacts</w:t>
      </w:r>
      <w:r>
        <w:t>.</w:t>
      </w:r>
      <w:r w:rsidRPr="00177C01">
        <w:rPr>
          <w:rStyle w:val="AERbody"/>
        </w:rPr>
        <w:t xml:space="preserve"> This is because </w:t>
      </w:r>
      <w:r>
        <w:t>TasNetworks'</w:t>
      </w:r>
      <w:r w:rsidRPr="00177C01">
        <w:rPr>
          <w:rStyle w:val="AERbody"/>
        </w:rPr>
        <w:t xml:space="preserve"> revenue is fixed</w:t>
      </w:r>
      <w:r>
        <w:rPr>
          <w:rStyle w:val="AERbody"/>
        </w:rPr>
        <w:t xml:space="preserve"> under the revenue cap form of control</w:t>
      </w:r>
      <w:r w:rsidRPr="00177C01">
        <w:rPr>
          <w:rStyle w:val="AERbody"/>
        </w:rPr>
        <w:t>, so changes in the consumption of electricity will affect the price</w:t>
      </w:r>
      <w:r>
        <w:rPr>
          <w:rStyle w:val="AERbody"/>
        </w:rPr>
        <w:t>s ultimately charged to consumers</w:t>
      </w:r>
      <w:r w:rsidRPr="00177C01">
        <w:rPr>
          <w:rStyle w:val="AERbody"/>
        </w:rPr>
        <w:t>.</w:t>
      </w:r>
      <w:r>
        <w:rPr>
          <w:rStyle w:val="AERbody"/>
        </w:rPr>
        <w:t xml:space="preserve"> </w:t>
      </w:r>
      <w:r w:rsidRPr="00051610">
        <w:t xml:space="preserve">We are not required to establish the distribution prices for </w:t>
      </w:r>
      <w:r>
        <w:t>TasNetworks</w:t>
      </w:r>
      <w:r w:rsidRPr="00051610">
        <w:t xml:space="preserve"> as part of th</w:t>
      </w:r>
      <w:r>
        <w:t>is determination</w:t>
      </w:r>
      <w:r w:rsidRPr="00051610">
        <w:t xml:space="preserve">. </w:t>
      </w:r>
      <w:r>
        <w:rPr>
          <w:rStyle w:val="AERbody"/>
        </w:rPr>
        <w:t xml:space="preserve">However, we will assess </w:t>
      </w:r>
      <w:r>
        <w:t>TasNetworks'</w:t>
      </w:r>
      <w:r>
        <w:rPr>
          <w:rStyle w:val="AERbody"/>
        </w:rPr>
        <w:t xml:space="preserve"> annual pricing proposals before the commencement of each regulatory year within the 2017–19 regulatory control period. In each assessment we will administer the pricing requirements set in this distribution determination. </w:t>
      </w:r>
    </w:p>
    <w:p w:rsidR="00212C68" w:rsidRDefault="00212C68" w:rsidP="00212C68">
      <w:pPr>
        <w:numPr>
          <w:ilvl w:val="0"/>
          <w:numId w:val="24"/>
        </w:numPr>
        <w:rPr>
          <w:rStyle w:val="AERbody"/>
        </w:rPr>
      </w:pPr>
      <w:r>
        <w:rPr>
          <w:rStyle w:val="AERbody"/>
        </w:rPr>
        <w:t xml:space="preserve">For this final decision, we have estimated some indicative average distribution price impacts flowing from our determination on the expected revenues for </w:t>
      </w:r>
      <w:r>
        <w:t>TasNetworks</w:t>
      </w:r>
      <w:r>
        <w:rPr>
          <w:rStyle w:val="AERbody"/>
        </w:rPr>
        <w:t xml:space="preserve"> over the 2017–19 regulatory control period.</w:t>
      </w:r>
      <w:r w:rsidRPr="00706C44">
        <w:rPr>
          <w:rStyle w:val="AERbody"/>
        </w:rPr>
        <w:t xml:space="preserve"> </w:t>
      </w:r>
      <w:r>
        <w:rPr>
          <w:rStyle w:val="AERbody"/>
        </w:rPr>
        <w:t xml:space="preserve">In this section, our estimates only relate to standard control services (that is, the core electricity distribution charges), not alternative control services (such as metering charges). These indicative price impacts assume that actual energy consumption across the 2017–19 regulatory control period matches </w:t>
      </w:r>
      <w:r>
        <w:t>TasNetworks'</w:t>
      </w:r>
      <w:r>
        <w:rPr>
          <w:rStyle w:val="AERbody"/>
        </w:rPr>
        <w:t xml:space="preserve"> forecast energy consumption</w:t>
      </w:r>
      <w:r w:rsidR="00066E84">
        <w:rPr>
          <w:rStyle w:val="AERbody"/>
        </w:rPr>
        <w:t>, which we have adopted for this final decision</w:t>
      </w:r>
      <w:r>
        <w:rPr>
          <w:rStyle w:val="AERbody"/>
        </w:rPr>
        <w:t>.</w:t>
      </w:r>
    </w:p>
    <w:p w:rsidR="00212C68" w:rsidRDefault="00212C68" w:rsidP="00212C68">
      <w:pPr>
        <w:numPr>
          <w:ilvl w:val="0"/>
          <w:numId w:val="24"/>
        </w:numPr>
      </w:pPr>
      <w:r>
        <w:rPr>
          <w:rStyle w:val="AERbody"/>
        </w:rPr>
        <w:fldChar w:fldCharType="begin"/>
      </w:r>
      <w:r>
        <w:rPr>
          <w:rStyle w:val="AERbody"/>
        </w:rPr>
        <w:instrText xml:space="preserve"> REF _Ref417307328 \h </w:instrText>
      </w:r>
      <w:r>
        <w:rPr>
          <w:rStyle w:val="AERbody"/>
        </w:rPr>
      </w:r>
      <w:r>
        <w:rPr>
          <w:rStyle w:val="AERbody"/>
        </w:rPr>
        <w:fldChar w:fldCharType="separate"/>
      </w:r>
      <w:r w:rsidR="000D4227">
        <w:t xml:space="preserve">Figure </w:t>
      </w:r>
      <w:r w:rsidR="000D4227">
        <w:rPr>
          <w:noProof/>
        </w:rPr>
        <w:t>1</w:t>
      </w:r>
      <w:r w:rsidR="000D4227">
        <w:t>.</w:t>
      </w:r>
      <w:r w:rsidR="000D4227">
        <w:rPr>
          <w:noProof/>
        </w:rPr>
        <w:t>3</w:t>
      </w:r>
      <w:r>
        <w:rPr>
          <w:rStyle w:val="AERbody"/>
        </w:rPr>
        <w:fldChar w:fldCharType="end"/>
      </w:r>
      <w:r>
        <w:rPr>
          <w:rStyle w:val="AERbody"/>
        </w:rPr>
        <w:t xml:space="preserve"> shows </w:t>
      </w:r>
      <w:r>
        <w:t>TasNetworks'</w:t>
      </w:r>
      <w:r w:rsidRPr="00706C44">
        <w:rPr>
          <w:rStyle w:val="AERbody"/>
        </w:rPr>
        <w:t xml:space="preserve"> indicative price path based on </w:t>
      </w:r>
      <w:r>
        <w:rPr>
          <w:rStyle w:val="AERbody"/>
        </w:rPr>
        <w:t>the expected</w:t>
      </w:r>
      <w:r w:rsidRPr="00706C44">
        <w:rPr>
          <w:rStyle w:val="AERbody"/>
        </w:rPr>
        <w:t xml:space="preserve"> revenue</w:t>
      </w:r>
      <w:r>
        <w:rPr>
          <w:rStyle w:val="AERbody"/>
        </w:rPr>
        <w:t>s</w:t>
      </w:r>
      <w:r w:rsidRPr="00706C44">
        <w:rPr>
          <w:rStyle w:val="AERbody"/>
        </w:rPr>
        <w:t xml:space="preserve"> </w:t>
      </w:r>
      <w:r>
        <w:rPr>
          <w:rStyle w:val="AERbody"/>
        </w:rPr>
        <w:t>established in our final</w:t>
      </w:r>
      <w:r w:rsidRPr="00706C44">
        <w:rPr>
          <w:rStyle w:val="AERbody"/>
        </w:rPr>
        <w:t xml:space="preserve"> decision </w:t>
      </w:r>
      <w:r>
        <w:rPr>
          <w:rStyle w:val="AERbody"/>
        </w:rPr>
        <w:t>compared to its revised proposed revenue requirement</w:t>
      </w:r>
      <w:r w:rsidRPr="00706C44">
        <w:rPr>
          <w:rStyle w:val="AERbody"/>
        </w:rPr>
        <w:t>.</w:t>
      </w:r>
      <w:r>
        <w:rPr>
          <w:rStyle w:val="AERbody"/>
        </w:rPr>
        <w:t xml:space="preserve"> </w:t>
      </w:r>
      <w:bookmarkStart w:id="97" w:name="_Ref397941631"/>
      <w:r>
        <w:rPr>
          <w:rStyle w:val="AERbody"/>
        </w:rPr>
        <w:t xml:space="preserve">The indicative price path is estimated using the approved expected revenue </w:t>
      </w:r>
      <w:r w:rsidR="00A83053">
        <w:rPr>
          <w:rStyle w:val="AERbody"/>
        </w:rPr>
        <w:t xml:space="preserve">as determined in this final decision </w:t>
      </w:r>
      <w:r>
        <w:rPr>
          <w:rStyle w:val="AERbody"/>
        </w:rPr>
        <w:t>and dividing by</w:t>
      </w:r>
      <w:r w:rsidR="00A83053">
        <w:rPr>
          <w:rStyle w:val="AERbody"/>
        </w:rPr>
        <w:t xml:space="preserve"> TasNetworks'</w:t>
      </w:r>
      <w:r>
        <w:rPr>
          <w:rStyle w:val="AERbody"/>
        </w:rPr>
        <w:t xml:space="preserve"> forecast energy consumption for each year of the 2017–19 regulatory control period. </w:t>
      </w:r>
      <w:r w:rsidRPr="00446442">
        <w:t>For presentation purposes, the prices are scaled so that the price index begins at 1.0</w:t>
      </w:r>
      <w:r>
        <w:t>0</w:t>
      </w:r>
      <w:r w:rsidRPr="00446442">
        <w:t xml:space="preserve"> in </w:t>
      </w:r>
      <w:r>
        <w:t>2016–17</w:t>
      </w:r>
      <w:r w:rsidRPr="00446442">
        <w:t>.</w:t>
      </w:r>
      <w:r w:rsidRPr="00F15277">
        <w:t xml:space="preserve"> The index provides a simple overall measure of the relative movement in expected distribution prices over the </w:t>
      </w:r>
      <w:r>
        <w:t>2017–19 regulatory control</w:t>
      </w:r>
      <w:r w:rsidRPr="00F15277">
        <w:t xml:space="preserve"> period.</w:t>
      </w:r>
      <w:r>
        <w:t xml:space="preserve"> </w:t>
      </w:r>
    </w:p>
    <w:p w:rsidR="00212C68" w:rsidRDefault="00212C68" w:rsidP="00212C68">
      <w:pPr>
        <w:pStyle w:val="Caption"/>
      </w:pPr>
      <w:bookmarkStart w:id="98" w:name="_Ref417307328"/>
      <w:bookmarkEnd w:id="97"/>
      <w:r>
        <w:lastRenderedPageBreak/>
        <w:t xml:space="preserve">Figure </w:t>
      </w:r>
      <w:r w:rsidRPr="00212C68">
        <w:fldChar w:fldCharType="begin"/>
      </w:r>
      <w:r>
        <w:instrText xml:space="preserve"> STYLEREF 1 \s </w:instrText>
      </w:r>
      <w:r w:rsidRPr="00212C68">
        <w:fldChar w:fldCharType="separate"/>
      </w:r>
      <w:r w:rsidR="000D4227">
        <w:rPr>
          <w:noProof/>
        </w:rPr>
        <w:t>1</w:t>
      </w:r>
      <w:r w:rsidRPr="00212C68">
        <w:fldChar w:fldCharType="end"/>
      </w:r>
      <w:r>
        <w:t>.</w:t>
      </w:r>
      <w:r w:rsidRPr="00D5514F">
        <w:fldChar w:fldCharType="begin"/>
      </w:r>
      <w:r>
        <w:instrText xml:space="preserve"> SEQ Figure \* ARABIC \s 1 </w:instrText>
      </w:r>
      <w:r w:rsidRPr="00D5514F">
        <w:fldChar w:fldCharType="separate"/>
      </w:r>
      <w:r w:rsidR="000D4227">
        <w:rPr>
          <w:noProof/>
        </w:rPr>
        <w:t>3</w:t>
      </w:r>
      <w:r w:rsidRPr="00D5514F">
        <w:fldChar w:fldCharType="end"/>
      </w:r>
      <w:bookmarkEnd w:id="98"/>
      <w:r>
        <w:tab/>
      </w:r>
      <w:r w:rsidRPr="006615FD">
        <w:t xml:space="preserve">AER's </w:t>
      </w:r>
      <w:r>
        <w:t>final</w:t>
      </w:r>
      <w:r w:rsidRPr="006615FD">
        <w:t xml:space="preserve"> decision and </w:t>
      </w:r>
      <w:r>
        <w:t>TasNetworks'</w:t>
      </w:r>
      <w:r w:rsidRPr="006615FD">
        <w:t xml:space="preserve"> </w:t>
      </w:r>
      <w:r>
        <w:t xml:space="preserve">revised </w:t>
      </w:r>
      <w:r w:rsidRPr="006615FD">
        <w:t>proposed indicative price path (nominal price index)</w:t>
      </w:r>
    </w:p>
    <w:p w:rsidR="00212C68" w:rsidRPr="00CC0A35" w:rsidRDefault="00FC6890" w:rsidP="00212C68">
      <w:r>
        <w:rPr>
          <w:noProof/>
          <w:lang w:eastAsia="en-AU"/>
        </w:rPr>
        <w:drawing>
          <wp:inline distT="0" distB="0" distL="0" distR="0" wp14:anchorId="6FDA9443">
            <wp:extent cx="5340350" cy="3438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0350" cy="3438525"/>
                    </a:xfrm>
                    <a:prstGeom prst="rect">
                      <a:avLst/>
                    </a:prstGeom>
                    <a:noFill/>
                  </pic:spPr>
                </pic:pic>
              </a:graphicData>
            </a:graphic>
          </wp:inline>
        </w:drawing>
      </w:r>
    </w:p>
    <w:p w:rsidR="00212C68" w:rsidRPr="006615FD" w:rsidRDefault="00212C68" w:rsidP="00212C68">
      <w:pPr>
        <w:pStyle w:val="AERtablesource"/>
      </w:pPr>
      <w:r w:rsidRPr="006615FD">
        <w:t>Source:</w:t>
      </w:r>
      <w:r w:rsidRPr="006615FD">
        <w:tab/>
        <w:t xml:space="preserve">AER analysis. </w:t>
      </w:r>
    </w:p>
    <w:p w:rsidR="00212C68" w:rsidRPr="006615FD" w:rsidRDefault="00212C68" w:rsidP="00212C68">
      <w:pPr>
        <w:pStyle w:val="AERtablesource"/>
      </w:pPr>
      <w:r w:rsidRPr="006615FD">
        <w:t>Notes:</w:t>
      </w:r>
      <w:r w:rsidRPr="006615FD">
        <w:tab/>
      </w:r>
      <w:r>
        <w:t xml:space="preserve">The nominal price index is constructed by dividing expected revenue for standard control services by forecast energy consumption for each year of the regulatory control period, then scaling relative to the base year (2016–17). </w:t>
      </w:r>
    </w:p>
    <w:p w:rsidR="00212C68" w:rsidRPr="006615FD" w:rsidRDefault="00212C68" w:rsidP="00212C68">
      <w:r w:rsidRPr="006615FD">
        <w:t xml:space="preserve">We estimate that our </w:t>
      </w:r>
      <w:r>
        <w:t>final</w:t>
      </w:r>
      <w:r w:rsidRPr="006615FD">
        <w:t xml:space="preserve"> decision on </w:t>
      </w:r>
      <w:r>
        <w:t xml:space="preserve">TasNetworks' </w:t>
      </w:r>
      <w:r w:rsidRPr="006615FD">
        <w:t xml:space="preserve">annual expected revenue will result in a decrease to average distribution charges by about </w:t>
      </w:r>
      <w:r w:rsidR="00AD0F0A">
        <w:t>7.</w:t>
      </w:r>
      <w:r w:rsidR="00FC6890">
        <w:t>2</w:t>
      </w:r>
      <w:r w:rsidR="00AD0F0A">
        <w:t> </w:t>
      </w:r>
      <w:r>
        <w:t xml:space="preserve">per cent </w:t>
      </w:r>
      <w:r w:rsidRPr="006615FD">
        <w:t xml:space="preserve">per annum over the </w:t>
      </w:r>
      <w:r>
        <w:t>2017–19</w:t>
      </w:r>
      <w:r w:rsidRPr="006615FD">
        <w:t xml:space="preserve"> regulatory control period in nominal terms.</w:t>
      </w:r>
      <w:r w:rsidRPr="006615FD">
        <w:rPr>
          <w:rStyle w:val="FootnoteReference"/>
        </w:rPr>
        <w:footnoteReference w:id="6"/>
      </w:r>
      <w:r w:rsidRPr="006615FD">
        <w:t xml:space="preserve"> This co</w:t>
      </w:r>
      <w:r>
        <w:t>mpares to the nominal average de</w:t>
      </w:r>
      <w:r w:rsidRPr="006615FD">
        <w:t xml:space="preserve">crease of approximately </w:t>
      </w:r>
      <w:r w:rsidR="00AD0F0A">
        <w:t>9.</w:t>
      </w:r>
      <w:r w:rsidR="00E5781D">
        <w:t>1</w:t>
      </w:r>
      <w:r w:rsidR="00AD0F0A">
        <w:t> </w:t>
      </w:r>
      <w:r>
        <w:t xml:space="preserve">per cent </w:t>
      </w:r>
      <w:r w:rsidRPr="006615FD">
        <w:t xml:space="preserve">per annum proposed by </w:t>
      </w:r>
      <w:r>
        <w:t>TasNetworks</w:t>
      </w:r>
      <w:r w:rsidRPr="006615FD">
        <w:t xml:space="preserve"> over the </w:t>
      </w:r>
      <w:r>
        <w:t>2017–19</w:t>
      </w:r>
      <w:r w:rsidRPr="006615FD">
        <w:t xml:space="preserve"> regulatory control period.</w:t>
      </w:r>
      <w:r>
        <w:rPr>
          <w:rStyle w:val="FootnoteReference"/>
        </w:rPr>
        <w:footnoteReference w:id="7"/>
      </w:r>
      <w:r w:rsidRPr="000B69C8">
        <w:t xml:space="preserve"> </w:t>
      </w:r>
      <w:r>
        <w:t>These high-level estimates reflect the aggregate change across the entire network and do not reflect the particular tariff components for specific end users.</w:t>
      </w:r>
    </w:p>
    <w:p w:rsidR="00212C68" w:rsidRDefault="00212C68" w:rsidP="00212C68">
      <w:pPr>
        <w:numPr>
          <w:ilvl w:val="0"/>
          <w:numId w:val="24"/>
        </w:numPr>
        <w:rPr>
          <w:rStyle w:val="AERbody"/>
        </w:rPr>
      </w:pPr>
      <w:r>
        <w:rPr>
          <w:rStyle w:val="AERbody"/>
        </w:rPr>
        <w:fldChar w:fldCharType="begin"/>
      </w:r>
      <w:r>
        <w:rPr>
          <w:rStyle w:val="AERbody"/>
        </w:rPr>
        <w:instrText xml:space="preserve"> REF _Ref404611300 \h </w:instrText>
      </w:r>
      <w:r>
        <w:rPr>
          <w:rStyle w:val="AERbody"/>
        </w:rPr>
      </w:r>
      <w:r>
        <w:rPr>
          <w:rStyle w:val="AERbody"/>
        </w:rPr>
        <w:fldChar w:fldCharType="separate"/>
      </w:r>
      <w:r w:rsidR="000D4227">
        <w:t xml:space="preserve">Table </w:t>
      </w:r>
      <w:r w:rsidR="000D4227">
        <w:rPr>
          <w:noProof/>
        </w:rPr>
        <w:t>1</w:t>
      </w:r>
      <w:r w:rsidR="000D4227">
        <w:t>.</w:t>
      </w:r>
      <w:r w:rsidR="000D4227">
        <w:rPr>
          <w:noProof/>
        </w:rPr>
        <w:t>3</w:t>
      </w:r>
      <w:r>
        <w:rPr>
          <w:rStyle w:val="AERbody"/>
        </w:rPr>
        <w:fldChar w:fldCharType="end"/>
      </w:r>
      <w:r>
        <w:rPr>
          <w:rStyle w:val="AERbody"/>
        </w:rPr>
        <w:t xml:space="preserve"> </w:t>
      </w:r>
      <w:r w:rsidRPr="00663C10">
        <w:rPr>
          <w:rStyle w:val="AERbody"/>
        </w:rPr>
        <w:t xml:space="preserve">displays the comparison of the </w:t>
      </w:r>
      <w:r>
        <w:rPr>
          <w:rStyle w:val="AERbody"/>
        </w:rPr>
        <w:t xml:space="preserve">revenue and </w:t>
      </w:r>
      <w:r w:rsidRPr="00663C10">
        <w:rPr>
          <w:rStyle w:val="AERbody"/>
        </w:rPr>
        <w:t xml:space="preserve">price impacts of </w:t>
      </w:r>
      <w:r>
        <w:t>TasNetworks'</w:t>
      </w:r>
      <w:r w:rsidRPr="00663C10">
        <w:rPr>
          <w:rStyle w:val="AERbody"/>
        </w:rPr>
        <w:t xml:space="preserve"> </w:t>
      </w:r>
      <w:r>
        <w:rPr>
          <w:rStyle w:val="AERbody"/>
        </w:rPr>
        <w:t xml:space="preserve">revised </w:t>
      </w:r>
      <w:r w:rsidRPr="00663C10">
        <w:rPr>
          <w:rStyle w:val="AERbody"/>
        </w:rPr>
        <w:t xml:space="preserve">proposal and our </w:t>
      </w:r>
      <w:r>
        <w:rPr>
          <w:rStyle w:val="AERbody"/>
        </w:rPr>
        <w:t>final</w:t>
      </w:r>
      <w:r w:rsidRPr="00663C10">
        <w:rPr>
          <w:rStyle w:val="AERbody"/>
        </w:rPr>
        <w:t xml:space="preserve"> decision.</w:t>
      </w:r>
      <w:bookmarkStart w:id="99" w:name="_Ref397951148"/>
    </w:p>
    <w:p w:rsidR="00212C68" w:rsidRDefault="00212C68" w:rsidP="00212C68">
      <w:pPr>
        <w:pStyle w:val="Caption"/>
        <w:rPr>
          <w:rStyle w:val="AERbody"/>
        </w:rPr>
      </w:pPr>
      <w:bookmarkStart w:id="100" w:name="_Ref404611300"/>
      <w:r>
        <w:lastRenderedPageBreak/>
        <w:t xml:space="preserve">Table </w:t>
      </w:r>
      <w:r w:rsidRPr="00212C68">
        <w:fldChar w:fldCharType="begin"/>
      </w:r>
      <w:r>
        <w:instrText xml:space="preserve"> STYLEREF 1 \s </w:instrText>
      </w:r>
      <w:r w:rsidRPr="00212C68">
        <w:fldChar w:fldCharType="separate"/>
      </w:r>
      <w:r w:rsidR="000D4227">
        <w:rPr>
          <w:noProof/>
        </w:rPr>
        <w:t>1</w:t>
      </w:r>
      <w:r w:rsidRPr="00212C68">
        <w:fldChar w:fldCharType="end"/>
      </w:r>
      <w:r>
        <w:t>.</w:t>
      </w:r>
      <w:r w:rsidRPr="00D5514F">
        <w:fldChar w:fldCharType="begin"/>
      </w:r>
      <w:r>
        <w:instrText xml:space="preserve"> SEQ Table \* ARABIC \s 1 </w:instrText>
      </w:r>
      <w:r w:rsidRPr="00D5514F">
        <w:fldChar w:fldCharType="separate"/>
      </w:r>
      <w:r w:rsidR="000D4227">
        <w:rPr>
          <w:noProof/>
        </w:rPr>
        <w:t>3</w:t>
      </w:r>
      <w:r w:rsidRPr="00D5514F">
        <w:fldChar w:fldCharType="end"/>
      </w:r>
      <w:bookmarkEnd w:id="99"/>
      <w:bookmarkEnd w:id="100"/>
      <w:r>
        <w:tab/>
      </w:r>
      <w:r w:rsidRPr="0031076B">
        <w:t xml:space="preserve">Comparison of </w:t>
      </w:r>
      <w:r>
        <w:t xml:space="preserve">revenue and </w:t>
      </w:r>
      <w:r w:rsidRPr="0031076B">
        <w:t>price impacts of</w:t>
      </w:r>
      <w:r>
        <w:t xml:space="preserve"> TasNetworks'</w:t>
      </w:r>
      <w:r w:rsidRPr="0031076B">
        <w:t xml:space="preserve"> </w:t>
      </w:r>
      <w:r>
        <w:t xml:space="preserve">revised </w:t>
      </w:r>
      <w:r w:rsidRPr="0031076B">
        <w:t xml:space="preserve">proposal and </w:t>
      </w:r>
      <w:r>
        <w:t xml:space="preserve">the </w:t>
      </w:r>
      <w:r w:rsidRPr="0031076B">
        <w:t>AER</w:t>
      </w:r>
      <w:r>
        <w:t>'s</w:t>
      </w:r>
      <w:r w:rsidRPr="0031076B">
        <w:t xml:space="preserve"> </w:t>
      </w:r>
      <w:r>
        <w:t>final</w:t>
      </w:r>
      <w:r w:rsidRPr="0031076B">
        <w:t xml:space="preserve"> </w:t>
      </w:r>
      <w:r>
        <w:t xml:space="preserve">decision </w:t>
      </w:r>
    </w:p>
    <w:tbl>
      <w:tblPr>
        <w:tblStyle w:val="AERtable-numbers"/>
        <w:tblW w:w="5000" w:type="pct"/>
        <w:tblLayout w:type="fixed"/>
        <w:tblLook w:val="04A0" w:firstRow="1" w:lastRow="0" w:firstColumn="1" w:lastColumn="0" w:noHBand="0" w:noVBand="1"/>
      </w:tblPr>
      <w:tblGrid>
        <w:gridCol w:w="4071"/>
        <w:gridCol w:w="1540"/>
        <w:gridCol w:w="1542"/>
        <w:gridCol w:w="1540"/>
      </w:tblGrid>
      <w:tr w:rsidR="00212C68" w:rsidRPr="009362A4" w:rsidTr="000B1971">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212C68" w:rsidRPr="00212C68" w:rsidRDefault="00212C68" w:rsidP="00212C68">
            <w:r w:rsidRPr="005953FD">
              <w:t> </w:t>
            </w:r>
          </w:p>
        </w:tc>
        <w:tc>
          <w:tcPr>
            <w:tcW w:w="886" w:type="pct"/>
            <w:noWrap/>
          </w:tcPr>
          <w:p w:rsidR="00212C68" w:rsidRPr="00212C68" w:rsidRDefault="00212C68" w:rsidP="00212C68">
            <w:pPr>
              <w:cnfStyle w:val="100000000000" w:firstRow="1" w:lastRow="0" w:firstColumn="0" w:lastColumn="0" w:oddVBand="0" w:evenVBand="0" w:oddHBand="0" w:evenHBand="0" w:firstRowFirstColumn="0" w:firstRowLastColumn="0" w:lastRowFirstColumn="0" w:lastRowLastColumn="0"/>
            </w:pPr>
            <w:r>
              <w:t>2016–17</w:t>
            </w:r>
          </w:p>
        </w:tc>
        <w:tc>
          <w:tcPr>
            <w:tcW w:w="887" w:type="pct"/>
            <w:noWrap/>
          </w:tcPr>
          <w:p w:rsidR="00212C68" w:rsidRPr="00212C68" w:rsidRDefault="00212C68" w:rsidP="00212C68">
            <w:pPr>
              <w:cnfStyle w:val="100000000000" w:firstRow="1" w:lastRow="0" w:firstColumn="0" w:lastColumn="0" w:oddVBand="0" w:evenVBand="0" w:oddHBand="0" w:evenHBand="0" w:firstRowFirstColumn="0" w:firstRowLastColumn="0" w:lastRowFirstColumn="0" w:lastRowLastColumn="0"/>
            </w:pPr>
            <w:r>
              <w:t>2017–18</w:t>
            </w:r>
          </w:p>
        </w:tc>
        <w:tc>
          <w:tcPr>
            <w:tcW w:w="886" w:type="pct"/>
            <w:noWrap/>
          </w:tcPr>
          <w:p w:rsidR="00212C68" w:rsidRPr="00212C68" w:rsidRDefault="00212C68" w:rsidP="00212C68">
            <w:pPr>
              <w:cnfStyle w:val="100000000000" w:firstRow="1" w:lastRow="0" w:firstColumn="0" w:lastColumn="0" w:oddVBand="0" w:evenVBand="0" w:oddHBand="0" w:evenHBand="0" w:firstRowFirstColumn="0" w:firstRowLastColumn="0" w:lastRowFirstColumn="0" w:lastRowLastColumn="0"/>
            </w:pPr>
            <w:r>
              <w:t>2018–19</w:t>
            </w:r>
          </w:p>
        </w:tc>
      </w:tr>
      <w:tr w:rsidR="00212C68" w:rsidRPr="009362A4" w:rsidTr="000B1971">
        <w:trPr>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212C68" w:rsidRPr="00212C68" w:rsidRDefault="00212C68" w:rsidP="00750366">
            <w:r w:rsidRPr="003C1D88">
              <w:rPr>
                <w:rStyle w:val="Strong"/>
              </w:rPr>
              <w:t xml:space="preserve">AER </w:t>
            </w:r>
            <w:r w:rsidR="00750366">
              <w:rPr>
                <w:rStyle w:val="Strong"/>
              </w:rPr>
              <w:t>final</w:t>
            </w:r>
            <w:r w:rsidRPr="00212C68">
              <w:rPr>
                <w:rStyle w:val="Strong"/>
              </w:rPr>
              <w:t xml:space="preserve"> decision</w:t>
            </w:r>
          </w:p>
        </w:tc>
        <w:tc>
          <w:tcPr>
            <w:tcW w:w="886" w:type="pct"/>
            <w:noWrap/>
          </w:tcPr>
          <w:p w:rsidR="00212C68" w:rsidRPr="00212C68" w:rsidRDefault="00212C68" w:rsidP="00212C68">
            <w:pPr>
              <w:cnfStyle w:val="000000000000" w:firstRow="0" w:lastRow="0" w:firstColumn="0" w:lastColumn="0" w:oddVBand="0" w:evenVBand="0" w:oddHBand="0" w:evenHBand="0" w:firstRowFirstColumn="0" w:firstRowLastColumn="0" w:lastRowFirstColumn="0" w:lastRowLastColumn="0"/>
            </w:pPr>
            <w:r w:rsidRPr="003C1D88">
              <w:t> </w:t>
            </w:r>
          </w:p>
        </w:tc>
        <w:tc>
          <w:tcPr>
            <w:tcW w:w="887" w:type="pct"/>
            <w:noWrap/>
          </w:tcPr>
          <w:p w:rsidR="00212C68" w:rsidRPr="00212C68" w:rsidRDefault="00212C68" w:rsidP="00212C68">
            <w:pPr>
              <w:cnfStyle w:val="000000000000" w:firstRow="0" w:lastRow="0" w:firstColumn="0" w:lastColumn="0" w:oddVBand="0" w:evenVBand="0" w:oddHBand="0" w:evenHBand="0" w:firstRowFirstColumn="0" w:firstRowLastColumn="0" w:lastRowFirstColumn="0" w:lastRowLastColumn="0"/>
            </w:pPr>
            <w:r w:rsidRPr="003C1D88">
              <w:t> </w:t>
            </w:r>
          </w:p>
        </w:tc>
        <w:tc>
          <w:tcPr>
            <w:tcW w:w="886" w:type="pct"/>
            <w:noWrap/>
          </w:tcPr>
          <w:p w:rsidR="00212C68" w:rsidRPr="00212C68" w:rsidRDefault="00212C68" w:rsidP="00212C68">
            <w:pPr>
              <w:cnfStyle w:val="000000000000" w:firstRow="0" w:lastRow="0" w:firstColumn="0" w:lastColumn="0" w:oddVBand="0" w:evenVBand="0" w:oddHBand="0" w:evenHBand="0" w:firstRowFirstColumn="0" w:firstRowLastColumn="0" w:lastRowFirstColumn="0" w:lastRowLastColumn="0"/>
            </w:pPr>
            <w:r w:rsidRPr="003C1D88">
              <w:t> </w:t>
            </w:r>
          </w:p>
        </w:tc>
      </w:tr>
      <w:tr w:rsidR="00D34524" w:rsidRPr="009362A4" w:rsidTr="000B1971">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D34524" w:rsidRPr="00D34524" w:rsidRDefault="00D34524" w:rsidP="00D34524">
            <w:r w:rsidRPr="00D34524">
              <w:t>Revenue ($m, nominal)</w:t>
            </w:r>
          </w:p>
        </w:tc>
        <w:tc>
          <w:tcPr>
            <w:tcW w:w="886" w:type="pct"/>
            <w:noWrap/>
          </w:tcPr>
          <w:p w:rsidR="00D34524" w:rsidRPr="00D34524" w:rsidRDefault="00D34524" w:rsidP="00D34524">
            <w:pPr>
              <w:cnfStyle w:val="000000010000" w:firstRow="0" w:lastRow="0" w:firstColumn="0" w:lastColumn="0" w:oddVBand="0" w:evenVBand="0" w:oddHBand="0" w:evenHBand="1" w:firstRowFirstColumn="0" w:firstRowLastColumn="0" w:lastRowFirstColumn="0" w:lastRowLastColumn="0"/>
            </w:pPr>
            <w:r w:rsidRPr="00D34524">
              <w:t>286.0</w:t>
            </w:r>
          </w:p>
        </w:tc>
        <w:tc>
          <w:tcPr>
            <w:tcW w:w="887" w:type="pct"/>
            <w:noWrap/>
          </w:tcPr>
          <w:p w:rsidR="00D34524" w:rsidRPr="00D34524" w:rsidRDefault="00A83160" w:rsidP="00A83160">
            <w:pPr>
              <w:cnfStyle w:val="000000010000" w:firstRow="0" w:lastRow="0" w:firstColumn="0" w:lastColumn="0" w:oddVBand="0" w:evenVBand="0" w:oddHBand="0" w:evenHBand="1" w:firstRowFirstColumn="0" w:firstRowLastColumn="0" w:lastRowFirstColumn="0" w:lastRowLastColumn="0"/>
            </w:pPr>
            <w:r>
              <w:t>235</w:t>
            </w:r>
            <w:r w:rsidR="00D34524" w:rsidRPr="00D34524">
              <w:t>.</w:t>
            </w:r>
            <w:r>
              <w:t>8</w:t>
            </w:r>
          </w:p>
        </w:tc>
        <w:tc>
          <w:tcPr>
            <w:tcW w:w="886" w:type="pct"/>
            <w:noWrap/>
          </w:tcPr>
          <w:p w:rsidR="00D34524" w:rsidRPr="00D34524" w:rsidRDefault="00D34524" w:rsidP="00A83160">
            <w:pPr>
              <w:cnfStyle w:val="000000010000" w:firstRow="0" w:lastRow="0" w:firstColumn="0" w:lastColumn="0" w:oddVBand="0" w:evenVBand="0" w:oddHBand="0" w:evenHBand="1" w:firstRowFirstColumn="0" w:firstRowLastColumn="0" w:lastRowFirstColumn="0" w:lastRowLastColumn="0"/>
            </w:pPr>
            <w:r w:rsidRPr="00D34524">
              <w:t>24</w:t>
            </w:r>
            <w:r w:rsidR="00A83160">
              <w:t>1</w:t>
            </w:r>
            <w:r w:rsidRPr="00D34524">
              <w:t>.</w:t>
            </w:r>
            <w:r w:rsidR="00A83160">
              <w:t>6</w:t>
            </w:r>
          </w:p>
        </w:tc>
      </w:tr>
      <w:tr w:rsidR="00D34524" w:rsidRPr="009362A4" w:rsidTr="000B1971">
        <w:trPr>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D34524" w:rsidRPr="00D34524" w:rsidRDefault="00D34524" w:rsidP="00D34524">
            <w:r w:rsidRPr="00D34524">
              <w:t>Price path (nominal index)</w:t>
            </w:r>
            <w:r w:rsidRPr="00D34524">
              <w:rPr>
                <w:rStyle w:val="AERsuperscript"/>
              </w:rPr>
              <w:t>a</w:t>
            </w:r>
          </w:p>
        </w:tc>
        <w:tc>
          <w:tcPr>
            <w:tcW w:w="886" w:type="pct"/>
            <w:noWrap/>
          </w:tcPr>
          <w:p w:rsidR="00D34524" w:rsidRPr="00D34524" w:rsidRDefault="00D34524" w:rsidP="00D34524">
            <w:pPr>
              <w:cnfStyle w:val="000000000000" w:firstRow="0" w:lastRow="0" w:firstColumn="0" w:lastColumn="0" w:oddVBand="0" w:evenVBand="0" w:oddHBand="0" w:evenHBand="0" w:firstRowFirstColumn="0" w:firstRowLastColumn="0" w:lastRowFirstColumn="0" w:lastRowLastColumn="0"/>
            </w:pPr>
            <w:r w:rsidRPr="00D34524">
              <w:t>1.00</w:t>
            </w:r>
          </w:p>
        </w:tc>
        <w:tc>
          <w:tcPr>
            <w:tcW w:w="887" w:type="pct"/>
            <w:noWrap/>
          </w:tcPr>
          <w:p w:rsidR="00D34524" w:rsidRPr="00D34524" w:rsidRDefault="00D34524" w:rsidP="00D34524">
            <w:pPr>
              <w:cnfStyle w:val="000000000000" w:firstRow="0" w:lastRow="0" w:firstColumn="0" w:lastColumn="0" w:oddVBand="0" w:evenVBand="0" w:oddHBand="0" w:evenHBand="0" w:firstRowFirstColumn="0" w:firstRowLastColumn="0" w:lastRowFirstColumn="0" w:lastRowLastColumn="0"/>
            </w:pPr>
            <w:r w:rsidRPr="00D34524">
              <w:t>0.83</w:t>
            </w:r>
          </w:p>
        </w:tc>
        <w:tc>
          <w:tcPr>
            <w:tcW w:w="886" w:type="pct"/>
            <w:noWrap/>
          </w:tcPr>
          <w:p w:rsidR="00D34524" w:rsidRPr="00D34524" w:rsidRDefault="00D34524" w:rsidP="00D34524">
            <w:pPr>
              <w:cnfStyle w:val="000000000000" w:firstRow="0" w:lastRow="0" w:firstColumn="0" w:lastColumn="0" w:oddVBand="0" w:evenVBand="0" w:oddHBand="0" w:evenHBand="0" w:firstRowFirstColumn="0" w:firstRowLastColumn="0" w:lastRowFirstColumn="0" w:lastRowLastColumn="0"/>
            </w:pPr>
            <w:r w:rsidRPr="00D34524">
              <w:t>0.86</w:t>
            </w:r>
          </w:p>
        </w:tc>
      </w:tr>
      <w:tr w:rsidR="00D34524" w:rsidRPr="009362A4" w:rsidTr="000B1971">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D34524" w:rsidRPr="00D34524" w:rsidRDefault="00D34524" w:rsidP="00D34524">
            <w:r w:rsidRPr="00D34524">
              <w:t>Revenue (change %)</w:t>
            </w:r>
          </w:p>
        </w:tc>
        <w:tc>
          <w:tcPr>
            <w:tcW w:w="886" w:type="pct"/>
            <w:noWrap/>
          </w:tcPr>
          <w:p w:rsidR="00D34524" w:rsidRPr="00D34524" w:rsidRDefault="00D34524" w:rsidP="00D34524">
            <w:pPr>
              <w:cnfStyle w:val="000000010000" w:firstRow="0" w:lastRow="0" w:firstColumn="0" w:lastColumn="0" w:oddVBand="0" w:evenVBand="0" w:oddHBand="0" w:evenHBand="1" w:firstRowFirstColumn="0" w:firstRowLastColumn="0" w:lastRowFirstColumn="0" w:lastRowLastColumn="0"/>
            </w:pPr>
            <w:r w:rsidRPr="00D34524">
              <w:t> </w:t>
            </w:r>
          </w:p>
        </w:tc>
        <w:tc>
          <w:tcPr>
            <w:tcW w:w="887" w:type="pct"/>
            <w:noWrap/>
          </w:tcPr>
          <w:p w:rsidR="00D34524" w:rsidRPr="00D34524" w:rsidRDefault="00D34524" w:rsidP="00A83160">
            <w:pPr>
              <w:cnfStyle w:val="000000010000" w:firstRow="0" w:lastRow="0" w:firstColumn="0" w:lastColumn="0" w:oddVBand="0" w:evenVBand="0" w:oddHBand="0" w:evenHBand="1" w:firstRowFirstColumn="0" w:firstRowLastColumn="0" w:lastRowFirstColumn="0" w:lastRowLastColumn="0"/>
            </w:pPr>
            <w:r w:rsidRPr="00D34524">
              <w:t>–17.</w:t>
            </w:r>
            <w:r w:rsidR="00A83160">
              <w:t>6</w:t>
            </w:r>
            <w:r w:rsidRPr="00D34524">
              <w:t>%</w:t>
            </w:r>
          </w:p>
        </w:tc>
        <w:tc>
          <w:tcPr>
            <w:tcW w:w="886" w:type="pct"/>
            <w:noWrap/>
          </w:tcPr>
          <w:p w:rsidR="00D34524" w:rsidRPr="00D34524" w:rsidRDefault="00D34524" w:rsidP="00D34524">
            <w:pPr>
              <w:cnfStyle w:val="000000010000" w:firstRow="0" w:lastRow="0" w:firstColumn="0" w:lastColumn="0" w:oddVBand="0" w:evenVBand="0" w:oddHBand="0" w:evenHBand="1" w:firstRowFirstColumn="0" w:firstRowLastColumn="0" w:lastRowFirstColumn="0" w:lastRowLastColumn="0"/>
            </w:pPr>
            <w:r w:rsidRPr="00D34524">
              <w:t>2.4%</w:t>
            </w:r>
          </w:p>
        </w:tc>
      </w:tr>
      <w:tr w:rsidR="00D34524" w:rsidRPr="009362A4" w:rsidTr="000B1971">
        <w:trPr>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D34524" w:rsidRPr="00D34524" w:rsidRDefault="00D34524" w:rsidP="00D34524">
            <w:r w:rsidRPr="00D34524">
              <w:t>Price path (change %)</w:t>
            </w:r>
          </w:p>
        </w:tc>
        <w:tc>
          <w:tcPr>
            <w:tcW w:w="886" w:type="pct"/>
            <w:noWrap/>
            <w:vAlign w:val="bottom"/>
          </w:tcPr>
          <w:p w:rsidR="00D34524" w:rsidRPr="00D34524" w:rsidRDefault="00D34524" w:rsidP="00D34524">
            <w:pPr>
              <w:cnfStyle w:val="000000000000" w:firstRow="0" w:lastRow="0" w:firstColumn="0" w:lastColumn="0" w:oddVBand="0" w:evenVBand="0" w:oddHBand="0" w:evenHBand="0" w:firstRowFirstColumn="0" w:firstRowLastColumn="0" w:lastRowFirstColumn="0" w:lastRowLastColumn="0"/>
            </w:pPr>
            <w:r w:rsidRPr="00D34524">
              <w:t> </w:t>
            </w:r>
          </w:p>
        </w:tc>
        <w:tc>
          <w:tcPr>
            <w:tcW w:w="887" w:type="pct"/>
            <w:noWrap/>
          </w:tcPr>
          <w:p w:rsidR="00D34524" w:rsidRPr="00D34524" w:rsidRDefault="00D34524" w:rsidP="00A83160">
            <w:pPr>
              <w:cnfStyle w:val="000000000000" w:firstRow="0" w:lastRow="0" w:firstColumn="0" w:lastColumn="0" w:oddVBand="0" w:evenVBand="0" w:oddHBand="0" w:evenHBand="0" w:firstRowFirstColumn="0" w:firstRowLastColumn="0" w:lastRowFirstColumn="0" w:lastRowLastColumn="0"/>
            </w:pPr>
            <w:r w:rsidRPr="00D34524">
              <w:t>–16.</w:t>
            </w:r>
            <w:r w:rsidR="00A83160">
              <w:t>8</w:t>
            </w:r>
            <w:r w:rsidRPr="00D34524">
              <w:t>%</w:t>
            </w:r>
          </w:p>
        </w:tc>
        <w:tc>
          <w:tcPr>
            <w:tcW w:w="886" w:type="pct"/>
            <w:noWrap/>
          </w:tcPr>
          <w:p w:rsidR="00D34524" w:rsidRPr="00D34524" w:rsidRDefault="00D34524" w:rsidP="00D34524">
            <w:pPr>
              <w:cnfStyle w:val="000000000000" w:firstRow="0" w:lastRow="0" w:firstColumn="0" w:lastColumn="0" w:oddVBand="0" w:evenVBand="0" w:oddHBand="0" w:evenHBand="0" w:firstRowFirstColumn="0" w:firstRowLastColumn="0" w:lastRowFirstColumn="0" w:lastRowLastColumn="0"/>
            </w:pPr>
            <w:r w:rsidRPr="00D34524">
              <w:t>3.5%</w:t>
            </w:r>
          </w:p>
        </w:tc>
      </w:tr>
      <w:tr w:rsidR="008764F6" w:rsidRPr="009362A4" w:rsidTr="000B1971">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8764F6" w:rsidRPr="008764F6" w:rsidRDefault="008764F6" w:rsidP="008764F6">
            <w:pPr>
              <w:rPr>
                <w:rStyle w:val="Strong"/>
              </w:rPr>
            </w:pPr>
            <w:r w:rsidRPr="008764F6">
              <w:rPr>
                <w:rStyle w:val="Strong"/>
              </w:rPr>
              <w:t>TasNetworks revised proposal</w:t>
            </w:r>
          </w:p>
        </w:tc>
        <w:tc>
          <w:tcPr>
            <w:tcW w:w="886" w:type="pct"/>
            <w:noWrap/>
          </w:tcPr>
          <w:p w:rsidR="008764F6" w:rsidRPr="008764F6" w:rsidRDefault="008764F6" w:rsidP="008764F6">
            <w:pPr>
              <w:cnfStyle w:val="000000010000" w:firstRow="0" w:lastRow="0" w:firstColumn="0" w:lastColumn="0" w:oddVBand="0" w:evenVBand="0" w:oddHBand="0" w:evenHBand="1" w:firstRowFirstColumn="0" w:firstRowLastColumn="0" w:lastRowFirstColumn="0" w:lastRowLastColumn="0"/>
            </w:pPr>
            <w:r w:rsidRPr="008764F6">
              <w:t> </w:t>
            </w:r>
          </w:p>
        </w:tc>
        <w:tc>
          <w:tcPr>
            <w:tcW w:w="887" w:type="pct"/>
            <w:noWrap/>
          </w:tcPr>
          <w:p w:rsidR="008764F6" w:rsidRPr="008764F6" w:rsidRDefault="008764F6" w:rsidP="008764F6">
            <w:pPr>
              <w:cnfStyle w:val="000000010000" w:firstRow="0" w:lastRow="0" w:firstColumn="0" w:lastColumn="0" w:oddVBand="0" w:evenVBand="0" w:oddHBand="0" w:evenHBand="1" w:firstRowFirstColumn="0" w:firstRowLastColumn="0" w:lastRowFirstColumn="0" w:lastRowLastColumn="0"/>
            </w:pPr>
            <w:r w:rsidRPr="008764F6">
              <w:t> </w:t>
            </w:r>
          </w:p>
        </w:tc>
        <w:tc>
          <w:tcPr>
            <w:tcW w:w="886" w:type="pct"/>
            <w:noWrap/>
          </w:tcPr>
          <w:p w:rsidR="008764F6" w:rsidRPr="008764F6" w:rsidRDefault="008764F6" w:rsidP="008764F6">
            <w:pPr>
              <w:cnfStyle w:val="000000010000" w:firstRow="0" w:lastRow="0" w:firstColumn="0" w:lastColumn="0" w:oddVBand="0" w:evenVBand="0" w:oddHBand="0" w:evenHBand="1" w:firstRowFirstColumn="0" w:firstRowLastColumn="0" w:lastRowFirstColumn="0" w:lastRowLastColumn="0"/>
            </w:pPr>
            <w:r w:rsidRPr="008764F6">
              <w:t> </w:t>
            </w:r>
          </w:p>
        </w:tc>
      </w:tr>
      <w:tr w:rsidR="008764F6" w:rsidRPr="009362A4" w:rsidTr="000B1971">
        <w:trPr>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8764F6" w:rsidRPr="008764F6" w:rsidRDefault="008764F6" w:rsidP="008764F6">
            <w:r w:rsidRPr="008764F6">
              <w:t>Revenue ($m, nominal)</w:t>
            </w:r>
          </w:p>
        </w:tc>
        <w:tc>
          <w:tcPr>
            <w:tcW w:w="886" w:type="pct"/>
            <w:noWrap/>
          </w:tcPr>
          <w:p w:rsidR="008764F6" w:rsidRPr="008764F6" w:rsidRDefault="008764F6" w:rsidP="008764F6">
            <w:pPr>
              <w:cnfStyle w:val="000000000000" w:firstRow="0" w:lastRow="0" w:firstColumn="0" w:lastColumn="0" w:oddVBand="0" w:evenVBand="0" w:oddHBand="0" w:evenHBand="0" w:firstRowFirstColumn="0" w:firstRowLastColumn="0" w:lastRowFirstColumn="0" w:lastRowLastColumn="0"/>
            </w:pPr>
            <w:r w:rsidRPr="008764F6">
              <w:t>286.0</w:t>
            </w:r>
          </w:p>
        </w:tc>
        <w:tc>
          <w:tcPr>
            <w:tcW w:w="887" w:type="pct"/>
            <w:noWrap/>
          </w:tcPr>
          <w:p w:rsidR="008764F6" w:rsidRPr="008764F6" w:rsidRDefault="008764F6" w:rsidP="008764F6">
            <w:pPr>
              <w:cnfStyle w:val="000000000000" w:firstRow="0" w:lastRow="0" w:firstColumn="0" w:lastColumn="0" w:oddVBand="0" w:evenVBand="0" w:oddHBand="0" w:evenHBand="0" w:firstRowFirstColumn="0" w:firstRowLastColumn="0" w:lastRowFirstColumn="0" w:lastRowLastColumn="0"/>
            </w:pPr>
            <w:r w:rsidRPr="008764F6">
              <w:t>226.3</w:t>
            </w:r>
          </w:p>
        </w:tc>
        <w:tc>
          <w:tcPr>
            <w:tcW w:w="886" w:type="pct"/>
            <w:noWrap/>
          </w:tcPr>
          <w:p w:rsidR="008764F6" w:rsidRPr="008764F6" w:rsidRDefault="008764F6" w:rsidP="008764F6">
            <w:pPr>
              <w:cnfStyle w:val="000000000000" w:firstRow="0" w:lastRow="0" w:firstColumn="0" w:lastColumn="0" w:oddVBand="0" w:evenVBand="0" w:oddHBand="0" w:evenHBand="0" w:firstRowFirstColumn="0" w:firstRowLastColumn="0" w:lastRowFirstColumn="0" w:lastRowLastColumn="0"/>
            </w:pPr>
            <w:r w:rsidRPr="008764F6">
              <w:t>231.9</w:t>
            </w:r>
          </w:p>
        </w:tc>
      </w:tr>
      <w:tr w:rsidR="008764F6" w:rsidRPr="009362A4" w:rsidTr="000B1971">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8764F6" w:rsidRPr="008764F6" w:rsidRDefault="008764F6" w:rsidP="008764F6">
            <w:r w:rsidRPr="008764F6">
              <w:t>Price path (nominal index)</w:t>
            </w:r>
            <w:r w:rsidRPr="008764F6">
              <w:rPr>
                <w:rStyle w:val="AERsuperscript"/>
              </w:rPr>
              <w:t>a</w:t>
            </w:r>
          </w:p>
        </w:tc>
        <w:tc>
          <w:tcPr>
            <w:tcW w:w="886" w:type="pct"/>
            <w:noWrap/>
          </w:tcPr>
          <w:p w:rsidR="008764F6" w:rsidRPr="008764F6" w:rsidRDefault="008764F6" w:rsidP="008764F6">
            <w:pPr>
              <w:cnfStyle w:val="000000010000" w:firstRow="0" w:lastRow="0" w:firstColumn="0" w:lastColumn="0" w:oddVBand="0" w:evenVBand="0" w:oddHBand="0" w:evenHBand="1" w:firstRowFirstColumn="0" w:firstRowLastColumn="0" w:lastRowFirstColumn="0" w:lastRowLastColumn="0"/>
            </w:pPr>
            <w:r w:rsidRPr="008764F6">
              <w:t>1.00</w:t>
            </w:r>
          </w:p>
        </w:tc>
        <w:tc>
          <w:tcPr>
            <w:tcW w:w="887" w:type="pct"/>
            <w:noWrap/>
          </w:tcPr>
          <w:p w:rsidR="008764F6" w:rsidRPr="008764F6" w:rsidRDefault="008764F6" w:rsidP="008764F6">
            <w:pPr>
              <w:cnfStyle w:val="000000010000" w:firstRow="0" w:lastRow="0" w:firstColumn="0" w:lastColumn="0" w:oddVBand="0" w:evenVBand="0" w:oddHBand="0" w:evenHBand="1" w:firstRowFirstColumn="0" w:firstRowLastColumn="0" w:lastRowFirstColumn="0" w:lastRowLastColumn="0"/>
            </w:pPr>
            <w:r w:rsidRPr="008764F6">
              <w:t>0.80</w:t>
            </w:r>
          </w:p>
        </w:tc>
        <w:tc>
          <w:tcPr>
            <w:tcW w:w="886" w:type="pct"/>
            <w:noWrap/>
          </w:tcPr>
          <w:p w:rsidR="008764F6" w:rsidRPr="008764F6" w:rsidRDefault="008764F6" w:rsidP="008764F6">
            <w:pPr>
              <w:cnfStyle w:val="000000010000" w:firstRow="0" w:lastRow="0" w:firstColumn="0" w:lastColumn="0" w:oddVBand="0" w:evenVBand="0" w:oddHBand="0" w:evenHBand="1" w:firstRowFirstColumn="0" w:firstRowLastColumn="0" w:lastRowFirstColumn="0" w:lastRowLastColumn="0"/>
            </w:pPr>
            <w:r w:rsidRPr="008764F6">
              <w:t>0.83</w:t>
            </w:r>
          </w:p>
        </w:tc>
      </w:tr>
      <w:tr w:rsidR="008764F6" w:rsidRPr="009362A4" w:rsidTr="000B1971">
        <w:trPr>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8764F6" w:rsidRPr="008764F6" w:rsidRDefault="008764F6" w:rsidP="008764F6">
            <w:r w:rsidRPr="008764F6">
              <w:t>Revenue (change %)</w:t>
            </w:r>
          </w:p>
        </w:tc>
        <w:tc>
          <w:tcPr>
            <w:tcW w:w="886" w:type="pct"/>
            <w:noWrap/>
            <w:vAlign w:val="bottom"/>
          </w:tcPr>
          <w:p w:rsidR="008764F6" w:rsidRPr="008764F6" w:rsidRDefault="008764F6" w:rsidP="008764F6">
            <w:pPr>
              <w:cnfStyle w:val="000000000000" w:firstRow="0" w:lastRow="0" w:firstColumn="0" w:lastColumn="0" w:oddVBand="0" w:evenVBand="0" w:oddHBand="0" w:evenHBand="0" w:firstRowFirstColumn="0" w:firstRowLastColumn="0" w:lastRowFirstColumn="0" w:lastRowLastColumn="0"/>
            </w:pPr>
            <w:r w:rsidRPr="008764F6">
              <w:t> </w:t>
            </w:r>
          </w:p>
        </w:tc>
        <w:tc>
          <w:tcPr>
            <w:tcW w:w="887" w:type="pct"/>
            <w:noWrap/>
          </w:tcPr>
          <w:p w:rsidR="008764F6" w:rsidRPr="008764F6" w:rsidRDefault="008764F6" w:rsidP="008764F6">
            <w:pPr>
              <w:cnfStyle w:val="000000000000" w:firstRow="0" w:lastRow="0" w:firstColumn="0" w:lastColumn="0" w:oddVBand="0" w:evenVBand="0" w:oddHBand="0" w:evenHBand="0" w:firstRowFirstColumn="0" w:firstRowLastColumn="0" w:lastRowFirstColumn="0" w:lastRowLastColumn="0"/>
            </w:pPr>
            <w:r w:rsidRPr="008764F6">
              <w:t>–20.9%</w:t>
            </w:r>
          </w:p>
        </w:tc>
        <w:tc>
          <w:tcPr>
            <w:tcW w:w="886" w:type="pct"/>
            <w:noWrap/>
          </w:tcPr>
          <w:p w:rsidR="008764F6" w:rsidRPr="008764F6" w:rsidRDefault="008764F6" w:rsidP="008764F6">
            <w:pPr>
              <w:cnfStyle w:val="000000000000" w:firstRow="0" w:lastRow="0" w:firstColumn="0" w:lastColumn="0" w:oddVBand="0" w:evenVBand="0" w:oddHBand="0" w:evenHBand="0" w:firstRowFirstColumn="0" w:firstRowLastColumn="0" w:lastRowFirstColumn="0" w:lastRowLastColumn="0"/>
            </w:pPr>
            <w:r w:rsidRPr="008764F6">
              <w:t>2.5%</w:t>
            </w:r>
          </w:p>
        </w:tc>
      </w:tr>
      <w:tr w:rsidR="008764F6" w:rsidRPr="009362A4" w:rsidTr="000B1971">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41" w:type="pct"/>
            <w:noWrap/>
            <w:hideMark/>
          </w:tcPr>
          <w:p w:rsidR="008764F6" w:rsidRPr="008764F6" w:rsidRDefault="008764F6" w:rsidP="008764F6">
            <w:r w:rsidRPr="008764F6">
              <w:t>Price path (change %)</w:t>
            </w:r>
          </w:p>
        </w:tc>
        <w:tc>
          <w:tcPr>
            <w:tcW w:w="886" w:type="pct"/>
            <w:noWrap/>
          </w:tcPr>
          <w:p w:rsidR="008764F6" w:rsidRPr="008764F6" w:rsidRDefault="008764F6" w:rsidP="008764F6">
            <w:pPr>
              <w:cnfStyle w:val="000000010000" w:firstRow="0" w:lastRow="0" w:firstColumn="0" w:lastColumn="0" w:oddVBand="0" w:evenVBand="0" w:oddHBand="0" w:evenHBand="1" w:firstRowFirstColumn="0" w:firstRowLastColumn="0" w:lastRowFirstColumn="0" w:lastRowLastColumn="0"/>
            </w:pPr>
            <w:r w:rsidRPr="008764F6">
              <w:t> </w:t>
            </w:r>
          </w:p>
        </w:tc>
        <w:tc>
          <w:tcPr>
            <w:tcW w:w="887" w:type="pct"/>
            <w:noWrap/>
          </w:tcPr>
          <w:p w:rsidR="008764F6" w:rsidRPr="008764F6" w:rsidRDefault="008764F6" w:rsidP="008764F6">
            <w:pPr>
              <w:cnfStyle w:val="000000010000" w:firstRow="0" w:lastRow="0" w:firstColumn="0" w:lastColumn="0" w:oddVBand="0" w:evenVBand="0" w:oddHBand="0" w:evenHBand="1" w:firstRowFirstColumn="0" w:firstRowLastColumn="0" w:lastRowFirstColumn="0" w:lastRowLastColumn="0"/>
            </w:pPr>
            <w:r w:rsidRPr="008764F6">
              <w:t>–20.2%</w:t>
            </w:r>
          </w:p>
        </w:tc>
        <w:tc>
          <w:tcPr>
            <w:tcW w:w="886" w:type="pct"/>
            <w:noWrap/>
          </w:tcPr>
          <w:p w:rsidR="008764F6" w:rsidRPr="008764F6" w:rsidRDefault="008764F6" w:rsidP="008764F6">
            <w:pPr>
              <w:cnfStyle w:val="000000010000" w:firstRow="0" w:lastRow="0" w:firstColumn="0" w:lastColumn="0" w:oddVBand="0" w:evenVBand="0" w:oddHBand="0" w:evenHBand="1" w:firstRowFirstColumn="0" w:firstRowLastColumn="0" w:lastRowFirstColumn="0" w:lastRowLastColumn="0"/>
            </w:pPr>
            <w:r w:rsidRPr="008764F6">
              <w:t>3.5%</w:t>
            </w:r>
          </w:p>
        </w:tc>
      </w:tr>
    </w:tbl>
    <w:p w:rsidR="00212C68" w:rsidRDefault="00212C68" w:rsidP="00212C68">
      <w:pPr>
        <w:pStyle w:val="AERtablesource"/>
      </w:pPr>
      <w:r>
        <w:t>Source:</w:t>
      </w:r>
      <w:r>
        <w:tab/>
        <w:t>AER analysis.</w:t>
      </w:r>
      <w:r w:rsidRPr="00C152E7">
        <w:t xml:space="preserve"> </w:t>
      </w:r>
    </w:p>
    <w:p w:rsidR="00212C68" w:rsidRDefault="00212C68" w:rsidP="00212C68">
      <w:pPr>
        <w:pStyle w:val="AERtablesource"/>
      </w:pPr>
      <w:r>
        <w:t>(a)</w:t>
      </w:r>
      <w:r>
        <w:tab/>
        <w:t>The nominal index is constructed by dividing expected revenue for standard control services by forecast energy consumption for each year of the regulatory control period, then scaling relative to the base year (2016–17).</w:t>
      </w:r>
    </w:p>
    <w:p w:rsidR="00212C68" w:rsidRPr="00212C68" w:rsidRDefault="00212C68" w:rsidP="00212C68">
      <w:pPr>
        <w:pStyle w:val="Heading3"/>
      </w:pPr>
      <w:bookmarkStart w:id="101" w:name="_Toc462753432"/>
      <w:bookmarkStart w:id="102" w:name="_Toc481060213"/>
      <w:r>
        <w:t>Expected</w:t>
      </w:r>
      <w:r w:rsidRPr="00212C68">
        <w:t xml:space="preserve"> impact of decision on electricity bills</w:t>
      </w:r>
      <w:bookmarkEnd w:id="101"/>
      <w:bookmarkEnd w:id="102"/>
    </w:p>
    <w:p w:rsidR="00212C68" w:rsidRDefault="00212C68" w:rsidP="00212C68">
      <w:pPr>
        <w:numPr>
          <w:ilvl w:val="0"/>
          <w:numId w:val="24"/>
        </w:numPr>
      </w:pPr>
      <w:r>
        <w:t xml:space="preserve">The annual electricity bill for customers in Tasmania will reflect the combined cost of all the electricity supply chain components—wholesale energy generation, transmission, distribution, metering, and retail costs. This </w:t>
      </w:r>
      <w:r w:rsidR="00A83053">
        <w:t>final</w:t>
      </w:r>
      <w:r>
        <w:t xml:space="preserve"> decision primarily relates to the distribution charges for standard control services, which</w:t>
      </w:r>
      <w:r w:rsidRPr="008E1FC7">
        <w:t xml:space="preserve"> represent approximately </w:t>
      </w:r>
      <w:r w:rsidR="00314EC4">
        <w:t>41</w:t>
      </w:r>
      <w:r w:rsidR="00314EC4" w:rsidRPr="008E1FC7">
        <w:t> </w:t>
      </w:r>
      <w:r w:rsidRPr="008E1FC7">
        <w:t xml:space="preserve">per cent on average </w:t>
      </w:r>
      <w:r>
        <w:t xml:space="preserve">for </w:t>
      </w:r>
      <w:r w:rsidR="00066E84">
        <w:t>Tasmanian</w:t>
      </w:r>
      <w:r w:rsidRPr="008E1FC7">
        <w:t xml:space="preserve"> customers.</w:t>
      </w:r>
      <w:r w:rsidRPr="008E1FC7">
        <w:rPr>
          <w:rStyle w:val="FootnoteReference"/>
        </w:rPr>
        <w:footnoteReference w:id="8"/>
      </w:r>
      <w:r w:rsidRPr="008E1FC7">
        <w:t xml:space="preserve"> </w:t>
      </w:r>
    </w:p>
    <w:p w:rsidR="00212C68" w:rsidRPr="00B9515D" w:rsidRDefault="00212C68" w:rsidP="00212C68">
      <w:pPr>
        <w:pStyle w:val="ListParagraph"/>
        <w:numPr>
          <w:ilvl w:val="0"/>
          <w:numId w:val="24"/>
        </w:numPr>
      </w:pPr>
      <w:r w:rsidRPr="00B9515D">
        <w:t xml:space="preserve">In this section, we estimate the expected bill impact by varying the distribution charges in accordance with our </w:t>
      </w:r>
      <w:r>
        <w:t xml:space="preserve">final </w:t>
      </w:r>
      <w:r w:rsidRPr="00B9515D">
        <w:t>decision, while holding all other components—including the metering component—constant.</w:t>
      </w:r>
      <w:r>
        <w:t xml:space="preserve"> </w:t>
      </w:r>
      <w:r w:rsidRPr="00B9515D">
        <w:t>This approach isolates the effect of our</w:t>
      </w:r>
      <w:r>
        <w:t xml:space="preserve"> final</w:t>
      </w:r>
      <w:r w:rsidRPr="00B9515D">
        <w:t xml:space="preserve"> decision on the core distribution charges, and does not imply that other components will remain unchanged across the regulatory control period. </w:t>
      </w:r>
      <w:r w:rsidR="000C3B02">
        <w:t>We note that</w:t>
      </w:r>
      <w:r w:rsidR="000C3B02" w:rsidRPr="00E6218F">
        <w:t> </w:t>
      </w:r>
      <w:r w:rsidR="000C3B02" w:rsidRPr="003B64AE">
        <w:t xml:space="preserve">in </w:t>
      </w:r>
      <w:r w:rsidR="000C3B02" w:rsidRPr="003B64AE">
        <w:rPr>
          <w:rStyle w:val="AERbody"/>
        </w:rPr>
        <w:t xml:space="preserve">its recent </w:t>
      </w:r>
      <w:r w:rsidR="000C3B02">
        <w:rPr>
          <w:rStyle w:val="AERbody"/>
        </w:rPr>
        <w:t xml:space="preserve">electricity </w:t>
      </w:r>
      <w:r w:rsidR="000C3B02" w:rsidRPr="003B64AE">
        <w:rPr>
          <w:rStyle w:val="AERbody"/>
        </w:rPr>
        <w:t xml:space="preserve">price trends report for </w:t>
      </w:r>
      <w:r w:rsidR="000C3B02">
        <w:rPr>
          <w:rStyle w:val="AERbody"/>
        </w:rPr>
        <w:t>Tasmania</w:t>
      </w:r>
      <w:r w:rsidR="000C3B02" w:rsidRPr="003B64AE">
        <w:rPr>
          <w:rStyle w:val="AERbody"/>
        </w:rPr>
        <w:t xml:space="preserve">, the AEMC has indicated that wholesale costs are expected to rise, based on the </w:t>
      </w:r>
      <w:r w:rsidR="000C3B02">
        <w:rPr>
          <w:rStyle w:val="AERbody"/>
        </w:rPr>
        <w:t>expected trend</w:t>
      </w:r>
      <w:r w:rsidR="000C3B02" w:rsidRPr="003B64AE">
        <w:rPr>
          <w:rStyle w:val="AERbody"/>
        </w:rPr>
        <w:t xml:space="preserve"> in Victoria following the closure of Hazelwood power station.</w:t>
      </w:r>
      <w:r w:rsidR="000C3B02">
        <w:rPr>
          <w:rStyle w:val="FootnoteReference"/>
        </w:rPr>
        <w:footnoteReference w:id="9"/>
      </w:r>
      <w:r w:rsidR="00403909">
        <w:rPr>
          <w:rStyle w:val="AERbody"/>
        </w:rPr>
        <w:t xml:space="preserve"> However, as discussed below we expect</w:t>
      </w:r>
      <w:r w:rsidR="00403909" w:rsidRPr="003B64AE">
        <w:rPr>
          <w:rStyle w:val="AERbody"/>
        </w:rPr>
        <w:t xml:space="preserve"> the decreasing </w:t>
      </w:r>
      <w:r w:rsidR="00403909">
        <w:rPr>
          <w:rStyle w:val="AERbody"/>
        </w:rPr>
        <w:t xml:space="preserve">distribution </w:t>
      </w:r>
      <w:r w:rsidR="00403909" w:rsidRPr="003B64AE">
        <w:rPr>
          <w:rStyle w:val="AERbody"/>
        </w:rPr>
        <w:t>network c</w:t>
      </w:r>
      <w:r w:rsidR="00403909">
        <w:rPr>
          <w:rStyle w:val="AERbody"/>
        </w:rPr>
        <w:t>harges</w:t>
      </w:r>
      <w:r w:rsidR="00403909" w:rsidRPr="003B64AE">
        <w:rPr>
          <w:rStyle w:val="AERbody"/>
        </w:rPr>
        <w:t xml:space="preserve"> flow</w:t>
      </w:r>
      <w:r w:rsidR="00403909">
        <w:rPr>
          <w:rStyle w:val="AERbody"/>
        </w:rPr>
        <w:t>ing</w:t>
      </w:r>
      <w:r w:rsidR="00403909" w:rsidRPr="003B64AE">
        <w:rPr>
          <w:rStyle w:val="AERbody"/>
        </w:rPr>
        <w:t xml:space="preserve"> from this </w:t>
      </w:r>
      <w:r w:rsidR="00403909">
        <w:rPr>
          <w:rStyle w:val="AERbody"/>
        </w:rPr>
        <w:t xml:space="preserve">final </w:t>
      </w:r>
      <w:r w:rsidR="00403909" w:rsidRPr="003B64AE">
        <w:rPr>
          <w:rStyle w:val="AERbody"/>
        </w:rPr>
        <w:t>decision</w:t>
      </w:r>
      <w:r w:rsidR="00403909">
        <w:rPr>
          <w:rStyle w:val="AERbody"/>
        </w:rPr>
        <w:t xml:space="preserve"> will offset some of the increases from other components of the overall bill</w:t>
      </w:r>
      <w:r w:rsidR="00403909" w:rsidRPr="003B64AE">
        <w:rPr>
          <w:rStyle w:val="AERbody"/>
        </w:rPr>
        <w:t>.</w:t>
      </w:r>
    </w:p>
    <w:p w:rsidR="00595E25" w:rsidRDefault="00212C68" w:rsidP="00212C68">
      <w:pPr>
        <w:rPr>
          <w:rStyle w:val="AERbody"/>
        </w:rPr>
      </w:pPr>
      <w:r>
        <w:lastRenderedPageBreak/>
        <w:t>Based on this approach</w:t>
      </w:r>
      <w:r w:rsidR="00803908">
        <w:t xml:space="preserve"> in</w:t>
      </w:r>
      <w:r w:rsidRPr="008E1FC7">
        <w:t xml:space="preserve"> our </w:t>
      </w:r>
      <w:r>
        <w:t>final</w:t>
      </w:r>
      <w:r w:rsidRPr="008E1FC7">
        <w:t xml:space="preserve"> decision</w:t>
      </w:r>
      <w:r w:rsidR="00803908">
        <w:t>, we expect that the distribution component of</w:t>
      </w:r>
      <w:r w:rsidRPr="008E1FC7">
        <w:t xml:space="preserve"> the average annual </w:t>
      </w:r>
      <w:r w:rsidR="00803908">
        <w:t xml:space="preserve">residential </w:t>
      </w:r>
      <w:r w:rsidRPr="008E1FC7">
        <w:t xml:space="preserve">electricity bills in </w:t>
      </w:r>
      <w:r>
        <w:t>Tasmania</w:t>
      </w:r>
      <w:r w:rsidR="00803908">
        <w:t xml:space="preserve"> to decrease over the 2017–19 regulatory control period</w:t>
      </w:r>
      <w:r w:rsidRPr="008E1FC7">
        <w:t xml:space="preserve">. </w:t>
      </w:r>
      <w:r w:rsidRPr="00DF0A88">
        <w:t>The distribution component of the average annual residential electricity bill in 2018–19 is expected to reduce by about $</w:t>
      </w:r>
      <w:r w:rsidR="005629E5">
        <w:t>1</w:t>
      </w:r>
      <w:r w:rsidR="00A83160">
        <w:t xml:space="preserve">10 </w:t>
      </w:r>
      <w:r w:rsidRPr="00DF0A88">
        <w:t>($ nominal) below the 2016–17 level.</w:t>
      </w:r>
      <w:r>
        <w:rPr>
          <w:rStyle w:val="AERbody"/>
        </w:rPr>
        <w:t xml:space="preserve"> </w:t>
      </w:r>
      <w:r w:rsidR="00595E25" w:rsidRPr="00023D89">
        <w:t xml:space="preserve">This equates to a </w:t>
      </w:r>
      <w:r w:rsidR="00C24D6D">
        <w:t xml:space="preserve">5.7 </w:t>
      </w:r>
      <w:r w:rsidR="00595E25" w:rsidRPr="00023D89">
        <w:t xml:space="preserve">per cent </w:t>
      </w:r>
      <w:r w:rsidR="00595E25">
        <w:t>de</w:t>
      </w:r>
      <w:r w:rsidR="00595E25" w:rsidRPr="00023D89">
        <w:t xml:space="preserve">crease in the </w:t>
      </w:r>
      <w:r w:rsidR="00595E25">
        <w:t>average customer’s</w:t>
      </w:r>
      <w:r w:rsidR="00595E25" w:rsidRPr="00023D89">
        <w:t xml:space="preserve"> total bill</w:t>
      </w:r>
      <w:r w:rsidR="00595E25">
        <w:t xml:space="preserve"> over 2 years</w:t>
      </w:r>
      <w:r w:rsidR="00595E25" w:rsidRPr="00023D89">
        <w:t>.</w:t>
      </w:r>
    </w:p>
    <w:p w:rsidR="00212C68" w:rsidRPr="008E1FC7" w:rsidRDefault="00212C68" w:rsidP="00212C68">
      <w:r w:rsidRPr="00DF0A88">
        <w:rPr>
          <w:rStyle w:val="AERbody"/>
        </w:rPr>
        <w:t>By comparison, had we accepted TasNetworks'</w:t>
      </w:r>
      <w:r>
        <w:rPr>
          <w:rStyle w:val="AERbody"/>
        </w:rPr>
        <w:t xml:space="preserve"> revised</w:t>
      </w:r>
      <w:r w:rsidRPr="00DF0A88">
        <w:rPr>
          <w:rStyle w:val="AERbody"/>
        </w:rPr>
        <w:t xml:space="preserve"> proposal, the expected distribution component of the average annual residential electricity bill in 2018–19 would </w:t>
      </w:r>
      <w:r w:rsidRPr="00DF0A88">
        <w:t>reduce by about $</w:t>
      </w:r>
      <w:r w:rsidR="00D34524">
        <w:t>1</w:t>
      </w:r>
      <w:r w:rsidR="005629E5">
        <w:t>37</w:t>
      </w:r>
      <w:r w:rsidR="00D34524" w:rsidRPr="00DF0A88">
        <w:t xml:space="preserve"> </w:t>
      </w:r>
      <w:r w:rsidRPr="00DF0A88">
        <w:t>($ nominal) below the 2016–17 level.</w:t>
      </w:r>
      <w:r w:rsidR="00C24D6D">
        <w:t xml:space="preserve"> </w:t>
      </w:r>
      <w:r w:rsidR="00C24D6D" w:rsidRPr="00023D89">
        <w:t xml:space="preserve">This equates to a </w:t>
      </w:r>
      <w:r w:rsidR="00C24D6D">
        <w:t xml:space="preserve">7.1 </w:t>
      </w:r>
      <w:r w:rsidR="00C24D6D" w:rsidRPr="00023D89">
        <w:t xml:space="preserve">per cent </w:t>
      </w:r>
      <w:r w:rsidR="00C24D6D">
        <w:t>de</w:t>
      </w:r>
      <w:r w:rsidR="00C24D6D" w:rsidRPr="00023D89">
        <w:t xml:space="preserve">crease in the </w:t>
      </w:r>
      <w:r w:rsidR="00C24D6D">
        <w:t>average customer’s</w:t>
      </w:r>
      <w:r w:rsidR="00C24D6D" w:rsidRPr="00023D89">
        <w:t xml:space="preserve"> total bill</w:t>
      </w:r>
      <w:r w:rsidR="00C24D6D">
        <w:t xml:space="preserve"> over 2 years</w:t>
      </w:r>
      <w:r w:rsidR="00C24D6D" w:rsidRPr="00023D89">
        <w:t>.</w:t>
      </w:r>
    </w:p>
    <w:p w:rsidR="00212C68" w:rsidRPr="008E1FC7" w:rsidRDefault="00212C68" w:rsidP="00212C68">
      <w:pPr>
        <w:numPr>
          <w:ilvl w:val="0"/>
          <w:numId w:val="24"/>
        </w:numPr>
      </w:pPr>
      <w:r w:rsidRPr="008E1FC7">
        <w:t>Our estimate</w:t>
      </w:r>
      <w:r>
        <w:t xml:space="preserve"> of the</w:t>
      </w:r>
      <w:r w:rsidRPr="008E1FC7">
        <w:t xml:space="preserve"> potential impact </w:t>
      </w:r>
      <w:r>
        <w:t xml:space="preserve">our final decision will have for TasNetworks' residential customers </w:t>
      </w:r>
      <w:r w:rsidRPr="008E1FC7">
        <w:t xml:space="preserve">is based on </w:t>
      </w:r>
      <w:r>
        <w:t>an</w:t>
      </w:r>
      <w:r w:rsidRPr="008E1FC7">
        <w:t xml:space="preserve"> annual electricity usage of </w:t>
      </w:r>
      <w:r>
        <w:t xml:space="preserve">around </w:t>
      </w:r>
      <w:r w:rsidR="008A3D6D">
        <w:rPr>
          <w:rStyle w:val="AERbody"/>
        </w:rPr>
        <w:t>8550</w:t>
      </w:r>
      <w:r>
        <w:rPr>
          <w:rStyle w:val="AERbody"/>
        </w:rPr>
        <w:t> </w:t>
      </w:r>
      <w:r w:rsidRPr="00874D66">
        <w:rPr>
          <w:rStyle w:val="AERbody"/>
        </w:rPr>
        <w:t>kWh</w:t>
      </w:r>
      <w:r w:rsidRPr="008E1FC7">
        <w:t xml:space="preserve"> per annum for a residential customer in </w:t>
      </w:r>
      <w:r>
        <w:t>Tasmania</w:t>
      </w:r>
      <w:r w:rsidRPr="008E1FC7">
        <w:t>.</w:t>
      </w:r>
      <w:r w:rsidRPr="008E1FC7">
        <w:rPr>
          <w:rStyle w:val="FootnoteReference"/>
        </w:rPr>
        <w:footnoteReference w:id="10"/>
      </w:r>
      <w:r w:rsidRPr="008E1FC7">
        <w:t xml:space="preserve"> Therefore</w:t>
      </w:r>
      <w:r w:rsidR="00066E84">
        <w:t>,</w:t>
      </w:r>
      <w:r w:rsidRPr="008E1FC7">
        <w:t xml:space="preserve"> customers with different usage will experience different changes in their bills. We also note that there are other factors, such as </w:t>
      </w:r>
      <w:r>
        <w:t xml:space="preserve">metering costs, </w:t>
      </w:r>
      <w:r w:rsidRPr="008E1FC7">
        <w:t xml:space="preserve">transmission network costs, wholesale and retail costs, which affect electricity bills. </w:t>
      </w:r>
    </w:p>
    <w:p w:rsidR="00C24D6D" w:rsidRDefault="00212C68" w:rsidP="00212C68">
      <w:pPr>
        <w:rPr>
          <w:rStyle w:val="AERbody"/>
        </w:rPr>
      </w:pPr>
      <w:r w:rsidRPr="008E1FC7">
        <w:t xml:space="preserve">Similarly, for an average small business customer in </w:t>
      </w:r>
      <w:r>
        <w:t xml:space="preserve">Tasmania </w:t>
      </w:r>
      <w:r w:rsidRPr="008E1FC7">
        <w:t xml:space="preserve">that uses approximately </w:t>
      </w:r>
      <w:r w:rsidR="008C47BE">
        <w:rPr>
          <w:rStyle w:val="AERbody"/>
        </w:rPr>
        <w:t>10250</w:t>
      </w:r>
      <w:r>
        <w:rPr>
          <w:rStyle w:val="AERbody"/>
        </w:rPr>
        <w:t xml:space="preserve"> k</w:t>
      </w:r>
      <w:r w:rsidRPr="00874D66">
        <w:rPr>
          <w:rStyle w:val="AERbody"/>
        </w:rPr>
        <w:t>Wh</w:t>
      </w:r>
      <w:r w:rsidRPr="008E1FC7">
        <w:t xml:space="preserve"> of electricity per annum,</w:t>
      </w:r>
      <w:r>
        <w:rPr>
          <w:rStyle w:val="FootnoteReference"/>
        </w:rPr>
        <w:footnoteReference w:id="11"/>
      </w:r>
      <w:r w:rsidRPr="008E1FC7">
        <w:t xml:space="preserve"> our </w:t>
      </w:r>
      <w:r>
        <w:t>final</w:t>
      </w:r>
      <w:r w:rsidRPr="008E1FC7">
        <w:t xml:space="preserve"> decision for</w:t>
      </w:r>
      <w:r>
        <w:t xml:space="preserve"> TasNetworks</w:t>
      </w:r>
      <w:r w:rsidRPr="008E1FC7">
        <w:t xml:space="preserve"> is expected to lead to lower average annual electricity bills</w:t>
      </w:r>
      <w:r>
        <w:t xml:space="preserve">. </w:t>
      </w:r>
      <w:r w:rsidRPr="00DF0A88">
        <w:t xml:space="preserve">The distribution component of the average annual </w:t>
      </w:r>
      <w:r>
        <w:t>small business</w:t>
      </w:r>
      <w:r w:rsidRPr="00DF0A88">
        <w:t xml:space="preserve"> electricity bill in 2018–19 is expected to reduce by about $</w:t>
      </w:r>
      <w:r w:rsidR="00DA578A">
        <w:t>18</w:t>
      </w:r>
      <w:r w:rsidR="00A83160">
        <w:t>4</w:t>
      </w:r>
      <w:r w:rsidR="00BA7310">
        <w:t xml:space="preserve"> </w:t>
      </w:r>
      <w:r w:rsidRPr="00DF0A88">
        <w:t>($ nominal) below the 2016–17 level.</w:t>
      </w:r>
      <w:r w:rsidRPr="00DF0A88">
        <w:rPr>
          <w:rStyle w:val="AERbody"/>
        </w:rPr>
        <w:t xml:space="preserve"> </w:t>
      </w:r>
      <w:r w:rsidR="00C24D6D" w:rsidRPr="00023D89">
        <w:t xml:space="preserve">This equates to a </w:t>
      </w:r>
      <w:r w:rsidR="00C24D6D">
        <w:t xml:space="preserve">5.7 </w:t>
      </w:r>
      <w:r w:rsidR="00C24D6D" w:rsidRPr="00023D89">
        <w:t xml:space="preserve">per cent </w:t>
      </w:r>
      <w:r w:rsidR="00C24D6D">
        <w:t>de</w:t>
      </w:r>
      <w:r w:rsidR="00C24D6D" w:rsidRPr="00023D89">
        <w:t xml:space="preserve">crease in the </w:t>
      </w:r>
      <w:r w:rsidR="00C24D6D">
        <w:t>average customer’s</w:t>
      </w:r>
      <w:r w:rsidR="00C24D6D" w:rsidRPr="00023D89">
        <w:t xml:space="preserve"> total bill</w:t>
      </w:r>
      <w:r w:rsidR="00C24D6D">
        <w:t xml:space="preserve"> over 2 years</w:t>
      </w:r>
      <w:r w:rsidR="00C24D6D" w:rsidRPr="00023D89">
        <w:t>.</w:t>
      </w:r>
    </w:p>
    <w:p w:rsidR="000D4227" w:rsidRPr="00212C68" w:rsidRDefault="00212C68" w:rsidP="00212C68">
      <w:r w:rsidRPr="00DF0A88">
        <w:rPr>
          <w:rStyle w:val="AERbody"/>
        </w:rPr>
        <w:t xml:space="preserve">By comparison, had we accepted TasNetworks' </w:t>
      </w:r>
      <w:r>
        <w:rPr>
          <w:rStyle w:val="AERbody"/>
        </w:rPr>
        <w:t xml:space="preserve">revised </w:t>
      </w:r>
      <w:r w:rsidRPr="00DF0A88">
        <w:rPr>
          <w:rStyle w:val="AERbody"/>
        </w:rPr>
        <w:t xml:space="preserve">proposal, the expected distribution component of the average annual residential electricity bill in 2018–19 would </w:t>
      </w:r>
      <w:r w:rsidRPr="00DF0A88">
        <w:t>reduce by about $</w:t>
      </w:r>
      <w:r w:rsidR="00DA578A">
        <w:t>230</w:t>
      </w:r>
      <w:r w:rsidR="00BA7310">
        <w:t xml:space="preserve"> </w:t>
      </w:r>
      <w:r w:rsidRPr="00DF0A88">
        <w:t>($ nominal) below the 2016–17 level.</w:t>
      </w:r>
      <w:r w:rsidR="00C24D6D">
        <w:t xml:space="preserve"> </w:t>
      </w:r>
      <w:r w:rsidR="00C24D6D" w:rsidRPr="00023D89">
        <w:t xml:space="preserve">This equates to a </w:t>
      </w:r>
      <w:r w:rsidR="00C24D6D">
        <w:t xml:space="preserve">7.1 </w:t>
      </w:r>
      <w:r w:rsidR="00C24D6D" w:rsidRPr="00023D89">
        <w:t xml:space="preserve">per cent </w:t>
      </w:r>
      <w:r w:rsidR="00C24D6D">
        <w:t>de</w:t>
      </w:r>
      <w:r w:rsidR="00C24D6D" w:rsidRPr="00023D89">
        <w:t xml:space="preserve">crease in the </w:t>
      </w:r>
      <w:r w:rsidR="00C24D6D">
        <w:t>average customer’s</w:t>
      </w:r>
      <w:r w:rsidR="00C24D6D" w:rsidRPr="00023D89">
        <w:t xml:space="preserve"> total bill</w:t>
      </w:r>
      <w:r w:rsidR="00C24D6D">
        <w:t xml:space="preserve"> over 2 years</w:t>
      </w:r>
      <w:r w:rsidR="00C24D6D" w:rsidRPr="00023D89">
        <w:t>.</w:t>
      </w:r>
      <w:r>
        <w:fldChar w:fldCharType="begin"/>
      </w:r>
      <w:r>
        <w:instrText xml:space="preserve"> REF _Ref400716413 \h </w:instrText>
      </w:r>
      <w:r>
        <w:fldChar w:fldCharType="separate"/>
      </w:r>
    </w:p>
    <w:p w:rsidR="00803908" w:rsidRPr="00212C68" w:rsidRDefault="000D4227" w:rsidP="00212C68">
      <w:r>
        <w:t xml:space="preserve">Table </w:t>
      </w:r>
      <w:r>
        <w:rPr>
          <w:noProof/>
        </w:rPr>
        <w:t>1</w:t>
      </w:r>
      <w:r>
        <w:t>.</w:t>
      </w:r>
      <w:r>
        <w:rPr>
          <w:noProof/>
        </w:rPr>
        <w:t>4</w:t>
      </w:r>
      <w:r w:rsidR="00212C68">
        <w:fldChar w:fldCharType="end"/>
      </w:r>
      <w:r w:rsidR="00212C68">
        <w:t xml:space="preserve"> </w:t>
      </w:r>
      <w:r w:rsidR="00212C68" w:rsidRPr="008E1FC7">
        <w:t xml:space="preserve">shows the estimated annual average impact of our </w:t>
      </w:r>
      <w:r w:rsidR="00212C68">
        <w:t>final</w:t>
      </w:r>
      <w:r w:rsidR="00212C68" w:rsidRPr="008E1FC7">
        <w:t xml:space="preserve"> decision for  the </w:t>
      </w:r>
      <w:r w:rsidR="00212C68">
        <w:t>2017–19</w:t>
      </w:r>
      <w:r w:rsidR="00212C68" w:rsidRPr="008E1FC7">
        <w:t xml:space="preserve"> regulatory control period and </w:t>
      </w:r>
      <w:r w:rsidR="00212C68">
        <w:t>TasNetworks'</w:t>
      </w:r>
      <w:r w:rsidR="00212C68" w:rsidRPr="008E1FC7">
        <w:t xml:space="preserve"> </w:t>
      </w:r>
      <w:r w:rsidR="00212C68">
        <w:t xml:space="preserve">revised </w:t>
      </w:r>
      <w:r w:rsidR="00212C68" w:rsidRPr="008E1FC7">
        <w:t xml:space="preserve">proposal on the average residential and small business customers' annual electricity bills. </w:t>
      </w:r>
      <w:r w:rsidR="00212C68" w:rsidRPr="00D70495">
        <w:t>As explained above, these bill impact estimates are indicative only, and individual customers’ actual bills will depend on their usage patterns and the structure of their tariffs.</w:t>
      </w:r>
      <w:bookmarkStart w:id="103" w:name="_Ref400716413"/>
    </w:p>
    <w:p w:rsidR="00212C68" w:rsidRPr="00F50889" w:rsidRDefault="00212C68" w:rsidP="007D74CF">
      <w:pPr>
        <w:pStyle w:val="Caption"/>
        <w:rPr>
          <w:rStyle w:val="AERbody"/>
        </w:rPr>
      </w:pPr>
      <w:r>
        <w:lastRenderedPageBreak/>
        <w:t xml:space="preserve">Table </w:t>
      </w:r>
      <w:r w:rsidRPr="00212C68">
        <w:fldChar w:fldCharType="begin"/>
      </w:r>
      <w:r>
        <w:instrText xml:space="preserve"> STYLEREF 1 \s </w:instrText>
      </w:r>
      <w:r w:rsidRPr="00212C68">
        <w:fldChar w:fldCharType="separate"/>
      </w:r>
      <w:r w:rsidR="000D4227">
        <w:rPr>
          <w:noProof/>
        </w:rPr>
        <w:t>1</w:t>
      </w:r>
      <w:r w:rsidRPr="00212C68">
        <w:fldChar w:fldCharType="end"/>
      </w:r>
      <w:r>
        <w:t>.</w:t>
      </w:r>
      <w:r w:rsidRPr="00212C68">
        <w:fldChar w:fldCharType="begin"/>
      </w:r>
      <w:r>
        <w:instrText xml:space="preserve"> SEQ Table \* ARABIC \s 1 </w:instrText>
      </w:r>
      <w:r w:rsidRPr="00212C68">
        <w:fldChar w:fldCharType="separate"/>
      </w:r>
      <w:r w:rsidR="000D4227">
        <w:rPr>
          <w:noProof/>
        </w:rPr>
        <w:t>4</w:t>
      </w:r>
      <w:r w:rsidRPr="00212C68">
        <w:fldChar w:fldCharType="end"/>
      </w:r>
      <w:bookmarkEnd w:id="103"/>
      <w:r>
        <w:tab/>
        <w:t>E</w:t>
      </w:r>
      <w:r w:rsidRPr="00EF62B7">
        <w:t xml:space="preserve">stimated impact of </w:t>
      </w:r>
      <w:r>
        <w:t xml:space="preserve">TasNetworks' revised </w:t>
      </w:r>
      <w:r w:rsidRPr="00B81CDA">
        <w:t xml:space="preserve">proposal </w:t>
      </w:r>
      <w:r>
        <w:t>and the AER's final</w:t>
      </w:r>
      <w:r w:rsidRPr="00EF62B7">
        <w:t xml:space="preserve"> decision on </w:t>
      </w:r>
      <w:r>
        <w:t xml:space="preserve">annual </w:t>
      </w:r>
      <w:r w:rsidRPr="00EF62B7">
        <w:t xml:space="preserve">electricity </w:t>
      </w:r>
      <w:r>
        <w:t>bills</w:t>
      </w:r>
      <w:r w:rsidRPr="00EF62B7">
        <w:t xml:space="preserve"> for </w:t>
      </w:r>
      <w:r>
        <w:t>the 2017–19 regulatory control period</w:t>
      </w:r>
      <w:r w:rsidRPr="00EF62B7">
        <w:t xml:space="preserve"> ($ nominal)</w:t>
      </w:r>
    </w:p>
    <w:tbl>
      <w:tblPr>
        <w:tblStyle w:val="AERtable-numbers"/>
        <w:tblW w:w="5000" w:type="pct"/>
        <w:tblLook w:val="04A0" w:firstRow="1" w:lastRow="0" w:firstColumn="1" w:lastColumn="0" w:noHBand="0" w:noVBand="1"/>
      </w:tblPr>
      <w:tblGrid>
        <w:gridCol w:w="3821"/>
        <w:gridCol w:w="1040"/>
        <w:gridCol w:w="2227"/>
        <w:gridCol w:w="1605"/>
      </w:tblGrid>
      <w:tr w:rsidR="00212C68" w:rsidRPr="00164ED7" w:rsidTr="00BA731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12C68" w:rsidRPr="00212C68" w:rsidRDefault="00212C68" w:rsidP="00A62A79">
            <w:pPr>
              <w:keepNext/>
            </w:pPr>
            <w:r w:rsidRPr="008E1FC7">
              <w:t> </w:t>
            </w:r>
          </w:p>
        </w:tc>
        <w:tc>
          <w:tcPr>
            <w:tcW w:w="598" w:type="pct"/>
            <w:noWrap/>
            <w:hideMark/>
          </w:tcPr>
          <w:p w:rsidR="00212C68" w:rsidRPr="00212C68" w:rsidRDefault="00212C68" w:rsidP="00A62A79">
            <w:pPr>
              <w:keepNext/>
              <w:cnfStyle w:val="100000000000" w:firstRow="1" w:lastRow="0" w:firstColumn="0" w:lastColumn="0" w:oddVBand="0" w:evenVBand="0" w:oddHBand="0" w:evenHBand="0" w:firstRowFirstColumn="0" w:firstRowLastColumn="0" w:lastRowFirstColumn="0" w:lastRowLastColumn="0"/>
            </w:pPr>
            <w:r>
              <w:t>2016–17</w:t>
            </w:r>
          </w:p>
        </w:tc>
        <w:tc>
          <w:tcPr>
            <w:tcW w:w="1281" w:type="pct"/>
            <w:noWrap/>
            <w:hideMark/>
          </w:tcPr>
          <w:p w:rsidR="00212C68" w:rsidRPr="00212C68" w:rsidRDefault="00212C68" w:rsidP="00A62A79">
            <w:pPr>
              <w:keepNext/>
              <w:cnfStyle w:val="100000000000" w:firstRow="1" w:lastRow="0" w:firstColumn="0" w:lastColumn="0" w:oddVBand="0" w:evenVBand="0" w:oddHBand="0" w:evenHBand="0" w:firstRowFirstColumn="0" w:firstRowLastColumn="0" w:lastRowFirstColumn="0" w:lastRowLastColumn="0"/>
            </w:pPr>
            <w:r>
              <w:t>2017–18</w:t>
            </w:r>
          </w:p>
        </w:tc>
        <w:tc>
          <w:tcPr>
            <w:tcW w:w="923" w:type="pct"/>
            <w:noWrap/>
            <w:hideMark/>
          </w:tcPr>
          <w:p w:rsidR="00212C68" w:rsidRPr="00212C68" w:rsidRDefault="00212C68" w:rsidP="00A62A79">
            <w:pPr>
              <w:keepNext/>
              <w:cnfStyle w:val="100000000000" w:firstRow="1" w:lastRow="0" w:firstColumn="0" w:lastColumn="0" w:oddVBand="0" w:evenVBand="0" w:oddHBand="0" w:evenHBand="0" w:firstRowFirstColumn="0" w:firstRowLastColumn="0" w:lastRowFirstColumn="0" w:lastRowLastColumn="0"/>
            </w:pPr>
            <w:r>
              <w:t>2018–19</w:t>
            </w:r>
          </w:p>
        </w:tc>
      </w:tr>
      <w:tr w:rsidR="00212C68" w:rsidRPr="00164ED7" w:rsidTr="00BA7310">
        <w:trPr>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12C68" w:rsidRPr="00212C68" w:rsidRDefault="00212C68" w:rsidP="00A62A79">
            <w:pPr>
              <w:keepNext/>
              <w:rPr>
                <w:rStyle w:val="Strong"/>
                <w:b w:val="0"/>
                <w:color w:val="FFFFFF"/>
              </w:rPr>
            </w:pPr>
            <w:r w:rsidRPr="008764B6">
              <w:rPr>
                <w:rStyle w:val="Strong"/>
              </w:rPr>
              <w:t xml:space="preserve">AER </w:t>
            </w:r>
            <w:r w:rsidR="00F84E24">
              <w:rPr>
                <w:rStyle w:val="Strong"/>
              </w:rPr>
              <w:t>final</w:t>
            </w:r>
            <w:r w:rsidRPr="00212C68">
              <w:rPr>
                <w:rStyle w:val="Strong"/>
              </w:rPr>
              <w:t xml:space="preserve"> decision</w:t>
            </w:r>
          </w:p>
        </w:tc>
        <w:tc>
          <w:tcPr>
            <w:tcW w:w="598" w:type="pct"/>
            <w:noWrap/>
          </w:tcPr>
          <w:p w:rsidR="00212C68" w:rsidRPr="008764B6" w:rsidRDefault="00212C68" w:rsidP="00A62A79">
            <w:pPr>
              <w:keepNext/>
              <w:cnfStyle w:val="000000000000" w:firstRow="0" w:lastRow="0" w:firstColumn="0" w:lastColumn="0" w:oddVBand="0" w:evenVBand="0" w:oddHBand="0" w:evenHBand="0" w:firstRowFirstColumn="0" w:firstRowLastColumn="0" w:lastRowFirstColumn="0" w:lastRowLastColumn="0"/>
            </w:pPr>
          </w:p>
        </w:tc>
        <w:tc>
          <w:tcPr>
            <w:tcW w:w="1281" w:type="pct"/>
            <w:noWrap/>
          </w:tcPr>
          <w:p w:rsidR="00212C68" w:rsidRPr="008764B6" w:rsidRDefault="00212C68" w:rsidP="00A62A79">
            <w:pPr>
              <w:keepNext/>
              <w:cnfStyle w:val="000000000000" w:firstRow="0" w:lastRow="0" w:firstColumn="0" w:lastColumn="0" w:oddVBand="0" w:evenVBand="0" w:oddHBand="0" w:evenHBand="0" w:firstRowFirstColumn="0" w:firstRowLastColumn="0" w:lastRowFirstColumn="0" w:lastRowLastColumn="0"/>
            </w:pPr>
          </w:p>
        </w:tc>
        <w:tc>
          <w:tcPr>
            <w:tcW w:w="923" w:type="pct"/>
            <w:noWrap/>
          </w:tcPr>
          <w:p w:rsidR="00212C68" w:rsidRPr="008764B6" w:rsidRDefault="00212C68" w:rsidP="00A62A79">
            <w:pPr>
              <w:keepNext/>
              <w:cnfStyle w:val="000000000000" w:firstRow="0" w:lastRow="0" w:firstColumn="0" w:lastColumn="0" w:oddVBand="0" w:evenVBand="0" w:oddHBand="0" w:evenHBand="0" w:firstRowFirstColumn="0" w:firstRowLastColumn="0" w:lastRowFirstColumn="0" w:lastRowLastColumn="0"/>
            </w:pPr>
          </w:p>
        </w:tc>
      </w:tr>
      <w:tr w:rsidR="00274FCE" w:rsidRPr="00164ED7" w:rsidTr="00BA731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74FCE" w:rsidRPr="00274FCE" w:rsidRDefault="00274FCE" w:rsidP="00A62A79">
            <w:pPr>
              <w:keepNext/>
            </w:pPr>
            <w:r w:rsidRPr="00274FCE">
              <w:t>Residential annual bill</w:t>
            </w:r>
          </w:p>
        </w:tc>
        <w:tc>
          <w:tcPr>
            <w:tcW w:w="598" w:type="pct"/>
            <w:noWrap/>
          </w:tcPr>
          <w:p w:rsidR="00274FCE" w:rsidRPr="00274FCE" w:rsidRDefault="00274FCE" w:rsidP="00A62A79">
            <w:pPr>
              <w:keepNext/>
              <w:cnfStyle w:val="000000010000" w:firstRow="0" w:lastRow="0" w:firstColumn="0" w:lastColumn="0" w:oddVBand="0" w:evenVBand="0" w:oddHBand="0" w:evenHBand="1" w:firstRowFirstColumn="0" w:firstRowLastColumn="0" w:lastRowFirstColumn="0" w:lastRowLastColumn="0"/>
              <w:rPr>
                <w:rStyle w:val="AERsuperscript"/>
              </w:rPr>
            </w:pPr>
            <w:r w:rsidRPr="00274FCE">
              <w:t>1920</w:t>
            </w:r>
            <w:r w:rsidRPr="00274FCE">
              <w:rPr>
                <w:rStyle w:val="AERsuperscript"/>
              </w:rPr>
              <w:t>a</w:t>
            </w:r>
          </w:p>
        </w:tc>
        <w:tc>
          <w:tcPr>
            <w:tcW w:w="1281" w:type="pct"/>
            <w:noWrap/>
            <w:vAlign w:val="bottom"/>
          </w:tcPr>
          <w:p w:rsidR="00274FCE" w:rsidRPr="00274FCE" w:rsidRDefault="00274FCE" w:rsidP="00A83160">
            <w:pPr>
              <w:keepNext/>
              <w:cnfStyle w:val="000000010000" w:firstRow="0" w:lastRow="0" w:firstColumn="0" w:lastColumn="0" w:oddVBand="0" w:evenVBand="0" w:oddHBand="0" w:evenHBand="1" w:firstRowFirstColumn="0" w:firstRowLastColumn="0" w:lastRowFirstColumn="0" w:lastRowLastColumn="0"/>
            </w:pPr>
            <w:r w:rsidRPr="00274FCE">
              <w:t>178</w:t>
            </w:r>
            <w:r w:rsidR="00A83160">
              <w:t>7</w:t>
            </w:r>
          </w:p>
        </w:tc>
        <w:tc>
          <w:tcPr>
            <w:tcW w:w="923" w:type="pct"/>
            <w:noWrap/>
            <w:vAlign w:val="bottom"/>
          </w:tcPr>
          <w:p w:rsidR="00274FCE" w:rsidRPr="00274FCE" w:rsidRDefault="00274FCE" w:rsidP="00A83160">
            <w:pPr>
              <w:keepNext/>
              <w:cnfStyle w:val="000000010000" w:firstRow="0" w:lastRow="0" w:firstColumn="0" w:lastColumn="0" w:oddVBand="0" w:evenVBand="0" w:oddHBand="0" w:evenHBand="1" w:firstRowFirstColumn="0" w:firstRowLastColumn="0" w:lastRowFirstColumn="0" w:lastRowLastColumn="0"/>
            </w:pPr>
            <w:r w:rsidRPr="00274FCE">
              <w:t>181</w:t>
            </w:r>
            <w:r w:rsidR="00A83160">
              <w:t>0</w:t>
            </w:r>
          </w:p>
        </w:tc>
      </w:tr>
      <w:tr w:rsidR="00274FCE" w:rsidRPr="00164ED7" w:rsidTr="00BA7310">
        <w:trPr>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74FCE" w:rsidRPr="00274FCE" w:rsidRDefault="00274FCE" w:rsidP="00A62A79">
            <w:pPr>
              <w:keepNext/>
            </w:pPr>
            <w:r w:rsidRPr="00274FCE">
              <w:t>Annual change</w:t>
            </w:r>
            <w:r w:rsidRPr="00274FCE">
              <w:rPr>
                <w:rStyle w:val="AERsuperscript"/>
              </w:rPr>
              <w:t>c</w:t>
            </w:r>
          </w:p>
        </w:tc>
        <w:tc>
          <w:tcPr>
            <w:tcW w:w="598" w:type="pct"/>
            <w:noWrap/>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p>
        </w:tc>
        <w:tc>
          <w:tcPr>
            <w:tcW w:w="1281" w:type="pct"/>
            <w:noWrap/>
            <w:vAlign w:val="bottom"/>
          </w:tcPr>
          <w:p w:rsidR="00274FCE" w:rsidRPr="00274FCE" w:rsidRDefault="00274FCE" w:rsidP="00A83160">
            <w:pPr>
              <w:keepNext/>
              <w:cnfStyle w:val="000000000000" w:firstRow="0" w:lastRow="0" w:firstColumn="0" w:lastColumn="0" w:oddVBand="0" w:evenVBand="0" w:oddHBand="0" w:evenHBand="0" w:firstRowFirstColumn="0" w:firstRowLastColumn="0" w:lastRowFirstColumn="0" w:lastRowLastColumn="0"/>
            </w:pPr>
            <w:r w:rsidRPr="00274FCE">
              <w:t>–13</w:t>
            </w:r>
            <w:r w:rsidR="00A83160">
              <w:t>3</w:t>
            </w:r>
            <w:r w:rsidRPr="00274FCE">
              <w:t xml:space="preserve"> (–6.</w:t>
            </w:r>
            <w:r w:rsidR="00A83160">
              <w:t>9</w:t>
            </w:r>
            <w:r w:rsidR="00A83160" w:rsidRPr="00274FCE">
              <w:t xml:space="preserve"> </w:t>
            </w:r>
            <w:r w:rsidRPr="00274FCE">
              <w:t>%)</w:t>
            </w:r>
          </w:p>
        </w:tc>
        <w:tc>
          <w:tcPr>
            <w:tcW w:w="923" w:type="pct"/>
            <w:noWrap/>
            <w:vAlign w:val="bottom"/>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r w:rsidRPr="00274FCE">
              <w:t>23 (1.3%)</w:t>
            </w:r>
          </w:p>
        </w:tc>
      </w:tr>
      <w:tr w:rsidR="00274FCE" w:rsidRPr="00164ED7" w:rsidTr="00BA731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74FCE" w:rsidRPr="00274FCE" w:rsidRDefault="00274FCE" w:rsidP="00A62A79">
            <w:pPr>
              <w:keepNext/>
            </w:pPr>
            <w:r w:rsidRPr="00274FCE">
              <w:t>Small business annual bill</w:t>
            </w:r>
          </w:p>
        </w:tc>
        <w:tc>
          <w:tcPr>
            <w:tcW w:w="598" w:type="pct"/>
            <w:noWrap/>
          </w:tcPr>
          <w:p w:rsidR="00274FCE" w:rsidRPr="00274FCE" w:rsidRDefault="00274FCE" w:rsidP="00A62A79">
            <w:pPr>
              <w:keepNext/>
              <w:cnfStyle w:val="000000010000" w:firstRow="0" w:lastRow="0" w:firstColumn="0" w:lastColumn="0" w:oddVBand="0" w:evenVBand="0" w:oddHBand="0" w:evenHBand="1" w:firstRowFirstColumn="0" w:firstRowLastColumn="0" w:lastRowFirstColumn="0" w:lastRowLastColumn="0"/>
              <w:rPr>
                <w:rStyle w:val="AERsuperscript"/>
              </w:rPr>
            </w:pPr>
            <w:r w:rsidRPr="00274FCE">
              <w:t>3229</w:t>
            </w:r>
            <w:r w:rsidRPr="00274FCE">
              <w:rPr>
                <w:rStyle w:val="AERsuperscript"/>
              </w:rPr>
              <w:t>b</w:t>
            </w:r>
          </w:p>
        </w:tc>
        <w:tc>
          <w:tcPr>
            <w:tcW w:w="1281" w:type="pct"/>
            <w:noWrap/>
            <w:vAlign w:val="bottom"/>
          </w:tcPr>
          <w:p w:rsidR="00274FCE" w:rsidRPr="00274FCE" w:rsidRDefault="00274FCE" w:rsidP="00A83160">
            <w:pPr>
              <w:keepNext/>
              <w:cnfStyle w:val="000000010000" w:firstRow="0" w:lastRow="0" w:firstColumn="0" w:lastColumn="0" w:oddVBand="0" w:evenVBand="0" w:oddHBand="0" w:evenHBand="1" w:firstRowFirstColumn="0" w:firstRowLastColumn="0" w:lastRowFirstColumn="0" w:lastRowLastColumn="0"/>
            </w:pPr>
            <w:r w:rsidRPr="00274FCE">
              <w:t>300</w:t>
            </w:r>
            <w:r w:rsidR="00A83160">
              <w:t>6</w:t>
            </w:r>
          </w:p>
        </w:tc>
        <w:tc>
          <w:tcPr>
            <w:tcW w:w="923" w:type="pct"/>
            <w:noWrap/>
            <w:vAlign w:val="bottom"/>
          </w:tcPr>
          <w:p w:rsidR="00274FCE" w:rsidRPr="00274FCE" w:rsidRDefault="00274FCE" w:rsidP="00A83160">
            <w:pPr>
              <w:keepNext/>
              <w:cnfStyle w:val="000000010000" w:firstRow="0" w:lastRow="0" w:firstColumn="0" w:lastColumn="0" w:oddVBand="0" w:evenVBand="0" w:oddHBand="0" w:evenHBand="1" w:firstRowFirstColumn="0" w:firstRowLastColumn="0" w:lastRowFirstColumn="0" w:lastRowLastColumn="0"/>
            </w:pPr>
            <w:r w:rsidRPr="00274FCE">
              <w:t>304</w:t>
            </w:r>
            <w:r w:rsidR="00A83160">
              <w:t>5</w:t>
            </w:r>
          </w:p>
        </w:tc>
      </w:tr>
      <w:tr w:rsidR="00274FCE" w:rsidRPr="00164ED7" w:rsidTr="00BA7310">
        <w:trPr>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74FCE" w:rsidRPr="00274FCE" w:rsidRDefault="00274FCE" w:rsidP="00A62A79">
            <w:pPr>
              <w:keepNext/>
            </w:pPr>
            <w:r w:rsidRPr="00274FCE">
              <w:t>Annual change</w:t>
            </w:r>
            <w:r w:rsidRPr="00274FCE">
              <w:rPr>
                <w:rStyle w:val="AERsuperscript"/>
              </w:rPr>
              <w:t>c</w:t>
            </w:r>
          </w:p>
        </w:tc>
        <w:tc>
          <w:tcPr>
            <w:tcW w:w="598" w:type="pct"/>
            <w:noWrap/>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p>
        </w:tc>
        <w:tc>
          <w:tcPr>
            <w:tcW w:w="1281" w:type="pct"/>
            <w:noWrap/>
            <w:vAlign w:val="bottom"/>
          </w:tcPr>
          <w:p w:rsidR="00274FCE" w:rsidRPr="00274FCE" w:rsidRDefault="00274FCE" w:rsidP="00A83160">
            <w:pPr>
              <w:keepNext/>
              <w:cnfStyle w:val="000000000000" w:firstRow="0" w:lastRow="0" w:firstColumn="0" w:lastColumn="0" w:oddVBand="0" w:evenVBand="0" w:oddHBand="0" w:evenHBand="0" w:firstRowFirstColumn="0" w:firstRowLastColumn="0" w:lastRowFirstColumn="0" w:lastRowLastColumn="0"/>
            </w:pPr>
            <w:r w:rsidRPr="00274FCE">
              <w:t>–22</w:t>
            </w:r>
            <w:r w:rsidR="00A83160">
              <w:t>3</w:t>
            </w:r>
            <w:r w:rsidRPr="00274FCE">
              <w:t xml:space="preserve"> (–6.</w:t>
            </w:r>
            <w:r w:rsidR="00A83160">
              <w:t>9</w:t>
            </w:r>
            <w:r w:rsidRPr="00274FCE">
              <w:t>%)</w:t>
            </w:r>
          </w:p>
        </w:tc>
        <w:tc>
          <w:tcPr>
            <w:tcW w:w="923" w:type="pct"/>
            <w:noWrap/>
            <w:vAlign w:val="bottom"/>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r w:rsidRPr="00274FCE">
              <w:t>38 (1.3%)</w:t>
            </w:r>
          </w:p>
        </w:tc>
      </w:tr>
      <w:tr w:rsidR="00212C68" w:rsidRPr="00164ED7" w:rsidTr="00BA731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12C68" w:rsidRPr="00212C68" w:rsidRDefault="00212C68" w:rsidP="00A62A79">
            <w:pPr>
              <w:keepNext/>
              <w:rPr>
                <w:rStyle w:val="Strong"/>
              </w:rPr>
            </w:pPr>
            <w:r w:rsidRPr="006E6CE2">
              <w:rPr>
                <w:rStyle w:val="Strong"/>
              </w:rPr>
              <w:t xml:space="preserve">TasNetworks </w:t>
            </w:r>
            <w:r w:rsidR="00F84E24">
              <w:rPr>
                <w:rStyle w:val="Strong"/>
              </w:rPr>
              <w:t xml:space="preserve">revised </w:t>
            </w:r>
            <w:r w:rsidRPr="006E6CE2">
              <w:rPr>
                <w:rStyle w:val="Strong"/>
              </w:rPr>
              <w:t>proposal</w:t>
            </w:r>
          </w:p>
        </w:tc>
        <w:tc>
          <w:tcPr>
            <w:tcW w:w="598" w:type="pct"/>
            <w:noWrap/>
          </w:tcPr>
          <w:p w:rsidR="00212C68" w:rsidRPr="006E6CE2" w:rsidRDefault="00212C68" w:rsidP="00A62A79">
            <w:pPr>
              <w:keepNext/>
              <w:cnfStyle w:val="000000010000" w:firstRow="0" w:lastRow="0" w:firstColumn="0" w:lastColumn="0" w:oddVBand="0" w:evenVBand="0" w:oddHBand="0" w:evenHBand="1" w:firstRowFirstColumn="0" w:firstRowLastColumn="0" w:lastRowFirstColumn="0" w:lastRowLastColumn="0"/>
            </w:pPr>
          </w:p>
        </w:tc>
        <w:tc>
          <w:tcPr>
            <w:tcW w:w="1281" w:type="pct"/>
            <w:noWrap/>
            <w:vAlign w:val="bottom"/>
          </w:tcPr>
          <w:p w:rsidR="00212C68" w:rsidRPr="00212C68" w:rsidRDefault="00212C68" w:rsidP="00A62A79">
            <w:pPr>
              <w:keepNext/>
              <w:cnfStyle w:val="000000010000" w:firstRow="0" w:lastRow="0" w:firstColumn="0" w:lastColumn="0" w:oddVBand="0" w:evenVBand="0" w:oddHBand="0" w:evenHBand="1" w:firstRowFirstColumn="0" w:firstRowLastColumn="0" w:lastRowFirstColumn="0" w:lastRowLastColumn="0"/>
            </w:pPr>
            <w:r w:rsidRPr="006E6CE2">
              <w:t> </w:t>
            </w:r>
          </w:p>
        </w:tc>
        <w:tc>
          <w:tcPr>
            <w:tcW w:w="923" w:type="pct"/>
            <w:noWrap/>
            <w:vAlign w:val="bottom"/>
          </w:tcPr>
          <w:p w:rsidR="00212C68" w:rsidRPr="00212C68" w:rsidRDefault="00212C68" w:rsidP="00A62A79">
            <w:pPr>
              <w:keepNext/>
              <w:cnfStyle w:val="000000010000" w:firstRow="0" w:lastRow="0" w:firstColumn="0" w:lastColumn="0" w:oddVBand="0" w:evenVBand="0" w:oddHBand="0" w:evenHBand="1" w:firstRowFirstColumn="0" w:firstRowLastColumn="0" w:lastRowFirstColumn="0" w:lastRowLastColumn="0"/>
            </w:pPr>
            <w:r w:rsidRPr="006E6CE2">
              <w:t> </w:t>
            </w:r>
          </w:p>
        </w:tc>
      </w:tr>
      <w:tr w:rsidR="00274FCE" w:rsidRPr="00164ED7" w:rsidTr="00BA7310">
        <w:trPr>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74FCE" w:rsidRPr="00274FCE" w:rsidRDefault="00274FCE" w:rsidP="00A62A79">
            <w:pPr>
              <w:keepNext/>
            </w:pPr>
            <w:r w:rsidRPr="00274FCE">
              <w:t>Residential annual bill</w:t>
            </w:r>
          </w:p>
        </w:tc>
        <w:tc>
          <w:tcPr>
            <w:tcW w:w="598" w:type="pct"/>
            <w:noWrap/>
            <w:vAlign w:val="bottom"/>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r w:rsidRPr="00274FCE">
              <w:t>1920</w:t>
            </w:r>
            <w:r w:rsidRPr="00274FCE">
              <w:rPr>
                <w:rStyle w:val="AERsuperscript"/>
              </w:rPr>
              <w:t>a</w:t>
            </w:r>
          </w:p>
        </w:tc>
        <w:tc>
          <w:tcPr>
            <w:tcW w:w="1281" w:type="pct"/>
            <w:noWrap/>
            <w:vAlign w:val="bottom"/>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r w:rsidRPr="00274FCE">
              <w:t>1761</w:t>
            </w:r>
          </w:p>
        </w:tc>
        <w:tc>
          <w:tcPr>
            <w:tcW w:w="923" w:type="pct"/>
            <w:noWrap/>
            <w:vAlign w:val="bottom"/>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r w:rsidRPr="00274FCE">
              <w:t>1783</w:t>
            </w:r>
          </w:p>
        </w:tc>
      </w:tr>
      <w:tr w:rsidR="00274FCE" w:rsidRPr="00164ED7" w:rsidTr="00BA731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74FCE" w:rsidRPr="00274FCE" w:rsidRDefault="00274FCE" w:rsidP="00A62A79">
            <w:pPr>
              <w:keepNext/>
            </w:pPr>
            <w:r w:rsidRPr="00274FCE">
              <w:t>Annual change</w:t>
            </w:r>
            <w:r w:rsidRPr="00274FCE">
              <w:rPr>
                <w:rStyle w:val="AERsuperscript"/>
              </w:rPr>
              <w:t>c</w:t>
            </w:r>
          </w:p>
        </w:tc>
        <w:tc>
          <w:tcPr>
            <w:tcW w:w="598" w:type="pct"/>
            <w:noWrap/>
            <w:vAlign w:val="bottom"/>
          </w:tcPr>
          <w:p w:rsidR="00274FCE" w:rsidRPr="00274FCE" w:rsidRDefault="00274FCE" w:rsidP="00A62A79">
            <w:pPr>
              <w:keepNext/>
              <w:cnfStyle w:val="000000010000" w:firstRow="0" w:lastRow="0" w:firstColumn="0" w:lastColumn="0" w:oddVBand="0" w:evenVBand="0" w:oddHBand="0" w:evenHBand="1" w:firstRowFirstColumn="0" w:firstRowLastColumn="0" w:lastRowFirstColumn="0" w:lastRowLastColumn="0"/>
            </w:pPr>
            <w:r w:rsidRPr="00274FCE">
              <w:t> </w:t>
            </w:r>
          </w:p>
        </w:tc>
        <w:tc>
          <w:tcPr>
            <w:tcW w:w="1281" w:type="pct"/>
            <w:noWrap/>
            <w:vAlign w:val="bottom"/>
          </w:tcPr>
          <w:p w:rsidR="00274FCE" w:rsidRPr="00274FCE" w:rsidRDefault="00274FCE" w:rsidP="00A62A79">
            <w:pPr>
              <w:keepNext/>
              <w:cnfStyle w:val="000000010000" w:firstRow="0" w:lastRow="0" w:firstColumn="0" w:lastColumn="0" w:oddVBand="0" w:evenVBand="0" w:oddHBand="0" w:evenHBand="1" w:firstRowFirstColumn="0" w:firstRowLastColumn="0" w:lastRowFirstColumn="0" w:lastRowLastColumn="0"/>
            </w:pPr>
            <w:r w:rsidRPr="00274FCE">
              <w:t>–159 (–8.3%)</w:t>
            </w:r>
          </w:p>
        </w:tc>
        <w:tc>
          <w:tcPr>
            <w:tcW w:w="923" w:type="pct"/>
            <w:noWrap/>
            <w:vAlign w:val="bottom"/>
          </w:tcPr>
          <w:p w:rsidR="00274FCE" w:rsidRPr="00274FCE" w:rsidRDefault="00274FCE" w:rsidP="00A62A79">
            <w:pPr>
              <w:keepNext/>
              <w:cnfStyle w:val="000000010000" w:firstRow="0" w:lastRow="0" w:firstColumn="0" w:lastColumn="0" w:oddVBand="0" w:evenVBand="0" w:oddHBand="0" w:evenHBand="1" w:firstRowFirstColumn="0" w:firstRowLastColumn="0" w:lastRowFirstColumn="0" w:lastRowLastColumn="0"/>
            </w:pPr>
            <w:r w:rsidRPr="00274FCE">
              <w:t>22 (1.3%)</w:t>
            </w:r>
          </w:p>
        </w:tc>
      </w:tr>
      <w:tr w:rsidR="00274FCE" w:rsidRPr="00164ED7" w:rsidTr="00BA7310">
        <w:trPr>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74FCE" w:rsidRPr="00274FCE" w:rsidRDefault="00274FCE" w:rsidP="00A62A79">
            <w:pPr>
              <w:keepNext/>
            </w:pPr>
            <w:r w:rsidRPr="00274FCE">
              <w:t>Small business annual bill</w:t>
            </w:r>
          </w:p>
        </w:tc>
        <w:tc>
          <w:tcPr>
            <w:tcW w:w="598" w:type="pct"/>
            <w:noWrap/>
            <w:vAlign w:val="bottom"/>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r w:rsidRPr="00274FCE">
              <w:t>3229</w:t>
            </w:r>
            <w:r w:rsidRPr="00274FCE">
              <w:rPr>
                <w:rStyle w:val="AERsuperscript"/>
              </w:rPr>
              <w:t>b</w:t>
            </w:r>
          </w:p>
        </w:tc>
        <w:tc>
          <w:tcPr>
            <w:tcW w:w="1281" w:type="pct"/>
            <w:noWrap/>
            <w:vAlign w:val="bottom"/>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r w:rsidRPr="00274FCE">
              <w:t>2962</w:t>
            </w:r>
          </w:p>
        </w:tc>
        <w:tc>
          <w:tcPr>
            <w:tcW w:w="923" w:type="pct"/>
            <w:noWrap/>
            <w:vAlign w:val="bottom"/>
          </w:tcPr>
          <w:p w:rsidR="00274FCE" w:rsidRPr="00274FCE" w:rsidRDefault="00274FCE" w:rsidP="00A62A79">
            <w:pPr>
              <w:keepNext/>
              <w:cnfStyle w:val="000000000000" w:firstRow="0" w:lastRow="0" w:firstColumn="0" w:lastColumn="0" w:oddVBand="0" w:evenVBand="0" w:oddHBand="0" w:evenHBand="0" w:firstRowFirstColumn="0" w:firstRowLastColumn="0" w:lastRowFirstColumn="0" w:lastRowLastColumn="0"/>
            </w:pPr>
            <w:r w:rsidRPr="00274FCE">
              <w:t>2999</w:t>
            </w:r>
          </w:p>
        </w:tc>
      </w:tr>
      <w:tr w:rsidR="00274FCE" w:rsidRPr="00164ED7" w:rsidTr="00BA731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198" w:type="pct"/>
            <w:noWrap/>
            <w:hideMark/>
          </w:tcPr>
          <w:p w:rsidR="00274FCE" w:rsidRPr="00274FCE" w:rsidRDefault="00274FCE" w:rsidP="00A62A79">
            <w:pPr>
              <w:keepNext/>
            </w:pPr>
            <w:r w:rsidRPr="00274FCE">
              <w:t>Annual change</w:t>
            </w:r>
            <w:r w:rsidRPr="00274FCE">
              <w:rPr>
                <w:rStyle w:val="AERsuperscript"/>
              </w:rPr>
              <w:t>c</w:t>
            </w:r>
          </w:p>
        </w:tc>
        <w:tc>
          <w:tcPr>
            <w:tcW w:w="598" w:type="pct"/>
            <w:noWrap/>
            <w:vAlign w:val="bottom"/>
          </w:tcPr>
          <w:p w:rsidR="00274FCE" w:rsidRPr="00274FCE" w:rsidRDefault="00274FCE" w:rsidP="00A62A79">
            <w:pPr>
              <w:keepNext/>
              <w:cnfStyle w:val="000000010000" w:firstRow="0" w:lastRow="0" w:firstColumn="0" w:lastColumn="0" w:oddVBand="0" w:evenVBand="0" w:oddHBand="0" w:evenHBand="1" w:firstRowFirstColumn="0" w:firstRowLastColumn="0" w:lastRowFirstColumn="0" w:lastRowLastColumn="0"/>
            </w:pPr>
            <w:r w:rsidRPr="00274FCE">
              <w:t> </w:t>
            </w:r>
          </w:p>
        </w:tc>
        <w:tc>
          <w:tcPr>
            <w:tcW w:w="1281" w:type="pct"/>
            <w:noWrap/>
            <w:vAlign w:val="bottom"/>
          </w:tcPr>
          <w:p w:rsidR="00274FCE" w:rsidRPr="00274FCE" w:rsidRDefault="00274FCE" w:rsidP="00A62A79">
            <w:pPr>
              <w:keepNext/>
              <w:cnfStyle w:val="000000010000" w:firstRow="0" w:lastRow="0" w:firstColumn="0" w:lastColumn="0" w:oddVBand="0" w:evenVBand="0" w:oddHBand="0" w:evenHBand="1" w:firstRowFirstColumn="0" w:firstRowLastColumn="0" w:lastRowFirstColumn="0" w:lastRowLastColumn="0"/>
            </w:pPr>
            <w:r w:rsidRPr="00274FCE">
              <w:t>–268 (–8.3%)</w:t>
            </w:r>
          </w:p>
        </w:tc>
        <w:tc>
          <w:tcPr>
            <w:tcW w:w="923" w:type="pct"/>
            <w:noWrap/>
            <w:vAlign w:val="bottom"/>
          </w:tcPr>
          <w:p w:rsidR="00274FCE" w:rsidRPr="00274FCE" w:rsidRDefault="00274FCE" w:rsidP="00A62A79">
            <w:pPr>
              <w:keepNext/>
              <w:cnfStyle w:val="000000010000" w:firstRow="0" w:lastRow="0" w:firstColumn="0" w:lastColumn="0" w:oddVBand="0" w:evenVBand="0" w:oddHBand="0" w:evenHBand="1" w:firstRowFirstColumn="0" w:firstRowLastColumn="0" w:lastRowFirstColumn="0" w:lastRowLastColumn="0"/>
            </w:pPr>
            <w:r w:rsidRPr="00274FCE">
              <w:t>37 (1.3%)</w:t>
            </w:r>
          </w:p>
        </w:tc>
      </w:tr>
    </w:tbl>
    <w:p w:rsidR="00212C68" w:rsidRPr="00F84E24" w:rsidRDefault="00212C68" w:rsidP="00A62A79">
      <w:pPr>
        <w:pStyle w:val="AERtablesource"/>
        <w:keepNext/>
      </w:pPr>
      <w:r w:rsidRPr="00F84E24">
        <w:t>Source:</w:t>
      </w:r>
      <w:r w:rsidRPr="00F84E24">
        <w:tab/>
        <w:t xml:space="preserve">AER analysis; </w:t>
      </w:r>
      <w:r w:rsidR="00314EC4">
        <w:t xml:space="preserve">AEMC, </w:t>
      </w:r>
      <w:r w:rsidR="00314EC4" w:rsidRPr="00132466">
        <w:rPr>
          <w:rStyle w:val="AERtextitalic"/>
        </w:rPr>
        <w:t>Final report: 2016 Residential Electricity Price Trends</w:t>
      </w:r>
      <w:r w:rsidR="00314EC4">
        <w:t xml:space="preserve">, 14 December 2016, p. </w:t>
      </w:r>
      <w:r w:rsidR="00DA578A">
        <w:t xml:space="preserve">160; </w:t>
      </w:r>
      <w:r w:rsidRPr="00F84E24">
        <w:t>AER,</w:t>
      </w:r>
      <w:r w:rsidR="00066E84">
        <w:t xml:space="preserve"> </w:t>
      </w:r>
      <w:hyperlink r:id="rId18" w:history="1">
        <w:r w:rsidR="00272C0B">
          <w:rPr>
            <w:rStyle w:val="Hyperlink"/>
            <w:sz w:val="16"/>
          </w:rPr>
          <w:t>Energy made easy website</w:t>
        </w:r>
      </w:hyperlink>
      <w:r w:rsidRPr="00F84E24">
        <w:t xml:space="preserve">; OTTER, </w:t>
      </w:r>
      <w:r w:rsidRPr="00DA578A">
        <w:rPr>
          <w:rStyle w:val="AERtextitalic"/>
        </w:rPr>
        <w:t xml:space="preserve">Information paper: Typical electricity customers, </w:t>
      </w:r>
      <w:r w:rsidRPr="00F84E24">
        <w:t>May 2014.</w:t>
      </w:r>
    </w:p>
    <w:p w:rsidR="00915340" w:rsidRPr="00D77DF8" w:rsidRDefault="00DA578A" w:rsidP="00A62A79">
      <w:pPr>
        <w:pStyle w:val="AERtablesource"/>
        <w:keepNext/>
        <w:rPr>
          <w:rStyle w:val="AERtextitalic"/>
          <w:i w:val="0"/>
        </w:rPr>
      </w:pPr>
      <w:r w:rsidRPr="00DA578A">
        <w:t>(a)</w:t>
      </w:r>
      <w:r w:rsidRPr="00DA578A">
        <w:tab/>
      </w:r>
      <w:r w:rsidR="00915340" w:rsidRPr="00D77DF8">
        <w:t xml:space="preserve">Annual bill for 2016–17 is sourced from AEMC's </w:t>
      </w:r>
      <w:r w:rsidR="00915340" w:rsidRPr="00D77DF8">
        <w:rPr>
          <w:rStyle w:val="AERtextitalic"/>
          <w:i w:val="0"/>
        </w:rPr>
        <w:t>2016 residential electricity price trends report and reflects a</w:t>
      </w:r>
      <w:r w:rsidR="00D77DF8" w:rsidRPr="00D77DF8">
        <w:rPr>
          <w:rStyle w:val="AERtextitalic"/>
          <w:i w:val="0"/>
        </w:rPr>
        <w:t xml:space="preserve">n annual consumption of </w:t>
      </w:r>
      <w:r w:rsidR="00915340" w:rsidRPr="00D77DF8">
        <w:rPr>
          <w:rStyle w:val="AERtextitalic"/>
          <w:i w:val="0"/>
        </w:rPr>
        <w:t xml:space="preserve">8550kWh </w:t>
      </w:r>
      <w:r w:rsidR="00D77DF8" w:rsidRPr="00D77DF8">
        <w:rPr>
          <w:rStyle w:val="AERtextitalic"/>
          <w:i w:val="0"/>
        </w:rPr>
        <w:t>for a residential customer in Tasmania</w:t>
      </w:r>
      <w:r w:rsidR="00915340" w:rsidRPr="00D77DF8">
        <w:rPr>
          <w:rStyle w:val="AERtextitalic"/>
          <w:i w:val="0"/>
        </w:rPr>
        <w:t>.</w:t>
      </w:r>
    </w:p>
    <w:p w:rsidR="00D77DF8" w:rsidRPr="00D77DF8" w:rsidRDefault="00D77DF8" w:rsidP="00A62A79">
      <w:pPr>
        <w:pStyle w:val="AERtablesource"/>
        <w:keepNext/>
      </w:pPr>
      <w:r w:rsidRPr="00D77DF8">
        <w:t>(c)</w:t>
      </w:r>
      <w:r w:rsidRPr="00D77DF8">
        <w:tab/>
        <w:t>Annual bill for 2016–17 is sourced from the AER's Energy Made Easy website and reflects an average annual consumption of 10252kWh for small business customers using tariff 22 in Tasmania.</w:t>
      </w:r>
    </w:p>
    <w:p w:rsidR="00DA578A" w:rsidRPr="00DA578A" w:rsidRDefault="00915340" w:rsidP="00A62A79">
      <w:pPr>
        <w:pStyle w:val="AERtablesource"/>
        <w:keepNext/>
      </w:pPr>
      <w:r>
        <w:t>(b)</w:t>
      </w:r>
      <w:r>
        <w:tab/>
      </w:r>
      <w:r w:rsidR="00DA578A" w:rsidRPr="00DA578A">
        <w:t>Annual change amounts and percentages are indicative. They are derived by varying the distribution component of 2016–17 bill amounts in proportion to yearly expected revenue divided by forecast energy as proposed by TasNetworks. Actual bill impacts will vary depending on electricity consumption and tariff class.</w:t>
      </w:r>
    </w:p>
    <w:p w:rsidR="004953A8" w:rsidRPr="004953A8" w:rsidRDefault="004953A8" w:rsidP="007D74CF"/>
    <w:sectPr w:rsidR="004953A8" w:rsidRPr="004953A8" w:rsidSect="00CF42AA">
      <w:headerReference w:type="default" r:id="rId19"/>
      <w:footerReference w:type="even" r:id="rId20"/>
      <w:footerReference w:type="default" r:id="rId21"/>
      <w:footerReference w:type="first" r:id="rId2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25" w:rsidRPr="00290C63" w:rsidRDefault="00595E25" w:rsidP="00290C63">
      <w:r>
        <w:separator/>
      </w:r>
    </w:p>
    <w:p w:rsidR="00595E25" w:rsidRDefault="00595E25"/>
  </w:endnote>
  <w:endnote w:type="continuationSeparator" w:id="0">
    <w:p w:rsidR="00595E25" w:rsidRPr="00290C63" w:rsidRDefault="00595E25" w:rsidP="00290C63">
      <w:r>
        <w:continuationSeparator/>
      </w:r>
    </w:p>
    <w:p w:rsidR="00595E25" w:rsidRDefault="00595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25" w:rsidRPr="00290C63" w:rsidRDefault="00595E2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95E25" w:rsidRDefault="00595E25"/>
  <w:p w:rsidR="00595E25" w:rsidRDefault="00595E25"/>
  <w:p w:rsidR="00595E25" w:rsidRDefault="00595E25"/>
  <w:p w:rsidR="00595E25" w:rsidRDefault="00595E25"/>
  <w:p w:rsidR="00595E25" w:rsidRDefault="00595E25"/>
  <w:p w:rsidR="00595E25" w:rsidRDefault="00595E25"/>
  <w:p w:rsidR="00595E25" w:rsidRDefault="00595E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595E25" w:rsidRPr="009B6F84" w:rsidRDefault="00595E25">
        <w:pPr>
          <w:pStyle w:val="Footer"/>
          <w:rPr>
            <w:sz w:val="20"/>
          </w:rPr>
        </w:pPr>
        <w:r>
          <w:fldChar w:fldCharType="begin"/>
        </w:r>
        <w:r>
          <w:instrText xml:space="preserve"> PAGE   \* MERGEFORMAT </w:instrText>
        </w:r>
        <w:r>
          <w:fldChar w:fldCharType="separate"/>
        </w:r>
        <w:r w:rsidR="00182195">
          <w:rPr>
            <w:noProof/>
          </w:rPr>
          <w:t>1-1</w:t>
        </w:r>
        <w:r>
          <w:rPr>
            <w:noProof/>
          </w:rPr>
          <w:fldChar w:fldCharType="end"/>
        </w:r>
        <w:r>
          <w:rPr>
            <w:noProof/>
          </w:rPr>
          <w:t xml:space="preserve">          </w:t>
        </w:r>
        <w:r>
          <w:t xml:space="preserve">Attachment 1 </w:t>
        </w:r>
        <w:r w:rsidRPr="000474DF">
          <w:t>−</w:t>
        </w:r>
        <w:r>
          <w:t xml:space="preserve"> Annual revenue</w:t>
        </w:r>
        <w:r w:rsidRPr="009B6F84">
          <w:rPr>
            <w:rFonts w:cs="Gautami"/>
            <w:noProof/>
            <w:szCs w:val="16"/>
          </w:rPr>
          <w:t xml:space="preserve"> </w:t>
        </w:r>
        <w:r>
          <w:t xml:space="preserve">requirement </w:t>
        </w:r>
        <w:r w:rsidRPr="009B6F84">
          <w:rPr>
            <w:rFonts w:cs="Gautami"/>
            <w:noProof/>
            <w:szCs w:val="16"/>
          </w:rPr>
          <w:t xml:space="preserve">| </w:t>
        </w:r>
        <w:r>
          <w:t>TasNetworks distribution final determination</w:t>
        </w:r>
        <w:r w:rsidRPr="009B6F84">
          <w:rPr>
            <w:sz w:val="20"/>
          </w:rPr>
          <w:t xml:space="preserve"> </w:t>
        </w:r>
        <w:r w:rsidRPr="009B6F84">
          <w:rPr>
            <w:rFonts w:cs="Gautami"/>
            <w:noProof/>
            <w:szCs w:val="16"/>
          </w:rPr>
          <w:t>201</w:t>
        </w:r>
        <w:r>
          <w:t>7</w:t>
        </w:r>
        <w:r>
          <w:rPr>
            <w:rFonts w:cs="Gautami"/>
            <w:noProof/>
            <w:szCs w:val="16"/>
          </w:rPr>
          <w:t>–</w:t>
        </w:r>
        <w:r>
          <w:t>19</w:t>
        </w:r>
      </w:p>
    </w:sdtContent>
  </w:sdt>
  <w:p w:rsidR="00595E25" w:rsidRDefault="00595E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25" w:rsidRPr="00290C63" w:rsidRDefault="00595E2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95E25" w:rsidRDefault="00595E25">
    <w:pPr>
      <w:pStyle w:val="Footer"/>
    </w:pPr>
  </w:p>
  <w:p w:rsidR="00595E25" w:rsidRDefault="00595E25"/>
  <w:p w:rsidR="00595E25" w:rsidRDefault="00595E25"/>
  <w:p w:rsidR="00595E25" w:rsidRDefault="00595E25"/>
  <w:p w:rsidR="00595E25" w:rsidRDefault="00595E25"/>
  <w:p w:rsidR="00595E25" w:rsidRDefault="00595E25"/>
  <w:p w:rsidR="00595E25" w:rsidRDefault="00595E25"/>
  <w:p w:rsidR="00595E25" w:rsidRDefault="00595E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25" w:rsidRPr="00290C63" w:rsidRDefault="00595E2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95E25" w:rsidRDefault="00595E25"/>
  <w:p w:rsidR="00595E25" w:rsidRDefault="00595E25"/>
  <w:p w:rsidR="00595E25" w:rsidRDefault="00595E25"/>
  <w:p w:rsidR="00595E25" w:rsidRDefault="00595E25"/>
  <w:p w:rsidR="00595E25" w:rsidRDefault="00595E25"/>
  <w:p w:rsidR="00595E25" w:rsidRDefault="00595E25"/>
  <w:p w:rsidR="00595E25" w:rsidRDefault="00595E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595E25" w:rsidRPr="009B6F84" w:rsidRDefault="00595E25">
        <w:pPr>
          <w:pStyle w:val="Footer"/>
          <w:rPr>
            <w:sz w:val="20"/>
          </w:rPr>
        </w:pPr>
        <w:r>
          <w:fldChar w:fldCharType="begin"/>
        </w:r>
        <w:r>
          <w:instrText xml:space="preserve"> PAGE   \* MERGEFORMAT </w:instrText>
        </w:r>
        <w:r>
          <w:fldChar w:fldCharType="separate"/>
        </w:r>
        <w:r w:rsidR="00182195">
          <w:rPr>
            <w:noProof/>
          </w:rPr>
          <w:t>1-16</w:t>
        </w:r>
        <w:r>
          <w:rPr>
            <w:noProof/>
          </w:rPr>
          <w:fldChar w:fldCharType="end"/>
        </w:r>
        <w:r>
          <w:rPr>
            <w:noProof/>
          </w:rPr>
          <w:t xml:space="preserve">          </w:t>
        </w:r>
        <w:r>
          <w:t>Attachment 1 – Annual revenue requirement</w:t>
        </w:r>
        <w:r w:rsidRPr="00132D43">
          <w:t xml:space="preserve"> | </w:t>
        </w:r>
        <w:r>
          <w:t>TasNetworks distribution final decision</w:t>
        </w:r>
        <w:r w:rsidRPr="00132D43">
          <w:t xml:space="preserve"> 201</w:t>
        </w:r>
        <w:r>
          <w:t>7</w:t>
        </w:r>
        <w:r w:rsidRPr="00132D43">
          <w:t>–</w:t>
        </w:r>
        <w:r>
          <w:t>19</w:t>
        </w:r>
      </w:p>
    </w:sdtContent>
  </w:sdt>
  <w:p w:rsidR="00595E25" w:rsidRDefault="00595E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25" w:rsidRPr="00290C63" w:rsidRDefault="00595E2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95E25" w:rsidRDefault="00595E25">
    <w:pPr>
      <w:pStyle w:val="Footer"/>
    </w:pPr>
  </w:p>
  <w:p w:rsidR="00595E25" w:rsidRDefault="00595E25"/>
  <w:p w:rsidR="00595E25" w:rsidRDefault="00595E25"/>
  <w:p w:rsidR="00595E25" w:rsidRDefault="00595E25"/>
  <w:p w:rsidR="00595E25" w:rsidRDefault="00595E25"/>
  <w:p w:rsidR="00595E25" w:rsidRDefault="00595E25"/>
  <w:p w:rsidR="00595E25" w:rsidRDefault="00595E25"/>
  <w:p w:rsidR="00595E25" w:rsidRDefault="00595E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25" w:rsidRPr="00290C63" w:rsidRDefault="00595E25" w:rsidP="00290C63">
      <w:r>
        <w:separator/>
      </w:r>
    </w:p>
    <w:p w:rsidR="00595E25" w:rsidRDefault="00595E25"/>
  </w:footnote>
  <w:footnote w:type="continuationSeparator" w:id="0">
    <w:p w:rsidR="00595E25" w:rsidRPr="00290C63" w:rsidRDefault="00595E25" w:rsidP="00290C63">
      <w:r>
        <w:continuationSeparator/>
      </w:r>
    </w:p>
    <w:p w:rsidR="00595E25" w:rsidRDefault="00595E25"/>
  </w:footnote>
  <w:footnote w:id="1">
    <w:p w:rsidR="00595E25" w:rsidRDefault="00595E25" w:rsidP="00A9464D">
      <w:pPr>
        <w:pStyle w:val="FootnoteText"/>
      </w:pPr>
      <w:r>
        <w:rPr>
          <w:rStyle w:val="FootnoteReference"/>
        </w:rPr>
        <w:footnoteRef/>
      </w:r>
      <w:r>
        <w:t xml:space="preserve"> </w:t>
      </w:r>
      <w:r>
        <w:tab/>
        <w:t>AER,</w:t>
      </w:r>
      <w:r w:rsidRPr="00175156">
        <w:t xml:space="preserve"> </w:t>
      </w:r>
      <w:r>
        <w:rPr>
          <w:rStyle w:val="AERtextitalic"/>
        </w:rPr>
        <w:t xml:space="preserve">Draft </w:t>
      </w:r>
      <w:r w:rsidRPr="00175156">
        <w:rPr>
          <w:rStyle w:val="AERtextitalic"/>
        </w:rPr>
        <w:t xml:space="preserve">decision </w:t>
      </w:r>
      <w:r>
        <w:rPr>
          <w:rStyle w:val="AERtextitalic"/>
        </w:rPr>
        <w:t xml:space="preserve">TasNetworks </w:t>
      </w:r>
      <w:r w:rsidRPr="00175156">
        <w:rPr>
          <w:rStyle w:val="AERtextitalic"/>
        </w:rPr>
        <w:t>distribution determination - Attachment 1 - Annual revenue requirement</w:t>
      </w:r>
      <w:r>
        <w:t>,</w:t>
      </w:r>
      <w:r w:rsidRPr="00175156">
        <w:t xml:space="preserve"> </w:t>
      </w:r>
      <w:r>
        <w:t>September 2016, pp. 8–10.</w:t>
      </w:r>
    </w:p>
  </w:footnote>
  <w:footnote w:id="2">
    <w:p w:rsidR="00595E25" w:rsidRDefault="00595E25" w:rsidP="008C3C85">
      <w:pPr>
        <w:pStyle w:val="FootnoteText"/>
      </w:pPr>
      <w:r>
        <w:rPr>
          <w:rStyle w:val="FootnoteReference"/>
        </w:rPr>
        <w:footnoteRef/>
      </w:r>
      <w:r>
        <w:t xml:space="preserve"> </w:t>
      </w:r>
      <w:r>
        <w:tab/>
        <w:t>NER, cl. 6.5.9(b)(2).</w:t>
      </w:r>
    </w:p>
  </w:footnote>
  <w:footnote w:id="3">
    <w:p w:rsidR="00595E25" w:rsidRDefault="00595E25">
      <w:pPr>
        <w:pStyle w:val="FootnoteText"/>
      </w:pPr>
      <w:r>
        <w:rPr>
          <w:rStyle w:val="FootnoteReference"/>
        </w:rPr>
        <w:footnoteRef/>
      </w:r>
      <w:r>
        <w:t xml:space="preserve"> </w:t>
      </w:r>
      <w:r>
        <w:tab/>
      </w:r>
      <w:r w:rsidRPr="008C7B57">
        <w:t>NER, cl. 6.4.4.</w:t>
      </w:r>
    </w:p>
  </w:footnote>
  <w:footnote w:id="4">
    <w:p w:rsidR="00595E25" w:rsidRDefault="00595E25">
      <w:pPr>
        <w:pStyle w:val="FootnoteText"/>
      </w:pPr>
      <w:r>
        <w:rPr>
          <w:rStyle w:val="FootnoteReference"/>
        </w:rPr>
        <w:footnoteRef/>
      </w:r>
      <w:r>
        <w:t xml:space="preserve"> </w:t>
      </w:r>
      <w:r>
        <w:tab/>
      </w:r>
      <w:r w:rsidRPr="008C7B57">
        <w:t xml:space="preserve">AER, </w:t>
      </w:r>
      <w:r w:rsidRPr="008C7B57">
        <w:rPr>
          <w:rStyle w:val="AERtextitalic"/>
        </w:rPr>
        <w:t>Shared asset guideline</w:t>
      </w:r>
      <w:r w:rsidRPr="008C7B57">
        <w:t>, November 2013.</w:t>
      </w:r>
    </w:p>
  </w:footnote>
  <w:footnote w:id="5">
    <w:p w:rsidR="00595E25" w:rsidRDefault="00595E25">
      <w:pPr>
        <w:pStyle w:val="FootnoteText"/>
      </w:pPr>
      <w:r>
        <w:rPr>
          <w:rStyle w:val="FootnoteReference"/>
        </w:rPr>
        <w:footnoteRef/>
      </w:r>
      <w:r>
        <w:t xml:space="preserve"> </w:t>
      </w:r>
      <w:r>
        <w:tab/>
      </w:r>
      <w:r w:rsidRPr="008C7B57">
        <w:t xml:space="preserve">AER, </w:t>
      </w:r>
      <w:r w:rsidRPr="008C7B57">
        <w:rPr>
          <w:rStyle w:val="AERtextitalic"/>
        </w:rPr>
        <w:t>Shared asset guideline</w:t>
      </w:r>
      <w:r w:rsidRPr="008C7B57">
        <w:t>, November 2013, p. 8.</w:t>
      </w:r>
    </w:p>
  </w:footnote>
  <w:footnote w:id="6">
    <w:p w:rsidR="00595E25" w:rsidRDefault="00595E25" w:rsidP="00E847C4">
      <w:pPr>
        <w:pStyle w:val="FootnoteText"/>
      </w:pPr>
      <w:r>
        <w:rPr>
          <w:rStyle w:val="FootnoteReference"/>
        </w:rPr>
        <w:footnoteRef/>
      </w:r>
      <w:r>
        <w:t xml:space="preserve"> </w:t>
      </w:r>
      <w:r>
        <w:tab/>
      </w:r>
      <w:r w:rsidRPr="00780CE6">
        <w:t>This amount reflect</w:t>
      </w:r>
      <w:r>
        <w:t>s an expected inflation rate of 2.45</w:t>
      </w:r>
      <w:r w:rsidRPr="00780CE6">
        <w:t xml:space="preserve"> per cent per annum as determined in this </w:t>
      </w:r>
      <w:r>
        <w:t>final</w:t>
      </w:r>
      <w:r w:rsidRPr="00780CE6">
        <w:t xml:space="preserve"> decision. In real terms we estimate average dis</w:t>
      </w:r>
      <w:r>
        <w:t xml:space="preserve">tribution charges to decline </w:t>
      </w:r>
      <w:r w:rsidRPr="00E847C4">
        <w:t xml:space="preserve">by </w:t>
      </w:r>
      <w:r w:rsidRPr="00C3678F">
        <w:rPr>
          <w:rStyle w:val="AERtexthighlight"/>
          <w:shd w:val="clear" w:color="auto" w:fill="auto"/>
        </w:rPr>
        <w:t>9.4</w:t>
      </w:r>
      <w:r w:rsidRPr="00780CE6">
        <w:t> per cent per a</w:t>
      </w:r>
      <w:r>
        <w:t>nnum, compared to a decrease of 11.3</w:t>
      </w:r>
      <w:r w:rsidRPr="00780CE6">
        <w:t> per cent proposed by TasNetworks</w:t>
      </w:r>
      <w:r>
        <w:t xml:space="preserve"> in its revised regulatory proposal</w:t>
      </w:r>
      <w:r w:rsidRPr="00780CE6">
        <w:t>.</w:t>
      </w:r>
    </w:p>
  </w:footnote>
  <w:footnote w:id="7">
    <w:p w:rsidR="00595E25" w:rsidRDefault="00595E25" w:rsidP="00212C68">
      <w:pPr>
        <w:pStyle w:val="FootnoteText"/>
      </w:pPr>
      <w:r>
        <w:rPr>
          <w:rStyle w:val="FootnoteReference"/>
        </w:rPr>
        <w:footnoteRef/>
      </w:r>
      <w:r>
        <w:t xml:space="preserve"> </w:t>
      </w:r>
      <w:r>
        <w:tab/>
      </w:r>
      <w:r w:rsidRPr="00015898">
        <w:t>This amount reflects a</w:t>
      </w:r>
      <w:r>
        <w:t>n expected</w:t>
      </w:r>
      <w:r w:rsidRPr="00015898">
        <w:t xml:space="preserve"> inflation </w:t>
      </w:r>
      <w:r>
        <w:t xml:space="preserve">rate of 2.45 </w:t>
      </w:r>
      <w:r w:rsidRPr="00780CE6">
        <w:t>per</w:t>
      </w:r>
      <w:r w:rsidRPr="00015898">
        <w:t xml:space="preserve"> cent per annum as </w:t>
      </w:r>
      <w:r>
        <w:t>proposed by TasNetworks in its revised regulatory proposal</w:t>
      </w:r>
      <w:r w:rsidRPr="00015898">
        <w:t>.</w:t>
      </w:r>
    </w:p>
  </w:footnote>
  <w:footnote w:id="8">
    <w:p w:rsidR="00595E25" w:rsidRDefault="00595E25" w:rsidP="00212C68">
      <w:pPr>
        <w:pStyle w:val="FootnoteText"/>
      </w:pPr>
      <w:r>
        <w:rPr>
          <w:rStyle w:val="FootnoteReference"/>
        </w:rPr>
        <w:footnoteRef/>
      </w:r>
      <w:r>
        <w:t xml:space="preserve"> </w:t>
      </w:r>
      <w:r>
        <w:tab/>
        <w:t xml:space="preserve">AEMC, </w:t>
      </w:r>
      <w:r w:rsidRPr="00132466">
        <w:rPr>
          <w:rStyle w:val="AERtextitalic"/>
        </w:rPr>
        <w:t>Final report: 2016 Residential Electricity Price Trends</w:t>
      </w:r>
      <w:r>
        <w:t>, 14 December 2016, p. 160; AER analysis.</w:t>
      </w:r>
    </w:p>
  </w:footnote>
  <w:footnote w:id="9">
    <w:p w:rsidR="00595E25" w:rsidRDefault="00595E25" w:rsidP="000C3B02">
      <w:pPr>
        <w:pStyle w:val="FootnoteText"/>
      </w:pPr>
      <w:r>
        <w:rPr>
          <w:rStyle w:val="FootnoteReference"/>
        </w:rPr>
        <w:footnoteRef/>
      </w:r>
      <w:r>
        <w:t xml:space="preserve"> </w:t>
      </w:r>
      <w:r>
        <w:tab/>
        <w:t xml:space="preserve">AEMC, </w:t>
      </w:r>
      <w:r w:rsidRPr="00132466">
        <w:rPr>
          <w:rStyle w:val="AERtextitalic"/>
        </w:rPr>
        <w:t>Final report: 2016 Residential Electricity Price Trends</w:t>
      </w:r>
      <w:r>
        <w:t xml:space="preserve">, 14 December 2016, p. 162. </w:t>
      </w:r>
    </w:p>
  </w:footnote>
  <w:footnote w:id="10">
    <w:p w:rsidR="00595E25" w:rsidRDefault="00595E25" w:rsidP="00212C68">
      <w:pPr>
        <w:pStyle w:val="FootnoteText"/>
      </w:pPr>
      <w:r>
        <w:rPr>
          <w:rStyle w:val="FootnoteReference"/>
        </w:rPr>
        <w:footnoteRef/>
      </w:r>
      <w:r>
        <w:t xml:space="preserve"> </w:t>
      </w:r>
      <w:r>
        <w:tab/>
        <w:t xml:space="preserve">AEMC, </w:t>
      </w:r>
      <w:r w:rsidRPr="00132466">
        <w:rPr>
          <w:rStyle w:val="AERtextitalic"/>
        </w:rPr>
        <w:t>Final report: 2016 Residential Electricity Price Trends</w:t>
      </w:r>
      <w:r>
        <w:t>, 14 December 2016, p. 158.</w:t>
      </w:r>
    </w:p>
  </w:footnote>
  <w:footnote w:id="11">
    <w:p w:rsidR="00595E25" w:rsidRPr="00F24727" w:rsidRDefault="00595E25" w:rsidP="00212C68">
      <w:pPr>
        <w:pStyle w:val="FootnoteText"/>
      </w:pPr>
      <w:r>
        <w:rPr>
          <w:rStyle w:val="FootnoteReference"/>
        </w:rPr>
        <w:footnoteRef/>
      </w:r>
      <w:r>
        <w:t xml:space="preserve"> </w:t>
      </w:r>
      <w:r>
        <w:tab/>
      </w:r>
      <w:r w:rsidRPr="00F24727">
        <w:t xml:space="preserve">This reflects the average annual consumption for </w:t>
      </w:r>
      <w:r>
        <w:t>small business</w:t>
      </w:r>
      <w:r w:rsidRPr="00F24727">
        <w:t xml:space="preserve"> customers using tariff</w:t>
      </w:r>
      <w:r>
        <w:t xml:space="preserve"> 22</w:t>
      </w:r>
      <w:r w:rsidRPr="00F24727">
        <w:t xml:space="preserve"> in Tasmania. OTTER, </w:t>
      </w:r>
      <w:r w:rsidRPr="005A387C">
        <w:rPr>
          <w:rStyle w:val="AERtextitalic"/>
        </w:rPr>
        <w:t>Information paper: Typical electricity customers</w:t>
      </w:r>
      <w:r w:rsidRPr="00F24727">
        <w:t xml:space="preserve">, May 2014, p. </w:t>
      </w:r>
      <w:r>
        <w:t>7</w:t>
      </w:r>
      <w:r w:rsidRPr="00F24727">
        <w:t>.</w:t>
      </w:r>
    </w:p>
    <w:p w:rsidR="00595E25" w:rsidRDefault="00595E25" w:rsidP="00212C6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25" w:rsidRDefault="00595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g4IoComAtzQPtN2ppwjMPF+EPBy/ckXfpPhQP1HXqA=" w:saltValue="JDpYhdW21pTueotgZlhhtw==" w:algorithmName="SHA-256"/>
  <w:defaultTabStop w:val="34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tasnetworks distribution determination - attachment 1 - annual revenue requirement - april 2017 (D2016-00009284).docx"/>
  </w:docVars>
  <w:rsids>
    <w:rsidRoot w:val="00961A4A"/>
    <w:rsid w:val="000051DC"/>
    <w:rsid w:val="00005789"/>
    <w:rsid w:val="0000658F"/>
    <w:rsid w:val="0001507B"/>
    <w:rsid w:val="00020016"/>
    <w:rsid w:val="00021202"/>
    <w:rsid w:val="00021C2B"/>
    <w:rsid w:val="0002498B"/>
    <w:rsid w:val="0002517F"/>
    <w:rsid w:val="00026187"/>
    <w:rsid w:val="000266FC"/>
    <w:rsid w:val="000273B3"/>
    <w:rsid w:val="00027E2D"/>
    <w:rsid w:val="000353E8"/>
    <w:rsid w:val="0003578C"/>
    <w:rsid w:val="00044DA3"/>
    <w:rsid w:val="000474DF"/>
    <w:rsid w:val="0005588F"/>
    <w:rsid w:val="00055A67"/>
    <w:rsid w:val="00056B38"/>
    <w:rsid w:val="00063247"/>
    <w:rsid w:val="00063731"/>
    <w:rsid w:val="0006624E"/>
    <w:rsid w:val="00066E84"/>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35AA"/>
    <w:rsid w:val="000A3E96"/>
    <w:rsid w:val="000A4840"/>
    <w:rsid w:val="000A62C1"/>
    <w:rsid w:val="000A6A79"/>
    <w:rsid w:val="000A6C7B"/>
    <w:rsid w:val="000B0A7B"/>
    <w:rsid w:val="000B1173"/>
    <w:rsid w:val="000B1971"/>
    <w:rsid w:val="000B5827"/>
    <w:rsid w:val="000B7037"/>
    <w:rsid w:val="000C02D1"/>
    <w:rsid w:val="000C0C63"/>
    <w:rsid w:val="000C2B40"/>
    <w:rsid w:val="000C3B02"/>
    <w:rsid w:val="000C5255"/>
    <w:rsid w:val="000D07A7"/>
    <w:rsid w:val="000D122C"/>
    <w:rsid w:val="000D4227"/>
    <w:rsid w:val="000D75B0"/>
    <w:rsid w:val="000E1819"/>
    <w:rsid w:val="000E4821"/>
    <w:rsid w:val="000E4AA9"/>
    <w:rsid w:val="000E6C72"/>
    <w:rsid w:val="000E7F39"/>
    <w:rsid w:val="00100EA2"/>
    <w:rsid w:val="00101AA1"/>
    <w:rsid w:val="00102338"/>
    <w:rsid w:val="00104566"/>
    <w:rsid w:val="00104FF6"/>
    <w:rsid w:val="001114AA"/>
    <w:rsid w:val="00111505"/>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2D3E"/>
    <w:rsid w:val="00174102"/>
    <w:rsid w:val="001754EE"/>
    <w:rsid w:val="00180157"/>
    <w:rsid w:val="001809BC"/>
    <w:rsid w:val="00180E97"/>
    <w:rsid w:val="001820B4"/>
    <w:rsid w:val="00182195"/>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3D0B"/>
    <w:rsid w:val="001A530D"/>
    <w:rsid w:val="001A5FB3"/>
    <w:rsid w:val="001A7155"/>
    <w:rsid w:val="001B1B9A"/>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2C68"/>
    <w:rsid w:val="00216C93"/>
    <w:rsid w:val="00217F5B"/>
    <w:rsid w:val="00223051"/>
    <w:rsid w:val="00224DB9"/>
    <w:rsid w:val="0022569A"/>
    <w:rsid w:val="0023005C"/>
    <w:rsid w:val="00231012"/>
    <w:rsid w:val="00233775"/>
    <w:rsid w:val="0023414B"/>
    <w:rsid w:val="00243635"/>
    <w:rsid w:val="00243BA4"/>
    <w:rsid w:val="00247079"/>
    <w:rsid w:val="00251745"/>
    <w:rsid w:val="002552BA"/>
    <w:rsid w:val="00260016"/>
    <w:rsid w:val="00263AC0"/>
    <w:rsid w:val="00264264"/>
    <w:rsid w:val="0026689B"/>
    <w:rsid w:val="0026772D"/>
    <w:rsid w:val="00272C0B"/>
    <w:rsid w:val="002730B2"/>
    <w:rsid w:val="00274C7E"/>
    <w:rsid w:val="00274FCE"/>
    <w:rsid w:val="00275B5C"/>
    <w:rsid w:val="002777CF"/>
    <w:rsid w:val="002810F2"/>
    <w:rsid w:val="00286874"/>
    <w:rsid w:val="00290C63"/>
    <w:rsid w:val="00291A99"/>
    <w:rsid w:val="00293B6D"/>
    <w:rsid w:val="0029439D"/>
    <w:rsid w:val="00294B08"/>
    <w:rsid w:val="0029518C"/>
    <w:rsid w:val="002963DD"/>
    <w:rsid w:val="00296B65"/>
    <w:rsid w:val="002A7DEF"/>
    <w:rsid w:val="002B0696"/>
    <w:rsid w:val="002B3CB0"/>
    <w:rsid w:val="002B5E61"/>
    <w:rsid w:val="002C0222"/>
    <w:rsid w:val="002C1499"/>
    <w:rsid w:val="002C233C"/>
    <w:rsid w:val="002C517B"/>
    <w:rsid w:val="002D3509"/>
    <w:rsid w:val="002D5457"/>
    <w:rsid w:val="002D72E8"/>
    <w:rsid w:val="002D79AD"/>
    <w:rsid w:val="002E268F"/>
    <w:rsid w:val="002E78DD"/>
    <w:rsid w:val="002E7B22"/>
    <w:rsid w:val="002F0701"/>
    <w:rsid w:val="002F12EC"/>
    <w:rsid w:val="002F7986"/>
    <w:rsid w:val="00301B40"/>
    <w:rsid w:val="00301C82"/>
    <w:rsid w:val="003029EE"/>
    <w:rsid w:val="00304D38"/>
    <w:rsid w:val="00305CC8"/>
    <w:rsid w:val="00307F6D"/>
    <w:rsid w:val="003112F9"/>
    <w:rsid w:val="00314D83"/>
    <w:rsid w:val="00314EC4"/>
    <w:rsid w:val="0031571F"/>
    <w:rsid w:val="003177A2"/>
    <w:rsid w:val="00317E02"/>
    <w:rsid w:val="003271B5"/>
    <w:rsid w:val="00327A1E"/>
    <w:rsid w:val="00327E28"/>
    <w:rsid w:val="00331264"/>
    <w:rsid w:val="003330E2"/>
    <w:rsid w:val="00334C8D"/>
    <w:rsid w:val="003378BD"/>
    <w:rsid w:val="003421B1"/>
    <w:rsid w:val="003424EA"/>
    <w:rsid w:val="00342C2F"/>
    <w:rsid w:val="003436EB"/>
    <w:rsid w:val="00343A18"/>
    <w:rsid w:val="00345744"/>
    <w:rsid w:val="003518B3"/>
    <w:rsid w:val="00351AAD"/>
    <w:rsid w:val="00353E79"/>
    <w:rsid w:val="00364EA0"/>
    <w:rsid w:val="003656F9"/>
    <w:rsid w:val="0036698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6B3F"/>
    <w:rsid w:val="00397398"/>
    <w:rsid w:val="003A371A"/>
    <w:rsid w:val="003A59CD"/>
    <w:rsid w:val="003A6B00"/>
    <w:rsid w:val="003B30B2"/>
    <w:rsid w:val="003B386F"/>
    <w:rsid w:val="003B484F"/>
    <w:rsid w:val="003B504B"/>
    <w:rsid w:val="003B5179"/>
    <w:rsid w:val="003B5E9B"/>
    <w:rsid w:val="003B685C"/>
    <w:rsid w:val="003B7FBA"/>
    <w:rsid w:val="003C6537"/>
    <w:rsid w:val="003C6A13"/>
    <w:rsid w:val="003C764A"/>
    <w:rsid w:val="003C78BA"/>
    <w:rsid w:val="003D41F1"/>
    <w:rsid w:val="003D42AB"/>
    <w:rsid w:val="003D5B94"/>
    <w:rsid w:val="003E06BD"/>
    <w:rsid w:val="003E0D3A"/>
    <w:rsid w:val="003E3228"/>
    <w:rsid w:val="003E3AAB"/>
    <w:rsid w:val="003E7FE9"/>
    <w:rsid w:val="003F07D4"/>
    <w:rsid w:val="003F174D"/>
    <w:rsid w:val="003F2329"/>
    <w:rsid w:val="00400FD2"/>
    <w:rsid w:val="00401C7B"/>
    <w:rsid w:val="00403711"/>
    <w:rsid w:val="00403909"/>
    <w:rsid w:val="00404C52"/>
    <w:rsid w:val="004156D5"/>
    <w:rsid w:val="00415BA9"/>
    <w:rsid w:val="00415F31"/>
    <w:rsid w:val="0041691D"/>
    <w:rsid w:val="0042000C"/>
    <w:rsid w:val="0042090E"/>
    <w:rsid w:val="00421F27"/>
    <w:rsid w:val="004238D8"/>
    <w:rsid w:val="00423A77"/>
    <w:rsid w:val="004324F4"/>
    <w:rsid w:val="00434544"/>
    <w:rsid w:val="00436A77"/>
    <w:rsid w:val="00445D43"/>
    <w:rsid w:val="00446CD2"/>
    <w:rsid w:val="0045777E"/>
    <w:rsid w:val="00465258"/>
    <w:rsid w:val="00471BC6"/>
    <w:rsid w:val="00476221"/>
    <w:rsid w:val="004766F5"/>
    <w:rsid w:val="00480B4B"/>
    <w:rsid w:val="004838D8"/>
    <w:rsid w:val="00485DC4"/>
    <w:rsid w:val="00494D04"/>
    <w:rsid w:val="004953A8"/>
    <w:rsid w:val="004A1E48"/>
    <w:rsid w:val="004A40BA"/>
    <w:rsid w:val="004A43D1"/>
    <w:rsid w:val="004A492B"/>
    <w:rsid w:val="004B4412"/>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060B8"/>
    <w:rsid w:val="0051337E"/>
    <w:rsid w:val="00513FA7"/>
    <w:rsid w:val="0051768F"/>
    <w:rsid w:val="00522DC2"/>
    <w:rsid w:val="00530128"/>
    <w:rsid w:val="00532467"/>
    <w:rsid w:val="005332A9"/>
    <w:rsid w:val="0053603C"/>
    <w:rsid w:val="00537871"/>
    <w:rsid w:val="00540C26"/>
    <w:rsid w:val="00542FE9"/>
    <w:rsid w:val="00544598"/>
    <w:rsid w:val="00544C8D"/>
    <w:rsid w:val="00544DFD"/>
    <w:rsid w:val="00556B1E"/>
    <w:rsid w:val="005629E5"/>
    <w:rsid w:val="00564A4D"/>
    <w:rsid w:val="0056598C"/>
    <w:rsid w:val="00566E0B"/>
    <w:rsid w:val="00566EDA"/>
    <w:rsid w:val="00567BA5"/>
    <w:rsid w:val="00571B35"/>
    <w:rsid w:val="00571B43"/>
    <w:rsid w:val="00571D57"/>
    <w:rsid w:val="00573A3B"/>
    <w:rsid w:val="00577716"/>
    <w:rsid w:val="00577A09"/>
    <w:rsid w:val="005829C2"/>
    <w:rsid w:val="00584D8F"/>
    <w:rsid w:val="00587A18"/>
    <w:rsid w:val="00587ADE"/>
    <w:rsid w:val="00595E25"/>
    <w:rsid w:val="005A0BEC"/>
    <w:rsid w:val="005A2544"/>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15F8"/>
    <w:rsid w:val="005E36C2"/>
    <w:rsid w:val="005E4AF4"/>
    <w:rsid w:val="005F0764"/>
    <w:rsid w:val="005F387E"/>
    <w:rsid w:val="005F73F5"/>
    <w:rsid w:val="006011B5"/>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31CD"/>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3583"/>
    <w:rsid w:val="006B40AC"/>
    <w:rsid w:val="006B4CF9"/>
    <w:rsid w:val="006B797C"/>
    <w:rsid w:val="006B7AC8"/>
    <w:rsid w:val="006C1736"/>
    <w:rsid w:val="006C1A5F"/>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26BAD"/>
    <w:rsid w:val="007303C3"/>
    <w:rsid w:val="00731188"/>
    <w:rsid w:val="007356CC"/>
    <w:rsid w:val="007368E6"/>
    <w:rsid w:val="007375DF"/>
    <w:rsid w:val="007405FE"/>
    <w:rsid w:val="007429BE"/>
    <w:rsid w:val="00743223"/>
    <w:rsid w:val="00743349"/>
    <w:rsid w:val="0074403A"/>
    <w:rsid w:val="00746E01"/>
    <w:rsid w:val="00750366"/>
    <w:rsid w:val="007513AA"/>
    <w:rsid w:val="00751DCD"/>
    <w:rsid w:val="00752F34"/>
    <w:rsid w:val="00753BA0"/>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3779"/>
    <w:rsid w:val="007949D7"/>
    <w:rsid w:val="007A0143"/>
    <w:rsid w:val="007A06A2"/>
    <w:rsid w:val="007A34C2"/>
    <w:rsid w:val="007A396C"/>
    <w:rsid w:val="007A4B02"/>
    <w:rsid w:val="007B0051"/>
    <w:rsid w:val="007B0BE3"/>
    <w:rsid w:val="007B1816"/>
    <w:rsid w:val="007B186E"/>
    <w:rsid w:val="007B25DC"/>
    <w:rsid w:val="007B2C72"/>
    <w:rsid w:val="007B3789"/>
    <w:rsid w:val="007B651F"/>
    <w:rsid w:val="007B7BB5"/>
    <w:rsid w:val="007C1C53"/>
    <w:rsid w:val="007C284C"/>
    <w:rsid w:val="007C4B82"/>
    <w:rsid w:val="007C6DC3"/>
    <w:rsid w:val="007C74BB"/>
    <w:rsid w:val="007C7F64"/>
    <w:rsid w:val="007D0A47"/>
    <w:rsid w:val="007D0A95"/>
    <w:rsid w:val="007D0EB5"/>
    <w:rsid w:val="007D4051"/>
    <w:rsid w:val="007D456E"/>
    <w:rsid w:val="007D5837"/>
    <w:rsid w:val="007D74CF"/>
    <w:rsid w:val="007E4904"/>
    <w:rsid w:val="007E4CB5"/>
    <w:rsid w:val="007E4DAE"/>
    <w:rsid w:val="007F066B"/>
    <w:rsid w:val="007F4C16"/>
    <w:rsid w:val="007F4EAB"/>
    <w:rsid w:val="007F5B16"/>
    <w:rsid w:val="007F7C9D"/>
    <w:rsid w:val="008033C4"/>
    <w:rsid w:val="00803908"/>
    <w:rsid w:val="00806731"/>
    <w:rsid w:val="00806C88"/>
    <w:rsid w:val="0081034E"/>
    <w:rsid w:val="00810806"/>
    <w:rsid w:val="00815882"/>
    <w:rsid w:val="00820454"/>
    <w:rsid w:val="00822AC7"/>
    <w:rsid w:val="00822E86"/>
    <w:rsid w:val="00823E36"/>
    <w:rsid w:val="008344F6"/>
    <w:rsid w:val="0083510F"/>
    <w:rsid w:val="00837BF3"/>
    <w:rsid w:val="008415DE"/>
    <w:rsid w:val="008420DE"/>
    <w:rsid w:val="00845865"/>
    <w:rsid w:val="0084799B"/>
    <w:rsid w:val="00850C90"/>
    <w:rsid w:val="00851209"/>
    <w:rsid w:val="0085171F"/>
    <w:rsid w:val="00862969"/>
    <w:rsid w:val="008658A1"/>
    <w:rsid w:val="0086716A"/>
    <w:rsid w:val="00870613"/>
    <w:rsid w:val="0087380F"/>
    <w:rsid w:val="0087648F"/>
    <w:rsid w:val="008764F6"/>
    <w:rsid w:val="00876612"/>
    <w:rsid w:val="00876C6B"/>
    <w:rsid w:val="00882BB1"/>
    <w:rsid w:val="008837AC"/>
    <w:rsid w:val="00886A86"/>
    <w:rsid w:val="008909DC"/>
    <w:rsid w:val="00894255"/>
    <w:rsid w:val="008945AD"/>
    <w:rsid w:val="008A0645"/>
    <w:rsid w:val="008A1C02"/>
    <w:rsid w:val="008A1DC1"/>
    <w:rsid w:val="008A370D"/>
    <w:rsid w:val="008A3D6D"/>
    <w:rsid w:val="008A587D"/>
    <w:rsid w:val="008B16B0"/>
    <w:rsid w:val="008B1BD5"/>
    <w:rsid w:val="008B35CD"/>
    <w:rsid w:val="008B3D53"/>
    <w:rsid w:val="008B4093"/>
    <w:rsid w:val="008B5FCC"/>
    <w:rsid w:val="008B7F36"/>
    <w:rsid w:val="008C357F"/>
    <w:rsid w:val="008C3C85"/>
    <w:rsid w:val="008C47BE"/>
    <w:rsid w:val="008C5486"/>
    <w:rsid w:val="008C7B57"/>
    <w:rsid w:val="008D1661"/>
    <w:rsid w:val="008D18A3"/>
    <w:rsid w:val="008D27E0"/>
    <w:rsid w:val="008D5F90"/>
    <w:rsid w:val="008D6800"/>
    <w:rsid w:val="008D72F1"/>
    <w:rsid w:val="008E4089"/>
    <w:rsid w:val="008E48A4"/>
    <w:rsid w:val="008E5AFF"/>
    <w:rsid w:val="008E7031"/>
    <w:rsid w:val="008E77DE"/>
    <w:rsid w:val="008F040C"/>
    <w:rsid w:val="008F07A3"/>
    <w:rsid w:val="008F3322"/>
    <w:rsid w:val="008F3519"/>
    <w:rsid w:val="008F3A0D"/>
    <w:rsid w:val="009001B6"/>
    <w:rsid w:val="00900C47"/>
    <w:rsid w:val="00900E1B"/>
    <w:rsid w:val="0090131F"/>
    <w:rsid w:val="00907683"/>
    <w:rsid w:val="009132B7"/>
    <w:rsid w:val="00915340"/>
    <w:rsid w:val="00916A2C"/>
    <w:rsid w:val="009233EE"/>
    <w:rsid w:val="00930B1A"/>
    <w:rsid w:val="00932612"/>
    <w:rsid w:val="009327DC"/>
    <w:rsid w:val="009338D9"/>
    <w:rsid w:val="009339BD"/>
    <w:rsid w:val="009356CF"/>
    <w:rsid w:val="009421FF"/>
    <w:rsid w:val="009458CA"/>
    <w:rsid w:val="00945E53"/>
    <w:rsid w:val="009460AA"/>
    <w:rsid w:val="00951978"/>
    <w:rsid w:val="00952C8B"/>
    <w:rsid w:val="009538EA"/>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18DC"/>
    <w:rsid w:val="009D22D6"/>
    <w:rsid w:val="009D2C84"/>
    <w:rsid w:val="009D3906"/>
    <w:rsid w:val="009D6B46"/>
    <w:rsid w:val="009E35B6"/>
    <w:rsid w:val="009E3D32"/>
    <w:rsid w:val="009E5ABC"/>
    <w:rsid w:val="009F3BBA"/>
    <w:rsid w:val="009F43B4"/>
    <w:rsid w:val="009F4940"/>
    <w:rsid w:val="009F5BA1"/>
    <w:rsid w:val="00A02A88"/>
    <w:rsid w:val="00A03944"/>
    <w:rsid w:val="00A04012"/>
    <w:rsid w:val="00A046FA"/>
    <w:rsid w:val="00A0562E"/>
    <w:rsid w:val="00A0726D"/>
    <w:rsid w:val="00A073AE"/>
    <w:rsid w:val="00A12204"/>
    <w:rsid w:val="00A12750"/>
    <w:rsid w:val="00A13CB0"/>
    <w:rsid w:val="00A1561F"/>
    <w:rsid w:val="00A16544"/>
    <w:rsid w:val="00A16EA3"/>
    <w:rsid w:val="00A30BF5"/>
    <w:rsid w:val="00A31BE6"/>
    <w:rsid w:val="00A32FBB"/>
    <w:rsid w:val="00A40068"/>
    <w:rsid w:val="00A40BE9"/>
    <w:rsid w:val="00A428EE"/>
    <w:rsid w:val="00A44284"/>
    <w:rsid w:val="00A443C2"/>
    <w:rsid w:val="00A4478A"/>
    <w:rsid w:val="00A44852"/>
    <w:rsid w:val="00A50502"/>
    <w:rsid w:val="00A53409"/>
    <w:rsid w:val="00A53796"/>
    <w:rsid w:val="00A53848"/>
    <w:rsid w:val="00A56945"/>
    <w:rsid w:val="00A56A6E"/>
    <w:rsid w:val="00A57D04"/>
    <w:rsid w:val="00A60A26"/>
    <w:rsid w:val="00A6131D"/>
    <w:rsid w:val="00A61598"/>
    <w:rsid w:val="00A616BE"/>
    <w:rsid w:val="00A61777"/>
    <w:rsid w:val="00A62A79"/>
    <w:rsid w:val="00A63646"/>
    <w:rsid w:val="00A63914"/>
    <w:rsid w:val="00A6686B"/>
    <w:rsid w:val="00A83053"/>
    <w:rsid w:val="00A83160"/>
    <w:rsid w:val="00A84A99"/>
    <w:rsid w:val="00A84F46"/>
    <w:rsid w:val="00A85E87"/>
    <w:rsid w:val="00A86AEA"/>
    <w:rsid w:val="00A871F4"/>
    <w:rsid w:val="00A9431A"/>
    <w:rsid w:val="00A9464D"/>
    <w:rsid w:val="00A95988"/>
    <w:rsid w:val="00A959DF"/>
    <w:rsid w:val="00A97A1B"/>
    <w:rsid w:val="00AA2927"/>
    <w:rsid w:val="00AB2CB8"/>
    <w:rsid w:val="00AB4617"/>
    <w:rsid w:val="00AC1B2C"/>
    <w:rsid w:val="00AC3264"/>
    <w:rsid w:val="00AC46AD"/>
    <w:rsid w:val="00AC4D2D"/>
    <w:rsid w:val="00AC58EC"/>
    <w:rsid w:val="00AC62AE"/>
    <w:rsid w:val="00AC7282"/>
    <w:rsid w:val="00AC7961"/>
    <w:rsid w:val="00AD0F0A"/>
    <w:rsid w:val="00AD2FCD"/>
    <w:rsid w:val="00AD314E"/>
    <w:rsid w:val="00AD5FCD"/>
    <w:rsid w:val="00AD6B48"/>
    <w:rsid w:val="00AD7A3A"/>
    <w:rsid w:val="00AE1BF1"/>
    <w:rsid w:val="00AE23AB"/>
    <w:rsid w:val="00AE58FB"/>
    <w:rsid w:val="00AE5AF0"/>
    <w:rsid w:val="00AE663D"/>
    <w:rsid w:val="00AE6F24"/>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534"/>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47F3"/>
    <w:rsid w:val="00B65DF5"/>
    <w:rsid w:val="00B74151"/>
    <w:rsid w:val="00B758FE"/>
    <w:rsid w:val="00B7679F"/>
    <w:rsid w:val="00B77159"/>
    <w:rsid w:val="00B8080B"/>
    <w:rsid w:val="00B82223"/>
    <w:rsid w:val="00B87BA5"/>
    <w:rsid w:val="00B87C39"/>
    <w:rsid w:val="00B90BE8"/>
    <w:rsid w:val="00B93891"/>
    <w:rsid w:val="00B9562D"/>
    <w:rsid w:val="00BA21DA"/>
    <w:rsid w:val="00BA2B60"/>
    <w:rsid w:val="00BA3C93"/>
    <w:rsid w:val="00BA4665"/>
    <w:rsid w:val="00BA7310"/>
    <w:rsid w:val="00BA7FD7"/>
    <w:rsid w:val="00BB152C"/>
    <w:rsid w:val="00BB1681"/>
    <w:rsid w:val="00BB2FB2"/>
    <w:rsid w:val="00BB3304"/>
    <w:rsid w:val="00BB6551"/>
    <w:rsid w:val="00BB7447"/>
    <w:rsid w:val="00BC4A10"/>
    <w:rsid w:val="00BD30F4"/>
    <w:rsid w:val="00BD3446"/>
    <w:rsid w:val="00BD59CF"/>
    <w:rsid w:val="00BD7884"/>
    <w:rsid w:val="00BE1312"/>
    <w:rsid w:val="00BE1F1B"/>
    <w:rsid w:val="00BE3F89"/>
    <w:rsid w:val="00BE47B5"/>
    <w:rsid w:val="00BE5FCE"/>
    <w:rsid w:val="00BF568F"/>
    <w:rsid w:val="00C0079E"/>
    <w:rsid w:val="00C0572A"/>
    <w:rsid w:val="00C13EBD"/>
    <w:rsid w:val="00C14D6E"/>
    <w:rsid w:val="00C1631B"/>
    <w:rsid w:val="00C163AB"/>
    <w:rsid w:val="00C170F0"/>
    <w:rsid w:val="00C24D6D"/>
    <w:rsid w:val="00C258DD"/>
    <w:rsid w:val="00C25962"/>
    <w:rsid w:val="00C25FA6"/>
    <w:rsid w:val="00C3099D"/>
    <w:rsid w:val="00C33011"/>
    <w:rsid w:val="00C34D36"/>
    <w:rsid w:val="00C362C1"/>
    <w:rsid w:val="00C3678F"/>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762B8"/>
    <w:rsid w:val="00C8266F"/>
    <w:rsid w:val="00C84560"/>
    <w:rsid w:val="00C86679"/>
    <w:rsid w:val="00C8792F"/>
    <w:rsid w:val="00C90472"/>
    <w:rsid w:val="00C91D6E"/>
    <w:rsid w:val="00C9636A"/>
    <w:rsid w:val="00C97F62"/>
    <w:rsid w:val="00CA489E"/>
    <w:rsid w:val="00CB0279"/>
    <w:rsid w:val="00CB666B"/>
    <w:rsid w:val="00CB734B"/>
    <w:rsid w:val="00CC026D"/>
    <w:rsid w:val="00CC41B6"/>
    <w:rsid w:val="00CC7ADA"/>
    <w:rsid w:val="00CC7F1D"/>
    <w:rsid w:val="00CD0A88"/>
    <w:rsid w:val="00CD125D"/>
    <w:rsid w:val="00CD283C"/>
    <w:rsid w:val="00CD3553"/>
    <w:rsid w:val="00CD3641"/>
    <w:rsid w:val="00CD66EA"/>
    <w:rsid w:val="00CD7205"/>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0481"/>
    <w:rsid w:val="00D12A7B"/>
    <w:rsid w:val="00D12ADB"/>
    <w:rsid w:val="00D15E63"/>
    <w:rsid w:val="00D25A39"/>
    <w:rsid w:val="00D26540"/>
    <w:rsid w:val="00D27CFA"/>
    <w:rsid w:val="00D310FA"/>
    <w:rsid w:val="00D325C6"/>
    <w:rsid w:val="00D34524"/>
    <w:rsid w:val="00D37213"/>
    <w:rsid w:val="00D37E2C"/>
    <w:rsid w:val="00D4360D"/>
    <w:rsid w:val="00D5373B"/>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77DF8"/>
    <w:rsid w:val="00D80893"/>
    <w:rsid w:val="00D82519"/>
    <w:rsid w:val="00D84854"/>
    <w:rsid w:val="00D924AE"/>
    <w:rsid w:val="00D92CF1"/>
    <w:rsid w:val="00D92D38"/>
    <w:rsid w:val="00D950F5"/>
    <w:rsid w:val="00D97379"/>
    <w:rsid w:val="00DA4752"/>
    <w:rsid w:val="00DA4C09"/>
    <w:rsid w:val="00DA578A"/>
    <w:rsid w:val="00DA5818"/>
    <w:rsid w:val="00DA61F3"/>
    <w:rsid w:val="00DA7CB3"/>
    <w:rsid w:val="00DB0D00"/>
    <w:rsid w:val="00DB0F93"/>
    <w:rsid w:val="00DB1A67"/>
    <w:rsid w:val="00DB3721"/>
    <w:rsid w:val="00DB5074"/>
    <w:rsid w:val="00DB5F3F"/>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E7B38"/>
    <w:rsid w:val="00DF0152"/>
    <w:rsid w:val="00DF1958"/>
    <w:rsid w:val="00E04818"/>
    <w:rsid w:val="00E06442"/>
    <w:rsid w:val="00E06952"/>
    <w:rsid w:val="00E11E61"/>
    <w:rsid w:val="00E12581"/>
    <w:rsid w:val="00E157B2"/>
    <w:rsid w:val="00E16055"/>
    <w:rsid w:val="00E2332D"/>
    <w:rsid w:val="00E23993"/>
    <w:rsid w:val="00E2574F"/>
    <w:rsid w:val="00E25951"/>
    <w:rsid w:val="00E25B8C"/>
    <w:rsid w:val="00E306F4"/>
    <w:rsid w:val="00E31C94"/>
    <w:rsid w:val="00E31CF6"/>
    <w:rsid w:val="00E34A4A"/>
    <w:rsid w:val="00E35AFC"/>
    <w:rsid w:val="00E41D39"/>
    <w:rsid w:val="00E50A02"/>
    <w:rsid w:val="00E54106"/>
    <w:rsid w:val="00E54697"/>
    <w:rsid w:val="00E56000"/>
    <w:rsid w:val="00E5781D"/>
    <w:rsid w:val="00E57A08"/>
    <w:rsid w:val="00E63631"/>
    <w:rsid w:val="00E64C2A"/>
    <w:rsid w:val="00E65C85"/>
    <w:rsid w:val="00E66199"/>
    <w:rsid w:val="00E70526"/>
    <w:rsid w:val="00E754B4"/>
    <w:rsid w:val="00E755EC"/>
    <w:rsid w:val="00E7624D"/>
    <w:rsid w:val="00E81724"/>
    <w:rsid w:val="00E819A4"/>
    <w:rsid w:val="00E833FA"/>
    <w:rsid w:val="00E847C4"/>
    <w:rsid w:val="00E84B74"/>
    <w:rsid w:val="00E87066"/>
    <w:rsid w:val="00E9004D"/>
    <w:rsid w:val="00E966BF"/>
    <w:rsid w:val="00EA0C04"/>
    <w:rsid w:val="00EA3D42"/>
    <w:rsid w:val="00EA6B1B"/>
    <w:rsid w:val="00EA6F35"/>
    <w:rsid w:val="00EB1CBD"/>
    <w:rsid w:val="00EB3A34"/>
    <w:rsid w:val="00EB3C3F"/>
    <w:rsid w:val="00EC04F1"/>
    <w:rsid w:val="00EC237F"/>
    <w:rsid w:val="00EC573A"/>
    <w:rsid w:val="00EC5E0F"/>
    <w:rsid w:val="00ED35C8"/>
    <w:rsid w:val="00ED3968"/>
    <w:rsid w:val="00ED7323"/>
    <w:rsid w:val="00EE28F3"/>
    <w:rsid w:val="00EE50D1"/>
    <w:rsid w:val="00EE7614"/>
    <w:rsid w:val="00EF5110"/>
    <w:rsid w:val="00EF5890"/>
    <w:rsid w:val="00EF76BA"/>
    <w:rsid w:val="00EF7A7F"/>
    <w:rsid w:val="00F0231A"/>
    <w:rsid w:val="00F03463"/>
    <w:rsid w:val="00F036B7"/>
    <w:rsid w:val="00F0700F"/>
    <w:rsid w:val="00F07F1F"/>
    <w:rsid w:val="00F10411"/>
    <w:rsid w:val="00F10A9A"/>
    <w:rsid w:val="00F11B2D"/>
    <w:rsid w:val="00F121C2"/>
    <w:rsid w:val="00F12CB4"/>
    <w:rsid w:val="00F1485B"/>
    <w:rsid w:val="00F15882"/>
    <w:rsid w:val="00F170C7"/>
    <w:rsid w:val="00F171E0"/>
    <w:rsid w:val="00F20BD3"/>
    <w:rsid w:val="00F322E9"/>
    <w:rsid w:val="00F3231B"/>
    <w:rsid w:val="00F33808"/>
    <w:rsid w:val="00F33F74"/>
    <w:rsid w:val="00F373A5"/>
    <w:rsid w:val="00F37864"/>
    <w:rsid w:val="00F404F9"/>
    <w:rsid w:val="00F44B0A"/>
    <w:rsid w:val="00F45398"/>
    <w:rsid w:val="00F47559"/>
    <w:rsid w:val="00F50B30"/>
    <w:rsid w:val="00F51F5F"/>
    <w:rsid w:val="00F52D75"/>
    <w:rsid w:val="00F55582"/>
    <w:rsid w:val="00F57647"/>
    <w:rsid w:val="00F62A14"/>
    <w:rsid w:val="00F644AB"/>
    <w:rsid w:val="00F64C7B"/>
    <w:rsid w:val="00F676DD"/>
    <w:rsid w:val="00F67AB6"/>
    <w:rsid w:val="00F70028"/>
    <w:rsid w:val="00F70434"/>
    <w:rsid w:val="00F711C5"/>
    <w:rsid w:val="00F75A26"/>
    <w:rsid w:val="00F76706"/>
    <w:rsid w:val="00F77D6D"/>
    <w:rsid w:val="00F80206"/>
    <w:rsid w:val="00F83034"/>
    <w:rsid w:val="00F83FAD"/>
    <w:rsid w:val="00F844C6"/>
    <w:rsid w:val="00F84E24"/>
    <w:rsid w:val="00F91757"/>
    <w:rsid w:val="00F92FA6"/>
    <w:rsid w:val="00F9353B"/>
    <w:rsid w:val="00F937F1"/>
    <w:rsid w:val="00F952A0"/>
    <w:rsid w:val="00F97F5C"/>
    <w:rsid w:val="00FA31B1"/>
    <w:rsid w:val="00FA3320"/>
    <w:rsid w:val="00FA3C7F"/>
    <w:rsid w:val="00FA6246"/>
    <w:rsid w:val="00FB24ED"/>
    <w:rsid w:val="00FB3304"/>
    <w:rsid w:val="00FB5005"/>
    <w:rsid w:val="00FB60FE"/>
    <w:rsid w:val="00FB74E2"/>
    <w:rsid w:val="00FB778B"/>
    <w:rsid w:val="00FC6890"/>
    <w:rsid w:val="00FD5614"/>
    <w:rsid w:val="00FD5E78"/>
    <w:rsid w:val="00FE0BE1"/>
    <w:rsid w:val="00FE11BB"/>
    <w:rsid w:val="00FE1DE9"/>
    <w:rsid w:val="00FE36AF"/>
    <w:rsid w:val="00FE39C2"/>
    <w:rsid w:val="00FE3C32"/>
    <w:rsid w:val="00FE436D"/>
    <w:rsid w:val="00FE5A33"/>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18137676">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nergymadeeasy.gov.au/"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9EF96-C763-4259-A2B0-1860B3EE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E6532844.dotm</Template>
  <TotalTime>1</TotalTime>
  <Pages>17</Pages>
  <Words>3576</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AER final decision - TasNetworks - Annual revenue requirement</vt:lpstr>
    </vt:vector>
  </TitlesOfParts>
  <Company>ACCC</Company>
  <LinksUpToDate>false</LinksUpToDate>
  <CharactersWithSpaces>23913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TasNetworks - Annual revenue requirement</dc:title>
  <dc:creator>AER</dc:creator>
  <cp:lastModifiedBy>Le Cornu, Matthew</cp:lastModifiedBy>
  <cp:revision>2</cp:revision>
  <dcterms:created xsi:type="dcterms:W3CDTF">2017-04-27T02:42:00Z</dcterms:created>
  <dcterms:modified xsi:type="dcterms:W3CDTF">2017-04-27T02:42:00Z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tasnetworks distribution determination - attachment 1 - annual revenue requirement - april 2017 (D2016-00009284).docx</vt:lpwstr>
  </property>
</Properties>
</file>