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43" w:rsidRDefault="00504A43" w:rsidP="00504A43">
      <w:pPr>
        <w:spacing w:before="0"/>
        <w:jc w:val="both"/>
        <w:rPr>
          <w:rFonts w:ascii="Times New Roman" w:eastAsia="Calibri" w:hAnsi="Times New Roman" w:cs="Times New Roman"/>
          <w:szCs w:val="24"/>
          <w:lang w:eastAsia="en-AU"/>
        </w:rPr>
      </w:pPr>
      <w:bookmarkStart w:id="0" w:name="_GoBack"/>
      <w:bookmarkEnd w:id="0"/>
    </w:p>
    <w:p w:rsidR="00504A43" w:rsidRDefault="00504A43" w:rsidP="00504A43">
      <w:pPr>
        <w:spacing w:before="0"/>
        <w:jc w:val="center"/>
        <w:rPr>
          <w:rFonts w:ascii="Times New Roman" w:eastAsia="Calibri" w:hAnsi="Times New Roman" w:cs="Times New Roman"/>
          <w:szCs w:val="24"/>
          <w:lang w:eastAsia="en-AU"/>
        </w:rPr>
      </w:pPr>
      <w:r>
        <w:rPr>
          <w:rFonts w:ascii="Times New Roman" w:eastAsia="Calibri" w:hAnsi="Times New Roman" w:cs="Times New Roman"/>
          <w:noProof/>
          <w:szCs w:val="24"/>
          <w:lang w:eastAsia="en-AU"/>
        </w:rPr>
        <w:drawing>
          <wp:inline distT="0" distB="0" distL="0" distR="0" wp14:anchorId="4A353A6D" wp14:editId="770F3FEF">
            <wp:extent cx="5316220" cy="1261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A43" w:rsidRDefault="00504A43" w:rsidP="00504A43">
      <w:pPr>
        <w:spacing w:before="0"/>
        <w:jc w:val="center"/>
        <w:rPr>
          <w:rFonts w:ascii="Times New Roman" w:eastAsia="Calibri" w:hAnsi="Times New Roman" w:cs="Times New Roman"/>
          <w:szCs w:val="24"/>
          <w:lang w:eastAsia="en-AU"/>
        </w:rPr>
      </w:pPr>
    </w:p>
    <w:p w:rsidR="00504A43" w:rsidRDefault="00504A43" w:rsidP="00504A43">
      <w:pPr>
        <w:spacing w:before="0"/>
        <w:jc w:val="center"/>
        <w:rPr>
          <w:rFonts w:ascii="Times New Roman" w:eastAsia="Calibri" w:hAnsi="Times New Roman" w:cs="Times New Roman"/>
          <w:szCs w:val="24"/>
          <w:lang w:eastAsia="en-AU"/>
        </w:rPr>
      </w:pPr>
    </w:p>
    <w:p w:rsidR="002D1ECB" w:rsidRDefault="002D1ECB" w:rsidP="00504A43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AU"/>
        </w:rPr>
      </w:pPr>
    </w:p>
    <w:p w:rsidR="00504A43" w:rsidRPr="00BB03B5" w:rsidRDefault="00504A43" w:rsidP="00504A43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AU"/>
        </w:rPr>
      </w:pPr>
      <w:r w:rsidRPr="00BB03B5">
        <w:rPr>
          <w:rFonts w:ascii="Times New Roman" w:eastAsia="Calibri" w:hAnsi="Times New Roman" w:cs="Times New Roman"/>
          <w:b/>
          <w:sz w:val="28"/>
          <w:szCs w:val="28"/>
          <w:lang w:eastAsia="en-AU"/>
        </w:rPr>
        <w:t>STATEMENT OF REASONS</w:t>
      </w:r>
    </w:p>
    <w:p w:rsidR="00504A43" w:rsidRPr="00BB03B5" w:rsidRDefault="00504A43" w:rsidP="00504A43">
      <w:pPr>
        <w:spacing w:before="0"/>
        <w:jc w:val="center"/>
        <w:rPr>
          <w:rFonts w:ascii="Calibri" w:eastAsia="Calibri" w:hAnsi="Calibri" w:cs="Times New Roman"/>
          <w:b/>
          <w:sz w:val="28"/>
          <w:szCs w:val="28"/>
          <w:lang w:eastAsia="en-AU"/>
        </w:rPr>
      </w:pPr>
      <w:r w:rsidRPr="00BB03B5">
        <w:rPr>
          <w:rFonts w:ascii="Calibri" w:eastAsia="Calibri" w:hAnsi="Calibri" w:cs="Times New Roman"/>
          <w:b/>
          <w:sz w:val="28"/>
          <w:szCs w:val="28"/>
          <w:lang w:eastAsia="en-AU"/>
        </w:rPr>
        <w:t xml:space="preserve"> </w:t>
      </w:r>
    </w:p>
    <w:p w:rsidR="00504A43" w:rsidRPr="00BB03B5" w:rsidRDefault="00D54E61" w:rsidP="00504A43">
      <w:pPr>
        <w:spacing w:before="0"/>
        <w:jc w:val="center"/>
        <w:rPr>
          <w:rFonts w:ascii="Calibri" w:eastAsia="Calibri" w:hAnsi="Calibri" w:cs="Times New Roman"/>
          <w:lang w:eastAsia="en-A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AU"/>
        </w:rPr>
        <w:t xml:space="preserve">Gas Market Service Operator </w:t>
      </w:r>
      <w:r w:rsidR="00BF688A">
        <w:rPr>
          <w:rFonts w:ascii="Times New Roman" w:eastAsia="Calibri" w:hAnsi="Times New Roman" w:cs="Times New Roman"/>
          <w:b/>
          <w:bCs/>
          <w:sz w:val="28"/>
          <w:szCs w:val="28"/>
          <w:lang w:eastAsia="en-AU"/>
        </w:rPr>
        <w:t>allocation costs</w:t>
      </w:r>
    </w:p>
    <w:p w:rsidR="00504A43" w:rsidRPr="00BB03B5" w:rsidRDefault="00504A43" w:rsidP="00504A43">
      <w:pPr>
        <w:spacing w:before="0"/>
        <w:jc w:val="both"/>
        <w:rPr>
          <w:rFonts w:ascii="Calibri" w:eastAsia="Calibri" w:hAnsi="Calibri" w:cs="Times New Roman"/>
          <w:lang w:eastAsia="en-AU"/>
        </w:rPr>
      </w:pPr>
    </w:p>
    <w:p w:rsidR="00D931D0" w:rsidRDefault="00BF688A" w:rsidP="00710536">
      <w:pPr>
        <w:pStyle w:val="AERbulletlistfirststyle"/>
        <w:numPr>
          <w:ilvl w:val="0"/>
          <w:numId w:val="0"/>
        </w:numPr>
        <w:jc w:val="both"/>
      </w:pPr>
      <w:r w:rsidRPr="00BF688A">
        <w:t>Under rule 425</w:t>
      </w:r>
      <w:r w:rsidR="00B83B19">
        <w:t xml:space="preserve"> of the National Gas Rules</w:t>
      </w:r>
      <w:r w:rsidRPr="00BF688A">
        <w:t>, the AER is required to make a determination on the</w:t>
      </w:r>
      <w:r w:rsidR="00B83B19">
        <w:t xml:space="preserve"> Market Service Operator</w:t>
      </w:r>
      <w:r w:rsidRPr="00BF688A">
        <w:t xml:space="preserve"> </w:t>
      </w:r>
      <w:r w:rsidR="00B83B19">
        <w:t>(</w:t>
      </w:r>
      <w:r w:rsidRPr="00BF688A">
        <w:t>MOS</w:t>
      </w:r>
      <w:r w:rsidR="00B83B19">
        <w:t>)</w:t>
      </w:r>
      <w:r w:rsidRPr="00BF688A">
        <w:t xml:space="preserve"> alloca</w:t>
      </w:r>
      <w:r>
        <w:t>tion service costs payable to a</w:t>
      </w:r>
      <w:r w:rsidRPr="00BF688A">
        <w:t xml:space="preserve"> </w:t>
      </w:r>
      <w:r>
        <w:t>gas short term trading market</w:t>
      </w:r>
      <w:r w:rsidRPr="00BF688A">
        <w:t xml:space="preserve"> pipeline operator. </w:t>
      </w:r>
      <w:r w:rsidR="002647AF">
        <w:t>This statement of reasons</w:t>
      </w:r>
      <w:r w:rsidR="002D1ECB">
        <w:t xml:space="preserve"> sets out our determination on the 2013–14 MOS allocation service costs for: </w:t>
      </w:r>
    </w:p>
    <w:p w:rsidR="00D931D0" w:rsidRPr="00602B91" w:rsidRDefault="00D931D0" w:rsidP="00710536">
      <w:pPr>
        <w:pStyle w:val="AERbulletlistfirststyle"/>
        <w:jc w:val="both"/>
      </w:pPr>
      <w:r w:rsidRPr="00602B91">
        <w:t xml:space="preserve">APA Group for the Roma to Brisbane Pipeline (RBP) and the Moomba to Sydney Pipeline (MSP), </w:t>
      </w:r>
    </w:p>
    <w:p w:rsidR="00D931D0" w:rsidRDefault="00D931D0" w:rsidP="00710536">
      <w:pPr>
        <w:pStyle w:val="AERbulletlistfirststyle"/>
        <w:jc w:val="both"/>
      </w:pPr>
      <w:r w:rsidRPr="00602B91">
        <w:t xml:space="preserve">Epic Energy (Moomba to Adelaide Pipeline System), Jemena (Eastern Gas Pipeline (EGP)) and SEA Gas (South East Australia Gas Pipeline). </w:t>
      </w:r>
    </w:p>
    <w:p w:rsidR="002D1ECB" w:rsidRDefault="002D1ECB" w:rsidP="00710536">
      <w:pPr>
        <w:pStyle w:val="AERbulletlistfirststyle"/>
        <w:numPr>
          <w:ilvl w:val="0"/>
          <w:numId w:val="0"/>
        </w:numPr>
        <w:jc w:val="both"/>
      </w:pPr>
      <w:r>
        <w:t xml:space="preserve">Our determination </w:t>
      </w:r>
      <w:r w:rsidR="00710536">
        <w:t>is</w:t>
      </w:r>
      <w:r>
        <w:t xml:space="preserve"> that costs specified in tax invoices the Australian Energy Market Operator (AEMO)</w:t>
      </w:r>
      <w:r w:rsidR="00710536">
        <w:t xml:space="preserve"> provided to us</w:t>
      </w:r>
      <w:r w:rsidR="002647AF">
        <w:t xml:space="preserve"> for the five gas pipeline operators</w:t>
      </w:r>
      <w:r w:rsidR="00710536">
        <w:t>,</w:t>
      </w:r>
      <w:r w:rsidR="002647AF">
        <w:t xml:space="preserve"> would be the MOS </w:t>
      </w:r>
      <w:r>
        <w:t xml:space="preserve">service costs </w:t>
      </w:r>
      <w:r w:rsidR="00710536">
        <w:t xml:space="preserve">payable to each of </w:t>
      </w:r>
      <w:r w:rsidR="002647AF">
        <w:t>them</w:t>
      </w:r>
      <w:r w:rsidR="00710536">
        <w:t xml:space="preserve">. </w:t>
      </w:r>
      <w:r w:rsidR="002647AF">
        <w:t>Appendix A specifies the MOS service costs payable.</w:t>
      </w:r>
    </w:p>
    <w:p w:rsidR="002D1ECB" w:rsidRPr="002D1ECB" w:rsidRDefault="002D1ECB" w:rsidP="00710536">
      <w:pPr>
        <w:pStyle w:val="AERbulletlistfirststyle"/>
        <w:numPr>
          <w:ilvl w:val="0"/>
          <w:numId w:val="0"/>
        </w:numPr>
        <w:jc w:val="both"/>
        <w:rPr>
          <w:b/>
        </w:rPr>
      </w:pPr>
      <w:r>
        <w:rPr>
          <w:b/>
        </w:rPr>
        <w:t>Background</w:t>
      </w:r>
    </w:p>
    <w:p w:rsidR="00540446" w:rsidRDefault="00540446" w:rsidP="00540446">
      <w:pPr>
        <w:pStyle w:val="AERbulletlistfirststyle"/>
        <w:numPr>
          <w:ilvl w:val="0"/>
          <w:numId w:val="0"/>
        </w:numPr>
        <w:jc w:val="both"/>
      </w:pPr>
      <w:r w:rsidRPr="00602B91">
        <w:t xml:space="preserve">On </w:t>
      </w:r>
      <w:r>
        <w:t>31 July 2014</w:t>
      </w:r>
      <w:r w:rsidRPr="00602B91">
        <w:t xml:space="preserve">, </w:t>
      </w:r>
      <w:r>
        <w:t>AEMO</w:t>
      </w:r>
      <w:r w:rsidRPr="00602B91">
        <w:t xml:space="preserve"> provided to the AER </w:t>
      </w:r>
      <w:r>
        <w:t xml:space="preserve">with tax </w:t>
      </w:r>
      <w:r w:rsidRPr="00602B91">
        <w:t>invoices and evidence for costs incurred for MOS allocation serv</w:t>
      </w:r>
      <w:r>
        <w:t>ices for the financial year 2013</w:t>
      </w:r>
      <w:r w:rsidRPr="00602B91">
        <w:t>–</w:t>
      </w:r>
      <w:r>
        <w:t>14. AEMO sought submissions on these costs, but did not receive any.</w:t>
      </w:r>
    </w:p>
    <w:p w:rsidR="00540446" w:rsidRDefault="00540446" w:rsidP="00540446">
      <w:pPr>
        <w:pStyle w:val="AERbodytext"/>
        <w:spacing w:after="220"/>
        <w:jc w:val="both"/>
      </w:pPr>
      <w:r w:rsidRPr="006565E9">
        <w:t xml:space="preserve">In the </w:t>
      </w:r>
      <w:r>
        <w:t>short term trading market</w:t>
      </w:r>
      <w:r w:rsidRPr="006565E9">
        <w:t xml:space="preserve"> hubs of Adelaide, Sydney and Brisbane, the respective pipeline operators are required to allocate gas on a daily basis in response to deviations on the pipeline or at the hubs. This is done by increasing or decreasing the quantity of gas supplied to the hub. MOS is a standing agreement between pipeline operators and shippers to balance positive or negative deviations at the end of each gas day. MOS allocation service means the allocation of pipeline deviations.</w:t>
      </w:r>
      <w:r w:rsidRPr="006565E9">
        <w:rPr>
          <w:rStyle w:val="FootnoteReference"/>
        </w:rPr>
        <w:footnoteReference w:id="1"/>
      </w:r>
      <w:r w:rsidRPr="006565E9">
        <w:t xml:space="preserve"> </w:t>
      </w:r>
    </w:p>
    <w:p w:rsidR="00850B34" w:rsidRDefault="00540446" w:rsidP="00540446">
      <w:pPr>
        <w:pStyle w:val="AERbulletlistfirststyle"/>
        <w:numPr>
          <w:ilvl w:val="0"/>
          <w:numId w:val="0"/>
        </w:numPr>
        <w:jc w:val="both"/>
      </w:pPr>
      <w:r w:rsidRPr="00602B91">
        <w:t xml:space="preserve">We have assessed the information </w:t>
      </w:r>
      <w:r>
        <w:t>AEMO provided</w:t>
      </w:r>
      <w:r w:rsidRPr="00602B91">
        <w:t xml:space="preserve"> and consider that</w:t>
      </w:r>
      <w:r>
        <w:t xml:space="preserve"> the</w:t>
      </w:r>
      <w:r w:rsidRPr="00602B91">
        <w:t xml:space="preserve"> costs specified in all five pipeline operators’ </w:t>
      </w:r>
      <w:r>
        <w:t xml:space="preserve">tax </w:t>
      </w:r>
      <w:r w:rsidRPr="00602B91">
        <w:t>invoices have been incurred for MOS allocation services and that the costs are reasonable.</w:t>
      </w:r>
      <w:r w:rsidR="00850B34">
        <w:t xml:space="preserve"> </w:t>
      </w:r>
    </w:p>
    <w:p w:rsidR="00850B34" w:rsidRDefault="00850B34" w:rsidP="00540446">
      <w:pPr>
        <w:pStyle w:val="AERbulletlistfirststyle"/>
        <w:numPr>
          <w:ilvl w:val="0"/>
          <w:numId w:val="0"/>
        </w:numPr>
        <w:jc w:val="both"/>
      </w:pPr>
    </w:p>
    <w:p w:rsidR="00850B34" w:rsidRPr="00850B34" w:rsidRDefault="00850B34" w:rsidP="00540446">
      <w:pPr>
        <w:pStyle w:val="AERbulletlistfirststyle"/>
        <w:numPr>
          <w:ilvl w:val="0"/>
          <w:numId w:val="0"/>
        </w:numPr>
        <w:jc w:val="both"/>
        <w:rPr>
          <w:b/>
        </w:rPr>
      </w:pPr>
      <w:r w:rsidRPr="00850B34">
        <w:rPr>
          <w:b/>
        </w:rPr>
        <w:lastRenderedPageBreak/>
        <w:t>Reasons</w:t>
      </w:r>
    </w:p>
    <w:p w:rsidR="00540446" w:rsidRDefault="00850B34" w:rsidP="00540446">
      <w:pPr>
        <w:pStyle w:val="AERbulletlistfirststyle"/>
        <w:numPr>
          <w:ilvl w:val="0"/>
          <w:numId w:val="0"/>
        </w:numPr>
        <w:jc w:val="both"/>
      </w:pPr>
      <w:r>
        <w:t xml:space="preserve">In determining that the costs were reasonable, we considered historical MOS allocation service </w:t>
      </w:r>
      <w:r w:rsidR="00F51252">
        <w:t>payments</w:t>
      </w:r>
      <w:r>
        <w:t xml:space="preserve">. We found that </w:t>
      </w:r>
      <w:r w:rsidR="00F51252">
        <w:t>the</w:t>
      </w:r>
      <w:r>
        <w:t xml:space="preserve"> </w:t>
      </w:r>
      <w:r w:rsidR="003F660F">
        <w:t>2013–14 tax invoices were</w:t>
      </w:r>
      <w:r w:rsidR="00BD6272">
        <w:t xml:space="preserve"> mostly</w:t>
      </w:r>
      <w:r w:rsidR="003F660F">
        <w:t xml:space="preserve"> consistent with past years</w:t>
      </w:r>
      <w:r>
        <w:t>.</w:t>
      </w:r>
      <w:r w:rsidR="003F660F">
        <w:t xml:space="preserve"> </w:t>
      </w:r>
      <w:r w:rsidR="003F660F">
        <w:fldChar w:fldCharType="begin"/>
      </w:r>
      <w:r w:rsidR="003F660F">
        <w:instrText xml:space="preserve"> REF _Ref397085147 \h </w:instrText>
      </w:r>
      <w:r w:rsidR="003F660F">
        <w:fldChar w:fldCharType="separate"/>
      </w:r>
      <w:r w:rsidR="003F660F" w:rsidRPr="00F51252">
        <w:rPr>
          <w:bCs/>
        </w:rPr>
        <w:t>Table 1</w:t>
      </w:r>
      <w:r w:rsidR="003F660F">
        <w:fldChar w:fldCharType="end"/>
      </w:r>
      <w:r w:rsidR="003F660F">
        <w:t xml:space="preserve"> compares historical MOS service payments.</w:t>
      </w:r>
    </w:p>
    <w:p w:rsidR="00F51252" w:rsidRPr="00F51252" w:rsidRDefault="00F51252" w:rsidP="00F51252">
      <w:pPr>
        <w:pStyle w:val="Caption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" w:name="_Ref397085147"/>
      <w:r w:rsidRPr="00F5125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Table </w:t>
      </w:r>
      <w:r w:rsidRPr="00F5125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fldChar w:fldCharType="begin"/>
      </w:r>
      <w:r w:rsidRPr="00F5125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instrText xml:space="preserve"> SEQ Table \* ARABIC </w:instrText>
      </w:r>
      <w:r w:rsidRPr="00F5125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fldChar w:fldCharType="separate"/>
      </w:r>
      <w:r w:rsidRPr="00F5125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Pr="00F5125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fldChar w:fldCharType="end"/>
      </w:r>
      <w:bookmarkEnd w:id="1"/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ab/>
        <w:t>Comparison of 2013–14 invoice and historical MOS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616"/>
        <w:gridCol w:w="1548"/>
        <w:gridCol w:w="1565"/>
        <w:gridCol w:w="1548"/>
        <w:gridCol w:w="1548"/>
      </w:tblGrid>
      <w:tr w:rsidR="00850B34" w:rsidTr="001B5D12">
        <w:trPr>
          <w:trHeight w:val="425"/>
        </w:trPr>
        <w:tc>
          <w:tcPr>
            <w:tcW w:w="2284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4571" w:type="dxa"/>
            <w:gridSpan w:val="2"/>
          </w:tcPr>
          <w:p w:rsidR="00850B34" w:rsidRDefault="00850B34" w:rsidP="001B5D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Adelaide Hub</w:t>
            </w:r>
          </w:p>
        </w:tc>
        <w:tc>
          <w:tcPr>
            <w:tcW w:w="4571" w:type="dxa"/>
            <w:gridSpan w:val="2"/>
          </w:tcPr>
          <w:p w:rsidR="00850B34" w:rsidRDefault="00850B34" w:rsidP="001B5D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Sydney Hub</w:t>
            </w:r>
          </w:p>
        </w:tc>
        <w:tc>
          <w:tcPr>
            <w:tcW w:w="2285" w:type="dxa"/>
          </w:tcPr>
          <w:p w:rsidR="00850B34" w:rsidRDefault="00850B34" w:rsidP="001B5D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Brisbane Hub</w:t>
            </w:r>
          </w:p>
        </w:tc>
      </w:tr>
      <w:tr w:rsidR="00850B34" w:rsidTr="001B5D12">
        <w:trPr>
          <w:trHeight w:val="425"/>
        </w:trPr>
        <w:tc>
          <w:tcPr>
            <w:tcW w:w="2284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2285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SEAGas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 xml:space="preserve"> pipeline</w:t>
            </w:r>
          </w:p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SEAGas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2285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Moomba to Adelaide (Epic Energy)</w:t>
            </w:r>
          </w:p>
        </w:tc>
        <w:tc>
          <w:tcPr>
            <w:tcW w:w="2285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Eastern Gas Pipeline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Jemena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2285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Moomba to Sydney Pipeline (APA Group)</w:t>
            </w:r>
          </w:p>
        </w:tc>
        <w:tc>
          <w:tcPr>
            <w:tcW w:w="2285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Roma to Brisbane Pipeline (APA Group)</w:t>
            </w:r>
          </w:p>
        </w:tc>
      </w:tr>
      <w:tr w:rsidR="00850B34" w:rsidRPr="00E341AF" w:rsidTr="001B5D12">
        <w:trPr>
          <w:trHeight w:val="425"/>
        </w:trPr>
        <w:tc>
          <w:tcPr>
            <w:tcW w:w="2284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2011–12</w:t>
            </w:r>
          </w:p>
        </w:tc>
        <w:tc>
          <w:tcPr>
            <w:tcW w:w="2285" w:type="dxa"/>
          </w:tcPr>
          <w:p w:rsidR="00850B34" w:rsidRPr="001801B3" w:rsidRDefault="00D50237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$30,115</w:t>
            </w:r>
          </w:p>
        </w:tc>
        <w:tc>
          <w:tcPr>
            <w:tcW w:w="2285" w:type="dxa"/>
          </w:tcPr>
          <w:p w:rsidR="00850B34" w:rsidRPr="00E341AF" w:rsidRDefault="00D50237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$117,209</w:t>
            </w:r>
          </w:p>
        </w:tc>
        <w:tc>
          <w:tcPr>
            <w:tcW w:w="2285" w:type="dxa"/>
          </w:tcPr>
          <w:p w:rsidR="00850B34" w:rsidRPr="00E341AF" w:rsidRDefault="00D50237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$15,805</w:t>
            </w:r>
          </w:p>
        </w:tc>
        <w:tc>
          <w:tcPr>
            <w:tcW w:w="2285" w:type="dxa"/>
          </w:tcPr>
          <w:p w:rsidR="00850B34" w:rsidRPr="00E341AF" w:rsidRDefault="00D50237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$188,814</w:t>
            </w:r>
          </w:p>
        </w:tc>
        <w:tc>
          <w:tcPr>
            <w:tcW w:w="2285" w:type="dxa"/>
          </w:tcPr>
          <w:p w:rsidR="00850B34" w:rsidRPr="00E341AF" w:rsidRDefault="00D50237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$722,442</w:t>
            </w:r>
          </w:p>
        </w:tc>
      </w:tr>
      <w:tr w:rsidR="00850B34" w:rsidRPr="00E341AF" w:rsidTr="001B5D12">
        <w:trPr>
          <w:trHeight w:val="425"/>
        </w:trPr>
        <w:tc>
          <w:tcPr>
            <w:tcW w:w="2284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2012–13</w:t>
            </w:r>
          </w:p>
        </w:tc>
        <w:tc>
          <w:tcPr>
            <w:tcW w:w="2285" w:type="dxa"/>
          </w:tcPr>
          <w:p w:rsidR="00850B34" w:rsidRPr="001801B3" w:rsidRDefault="00620CA5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$24,417</w:t>
            </w:r>
          </w:p>
        </w:tc>
        <w:tc>
          <w:tcPr>
            <w:tcW w:w="2285" w:type="dxa"/>
          </w:tcPr>
          <w:p w:rsidR="00850B34" w:rsidRPr="00E341AF" w:rsidRDefault="00620CA5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$77,787</w:t>
            </w:r>
          </w:p>
        </w:tc>
        <w:tc>
          <w:tcPr>
            <w:tcW w:w="2285" w:type="dxa"/>
          </w:tcPr>
          <w:p w:rsidR="00850B34" w:rsidRPr="00E341AF" w:rsidRDefault="00620CA5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$5,240</w:t>
            </w:r>
          </w:p>
        </w:tc>
        <w:tc>
          <w:tcPr>
            <w:tcW w:w="2285" w:type="dxa"/>
          </w:tcPr>
          <w:p w:rsidR="00850B34" w:rsidRPr="00E341AF" w:rsidRDefault="00620CA5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$72,7590</w:t>
            </w:r>
          </w:p>
        </w:tc>
        <w:tc>
          <w:tcPr>
            <w:tcW w:w="2285" w:type="dxa"/>
          </w:tcPr>
          <w:p w:rsidR="00850B34" w:rsidRPr="00E341AF" w:rsidRDefault="00620CA5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$73,416</w:t>
            </w:r>
          </w:p>
        </w:tc>
      </w:tr>
      <w:tr w:rsidR="00850B34" w:rsidRPr="00E341AF" w:rsidTr="001B5D12">
        <w:trPr>
          <w:trHeight w:val="441"/>
        </w:trPr>
        <w:tc>
          <w:tcPr>
            <w:tcW w:w="2284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2013–14 invoice</w:t>
            </w:r>
          </w:p>
        </w:tc>
        <w:tc>
          <w:tcPr>
            <w:tcW w:w="2285" w:type="dxa"/>
          </w:tcPr>
          <w:p w:rsidR="00850B34" w:rsidRDefault="00850B34" w:rsidP="001B5D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$28,241</w:t>
            </w:r>
          </w:p>
        </w:tc>
        <w:tc>
          <w:tcPr>
            <w:tcW w:w="2285" w:type="dxa"/>
          </w:tcPr>
          <w:p w:rsidR="00850B34" w:rsidRPr="00E341AF" w:rsidRDefault="00850B34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$115,660</w:t>
            </w:r>
          </w:p>
        </w:tc>
        <w:tc>
          <w:tcPr>
            <w:tcW w:w="2285" w:type="dxa"/>
          </w:tcPr>
          <w:p w:rsidR="00850B34" w:rsidRPr="00E341AF" w:rsidRDefault="00850B34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$7.235</w:t>
            </w:r>
          </w:p>
        </w:tc>
        <w:tc>
          <w:tcPr>
            <w:tcW w:w="2285" w:type="dxa"/>
          </w:tcPr>
          <w:p w:rsidR="00850B34" w:rsidRPr="00E341AF" w:rsidRDefault="00850B34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$72,918</w:t>
            </w:r>
          </w:p>
        </w:tc>
        <w:tc>
          <w:tcPr>
            <w:tcW w:w="2285" w:type="dxa"/>
          </w:tcPr>
          <w:p w:rsidR="00850B34" w:rsidRPr="00E341AF" w:rsidRDefault="00850B34" w:rsidP="001B5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$73,284</w:t>
            </w:r>
          </w:p>
        </w:tc>
      </w:tr>
    </w:tbl>
    <w:p w:rsidR="00850B34" w:rsidRPr="002D1ECB" w:rsidRDefault="00850B34" w:rsidP="00540446">
      <w:pPr>
        <w:pStyle w:val="AERbulletlistfirststyle"/>
        <w:numPr>
          <w:ilvl w:val="0"/>
          <w:numId w:val="0"/>
        </w:numPr>
        <w:jc w:val="both"/>
      </w:pPr>
    </w:p>
    <w:p w:rsidR="00D50237" w:rsidRDefault="00B1189D" w:rsidP="00F51252">
      <w:pPr>
        <w:jc w:val="both"/>
        <w:rPr>
          <w:rFonts w:ascii="Times New Roman" w:eastAsia="Calibri" w:hAnsi="Times New Roman" w:cs="Times New Roman"/>
          <w:sz w:val="24"/>
          <w:szCs w:val="24"/>
          <w:lang w:eastAsia="en-AU"/>
        </w:rPr>
      </w:pPr>
      <w:r>
        <w:rPr>
          <w:rFonts w:ascii="Times New Roman" w:eastAsia="Calibri" w:hAnsi="Times New Roman" w:cs="Times New Roman"/>
          <w:sz w:val="24"/>
          <w:szCs w:val="24"/>
          <w:lang w:eastAsia="en-AU"/>
        </w:rPr>
        <w:t>We noted</w:t>
      </w:r>
      <w:r w:rsidR="00D5023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that the 2013–14 tax </w:t>
      </w:r>
      <w:proofErr w:type="gramStart"/>
      <w:r w:rsidR="00D50237">
        <w:rPr>
          <w:rFonts w:ascii="Times New Roman" w:eastAsia="Calibri" w:hAnsi="Times New Roman" w:cs="Times New Roman"/>
          <w:sz w:val="24"/>
          <w:szCs w:val="24"/>
          <w:lang w:eastAsia="en-AU"/>
        </w:rPr>
        <w:t>invoice</w:t>
      </w:r>
      <w:proofErr w:type="gramEnd"/>
      <w:r w:rsidR="00D5023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</w:t>
      </w:r>
      <w:r w:rsidR="00BD6272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for </w:t>
      </w:r>
      <w:r w:rsidR="00D50237">
        <w:rPr>
          <w:rFonts w:ascii="Times New Roman" w:eastAsia="Calibri" w:hAnsi="Times New Roman" w:cs="Times New Roman"/>
          <w:sz w:val="24"/>
          <w:szCs w:val="24"/>
          <w:lang w:eastAsia="en-AU"/>
        </w:rPr>
        <w:t>the</w:t>
      </w:r>
      <w:r w:rsidR="00D50237" w:rsidRPr="00D5023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Moomba to Adelaide pipeline operator</w:t>
      </w:r>
      <w:r w:rsidR="00D50237">
        <w:rPr>
          <w:rFonts w:ascii="Times New Roman" w:eastAsia="Calibri" w:hAnsi="Times New Roman" w:cs="Times New Roman"/>
          <w:sz w:val="24"/>
          <w:szCs w:val="24"/>
          <w:lang w:eastAsia="en-AU"/>
        </w:rPr>
        <w:t>,</w:t>
      </w:r>
      <w:r w:rsidR="00D50237" w:rsidRPr="00D5023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Epic Energy, </w:t>
      </w:r>
      <w:r w:rsidR="00D50237">
        <w:rPr>
          <w:rFonts w:ascii="Times New Roman" w:eastAsia="Calibri" w:hAnsi="Times New Roman" w:cs="Times New Roman"/>
          <w:sz w:val="24"/>
          <w:szCs w:val="24"/>
          <w:lang w:eastAsia="en-AU"/>
        </w:rPr>
        <w:t>was</w:t>
      </w:r>
      <w:r w:rsidR="00D50237" w:rsidRPr="00D5023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higher than its 2012–13</w:t>
      </w:r>
      <w:r w:rsidR="00BD6272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payment</w:t>
      </w:r>
      <w:r w:rsidR="00D50237" w:rsidRPr="00D5023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. We were nonetheless satisfied that the </w:t>
      </w:r>
      <w:r w:rsidR="0009056B">
        <w:rPr>
          <w:rFonts w:ascii="Times New Roman" w:eastAsia="Calibri" w:hAnsi="Times New Roman" w:cs="Times New Roman"/>
          <w:sz w:val="24"/>
          <w:szCs w:val="24"/>
          <w:lang w:eastAsia="en-AU"/>
        </w:rPr>
        <w:t>costs</w:t>
      </w:r>
      <w:r w:rsidR="00D50237" w:rsidRPr="00D5023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</w:t>
      </w:r>
      <w:r w:rsidR="00387F2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sought </w:t>
      </w:r>
      <w:r w:rsidR="002B4AB7">
        <w:rPr>
          <w:rFonts w:ascii="Times New Roman" w:eastAsia="Calibri" w:hAnsi="Times New Roman" w:cs="Times New Roman"/>
          <w:sz w:val="24"/>
          <w:szCs w:val="24"/>
          <w:lang w:eastAsia="en-AU"/>
        </w:rPr>
        <w:t>were</w:t>
      </w:r>
      <w:r w:rsidR="00D50237" w:rsidRPr="00D5023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reasonable</w:t>
      </w:r>
      <w:r w:rsidR="00BD6272">
        <w:rPr>
          <w:rFonts w:ascii="Times New Roman" w:eastAsia="Calibri" w:hAnsi="Times New Roman" w:cs="Times New Roman"/>
          <w:sz w:val="24"/>
          <w:szCs w:val="24"/>
          <w:lang w:eastAsia="en-AU"/>
        </w:rPr>
        <w:t>. Epic Energy’s 2011–12 payment</w:t>
      </w:r>
      <w:r w:rsidR="00387F2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was </w:t>
      </w:r>
      <w:r>
        <w:rPr>
          <w:rFonts w:ascii="Times New Roman" w:eastAsia="Calibri" w:hAnsi="Times New Roman" w:cs="Times New Roman"/>
          <w:sz w:val="24"/>
          <w:szCs w:val="24"/>
          <w:lang w:eastAsia="en-AU"/>
        </w:rPr>
        <w:t>greater</w:t>
      </w:r>
      <w:r w:rsidR="0009056B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than its</w:t>
      </w:r>
      <w:r w:rsidR="00387F2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2013–14 tax invoice</w:t>
      </w:r>
      <w:r w:rsidR="002B4AB7">
        <w:rPr>
          <w:rFonts w:ascii="Times New Roman" w:eastAsia="Calibri" w:hAnsi="Times New Roman" w:cs="Times New Roman"/>
          <w:sz w:val="24"/>
          <w:szCs w:val="24"/>
          <w:lang w:eastAsia="en-AU"/>
        </w:rPr>
        <w:t>. We were also</w:t>
      </w:r>
      <w:r w:rsidR="00387F2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</w:t>
      </w:r>
      <w:r w:rsidR="002B4AB7">
        <w:rPr>
          <w:rFonts w:ascii="Times New Roman" w:eastAsia="Calibri" w:hAnsi="Times New Roman" w:cs="Times New Roman"/>
          <w:sz w:val="24"/>
          <w:szCs w:val="24"/>
          <w:lang w:eastAsia="en-AU"/>
        </w:rPr>
        <w:t>satisfied with the reasonableness of Epic Energy’s labour rates</w:t>
      </w:r>
      <w:r w:rsidR="00BD6272">
        <w:rPr>
          <w:rFonts w:ascii="Times New Roman" w:eastAsia="Calibri" w:hAnsi="Times New Roman" w:cs="Times New Roman"/>
          <w:sz w:val="24"/>
          <w:szCs w:val="24"/>
          <w:lang w:eastAsia="en-AU"/>
        </w:rPr>
        <w:t>.</w:t>
      </w:r>
      <w:r w:rsidR="00BD6272">
        <w:rPr>
          <w:rStyle w:val="FootnoteReference"/>
          <w:rFonts w:ascii="Times New Roman" w:eastAsia="Calibri" w:hAnsi="Times New Roman" w:cs="Times New Roman"/>
          <w:sz w:val="24"/>
          <w:szCs w:val="24"/>
          <w:lang w:eastAsia="en-AU"/>
        </w:rPr>
        <w:footnoteReference w:id="2"/>
      </w:r>
    </w:p>
    <w:p w:rsidR="00F51252" w:rsidRDefault="00BD6272" w:rsidP="00F51252">
      <w:pPr>
        <w:jc w:val="both"/>
        <w:rPr>
          <w:rFonts w:ascii="Times New Roman" w:eastAsia="Calibri" w:hAnsi="Times New Roman" w:cs="Times New Roman"/>
          <w:sz w:val="24"/>
          <w:szCs w:val="24"/>
          <w:lang w:eastAsia="en-AU"/>
        </w:rPr>
      </w:pPr>
      <w:r>
        <w:rPr>
          <w:rFonts w:ascii="Times New Roman" w:eastAsia="Calibri" w:hAnsi="Times New Roman" w:cs="Times New Roman"/>
          <w:sz w:val="24"/>
          <w:szCs w:val="24"/>
          <w:lang w:eastAsia="en-AU"/>
        </w:rPr>
        <w:t>We considered the</w:t>
      </w:r>
      <w:r w:rsidR="00722C65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supporting material</w:t>
      </w:r>
      <w:r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the pipeline operators provided with their tax invoices. </w:t>
      </w:r>
      <w:r w:rsidR="002B4AB7">
        <w:rPr>
          <w:rFonts w:ascii="Times New Roman" w:eastAsia="Calibri" w:hAnsi="Times New Roman" w:cs="Times New Roman"/>
          <w:sz w:val="24"/>
          <w:szCs w:val="24"/>
          <w:lang w:eastAsia="en-AU"/>
        </w:rPr>
        <w:t>There was sufficient evidence</w:t>
      </w:r>
      <w:r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that direct and indirect costs had been appropriately allocated and, from this, we concluded that the</w:t>
      </w:r>
      <w:r w:rsidR="00DF496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costs</w:t>
      </w:r>
      <w:r w:rsidR="00722C65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in the 2013–14 invoices</w:t>
      </w:r>
      <w:r w:rsidR="00DF4967">
        <w:rPr>
          <w:rFonts w:ascii="Times New Roman" w:eastAsia="Calibri" w:hAnsi="Times New Roman" w:cs="Times New Roman"/>
          <w:sz w:val="24"/>
          <w:szCs w:val="24"/>
          <w:lang w:eastAsia="en-AU"/>
        </w:rPr>
        <w:t xml:space="preserve"> were incurred for MOS allocation services.</w:t>
      </w:r>
    </w:p>
    <w:p w:rsidR="00F51252" w:rsidRDefault="00F51252" w:rsidP="00BF688A">
      <w:pPr>
        <w:rPr>
          <w:rFonts w:ascii="Times New Roman" w:eastAsia="Calibri" w:hAnsi="Times New Roman" w:cs="Times New Roman"/>
          <w:sz w:val="24"/>
          <w:szCs w:val="24"/>
          <w:lang w:eastAsia="en-AU"/>
        </w:rPr>
      </w:pPr>
    </w:p>
    <w:p w:rsidR="00F51252" w:rsidRDefault="00F51252" w:rsidP="00BF688A">
      <w:pPr>
        <w:rPr>
          <w:rFonts w:ascii="Times New Roman" w:eastAsia="Calibri" w:hAnsi="Times New Roman" w:cs="Times New Roman"/>
          <w:sz w:val="24"/>
          <w:szCs w:val="24"/>
          <w:lang w:eastAsia="en-AU"/>
        </w:rPr>
        <w:sectPr w:rsidR="00F512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04A43" w:rsidRDefault="00D931D0" w:rsidP="00BF688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AU"/>
        </w:rPr>
      </w:pPr>
      <w:r w:rsidRPr="00D931D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AU"/>
        </w:rPr>
        <w:lastRenderedPageBreak/>
        <w:t>Appendix A</w:t>
      </w:r>
    </w:p>
    <w:p w:rsidR="00D931D0" w:rsidRDefault="00D931D0" w:rsidP="00BF688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AU"/>
        </w:rPr>
      </w:pPr>
    </w:p>
    <w:p w:rsidR="002647AF" w:rsidRDefault="001801B3" w:rsidP="00BF688A">
      <w:pPr>
        <w:rPr>
          <w:rFonts w:ascii="Times New Roman" w:eastAsia="Calibri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AU"/>
        </w:rPr>
        <w:t>AER determination:</w:t>
      </w:r>
      <w:r w:rsidR="002647AF">
        <w:rPr>
          <w:rFonts w:ascii="Times New Roman" w:eastAsia="Calibri" w:hAnsi="Times New Roman" w:cs="Times New Roman"/>
          <w:b/>
          <w:sz w:val="24"/>
          <w:szCs w:val="24"/>
          <w:lang w:eastAsia="en-AU"/>
        </w:rPr>
        <w:t xml:space="preserve"> 2013–14 MOS payable</w:t>
      </w:r>
      <w:r w:rsidR="00B36427">
        <w:rPr>
          <w:rFonts w:ascii="Times New Roman" w:eastAsia="Calibri" w:hAnsi="Times New Roman" w:cs="Times New Roman"/>
          <w:b/>
          <w:sz w:val="24"/>
          <w:szCs w:val="24"/>
          <w:lang w:eastAsia="en-AU"/>
        </w:rPr>
        <w:t xml:space="preserve"> (</w:t>
      </w:r>
      <w:r w:rsidR="00D54E61">
        <w:rPr>
          <w:rFonts w:ascii="Times New Roman" w:eastAsia="Calibri" w:hAnsi="Times New Roman" w:cs="Times New Roman"/>
          <w:b/>
          <w:sz w:val="24"/>
          <w:szCs w:val="24"/>
          <w:lang w:eastAsia="en-AU"/>
        </w:rPr>
        <w:t xml:space="preserve">GST </w:t>
      </w:r>
      <w:r w:rsidR="00B36427">
        <w:rPr>
          <w:rFonts w:ascii="Times New Roman" w:eastAsia="Calibri" w:hAnsi="Times New Roman" w:cs="Times New Roman"/>
          <w:b/>
          <w:sz w:val="24"/>
          <w:szCs w:val="24"/>
          <w:lang w:eastAsia="en-AU"/>
        </w:rPr>
        <w:t>exclusive)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5"/>
        <w:gridCol w:w="2286"/>
        <w:gridCol w:w="2285"/>
        <w:gridCol w:w="2286"/>
        <w:gridCol w:w="2285"/>
      </w:tblGrid>
      <w:tr w:rsidR="001801B3" w:rsidTr="001801B3">
        <w:trPr>
          <w:trHeight w:val="425"/>
        </w:trPr>
        <w:tc>
          <w:tcPr>
            <w:tcW w:w="2284" w:type="dxa"/>
          </w:tcPr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4571" w:type="dxa"/>
            <w:gridSpan w:val="2"/>
          </w:tcPr>
          <w:p w:rsidR="001801B3" w:rsidRDefault="001801B3" w:rsidP="00180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Adelaide Hub</w:t>
            </w:r>
          </w:p>
        </w:tc>
        <w:tc>
          <w:tcPr>
            <w:tcW w:w="4571" w:type="dxa"/>
            <w:gridSpan w:val="2"/>
          </w:tcPr>
          <w:p w:rsidR="001801B3" w:rsidRDefault="001801B3" w:rsidP="00180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Sydney Hub</w:t>
            </w:r>
          </w:p>
        </w:tc>
        <w:tc>
          <w:tcPr>
            <w:tcW w:w="2285" w:type="dxa"/>
          </w:tcPr>
          <w:p w:rsidR="001801B3" w:rsidRDefault="001801B3" w:rsidP="00180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Brisbane Hub</w:t>
            </w:r>
          </w:p>
        </w:tc>
      </w:tr>
      <w:tr w:rsidR="001801B3" w:rsidTr="001801B3">
        <w:trPr>
          <w:trHeight w:val="425"/>
        </w:trPr>
        <w:tc>
          <w:tcPr>
            <w:tcW w:w="2284" w:type="dxa"/>
          </w:tcPr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2285" w:type="dxa"/>
          </w:tcPr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SEAGas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 xml:space="preserve"> pipeline</w:t>
            </w:r>
          </w:p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SEAGas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2285" w:type="dxa"/>
          </w:tcPr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Moomba to Adelaide (Epic Energy)</w:t>
            </w:r>
          </w:p>
        </w:tc>
        <w:tc>
          <w:tcPr>
            <w:tcW w:w="2285" w:type="dxa"/>
          </w:tcPr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Eastern Gas Pipeline (Jemena)</w:t>
            </w:r>
          </w:p>
        </w:tc>
        <w:tc>
          <w:tcPr>
            <w:tcW w:w="2285" w:type="dxa"/>
          </w:tcPr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Moomba to Sydney Pipeline (APA Group)</w:t>
            </w:r>
          </w:p>
        </w:tc>
        <w:tc>
          <w:tcPr>
            <w:tcW w:w="2285" w:type="dxa"/>
          </w:tcPr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Roma to Brisbane Pipeline (APA Group)</w:t>
            </w:r>
          </w:p>
        </w:tc>
      </w:tr>
      <w:tr w:rsidR="001801B3" w:rsidTr="001801B3">
        <w:trPr>
          <w:trHeight w:val="425"/>
        </w:trPr>
        <w:tc>
          <w:tcPr>
            <w:tcW w:w="2284" w:type="dxa"/>
          </w:tcPr>
          <w:p w:rsidR="001801B3" w:rsidRDefault="001801B3" w:rsidP="001801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Estimate</w:t>
            </w:r>
          </w:p>
        </w:tc>
        <w:tc>
          <w:tcPr>
            <w:tcW w:w="2285" w:type="dxa"/>
          </w:tcPr>
          <w:p w:rsidR="001801B3" w:rsidRPr="001801B3" w:rsidRDefault="001801B3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$18,000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E341AF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$123,097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E341AF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$7000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E341AF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$74,405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E341AF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$75,192</w:t>
            </w:r>
          </w:p>
        </w:tc>
      </w:tr>
      <w:tr w:rsidR="001801B3" w:rsidTr="001801B3">
        <w:trPr>
          <w:trHeight w:val="425"/>
        </w:trPr>
        <w:tc>
          <w:tcPr>
            <w:tcW w:w="2284" w:type="dxa"/>
          </w:tcPr>
          <w:p w:rsidR="001801B3" w:rsidRDefault="001801B3" w:rsidP="001801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 xml:space="preserve">Invoice </w:t>
            </w:r>
          </w:p>
        </w:tc>
        <w:tc>
          <w:tcPr>
            <w:tcW w:w="2285" w:type="dxa"/>
          </w:tcPr>
          <w:p w:rsidR="001801B3" w:rsidRPr="001801B3" w:rsidRDefault="001801B3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1801B3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$28,241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E341AF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$115,660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E341AF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$7,235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E341AF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$72,918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E341AF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$73,284</w:t>
            </w:r>
          </w:p>
        </w:tc>
      </w:tr>
      <w:tr w:rsidR="001801B3" w:rsidTr="001801B3">
        <w:trPr>
          <w:trHeight w:val="441"/>
        </w:trPr>
        <w:tc>
          <w:tcPr>
            <w:tcW w:w="2284" w:type="dxa"/>
          </w:tcPr>
          <w:p w:rsidR="001801B3" w:rsidRDefault="001801B3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  <w:t>Amount payable</w:t>
            </w:r>
          </w:p>
        </w:tc>
        <w:tc>
          <w:tcPr>
            <w:tcW w:w="2285" w:type="dxa"/>
          </w:tcPr>
          <w:p w:rsidR="001801B3" w:rsidRDefault="00E341AF" w:rsidP="00BF6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$28,241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$115,660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$7.235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$72,918</w:t>
            </w:r>
          </w:p>
        </w:tc>
        <w:tc>
          <w:tcPr>
            <w:tcW w:w="2285" w:type="dxa"/>
          </w:tcPr>
          <w:p w:rsidR="001801B3" w:rsidRPr="00E341AF" w:rsidRDefault="00E341AF" w:rsidP="00BF6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</w:pPr>
            <w:r w:rsidRPr="00B36427">
              <w:rPr>
                <w:rFonts w:ascii="Times New Roman" w:eastAsia="Calibri" w:hAnsi="Times New Roman" w:cs="Times New Roman"/>
                <w:sz w:val="24"/>
                <w:szCs w:val="24"/>
                <w:lang w:eastAsia="en-AU"/>
              </w:rPr>
              <w:t>$73,284</w:t>
            </w:r>
          </w:p>
        </w:tc>
      </w:tr>
    </w:tbl>
    <w:p w:rsidR="002647AF" w:rsidRDefault="002647AF" w:rsidP="00BF688A">
      <w:pPr>
        <w:rPr>
          <w:rFonts w:ascii="Times New Roman" w:eastAsia="Calibri" w:hAnsi="Times New Roman" w:cs="Times New Roman"/>
          <w:b/>
          <w:sz w:val="24"/>
          <w:szCs w:val="24"/>
          <w:lang w:eastAsia="en-AU"/>
        </w:rPr>
      </w:pPr>
    </w:p>
    <w:sectPr w:rsidR="002647AF" w:rsidSect="002647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AF" w:rsidRDefault="00E341AF" w:rsidP="00B83B19">
      <w:pPr>
        <w:spacing w:before="0"/>
      </w:pPr>
      <w:r>
        <w:separator/>
      </w:r>
    </w:p>
  </w:endnote>
  <w:endnote w:type="continuationSeparator" w:id="0">
    <w:p w:rsidR="00E341AF" w:rsidRDefault="00E341AF" w:rsidP="00B83B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AF" w:rsidRDefault="00E341AF" w:rsidP="00B83B19">
      <w:pPr>
        <w:spacing w:before="0"/>
      </w:pPr>
      <w:r>
        <w:separator/>
      </w:r>
    </w:p>
  </w:footnote>
  <w:footnote w:type="continuationSeparator" w:id="0">
    <w:p w:rsidR="00E341AF" w:rsidRDefault="00E341AF" w:rsidP="00B83B19">
      <w:pPr>
        <w:spacing w:before="0"/>
      </w:pPr>
      <w:r>
        <w:continuationSeparator/>
      </w:r>
    </w:p>
  </w:footnote>
  <w:footnote w:id="1">
    <w:p w:rsidR="00540446" w:rsidRDefault="00540446" w:rsidP="005404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Rule 364 of the National Gas Rules (NGR).</w:t>
      </w:r>
      <w:proofErr w:type="gramEnd"/>
      <w:r>
        <w:t xml:space="preserve"> </w:t>
      </w:r>
    </w:p>
  </w:footnote>
  <w:footnote w:id="2">
    <w:p w:rsidR="00BD6272" w:rsidRDefault="00BD6272" w:rsidP="00BD62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Epic Energy, Tax Invoice, 25 July 2014:  </w:t>
      </w:r>
      <w:hyperlink r:id="rId1" w:history="1">
        <w:r w:rsidRPr="00626A19">
          <w:rPr>
            <w:rStyle w:val="Hyperlink"/>
            <w:rFonts w:ascii="Times New Roman" w:hAnsi="Times New Roman"/>
            <w:sz w:val="20"/>
          </w:rPr>
          <w:t>http://aemo.com.au/Gas/Market-Operations/Short-Term-Trading-Market/STTM-Pipeline-Operators-MOS-Allocation-Service-Costs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79F6E75"/>
    <w:multiLevelType w:val="hybridMultilevel"/>
    <w:tmpl w:val="97841106"/>
    <w:lvl w:ilvl="0" w:tplc="DDA81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0E8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B31FF"/>
    <w:multiLevelType w:val="multilevel"/>
    <w:tmpl w:val="6B1233FC"/>
    <w:lvl w:ilvl="0">
      <w:start w:val="1"/>
      <w:numFmt w:val="lowerLetter"/>
      <w:pStyle w:val="AERnumberedlistsecondsty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98149CB"/>
    <w:multiLevelType w:val="hybridMultilevel"/>
    <w:tmpl w:val="60AE6A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2049E1"/>
    <w:multiLevelType w:val="hybridMultilevel"/>
    <w:tmpl w:val="6C52E48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AEF67FF"/>
    <w:multiLevelType w:val="multilevel"/>
    <w:tmpl w:val="AACE20AA"/>
    <w:lvl w:ilvl="0">
      <w:start w:val="1"/>
      <w:numFmt w:val="bullet"/>
      <w:pStyle w:val="AERbulletlistfirststyle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0"/>
  </w:num>
  <w:num w:numId="5">
    <w:abstractNumId w:val="10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7"/>
  </w:num>
  <w:num w:numId="19">
    <w:abstractNumId w:val="13"/>
    <w:lvlOverride w:ilvl="0">
      <w:startOverride w:val="1"/>
    </w:lvlOverride>
  </w:num>
  <w:num w:numId="20">
    <w:abstractNumId w:val="12"/>
  </w:num>
  <w:num w:numId="21">
    <w:abstractNumId w:val="15"/>
  </w:num>
  <w:num w:numId="22">
    <w:abstractNumId w:val="21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472\D14 117591  Statement of reasons - Market Operator Service costs - 2014.DOCX.DOCX"/>
  </w:docVars>
  <w:rsids>
    <w:rsidRoot w:val="00504A43"/>
    <w:rsid w:val="00021202"/>
    <w:rsid w:val="0009056B"/>
    <w:rsid w:val="000E1819"/>
    <w:rsid w:val="000E6C72"/>
    <w:rsid w:val="000F35E4"/>
    <w:rsid w:val="00124609"/>
    <w:rsid w:val="001573E4"/>
    <w:rsid w:val="001801B3"/>
    <w:rsid w:val="00251745"/>
    <w:rsid w:val="002647AF"/>
    <w:rsid w:val="00286874"/>
    <w:rsid w:val="002A7DEF"/>
    <w:rsid w:val="002B4AB7"/>
    <w:rsid w:val="002D1ECB"/>
    <w:rsid w:val="00307F6D"/>
    <w:rsid w:val="003518B3"/>
    <w:rsid w:val="00387F27"/>
    <w:rsid w:val="003F660F"/>
    <w:rsid w:val="00504A43"/>
    <w:rsid w:val="00532467"/>
    <w:rsid w:val="00540446"/>
    <w:rsid w:val="00564A4D"/>
    <w:rsid w:val="00620CA5"/>
    <w:rsid w:val="00632D6D"/>
    <w:rsid w:val="00710536"/>
    <w:rsid w:val="00722C65"/>
    <w:rsid w:val="007303C3"/>
    <w:rsid w:val="00763E5D"/>
    <w:rsid w:val="00777EE6"/>
    <w:rsid w:val="007C1C53"/>
    <w:rsid w:val="00822972"/>
    <w:rsid w:val="00850B34"/>
    <w:rsid w:val="00851209"/>
    <w:rsid w:val="008E7031"/>
    <w:rsid w:val="00906579"/>
    <w:rsid w:val="00A60A26"/>
    <w:rsid w:val="00B1189D"/>
    <w:rsid w:val="00B36427"/>
    <w:rsid w:val="00B83B19"/>
    <w:rsid w:val="00BA053F"/>
    <w:rsid w:val="00BD3446"/>
    <w:rsid w:val="00BD6272"/>
    <w:rsid w:val="00BE1F1B"/>
    <w:rsid w:val="00BF688A"/>
    <w:rsid w:val="00C538A9"/>
    <w:rsid w:val="00C86679"/>
    <w:rsid w:val="00D50237"/>
    <w:rsid w:val="00D54E61"/>
    <w:rsid w:val="00D61A54"/>
    <w:rsid w:val="00D931D0"/>
    <w:rsid w:val="00DB0F93"/>
    <w:rsid w:val="00DF4967"/>
    <w:rsid w:val="00E25B8C"/>
    <w:rsid w:val="00E341AF"/>
    <w:rsid w:val="00E7624D"/>
    <w:rsid w:val="00EA3D42"/>
    <w:rsid w:val="00EA6B1B"/>
    <w:rsid w:val="00F51252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43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paragraph" w:customStyle="1" w:styleId="AERbodytext">
    <w:name w:val="AER body text"/>
    <w:link w:val="AERbodytextChar"/>
    <w:qFormat/>
    <w:rsid w:val="00B83B1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B83B19"/>
    <w:pPr>
      <w:spacing w:before="0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3B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83B19"/>
    <w:rPr>
      <w:vertAlign w:val="superscript"/>
    </w:rPr>
  </w:style>
  <w:style w:type="character" w:customStyle="1" w:styleId="AERbodytextChar">
    <w:name w:val="AER body text Char"/>
    <w:basedOn w:val="DefaultParagraphFont"/>
    <w:link w:val="AERbodytext"/>
    <w:rsid w:val="00B83B19"/>
    <w:rPr>
      <w:rFonts w:ascii="Times New Roman" w:eastAsia="Times New Roman" w:hAnsi="Times New Roman" w:cs="Times New Roman"/>
      <w:sz w:val="24"/>
      <w:szCs w:val="24"/>
    </w:rPr>
  </w:style>
  <w:style w:type="paragraph" w:customStyle="1" w:styleId="AERnumberedlistsecondstyle">
    <w:name w:val="AER numbered list (second style)"/>
    <w:basedOn w:val="Normal"/>
    <w:qFormat/>
    <w:rsid w:val="00B83B19"/>
    <w:pPr>
      <w:numPr>
        <w:numId w:val="23"/>
      </w:numPr>
      <w:spacing w:before="0" w:after="200" w:line="200" w:lineRule="atLeast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bulletlistfirststyle">
    <w:name w:val="AER bullet list (first style)"/>
    <w:basedOn w:val="Normal"/>
    <w:qFormat/>
    <w:rsid w:val="00D931D0"/>
    <w:pPr>
      <w:numPr>
        <w:numId w:val="24"/>
      </w:numPr>
      <w:tabs>
        <w:tab w:val="left" w:pos="567"/>
      </w:tabs>
      <w:spacing w:before="0"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5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E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61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1252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43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paragraph" w:customStyle="1" w:styleId="AERbodytext">
    <w:name w:val="AER body text"/>
    <w:link w:val="AERbodytextChar"/>
    <w:qFormat/>
    <w:rsid w:val="00B83B1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B83B19"/>
    <w:pPr>
      <w:spacing w:before="0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3B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83B19"/>
    <w:rPr>
      <w:vertAlign w:val="superscript"/>
    </w:rPr>
  </w:style>
  <w:style w:type="character" w:customStyle="1" w:styleId="AERbodytextChar">
    <w:name w:val="AER body text Char"/>
    <w:basedOn w:val="DefaultParagraphFont"/>
    <w:link w:val="AERbodytext"/>
    <w:rsid w:val="00B83B19"/>
    <w:rPr>
      <w:rFonts w:ascii="Times New Roman" w:eastAsia="Times New Roman" w:hAnsi="Times New Roman" w:cs="Times New Roman"/>
      <w:sz w:val="24"/>
      <w:szCs w:val="24"/>
    </w:rPr>
  </w:style>
  <w:style w:type="paragraph" w:customStyle="1" w:styleId="AERnumberedlistsecondstyle">
    <w:name w:val="AER numbered list (second style)"/>
    <w:basedOn w:val="Normal"/>
    <w:qFormat/>
    <w:rsid w:val="00B83B19"/>
    <w:pPr>
      <w:numPr>
        <w:numId w:val="23"/>
      </w:numPr>
      <w:spacing w:before="0" w:after="200" w:line="200" w:lineRule="atLeast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bulletlistfirststyle">
    <w:name w:val="AER bullet list (first style)"/>
    <w:basedOn w:val="Normal"/>
    <w:qFormat/>
    <w:rsid w:val="00D931D0"/>
    <w:pPr>
      <w:numPr>
        <w:numId w:val="24"/>
      </w:numPr>
      <w:tabs>
        <w:tab w:val="left" w:pos="567"/>
      </w:tabs>
      <w:spacing w:before="0"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5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E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61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1252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emo.com.au/Gas/Market-Operations/Short-Term-Trading-Market/STTM-Pipeline-Operators-MOS-Allocation-Service-C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0076-B8B1-4A2B-9334-008A009E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339EDED8.dotm</Template>
  <TotalTime>0</TotalTime>
  <Pages>3</Pages>
  <Words>541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Craig</dc:creator>
  <cp:keywords/>
  <dc:description/>
  <cp:lastModifiedBy>Moffitt, Shannon</cp:lastModifiedBy>
  <cp:revision>2</cp:revision>
  <dcterms:created xsi:type="dcterms:W3CDTF">2014-09-01T01:38:00Z</dcterms:created>
  <dcterms:modified xsi:type="dcterms:W3CDTF">2014-09-01T01:38:00Z</dcterms:modified>
</cp:coreProperties>
</file>