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3A" w:rsidRDefault="000B223A" w:rsidP="000B223A">
      <w:pPr>
        <w:spacing w:before="0"/>
        <w:jc w:val="center"/>
        <w:rPr>
          <w:rFonts w:ascii="Times New Roman" w:eastAsia="Calibri" w:hAnsi="Times New Roman" w:cs="Times New Roman"/>
          <w:szCs w:val="24"/>
          <w:lang w:eastAsia="en-AU"/>
        </w:rPr>
      </w:pPr>
      <w:bookmarkStart w:id="0" w:name="_GoBack"/>
      <w:bookmarkEnd w:id="0"/>
      <w:r>
        <w:rPr>
          <w:rFonts w:ascii="Times New Roman" w:eastAsia="Calibri" w:hAnsi="Times New Roman" w:cs="Times New Roman"/>
          <w:noProof/>
          <w:szCs w:val="24"/>
          <w:lang w:eastAsia="en-AU"/>
        </w:rPr>
        <w:drawing>
          <wp:inline distT="0" distB="0" distL="0" distR="0" wp14:anchorId="34B3E554" wp14:editId="7471991C">
            <wp:extent cx="5316220" cy="1261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261745"/>
                    </a:xfrm>
                    <a:prstGeom prst="rect">
                      <a:avLst/>
                    </a:prstGeom>
                    <a:noFill/>
                  </pic:spPr>
                </pic:pic>
              </a:graphicData>
            </a:graphic>
          </wp:inline>
        </w:drawing>
      </w:r>
    </w:p>
    <w:p w:rsidR="000B223A" w:rsidRDefault="000B223A" w:rsidP="000B223A">
      <w:pPr>
        <w:spacing w:before="0"/>
        <w:jc w:val="center"/>
        <w:rPr>
          <w:rFonts w:ascii="Times New Roman" w:eastAsia="Calibri" w:hAnsi="Times New Roman" w:cs="Times New Roman"/>
          <w:szCs w:val="24"/>
          <w:lang w:eastAsia="en-AU"/>
        </w:rPr>
      </w:pPr>
    </w:p>
    <w:p w:rsidR="000B223A" w:rsidRDefault="000B223A" w:rsidP="000B223A">
      <w:pPr>
        <w:spacing w:before="0"/>
        <w:jc w:val="center"/>
        <w:rPr>
          <w:rFonts w:ascii="Times New Roman" w:eastAsia="Calibri" w:hAnsi="Times New Roman" w:cs="Times New Roman"/>
          <w:szCs w:val="24"/>
          <w:lang w:eastAsia="en-AU"/>
        </w:rPr>
      </w:pPr>
    </w:p>
    <w:p w:rsidR="000B223A" w:rsidRPr="00BB03B5" w:rsidRDefault="000B223A" w:rsidP="000B223A">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0B223A" w:rsidRPr="00BB03B5" w:rsidRDefault="000B223A" w:rsidP="000B223A">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0B223A" w:rsidRPr="00BB03B5" w:rsidRDefault="000B223A" w:rsidP="000B223A">
      <w:pPr>
        <w:spacing w:before="0"/>
        <w:jc w:val="center"/>
        <w:rPr>
          <w:rFonts w:ascii="Times New Roman" w:eastAsia="Calibri" w:hAnsi="Times New Roman" w:cs="Times New Roman"/>
          <w:b/>
          <w:bCs/>
          <w:sz w:val="28"/>
          <w:szCs w:val="28"/>
          <w:lang w:eastAsia="en-AU"/>
        </w:rPr>
      </w:pPr>
      <w:proofErr w:type="spellStart"/>
      <w:r>
        <w:rPr>
          <w:rFonts w:ascii="Times New Roman" w:eastAsia="Calibri" w:hAnsi="Times New Roman" w:cs="Times New Roman"/>
          <w:b/>
          <w:bCs/>
          <w:sz w:val="28"/>
          <w:szCs w:val="28"/>
          <w:lang w:eastAsia="en-AU"/>
        </w:rPr>
        <w:t>ActewAGL</w:t>
      </w:r>
      <w:proofErr w:type="spellEnd"/>
      <w:r>
        <w:rPr>
          <w:rFonts w:ascii="Times New Roman" w:eastAsia="Calibri" w:hAnsi="Times New Roman" w:cs="Times New Roman"/>
          <w:b/>
          <w:bCs/>
          <w:sz w:val="28"/>
          <w:szCs w:val="28"/>
          <w:lang w:eastAsia="en-AU"/>
        </w:rPr>
        <w:t xml:space="preserve">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0B223A" w:rsidRPr="00BB03B5" w:rsidRDefault="000B223A" w:rsidP="000B223A">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0B223A" w:rsidRPr="00BB03B5" w:rsidRDefault="000B223A" w:rsidP="000B223A">
      <w:pPr>
        <w:spacing w:before="0"/>
        <w:jc w:val="center"/>
        <w:rPr>
          <w:rFonts w:ascii="Calibri" w:eastAsia="Calibri" w:hAnsi="Calibri" w:cs="Times New Roman"/>
          <w:lang w:eastAsia="en-AU"/>
        </w:rPr>
      </w:pPr>
    </w:p>
    <w:p w:rsidR="000B223A" w:rsidRPr="00BB03B5" w:rsidRDefault="000B223A" w:rsidP="000B223A">
      <w:pPr>
        <w:spacing w:before="0"/>
        <w:jc w:val="both"/>
        <w:rPr>
          <w:rFonts w:ascii="Calibri" w:eastAsia="Calibri" w:hAnsi="Calibri" w:cs="Times New Roman"/>
          <w:lang w:eastAsia="en-AU"/>
        </w:rPr>
      </w:pPr>
    </w:p>
    <w:p w:rsidR="000B223A" w:rsidRDefault="000B223A" w:rsidP="000B223A">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proofErr w:type="spellStart"/>
      <w:r>
        <w:rPr>
          <w:rFonts w:ascii="Times New Roman" w:eastAsia="Calibri" w:hAnsi="Times New Roman" w:cs="Times New Roman"/>
          <w:szCs w:val="24"/>
          <w:lang w:eastAsia="en-AU"/>
        </w:rPr>
        <w:t>ActewAGL</w:t>
      </w:r>
      <w:proofErr w:type="spellEnd"/>
      <w:r>
        <w:rPr>
          <w:rFonts w:ascii="Times New Roman" w:eastAsia="Calibri" w:hAnsi="Times New Roman" w:cs="Times New Roman"/>
          <w:szCs w:val="24"/>
          <w:lang w:eastAsia="en-AU"/>
        </w:rPr>
        <w:t xml:space="preserve"> annual pricing proposal, which outlines the network tariffs and alternative control service charges that will apply from 1 July 2014 to 30 June 2015. </w:t>
      </w:r>
    </w:p>
    <w:p w:rsidR="000B223A" w:rsidRDefault="000B223A" w:rsidP="000B223A">
      <w:pPr>
        <w:autoSpaceDE w:val="0"/>
        <w:autoSpaceDN w:val="0"/>
        <w:adjustRightInd w:val="0"/>
        <w:spacing w:before="0"/>
        <w:jc w:val="both"/>
        <w:rPr>
          <w:rFonts w:ascii="Times New Roman" w:eastAsia="Calibri" w:hAnsi="Times New Roman" w:cs="Times New Roman"/>
          <w:szCs w:val="24"/>
          <w:lang w:eastAsia="en-AU"/>
        </w:rPr>
      </w:pPr>
    </w:p>
    <w:p w:rsidR="000B223A" w:rsidRDefault="000B223A" w:rsidP="000B223A">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assessed the annual pricing proposal for compliance with the price control mechanisms set out in </w:t>
      </w:r>
      <w:proofErr w:type="spellStart"/>
      <w:r>
        <w:rPr>
          <w:rFonts w:ascii="Times New Roman" w:eastAsia="Calibri" w:hAnsi="Times New Roman" w:cs="Times New Roman"/>
          <w:szCs w:val="24"/>
          <w:lang w:eastAsia="en-AU"/>
        </w:rPr>
        <w:t>ActewAGL’s</w:t>
      </w:r>
      <w:proofErr w:type="spellEnd"/>
      <w:r>
        <w:rPr>
          <w:rFonts w:ascii="Times New Roman" w:eastAsia="Calibri" w:hAnsi="Times New Roman" w:cs="Times New Roman"/>
          <w:szCs w:val="24"/>
          <w:lang w:eastAsia="en-AU"/>
        </w:rPr>
        <w:t xml:space="preserve"> p</w:t>
      </w:r>
      <w:r w:rsidRPr="005F18D8">
        <w:rPr>
          <w:rFonts w:ascii="Times New Roman" w:eastAsia="Calibri" w:hAnsi="Times New Roman" w:cs="Times New Roman"/>
          <w:szCs w:val="24"/>
          <w:lang w:eastAsia="en-AU"/>
        </w:rPr>
        <w:t xml:space="preserve">laceholder determination for the transitional regulatory control period 2014–15 </w:t>
      </w:r>
      <w:r>
        <w:rPr>
          <w:rFonts w:ascii="Times New Roman" w:eastAsia="Calibri" w:hAnsi="Times New Roman" w:cs="Times New Roman"/>
          <w:szCs w:val="24"/>
          <w:lang w:eastAsia="en-AU"/>
        </w:rPr>
        <w:t xml:space="preserve">(placeholder distribution determination) and with section 6.18 of the National Electricity Rules (the rules). The average residential </w:t>
      </w:r>
      <w:r w:rsidRPr="00A635B5">
        <w:rPr>
          <w:rFonts w:ascii="Times New Roman" w:eastAsia="Calibri" w:hAnsi="Times New Roman" w:cs="Times New Roman"/>
          <w:i/>
          <w:szCs w:val="24"/>
          <w:lang w:eastAsia="en-AU"/>
        </w:rPr>
        <w:t>retail bill</w:t>
      </w:r>
      <w:r>
        <w:rPr>
          <w:rFonts w:ascii="Times New Roman" w:eastAsia="Calibri" w:hAnsi="Times New Roman" w:cs="Times New Roman"/>
          <w:szCs w:val="24"/>
          <w:lang w:eastAsia="en-AU"/>
        </w:rPr>
        <w:t xml:space="preserve"> is, all things equal, anticipated to go up by approximately 3.0 per cent as a consequence of this decision.</w:t>
      </w:r>
    </w:p>
    <w:p w:rsidR="000B223A" w:rsidRPr="00BB03B5" w:rsidRDefault="000B223A" w:rsidP="000B223A">
      <w:pPr>
        <w:spacing w:before="0"/>
        <w:jc w:val="both"/>
        <w:rPr>
          <w:rFonts w:ascii="Times New Roman" w:eastAsia="Calibri" w:hAnsi="Times New Roman" w:cs="Times New Roman"/>
          <w:szCs w:val="24"/>
          <w:lang w:eastAsia="en-AU"/>
        </w:rPr>
      </w:pPr>
    </w:p>
    <w:p w:rsidR="000B223A" w:rsidRPr="00BB03B5" w:rsidRDefault="000B223A" w:rsidP="000B223A">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proofErr w:type="spellStart"/>
      <w:r>
        <w:rPr>
          <w:rFonts w:ascii="Times New Roman" w:eastAsia="Calibri" w:hAnsi="Times New Roman" w:cs="Times New Roman"/>
          <w:szCs w:val="24"/>
          <w:lang w:eastAsia="en-AU"/>
        </w:rPr>
        <w:t>ActewAGL’s</w:t>
      </w:r>
      <w:proofErr w:type="spellEnd"/>
      <w:r>
        <w:rPr>
          <w:rFonts w:ascii="Times New Roman" w:eastAsia="Calibri" w:hAnsi="Times New Roman" w:cs="Times New Roman"/>
          <w:szCs w:val="24"/>
          <w:lang w:eastAsia="en-AU"/>
        </w:rPr>
        <w:t xml:space="preserve"> annual pricing proposal are that</w:t>
      </w:r>
      <w:r w:rsidRPr="00BB03B5">
        <w:rPr>
          <w:rFonts w:ascii="Times New Roman" w:eastAsia="Calibri" w:hAnsi="Times New Roman" w:cs="Times New Roman"/>
          <w:szCs w:val="24"/>
          <w:lang w:eastAsia="en-AU"/>
        </w:rPr>
        <w:t>:</w:t>
      </w:r>
    </w:p>
    <w:p w:rsidR="000B223A" w:rsidRPr="00BB03B5" w:rsidRDefault="000B223A" w:rsidP="000B223A">
      <w:pPr>
        <w:spacing w:before="0"/>
        <w:jc w:val="both"/>
        <w:rPr>
          <w:rFonts w:ascii="Times New Roman" w:eastAsia="Calibri" w:hAnsi="Times New Roman" w:cs="Times New Roman"/>
          <w:szCs w:val="24"/>
          <w:lang w:eastAsia="en-AU"/>
        </w:rPr>
      </w:pPr>
    </w:p>
    <w:p w:rsidR="000B223A" w:rsidRDefault="000B223A" w:rsidP="000B223A">
      <w:pPr>
        <w:numPr>
          <w:ilvl w:val="0"/>
          <w:numId w:val="21"/>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are satisfied that the proposed network tariffs have been calculated using the approved revenue requirement (as per the revenue cap formula in section 1.5 of the placeholder distribution determination) and based on reasonable quantity forecasts. Furthermore, the proposed network tariffs comply with the relevant pricing principles and side constraints set out in the distribution pricing rules. </w:t>
      </w:r>
    </w:p>
    <w:p w:rsidR="000B223A" w:rsidRDefault="000B223A" w:rsidP="000B223A">
      <w:pPr>
        <w:spacing w:before="0"/>
        <w:ind w:left="720"/>
        <w:jc w:val="both"/>
        <w:rPr>
          <w:rFonts w:ascii="Times New Roman" w:eastAsia="Calibri" w:hAnsi="Times New Roman" w:cs="Times New Roman"/>
          <w:szCs w:val="24"/>
          <w:lang w:eastAsia="en-AU"/>
        </w:rPr>
      </w:pPr>
    </w:p>
    <w:p w:rsidR="000B223A" w:rsidRPr="00BB03B5" w:rsidRDefault="000B223A" w:rsidP="000B223A">
      <w:pPr>
        <w:numPr>
          <w:ilvl w:val="0"/>
          <w:numId w:val="21"/>
        </w:numPr>
        <w:spacing w:before="0"/>
        <w:jc w:val="both"/>
        <w:rPr>
          <w:rFonts w:ascii="Times New Roman" w:eastAsia="Calibri" w:hAnsi="Times New Roman" w:cs="Times New Roman"/>
          <w:szCs w:val="24"/>
          <w:lang w:eastAsia="en-AU"/>
        </w:rPr>
      </w:pPr>
      <w:proofErr w:type="spellStart"/>
      <w:r>
        <w:rPr>
          <w:rFonts w:ascii="Times New Roman" w:eastAsia="Calibri" w:hAnsi="Times New Roman" w:cs="Times New Roman"/>
          <w:szCs w:val="24"/>
          <w:lang w:eastAsia="en-AU"/>
        </w:rPr>
        <w:t>ActewAGL</w:t>
      </w:r>
      <w:proofErr w:type="spellEnd"/>
      <w:r>
        <w:rPr>
          <w:rFonts w:ascii="Times New Roman" w:eastAsia="Calibri" w:hAnsi="Times New Roman" w:cs="Times New Roman"/>
          <w:szCs w:val="24"/>
          <w:lang w:eastAsia="en-AU"/>
        </w:rPr>
        <w:t xml:space="preserve"> has</w:t>
      </w:r>
      <w:r w:rsidRPr="00BB03B5">
        <w:rPr>
          <w:rFonts w:ascii="Times New Roman" w:eastAsia="Calibri" w:hAnsi="Times New Roman" w:cs="Times New Roman"/>
          <w:szCs w:val="24"/>
          <w:lang w:eastAsia="en-AU"/>
        </w:rPr>
        <w:t xml:space="preserve"> correctly applied the approved </w:t>
      </w:r>
      <w:r>
        <w:rPr>
          <w:rFonts w:ascii="Times New Roman" w:eastAsia="Calibri" w:hAnsi="Times New Roman" w:cs="Times New Roman"/>
          <w:szCs w:val="24"/>
          <w:lang w:eastAsia="en-AU"/>
        </w:rPr>
        <w:t>price control mechanism</w:t>
      </w:r>
      <w:r w:rsidRPr="00BB03B5">
        <w:rPr>
          <w:rFonts w:ascii="Times New Roman" w:eastAsia="Calibri" w:hAnsi="Times New Roman" w:cs="Times New Roman"/>
          <w:szCs w:val="24"/>
          <w:lang w:eastAsia="en-AU"/>
        </w:rPr>
        <w:t xml:space="preserve"> to calculate the </w:t>
      </w:r>
      <w:r>
        <w:rPr>
          <w:rFonts w:ascii="Times New Roman" w:eastAsia="Calibri" w:hAnsi="Times New Roman" w:cs="Times New Roman"/>
          <w:szCs w:val="24"/>
          <w:lang w:eastAsia="en-AU"/>
        </w:rPr>
        <w:t xml:space="preserve">alternative control service price caps in accordance with section 1.5 of the placeholder distribution determination. </w:t>
      </w:r>
      <w:r w:rsidRPr="00BB03B5">
        <w:rPr>
          <w:rFonts w:ascii="Times New Roman" w:eastAsia="Calibri" w:hAnsi="Times New Roman" w:cs="Times New Roman"/>
          <w:szCs w:val="24"/>
          <w:lang w:eastAsia="en-AU"/>
        </w:rPr>
        <w:t xml:space="preserve">The </w:t>
      </w:r>
      <w:r>
        <w:rPr>
          <w:rFonts w:ascii="Times New Roman" w:eastAsia="Calibri" w:hAnsi="Times New Roman" w:cs="Times New Roman"/>
          <w:szCs w:val="24"/>
          <w:lang w:eastAsia="en-AU"/>
        </w:rPr>
        <w:t>approved price control mechanism involves escalating current prices by the change in the March quarter CPI on a year on year basis</w:t>
      </w:r>
      <w:r w:rsidRPr="00BB03B5">
        <w:rPr>
          <w:rFonts w:ascii="Times New Roman" w:eastAsia="Calibri" w:hAnsi="Times New Roman" w:cs="Times New Roman"/>
          <w:szCs w:val="24"/>
          <w:lang w:eastAsia="en-AU"/>
        </w:rPr>
        <w:t xml:space="preserve"> multiplied by an approved X factor. </w:t>
      </w:r>
    </w:p>
    <w:p w:rsidR="000B223A" w:rsidRDefault="000B223A" w:rsidP="000B223A">
      <w:pPr>
        <w:spacing w:before="0"/>
        <w:jc w:val="both"/>
        <w:rPr>
          <w:rFonts w:ascii="Times New Roman" w:eastAsia="Calibri" w:hAnsi="Times New Roman" w:cs="Times New Roman"/>
          <w:szCs w:val="24"/>
          <w:lang w:eastAsia="en-AU"/>
        </w:rPr>
      </w:pPr>
    </w:p>
    <w:p w:rsidR="000B223A" w:rsidRDefault="000B223A" w:rsidP="000B223A">
      <w:p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The approved 2014–15 network tariffs and alternative control service charges can be found in the following document on our website:</w:t>
      </w:r>
    </w:p>
    <w:p w:rsidR="000B223A" w:rsidRDefault="000B223A" w:rsidP="000B223A">
      <w:pPr>
        <w:spacing w:before="0"/>
        <w:jc w:val="both"/>
        <w:rPr>
          <w:rFonts w:ascii="Times New Roman" w:eastAsia="Calibri" w:hAnsi="Times New Roman" w:cs="Times New Roman"/>
          <w:szCs w:val="24"/>
          <w:lang w:eastAsia="en-AU"/>
        </w:rPr>
      </w:pPr>
    </w:p>
    <w:p w:rsidR="000B223A" w:rsidRDefault="000B223A" w:rsidP="000B223A">
      <w:pPr>
        <w:pStyle w:val="ListParagraph"/>
        <w:numPr>
          <w:ilvl w:val="0"/>
          <w:numId w:val="23"/>
        </w:numPr>
        <w:spacing w:before="0"/>
        <w:jc w:val="both"/>
        <w:rPr>
          <w:rFonts w:ascii="Times New Roman" w:eastAsia="Calibri" w:hAnsi="Times New Roman" w:cs="Times New Roman"/>
          <w:szCs w:val="24"/>
          <w:lang w:eastAsia="en-AU"/>
        </w:rPr>
      </w:pPr>
      <w:hyperlink r:id="rId8" w:history="1">
        <w:proofErr w:type="spellStart"/>
        <w:r>
          <w:rPr>
            <w:rFonts w:ascii="Times New Roman" w:eastAsia="Calibri" w:hAnsi="Times New Roman" w:cs="Times New Roman"/>
            <w:szCs w:val="24"/>
            <w:lang w:eastAsia="en-AU"/>
          </w:rPr>
          <w:t>ActewAGL</w:t>
        </w:r>
        <w:proofErr w:type="spellEnd"/>
        <w:r>
          <w:rPr>
            <w:rFonts w:ascii="Times New Roman" w:eastAsia="Calibri" w:hAnsi="Times New Roman" w:cs="Times New Roman"/>
            <w:szCs w:val="24"/>
            <w:lang w:eastAsia="en-AU"/>
          </w:rPr>
          <w:t xml:space="preserve"> Distribution—</w:t>
        </w:r>
        <w:r w:rsidRPr="00533F69">
          <w:rPr>
            <w:rFonts w:ascii="Times New Roman" w:eastAsia="Calibri" w:hAnsi="Times New Roman" w:cs="Times New Roman"/>
            <w:szCs w:val="24"/>
            <w:lang w:eastAsia="en-AU"/>
          </w:rPr>
          <w:t>2</w:t>
        </w:r>
        <w:r w:rsidRPr="00D767E0">
          <w:rPr>
            <w:rFonts w:ascii="Times New Roman" w:eastAsia="Calibri" w:hAnsi="Times New Roman" w:cs="Times New Roman"/>
            <w:i/>
            <w:szCs w:val="24"/>
            <w:lang w:eastAsia="en-AU"/>
          </w:rPr>
          <w:t xml:space="preserve">014–15 </w:t>
        </w:r>
        <w:proofErr w:type="gramStart"/>
        <w:r w:rsidRPr="00D767E0">
          <w:rPr>
            <w:rFonts w:ascii="Times New Roman" w:eastAsia="Calibri" w:hAnsi="Times New Roman" w:cs="Times New Roman"/>
            <w:i/>
            <w:szCs w:val="24"/>
            <w:lang w:eastAsia="en-AU"/>
          </w:rPr>
          <w:t>Revised</w:t>
        </w:r>
        <w:proofErr w:type="gramEnd"/>
        <w:r w:rsidRPr="00D767E0">
          <w:rPr>
            <w:rFonts w:ascii="Times New Roman" w:eastAsia="Calibri" w:hAnsi="Times New Roman" w:cs="Times New Roman"/>
            <w:i/>
            <w:szCs w:val="24"/>
            <w:lang w:eastAsia="en-AU"/>
          </w:rPr>
          <w:t xml:space="preserve"> annual network pricing proposal</w:t>
        </w:r>
      </w:hyperlink>
      <w:r>
        <w:rPr>
          <w:rFonts w:ascii="Times New Roman" w:eastAsia="Calibri" w:hAnsi="Times New Roman" w:cs="Times New Roman"/>
          <w:szCs w:val="24"/>
          <w:lang w:eastAsia="en-AU"/>
        </w:rPr>
        <w:t>.</w:t>
      </w:r>
    </w:p>
    <w:p w:rsidR="000B223A" w:rsidRDefault="000B223A" w:rsidP="000B223A">
      <w:pPr>
        <w:spacing w:before="0"/>
        <w:ind w:left="720"/>
        <w:jc w:val="both"/>
        <w:rPr>
          <w:rFonts w:ascii="Times New Roman" w:eastAsia="Calibri" w:hAnsi="Times New Roman" w:cs="Times New Roman"/>
          <w:szCs w:val="24"/>
          <w:lang w:eastAsia="en-AU"/>
        </w:rPr>
      </w:pPr>
    </w:p>
    <w:p w:rsidR="000B223A" w:rsidRDefault="000B223A" w:rsidP="000B223A">
      <w:pPr>
        <w:spacing w:before="0"/>
        <w:jc w:val="both"/>
        <w:rPr>
          <w:rFonts w:ascii="Times New Roman" w:eastAsia="Calibri" w:hAnsi="Times New Roman" w:cs="Times New Roman"/>
          <w:szCs w:val="24"/>
          <w:lang w:eastAsia="en-AU"/>
        </w:rPr>
      </w:pPr>
    </w:p>
    <w:p w:rsidR="000B223A" w:rsidRDefault="000B223A" w:rsidP="000B223A">
      <w:pPr>
        <w:spacing w:before="0"/>
        <w:jc w:val="both"/>
        <w:rPr>
          <w:rFonts w:ascii="Times New Roman" w:eastAsia="Calibri" w:hAnsi="Times New Roman" w:cs="Times New Roman"/>
          <w:szCs w:val="24"/>
          <w:lang w:eastAsia="en-AU"/>
        </w:rPr>
      </w:pPr>
    </w:p>
    <w:p w:rsidR="000B223A" w:rsidRPr="000A6669" w:rsidRDefault="000B223A" w:rsidP="000B223A">
      <w:pPr>
        <w:spacing w:before="0" w:after="200" w:line="276" w:lineRule="auto"/>
      </w:pPr>
    </w:p>
    <w:p w:rsidR="000B223A" w:rsidRDefault="000B223A" w:rsidP="00BE1F1B"/>
    <w:p w:rsidR="000B223A" w:rsidRPr="00BE1F1B" w:rsidRDefault="000B223A" w:rsidP="00BE1F1B"/>
    <w:sectPr w:rsidR="000B223A"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4E0971DF"/>
    <w:multiLevelType w:val="hybridMultilevel"/>
    <w:tmpl w:val="7FD0DC5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8A0E4F"/>
    <w:multiLevelType w:val="hybridMultilevel"/>
    <w:tmpl w:val="9F0062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4F40D0"/>
    <w:multiLevelType w:val="hybridMultilevel"/>
    <w:tmpl w:val="E886FF1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20"/>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num>
  <w:num w:numId="19">
    <w:abstractNumId w:val="13"/>
    <w:lvlOverride w:ilvl="0">
      <w:startOverride w:val="1"/>
    </w:lvlOverride>
  </w:num>
  <w:num w:numId="20">
    <w:abstractNumId w:val="21"/>
  </w:num>
  <w:num w:numId="21">
    <w:abstractNumId w:val="12"/>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0B223A"/>
    <w:rsid w:val="00021202"/>
    <w:rsid w:val="000B223A"/>
    <w:rsid w:val="000E1819"/>
    <w:rsid w:val="000E6C72"/>
    <w:rsid w:val="00124609"/>
    <w:rsid w:val="001573E4"/>
    <w:rsid w:val="00251745"/>
    <w:rsid w:val="00286874"/>
    <w:rsid w:val="002A7DEF"/>
    <w:rsid w:val="00307F6D"/>
    <w:rsid w:val="003518B3"/>
    <w:rsid w:val="00532467"/>
    <w:rsid w:val="00564A4D"/>
    <w:rsid w:val="00632D6D"/>
    <w:rsid w:val="007303C3"/>
    <w:rsid w:val="00763E5D"/>
    <w:rsid w:val="00777EE6"/>
    <w:rsid w:val="007C1C53"/>
    <w:rsid w:val="00851209"/>
    <w:rsid w:val="008E7031"/>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223A"/>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223A"/>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gov.au/sites/default/files/ActewAGL%20Distribution%20-%202014-15%20Revised%20annual%20network%20pricing%20proposal.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0498-B0BB-403D-B0DB-B1630059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A00506AF.dotm</Template>
  <TotalTime>2</TotalTime>
  <Pages>1</Pages>
  <Words>294</Words>
  <Characters>1677</Characters>
  <Application>Microsoft Office Word</Application>
  <DocSecurity>0</DocSecurity>
  <Lines>13</Lines>
  <Paragraphs>3</Paragraphs>
  <ScaleCrop>false</ScaleCrop>
  <Company>ACCC</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Madden, Craig</cp:lastModifiedBy>
  <cp:revision>1</cp:revision>
  <dcterms:created xsi:type="dcterms:W3CDTF">2014-06-13T03:27:00Z</dcterms:created>
  <dcterms:modified xsi:type="dcterms:W3CDTF">2014-06-13T03:29:00Z</dcterms:modified>
</cp:coreProperties>
</file>