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59D1DF1" wp14:editId="7792674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C821AF" w:rsidP="008F07A3">
          <w:pPr>
            <w:pStyle w:val="ReportSubtitle"/>
          </w:pPr>
          <w:r>
            <w:t>Power</w:t>
          </w:r>
          <w:bookmarkStart w:id="0" w:name="_GoBack"/>
          <w:bookmarkEnd w:id="0"/>
          <w:r>
            <w:t>cor</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8E71F4" w:rsidP="008F07A3">
          <w:pPr>
            <w:pStyle w:val="ReportSubtitle"/>
          </w:pPr>
          <w:r>
            <w:t>Overview</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DE1FF4" w:rsidRDefault="00DE1FF4" w:rsidP="00DE1FF4">
      <w:pPr>
        <w:pStyle w:val="UnnumberedHeading"/>
      </w:pPr>
      <w:bookmarkStart w:id="5" w:name="_Toc432083534"/>
      <w:bookmarkStart w:id="6" w:name="_Toc433786773"/>
      <w:r>
        <w:lastRenderedPageBreak/>
        <w:t>Invitation for submissions</w:t>
      </w:r>
      <w:bookmarkEnd w:id="5"/>
      <w:bookmarkEnd w:id="6"/>
    </w:p>
    <w:p w:rsidR="00DE1FF4" w:rsidRDefault="00DE1FF4" w:rsidP="00DE1FF4">
      <w:r w:rsidRPr="002C7308">
        <w:t xml:space="preserve">Energy consumers and other interested parties </w:t>
      </w:r>
      <w:r>
        <w:t xml:space="preserve">are invited to </w:t>
      </w:r>
      <w:r w:rsidRPr="002C7308">
        <w:t xml:space="preserve">make submissions on </w:t>
      </w:r>
      <w:r>
        <w:t xml:space="preserve">our preliminary decisions for the Victorian electricity distribution service providers </w:t>
      </w:r>
      <w:r w:rsidRPr="002C7308">
        <w:t xml:space="preserve">by </w:t>
      </w:r>
      <w:r w:rsidRPr="00BC7D8C">
        <w:rPr>
          <w:rStyle w:val="Strong"/>
        </w:rPr>
        <w:t>Wednesday 6 January 2016.</w:t>
      </w:r>
      <w:r w:rsidRPr="002C7308">
        <w:t xml:space="preserve"> </w:t>
      </w:r>
    </w:p>
    <w:p w:rsidR="00DE1FF4" w:rsidRDefault="00DE1FF4" w:rsidP="00DE1FF4">
      <w:r w:rsidRPr="00132354">
        <w:t xml:space="preserve">We will consider and respond to submissions </w:t>
      </w:r>
      <w:r>
        <w:t>i</w:t>
      </w:r>
      <w:r w:rsidRPr="00132354">
        <w:t xml:space="preserve">n </w:t>
      </w:r>
      <w:r>
        <w:t>our final decisions in late April 2016.</w:t>
      </w:r>
    </w:p>
    <w:p w:rsidR="00DE1FF4" w:rsidRDefault="00DE1FF4" w:rsidP="00DE1FF4">
      <w:r>
        <w:t xml:space="preserve">We prefer that all submissions are in Microsoft Word or another text readable document format. Submissions on our preliminary </w:t>
      </w:r>
      <w:r w:rsidR="00B0645F">
        <w:t xml:space="preserve">decisions </w:t>
      </w:r>
      <w:r>
        <w:t xml:space="preserve">should be sent to: </w:t>
      </w:r>
      <w:hyperlink r:id="rId12" w:history="1">
        <w:r w:rsidRPr="005F4A69">
          <w:rPr>
            <w:rStyle w:val="Hyperlink"/>
          </w:rPr>
          <w:t>VICElectricity2016@aer.gov.au</w:t>
        </w:r>
      </w:hyperlink>
      <w:r>
        <w:t xml:space="preserve"> </w:t>
      </w:r>
    </w:p>
    <w:p w:rsidR="00DE1FF4" w:rsidRPr="002C7308" w:rsidRDefault="00DE1FF4" w:rsidP="00DE1FF4">
      <w:r w:rsidRPr="002C7308">
        <w:t>Alternatively, submissions can be sent to:</w:t>
      </w:r>
    </w:p>
    <w:p w:rsidR="00DE1FF4" w:rsidRPr="002C7308" w:rsidRDefault="00DE1FF4" w:rsidP="00DE1FF4">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DE1FF4" w:rsidRPr="002C7308" w:rsidRDefault="00DE1FF4" w:rsidP="00DE1FF4">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DE1FF4" w:rsidRPr="00BC7D8C" w:rsidRDefault="00DE1FF4" w:rsidP="00DE1FF4">
      <w:pPr>
        <w:pStyle w:val="ListBullet"/>
      </w:pPr>
      <w:r w:rsidRPr="002C7308">
        <w:t>clearly identify the information that is the subject of the confidentiality claim</w:t>
      </w:r>
    </w:p>
    <w:p w:rsidR="00DE1FF4" w:rsidRPr="00BC7D8C" w:rsidRDefault="00DE1FF4" w:rsidP="00DE1FF4">
      <w:pPr>
        <w:pStyle w:val="ListBullet"/>
      </w:pPr>
      <w:r w:rsidRPr="002C7308">
        <w:t>provide a non-confidential version of the submission in a form suitable for publication.</w:t>
      </w:r>
    </w:p>
    <w:p w:rsidR="00DE1FF4" w:rsidRDefault="00DE1FF4" w:rsidP="00DE1FF4">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DE1FF4" w:rsidRPr="002C7308" w:rsidRDefault="00DE1FF4" w:rsidP="00DE1FF4">
      <w:r>
        <w:t xml:space="preserve">We will hold a pre-determination conference on 17 November 2015 from 9.30am. If you are interested in attending this forum, have any queries about this preliminary </w:t>
      </w:r>
      <w:r w:rsidR="00B0645F">
        <w:t>decision</w:t>
      </w:r>
      <w:r>
        <w:t xml:space="preserve"> or about lodging submissions, please send an email to: </w:t>
      </w:r>
      <w:hyperlink r:id="rId13" w:history="1">
        <w:r w:rsidRPr="00040D8D">
          <w:rPr>
            <w:rStyle w:val="Hyperlink"/>
          </w:rPr>
          <w:t>VICelectricity2016@aer.gov.au</w:t>
        </w:r>
      </w:hyperlink>
      <w:r>
        <w:t xml:space="preserve">. </w:t>
      </w:r>
    </w:p>
    <w:p w:rsidR="00DE1FF4" w:rsidRDefault="00DE1FF4" w:rsidP="00DE1FF4">
      <w:pPr>
        <w:spacing w:line="240" w:lineRule="auto"/>
      </w:pPr>
      <w:r>
        <w:br w:type="page"/>
      </w:r>
    </w:p>
    <w:p w:rsidR="008F07A3" w:rsidRDefault="00DA61F3" w:rsidP="00DE772C">
      <w:pPr>
        <w:pStyle w:val="UnnumberedHeading"/>
        <w:numPr>
          <w:ilvl w:val="0"/>
          <w:numId w:val="23"/>
        </w:numPr>
      </w:pPr>
      <w:bookmarkStart w:id="7" w:name="_Toc433786774"/>
      <w:r>
        <w:lastRenderedPageBreak/>
        <w:t>N</w:t>
      </w:r>
      <w:r w:rsidR="008F07A3">
        <w:t>ote</w:t>
      </w:r>
      <w:bookmarkEnd w:id="1"/>
      <w:bookmarkEnd w:id="2"/>
      <w:bookmarkEnd w:id="3"/>
      <w:bookmarkEnd w:id="4"/>
      <w:bookmarkEnd w:id="7"/>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C821AF">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F007AA">
        <w:t>f-factor scheme</w:t>
      </w:r>
    </w:p>
    <w:p w:rsidR="00DE563D" w:rsidRPr="00A72B34" w:rsidRDefault="00DE563D" w:rsidP="00DE772C">
      <w:pPr>
        <w:pStyle w:val="UnnumberedHeading"/>
        <w:numPr>
          <w:ilvl w:val="0"/>
          <w:numId w:val="23"/>
        </w:numPr>
      </w:pPr>
      <w:bookmarkStart w:id="8" w:name="_Toc403144133"/>
      <w:bookmarkStart w:id="9" w:name="_Toc433786775"/>
      <w:r>
        <w:lastRenderedPageBreak/>
        <w:t>Contents</w:t>
      </w:r>
      <w:bookmarkEnd w:id="8"/>
      <w:bookmarkEnd w:id="9"/>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505F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86773" w:history="1">
            <w:r w:rsidR="005505F9" w:rsidRPr="00860C01">
              <w:rPr>
                <w:rStyle w:val="Hyperlink"/>
              </w:rPr>
              <w:t>Invitation for submissions</w:t>
            </w:r>
            <w:r w:rsidR="005505F9">
              <w:rPr>
                <w:webHidden/>
              </w:rPr>
              <w:tab/>
            </w:r>
            <w:r w:rsidR="005505F9">
              <w:rPr>
                <w:webHidden/>
              </w:rPr>
              <w:fldChar w:fldCharType="begin"/>
            </w:r>
            <w:r w:rsidR="005505F9">
              <w:rPr>
                <w:webHidden/>
              </w:rPr>
              <w:instrText xml:space="preserve"> PAGEREF _Toc433786773 \h </w:instrText>
            </w:r>
            <w:r w:rsidR="005505F9">
              <w:rPr>
                <w:webHidden/>
              </w:rPr>
            </w:r>
            <w:r w:rsidR="005505F9">
              <w:rPr>
                <w:webHidden/>
              </w:rPr>
              <w:fldChar w:fldCharType="separate"/>
            </w:r>
            <w:r w:rsidR="005505F9">
              <w:rPr>
                <w:webHidden/>
              </w:rPr>
              <w:t>2</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774" w:history="1">
            <w:r w:rsidR="005505F9" w:rsidRPr="00860C01">
              <w:rPr>
                <w:rStyle w:val="Hyperlink"/>
              </w:rPr>
              <w:t>Note</w:t>
            </w:r>
            <w:r w:rsidR="005505F9">
              <w:rPr>
                <w:webHidden/>
              </w:rPr>
              <w:tab/>
            </w:r>
            <w:r w:rsidR="005505F9">
              <w:rPr>
                <w:webHidden/>
              </w:rPr>
              <w:fldChar w:fldCharType="begin"/>
            </w:r>
            <w:r w:rsidR="005505F9">
              <w:rPr>
                <w:webHidden/>
              </w:rPr>
              <w:instrText xml:space="preserve"> PAGEREF _Toc433786774 \h </w:instrText>
            </w:r>
            <w:r w:rsidR="005505F9">
              <w:rPr>
                <w:webHidden/>
              </w:rPr>
            </w:r>
            <w:r w:rsidR="005505F9">
              <w:rPr>
                <w:webHidden/>
              </w:rPr>
              <w:fldChar w:fldCharType="separate"/>
            </w:r>
            <w:r w:rsidR="005505F9">
              <w:rPr>
                <w:webHidden/>
              </w:rPr>
              <w:t>3</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775" w:history="1">
            <w:r w:rsidR="005505F9" w:rsidRPr="00860C01">
              <w:rPr>
                <w:rStyle w:val="Hyperlink"/>
              </w:rPr>
              <w:t>Contents</w:t>
            </w:r>
            <w:r w:rsidR="005505F9">
              <w:rPr>
                <w:webHidden/>
              </w:rPr>
              <w:tab/>
            </w:r>
            <w:r w:rsidR="005505F9">
              <w:rPr>
                <w:webHidden/>
              </w:rPr>
              <w:fldChar w:fldCharType="begin"/>
            </w:r>
            <w:r w:rsidR="005505F9">
              <w:rPr>
                <w:webHidden/>
              </w:rPr>
              <w:instrText xml:space="preserve"> PAGEREF _Toc433786775 \h </w:instrText>
            </w:r>
            <w:r w:rsidR="005505F9">
              <w:rPr>
                <w:webHidden/>
              </w:rPr>
            </w:r>
            <w:r w:rsidR="005505F9">
              <w:rPr>
                <w:webHidden/>
              </w:rPr>
              <w:fldChar w:fldCharType="separate"/>
            </w:r>
            <w:r w:rsidR="005505F9">
              <w:rPr>
                <w:webHidden/>
              </w:rPr>
              <w:t>4</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776" w:history="1">
            <w:r w:rsidR="005505F9" w:rsidRPr="00860C01">
              <w:rPr>
                <w:rStyle w:val="Hyperlink"/>
              </w:rPr>
              <w:t>Shortened forms</w:t>
            </w:r>
            <w:r w:rsidR="005505F9">
              <w:rPr>
                <w:webHidden/>
              </w:rPr>
              <w:tab/>
            </w:r>
            <w:r w:rsidR="005505F9">
              <w:rPr>
                <w:webHidden/>
              </w:rPr>
              <w:fldChar w:fldCharType="begin"/>
            </w:r>
            <w:r w:rsidR="005505F9">
              <w:rPr>
                <w:webHidden/>
              </w:rPr>
              <w:instrText xml:space="preserve"> PAGEREF _Toc433786776 \h </w:instrText>
            </w:r>
            <w:r w:rsidR="005505F9">
              <w:rPr>
                <w:webHidden/>
              </w:rPr>
            </w:r>
            <w:r w:rsidR="005505F9">
              <w:rPr>
                <w:webHidden/>
              </w:rPr>
              <w:fldChar w:fldCharType="separate"/>
            </w:r>
            <w:r w:rsidR="005505F9">
              <w:rPr>
                <w:webHidden/>
              </w:rPr>
              <w:t>6</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777" w:history="1">
            <w:r w:rsidR="005505F9" w:rsidRPr="00860C01">
              <w:rPr>
                <w:rStyle w:val="Hyperlink"/>
              </w:rPr>
              <w:t>1</w:t>
            </w:r>
            <w:r w:rsidR="005505F9">
              <w:rPr>
                <w:rFonts w:asciiTheme="minorHAnsi" w:eastAsiaTheme="minorEastAsia" w:hAnsiTheme="minorHAnsi"/>
                <w:b w:val="0"/>
                <w:color w:val="auto"/>
                <w:sz w:val="22"/>
                <w:lang w:val="en-AU" w:eastAsia="en-AU"/>
              </w:rPr>
              <w:tab/>
            </w:r>
            <w:r w:rsidR="005505F9" w:rsidRPr="00860C01">
              <w:rPr>
                <w:rStyle w:val="Hyperlink"/>
              </w:rPr>
              <w:t>Introduction</w:t>
            </w:r>
            <w:r w:rsidR="005505F9">
              <w:rPr>
                <w:webHidden/>
              </w:rPr>
              <w:tab/>
            </w:r>
            <w:r w:rsidR="005505F9">
              <w:rPr>
                <w:webHidden/>
              </w:rPr>
              <w:fldChar w:fldCharType="begin"/>
            </w:r>
            <w:r w:rsidR="005505F9">
              <w:rPr>
                <w:webHidden/>
              </w:rPr>
              <w:instrText xml:space="preserve"> PAGEREF _Toc433786777 \h </w:instrText>
            </w:r>
            <w:r w:rsidR="005505F9">
              <w:rPr>
                <w:webHidden/>
              </w:rPr>
            </w:r>
            <w:r w:rsidR="005505F9">
              <w:rPr>
                <w:webHidden/>
              </w:rPr>
              <w:fldChar w:fldCharType="separate"/>
            </w:r>
            <w:r w:rsidR="005505F9">
              <w:rPr>
                <w:webHidden/>
              </w:rPr>
              <w:t>8</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78" w:history="1">
            <w:r w:rsidR="005505F9" w:rsidRPr="00860C01">
              <w:rPr>
                <w:rStyle w:val="Hyperlink"/>
              </w:rPr>
              <w:t>1.1</w:t>
            </w:r>
            <w:r w:rsidR="005505F9">
              <w:rPr>
                <w:rFonts w:asciiTheme="minorHAnsi" w:eastAsiaTheme="minorEastAsia" w:hAnsiTheme="minorHAnsi"/>
                <w:b w:val="0"/>
                <w:color w:val="auto"/>
                <w:sz w:val="22"/>
                <w:lang w:eastAsia="en-AU"/>
              </w:rPr>
              <w:tab/>
            </w:r>
            <w:r w:rsidR="005505F9" w:rsidRPr="00860C01">
              <w:rPr>
                <w:rStyle w:val="Hyperlink"/>
              </w:rPr>
              <w:t>Victorian electricity distribution</w:t>
            </w:r>
            <w:r w:rsidR="005505F9">
              <w:rPr>
                <w:webHidden/>
              </w:rPr>
              <w:tab/>
            </w:r>
            <w:r w:rsidR="005505F9">
              <w:rPr>
                <w:webHidden/>
              </w:rPr>
              <w:fldChar w:fldCharType="begin"/>
            </w:r>
            <w:r w:rsidR="005505F9">
              <w:rPr>
                <w:webHidden/>
              </w:rPr>
              <w:instrText xml:space="preserve"> PAGEREF _Toc433786778 \h </w:instrText>
            </w:r>
            <w:r w:rsidR="005505F9">
              <w:rPr>
                <w:webHidden/>
              </w:rPr>
            </w:r>
            <w:r w:rsidR="005505F9">
              <w:rPr>
                <w:webHidden/>
              </w:rPr>
              <w:fldChar w:fldCharType="separate"/>
            </w:r>
            <w:r w:rsidR="005505F9">
              <w:rPr>
                <w:webHidden/>
              </w:rPr>
              <w:t>9</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79" w:history="1">
            <w:r w:rsidR="005505F9" w:rsidRPr="00860C01">
              <w:rPr>
                <w:rStyle w:val="Hyperlink"/>
              </w:rPr>
              <w:t>1.2</w:t>
            </w:r>
            <w:r w:rsidR="005505F9">
              <w:rPr>
                <w:rFonts w:asciiTheme="minorHAnsi" w:eastAsiaTheme="minorEastAsia" w:hAnsiTheme="minorHAnsi"/>
                <w:b w:val="0"/>
                <w:color w:val="auto"/>
                <w:sz w:val="22"/>
                <w:lang w:eastAsia="en-AU"/>
              </w:rPr>
              <w:tab/>
            </w:r>
            <w:r w:rsidR="005505F9" w:rsidRPr="00860C01">
              <w:rPr>
                <w:rStyle w:val="Hyperlink"/>
              </w:rPr>
              <w:t>Structure of overview</w:t>
            </w:r>
            <w:r w:rsidR="005505F9">
              <w:rPr>
                <w:webHidden/>
              </w:rPr>
              <w:tab/>
            </w:r>
            <w:r w:rsidR="005505F9">
              <w:rPr>
                <w:webHidden/>
              </w:rPr>
              <w:fldChar w:fldCharType="begin"/>
            </w:r>
            <w:r w:rsidR="005505F9">
              <w:rPr>
                <w:webHidden/>
              </w:rPr>
              <w:instrText xml:space="preserve"> PAGEREF _Toc433786779 \h </w:instrText>
            </w:r>
            <w:r w:rsidR="005505F9">
              <w:rPr>
                <w:webHidden/>
              </w:rPr>
            </w:r>
            <w:r w:rsidR="005505F9">
              <w:rPr>
                <w:webHidden/>
              </w:rPr>
              <w:fldChar w:fldCharType="separate"/>
            </w:r>
            <w:r w:rsidR="005505F9">
              <w:rPr>
                <w:webHidden/>
              </w:rPr>
              <w:t>10</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780" w:history="1">
            <w:r w:rsidR="005505F9" w:rsidRPr="00860C01">
              <w:rPr>
                <w:rStyle w:val="Hyperlink"/>
              </w:rPr>
              <w:t>2</w:t>
            </w:r>
            <w:r w:rsidR="005505F9">
              <w:rPr>
                <w:rFonts w:asciiTheme="minorHAnsi" w:eastAsiaTheme="minorEastAsia" w:hAnsiTheme="minorHAnsi"/>
                <w:b w:val="0"/>
                <w:color w:val="auto"/>
                <w:sz w:val="22"/>
                <w:lang w:val="en-AU" w:eastAsia="en-AU"/>
              </w:rPr>
              <w:tab/>
            </w:r>
            <w:r w:rsidR="005505F9" w:rsidRPr="00860C01">
              <w:rPr>
                <w:rStyle w:val="Hyperlink"/>
              </w:rPr>
              <w:t>Preliminary decision</w:t>
            </w:r>
            <w:r w:rsidR="005505F9">
              <w:rPr>
                <w:webHidden/>
              </w:rPr>
              <w:tab/>
            </w:r>
            <w:r w:rsidR="005505F9">
              <w:rPr>
                <w:webHidden/>
              </w:rPr>
              <w:fldChar w:fldCharType="begin"/>
            </w:r>
            <w:r w:rsidR="005505F9">
              <w:rPr>
                <w:webHidden/>
              </w:rPr>
              <w:instrText xml:space="preserve"> PAGEREF _Toc433786780 \h </w:instrText>
            </w:r>
            <w:r w:rsidR="005505F9">
              <w:rPr>
                <w:webHidden/>
              </w:rPr>
            </w:r>
            <w:r w:rsidR="005505F9">
              <w:rPr>
                <w:webHidden/>
              </w:rPr>
              <w:fldChar w:fldCharType="separate"/>
            </w:r>
            <w:r w:rsidR="005505F9">
              <w:rPr>
                <w:webHidden/>
              </w:rPr>
              <w:t>11</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81" w:history="1">
            <w:r w:rsidR="005505F9" w:rsidRPr="00860C01">
              <w:rPr>
                <w:rStyle w:val="Hyperlink"/>
              </w:rPr>
              <w:t>2.1</w:t>
            </w:r>
            <w:r w:rsidR="005505F9">
              <w:rPr>
                <w:rFonts w:asciiTheme="minorHAnsi" w:eastAsiaTheme="minorEastAsia" w:hAnsiTheme="minorHAnsi"/>
                <w:b w:val="0"/>
                <w:color w:val="auto"/>
                <w:sz w:val="22"/>
                <w:lang w:eastAsia="en-AU"/>
              </w:rPr>
              <w:tab/>
            </w:r>
            <w:r w:rsidR="005505F9" w:rsidRPr="00860C01">
              <w:rPr>
                <w:rStyle w:val="Hyperlink"/>
              </w:rPr>
              <w:t>Snapshot of preliminary decision</w:t>
            </w:r>
            <w:r w:rsidR="005505F9">
              <w:rPr>
                <w:webHidden/>
              </w:rPr>
              <w:tab/>
            </w:r>
            <w:r w:rsidR="005505F9">
              <w:rPr>
                <w:webHidden/>
              </w:rPr>
              <w:fldChar w:fldCharType="begin"/>
            </w:r>
            <w:r w:rsidR="005505F9">
              <w:rPr>
                <w:webHidden/>
              </w:rPr>
              <w:instrText xml:space="preserve"> PAGEREF _Toc433786781 \h </w:instrText>
            </w:r>
            <w:r w:rsidR="005505F9">
              <w:rPr>
                <w:webHidden/>
              </w:rPr>
            </w:r>
            <w:r w:rsidR="005505F9">
              <w:rPr>
                <w:webHidden/>
              </w:rPr>
              <w:fldChar w:fldCharType="separate"/>
            </w:r>
            <w:r w:rsidR="005505F9">
              <w:rPr>
                <w:webHidden/>
              </w:rPr>
              <w:t>11</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2" w:history="1">
            <w:r w:rsidR="005505F9" w:rsidRPr="00860C01">
              <w:rPr>
                <w:rStyle w:val="Hyperlink"/>
              </w:rPr>
              <w:t>Expected impact of decision on residential electricity bills</w:t>
            </w:r>
            <w:r w:rsidR="005505F9">
              <w:rPr>
                <w:webHidden/>
              </w:rPr>
              <w:tab/>
            </w:r>
            <w:r w:rsidR="005505F9">
              <w:rPr>
                <w:webHidden/>
              </w:rPr>
              <w:fldChar w:fldCharType="begin"/>
            </w:r>
            <w:r w:rsidR="005505F9">
              <w:rPr>
                <w:webHidden/>
              </w:rPr>
              <w:instrText xml:space="preserve"> PAGEREF _Toc433786782 \h </w:instrText>
            </w:r>
            <w:r w:rsidR="005505F9">
              <w:rPr>
                <w:webHidden/>
              </w:rPr>
            </w:r>
            <w:r w:rsidR="005505F9">
              <w:rPr>
                <w:webHidden/>
              </w:rPr>
              <w:fldChar w:fldCharType="separate"/>
            </w:r>
            <w:r w:rsidR="005505F9">
              <w:rPr>
                <w:webHidden/>
              </w:rPr>
              <w:t>13</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83" w:history="1">
            <w:r w:rsidR="005505F9" w:rsidRPr="00860C01">
              <w:rPr>
                <w:rStyle w:val="Hyperlink"/>
              </w:rPr>
              <w:t>2.2</w:t>
            </w:r>
            <w:r w:rsidR="005505F9">
              <w:rPr>
                <w:rFonts w:asciiTheme="minorHAnsi" w:eastAsiaTheme="minorEastAsia" w:hAnsiTheme="minorHAnsi"/>
                <w:b w:val="0"/>
                <w:color w:val="auto"/>
                <w:sz w:val="22"/>
                <w:lang w:eastAsia="en-AU"/>
              </w:rPr>
              <w:tab/>
            </w:r>
            <w:r w:rsidR="005505F9" w:rsidRPr="00860C01">
              <w:rPr>
                <w:rStyle w:val="Hyperlink"/>
              </w:rPr>
              <w:t>Key aspects of our preliminary decision</w:t>
            </w:r>
            <w:r w:rsidR="005505F9">
              <w:rPr>
                <w:webHidden/>
              </w:rPr>
              <w:tab/>
            </w:r>
            <w:r w:rsidR="005505F9">
              <w:rPr>
                <w:webHidden/>
              </w:rPr>
              <w:fldChar w:fldCharType="begin"/>
            </w:r>
            <w:r w:rsidR="005505F9">
              <w:rPr>
                <w:webHidden/>
              </w:rPr>
              <w:instrText xml:space="preserve"> PAGEREF _Toc433786783 \h </w:instrText>
            </w:r>
            <w:r w:rsidR="005505F9">
              <w:rPr>
                <w:webHidden/>
              </w:rPr>
            </w:r>
            <w:r w:rsidR="005505F9">
              <w:rPr>
                <w:webHidden/>
              </w:rPr>
              <w:fldChar w:fldCharType="separate"/>
            </w:r>
            <w:r w:rsidR="005505F9">
              <w:rPr>
                <w:webHidden/>
              </w:rPr>
              <w:t>14</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4" w:history="1">
            <w:r w:rsidR="005505F9" w:rsidRPr="00860C01">
              <w:rPr>
                <w:rStyle w:val="Hyperlink"/>
              </w:rPr>
              <w:t>2.2.1</w:t>
            </w:r>
            <w:r w:rsidR="005505F9">
              <w:rPr>
                <w:rFonts w:asciiTheme="minorHAnsi" w:eastAsiaTheme="minorEastAsia" w:hAnsiTheme="minorHAnsi"/>
                <w:lang w:eastAsia="en-AU"/>
              </w:rPr>
              <w:tab/>
            </w:r>
            <w:r w:rsidR="005505F9" w:rsidRPr="00860C01">
              <w:rPr>
                <w:rStyle w:val="Hyperlink"/>
              </w:rPr>
              <w:t>Past operating efficiency</w:t>
            </w:r>
            <w:r w:rsidR="005505F9">
              <w:rPr>
                <w:webHidden/>
              </w:rPr>
              <w:tab/>
            </w:r>
            <w:r w:rsidR="005505F9">
              <w:rPr>
                <w:webHidden/>
              </w:rPr>
              <w:fldChar w:fldCharType="begin"/>
            </w:r>
            <w:r w:rsidR="005505F9">
              <w:rPr>
                <w:webHidden/>
              </w:rPr>
              <w:instrText xml:space="preserve"> PAGEREF _Toc433786784 \h </w:instrText>
            </w:r>
            <w:r w:rsidR="005505F9">
              <w:rPr>
                <w:webHidden/>
              </w:rPr>
            </w:r>
            <w:r w:rsidR="005505F9">
              <w:rPr>
                <w:webHidden/>
              </w:rPr>
              <w:fldChar w:fldCharType="separate"/>
            </w:r>
            <w:r w:rsidR="005505F9">
              <w:rPr>
                <w:webHidden/>
              </w:rPr>
              <w:t>14</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5" w:history="1">
            <w:r w:rsidR="005505F9" w:rsidRPr="00860C01">
              <w:rPr>
                <w:rStyle w:val="Hyperlink"/>
              </w:rPr>
              <w:t>2.2.2</w:t>
            </w:r>
            <w:r w:rsidR="005505F9">
              <w:rPr>
                <w:rFonts w:asciiTheme="minorHAnsi" w:eastAsiaTheme="minorEastAsia" w:hAnsiTheme="minorHAnsi"/>
                <w:lang w:eastAsia="en-AU"/>
              </w:rPr>
              <w:tab/>
            </w:r>
            <w:r w:rsidR="005505F9" w:rsidRPr="00860C01">
              <w:rPr>
                <w:rStyle w:val="Hyperlink"/>
              </w:rPr>
              <w:t>Advanced metering infrastructure</w:t>
            </w:r>
            <w:r w:rsidR="005505F9">
              <w:rPr>
                <w:webHidden/>
              </w:rPr>
              <w:tab/>
            </w:r>
            <w:r w:rsidR="005505F9">
              <w:rPr>
                <w:webHidden/>
              </w:rPr>
              <w:fldChar w:fldCharType="begin"/>
            </w:r>
            <w:r w:rsidR="005505F9">
              <w:rPr>
                <w:webHidden/>
              </w:rPr>
              <w:instrText xml:space="preserve"> PAGEREF _Toc433786785 \h </w:instrText>
            </w:r>
            <w:r w:rsidR="005505F9">
              <w:rPr>
                <w:webHidden/>
              </w:rPr>
            </w:r>
            <w:r w:rsidR="005505F9">
              <w:rPr>
                <w:webHidden/>
              </w:rPr>
              <w:fldChar w:fldCharType="separate"/>
            </w:r>
            <w:r w:rsidR="005505F9">
              <w:rPr>
                <w:webHidden/>
              </w:rPr>
              <w:t>15</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6" w:history="1">
            <w:r w:rsidR="005505F9" w:rsidRPr="00860C01">
              <w:rPr>
                <w:rStyle w:val="Hyperlink"/>
              </w:rPr>
              <w:t>2.2.3</w:t>
            </w:r>
            <w:r w:rsidR="005505F9">
              <w:rPr>
                <w:rFonts w:asciiTheme="minorHAnsi" w:eastAsiaTheme="minorEastAsia" w:hAnsiTheme="minorHAnsi"/>
                <w:lang w:eastAsia="en-AU"/>
              </w:rPr>
              <w:tab/>
            </w:r>
            <w:r w:rsidR="005505F9" w:rsidRPr="00860C01">
              <w:rPr>
                <w:rStyle w:val="Hyperlink"/>
              </w:rPr>
              <w:t>Approved capital expenditure</w:t>
            </w:r>
            <w:r w:rsidR="005505F9">
              <w:rPr>
                <w:webHidden/>
              </w:rPr>
              <w:tab/>
            </w:r>
            <w:r w:rsidR="005505F9">
              <w:rPr>
                <w:webHidden/>
              </w:rPr>
              <w:fldChar w:fldCharType="begin"/>
            </w:r>
            <w:r w:rsidR="005505F9">
              <w:rPr>
                <w:webHidden/>
              </w:rPr>
              <w:instrText xml:space="preserve"> PAGEREF _Toc433786786 \h </w:instrText>
            </w:r>
            <w:r w:rsidR="005505F9">
              <w:rPr>
                <w:webHidden/>
              </w:rPr>
            </w:r>
            <w:r w:rsidR="005505F9">
              <w:rPr>
                <w:webHidden/>
              </w:rPr>
              <w:fldChar w:fldCharType="separate"/>
            </w:r>
            <w:r w:rsidR="005505F9">
              <w:rPr>
                <w:webHidden/>
              </w:rPr>
              <w:t>15</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7" w:history="1">
            <w:r w:rsidR="005505F9" w:rsidRPr="00860C01">
              <w:rPr>
                <w:rStyle w:val="Hyperlink"/>
              </w:rPr>
              <w:t>2.2.4</w:t>
            </w:r>
            <w:r w:rsidR="005505F9">
              <w:rPr>
                <w:rFonts w:asciiTheme="minorHAnsi" w:eastAsiaTheme="minorEastAsia" w:hAnsiTheme="minorHAnsi"/>
                <w:lang w:eastAsia="en-AU"/>
              </w:rPr>
              <w:tab/>
            </w:r>
            <w:r w:rsidR="005505F9" w:rsidRPr="00860C01">
              <w:rPr>
                <w:rStyle w:val="Hyperlink"/>
              </w:rPr>
              <w:t>Less revenue required in current operating environment</w:t>
            </w:r>
            <w:r w:rsidR="005505F9">
              <w:rPr>
                <w:webHidden/>
              </w:rPr>
              <w:tab/>
            </w:r>
            <w:r w:rsidR="005505F9">
              <w:rPr>
                <w:webHidden/>
              </w:rPr>
              <w:fldChar w:fldCharType="begin"/>
            </w:r>
            <w:r w:rsidR="005505F9">
              <w:rPr>
                <w:webHidden/>
              </w:rPr>
              <w:instrText xml:space="preserve"> PAGEREF _Toc433786787 \h </w:instrText>
            </w:r>
            <w:r w:rsidR="005505F9">
              <w:rPr>
                <w:webHidden/>
              </w:rPr>
            </w:r>
            <w:r w:rsidR="005505F9">
              <w:rPr>
                <w:webHidden/>
              </w:rPr>
              <w:fldChar w:fldCharType="separate"/>
            </w:r>
            <w:r w:rsidR="005505F9">
              <w:rPr>
                <w:webHidden/>
              </w:rPr>
              <w:t>16</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8" w:history="1">
            <w:r w:rsidR="005505F9" w:rsidRPr="00860C01">
              <w:rPr>
                <w:rStyle w:val="Hyperlink"/>
              </w:rPr>
              <w:t>Network funding costs are lower</w:t>
            </w:r>
            <w:r w:rsidR="005505F9">
              <w:rPr>
                <w:webHidden/>
              </w:rPr>
              <w:tab/>
            </w:r>
            <w:r w:rsidR="005505F9">
              <w:rPr>
                <w:webHidden/>
              </w:rPr>
              <w:fldChar w:fldCharType="begin"/>
            </w:r>
            <w:r w:rsidR="005505F9">
              <w:rPr>
                <w:webHidden/>
              </w:rPr>
              <w:instrText xml:space="preserve"> PAGEREF _Toc433786788 \h </w:instrText>
            </w:r>
            <w:r w:rsidR="005505F9">
              <w:rPr>
                <w:webHidden/>
              </w:rPr>
            </w:r>
            <w:r w:rsidR="005505F9">
              <w:rPr>
                <w:webHidden/>
              </w:rPr>
              <w:fldChar w:fldCharType="separate"/>
            </w:r>
            <w:r w:rsidR="005505F9">
              <w:rPr>
                <w:webHidden/>
              </w:rPr>
              <w:t>17</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89" w:history="1">
            <w:r w:rsidR="005505F9" w:rsidRPr="00860C01">
              <w:rPr>
                <w:rStyle w:val="Hyperlink"/>
              </w:rPr>
              <w:t>Maximum demand is not expected to grow</w:t>
            </w:r>
            <w:r w:rsidR="005505F9">
              <w:rPr>
                <w:webHidden/>
              </w:rPr>
              <w:tab/>
            </w:r>
            <w:r w:rsidR="005505F9">
              <w:rPr>
                <w:webHidden/>
              </w:rPr>
              <w:fldChar w:fldCharType="begin"/>
            </w:r>
            <w:r w:rsidR="005505F9">
              <w:rPr>
                <w:webHidden/>
              </w:rPr>
              <w:instrText xml:space="preserve"> PAGEREF _Toc433786789 \h </w:instrText>
            </w:r>
            <w:r w:rsidR="005505F9">
              <w:rPr>
                <w:webHidden/>
              </w:rPr>
            </w:r>
            <w:r w:rsidR="005505F9">
              <w:rPr>
                <w:webHidden/>
              </w:rPr>
              <w:fldChar w:fldCharType="separate"/>
            </w:r>
            <w:r w:rsidR="005505F9">
              <w:rPr>
                <w:webHidden/>
              </w:rPr>
              <w:t>19</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90" w:history="1">
            <w:r w:rsidR="005505F9" w:rsidRPr="00860C01">
              <w:rPr>
                <w:rStyle w:val="Hyperlink"/>
              </w:rPr>
              <w:t>Customers are not willing to pay more for increased reliability</w:t>
            </w:r>
            <w:r w:rsidR="005505F9">
              <w:rPr>
                <w:webHidden/>
              </w:rPr>
              <w:tab/>
            </w:r>
            <w:r w:rsidR="005505F9">
              <w:rPr>
                <w:webHidden/>
              </w:rPr>
              <w:fldChar w:fldCharType="begin"/>
            </w:r>
            <w:r w:rsidR="005505F9">
              <w:rPr>
                <w:webHidden/>
              </w:rPr>
              <w:instrText xml:space="preserve"> PAGEREF _Toc433786790 \h </w:instrText>
            </w:r>
            <w:r w:rsidR="005505F9">
              <w:rPr>
                <w:webHidden/>
              </w:rPr>
            </w:r>
            <w:r w:rsidR="005505F9">
              <w:rPr>
                <w:webHidden/>
              </w:rPr>
              <w:fldChar w:fldCharType="separate"/>
            </w:r>
            <w:r w:rsidR="005505F9">
              <w:rPr>
                <w:webHidden/>
              </w:rPr>
              <w:t>20</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91" w:history="1">
            <w:r w:rsidR="005505F9" w:rsidRPr="00860C01">
              <w:rPr>
                <w:rStyle w:val="Hyperlink"/>
              </w:rPr>
              <w:t>More network assets are reaching the end of their useful life</w:t>
            </w:r>
            <w:r w:rsidR="005505F9">
              <w:rPr>
                <w:webHidden/>
              </w:rPr>
              <w:tab/>
            </w:r>
            <w:r w:rsidR="005505F9">
              <w:rPr>
                <w:webHidden/>
              </w:rPr>
              <w:fldChar w:fldCharType="begin"/>
            </w:r>
            <w:r w:rsidR="005505F9">
              <w:rPr>
                <w:webHidden/>
              </w:rPr>
              <w:instrText xml:space="preserve"> PAGEREF _Toc433786791 \h </w:instrText>
            </w:r>
            <w:r w:rsidR="005505F9">
              <w:rPr>
                <w:webHidden/>
              </w:rPr>
            </w:r>
            <w:r w:rsidR="005505F9">
              <w:rPr>
                <w:webHidden/>
              </w:rPr>
              <w:fldChar w:fldCharType="separate"/>
            </w:r>
            <w:r w:rsidR="005505F9">
              <w:rPr>
                <w:webHidden/>
              </w:rPr>
              <w:t>21</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92" w:history="1">
            <w:r w:rsidR="005505F9" w:rsidRPr="00860C01">
              <w:rPr>
                <w:rStyle w:val="Hyperlink"/>
              </w:rPr>
              <w:t>Fewer new regulatory obligations</w:t>
            </w:r>
            <w:r w:rsidR="005505F9">
              <w:rPr>
                <w:webHidden/>
              </w:rPr>
              <w:tab/>
            </w:r>
            <w:r w:rsidR="005505F9">
              <w:rPr>
                <w:webHidden/>
              </w:rPr>
              <w:fldChar w:fldCharType="begin"/>
            </w:r>
            <w:r w:rsidR="005505F9">
              <w:rPr>
                <w:webHidden/>
              </w:rPr>
              <w:instrText xml:space="preserve"> PAGEREF _Toc433786792 \h </w:instrText>
            </w:r>
            <w:r w:rsidR="005505F9">
              <w:rPr>
                <w:webHidden/>
              </w:rPr>
            </w:r>
            <w:r w:rsidR="005505F9">
              <w:rPr>
                <w:webHidden/>
              </w:rPr>
              <w:fldChar w:fldCharType="separate"/>
            </w:r>
            <w:r w:rsidR="005505F9">
              <w:rPr>
                <w:webHidden/>
              </w:rPr>
              <w:t>22</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93" w:history="1">
            <w:r w:rsidR="005505F9" w:rsidRPr="00860C01">
              <w:rPr>
                <w:rStyle w:val="Hyperlink"/>
              </w:rPr>
              <w:t>2.3</w:t>
            </w:r>
            <w:r w:rsidR="005505F9">
              <w:rPr>
                <w:rFonts w:asciiTheme="minorHAnsi" w:eastAsiaTheme="minorEastAsia" w:hAnsiTheme="minorHAnsi"/>
                <w:b w:val="0"/>
                <w:color w:val="auto"/>
                <w:sz w:val="22"/>
                <w:lang w:eastAsia="en-AU"/>
              </w:rPr>
              <w:tab/>
            </w:r>
            <w:r w:rsidR="005505F9" w:rsidRPr="00860C01">
              <w:rPr>
                <w:rStyle w:val="Hyperlink"/>
              </w:rPr>
              <w:t>Process timeline and transitional rules</w:t>
            </w:r>
            <w:r w:rsidR="005505F9">
              <w:rPr>
                <w:webHidden/>
              </w:rPr>
              <w:tab/>
            </w:r>
            <w:r w:rsidR="005505F9">
              <w:rPr>
                <w:webHidden/>
              </w:rPr>
              <w:fldChar w:fldCharType="begin"/>
            </w:r>
            <w:r w:rsidR="005505F9">
              <w:rPr>
                <w:webHidden/>
              </w:rPr>
              <w:instrText xml:space="preserve"> PAGEREF _Toc433786793 \h </w:instrText>
            </w:r>
            <w:r w:rsidR="005505F9">
              <w:rPr>
                <w:webHidden/>
              </w:rPr>
            </w:r>
            <w:r w:rsidR="005505F9">
              <w:rPr>
                <w:webHidden/>
              </w:rPr>
              <w:fldChar w:fldCharType="separate"/>
            </w:r>
            <w:r w:rsidR="005505F9">
              <w:rPr>
                <w:webHidden/>
              </w:rPr>
              <w:t>23</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794" w:history="1">
            <w:r w:rsidR="005505F9" w:rsidRPr="00860C01">
              <w:rPr>
                <w:rStyle w:val="Hyperlink"/>
              </w:rPr>
              <w:t>3</w:t>
            </w:r>
            <w:r w:rsidR="005505F9">
              <w:rPr>
                <w:rFonts w:asciiTheme="minorHAnsi" w:eastAsiaTheme="minorEastAsia" w:hAnsiTheme="minorHAnsi"/>
                <w:b w:val="0"/>
                <w:color w:val="auto"/>
                <w:sz w:val="22"/>
                <w:lang w:val="en-AU" w:eastAsia="en-AU"/>
              </w:rPr>
              <w:tab/>
            </w:r>
            <w:r w:rsidR="005505F9" w:rsidRPr="00860C01">
              <w:rPr>
                <w:rStyle w:val="Hyperlink"/>
              </w:rPr>
              <w:t>Key elements of decision on Powercor’s revenue</w:t>
            </w:r>
            <w:r w:rsidR="005505F9">
              <w:rPr>
                <w:webHidden/>
              </w:rPr>
              <w:tab/>
            </w:r>
            <w:r w:rsidR="005505F9">
              <w:rPr>
                <w:webHidden/>
              </w:rPr>
              <w:fldChar w:fldCharType="begin"/>
            </w:r>
            <w:r w:rsidR="005505F9">
              <w:rPr>
                <w:webHidden/>
              </w:rPr>
              <w:instrText xml:space="preserve"> PAGEREF _Toc433786794 \h </w:instrText>
            </w:r>
            <w:r w:rsidR="005505F9">
              <w:rPr>
                <w:webHidden/>
              </w:rPr>
            </w:r>
            <w:r w:rsidR="005505F9">
              <w:rPr>
                <w:webHidden/>
              </w:rPr>
              <w:fldChar w:fldCharType="separate"/>
            </w:r>
            <w:r w:rsidR="005505F9">
              <w:rPr>
                <w:webHidden/>
              </w:rPr>
              <w:t>25</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95" w:history="1">
            <w:r w:rsidR="005505F9" w:rsidRPr="00860C01">
              <w:rPr>
                <w:rStyle w:val="Hyperlink"/>
              </w:rPr>
              <w:t>3.1</w:t>
            </w:r>
            <w:r w:rsidR="005505F9">
              <w:rPr>
                <w:rFonts w:asciiTheme="minorHAnsi" w:eastAsiaTheme="minorEastAsia" w:hAnsiTheme="minorHAnsi"/>
                <w:b w:val="0"/>
                <w:color w:val="auto"/>
                <w:sz w:val="22"/>
                <w:lang w:eastAsia="en-AU"/>
              </w:rPr>
              <w:tab/>
            </w:r>
            <w:r w:rsidR="005505F9" w:rsidRPr="00860C01">
              <w:rPr>
                <w:rStyle w:val="Hyperlink"/>
              </w:rPr>
              <w:t>Regulatory asset base</w:t>
            </w:r>
            <w:r w:rsidR="005505F9">
              <w:rPr>
                <w:webHidden/>
              </w:rPr>
              <w:tab/>
            </w:r>
            <w:r w:rsidR="005505F9">
              <w:rPr>
                <w:webHidden/>
              </w:rPr>
              <w:fldChar w:fldCharType="begin"/>
            </w:r>
            <w:r w:rsidR="005505F9">
              <w:rPr>
                <w:webHidden/>
              </w:rPr>
              <w:instrText xml:space="preserve"> PAGEREF _Toc433786795 \h </w:instrText>
            </w:r>
            <w:r w:rsidR="005505F9">
              <w:rPr>
                <w:webHidden/>
              </w:rPr>
            </w:r>
            <w:r w:rsidR="005505F9">
              <w:rPr>
                <w:webHidden/>
              </w:rPr>
              <w:fldChar w:fldCharType="separate"/>
            </w:r>
            <w:r w:rsidR="005505F9">
              <w:rPr>
                <w:webHidden/>
              </w:rPr>
              <w:t>26</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796" w:history="1">
            <w:r w:rsidR="005505F9" w:rsidRPr="00860C01">
              <w:rPr>
                <w:rStyle w:val="Hyperlink"/>
              </w:rPr>
              <w:t>3.2</w:t>
            </w:r>
            <w:r w:rsidR="005505F9">
              <w:rPr>
                <w:rFonts w:asciiTheme="minorHAnsi" w:eastAsiaTheme="minorEastAsia" w:hAnsiTheme="minorHAnsi"/>
                <w:b w:val="0"/>
                <w:color w:val="auto"/>
                <w:sz w:val="22"/>
                <w:lang w:eastAsia="en-AU"/>
              </w:rPr>
              <w:tab/>
            </w:r>
            <w:r w:rsidR="005505F9" w:rsidRPr="00860C01">
              <w:rPr>
                <w:rStyle w:val="Hyperlink"/>
              </w:rPr>
              <w:t>Rate of return (return on capital)</w:t>
            </w:r>
            <w:r w:rsidR="005505F9">
              <w:rPr>
                <w:webHidden/>
              </w:rPr>
              <w:tab/>
            </w:r>
            <w:r w:rsidR="005505F9">
              <w:rPr>
                <w:webHidden/>
              </w:rPr>
              <w:fldChar w:fldCharType="begin"/>
            </w:r>
            <w:r w:rsidR="005505F9">
              <w:rPr>
                <w:webHidden/>
              </w:rPr>
              <w:instrText xml:space="preserve"> PAGEREF _Toc433786796 \h </w:instrText>
            </w:r>
            <w:r w:rsidR="005505F9">
              <w:rPr>
                <w:webHidden/>
              </w:rPr>
            </w:r>
            <w:r w:rsidR="005505F9">
              <w:rPr>
                <w:webHidden/>
              </w:rPr>
              <w:fldChar w:fldCharType="separate"/>
            </w:r>
            <w:r w:rsidR="005505F9">
              <w:rPr>
                <w:webHidden/>
              </w:rPr>
              <w:t>28</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97" w:history="1">
            <w:r w:rsidR="005505F9" w:rsidRPr="00860C01">
              <w:rPr>
                <w:rStyle w:val="Hyperlink"/>
              </w:rPr>
              <w:t>Our approach</w:t>
            </w:r>
            <w:r w:rsidR="005505F9">
              <w:rPr>
                <w:webHidden/>
              </w:rPr>
              <w:tab/>
            </w:r>
            <w:r w:rsidR="005505F9">
              <w:rPr>
                <w:webHidden/>
              </w:rPr>
              <w:fldChar w:fldCharType="begin"/>
            </w:r>
            <w:r w:rsidR="005505F9">
              <w:rPr>
                <w:webHidden/>
              </w:rPr>
              <w:instrText xml:space="preserve"> PAGEREF _Toc433786797 \h </w:instrText>
            </w:r>
            <w:r w:rsidR="005505F9">
              <w:rPr>
                <w:webHidden/>
              </w:rPr>
            </w:r>
            <w:r w:rsidR="005505F9">
              <w:rPr>
                <w:webHidden/>
              </w:rPr>
              <w:fldChar w:fldCharType="separate"/>
            </w:r>
            <w:r w:rsidR="005505F9">
              <w:rPr>
                <w:webHidden/>
              </w:rPr>
              <w:t>29</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98" w:history="1">
            <w:r w:rsidR="005505F9" w:rsidRPr="00860C01">
              <w:rPr>
                <w:rStyle w:val="Hyperlink"/>
              </w:rPr>
              <w:t>Return on debt</w:t>
            </w:r>
            <w:r w:rsidR="005505F9">
              <w:rPr>
                <w:webHidden/>
              </w:rPr>
              <w:tab/>
            </w:r>
            <w:r w:rsidR="005505F9">
              <w:rPr>
                <w:webHidden/>
              </w:rPr>
              <w:fldChar w:fldCharType="begin"/>
            </w:r>
            <w:r w:rsidR="005505F9">
              <w:rPr>
                <w:webHidden/>
              </w:rPr>
              <w:instrText xml:space="preserve"> PAGEREF _Toc433786798 \h </w:instrText>
            </w:r>
            <w:r w:rsidR="005505F9">
              <w:rPr>
                <w:webHidden/>
              </w:rPr>
            </w:r>
            <w:r w:rsidR="005505F9">
              <w:rPr>
                <w:webHidden/>
              </w:rPr>
              <w:fldChar w:fldCharType="separate"/>
            </w:r>
            <w:r w:rsidR="005505F9">
              <w:rPr>
                <w:webHidden/>
              </w:rPr>
              <w:t>30</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799" w:history="1">
            <w:r w:rsidR="005505F9" w:rsidRPr="00860C01">
              <w:rPr>
                <w:rStyle w:val="Hyperlink"/>
              </w:rPr>
              <w:t>Return on equity</w:t>
            </w:r>
            <w:r w:rsidR="005505F9">
              <w:rPr>
                <w:webHidden/>
              </w:rPr>
              <w:tab/>
            </w:r>
            <w:r w:rsidR="005505F9">
              <w:rPr>
                <w:webHidden/>
              </w:rPr>
              <w:fldChar w:fldCharType="begin"/>
            </w:r>
            <w:r w:rsidR="005505F9">
              <w:rPr>
                <w:webHidden/>
              </w:rPr>
              <w:instrText xml:space="preserve"> PAGEREF _Toc433786799 \h </w:instrText>
            </w:r>
            <w:r w:rsidR="005505F9">
              <w:rPr>
                <w:webHidden/>
              </w:rPr>
            </w:r>
            <w:r w:rsidR="005505F9">
              <w:rPr>
                <w:webHidden/>
              </w:rPr>
              <w:fldChar w:fldCharType="separate"/>
            </w:r>
            <w:r w:rsidR="005505F9">
              <w:rPr>
                <w:webHidden/>
              </w:rPr>
              <w:t>30</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0" w:history="1">
            <w:r w:rsidR="005505F9" w:rsidRPr="00860C01">
              <w:rPr>
                <w:rStyle w:val="Hyperlink"/>
              </w:rPr>
              <w:t>3.3</w:t>
            </w:r>
            <w:r w:rsidR="005505F9">
              <w:rPr>
                <w:rFonts w:asciiTheme="minorHAnsi" w:eastAsiaTheme="minorEastAsia" w:hAnsiTheme="minorHAnsi"/>
                <w:b w:val="0"/>
                <w:color w:val="auto"/>
                <w:sz w:val="22"/>
                <w:lang w:eastAsia="en-AU"/>
              </w:rPr>
              <w:tab/>
            </w:r>
            <w:r w:rsidR="005505F9" w:rsidRPr="00860C01">
              <w:rPr>
                <w:rStyle w:val="Hyperlink"/>
              </w:rPr>
              <w:t>Value of imputation credits (gamma)</w:t>
            </w:r>
            <w:r w:rsidR="005505F9">
              <w:rPr>
                <w:webHidden/>
              </w:rPr>
              <w:tab/>
            </w:r>
            <w:r w:rsidR="005505F9">
              <w:rPr>
                <w:webHidden/>
              </w:rPr>
              <w:fldChar w:fldCharType="begin"/>
            </w:r>
            <w:r w:rsidR="005505F9">
              <w:rPr>
                <w:webHidden/>
              </w:rPr>
              <w:instrText xml:space="preserve"> PAGEREF _Toc433786800 \h </w:instrText>
            </w:r>
            <w:r w:rsidR="005505F9">
              <w:rPr>
                <w:webHidden/>
              </w:rPr>
            </w:r>
            <w:r w:rsidR="005505F9">
              <w:rPr>
                <w:webHidden/>
              </w:rPr>
              <w:fldChar w:fldCharType="separate"/>
            </w:r>
            <w:r w:rsidR="005505F9">
              <w:rPr>
                <w:webHidden/>
              </w:rPr>
              <w:t>32</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1" w:history="1">
            <w:r w:rsidR="005505F9" w:rsidRPr="00860C01">
              <w:rPr>
                <w:rStyle w:val="Hyperlink"/>
              </w:rPr>
              <w:t>3.4</w:t>
            </w:r>
            <w:r w:rsidR="005505F9">
              <w:rPr>
                <w:rFonts w:asciiTheme="minorHAnsi" w:eastAsiaTheme="minorEastAsia" w:hAnsiTheme="minorHAnsi"/>
                <w:b w:val="0"/>
                <w:color w:val="auto"/>
                <w:sz w:val="22"/>
                <w:lang w:eastAsia="en-AU"/>
              </w:rPr>
              <w:tab/>
            </w:r>
            <w:r w:rsidR="005505F9" w:rsidRPr="00860C01">
              <w:rPr>
                <w:rStyle w:val="Hyperlink"/>
              </w:rPr>
              <w:t>Regulatory depreciation (return of capital)</w:t>
            </w:r>
            <w:r w:rsidR="005505F9">
              <w:rPr>
                <w:webHidden/>
              </w:rPr>
              <w:tab/>
            </w:r>
            <w:r w:rsidR="005505F9">
              <w:rPr>
                <w:webHidden/>
              </w:rPr>
              <w:fldChar w:fldCharType="begin"/>
            </w:r>
            <w:r w:rsidR="005505F9">
              <w:rPr>
                <w:webHidden/>
              </w:rPr>
              <w:instrText xml:space="preserve"> PAGEREF _Toc433786801 \h </w:instrText>
            </w:r>
            <w:r w:rsidR="005505F9">
              <w:rPr>
                <w:webHidden/>
              </w:rPr>
            </w:r>
            <w:r w:rsidR="005505F9">
              <w:rPr>
                <w:webHidden/>
              </w:rPr>
              <w:fldChar w:fldCharType="separate"/>
            </w:r>
            <w:r w:rsidR="005505F9">
              <w:rPr>
                <w:webHidden/>
              </w:rPr>
              <w:t>34</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2" w:history="1">
            <w:r w:rsidR="005505F9" w:rsidRPr="00860C01">
              <w:rPr>
                <w:rStyle w:val="Hyperlink"/>
              </w:rPr>
              <w:t>3.5</w:t>
            </w:r>
            <w:r w:rsidR="005505F9">
              <w:rPr>
                <w:rFonts w:asciiTheme="minorHAnsi" w:eastAsiaTheme="minorEastAsia" w:hAnsiTheme="minorHAnsi"/>
                <w:b w:val="0"/>
                <w:color w:val="auto"/>
                <w:sz w:val="22"/>
                <w:lang w:eastAsia="en-AU"/>
              </w:rPr>
              <w:tab/>
            </w:r>
            <w:r w:rsidR="005505F9" w:rsidRPr="00860C01">
              <w:rPr>
                <w:rStyle w:val="Hyperlink"/>
              </w:rPr>
              <w:t>Capital expenditure</w:t>
            </w:r>
            <w:r w:rsidR="005505F9">
              <w:rPr>
                <w:webHidden/>
              </w:rPr>
              <w:tab/>
            </w:r>
            <w:r w:rsidR="005505F9">
              <w:rPr>
                <w:webHidden/>
              </w:rPr>
              <w:fldChar w:fldCharType="begin"/>
            </w:r>
            <w:r w:rsidR="005505F9">
              <w:rPr>
                <w:webHidden/>
              </w:rPr>
              <w:instrText xml:space="preserve"> PAGEREF _Toc433786802 \h </w:instrText>
            </w:r>
            <w:r w:rsidR="005505F9">
              <w:rPr>
                <w:webHidden/>
              </w:rPr>
            </w:r>
            <w:r w:rsidR="005505F9">
              <w:rPr>
                <w:webHidden/>
              </w:rPr>
              <w:fldChar w:fldCharType="separate"/>
            </w:r>
            <w:r w:rsidR="005505F9">
              <w:rPr>
                <w:webHidden/>
              </w:rPr>
              <w:t>35</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3" w:history="1">
            <w:r w:rsidR="005505F9" w:rsidRPr="00860C01">
              <w:rPr>
                <w:rStyle w:val="Hyperlink"/>
              </w:rPr>
              <w:t>3.6</w:t>
            </w:r>
            <w:r w:rsidR="005505F9">
              <w:rPr>
                <w:rFonts w:asciiTheme="minorHAnsi" w:eastAsiaTheme="minorEastAsia" w:hAnsiTheme="minorHAnsi"/>
                <w:b w:val="0"/>
                <w:color w:val="auto"/>
                <w:sz w:val="22"/>
                <w:lang w:eastAsia="en-AU"/>
              </w:rPr>
              <w:tab/>
            </w:r>
            <w:r w:rsidR="005505F9" w:rsidRPr="00860C01">
              <w:rPr>
                <w:rStyle w:val="Hyperlink"/>
              </w:rPr>
              <w:t>Operating expenditure</w:t>
            </w:r>
            <w:r w:rsidR="005505F9">
              <w:rPr>
                <w:webHidden/>
              </w:rPr>
              <w:tab/>
            </w:r>
            <w:r w:rsidR="005505F9">
              <w:rPr>
                <w:webHidden/>
              </w:rPr>
              <w:fldChar w:fldCharType="begin"/>
            </w:r>
            <w:r w:rsidR="005505F9">
              <w:rPr>
                <w:webHidden/>
              </w:rPr>
              <w:instrText xml:space="preserve"> PAGEREF _Toc433786803 \h </w:instrText>
            </w:r>
            <w:r w:rsidR="005505F9">
              <w:rPr>
                <w:webHidden/>
              </w:rPr>
            </w:r>
            <w:r w:rsidR="005505F9">
              <w:rPr>
                <w:webHidden/>
              </w:rPr>
              <w:fldChar w:fldCharType="separate"/>
            </w:r>
            <w:r w:rsidR="005505F9">
              <w:rPr>
                <w:webHidden/>
              </w:rPr>
              <w:t>37</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04" w:history="1">
            <w:r w:rsidR="005505F9" w:rsidRPr="00860C01">
              <w:rPr>
                <w:rStyle w:val="Hyperlink"/>
              </w:rPr>
              <w:t>3.6.1</w:t>
            </w:r>
            <w:r w:rsidR="005505F9">
              <w:rPr>
                <w:rFonts w:asciiTheme="minorHAnsi" w:eastAsiaTheme="minorEastAsia" w:hAnsiTheme="minorHAnsi"/>
                <w:lang w:eastAsia="en-AU"/>
              </w:rPr>
              <w:tab/>
            </w:r>
            <w:r w:rsidR="005505F9" w:rsidRPr="00860C01">
              <w:rPr>
                <w:rStyle w:val="Hyperlink"/>
              </w:rPr>
              <w:t>Rate of change</w:t>
            </w:r>
            <w:r w:rsidR="005505F9">
              <w:rPr>
                <w:webHidden/>
              </w:rPr>
              <w:tab/>
            </w:r>
            <w:r w:rsidR="005505F9">
              <w:rPr>
                <w:webHidden/>
              </w:rPr>
              <w:fldChar w:fldCharType="begin"/>
            </w:r>
            <w:r w:rsidR="005505F9">
              <w:rPr>
                <w:webHidden/>
              </w:rPr>
              <w:instrText xml:space="preserve"> PAGEREF _Toc433786804 \h </w:instrText>
            </w:r>
            <w:r w:rsidR="005505F9">
              <w:rPr>
                <w:webHidden/>
              </w:rPr>
            </w:r>
            <w:r w:rsidR="005505F9">
              <w:rPr>
                <w:webHidden/>
              </w:rPr>
              <w:fldChar w:fldCharType="separate"/>
            </w:r>
            <w:r w:rsidR="005505F9">
              <w:rPr>
                <w:webHidden/>
              </w:rPr>
              <w:t>39</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05" w:history="1">
            <w:r w:rsidR="005505F9" w:rsidRPr="00860C01">
              <w:rPr>
                <w:rStyle w:val="Hyperlink"/>
              </w:rPr>
              <w:t>3.6.2</w:t>
            </w:r>
            <w:r w:rsidR="005505F9">
              <w:rPr>
                <w:rFonts w:asciiTheme="minorHAnsi" w:eastAsiaTheme="minorEastAsia" w:hAnsiTheme="minorHAnsi"/>
                <w:lang w:eastAsia="en-AU"/>
              </w:rPr>
              <w:tab/>
            </w:r>
            <w:r w:rsidR="005505F9" w:rsidRPr="00860C01">
              <w:rPr>
                <w:rStyle w:val="Hyperlink"/>
              </w:rPr>
              <w:t>Advanced metering infrastructure</w:t>
            </w:r>
            <w:r w:rsidR="005505F9">
              <w:rPr>
                <w:webHidden/>
              </w:rPr>
              <w:tab/>
            </w:r>
            <w:r w:rsidR="005505F9">
              <w:rPr>
                <w:webHidden/>
              </w:rPr>
              <w:fldChar w:fldCharType="begin"/>
            </w:r>
            <w:r w:rsidR="005505F9">
              <w:rPr>
                <w:webHidden/>
              </w:rPr>
              <w:instrText xml:space="preserve"> PAGEREF _Toc433786805 \h </w:instrText>
            </w:r>
            <w:r w:rsidR="005505F9">
              <w:rPr>
                <w:webHidden/>
              </w:rPr>
            </w:r>
            <w:r w:rsidR="005505F9">
              <w:rPr>
                <w:webHidden/>
              </w:rPr>
              <w:fldChar w:fldCharType="separate"/>
            </w:r>
            <w:r w:rsidR="005505F9">
              <w:rPr>
                <w:webHidden/>
              </w:rPr>
              <w:t>39</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6" w:history="1">
            <w:r w:rsidR="005505F9" w:rsidRPr="00860C01">
              <w:rPr>
                <w:rStyle w:val="Hyperlink"/>
              </w:rPr>
              <w:t>3.7</w:t>
            </w:r>
            <w:r w:rsidR="005505F9">
              <w:rPr>
                <w:rFonts w:asciiTheme="minorHAnsi" w:eastAsiaTheme="minorEastAsia" w:hAnsiTheme="minorHAnsi"/>
                <w:b w:val="0"/>
                <w:color w:val="auto"/>
                <w:sz w:val="22"/>
                <w:lang w:eastAsia="en-AU"/>
              </w:rPr>
              <w:tab/>
            </w:r>
            <w:r w:rsidR="005505F9" w:rsidRPr="00860C01">
              <w:rPr>
                <w:rStyle w:val="Hyperlink"/>
              </w:rPr>
              <w:t>Corporate income tax</w:t>
            </w:r>
            <w:r w:rsidR="005505F9">
              <w:rPr>
                <w:webHidden/>
              </w:rPr>
              <w:tab/>
            </w:r>
            <w:r w:rsidR="005505F9">
              <w:rPr>
                <w:webHidden/>
              </w:rPr>
              <w:fldChar w:fldCharType="begin"/>
            </w:r>
            <w:r w:rsidR="005505F9">
              <w:rPr>
                <w:webHidden/>
              </w:rPr>
              <w:instrText xml:space="preserve"> PAGEREF _Toc433786806 \h </w:instrText>
            </w:r>
            <w:r w:rsidR="005505F9">
              <w:rPr>
                <w:webHidden/>
              </w:rPr>
            </w:r>
            <w:r w:rsidR="005505F9">
              <w:rPr>
                <w:webHidden/>
              </w:rPr>
              <w:fldChar w:fldCharType="separate"/>
            </w:r>
            <w:r w:rsidR="005505F9">
              <w:rPr>
                <w:webHidden/>
              </w:rPr>
              <w:t>39</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807" w:history="1">
            <w:r w:rsidR="005505F9" w:rsidRPr="00860C01">
              <w:rPr>
                <w:rStyle w:val="Hyperlink"/>
              </w:rPr>
              <w:t>4</w:t>
            </w:r>
            <w:r w:rsidR="005505F9">
              <w:rPr>
                <w:rFonts w:asciiTheme="minorHAnsi" w:eastAsiaTheme="minorEastAsia" w:hAnsiTheme="minorHAnsi"/>
                <w:b w:val="0"/>
                <w:color w:val="auto"/>
                <w:sz w:val="22"/>
                <w:lang w:val="en-AU" w:eastAsia="en-AU"/>
              </w:rPr>
              <w:tab/>
            </w:r>
            <w:r w:rsidR="005505F9" w:rsidRPr="00860C01">
              <w:rPr>
                <w:rStyle w:val="Hyperlink"/>
              </w:rPr>
              <w:t>Service classification, control mechanisms and incentive schemes</w:t>
            </w:r>
            <w:r w:rsidR="005505F9">
              <w:rPr>
                <w:webHidden/>
              </w:rPr>
              <w:tab/>
            </w:r>
            <w:r w:rsidR="005505F9">
              <w:rPr>
                <w:webHidden/>
              </w:rPr>
              <w:fldChar w:fldCharType="begin"/>
            </w:r>
            <w:r w:rsidR="005505F9">
              <w:rPr>
                <w:webHidden/>
              </w:rPr>
              <w:instrText xml:space="preserve"> PAGEREF _Toc433786807 \h </w:instrText>
            </w:r>
            <w:r w:rsidR="005505F9">
              <w:rPr>
                <w:webHidden/>
              </w:rPr>
            </w:r>
            <w:r w:rsidR="005505F9">
              <w:rPr>
                <w:webHidden/>
              </w:rPr>
              <w:fldChar w:fldCharType="separate"/>
            </w:r>
            <w:r w:rsidR="005505F9">
              <w:rPr>
                <w:webHidden/>
              </w:rPr>
              <w:t>41</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8" w:history="1">
            <w:r w:rsidR="005505F9" w:rsidRPr="00860C01">
              <w:rPr>
                <w:rStyle w:val="Hyperlink"/>
              </w:rPr>
              <w:t>4.1</w:t>
            </w:r>
            <w:r w:rsidR="005505F9">
              <w:rPr>
                <w:rFonts w:asciiTheme="minorHAnsi" w:eastAsiaTheme="minorEastAsia" w:hAnsiTheme="minorHAnsi"/>
                <w:b w:val="0"/>
                <w:color w:val="auto"/>
                <w:sz w:val="22"/>
                <w:lang w:eastAsia="en-AU"/>
              </w:rPr>
              <w:tab/>
            </w:r>
            <w:r w:rsidR="005505F9" w:rsidRPr="00860C01">
              <w:rPr>
                <w:rStyle w:val="Hyperlink"/>
              </w:rPr>
              <w:t>Classification of services and control mechanisms</w:t>
            </w:r>
            <w:r w:rsidR="005505F9">
              <w:rPr>
                <w:webHidden/>
              </w:rPr>
              <w:tab/>
            </w:r>
            <w:r w:rsidR="005505F9">
              <w:rPr>
                <w:webHidden/>
              </w:rPr>
              <w:fldChar w:fldCharType="begin"/>
            </w:r>
            <w:r w:rsidR="005505F9">
              <w:rPr>
                <w:webHidden/>
              </w:rPr>
              <w:instrText xml:space="preserve"> PAGEREF _Toc433786808 \h </w:instrText>
            </w:r>
            <w:r w:rsidR="005505F9">
              <w:rPr>
                <w:webHidden/>
              </w:rPr>
            </w:r>
            <w:r w:rsidR="005505F9">
              <w:rPr>
                <w:webHidden/>
              </w:rPr>
              <w:fldChar w:fldCharType="separate"/>
            </w:r>
            <w:r w:rsidR="005505F9">
              <w:rPr>
                <w:webHidden/>
              </w:rPr>
              <w:t>41</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09" w:history="1">
            <w:r w:rsidR="005505F9" w:rsidRPr="00860C01">
              <w:rPr>
                <w:rStyle w:val="Hyperlink"/>
              </w:rPr>
              <w:t>4.2</w:t>
            </w:r>
            <w:r w:rsidR="005505F9">
              <w:rPr>
                <w:rFonts w:asciiTheme="minorHAnsi" w:eastAsiaTheme="minorEastAsia" w:hAnsiTheme="minorHAnsi"/>
                <w:b w:val="0"/>
                <w:color w:val="auto"/>
                <w:sz w:val="22"/>
                <w:lang w:eastAsia="en-AU"/>
              </w:rPr>
              <w:tab/>
            </w:r>
            <w:r w:rsidR="005505F9" w:rsidRPr="00860C01">
              <w:rPr>
                <w:rStyle w:val="Hyperlink"/>
              </w:rPr>
              <w:t>Alternative control services</w:t>
            </w:r>
            <w:r w:rsidR="005505F9">
              <w:rPr>
                <w:webHidden/>
              </w:rPr>
              <w:tab/>
            </w:r>
            <w:r w:rsidR="005505F9">
              <w:rPr>
                <w:webHidden/>
              </w:rPr>
              <w:fldChar w:fldCharType="begin"/>
            </w:r>
            <w:r w:rsidR="005505F9">
              <w:rPr>
                <w:webHidden/>
              </w:rPr>
              <w:instrText xml:space="preserve"> PAGEREF _Toc433786809 \h </w:instrText>
            </w:r>
            <w:r w:rsidR="005505F9">
              <w:rPr>
                <w:webHidden/>
              </w:rPr>
            </w:r>
            <w:r w:rsidR="005505F9">
              <w:rPr>
                <w:webHidden/>
              </w:rPr>
              <w:fldChar w:fldCharType="separate"/>
            </w:r>
            <w:r w:rsidR="005505F9">
              <w:rPr>
                <w:webHidden/>
              </w:rPr>
              <w:t>42</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10" w:history="1">
            <w:r w:rsidR="005505F9" w:rsidRPr="00860C01">
              <w:rPr>
                <w:rStyle w:val="Hyperlink"/>
              </w:rPr>
              <w:t>4.3</w:t>
            </w:r>
            <w:r w:rsidR="005505F9">
              <w:rPr>
                <w:rFonts w:asciiTheme="minorHAnsi" w:eastAsiaTheme="minorEastAsia" w:hAnsiTheme="minorHAnsi"/>
                <w:b w:val="0"/>
                <w:color w:val="auto"/>
                <w:sz w:val="22"/>
                <w:lang w:eastAsia="en-AU"/>
              </w:rPr>
              <w:tab/>
            </w:r>
            <w:r w:rsidR="005505F9" w:rsidRPr="00860C01">
              <w:rPr>
                <w:rStyle w:val="Hyperlink"/>
              </w:rPr>
              <w:t>Incentive schemes</w:t>
            </w:r>
            <w:r w:rsidR="005505F9">
              <w:rPr>
                <w:webHidden/>
              </w:rPr>
              <w:tab/>
            </w:r>
            <w:r w:rsidR="005505F9">
              <w:rPr>
                <w:webHidden/>
              </w:rPr>
              <w:fldChar w:fldCharType="begin"/>
            </w:r>
            <w:r w:rsidR="005505F9">
              <w:rPr>
                <w:webHidden/>
              </w:rPr>
              <w:instrText xml:space="preserve"> PAGEREF _Toc433786810 \h </w:instrText>
            </w:r>
            <w:r w:rsidR="005505F9">
              <w:rPr>
                <w:webHidden/>
              </w:rPr>
            </w:r>
            <w:r w:rsidR="005505F9">
              <w:rPr>
                <w:webHidden/>
              </w:rPr>
              <w:fldChar w:fldCharType="separate"/>
            </w:r>
            <w:r w:rsidR="005505F9">
              <w:rPr>
                <w:webHidden/>
              </w:rPr>
              <w:t>43</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11" w:history="1">
            <w:r w:rsidR="005505F9" w:rsidRPr="00860C01">
              <w:rPr>
                <w:rStyle w:val="Hyperlink"/>
              </w:rPr>
              <w:t>4.3.1</w:t>
            </w:r>
            <w:r w:rsidR="005505F9">
              <w:rPr>
                <w:rFonts w:asciiTheme="minorHAnsi" w:eastAsiaTheme="minorEastAsia" w:hAnsiTheme="minorHAnsi"/>
                <w:lang w:eastAsia="en-AU"/>
              </w:rPr>
              <w:tab/>
            </w:r>
            <w:r w:rsidR="005505F9" w:rsidRPr="00860C01">
              <w:rPr>
                <w:rStyle w:val="Hyperlink"/>
              </w:rPr>
              <w:t>Efficiency benefit sharing scheme</w:t>
            </w:r>
            <w:r w:rsidR="005505F9">
              <w:rPr>
                <w:webHidden/>
              </w:rPr>
              <w:tab/>
            </w:r>
            <w:r w:rsidR="005505F9">
              <w:rPr>
                <w:webHidden/>
              </w:rPr>
              <w:fldChar w:fldCharType="begin"/>
            </w:r>
            <w:r w:rsidR="005505F9">
              <w:rPr>
                <w:webHidden/>
              </w:rPr>
              <w:instrText xml:space="preserve"> PAGEREF _Toc433786811 \h </w:instrText>
            </w:r>
            <w:r w:rsidR="005505F9">
              <w:rPr>
                <w:webHidden/>
              </w:rPr>
            </w:r>
            <w:r w:rsidR="005505F9">
              <w:rPr>
                <w:webHidden/>
              </w:rPr>
              <w:fldChar w:fldCharType="separate"/>
            </w:r>
            <w:r w:rsidR="005505F9">
              <w:rPr>
                <w:webHidden/>
              </w:rPr>
              <w:t>43</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12" w:history="1">
            <w:r w:rsidR="005505F9" w:rsidRPr="00860C01">
              <w:rPr>
                <w:rStyle w:val="Hyperlink"/>
              </w:rPr>
              <w:t>4.3.2</w:t>
            </w:r>
            <w:r w:rsidR="005505F9">
              <w:rPr>
                <w:rFonts w:asciiTheme="minorHAnsi" w:eastAsiaTheme="minorEastAsia" w:hAnsiTheme="minorHAnsi"/>
                <w:lang w:eastAsia="en-AU"/>
              </w:rPr>
              <w:tab/>
            </w:r>
            <w:r w:rsidR="005505F9" w:rsidRPr="00860C01">
              <w:rPr>
                <w:rStyle w:val="Hyperlink"/>
              </w:rPr>
              <w:t>Capital expenditure sharing scheme</w:t>
            </w:r>
            <w:r w:rsidR="005505F9">
              <w:rPr>
                <w:webHidden/>
              </w:rPr>
              <w:tab/>
            </w:r>
            <w:r w:rsidR="005505F9">
              <w:rPr>
                <w:webHidden/>
              </w:rPr>
              <w:fldChar w:fldCharType="begin"/>
            </w:r>
            <w:r w:rsidR="005505F9">
              <w:rPr>
                <w:webHidden/>
              </w:rPr>
              <w:instrText xml:space="preserve"> PAGEREF _Toc433786812 \h </w:instrText>
            </w:r>
            <w:r w:rsidR="005505F9">
              <w:rPr>
                <w:webHidden/>
              </w:rPr>
            </w:r>
            <w:r w:rsidR="005505F9">
              <w:rPr>
                <w:webHidden/>
              </w:rPr>
              <w:fldChar w:fldCharType="separate"/>
            </w:r>
            <w:r w:rsidR="005505F9">
              <w:rPr>
                <w:webHidden/>
              </w:rPr>
              <w:t>44</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13" w:history="1">
            <w:r w:rsidR="005505F9" w:rsidRPr="00860C01">
              <w:rPr>
                <w:rStyle w:val="Hyperlink"/>
              </w:rPr>
              <w:t>4.3.3</w:t>
            </w:r>
            <w:r w:rsidR="005505F9">
              <w:rPr>
                <w:rFonts w:asciiTheme="minorHAnsi" w:eastAsiaTheme="minorEastAsia" w:hAnsiTheme="minorHAnsi"/>
                <w:lang w:eastAsia="en-AU"/>
              </w:rPr>
              <w:tab/>
            </w:r>
            <w:r w:rsidR="005505F9" w:rsidRPr="00860C01">
              <w:rPr>
                <w:rStyle w:val="Hyperlink"/>
              </w:rPr>
              <w:t>Service target performance incentive scheme (STPIS)</w:t>
            </w:r>
            <w:r w:rsidR="005505F9">
              <w:rPr>
                <w:webHidden/>
              </w:rPr>
              <w:tab/>
            </w:r>
            <w:r w:rsidR="005505F9">
              <w:rPr>
                <w:webHidden/>
              </w:rPr>
              <w:fldChar w:fldCharType="begin"/>
            </w:r>
            <w:r w:rsidR="005505F9">
              <w:rPr>
                <w:webHidden/>
              </w:rPr>
              <w:instrText xml:space="preserve"> PAGEREF _Toc433786813 \h </w:instrText>
            </w:r>
            <w:r w:rsidR="005505F9">
              <w:rPr>
                <w:webHidden/>
              </w:rPr>
            </w:r>
            <w:r w:rsidR="005505F9">
              <w:rPr>
                <w:webHidden/>
              </w:rPr>
              <w:fldChar w:fldCharType="separate"/>
            </w:r>
            <w:r w:rsidR="005505F9">
              <w:rPr>
                <w:webHidden/>
              </w:rPr>
              <w:t>45</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14" w:history="1">
            <w:r w:rsidR="005505F9" w:rsidRPr="00860C01">
              <w:rPr>
                <w:rStyle w:val="Hyperlink"/>
              </w:rPr>
              <w:t>4.3.4</w:t>
            </w:r>
            <w:r w:rsidR="005505F9">
              <w:rPr>
                <w:rFonts w:asciiTheme="minorHAnsi" w:eastAsiaTheme="minorEastAsia" w:hAnsiTheme="minorHAnsi"/>
                <w:lang w:eastAsia="en-AU"/>
              </w:rPr>
              <w:tab/>
            </w:r>
            <w:r w:rsidR="005505F9" w:rsidRPr="00860C01">
              <w:rPr>
                <w:rStyle w:val="Hyperlink"/>
              </w:rPr>
              <w:t>Demand management incentive scheme</w:t>
            </w:r>
            <w:r w:rsidR="005505F9">
              <w:rPr>
                <w:webHidden/>
              </w:rPr>
              <w:tab/>
            </w:r>
            <w:r w:rsidR="005505F9">
              <w:rPr>
                <w:webHidden/>
              </w:rPr>
              <w:fldChar w:fldCharType="begin"/>
            </w:r>
            <w:r w:rsidR="005505F9">
              <w:rPr>
                <w:webHidden/>
              </w:rPr>
              <w:instrText xml:space="preserve"> PAGEREF _Toc433786814 \h </w:instrText>
            </w:r>
            <w:r w:rsidR="005505F9">
              <w:rPr>
                <w:webHidden/>
              </w:rPr>
            </w:r>
            <w:r w:rsidR="005505F9">
              <w:rPr>
                <w:webHidden/>
              </w:rPr>
              <w:fldChar w:fldCharType="separate"/>
            </w:r>
            <w:r w:rsidR="005505F9">
              <w:rPr>
                <w:webHidden/>
              </w:rPr>
              <w:t>46</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15" w:history="1">
            <w:r w:rsidR="005505F9" w:rsidRPr="00860C01">
              <w:rPr>
                <w:rStyle w:val="Hyperlink"/>
              </w:rPr>
              <w:t>4.3.5</w:t>
            </w:r>
            <w:r w:rsidR="005505F9">
              <w:rPr>
                <w:rFonts w:asciiTheme="minorHAnsi" w:eastAsiaTheme="minorEastAsia" w:hAnsiTheme="minorHAnsi"/>
                <w:lang w:eastAsia="en-AU"/>
              </w:rPr>
              <w:tab/>
            </w:r>
            <w:r w:rsidR="005505F9" w:rsidRPr="00860C01">
              <w:rPr>
                <w:rStyle w:val="Hyperlink"/>
              </w:rPr>
              <w:t>f-factor scheme</w:t>
            </w:r>
            <w:r w:rsidR="005505F9">
              <w:rPr>
                <w:webHidden/>
              </w:rPr>
              <w:tab/>
            </w:r>
            <w:r w:rsidR="005505F9">
              <w:rPr>
                <w:webHidden/>
              </w:rPr>
              <w:fldChar w:fldCharType="begin"/>
            </w:r>
            <w:r w:rsidR="005505F9">
              <w:rPr>
                <w:webHidden/>
              </w:rPr>
              <w:instrText xml:space="preserve"> PAGEREF _Toc433786815 \h </w:instrText>
            </w:r>
            <w:r w:rsidR="005505F9">
              <w:rPr>
                <w:webHidden/>
              </w:rPr>
            </w:r>
            <w:r w:rsidR="005505F9">
              <w:rPr>
                <w:webHidden/>
              </w:rPr>
              <w:fldChar w:fldCharType="separate"/>
            </w:r>
            <w:r w:rsidR="005505F9">
              <w:rPr>
                <w:webHidden/>
              </w:rPr>
              <w:t>46</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816" w:history="1">
            <w:r w:rsidR="005505F9" w:rsidRPr="00860C01">
              <w:rPr>
                <w:rStyle w:val="Hyperlink"/>
              </w:rPr>
              <w:t>5</w:t>
            </w:r>
            <w:r w:rsidR="005505F9">
              <w:rPr>
                <w:rFonts w:asciiTheme="minorHAnsi" w:eastAsiaTheme="minorEastAsia" w:hAnsiTheme="minorHAnsi"/>
                <w:b w:val="0"/>
                <w:color w:val="auto"/>
                <w:sz w:val="22"/>
                <w:lang w:val="en-AU" w:eastAsia="en-AU"/>
              </w:rPr>
              <w:tab/>
            </w:r>
            <w:r w:rsidR="005505F9" w:rsidRPr="00860C01">
              <w:rPr>
                <w:rStyle w:val="Hyperlink"/>
              </w:rPr>
              <w:t>Understanding the NEO</w:t>
            </w:r>
            <w:r w:rsidR="005505F9">
              <w:rPr>
                <w:webHidden/>
              </w:rPr>
              <w:tab/>
            </w:r>
            <w:r w:rsidR="005505F9">
              <w:rPr>
                <w:webHidden/>
              </w:rPr>
              <w:fldChar w:fldCharType="begin"/>
            </w:r>
            <w:r w:rsidR="005505F9">
              <w:rPr>
                <w:webHidden/>
              </w:rPr>
              <w:instrText xml:space="preserve"> PAGEREF _Toc433786816 \h </w:instrText>
            </w:r>
            <w:r w:rsidR="005505F9">
              <w:rPr>
                <w:webHidden/>
              </w:rPr>
            </w:r>
            <w:r w:rsidR="005505F9">
              <w:rPr>
                <w:webHidden/>
              </w:rPr>
              <w:fldChar w:fldCharType="separate"/>
            </w:r>
            <w:r w:rsidR="005505F9">
              <w:rPr>
                <w:webHidden/>
              </w:rPr>
              <w:t>48</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17" w:history="1">
            <w:r w:rsidR="005505F9" w:rsidRPr="00860C01">
              <w:rPr>
                <w:rStyle w:val="Hyperlink"/>
              </w:rPr>
              <w:t>5.1</w:t>
            </w:r>
            <w:r w:rsidR="005505F9">
              <w:rPr>
                <w:rFonts w:asciiTheme="minorHAnsi" w:eastAsiaTheme="minorEastAsia" w:hAnsiTheme="minorHAnsi"/>
                <w:b w:val="0"/>
                <w:color w:val="auto"/>
                <w:sz w:val="22"/>
                <w:lang w:eastAsia="en-AU"/>
              </w:rPr>
              <w:tab/>
            </w:r>
            <w:r w:rsidR="005505F9" w:rsidRPr="00860C01">
              <w:rPr>
                <w:rStyle w:val="Hyperlink"/>
              </w:rPr>
              <w:t>Achieving the NEO to the greatest degree</w:t>
            </w:r>
            <w:r w:rsidR="005505F9">
              <w:rPr>
                <w:webHidden/>
              </w:rPr>
              <w:tab/>
            </w:r>
            <w:r w:rsidR="005505F9">
              <w:rPr>
                <w:webHidden/>
              </w:rPr>
              <w:fldChar w:fldCharType="begin"/>
            </w:r>
            <w:r w:rsidR="005505F9">
              <w:rPr>
                <w:webHidden/>
              </w:rPr>
              <w:instrText xml:space="preserve"> PAGEREF _Toc433786817 \h </w:instrText>
            </w:r>
            <w:r w:rsidR="005505F9">
              <w:rPr>
                <w:webHidden/>
              </w:rPr>
            </w:r>
            <w:r w:rsidR="005505F9">
              <w:rPr>
                <w:webHidden/>
              </w:rPr>
              <w:fldChar w:fldCharType="separate"/>
            </w:r>
            <w:r w:rsidR="005505F9">
              <w:rPr>
                <w:webHidden/>
              </w:rPr>
              <w:t>51</w:t>
            </w:r>
            <w:r w:rsidR="005505F9">
              <w:rPr>
                <w:webHidden/>
              </w:rPr>
              <w:fldChar w:fldCharType="end"/>
            </w:r>
          </w:hyperlink>
        </w:p>
        <w:p w:rsidR="005505F9" w:rsidRDefault="00451F3C">
          <w:pPr>
            <w:pStyle w:val="TOC3"/>
            <w:rPr>
              <w:rFonts w:asciiTheme="minorHAnsi" w:eastAsiaTheme="minorEastAsia" w:hAnsiTheme="minorHAnsi"/>
              <w:lang w:eastAsia="en-AU"/>
            </w:rPr>
          </w:pPr>
          <w:hyperlink w:anchor="_Toc433786818" w:history="1">
            <w:r w:rsidR="005505F9" w:rsidRPr="00860C01">
              <w:rPr>
                <w:rStyle w:val="Hyperlink"/>
              </w:rPr>
              <w:t>5.1.1</w:t>
            </w:r>
            <w:r w:rsidR="005505F9">
              <w:rPr>
                <w:rFonts w:asciiTheme="minorHAnsi" w:eastAsiaTheme="minorEastAsia" w:hAnsiTheme="minorHAnsi"/>
                <w:lang w:eastAsia="en-AU"/>
              </w:rPr>
              <w:tab/>
            </w:r>
            <w:r w:rsidR="005505F9" w:rsidRPr="00860C01">
              <w:rPr>
                <w:rStyle w:val="Hyperlink"/>
              </w:rPr>
              <w:t>Interrelationships between constituent components</w:t>
            </w:r>
            <w:r w:rsidR="005505F9">
              <w:rPr>
                <w:webHidden/>
              </w:rPr>
              <w:tab/>
            </w:r>
            <w:r w:rsidR="005505F9">
              <w:rPr>
                <w:webHidden/>
              </w:rPr>
              <w:fldChar w:fldCharType="begin"/>
            </w:r>
            <w:r w:rsidR="005505F9">
              <w:rPr>
                <w:webHidden/>
              </w:rPr>
              <w:instrText xml:space="preserve"> PAGEREF _Toc433786818 \h </w:instrText>
            </w:r>
            <w:r w:rsidR="005505F9">
              <w:rPr>
                <w:webHidden/>
              </w:rPr>
            </w:r>
            <w:r w:rsidR="005505F9">
              <w:rPr>
                <w:webHidden/>
              </w:rPr>
              <w:fldChar w:fldCharType="separate"/>
            </w:r>
            <w:r w:rsidR="005505F9">
              <w:rPr>
                <w:webHidden/>
              </w:rPr>
              <w:t>52</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819" w:history="1">
            <w:r w:rsidR="005505F9" w:rsidRPr="00860C01">
              <w:rPr>
                <w:rStyle w:val="Hyperlink"/>
              </w:rPr>
              <w:t>6</w:t>
            </w:r>
            <w:r w:rsidR="005505F9">
              <w:rPr>
                <w:rFonts w:asciiTheme="minorHAnsi" w:eastAsiaTheme="minorEastAsia" w:hAnsiTheme="minorHAnsi"/>
                <w:b w:val="0"/>
                <w:color w:val="auto"/>
                <w:sz w:val="22"/>
                <w:lang w:val="en-AU" w:eastAsia="en-AU"/>
              </w:rPr>
              <w:tab/>
            </w:r>
            <w:r w:rsidR="005505F9" w:rsidRPr="00860C01">
              <w:rPr>
                <w:rStyle w:val="Hyperlink"/>
              </w:rPr>
              <w:t>Consultation</w:t>
            </w:r>
            <w:r w:rsidR="005505F9">
              <w:rPr>
                <w:webHidden/>
              </w:rPr>
              <w:tab/>
            </w:r>
            <w:r w:rsidR="005505F9">
              <w:rPr>
                <w:webHidden/>
              </w:rPr>
              <w:fldChar w:fldCharType="begin"/>
            </w:r>
            <w:r w:rsidR="005505F9">
              <w:rPr>
                <w:webHidden/>
              </w:rPr>
              <w:instrText xml:space="preserve"> PAGEREF _Toc433786819 \h </w:instrText>
            </w:r>
            <w:r w:rsidR="005505F9">
              <w:rPr>
                <w:webHidden/>
              </w:rPr>
            </w:r>
            <w:r w:rsidR="005505F9">
              <w:rPr>
                <w:webHidden/>
              </w:rPr>
              <w:fldChar w:fldCharType="separate"/>
            </w:r>
            <w:r w:rsidR="005505F9">
              <w:rPr>
                <w:webHidden/>
              </w:rPr>
              <w:t>54</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20" w:history="1">
            <w:r w:rsidR="005505F9" w:rsidRPr="00860C01">
              <w:rPr>
                <w:rStyle w:val="Hyperlink"/>
              </w:rPr>
              <w:t>6.1</w:t>
            </w:r>
            <w:r w:rsidR="005505F9">
              <w:rPr>
                <w:rFonts w:asciiTheme="minorHAnsi" w:eastAsiaTheme="minorEastAsia" w:hAnsiTheme="minorHAnsi"/>
                <w:b w:val="0"/>
                <w:color w:val="auto"/>
                <w:sz w:val="22"/>
                <w:lang w:eastAsia="en-AU"/>
              </w:rPr>
              <w:tab/>
            </w:r>
            <w:r w:rsidR="005505F9" w:rsidRPr="00860C01">
              <w:rPr>
                <w:rStyle w:val="Hyperlink"/>
              </w:rPr>
              <w:t>Our consultation process</w:t>
            </w:r>
            <w:r w:rsidR="005505F9">
              <w:rPr>
                <w:webHidden/>
              </w:rPr>
              <w:tab/>
            </w:r>
            <w:r w:rsidR="005505F9">
              <w:rPr>
                <w:webHidden/>
              </w:rPr>
              <w:fldChar w:fldCharType="begin"/>
            </w:r>
            <w:r w:rsidR="005505F9">
              <w:rPr>
                <w:webHidden/>
              </w:rPr>
              <w:instrText xml:space="preserve"> PAGEREF _Toc433786820 \h </w:instrText>
            </w:r>
            <w:r w:rsidR="005505F9">
              <w:rPr>
                <w:webHidden/>
              </w:rPr>
            </w:r>
            <w:r w:rsidR="005505F9">
              <w:rPr>
                <w:webHidden/>
              </w:rPr>
              <w:fldChar w:fldCharType="separate"/>
            </w:r>
            <w:r w:rsidR="005505F9">
              <w:rPr>
                <w:webHidden/>
              </w:rPr>
              <w:t>54</w:t>
            </w:r>
            <w:r w:rsidR="005505F9">
              <w:rPr>
                <w:webHidden/>
              </w:rPr>
              <w:fldChar w:fldCharType="end"/>
            </w:r>
          </w:hyperlink>
        </w:p>
        <w:p w:rsidR="005505F9" w:rsidRDefault="00451F3C">
          <w:pPr>
            <w:pStyle w:val="TOC2"/>
            <w:rPr>
              <w:rFonts w:asciiTheme="minorHAnsi" w:eastAsiaTheme="minorEastAsia" w:hAnsiTheme="minorHAnsi"/>
              <w:b w:val="0"/>
              <w:color w:val="auto"/>
              <w:sz w:val="22"/>
              <w:lang w:eastAsia="en-AU"/>
            </w:rPr>
          </w:pPr>
          <w:hyperlink w:anchor="_Toc433786821" w:history="1">
            <w:r w:rsidR="005505F9" w:rsidRPr="00860C01">
              <w:rPr>
                <w:rStyle w:val="Hyperlink"/>
              </w:rPr>
              <w:t>6.2</w:t>
            </w:r>
            <w:r w:rsidR="005505F9">
              <w:rPr>
                <w:rFonts w:asciiTheme="minorHAnsi" w:eastAsiaTheme="minorEastAsia" w:hAnsiTheme="minorHAnsi"/>
                <w:b w:val="0"/>
                <w:color w:val="auto"/>
                <w:sz w:val="22"/>
                <w:lang w:eastAsia="en-AU"/>
              </w:rPr>
              <w:tab/>
            </w:r>
            <w:r w:rsidR="005505F9" w:rsidRPr="00860C01">
              <w:rPr>
                <w:rStyle w:val="Hyperlink"/>
              </w:rPr>
              <w:t>Consumer engagement</w:t>
            </w:r>
            <w:r w:rsidR="005505F9">
              <w:rPr>
                <w:webHidden/>
              </w:rPr>
              <w:tab/>
            </w:r>
            <w:r w:rsidR="005505F9">
              <w:rPr>
                <w:webHidden/>
              </w:rPr>
              <w:fldChar w:fldCharType="begin"/>
            </w:r>
            <w:r w:rsidR="005505F9">
              <w:rPr>
                <w:webHidden/>
              </w:rPr>
              <w:instrText xml:space="preserve"> PAGEREF _Toc433786821 \h </w:instrText>
            </w:r>
            <w:r w:rsidR="005505F9">
              <w:rPr>
                <w:webHidden/>
              </w:rPr>
            </w:r>
            <w:r w:rsidR="005505F9">
              <w:rPr>
                <w:webHidden/>
              </w:rPr>
              <w:fldChar w:fldCharType="separate"/>
            </w:r>
            <w:r w:rsidR="005505F9">
              <w:rPr>
                <w:webHidden/>
              </w:rPr>
              <w:t>55</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822" w:history="1">
            <w:r w:rsidR="005505F9" w:rsidRPr="00860C01">
              <w:rPr>
                <w:rStyle w:val="Hyperlink"/>
              </w:rPr>
              <w:t>A</w:t>
            </w:r>
            <w:r w:rsidR="005505F9">
              <w:rPr>
                <w:rFonts w:asciiTheme="minorHAnsi" w:eastAsiaTheme="minorEastAsia" w:hAnsiTheme="minorHAnsi"/>
                <w:b w:val="0"/>
                <w:color w:val="auto"/>
                <w:sz w:val="22"/>
                <w:lang w:val="en-AU" w:eastAsia="en-AU"/>
              </w:rPr>
              <w:tab/>
            </w:r>
            <w:r w:rsidR="005505F9" w:rsidRPr="00860C01">
              <w:rPr>
                <w:rStyle w:val="Hyperlink"/>
              </w:rPr>
              <w:t>Constituent decisions</w:t>
            </w:r>
            <w:r w:rsidR="005505F9">
              <w:rPr>
                <w:webHidden/>
              </w:rPr>
              <w:tab/>
            </w:r>
            <w:r w:rsidR="005505F9">
              <w:rPr>
                <w:webHidden/>
              </w:rPr>
              <w:fldChar w:fldCharType="begin"/>
            </w:r>
            <w:r w:rsidR="005505F9">
              <w:rPr>
                <w:webHidden/>
              </w:rPr>
              <w:instrText xml:space="preserve"> PAGEREF _Toc433786822 \h </w:instrText>
            </w:r>
            <w:r w:rsidR="005505F9">
              <w:rPr>
                <w:webHidden/>
              </w:rPr>
            </w:r>
            <w:r w:rsidR="005505F9">
              <w:rPr>
                <w:webHidden/>
              </w:rPr>
              <w:fldChar w:fldCharType="separate"/>
            </w:r>
            <w:r w:rsidR="005505F9">
              <w:rPr>
                <w:webHidden/>
              </w:rPr>
              <w:t>58</w:t>
            </w:r>
            <w:r w:rsidR="005505F9">
              <w:rPr>
                <w:webHidden/>
              </w:rPr>
              <w:fldChar w:fldCharType="end"/>
            </w:r>
          </w:hyperlink>
        </w:p>
        <w:p w:rsidR="005505F9" w:rsidRDefault="00451F3C">
          <w:pPr>
            <w:pStyle w:val="TOC1"/>
            <w:rPr>
              <w:rFonts w:asciiTheme="minorHAnsi" w:eastAsiaTheme="minorEastAsia" w:hAnsiTheme="minorHAnsi"/>
              <w:b w:val="0"/>
              <w:color w:val="auto"/>
              <w:sz w:val="22"/>
              <w:lang w:val="en-AU" w:eastAsia="en-AU"/>
            </w:rPr>
          </w:pPr>
          <w:hyperlink w:anchor="_Toc433786823" w:history="1">
            <w:r w:rsidR="005505F9" w:rsidRPr="00860C01">
              <w:rPr>
                <w:rStyle w:val="Hyperlink"/>
              </w:rPr>
              <w:t>B</w:t>
            </w:r>
            <w:r w:rsidR="005505F9">
              <w:rPr>
                <w:rFonts w:asciiTheme="minorHAnsi" w:eastAsiaTheme="minorEastAsia" w:hAnsiTheme="minorHAnsi"/>
                <w:b w:val="0"/>
                <w:color w:val="auto"/>
                <w:sz w:val="22"/>
                <w:lang w:val="en-AU" w:eastAsia="en-AU"/>
              </w:rPr>
              <w:tab/>
            </w:r>
            <w:r w:rsidR="005505F9" w:rsidRPr="00860C01">
              <w:rPr>
                <w:rStyle w:val="Hyperlink"/>
              </w:rPr>
              <w:t>List of Submissions</w:t>
            </w:r>
            <w:r w:rsidR="005505F9">
              <w:rPr>
                <w:webHidden/>
              </w:rPr>
              <w:tab/>
            </w:r>
            <w:r w:rsidR="005505F9">
              <w:rPr>
                <w:webHidden/>
              </w:rPr>
              <w:fldChar w:fldCharType="begin"/>
            </w:r>
            <w:r w:rsidR="005505F9">
              <w:rPr>
                <w:webHidden/>
              </w:rPr>
              <w:instrText xml:space="preserve"> PAGEREF _Toc433786823 \h </w:instrText>
            </w:r>
            <w:r w:rsidR="005505F9">
              <w:rPr>
                <w:webHidden/>
              </w:rPr>
            </w:r>
            <w:r w:rsidR="005505F9">
              <w:rPr>
                <w:webHidden/>
              </w:rPr>
              <w:fldChar w:fldCharType="separate"/>
            </w:r>
            <w:r w:rsidR="005505F9">
              <w:rPr>
                <w:webHidden/>
              </w:rPr>
              <w:t>62</w:t>
            </w:r>
            <w:r w:rsidR="005505F9">
              <w:rPr>
                <w:webHidden/>
              </w:rPr>
              <w:fldChar w:fldCharType="end"/>
            </w:r>
          </w:hyperlink>
        </w:p>
        <w:p w:rsidR="00DE563D" w:rsidRDefault="00091B15" w:rsidP="00091B15">
          <w:pPr>
            <w:pStyle w:val="TOC1"/>
          </w:pPr>
          <w:r>
            <w:rPr>
              <w:color w:val="auto"/>
              <w:sz w:val="22"/>
            </w:rPr>
            <w:fldChar w:fldCharType="end"/>
          </w:r>
        </w:p>
      </w:sdtContent>
    </w:sdt>
    <w:p w:rsidR="00415F31" w:rsidRPr="00271F7C" w:rsidRDefault="00C84560" w:rsidP="006D6F33">
      <w:pPr>
        <w:pStyle w:val="UnnumberedHeading"/>
      </w:pPr>
      <w:r>
        <w:lastRenderedPageBreak/>
        <w:t xml:space="preserve"> </w:t>
      </w:r>
      <w:bookmarkStart w:id="10" w:name="_Toc404700925"/>
      <w:bookmarkStart w:id="11" w:name="_Toc433786776"/>
      <w:r w:rsidR="00DE563D">
        <w:t>Shortened forms</w:t>
      </w:r>
      <w:bookmarkEnd w:id="10"/>
      <w:bookmarkEnd w:id="11"/>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F007AA"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F007AA" w:rsidRPr="005C4C9C" w:rsidRDefault="00F007AA" w:rsidP="005C4C9C">
            <w:pPr>
              <w:numPr>
                <w:ilvl w:val="0"/>
                <w:numId w:val="24"/>
              </w:numPr>
            </w:pPr>
            <w:r>
              <w:t>AMI</w:t>
            </w:r>
          </w:p>
        </w:tc>
        <w:tc>
          <w:tcPr>
            <w:tcW w:w="4344" w:type="dxa"/>
          </w:tcPr>
          <w:p w:rsidR="00F007AA" w:rsidRPr="005C4C9C" w:rsidRDefault="00F007AA" w:rsidP="00F007AA">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2F3C7B" w:rsidRDefault="002566BD" w:rsidP="002F3C7B">
      <w:pPr>
        <w:pStyle w:val="Heading1"/>
        <w:ind w:left="680" w:hanging="680"/>
      </w:pPr>
      <w:bookmarkStart w:id="12" w:name="_Toc433786777"/>
      <w:r>
        <w:lastRenderedPageBreak/>
        <w:t>Introduction</w:t>
      </w:r>
      <w:bookmarkEnd w:id="12"/>
    </w:p>
    <w:p w:rsidR="00A94BF8" w:rsidRDefault="00A94BF8" w:rsidP="00A94BF8">
      <w:r>
        <w:t xml:space="preserve">We, the Australian Energy Regulatory (AER), are responsible for the economic regulation of electricity distribution systems in Australia, except for Western Australia. </w:t>
      </w:r>
    </w:p>
    <w:p w:rsidR="00A94BF8" w:rsidRDefault="00B35BE8" w:rsidP="00A94BF8">
      <w:r>
        <w:t xml:space="preserve">Powercor </w:t>
      </w:r>
      <w:r w:rsidR="00A94BF8">
        <w:t xml:space="preserve">is one of five distribution network service providers (distributors) in Victoria and is responsible for providing electricity distribution services in </w:t>
      </w:r>
      <w:r>
        <w:t>the western part of Victoria</w:t>
      </w:r>
      <w:r w:rsidR="00A94BF8">
        <w:t xml:space="preserve">. We regulate the revenues </w:t>
      </w:r>
      <w:r>
        <w:t xml:space="preserve">Powercor </w:t>
      </w:r>
      <w:r w:rsidR="00A94BF8">
        <w:t xml:space="preserve">and other </w:t>
      </w:r>
      <w:r w:rsidR="000D7747">
        <w:t xml:space="preserve">electricity </w:t>
      </w:r>
      <w:r w:rsidR="00A94BF8">
        <w:t>distributors ca</w:t>
      </w:r>
      <w:r w:rsidR="000D7747">
        <w:t>n recover from their customers.</w:t>
      </w:r>
    </w:p>
    <w:p w:rsidR="000D7747" w:rsidRDefault="000D7747" w:rsidP="00A94BF8">
      <w:r>
        <w:t>Powercor submitted its regulatory proposal in April 2015 for the 2016–20 regulatory control period.</w:t>
      </w:r>
    </w:p>
    <w:p w:rsidR="00A94BF8" w:rsidRDefault="00A94BF8" w:rsidP="00A94BF8">
      <w:r>
        <w:t xml:space="preserve">The National Electricity Law (NEL) and National Electricity Rules (NER) </w:t>
      </w:r>
      <w:r w:rsidR="004B7759">
        <w:t xml:space="preserve">provide </w:t>
      </w:r>
      <w:r>
        <w:t xml:space="preserve">the regulatory framework governing electricity networks. </w:t>
      </w:r>
      <w:r w:rsidR="000D7747">
        <w:t>In regulating Powercor, we are guided by t</w:t>
      </w:r>
      <w:r>
        <w:t>he National Electricity Objective (NEO), as set out in the NEL</w:t>
      </w:r>
      <w:r w:rsidR="000D7747">
        <w:t xml:space="preserve">. The NEO </w:t>
      </w:r>
      <w:r>
        <w:t>is to promote efficient investment in, and efficient operation and use of, electricity services for the long term interests of consumers of electricity with respect to</w:t>
      </w:r>
      <w:r w:rsidRPr="007B3355">
        <w:t>─</w:t>
      </w:r>
      <w:r>
        <w:t xml:space="preserve"> </w:t>
      </w:r>
    </w:p>
    <w:p w:rsidR="00A94BF8" w:rsidRDefault="00A94BF8" w:rsidP="00A94BF8">
      <w:pPr>
        <w:pStyle w:val="AERquote"/>
      </w:pPr>
      <w:r>
        <w:t>price, quality, safety, reliability and security of supply of electricity; and</w:t>
      </w:r>
    </w:p>
    <w:p w:rsidR="00A94BF8" w:rsidRDefault="00A94BF8" w:rsidP="00A94BF8">
      <w:pPr>
        <w:pStyle w:val="AERquote"/>
      </w:pPr>
      <w:r>
        <w:t>the reliability, safety and security of the national electricity system.</w:t>
      </w:r>
      <w:r w:rsidRPr="002E219C">
        <w:rPr>
          <w:rStyle w:val="FootnoteReference"/>
        </w:rPr>
        <w:footnoteReference w:id="1"/>
      </w:r>
    </w:p>
    <w:p w:rsidR="00A94BF8" w:rsidRDefault="000D7747" w:rsidP="00A94BF8">
      <w:r>
        <w:t>We</w:t>
      </w:r>
      <w:r w:rsidR="00A94BF8">
        <w:t xml:space="preserve"> apply incentive regulation in making our decision on a distributor's revenue</w:t>
      </w:r>
      <w:r w:rsidR="00F71093">
        <w:t>—in accordance with the NER</w:t>
      </w:r>
      <w:r w:rsidR="00A94BF8">
        <w:t>.</w:t>
      </w:r>
      <w:r w:rsidR="00A94BF8">
        <w:rPr>
          <w:rStyle w:val="FootnoteReference"/>
        </w:rPr>
        <w:footnoteReference w:id="2"/>
      </w:r>
      <w:r w:rsidR="00A94BF8">
        <w:t xml:space="preserve"> Incentive regulation encourages distributors to spend efficiently and to share the benefits of efficiency gains with consumers.</w:t>
      </w:r>
    </w:p>
    <w:p w:rsidR="00F71093" w:rsidRDefault="00F71093" w:rsidP="00A94BF8">
      <w:r w:rsidRPr="003A745D">
        <w:t xml:space="preserve">While we approve an overall revenue allowance for </w:t>
      </w:r>
      <w:r>
        <w:t>Powercor</w:t>
      </w:r>
      <w:r w:rsidRPr="003A745D">
        <w:t xml:space="preserve">, this does not bind the </w:t>
      </w:r>
      <w:r w:rsidR="00AF52CA">
        <w:t>business</w:t>
      </w:r>
      <w:r w:rsidR="00AF52CA" w:rsidRPr="003A745D">
        <w:t xml:space="preserve"> </w:t>
      </w:r>
      <w:r w:rsidRPr="003A745D">
        <w:t xml:space="preserve">to a particular operating budget. We determine the overall revenue allowance that is based on a forecast of efficient capital and operating expenditures that would be required by </w:t>
      </w:r>
      <w:r>
        <w:t>Powercor</w:t>
      </w:r>
      <w:r w:rsidRPr="003A745D">
        <w:t xml:space="preserve"> in prudently providing distribution services and fulfilling its obligations. The regime provides incentives for </w:t>
      </w:r>
      <w:r>
        <w:t>Powercor</w:t>
      </w:r>
      <w:r w:rsidRPr="003A745D">
        <w:t xml:space="preserve"> to outperform those forecasts, while delivering safe, reliable and secure services to its customers.</w:t>
      </w:r>
    </w:p>
    <w:p w:rsidR="00220CD1" w:rsidRDefault="00220CD1" w:rsidP="00220CD1">
      <w:r>
        <w:t xml:space="preserve">If in assessing Powercor’s regulatory proposal we do not accept that its forecast revenue complies with the requirements of the NER, we must </w:t>
      </w:r>
      <w:r w:rsidRPr="003B504B">
        <w:t>substitute an alternative amount of revenue that</w:t>
      </w:r>
      <w:r>
        <w:t xml:space="preserve"> we are satisfied does comply. In doing so, we must undertake this assessment and make this decision in a manner that will or is likely to contribute to the achievement of the NEO and, where there are two or more possible decisions that </w:t>
      </w:r>
      <w:r>
        <w:lastRenderedPageBreak/>
        <w:t>will do so, make the decision that we are satisfied will contribute to the greatest degree (see section 5 of this overview).</w:t>
      </w:r>
    </w:p>
    <w:p w:rsidR="00A94BF8" w:rsidRDefault="00A94BF8" w:rsidP="00A94BF8">
      <w:r>
        <w:t xml:space="preserve">We received submissions from various stakeholders on </w:t>
      </w:r>
      <w:r w:rsidR="00B35BE8">
        <w:t xml:space="preserve">Powercor’s </w:t>
      </w:r>
      <w:r>
        <w:t xml:space="preserve">proposal. </w:t>
      </w:r>
      <w:r w:rsidR="00CC3E33">
        <w:t>We have published these submissions and Powercor’s regulatory proposal on our website.</w:t>
      </w:r>
    </w:p>
    <w:p w:rsidR="00A94BF8" w:rsidRPr="0004255F" w:rsidRDefault="00A94BF8" w:rsidP="00A94BF8">
      <w:r>
        <w:t xml:space="preserve">This overview, together with its </w:t>
      </w:r>
      <w:r w:rsidRPr="0004255F">
        <w:t xml:space="preserve">attachments, constitutes our </w:t>
      </w:r>
      <w:r w:rsidR="0099349D">
        <w:t>p</w:t>
      </w:r>
      <w:r w:rsidRPr="0004255F">
        <w:t xml:space="preserve">reliminary decision on </w:t>
      </w:r>
      <w:r w:rsidR="00B35BE8">
        <w:t>Powercor’s</w:t>
      </w:r>
      <w:r w:rsidR="00B35BE8" w:rsidRPr="0004255F">
        <w:t xml:space="preserve"> </w:t>
      </w:r>
      <w:r w:rsidR="00B35BE8">
        <w:t>regulatory proposal.</w:t>
      </w:r>
    </w:p>
    <w:p w:rsidR="002F3C7B" w:rsidRDefault="002F3C7B" w:rsidP="002F3C7B">
      <w:pPr>
        <w:pStyle w:val="Heading2"/>
      </w:pPr>
      <w:bookmarkStart w:id="13" w:name="_Toc428877118"/>
      <w:bookmarkStart w:id="14" w:name="_Toc428956708"/>
      <w:bookmarkStart w:id="15" w:name="_Toc433786778"/>
      <w:r>
        <w:t>Victorian electricity distribution</w:t>
      </w:r>
      <w:bookmarkEnd w:id="13"/>
      <w:bookmarkEnd w:id="14"/>
      <w:bookmarkEnd w:id="15"/>
    </w:p>
    <w:p w:rsidR="0068055A" w:rsidRDefault="0068055A" w:rsidP="0068055A">
      <w:r w:rsidRPr="00012AD8">
        <w:t>The electricity industry in Victoria is divided into four distinct parts, with a specific role for each stage of the supply chain—generation, transmission, distribution and retail.</w:t>
      </w:r>
    </w:p>
    <w:p w:rsidR="0068055A" w:rsidRDefault="0068055A" w:rsidP="0068055A">
      <w:r w:rsidRPr="00D76164">
        <w:t>Electricity distributors</w:t>
      </w:r>
      <w:r>
        <w:t>, which are the focus of this review,</w:t>
      </w:r>
      <w:r w:rsidRPr="00D76164">
        <w:t xml:space="preserve"> convert electricity from the transmission network into medium and low voltages and deliver that electricity to homes and businesses across Victoria. Each of Victoria’s five distributors serves a different geographic area of Victori</w:t>
      </w:r>
      <w:r>
        <w:t>a:</w:t>
      </w:r>
    </w:p>
    <w:p w:rsidR="0068055A" w:rsidRDefault="0068055A" w:rsidP="0068055A">
      <w:pPr>
        <w:pStyle w:val="AERbulletlistfirststyle"/>
      </w:pPr>
      <w:r>
        <w:t xml:space="preserve">AusNet Services operates in the </w:t>
      </w:r>
      <w:r w:rsidR="00C142D4">
        <w:t>e</w:t>
      </w:r>
      <w:r>
        <w:t>astern part of Victoria</w:t>
      </w:r>
    </w:p>
    <w:p w:rsidR="0068055A" w:rsidRDefault="008F6524" w:rsidP="0068055A">
      <w:pPr>
        <w:pStyle w:val="AERbulletlistfirststyle"/>
      </w:pPr>
      <w:r>
        <w:t>CitiPower</w:t>
      </w:r>
      <w:r w:rsidR="0068055A">
        <w:t xml:space="preserve"> operates in the urban and CBD parts of Melbourne</w:t>
      </w:r>
    </w:p>
    <w:p w:rsidR="0068055A" w:rsidRDefault="0068055A" w:rsidP="0068055A">
      <w:pPr>
        <w:pStyle w:val="AERbulletlistfirststyle"/>
      </w:pPr>
      <w:r>
        <w:t>Jemena operates in a section north west of Melbourne</w:t>
      </w:r>
    </w:p>
    <w:p w:rsidR="0068055A" w:rsidRDefault="0068055A" w:rsidP="0068055A">
      <w:pPr>
        <w:pStyle w:val="AERbulletlistfirststyle"/>
      </w:pPr>
      <w:r>
        <w:t xml:space="preserve">Powercor operates the western part of Victoria </w:t>
      </w:r>
    </w:p>
    <w:p w:rsidR="0068055A" w:rsidRDefault="0068055A" w:rsidP="0068055A">
      <w:pPr>
        <w:pStyle w:val="AERbulletlistfirststyle"/>
      </w:pPr>
      <w:r>
        <w:t xml:space="preserve">United Energy operates </w:t>
      </w:r>
      <w:r w:rsidR="00D4617C">
        <w:t xml:space="preserve">in </w:t>
      </w:r>
      <w:r>
        <w:t>th</w:t>
      </w:r>
      <w:r w:rsidR="00D4617C">
        <w:t>e south-e</w:t>
      </w:r>
      <w:r>
        <w:t>astern suburbs of Melbourne</w:t>
      </w:r>
    </w:p>
    <w:p w:rsidR="002F3C7B" w:rsidRPr="008F6524" w:rsidRDefault="0068055A" w:rsidP="008F6524">
      <w:r w:rsidRPr="008F6524">
        <w:t xml:space="preserve">The following map </w:t>
      </w:r>
      <w:r w:rsidR="008F6524">
        <w:t xml:space="preserve">(figure 1) </w:t>
      </w:r>
      <w:r w:rsidRPr="008F6524">
        <w:t>shows the geographic reach of each of these networks. Importantly, AusNet Services and Powercor predominantly serve rural and regional Victoria, whereas Jemena, United Energy and CitiPower predominantly serve urban customers.</w:t>
      </w:r>
    </w:p>
    <w:p w:rsidR="002F3C7B" w:rsidRPr="008F6524" w:rsidRDefault="002F3C7B" w:rsidP="008F6524">
      <w:r w:rsidRPr="008F6524">
        <w:br w:type="page"/>
      </w:r>
    </w:p>
    <w:p w:rsidR="002F3C7B" w:rsidRDefault="002F3C7B" w:rsidP="002F3C7B">
      <w:pPr>
        <w:pStyle w:val="Tabletitle"/>
      </w:pPr>
      <w:r>
        <w:lastRenderedPageBreak/>
        <w:t>Figure 1: Victorian electricity distribution network</w:t>
      </w:r>
      <w:r w:rsidR="007A15CA">
        <w:t>s</w:t>
      </w:r>
    </w:p>
    <w:p w:rsidR="002F3C7B" w:rsidRDefault="002F3C7B" w:rsidP="002F3C7B">
      <w:r w:rsidRPr="004828B6">
        <w:rPr>
          <w:noProof/>
          <w:lang w:eastAsia="en-AU"/>
        </w:rPr>
        <w:drawing>
          <wp:inline distT="0" distB="0" distL="0" distR="0" wp14:anchorId="0FB82D73" wp14:editId="27B44F39">
            <wp:extent cx="5382895" cy="417322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4173220"/>
                    </a:xfrm>
                    <a:prstGeom prst="rect">
                      <a:avLst/>
                    </a:prstGeom>
                    <a:noFill/>
                    <a:ln>
                      <a:noFill/>
                    </a:ln>
                  </pic:spPr>
                </pic:pic>
              </a:graphicData>
            </a:graphic>
          </wp:inline>
        </w:drawing>
      </w:r>
    </w:p>
    <w:p w:rsidR="00065FD3" w:rsidRDefault="00065FD3" w:rsidP="00065FD3">
      <w:pPr>
        <w:pStyle w:val="Heading2"/>
      </w:pPr>
      <w:bookmarkStart w:id="16" w:name="_Toc429039116"/>
      <w:bookmarkStart w:id="17" w:name="_Toc433786779"/>
      <w:r>
        <w:t>Structure of overview</w:t>
      </w:r>
      <w:bookmarkEnd w:id="16"/>
      <w:bookmarkEnd w:id="17"/>
    </w:p>
    <w:p w:rsidR="00B35BE8" w:rsidRDefault="00B35BE8" w:rsidP="00B35BE8">
      <w:r>
        <w:t>This over</w:t>
      </w:r>
      <w:r w:rsidR="0099349D">
        <w:t>view provides a summary of our p</w:t>
      </w:r>
      <w:r>
        <w:t>reliminary decision and its constituent components. It is structured as follows:</w:t>
      </w:r>
    </w:p>
    <w:p w:rsidR="00B35BE8" w:rsidRDefault="00B35BE8" w:rsidP="00B35BE8">
      <w:pPr>
        <w:pStyle w:val="AERbulletlistfirststyle"/>
      </w:pPr>
      <w:r>
        <w:t xml:space="preserve">Section 2 provides a high-level summary of our </w:t>
      </w:r>
      <w:r w:rsidR="0099349D">
        <w:t>p</w:t>
      </w:r>
      <w:r>
        <w:t>reliminary decision and the key issues.</w:t>
      </w:r>
    </w:p>
    <w:p w:rsidR="00B35BE8" w:rsidRPr="00117925" w:rsidRDefault="00B35BE8" w:rsidP="00B35BE8">
      <w:pPr>
        <w:pStyle w:val="AERbulletlistfirststyle"/>
      </w:pPr>
      <w:r>
        <w:t>Section 3</w:t>
      </w:r>
      <w:r w:rsidRPr="00117925">
        <w:t xml:space="preserve"> </w:t>
      </w:r>
      <w:r>
        <w:t>provides a break</w:t>
      </w:r>
      <w:r w:rsidRPr="00BE00FA">
        <w:t>-down of our revenue decision into its key components. We determine revenue using the building block approach and this section details the approved amount for each building block.</w:t>
      </w:r>
    </w:p>
    <w:p w:rsidR="00B35BE8" w:rsidRPr="00117925" w:rsidRDefault="00B35BE8" w:rsidP="00B35BE8">
      <w:pPr>
        <w:pStyle w:val="AERbulletlistfirststyle"/>
      </w:pPr>
      <w:r w:rsidRPr="00117925">
        <w:t xml:space="preserve">Section </w:t>
      </w:r>
      <w:r>
        <w:t>4</w:t>
      </w:r>
      <w:r w:rsidRPr="00117925">
        <w:t xml:space="preserve"> set</w:t>
      </w:r>
      <w:r>
        <w:t>s</w:t>
      </w:r>
      <w:r w:rsidRPr="00117925">
        <w:t xml:space="preserve"> out our </w:t>
      </w:r>
      <w:r w:rsidR="0099349D">
        <w:t>p</w:t>
      </w:r>
      <w:r>
        <w:t xml:space="preserve">reliminary </w:t>
      </w:r>
      <w:r w:rsidRPr="00117925">
        <w:t>decision on classification of services, control mechanisms and incentive schemes</w:t>
      </w:r>
      <w:r>
        <w:t xml:space="preserve"> that will apply to Powercor. These are the decisions we make in addition to the building block revenue determination. </w:t>
      </w:r>
    </w:p>
    <w:p w:rsidR="00B35BE8" w:rsidRPr="00117925" w:rsidRDefault="00B35BE8" w:rsidP="00B35BE8">
      <w:pPr>
        <w:pStyle w:val="AERbulletlistfirststyle"/>
      </w:pPr>
      <w:r w:rsidRPr="00117925">
        <w:t xml:space="preserve">Section </w:t>
      </w:r>
      <w:r>
        <w:t>5</w:t>
      </w:r>
      <w:r w:rsidRPr="00117925">
        <w:t xml:space="preserve"> explains our views on the regulatory framework</w:t>
      </w:r>
      <w:r>
        <w:t xml:space="preserve"> and the NEO.</w:t>
      </w:r>
    </w:p>
    <w:p w:rsidR="00B35BE8" w:rsidRDefault="00B35BE8" w:rsidP="00B35BE8">
      <w:pPr>
        <w:pStyle w:val="AERbulletlistfirststyle"/>
      </w:pPr>
      <w:r w:rsidRPr="00117925">
        <w:t xml:space="preserve">Section </w:t>
      </w:r>
      <w:r>
        <w:t>6</w:t>
      </w:r>
      <w:r w:rsidRPr="00117925">
        <w:t xml:space="preserve"> outlines the</w:t>
      </w:r>
      <w:r w:rsidR="008101F1">
        <w:t xml:space="preserve"> consultation</w:t>
      </w:r>
      <w:r w:rsidRPr="00117925">
        <w:t xml:space="preserve"> process we undertook in reaching our </w:t>
      </w:r>
      <w:r w:rsidR="0099349D">
        <w:t>p</w:t>
      </w:r>
      <w:r>
        <w:t>reliminary</w:t>
      </w:r>
      <w:r w:rsidRPr="00117925">
        <w:t xml:space="preserve"> decision. </w:t>
      </w:r>
    </w:p>
    <w:p w:rsidR="00B35BE8" w:rsidRPr="00117925" w:rsidRDefault="00B35BE8" w:rsidP="00B35BE8">
      <w:pPr>
        <w:pStyle w:val="AERbulletlistfirststyle"/>
      </w:pPr>
      <w:r>
        <w:t>Appendix A contains the full list of constituent components for our preliminary decision.</w:t>
      </w:r>
    </w:p>
    <w:p w:rsidR="00065FD3" w:rsidRPr="00376287" w:rsidRDefault="00B35BE8" w:rsidP="00065FD3">
      <w:r w:rsidRPr="0004255F">
        <w:t xml:space="preserve">In our attachments we set out detailed analysis of the constituent components that make up </w:t>
      </w:r>
      <w:r>
        <w:t>Powercor’s</w:t>
      </w:r>
      <w:r w:rsidRPr="0004255F">
        <w:t xml:space="preserve"> proposal and our decision on each of them.</w:t>
      </w:r>
    </w:p>
    <w:p w:rsidR="006A4F0A" w:rsidRDefault="006A4F0A" w:rsidP="006A4F0A">
      <w:pPr>
        <w:pStyle w:val="Heading1"/>
      </w:pPr>
      <w:bookmarkStart w:id="18" w:name="_Toc433786780"/>
      <w:r>
        <w:lastRenderedPageBreak/>
        <w:t>Preliminary decision</w:t>
      </w:r>
      <w:bookmarkEnd w:id="18"/>
    </w:p>
    <w:p w:rsidR="00CB24D6" w:rsidRDefault="006A4F0A" w:rsidP="006A4F0A">
      <w:r w:rsidRPr="00012781">
        <w:t xml:space="preserve">Our </w:t>
      </w:r>
      <w:r w:rsidR="0099349D">
        <w:t>p</w:t>
      </w:r>
      <w:r>
        <w:t>reliminary</w:t>
      </w:r>
      <w:r w:rsidRPr="00012781">
        <w:t xml:space="preserve"> </w:t>
      </w:r>
      <w:r>
        <w:t xml:space="preserve">decision is that Powercor can </w:t>
      </w:r>
      <w:r w:rsidRPr="00B4230A">
        <w:t>recover $</w:t>
      </w:r>
      <w:r w:rsidR="00A40AEE">
        <w:t>30</w:t>
      </w:r>
      <w:r w:rsidR="00B123B4">
        <w:t>85.8</w:t>
      </w:r>
      <w:r w:rsidR="00B123B4">
        <w:rPr>
          <w:rStyle w:val="AERbodytextChar"/>
          <w:rFonts w:eastAsiaTheme="minorHAnsi"/>
        </w:rPr>
        <w:t> </w:t>
      </w:r>
      <w:r w:rsidRPr="00337B15">
        <w:rPr>
          <w:rStyle w:val="AERbodytextChar"/>
          <w:rFonts w:eastAsiaTheme="minorHAnsi"/>
        </w:rPr>
        <w:t>million ($ nomin</w:t>
      </w:r>
      <w:r>
        <w:rPr>
          <w:rStyle w:val="AERbodytextChar"/>
          <w:rFonts w:eastAsiaTheme="minorHAnsi"/>
        </w:rPr>
        <w:t>al) from consumers over the 2016</w:t>
      </w:r>
      <w:r w:rsidRPr="00337B15">
        <w:rPr>
          <w:rStyle w:val="AERbodytextChar"/>
          <w:rFonts w:eastAsiaTheme="minorHAnsi"/>
        </w:rPr>
        <w:t>–</w:t>
      </w:r>
      <w:r w:rsidRPr="00520ADE">
        <w:t>20 regulatory control period</w:t>
      </w:r>
      <w:r w:rsidR="00FA1A9C">
        <w:rPr>
          <w:rStyle w:val="AERbodytextChar"/>
          <w:rFonts w:eastAsiaTheme="minorHAnsi"/>
        </w:rPr>
        <w:t>, which begins on 1 January 2016</w:t>
      </w:r>
      <w:r w:rsidRPr="00520ADE">
        <w:t xml:space="preserve">. </w:t>
      </w:r>
      <w:r w:rsidR="002E7093">
        <w:t xml:space="preserve">This is a 15.5 per cent reduction to </w:t>
      </w:r>
      <w:r>
        <w:t xml:space="preserve">Powercor’s </w:t>
      </w:r>
      <w:r w:rsidRPr="00520ADE">
        <w:t>proposed revenue allowance of $</w:t>
      </w:r>
      <w:r w:rsidR="00B4230A">
        <w:t>3652.9</w:t>
      </w:r>
      <w:r w:rsidR="00B4230A" w:rsidRPr="00520ADE">
        <w:t> </w:t>
      </w:r>
      <w:r w:rsidRPr="00520ADE">
        <w:t xml:space="preserve">million ($ nominal). </w:t>
      </w:r>
      <w:r w:rsidR="00FA1A9C" w:rsidRPr="00673779">
        <w:t>Our prelim</w:t>
      </w:r>
      <w:r w:rsidR="00FA1A9C">
        <w:t xml:space="preserve">inary decision allows Powercor to recover 5.7 per cent less revenue from its customers in 2016 than it did in </w:t>
      </w:r>
      <w:r w:rsidR="00FA1A9C" w:rsidRPr="00673779">
        <w:t>2015.</w:t>
      </w:r>
    </w:p>
    <w:p w:rsidR="00FA1A9C" w:rsidRPr="00DF23F7" w:rsidRDefault="00FA1A9C" w:rsidP="00FA1A9C">
      <w:pPr>
        <w:rPr>
          <w:rStyle w:val="AERbodytextChar"/>
          <w:rFonts w:eastAsiaTheme="minorHAnsi"/>
        </w:rPr>
      </w:pPr>
      <w:r w:rsidRPr="00203A7A">
        <w:rPr>
          <w:rStyle w:val="AERbodytextChar"/>
          <w:rFonts w:eastAsiaTheme="minorHAnsi"/>
        </w:rPr>
        <w:t>We</w:t>
      </w:r>
      <w:r w:rsidRPr="00DF23F7">
        <w:rPr>
          <w:rStyle w:val="AERbodytextChar"/>
          <w:rFonts w:eastAsiaTheme="minorHAnsi"/>
        </w:rPr>
        <w:t xml:space="preserve"> are satisfied that the total revenue </w:t>
      </w:r>
      <w:r>
        <w:rPr>
          <w:rStyle w:val="AERbodytextChar"/>
          <w:rFonts w:eastAsiaTheme="minorHAnsi"/>
        </w:rPr>
        <w:t>set in our p</w:t>
      </w:r>
      <w:r w:rsidRPr="00DF23F7">
        <w:rPr>
          <w:rStyle w:val="AERbodytextChar"/>
          <w:rFonts w:eastAsiaTheme="minorHAnsi"/>
        </w:rPr>
        <w:t xml:space="preserve">reliminary </w:t>
      </w:r>
      <w:r>
        <w:rPr>
          <w:rStyle w:val="AERbodytextChar"/>
          <w:rFonts w:eastAsiaTheme="minorHAnsi"/>
        </w:rPr>
        <w:t>decision</w:t>
      </w:r>
      <w:r w:rsidRPr="00DF23F7">
        <w:rPr>
          <w:rStyle w:val="AERbodytextChar"/>
          <w:rFonts w:eastAsiaTheme="minorHAnsi"/>
        </w:rPr>
        <w:t xml:space="preserve"> </w:t>
      </w:r>
      <w:r>
        <w:rPr>
          <w:rStyle w:val="AERbodytextChar"/>
          <w:rFonts w:eastAsiaTheme="minorHAnsi"/>
        </w:rPr>
        <w:t xml:space="preserve">is sufficient for Powercor, acting prudently, to recover the efficient costs of providing safe and reliable electricity services. That is, our preliminary decision </w:t>
      </w:r>
      <w:r w:rsidRPr="00DF23F7">
        <w:rPr>
          <w:rStyle w:val="AERbodytextChar"/>
          <w:rFonts w:eastAsiaTheme="minorHAnsi"/>
        </w:rPr>
        <w:t>contributes to the achievement of the National Electricity Objective.</w:t>
      </w:r>
    </w:p>
    <w:p w:rsidR="00A40503" w:rsidRDefault="00A40503" w:rsidP="00A40503">
      <w:pPr>
        <w:rPr>
          <w:rStyle w:val="AERbodytextChar"/>
          <w:rFonts w:eastAsiaTheme="minorHAnsi"/>
        </w:rPr>
      </w:pPr>
      <w:r>
        <w:rPr>
          <w:rStyle w:val="AERbodytextChar"/>
          <w:rFonts w:eastAsiaTheme="minorHAnsi"/>
        </w:rPr>
        <w:t>In this section, we provide a snapshot of our preliminary decision, including the im</w:t>
      </w:r>
      <w:r w:rsidRPr="00222999">
        <w:rPr>
          <w:rStyle w:val="AERbodytextChar"/>
          <w:rFonts w:eastAsiaTheme="minorHAnsi"/>
        </w:rPr>
        <w:t>pact</w:t>
      </w:r>
      <w:r>
        <w:rPr>
          <w:rStyle w:val="AERbodytextChar"/>
          <w:rFonts w:eastAsiaTheme="minorHAnsi"/>
        </w:rPr>
        <w:t xml:space="preserve"> we expect it will have on</w:t>
      </w:r>
      <w:r w:rsidRPr="00222999">
        <w:rPr>
          <w:rStyle w:val="AERbodytextChar"/>
          <w:rFonts w:eastAsiaTheme="minorHAnsi"/>
        </w:rPr>
        <w:t xml:space="preserve"> residential electricity bills</w:t>
      </w:r>
      <w:r>
        <w:rPr>
          <w:rStyle w:val="AERbodytextChar"/>
          <w:rFonts w:eastAsiaTheme="minorHAnsi"/>
        </w:rPr>
        <w:t xml:space="preserve"> (section 2.1), and highlight key issues considered as part of this review (section 2.2). Further, we set out the </w:t>
      </w:r>
      <w:r w:rsidRPr="00222999">
        <w:rPr>
          <w:rStyle w:val="AERbodytextChar"/>
          <w:rFonts w:eastAsiaTheme="minorHAnsi"/>
        </w:rPr>
        <w:t>timeline</w:t>
      </w:r>
      <w:r>
        <w:rPr>
          <w:rStyle w:val="AERbodytextChar"/>
          <w:rFonts w:eastAsiaTheme="minorHAnsi"/>
        </w:rPr>
        <w:t>, including for submissions to this preliminary decision,</w:t>
      </w:r>
      <w:r w:rsidRPr="00222999">
        <w:rPr>
          <w:rStyle w:val="AERbodytextChar"/>
          <w:rFonts w:eastAsiaTheme="minorHAnsi"/>
        </w:rPr>
        <w:t xml:space="preserve"> and </w:t>
      </w:r>
      <w:r>
        <w:rPr>
          <w:rStyle w:val="AERbodytextChar"/>
          <w:rFonts w:eastAsiaTheme="minorHAnsi"/>
        </w:rPr>
        <w:t xml:space="preserve">briefly note the </w:t>
      </w:r>
      <w:r w:rsidRPr="00222999">
        <w:rPr>
          <w:rStyle w:val="AERbodytextChar"/>
          <w:rFonts w:eastAsiaTheme="minorHAnsi"/>
        </w:rPr>
        <w:t>transitional rules</w:t>
      </w:r>
      <w:r>
        <w:rPr>
          <w:rStyle w:val="AERbodytextChar"/>
          <w:rFonts w:eastAsiaTheme="minorHAnsi"/>
        </w:rPr>
        <w:t xml:space="preserve"> that apply to this process (section 2.3).</w:t>
      </w:r>
    </w:p>
    <w:p w:rsidR="00892D94" w:rsidRDefault="00277533" w:rsidP="00892D94">
      <w:pPr>
        <w:rPr>
          <w:rStyle w:val="AERbodytextChar"/>
          <w:rFonts w:eastAsiaTheme="minorHAnsi"/>
        </w:rPr>
      </w:pPr>
      <w:r>
        <w:rPr>
          <w:rStyle w:val="AERbodytextChar"/>
          <w:rFonts w:eastAsiaTheme="minorHAnsi"/>
        </w:rPr>
        <w:t>T</w:t>
      </w:r>
      <w:r w:rsidR="00892D94" w:rsidRPr="00AC476F">
        <w:rPr>
          <w:rStyle w:val="AERbodytextChar"/>
          <w:rFonts w:eastAsiaTheme="minorHAnsi"/>
        </w:rPr>
        <w:t xml:space="preserve">his section </w:t>
      </w:r>
      <w:r>
        <w:rPr>
          <w:rStyle w:val="AERbodytextChar"/>
          <w:rFonts w:eastAsiaTheme="minorHAnsi"/>
        </w:rPr>
        <w:t xml:space="preserve">aims to be </w:t>
      </w:r>
      <w:r w:rsidR="00892D94" w:rsidRPr="00AC476F">
        <w:rPr>
          <w:rStyle w:val="AERbodytextChar"/>
          <w:rFonts w:eastAsiaTheme="minorHAnsi"/>
        </w:rPr>
        <w:t xml:space="preserve">accessible to a </w:t>
      </w:r>
      <w:r w:rsidR="00052810">
        <w:rPr>
          <w:rStyle w:val="AERbodytextChar"/>
          <w:rFonts w:eastAsiaTheme="minorHAnsi"/>
        </w:rPr>
        <w:t>broad</w:t>
      </w:r>
      <w:r w:rsidR="00052810" w:rsidRPr="00AC476F">
        <w:rPr>
          <w:rStyle w:val="AERbodytextChar"/>
          <w:rFonts w:eastAsiaTheme="minorHAnsi"/>
        </w:rPr>
        <w:t xml:space="preserve"> </w:t>
      </w:r>
      <w:r w:rsidR="00892D94" w:rsidRPr="00AC476F">
        <w:rPr>
          <w:rStyle w:val="AERbodytextChar"/>
          <w:rFonts w:eastAsiaTheme="minorHAnsi"/>
        </w:rPr>
        <w:t xml:space="preserve">audience. See </w:t>
      </w:r>
      <w:r w:rsidR="00892D94">
        <w:rPr>
          <w:rStyle w:val="AERbodytextChar"/>
          <w:rFonts w:eastAsiaTheme="minorHAnsi"/>
        </w:rPr>
        <w:t>s</w:t>
      </w:r>
      <w:r w:rsidR="00892D94" w:rsidRPr="00AC476F">
        <w:rPr>
          <w:rStyle w:val="AERbodytextChar"/>
          <w:rFonts w:eastAsiaTheme="minorHAnsi"/>
        </w:rPr>
        <w:t>ection 3</w:t>
      </w:r>
      <w:r w:rsidR="00892D94">
        <w:rPr>
          <w:rStyle w:val="AERbodytextChar"/>
          <w:rFonts w:eastAsiaTheme="minorHAnsi"/>
        </w:rPr>
        <w:t xml:space="preserve"> </w:t>
      </w:r>
      <w:r w:rsidR="00892D94" w:rsidRPr="00AC476F">
        <w:rPr>
          <w:rStyle w:val="AERbodytextChar"/>
          <w:rFonts w:eastAsiaTheme="minorHAnsi"/>
        </w:rPr>
        <w:t xml:space="preserve">of this overview for a more technical discussion of the building block </w:t>
      </w:r>
      <w:r w:rsidR="00892D94">
        <w:rPr>
          <w:rStyle w:val="AERbodytextChar"/>
          <w:rFonts w:eastAsiaTheme="minorHAnsi"/>
        </w:rPr>
        <w:t xml:space="preserve">model </w:t>
      </w:r>
      <w:r w:rsidR="00892D94" w:rsidRPr="00AC476F">
        <w:rPr>
          <w:rStyle w:val="AERbodytextChar"/>
          <w:rFonts w:eastAsiaTheme="minorHAnsi"/>
        </w:rPr>
        <w:t>co</w:t>
      </w:r>
      <w:r w:rsidR="00892D94">
        <w:rPr>
          <w:rStyle w:val="AERbodytextChar"/>
          <w:rFonts w:eastAsiaTheme="minorHAnsi"/>
        </w:rPr>
        <w:t>mponents</w:t>
      </w:r>
      <w:r w:rsidR="00CE21D3">
        <w:rPr>
          <w:rStyle w:val="AERbodytextChar"/>
          <w:rFonts w:eastAsiaTheme="minorHAnsi"/>
        </w:rPr>
        <w:t>. We use the building block model to</w:t>
      </w:r>
      <w:r w:rsidR="00892D94">
        <w:rPr>
          <w:rStyle w:val="AERbodytextChar"/>
          <w:rFonts w:eastAsiaTheme="minorHAnsi"/>
        </w:rPr>
        <w:t xml:space="preserve"> determine how much revenue a business requires to cover its efficient costs—as required under the National Electricity Rules.</w:t>
      </w:r>
    </w:p>
    <w:p w:rsidR="006A4F0A" w:rsidRPr="00222999" w:rsidRDefault="006A4F0A" w:rsidP="006A4F0A">
      <w:pPr>
        <w:pStyle w:val="Heading2"/>
        <w:rPr>
          <w:rStyle w:val="AERbodytextChar"/>
          <w:rFonts w:eastAsiaTheme="minorHAnsi"/>
        </w:rPr>
      </w:pPr>
      <w:bookmarkStart w:id="19" w:name="_Toc433786781"/>
      <w:r>
        <w:rPr>
          <w:rStyle w:val="AERbodytextChar"/>
          <w:rFonts w:eastAsiaTheme="minorHAnsi"/>
        </w:rPr>
        <w:t xml:space="preserve">Snapshot of </w:t>
      </w:r>
      <w:r w:rsidR="0099349D">
        <w:rPr>
          <w:rStyle w:val="AERbodytextChar"/>
          <w:rFonts w:eastAsiaTheme="minorHAnsi"/>
        </w:rPr>
        <w:t>p</w:t>
      </w:r>
      <w:r>
        <w:rPr>
          <w:rStyle w:val="AERbodytextChar"/>
          <w:rFonts w:eastAsiaTheme="minorHAnsi"/>
        </w:rPr>
        <w:t>reliminary decision</w:t>
      </w:r>
      <w:bookmarkEnd w:id="19"/>
    </w:p>
    <w:p w:rsidR="00815C8F" w:rsidRDefault="006A4F0A" w:rsidP="006A4F0A">
      <w:pPr>
        <w:rPr>
          <w:rStyle w:val="AERbodytextChar"/>
          <w:rFonts w:eastAsiaTheme="minorHAnsi"/>
        </w:rPr>
      </w:pPr>
      <w:r>
        <w:rPr>
          <w:rStyle w:val="AERbodytextChar"/>
          <w:rFonts w:eastAsiaTheme="minorHAnsi"/>
        </w:rPr>
        <w:t>Figures </w:t>
      </w:r>
      <w:r w:rsidR="008F6524">
        <w:rPr>
          <w:rStyle w:val="AERbodytextChar"/>
          <w:rFonts w:eastAsiaTheme="minorHAnsi"/>
        </w:rPr>
        <w:t>2</w:t>
      </w:r>
      <w:r>
        <w:rPr>
          <w:rStyle w:val="AERbodytextChar"/>
          <w:rFonts w:eastAsiaTheme="minorHAnsi"/>
        </w:rPr>
        <w:t xml:space="preserve"> and </w:t>
      </w:r>
      <w:r w:rsidR="008F6524">
        <w:rPr>
          <w:rStyle w:val="AERbodytextChar"/>
          <w:rFonts w:eastAsiaTheme="minorHAnsi"/>
        </w:rPr>
        <w:t>3</w:t>
      </w:r>
      <w:r>
        <w:rPr>
          <w:rStyle w:val="AERbodytextChar"/>
          <w:rFonts w:eastAsiaTheme="minorHAnsi"/>
        </w:rPr>
        <w:t xml:space="preserve"> compare</w:t>
      </w:r>
      <w:r w:rsidRPr="007113DF">
        <w:rPr>
          <w:rStyle w:val="AERbodytextChar"/>
          <w:rFonts w:eastAsiaTheme="minorHAnsi"/>
        </w:rPr>
        <w:t xml:space="preserve"> our </w:t>
      </w:r>
      <w:r w:rsidR="0099349D">
        <w:rPr>
          <w:rStyle w:val="AERbodytextChar"/>
          <w:rFonts w:eastAsiaTheme="minorHAnsi"/>
        </w:rPr>
        <w:t>p</w:t>
      </w:r>
      <w:r>
        <w:rPr>
          <w:rStyle w:val="AERbodytextChar"/>
          <w:rFonts w:eastAsiaTheme="minorHAnsi"/>
        </w:rPr>
        <w:t xml:space="preserve">reliminary decision to </w:t>
      </w:r>
      <w:r>
        <w:t xml:space="preserve">Powercor’s </w:t>
      </w:r>
      <w:r>
        <w:rPr>
          <w:rStyle w:val="AERbodytextChar"/>
          <w:rFonts w:eastAsiaTheme="minorHAnsi"/>
        </w:rPr>
        <w:t xml:space="preserve">proposal—broken down </w:t>
      </w:r>
      <w:r w:rsidRPr="007113DF">
        <w:rPr>
          <w:rStyle w:val="AERbodytextChar"/>
          <w:rFonts w:eastAsiaTheme="minorHAnsi"/>
        </w:rPr>
        <w:t xml:space="preserve">by </w:t>
      </w:r>
      <w:r>
        <w:rPr>
          <w:rStyle w:val="AERbodytextChar"/>
          <w:rFonts w:eastAsiaTheme="minorHAnsi"/>
        </w:rPr>
        <w:t xml:space="preserve">the various </w:t>
      </w:r>
      <w:r w:rsidRPr="007113DF">
        <w:rPr>
          <w:rStyle w:val="AERbodytextChar"/>
          <w:rFonts w:eastAsiaTheme="minorHAnsi"/>
        </w:rPr>
        <w:t xml:space="preserve">building block </w:t>
      </w:r>
      <w:r>
        <w:rPr>
          <w:rStyle w:val="AERbodytextChar"/>
          <w:rFonts w:eastAsiaTheme="minorHAnsi"/>
        </w:rPr>
        <w:t>components</w:t>
      </w:r>
      <w:r w:rsidRPr="007113DF">
        <w:rPr>
          <w:rStyle w:val="AERbodytextChar"/>
          <w:rFonts w:eastAsiaTheme="minorHAnsi"/>
        </w:rPr>
        <w:t xml:space="preserve">. </w:t>
      </w:r>
      <w:r>
        <w:rPr>
          <w:rStyle w:val="AERbodytextChar"/>
          <w:rFonts w:eastAsiaTheme="minorHAnsi"/>
        </w:rPr>
        <w:t>They highlight</w:t>
      </w:r>
      <w:r w:rsidRPr="007113DF">
        <w:rPr>
          <w:rStyle w:val="AERbodytextChar"/>
          <w:rFonts w:eastAsiaTheme="minorHAnsi"/>
        </w:rPr>
        <w:t xml:space="preserve"> </w:t>
      </w:r>
      <w:r>
        <w:rPr>
          <w:rStyle w:val="AERbodytextChar"/>
          <w:rFonts w:eastAsiaTheme="minorHAnsi"/>
        </w:rPr>
        <w:t>that the allowed rate of return</w:t>
      </w:r>
      <w:r w:rsidR="00ED2F9A" w:rsidRPr="00ED2F9A">
        <w:rPr>
          <w:rStyle w:val="AERbodytextChar"/>
          <w:rFonts w:eastAsiaTheme="minorHAnsi"/>
        </w:rPr>
        <w:t>—which feeds into the return on capital—</w:t>
      </w:r>
      <w:r>
        <w:rPr>
          <w:rStyle w:val="AERbodytextChar"/>
          <w:rFonts w:eastAsiaTheme="minorHAnsi"/>
        </w:rPr>
        <w:t xml:space="preserve">is the key difference between our </w:t>
      </w:r>
      <w:r w:rsidR="003E61A8">
        <w:rPr>
          <w:rStyle w:val="AERbodytextChar"/>
          <w:rFonts w:eastAsiaTheme="minorHAnsi"/>
        </w:rPr>
        <w:t>preliminary decision</w:t>
      </w:r>
      <w:r>
        <w:rPr>
          <w:rStyle w:val="AERbodytextChar"/>
          <w:rFonts w:eastAsiaTheme="minorHAnsi"/>
        </w:rPr>
        <w:t xml:space="preserve"> and </w:t>
      </w:r>
      <w:r w:rsidR="00A40503">
        <w:rPr>
          <w:rStyle w:val="AERbodytextChar"/>
          <w:rFonts w:eastAsiaTheme="minorHAnsi"/>
        </w:rPr>
        <w:t>Powercor’s</w:t>
      </w:r>
      <w:r>
        <w:rPr>
          <w:rStyle w:val="AERbodytextChar"/>
          <w:rFonts w:eastAsiaTheme="minorHAnsi"/>
        </w:rPr>
        <w:t xml:space="preserve"> proposal</w:t>
      </w:r>
      <w:r w:rsidRPr="007113DF">
        <w:rPr>
          <w:rStyle w:val="AERbodytextChar"/>
          <w:rFonts w:eastAsiaTheme="minorHAnsi"/>
        </w:rPr>
        <w:t xml:space="preserve">. </w:t>
      </w:r>
    </w:p>
    <w:p w:rsidR="006A4F0A" w:rsidRDefault="006A4F0A" w:rsidP="006A4F0A">
      <w:pPr>
        <w:rPr>
          <w:rStyle w:val="AERbodytextChar"/>
          <w:rFonts w:eastAsiaTheme="minorHAnsi"/>
        </w:rPr>
      </w:pPr>
      <w:r w:rsidRPr="007113DF">
        <w:rPr>
          <w:rStyle w:val="AERbodytextChar"/>
          <w:rFonts w:eastAsiaTheme="minorHAnsi"/>
        </w:rPr>
        <w:t xml:space="preserve">Our </w:t>
      </w:r>
      <w:r>
        <w:rPr>
          <w:rStyle w:val="AERbodytextChar"/>
          <w:rFonts w:eastAsiaTheme="minorHAnsi"/>
        </w:rPr>
        <w:t>decision</w:t>
      </w:r>
      <w:r w:rsidRPr="007113DF">
        <w:rPr>
          <w:rStyle w:val="AERbodytextChar"/>
          <w:rFonts w:eastAsiaTheme="minorHAnsi"/>
        </w:rPr>
        <w:t xml:space="preserve"> </w:t>
      </w:r>
      <w:r>
        <w:rPr>
          <w:rStyle w:val="AERbodytextChar"/>
          <w:rFonts w:eastAsiaTheme="minorHAnsi"/>
        </w:rPr>
        <w:t xml:space="preserve">also </w:t>
      </w:r>
      <w:r w:rsidRPr="007113DF">
        <w:rPr>
          <w:rStyle w:val="AERbodytextChar"/>
          <w:rFonts w:eastAsiaTheme="minorHAnsi"/>
        </w:rPr>
        <w:t xml:space="preserve">reduces </w:t>
      </w:r>
      <w:r>
        <w:t xml:space="preserve">Powercor’s </w:t>
      </w:r>
      <w:r w:rsidRPr="007113DF">
        <w:rPr>
          <w:rStyle w:val="AERbodytextChar"/>
          <w:rFonts w:eastAsiaTheme="minorHAnsi"/>
        </w:rPr>
        <w:t>proposed operating expenditure (opex) and capital expenditure (cape</w:t>
      </w:r>
      <w:r>
        <w:rPr>
          <w:rStyle w:val="AERbodytextChar"/>
          <w:rFonts w:eastAsiaTheme="minorHAnsi"/>
        </w:rPr>
        <w:t xml:space="preserve">x) by </w:t>
      </w:r>
      <w:r w:rsidR="00104934">
        <w:t>1</w:t>
      </w:r>
      <w:r w:rsidR="00816B3A">
        <w:t>2.5</w:t>
      </w:r>
      <w:r w:rsidR="00B4230A" w:rsidRPr="00520ADE">
        <w:t> </w:t>
      </w:r>
      <w:r>
        <w:rPr>
          <w:rStyle w:val="AERbodytextChar"/>
          <w:rFonts w:eastAsiaTheme="minorHAnsi"/>
        </w:rPr>
        <w:t xml:space="preserve">per cent </w:t>
      </w:r>
      <w:r w:rsidRPr="00520ADE">
        <w:t xml:space="preserve">and </w:t>
      </w:r>
      <w:r w:rsidR="00DE0246">
        <w:t>19.7</w:t>
      </w:r>
      <w:r w:rsidR="00B4230A" w:rsidRPr="00520ADE">
        <w:t> </w:t>
      </w:r>
      <w:r w:rsidRPr="00520ADE">
        <w:t>per</w:t>
      </w:r>
      <w:r>
        <w:rPr>
          <w:rStyle w:val="AERbodytextChar"/>
          <w:rFonts w:eastAsiaTheme="minorHAnsi"/>
        </w:rPr>
        <w:t> </w:t>
      </w:r>
      <w:r w:rsidRPr="00623DE3">
        <w:rPr>
          <w:rStyle w:val="AERbodytextChar"/>
          <w:rFonts w:eastAsiaTheme="minorHAnsi"/>
        </w:rPr>
        <w:t>cent</w:t>
      </w:r>
      <w:r>
        <w:rPr>
          <w:rStyle w:val="AERbodytextChar"/>
          <w:rFonts w:eastAsiaTheme="minorHAnsi"/>
        </w:rPr>
        <w:t>, respectively.</w:t>
      </w:r>
    </w:p>
    <w:p w:rsidR="00841D6B" w:rsidRDefault="00A40503" w:rsidP="006A4F0A">
      <w:pPr>
        <w:rPr>
          <w:rStyle w:val="AERbodytextChar"/>
          <w:rFonts w:eastAsiaTheme="minorHAnsi"/>
        </w:rPr>
      </w:pPr>
      <w:r>
        <w:rPr>
          <w:rStyle w:val="AERbodytextChar"/>
          <w:rFonts w:eastAsiaTheme="minorHAnsi"/>
        </w:rPr>
        <w:t xml:space="preserve">Our assessment has also found </w:t>
      </w:r>
      <w:r w:rsidR="00841D6B">
        <w:rPr>
          <w:rStyle w:val="AERbodytextChar"/>
          <w:rFonts w:eastAsiaTheme="minorHAnsi"/>
        </w:rPr>
        <w:t xml:space="preserve">that </w:t>
      </w:r>
      <w:r w:rsidR="00841D6B">
        <w:t xml:space="preserve">Powercor </w:t>
      </w:r>
      <w:r w:rsidR="00841D6B">
        <w:rPr>
          <w:rStyle w:val="AERbodytextChar"/>
          <w:rFonts w:eastAsiaTheme="minorHAnsi"/>
        </w:rPr>
        <w:t>has generally improved reliability outcomes over 2011–14 compared to the previous period.</w:t>
      </w:r>
    </w:p>
    <w:p w:rsidR="006A4F0A" w:rsidRPr="007113DF" w:rsidRDefault="006A4F0A" w:rsidP="006A4F0A">
      <w:pPr>
        <w:pStyle w:val="Caption"/>
      </w:pPr>
      <w:r w:rsidRPr="007113DF">
        <w:lastRenderedPageBreak/>
        <w:t xml:space="preserve">Figure </w:t>
      </w:r>
      <w:r w:rsidR="008F6524">
        <w:t>2</w:t>
      </w:r>
      <w:r w:rsidRPr="007113DF">
        <w:t xml:space="preserve"> AER's </w:t>
      </w:r>
      <w:r w:rsidR="0099349D">
        <w:t>p</w:t>
      </w:r>
      <w:r>
        <w:t xml:space="preserve">reliminary </w:t>
      </w:r>
      <w:r w:rsidRPr="007113DF">
        <w:t xml:space="preserve">decision and </w:t>
      </w:r>
      <w:r>
        <w:t xml:space="preserve">Powercor’s </w:t>
      </w:r>
      <w:r w:rsidRPr="007113DF">
        <w:t>proposed annual building block costs ($ million</w:t>
      </w:r>
      <w:r w:rsidR="00B4230A">
        <w:t>,</w:t>
      </w:r>
      <w:r w:rsidRPr="007113DF">
        <w:t xml:space="preserve"> 2015)</w:t>
      </w:r>
      <w:r>
        <w:t xml:space="preserve"> </w:t>
      </w:r>
    </w:p>
    <w:p w:rsidR="006A4F0A" w:rsidRPr="007113DF" w:rsidRDefault="00660350" w:rsidP="006A4F0A">
      <w:r w:rsidRPr="00660350">
        <w:rPr>
          <w:noProof/>
          <w:lang w:eastAsia="en-AU"/>
        </w:rPr>
        <w:drawing>
          <wp:inline distT="0" distB="0" distL="0" distR="0" wp14:anchorId="4B500B42" wp14:editId="58CCBCBD">
            <wp:extent cx="5382895" cy="3177403"/>
            <wp:effectExtent l="0" t="0" r="825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177403"/>
                    </a:xfrm>
                    <a:prstGeom prst="rect">
                      <a:avLst/>
                    </a:prstGeom>
                    <a:noFill/>
                    <a:ln>
                      <a:noFill/>
                    </a:ln>
                  </pic:spPr>
                </pic:pic>
              </a:graphicData>
            </a:graphic>
          </wp:inline>
        </w:drawing>
      </w:r>
    </w:p>
    <w:p w:rsidR="006A4F0A" w:rsidRDefault="006A4F0A" w:rsidP="006A4F0A">
      <w:pPr>
        <w:pStyle w:val="AERtablesource"/>
      </w:pPr>
      <w:r w:rsidRPr="007113DF">
        <w:t>Source:</w:t>
      </w:r>
      <w:r w:rsidRPr="007113DF">
        <w:tab/>
        <w:t>AER analysis.</w:t>
      </w:r>
    </w:p>
    <w:p w:rsidR="006A4F0A" w:rsidRPr="00E25C88" w:rsidRDefault="006A4F0A" w:rsidP="006A4F0A">
      <w:pPr>
        <w:pStyle w:val="Caption"/>
      </w:pPr>
      <w:r w:rsidRPr="00E25C88">
        <w:t xml:space="preserve">Figure </w:t>
      </w:r>
      <w:r w:rsidR="008F6524">
        <w:t>3</w:t>
      </w:r>
      <w:r w:rsidRPr="00E25C88">
        <w:tab/>
        <w:t xml:space="preserve">AER's </w:t>
      </w:r>
      <w:r w:rsidR="0099349D">
        <w:t>p</w:t>
      </w:r>
      <w:r>
        <w:t xml:space="preserve">reliminary </w:t>
      </w:r>
      <w:r w:rsidRPr="00E25C88">
        <w:t>decision on constituent components of total revenue ($ million</w:t>
      </w:r>
      <w:r w:rsidR="00B4230A">
        <w:t>,</w:t>
      </w:r>
      <w:r w:rsidRPr="00E25C88">
        <w:t xml:space="preserve"> 2015)</w:t>
      </w:r>
      <w:r>
        <w:t xml:space="preserve"> </w:t>
      </w:r>
    </w:p>
    <w:p w:rsidR="006A4F0A" w:rsidRDefault="00660350" w:rsidP="006A4F0A">
      <w:pPr>
        <w:pStyle w:val="AERtablesource"/>
        <w:rPr>
          <w:rStyle w:val="AERbody"/>
        </w:rPr>
      </w:pPr>
      <w:r w:rsidRPr="00660350">
        <w:rPr>
          <w:noProof/>
          <w:lang w:eastAsia="en-AU"/>
        </w:rPr>
        <w:drawing>
          <wp:inline distT="0" distB="0" distL="0" distR="0" wp14:anchorId="41718FBA" wp14:editId="3CA3B015">
            <wp:extent cx="5382895" cy="32221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2155"/>
                    </a:xfrm>
                    <a:prstGeom prst="rect">
                      <a:avLst/>
                    </a:prstGeom>
                    <a:noFill/>
                    <a:ln>
                      <a:noFill/>
                    </a:ln>
                  </pic:spPr>
                </pic:pic>
              </a:graphicData>
            </a:graphic>
          </wp:inline>
        </w:drawing>
      </w:r>
    </w:p>
    <w:p w:rsidR="006A4F0A" w:rsidRPr="00B4230A" w:rsidRDefault="006A4F0A" w:rsidP="00B4230A">
      <w:pPr>
        <w:pStyle w:val="AERtablesource"/>
        <w:rPr>
          <w:rStyle w:val="AERbody"/>
          <w:sz w:val="16"/>
        </w:rPr>
      </w:pPr>
      <w:r w:rsidRPr="00B4230A">
        <w:rPr>
          <w:rStyle w:val="AERbody"/>
          <w:sz w:val="16"/>
        </w:rPr>
        <w:t xml:space="preserve">Source: </w:t>
      </w:r>
      <w:r w:rsidRPr="00B4230A">
        <w:rPr>
          <w:rStyle w:val="AERbody"/>
          <w:sz w:val="16"/>
        </w:rPr>
        <w:tab/>
        <w:t>AER analysis.</w:t>
      </w:r>
    </w:p>
    <w:p w:rsidR="008D2E49" w:rsidRDefault="008D2E49">
      <w:pPr>
        <w:spacing w:line="240" w:lineRule="auto"/>
        <w:rPr>
          <w:rStyle w:val="AERbodytextChar"/>
          <w:rFonts w:eastAsiaTheme="majorEastAsia" w:cstheme="majorBidi"/>
          <w:b/>
          <w:bCs/>
          <w:color w:val="70635A" w:themeColor="text2"/>
          <w:sz w:val="28"/>
        </w:rPr>
      </w:pPr>
      <w:r>
        <w:rPr>
          <w:rStyle w:val="AERbodytextChar"/>
          <w:rFonts w:eastAsiaTheme="majorEastAsia"/>
        </w:rPr>
        <w:br w:type="page"/>
      </w:r>
    </w:p>
    <w:p w:rsidR="00892D94" w:rsidRPr="001C71E4" w:rsidRDefault="00A40503" w:rsidP="00892D94">
      <w:pPr>
        <w:pStyle w:val="HeadingBoldBlue"/>
        <w:rPr>
          <w:rStyle w:val="AERbodytextChar"/>
          <w:rFonts w:eastAsiaTheme="majorEastAsia"/>
          <w:szCs w:val="22"/>
        </w:rPr>
      </w:pPr>
      <w:bookmarkStart w:id="20" w:name="_Toc433786782"/>
      <w:r>
        <w:rPr>
          <w:rStyle w:val="AERbodytextChar"/>
          <w:rFonts w:eastAsiaTheme="majorEastAsia"/>
        </w:rPr>
        <w:lastRenderedPageBreak/>
        <w:t>Expected i</w:t>
      </w:r>
      <w:r w:rsidR="00892D94" w:rsidRPr="00544801">
        <w:rPr>
          <w:rStyle w:val="AERbodytextChar"/>
          <w:rFonts w:eastAsiaTheme="majorEastAsia"/>
        </w:rPr>
        <w:t>mpact of decision on residential electricity bills</w:t>
      </w:r>
      <w:bookmarkEnd w:id="20"/>
    </w:p>
    <w:p w:rsidR="00892D94" w:rsidRDefault="00052810" w:rsidP="00892D94">
      <w:r>
        <w:t xml:space="preserve">Distribution charges </w:t>
      </w:r>
      <w:r w:rsidR="00892D94">
        <w:t>represent approximately 25 per cent, on average, of the annual electricity bill for Powercor customers</w:t>
      </w:r>
      <w:r w:rsidRPr="00052810">
        <w:t xml:space="preserve"> </w:t>
      </w:r>
      <w:r>
        <w:t>for standard control services</w:t>
      </w:r>
      <w:r w:rsidR="00892D94">
        <w:t>.</w:t>
      </w:r>
      <w:r w:rsidR="00892D94">
        <w:rPr>
          <w:rStyle w:val="FootnoteReference"/>
        </w:rPr>
        <w:footnoteReference w:id="3"/>
      </w:r>
      <w:r w:rsidR="00892D94">
        <w:t xml:space="preserve"> Other factors may affect a customer’s electricity bill, such as their consumption, their specific tariff, the wholesale price of electricity, or changes in the retail margin.</w:t>
      </w:r>
    </w:p>
    <w:p w:rsidR="003C0944" w:rsidRDefault="003C0944" w:rsidP="003C0944">
      <w:r>
        <w:t xml:space="preserve">In 2016 we expect a typical residential electricity bill to decrease by approximately 1.8 per cent. We expect a similar reduction in 2017 and then for </w:t>
      </w:r>
      <w:r w:rsidR="00D1526A">
        <w:t xml:space="preserve">bills </w:t>
      </w:r>
      <w:r>
        <w:t>to remain relatively stable for the remaining three yea</w:t>
      </w:r>
      <w:r w:rsidR="00CE21D3">
        <w:t>rs of the period.</w:t>
      </w:r>
    </w:p>
    <w:p w:rsidR="00892D94" w:rsidRDefault="00892D94" w:rsidP="00892D94">
      <w:r>
        <w:t>Table 1 shows the estimated impact of our preliminary d</w:t>
      </w:r>
      <w:r w:rsidRPr="00C729DC">
        <w:t xml:space="preserve">ecision </w:t>
      </w:r>
      <w:r>
        <w:t xml:space="preserve">on the average residential and small business customers' annual electricity bills in Powercor’s network area over the 2016–20 regulatory control period, compared with what was proposed by Powercor. </w:t>
      </w:r>
      <w:r w:rsidR="00B449D9" w:rsidRPr="00EB0C5A">
        <w:t xml:space="preserve">Our bill impact estimates are indicative </w:t>
      </w:r>
      <w:r w:rsidR="00B449D9">
        <w:t xml:space="preserve">because distribution network charges form only part of the final bill paid by customers, and individual </w:t>
      </w:r>
      <w:r w:rsidR="00DA6CC2">
        <w:t>customers’ actual bills will depend on their usage patterns and the structure of their tariffs.</w:t>
      </w:r>
    </w:p>
    <w:p w:rsidR="00892D94" w:rsidRDefault="00892D94" w:rsidP="00892D94">
      <w:pPr>
        <w:pStyle w:val="Caption"/>
      </w:pPr>
      <w:bookmarkStart w:id="21" w:name="_Ref416879023"/>
      <w:r w:rsidRPr="00012781">
        <w:t>Table</w:t>
      </w:r>
      <w:r>
        <w:t xml:space="preserve"> </w:t>
      </w:r>
      <w:bookmarkEnd w:id="21"/>
      <w:r>
        <w:t>1</w:t>
      </w:r>
      <w:r w:rsidRPr="00012781">
        <w:tab/>
        <w:t xml:space="preserve">AER's </w:t>
      </w:r>
      <w:r>
        <w:t>estimated impact of its preliminary decision on the average residential and small business customers' electricity bills in Powercor’s network for the 2016</w:t>
      </w:r>
      <w:r w:rsidRPr="007B3355">
        <w:t>−</w:t>
      </w:r>
      <w:r>
        <w:t>20 period</w:t>
      </w:r>
      <w:r w:rsidRPr="00012781">
        <w:t xml:space="preserve"> ($ nominal)</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892D94" w:rsidTr="00D52C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892D94" w:rsidRDefault="00892D94" w:rsidP="00D52C56"/>
        </w:tc>
        <w:tc>
          <w:tcPr>
            <w:tcW w:w="850" w:type="dxa"/>
          </w:tcPr>
          <w:p w:rsidR="00892D94" w:rsidRPr="00337B15" w:rsidRDefault="00892D94" w:rsidP="00D52C56">
            <w:pPr>
              <w:cnfStyle w:val="100000000000" w:firstRow="1" w:lastRow="0" w:firstColumn="0" w:lastColumn="0" w:oddVBand="0" w:evenVBand="0" w:oddHBand="0" w:evenHBand="0" w:firstRowFirstColumn="0" w:firstRowLastColumn="0" w:lastRowFirstColumn="0" w:lastRowLastColumn="0"/>
            </w:pPr>
            <w:r>
              <w:t>20</w:t>
            </w:r>
            <w:r w:rsidRPr="00337B15">
              <w:t>15</w:t>
            </w:r>
          </w:p>
        </w:tc>
        <w:tc>
          <w:tcPr>
            <w:tcW w:w="1121" w:type="dxa"/>
          </w:tcPr>
          <w:p w:rsidR="00892D94" w:rsidRPr="00337B15" w:rsidRDefault="00892D94" w:rsidP="00D52C56">
            <w:pPr>
              <w:cnfStyle w:val="100000000000" w:firstRow="1" w:lastRow="0" w:firstColumn="0" w:lastColumn="0" w:oddVBand="0" w:evenVBand="0" w:oddHBand="0" w:evenHBand="0" w:firstRowFirstColumn="0" w:firstRowLastColumn="0" w:lastRowFirstColumn="0" w:lastRowLastColumn="0"/>
            </w:pPr>
            <w:r>
              <w:t>20</w:t>
            </w:r>
            <w:r w:rsidRPr="00337B15">
              <w:t>16</w:t>
            </w:r>
          </w:p>
        </w:tc>
        <w:tc>
          <w:tcPr>
            <w:tcW w:w="1122" w:type="dxa"/>
          </w:tcPr>
          <w:p w:rsidR="00892D94" w:rsidRPr="00337B15" w:rsidRDefault="00892D94" w:rsidP="00D52C56">
            <w:pPr>
              <w:cnfStyle w:val="100000000000" w:firstRow="1" w:lastRow="0" w:firstColumn="0" w:lastColumn="0" w:oddVBand="0" w:evenVBand="0" w:oddHBand="0" w:evenHBand="0" w:firstRowFirstColumn="0" w:firstRowLastColumn="0" w:lastRowFirstColumn="0" w:lastRowLastColumn="0"/>
            </w:pPr>
            <w:r>
              <w:t>20</w:t>
            </w:r>
            <w:r w:rsidRPr="00337B15">
              <w:t>17</w:t>
            </w:r>
          </w:p>
        </w:tc>
        <w:tc>
          <w:tcPr>
            <w:tcW w:w="1121" w:type="dxa"/>
          </w:tcPr>
          <w:p w:rsidR="00892D94" w:rsidRPr="00337B15" w:rsidRDefault="00892D94" w:rsidP="00D52C56">
            <w:pPr>
              <w:cnfStyle w:val="100000000000" w:firstRow="1" w:lastRow="0" w:firstColumn="0" w:lastColumn="0" w:oddVBand="0" w:evenVBand="0" w:oddHBand="0" w:evenHBand="0" w:firstRowFirstColumn="0" w:firstRowLastColumn="0" w:lastRowFirstColumn="0" w:lastRowLastColumn="0"/>
            </w:pPr>
            <w:r>
              <w:t>20</w:t>
            </w:r>
            <w:r w:rsidRPr="00337B15">
              <w:t>18</w:t>
            </w:r>
          </w:p>
        </w:tc>
        <w:tc>
          <w:tcPr>
            <w:tcW w:w="1122" w:type="dxa"/>
          </w:tcPr>
          <w:p w:rsidR="00892D94" w:rsidRPr="00337B15" w:rsidRDefault="00892D94" w:rsidP="00D52C56">
            <w:pPr>
              <w:cnfStyle w:val="100000000000" w:firstRow="1" w:lastRow="0" w:firstColumn="0" w:lastColumn="0" w:oddVBand="0" w:evenVBand="0" w:oddHBand="0" w:evenHBand="0" w:firstRowFirstColumn="0" w:firstRowLastColumn="0" w:lastRowFirstColumn="0" w:lastRowLastColumn="0"/>
            </w:pPr>
            <w:r>
              <w:t>20</w:t>
            </w:r>
            <w:r w:rsidRPr="00337B15">
              <w:t>19</w:t>
            </w:r>
          </w:p>
        </w:tc>
        <w:tc>
          <w:tcPr>
            <w:tcW w:w="1122" w:type="dxa"/>
          </w:tcPr>
          <w:p w:rsidR="00892D94" w:rsidRPr="00337B15" w:rsidRDefault="00892D94" w:rsidP="00D52C56">
            <w:pPr>
              <w:cnfStyle w:val="100000000000" w:firstRow="1" w:lastRow="0" w:firstColumn="0" w:lastColumn="0" w:oddVBand="0" w:evenVBand="0" w:oddHBand="0" w:evenHBand="0" w:firstRowFirstColumn="0" w:firstRowLastColumn="0" w:lastRowFirstColumn="0" w:lastRowLastColumn="0"/>
            </w:pPr>
            <w:r>
              <w:t>2020</w:t>
            </w:r>
          </w:p>
        </w:tc>
      </w:tr>
      <w:tr w:rsidR="00D62197" w:rsidRPr="00E444F2" w:rsidTr="008D3409">
        <w:tc>
          <w:tcPr>
            <w:cnfStyle w:val="001000000000" w:firstRow="0" w:lastRow="0" w:firstColumn="1" w:lastColumn="0" w:oddVBand="0" w:evenVBand="0" w:oddHBand="0" w:evenHBand="0" w:firstRowFirstColumn="0" w:firstRowLastColumn="0" w:lastRowFirstColumn="0" w:lastRowLastColumn="0"/>
            <w:tcW w:w="8693" w:type="dxa"/>
            <w:gridSpan w:val="7"/>
          </w:tcPr>
          <w:p w:rsidR="00D62197" w:rsidRPr="00D62197" w:rsidRDefault="0099349D" w:rsidP="008D3409">
            <w:pPr>
              <w:rPr>
                <w:b/>
              </w:rPr>
            </w:pPr>
            <w:r>
              <w:rPr>
                <w:b/>
              </w:rPr>
              <w:t>AER p</w:t>
            </w:r>
            <w:r w:rsidR="00D62197" w:rsidRPr="00D62197">
              <w:rPr>
                <w:b/>
              </w:rPr>
              <w:t xml:space="preserve">reliminary decision </w:t>
            </w:r>
          </w:p>
        </w:tc>
      </w:tr>
      <w:tr w:rsidR="00D62197" w:rsidTr="008D3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2197" w:rsidRPr="00BF0C49" w:rsidRDefault="00D62197" w:rsidP="008D3409">
            <w:r w:rsidRPr="00BF0C49">
              <w:t>Residential annual bill</w:t>
            </w:r>
          </w:p>
        </w:tc>
        <w:tc>
          <w:tcPr>
            <w:tcW w:w="850" w:type="dxa"/>
            <w:vAlign w:val="bottom"/>
          </w:tcPr>
          <w:p w:rsidR="00D62197" w:rsidRPr="00034EF4" w:rsidRDefault="00D62197" w:rsidP="008D3409">
            <w:pPr>
              <w:cnfStyle w:val="000000010000" w:firstRow="0" w:lastRow="0" w:firstColumn="0" w:lastColumn="0" w:oddVBand="0" w:evenVBand="0" w:oddHBand="0" w:evenHBand="1" w:firstRowFirstColumn="0" w:firstRowLastColumn="0" w:lastRowFirstColumn="0" w:lastRowLastColumn="0"/>
            </w:pPr>
            <w:r w:rsidRPr="00034EF4">
              <w:t>1816</w:t>
            </w:r>
            <w:r w:rsidRPr="00BF0C49">
              <w:rPr>
                <w:rStyle w:val="AERsuperscript"/>
              </w:rPr>
              <w:t>a</w:t>
            </w:r>
          </w:p>
        </w:tc>
        <w:tc>
          <w:tcPr>
            <w:tcW w:w="1121"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1784</w:t>
            </w:r>
          </w:p>
        </w:tc>
        <w:tc>
          <w:tcPr>
            <w:tcW w:w="1122"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1755</w:t>
            </w:r>
          </w:p>
        </w:tc>
        <w:tc>
          <w:tcPr>
            <w:tcW w:w="1121"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1761</w:t>
            </w:r>
          </w:p>
        </w:tc>
        <w:tc>
          <w:tcPr>
            <w:tcW w:w="1122"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1767</w:t>
            </w:r>
          </w:p>
        </w:tc>
        <w:tc>
          <w:tcPr>
            <w:tcW w:w="1122"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1774</w:t>
            </w:r>
          </w:p>
        </w:tc>
      </w:tr>
      <w:tr w:rsidR="00D62197" w:rsidTr="008D3409">
        <w:tc>
          <w:tcPr>
            <w:cnfStyle w:val="001000000000" w:firstRow="0" w:lastRow="0" w:firstColumn="1" w:lastColumn="0" w:oddVBand="0" w:evenVBand="0" w:oddHBand="0" w:evenHBand="0" w:firstRowFirstColumn="0" w:firstRowLastColumn="0" w:lastRowFirstColumn="0" w:lastRowLastColumn="0"/>
            <w:tcW w:w="2235" w:type="dxa"/>
          </w:tcPr>
          <w:p w:rsidR="00D62197" w:rsidRPr="00BF0C49" w:rsidRDefault="00D62197" w:rsidP="008D3409">
            <w:r w:rsidRPr="00BF0C49">
              <w:t>Annual change</w:t>
            </w:r>
            <w:r w:rsidRPr="00A529EF">
              <w:rPr>
                <w:rStyle w:val="AERsuperscript"/>
              </w:rPr>
              <w:t>c</w:t>
            </w:r>
          </w:p>
        </w:tc>
        <w:tc>
          <w:tcPr>
            <w:tcW w:w="850" w:type="dxa"/>
            <w:vAlign w:val="bottom"/>
          </w:tcPr>
          <w:p w:rsidR="00D62197" w:rsidRPr="00034EF4" w:rsidRDefault="00D62197" w:rsidP="008D3409">
            <w:pPr>
              <w:cnfStyle w:val="000000000000" w:firstRow="0" w:lastRow="0" w:firstColumn="0" w:lastColumn="0" w:oddVBand="0" w:evenVBand="0" w:oddHBand="0" w:evenHBand="0" w:firstRowFirstColumn="0" w:firstRowLastColumn="0" w:lastRowFirstColumn="0" w:lastRowLastColumn="0"/>
            </w:pPr>
            <w:r w:rsidRPr="00034EF4">
              <w:t> </w:t>
            </w:r>
          </w:p>
        </w:tc>
        <w:tc>
          <w:tcPr>
            <w:tcW w:w="1121"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t>–32 (–</w:t>
            </w:r>
            <w:r w:rsidRPr="00B123B4">
              <w:t>1.8%)</w:t>
            </w:r>
          </w:p>
        </w:tc>
        <w:tc>
          <w:tcPr>
            <w:tcW w:w="1122"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t>–29 (–</w:t>
            </w:r>
            <w:r w:rsidRPr="00B123B4">
              <w:t>1.6%)</w:t>
            </w:r>
          </w:p>
        </w:tc>
        <w:tc>
          <w:tcPr>
            <w:tcW w:w="1121"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rsidRPr="00B123B4">
              <w:t>6 (0.4%)</w:t>
            </w:r>
          </w:p>
        </w:tc>
        <w:tc>
          <w:tcPr>
            <w:tcW w:w="1122"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rsidRPr="00B123B4">
              <w:t>6 (0.4%)</w:t>
            </w:r>
          </w:p>
        </w:tc>
        <w:tc>
          <w:tcPr>
            <w:tcW w:w="1122"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rsidRPr="00B123B4">
              <w:t>7 (0.4%)</w:t>
            </w:r>
          </w:p>
        </w:tc>
      </w:tr>
      <w:tr w:rsidR="00D62197" w:rsidTr="008D3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2197" w:rsidRPr="00BF0C49" w:rsidRDefault="00D62197" w:rsidP="008D3409">
            <w:r w:rsidRPr="00BF0C49">
              <w:t>Small business annual bill</w:t>
            </w:r>
          </w:p>
        </w:tc>
        <w:tc>
          <w:tcPr>
            <w:tcW w:w="850" w:type="dxa"/>
            <w:vAlign w:val="bottom"/>
          </w:tcPr>
          <w:p w:rsidR="00D62197" w:rsidRPr="00034EF4" w:rsidRDefault="00D62197" w:rsidP="008D3409">
            <w:pPr>
              <w:cnfStyle w:val="000000010000" w:firstRow="0" w:lastRow="0" w:firstColumn="0" w:lastColumn="0" w:oddVBand="0" w:evenVBand="0" w:oddHBand="0" w:evenHBand="1" w:firstRowFirstColumn="0" w:firstRowLastColumn="0" w:lastRowFirstColumn="0" w:lastRowLastColumn="0"/>
            </w:pPr>
            <w:r w:rsidRPr="00034EF4">
              <w:t>3998</w:t>
            </w:r>
            <w:r w:rsidRPr="00BF0C49">
              <w:rPr>
                <w:rStyle w:val="AERsuperscript"/>
              </w:rPr>
              <w:t>b</w:t>
            </w:r>
          </w:p>
        </w:tc>
        <w:tc>
          <w:tcPr>
            <w:tcW w:w="1121"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3927</w:t>
            </w:r>
          </w:p>
        </w:tc>
        <w:tc>
          <w:tcPr>
            <w:tcW w:w="1122"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3863</w:t>
            </w:r>
          </w:p>
        </w:tc>
        <w:tc>
          <w:tcPr>
            <w:tcW w:w="1121"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3877</w:t>
            </w:r>
          </w:p>
        </w:tc>
        <w:tc>
          <w:tcPr>
            <w:tcW w:w="1122"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3891</w:t>
            </w:r>
          </w:p>
        </w:tc>
        <w:tc>
          <w:tcPr>
            <w:tcW w:w="1122" w:type="dxa"/>
            <w:vAlign w:val="bottom"/>
          </w:tcPr>
          <w:p w:rsidR="00D62197" w:rsidRPr="00B123B4" w:rsidRDefault="00D62197" w:rsidP="008D3409">
            <w:pPr>
              <w:cnfStyle w:val="000000010000" w:firstRow="0" w:lastRow="0" w:firstColumn="0" w:lastColumn="0" w:oddVBand="0" w:evenVBand="0" w:oddHBand="0" w:evenHBand="1" w:firstRowFirstColumn="0" w:firstRowLastColumn="0" w:lastRowFirstColumn="0" w:lastRowLastColumn="0"/>
            </w:pPr>
            <w:r w:rsidRPr="00B123B4">
              <w:t>3906</w:t>
            </w:r>
          </w:p>
        </w:tc>
      </w:tr>
      <w:tr w:rsidR="00D62197" w:rsidTr="008D3409">
        <w:tc>
          <w:tcPr>
            <w:cnfStyle w:val="001000000000" w:firstRow="0" w:lastRow="0" w:firstColumn="1" w:lastColumn="0" w:oddVBand="0" w:evenVBand="0" w:oddHBand="0" w:evenHBand="0" w:firstRowFirstColumn="0" w:firstRowLastColumn="0" w:lastRowFirstColumn="0" w:lastRowLastColumn="0"/>
            <w:tcW w:w="2235" w:type="dxa"/>
          </w:tcPr>
          <w:p w:rsidR="00D62197" w:rsidRPr="00BF0C49" w:rsidRDefault="00D62197" w:rsidP="008D3409">
            <w:r w:rsidRPr="00BF0C49">
              <w:t>Annual change</w:t>
            </w:r>
            <w:r w:rsidRPr="00A529EF">
              <w:rPr>
                <w:rStyle w:val="AERsuperscript"/>
              </w:rPr>
              <w:t>c</w:t>
            </w:r>
          </w:p>
        </w:tc>
        <w:tc>
          <w:tcPr>
            <w:tcW w:w="850" w:type="dxa"/>
            <w:vAlign w:val="bottom"/>
          </w:tcPr>
          <w:p w:rsidR="00D62197" w:rsidRPr="00034EF4" w:rsidRDefault="00D62197" w:rsidP="008D3409">
            <w:pPr>
              <w:cnfStyle w:val="000000000000" w:firstRow="0" w:lastRow="0" w:firstColumn="0" w:lastColumn="0" w:oddVBand="0" w:evenVBand="0" w:oddHBand="0" w:evenHBand="0" w:firstRowFirstColumn="0" w:firstRowLastColumn="0" w:lastRowFirstColumn="0" w:lastRowLastColumn="0"/>
            </w:pPr>
            <w:r w:rsidRPr="00034EF4">
              <w:t> </w:t>
            </w:r>
          </w:p>
        </w:tc>
        <w:tc>
          <w:tcPr>
            <w:tcW w:w="1121"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t>–</w:t>
            </w:r>
            <w:r w:rsidRPr="00B123B4">
              <w:t>71 (</w:t>
            </w:r>
            <w:r>
              <w:t>–</w:t>
            </w:r>
            <w:r w:rsidRPr="00B123B4">
              <w:t>1.8%)</w:t>
            </w:r>
          </w:p>
        </w:tc>
        <w:tc>
          <w:tcPr>
            <w:tcW w:w="1122"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t>–</w:t>
            </w:r>
            <w:r w:rsidRPr="00B123B4">
              <w:t>64 (</w:t>
            </w:r>
            <w:r>
              <w:t>–</w:t>
            </w:r>
            <w:r w:rsidRPr="00B123B4">
              <w:t>1.6%)</w:t>
            </w:r>
          </w:p>
        </w:tc>
        <w:tc>
          <w:tcPr>
            <w:tcW w:w="1121"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rsidRPr="00B123B4">
              <w:t>14 (0.4%)</w:t>
            </w:r>
          </w:p>
        </w:tc>
        <w:tc>
          <w:tcPr>
            <w:tcW w:w="1122"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rsidRPr="00B123B4">
              <w:t>14 (0.4%)</w:t>
            </w:r>
          </w:p>
        </w:tc>
        <w:tc>
          <w:tcPr>
            <w:tcW w:w="1122" w:type="dxa"/>
            <w:vAlign w:val="bottom"/>
          </w:tcPr>
          <w:p w:rsidR="00D62197" w:rsidRPr="00B123B4" w:rsidRDefault="00D62197" w:rsidP="008D3409">
            <w:pPr>
              <w:cnfStyle w:val="000000000000" w:firstRow="0" w:lastRow="0" w:firstColumn="0" w:lastColumn="0" w:oddVBand="0" w:evenVBand="0" w:oddHBand="0" w:evenHBand="0" w:firstRowFirstColumn="0" w:firstRowLastColumn="0" w:lastRowFirstColumn="0" w:lastRowLastColumn="0"/>
            </w:pPr>
            <w:r w:rsidRPr="00B123B4">
              <w:t>15 (0.4%)</w:t>
            </w:r>
          </w:p>
        </w:tc>
      </w:tr>
      <w:tr w:rsidR="00892D94" w:rsidTr="00D52C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892D94" w:rsidRPr="00337B15" w:rsidRDefault="00892D94" w:rsidP="00D52C56">
            <w:r>
              <w:rPr>
                <w:rStyle w:val="Strong"/>
              </w:rPr>
              <w:t>Powercor</w:t>
            </w:r>
            <w:r w:rsidRPr="00337B15">
              <w:rPr>
                <w:rStyle w:val="Strong"/>
              </w:rPr>
              <w:t xml:space="preserve"> proposal</w:t>
            </w:r>
          </w:p>
        </w:tc>
      </w:tr>
      <w:tr w:rsidR="00892D94" w:rsidTr="00D52C56">
        <w:tc>
          <w:tcPr>
            <w:cnfStyle w:val="001000000000" w:firstRow="0" w:lastRow="0" w:firstColumn="1" w:lastColumn="0" w:oddVBand="0" w:evenVBand="0" w:oddHBand="0" w:evenHBand="0" w:firstRowFirstColumn="0" w:firstRowLastColumn="0" w:lastRowFirstColumn="0" w:lastRowLastColumn="0"/>
            <w:tcW w:w="2235" w:type="dxa"/>
          </w:tcPr>
          <w:p w:rsidR="00892D94" w:rsidRPr="00BF0C49" w:rsidRDefault="00892D94" w:rsidP="00D52C56">
            <w:r w:rsidRPr="00BF0C49">
              <w:t>Residential annual bill</w:t>
            </w:r>
          </w:p>
        </w:tc>
        <w:tc>
          <w:tcPr>
            <w:tcW w:w="850"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1816</w:t>
            </w:r>
            <w:r w:rsidRPr="00BF0C49">
              <w:rPr>
                <w:rStyle w:val="AERsuperscript"/>
              </w:rPr>
              <w:t>a</w:t>
            </w:r>
          </w:p>
        </w:tc>
        <w:tc>
          <w:tcPr>
            <w:tcW w:w="1121"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1804</w:t>
            </w:r>
          </w:p>
        </w:tc>
        <w:tc>
          <w:tcPr>
            <w:tcW w:w="1122"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1823</w:t>
            </w:r>
          </w:p>
        </w:tc>
        <w:tc>
          <w:tcPr>
            <w:tcW w:w="1121"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1842</w:t>
            </w:r>
          </w:p>
        </w:tc>
        <w:tc>
          <w:tcPr>
            <w:tcW w:w="1122"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1861</w:t>
            </w:r>
          </w:p>
        </w:tc>
        <w:tc>
          <w:tcPr>
            <w:tcW w:w="1122"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1881</w:t>
            </w:r>
          </w:p>
        </w:tc>
      </w:tr>
      <w:tr w:rsidR="00892D94" w:rsidTr="00D52C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92D94" w:rsidRPr="00BF0C49" w:rsidRDefault="00892D94" w:rsidP="00D52C56">
            <w:r w:rsidRPr="00BF0C49">
              <w:t>Annual change</w:t>
            </w:r>
            <w:r w:rsidRPr="00A529EF">
              <w:rPr>
                <w:rStyle w:val="AERsuperscript"/>
              </w:rPr>
              <w:t>c</w:t>
            </w:r>
          </w:p>
        </w:tc>
        <w:tc>
          <w:tcPr>
            <w:tcW w:w="850"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 </w:t>
            </w:r>
          </w:p>
        </w:tc>
        <w:tc>
          <w:tcPr>
            <w:tcW w:w="1121"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t>–12 (–</w:t>
            </w:r>
            <w:r w:rsidRPr="00034EF4">
              <w:t>0.6%)</w:t>
            </w:r>
          </w:p>
        </w:tc>
        <w:tc>
          <w:tcPr>
            <w:tcW w:w="1122"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19 (1.1%)</w:t>
            </w:r>
          </w:p>
        </w:tc>
        <w:tc>
          <w:tcPr>
            <w:tcW w:w="1121"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18 (1</w:t>
            </w:r>
            <w:r w:rsidR="00D62197">
              <w:t>.1</w:t>
            </w:r>
            <w:r w:rsidRPr="00034EF4">
              <w:t>%)</w:t>
            </w:r>
          </w:p>
        </w:tc>
        <w:tc>
          <w:tcPr>
            <w:tcW w:w="1122"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19 (1</w:t>
            </w:r>
            <w:r w:rsidR="00D62197">
              <w:t>.1</w:t>
            </w:r>
            <w:r w:rsidRPr="00034EF4">
              <w:t>%)</w:t>
            </w:r>
          </w:p>
        </w:tc>
        <w:tc>
          <w:tcPr>
            <w:tcW w:w="1122"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20 (1.1%)</w:t>
            </w:r>
          </w:p>
        </w:tc>
      </w:tr>
      <w:tr w:rsidR="00892D94" w:rsidTr="00D52C56">
        <w:tc>
          <w:tcPr>
            <w:cnfStyle w:val="001000000000" w:firstRow="0" w:lastRow="0" w:firstColumn="1" w:lastColumn="0" w:oddVBand="0" w:evenVBand="0" w:oddHBand="0" w:evenHBand="0" w:firstRowFirstColumn="0" w:firstRowLastColumn="0" w:lastRowFirstColumn="0" w:lastRowLastColumn="0"/>
            <w:tcW w:w="2235" w:type="dxa"/>
          </w:tcPr>
          <w:p w:rsidR="00892D94" w:rsidRPr="00BF0C49" w:rsidRDefault="00892D94" w:rsidP="00D52C56">
            <w:r w:rsidRPr="00BF0C49">
              <w:t>Small business annual bill</w:t>
            </w:r>
          </w:p>
        </w:tc>
        <w:tc>
          <w:tcPr>
            <w:tcW w:w="850"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3998</w:t>
            </w:r>
            <w:r w:rsidRPr="00BF0C49">
              <w:rPr>
                <w:rStyle w:val="AERsuperscript"/>
              </w:rPr>
              <w:t>b</w:t>
            </w:r>
          </w:p>
        </w:tc>
        <w:tc>
          <w:tcPr>
            <w:tcW w:w="1121"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3972</w:t>
            </w:r>
          </w:p>
        </w:tc>
        <w:tc>
          <w:tcPr>
            <w:tcW w:w="1122"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4014</w:t>
            </w:r>
          </w:p>
        </w:tc>
        <w:tc>
          <w:tcPr>
            <w:tcW w:w="1121"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4054</w:t>
            </w:r>
          </w:p>
        </w:tc>
        <w:tc>
          <w:tcPr>
            <w:tcW w:w="1122"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4096</w:t>
            </w:r>
          </w:p>
        </w:tc>
        <w:tc>
          <w:tcPr>
            <w:tcW w:w="1122" w:type="dxa"/>
            <w:vAlign w:val="bottom"/>
          </w:tcPr>
          <w:p w:rsidR="00892D94" w:rsidRPr="00034EF4" w:rsidRDefault="00892D94" w:rsidP="00D52C56">
            <w:pPr>
              <w:cnfStyle w:val="000000000000" w:firstRow="0" w:lastRow="0" w:firstColumn="0" w:lastColumn="0" w:oddVBand="0" w:evenVBand="0" w:oddHBand="0" w:evenHBand="0" w:firstRowFirstColumn="0" w:firstRowLastColumn="0" w:lastRowFirstColumn="0" w:lastRowLastColumn="0"/>
            </w:pPr>
            <w:r w:rsidRPr="00034EF4">
              <w:t>4141</w:t>
            </w:r>
          </w:p>
        </w:tc>
      </w:tr>
      <w:tr w:rsidR="00892D94" w:rsidTr="00D52C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92D94" w:rsidRPr="00BF0C49" w:rsidRDefault="00892D94" w:rsidP="00D52C56">
            <w:r w:rsidRPr="00BF0C49">
              <w:t>Annual change</w:t>
            </w:r>
            <w:r w:rsidRPr="00A529EF">
              <w:rPr>
                <w:rStyle w:val="AERsuperscript"/>
              </w:rPr>
              <w:t>c</w:t>
            </w:r>
          </w:p>
        </w:tc>
        <w:tc>
          <w:tcPr>
            <w:tcW w:w="850"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 </w:t>
            </w:r>
          </w:p>
        </w:tc>
        <w:tc>
          <w:tcPr>
            <w:tcW w:w="1121"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t>–26 (–</w:t>
            </w:r>
            <w:r w:rsidRPr="00034EF4">
              <w:t>0.6%)</w:t>
            </w:r>
          </w:p>
        </w:tc>
        <w:tc>
          <w:tcPr>
            <w:tcW w:w="1122"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42 (1.1%)</w:t>
            </w:r>
          </w:p>
        </w:tc>
        <w:tc>
          <w:tcPr>
            <w:tcW w:w="1121"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40 (1</w:t>
            </w:r>
            <w:r w:rsidR="00D62197">
              <w:t>.1</w:t>
            </w:r>
            <w:r w:rsidRPr="00034EF4">
              <w:t>%)</w:t>
            </w:r>
          </w:p>
        </w:tc>
        <w:tc>
          <w:tcPr>
            <w:tcW w:w="1122"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42 (1</w:t>
            </w:r>
            <w:r w:rsidR="00D62197">
              <w:t>.1</w:t>
            </w:r>
            <w:r w:rsidRPr="00034EF4">
              <w:t>%)</w:t>
            </w:r>
          </w:p>
        </w:tc>
        <w:tc>
          <w:tcPr>
            <w:tcW w:w="1122" w:type="dxa"/>
            <w:vAlign w:val="bottom"/>
          </w:tcPr>
          <w:p w:rsidR="00892D94" w:rsidRPr="00034EF4" w:rsidRDefault="00892D94" w:rsidP="00D52C56">
            <w:pPr>
              <w:cnfStyle w:val="000000010000" w:firstRow="0" w:lastRow="0" w:firstColumn="0" w:lastColumn="0" w:oddVBand="0" w:evenVBand="0" w:oddHBand="0" w:evenHBand="1" w:firstRowFirstColumn="0" w:firstRowLastColumn="0" w:lastRowFirstColumn="0" w:lastRowLastColumn="0"/>
            </w:pPr>
            <w:r w:rsidRPr="00034EF4">
              <w:t>45 (1.1%)</w:t>
            </w:r>
          </w:p>
        </w:tc>
      </w:tr>
    </w:tbl>
    <w:p w:rsidR="00892D94" w:rsidRPr="00A14FB0" w:rsidRDefault="00892D94" w:rsidP="00892D94">
      <w:pPr>
        <w:pStyle w:val="AERtablesource"/>
      </w:pPr>
      <w:r>
        <w:t xml:space="preserve">Source: </w:t>
      </w:r>
      <w:r>
        <w:tab/>
      </w:r>
      <w:r w:rsidR="002116B8">
        <w:t>AER analysis, ESC, Victorian Energy Retailers Comparative Performance Report – Pricing 2013-14, October 2014.</w:t>
      </w:r>
    </w:p>
    <w:p w:rsidR="00892D94" w:rsidRPr="00A14FB0" w:rsidRDefault="00892D94" w:rsidP="00892D94">
      <w:pPr>
        <w:pStyle w:val="AERtablesource"/>
      </w:pPr>
      <w:r w:rsidRPr="00A14FB0">
        <w:t>(a)</w:t>
      </w:r>
      <w:r w:rsidRPr="00A14FB0">
        <w:tab/>
        <w:t xml:space="preserve">Based on </w:t>
      </w:r>
      <w:r w:rsidRPr="00BF0C49">
        <w:t xml:space="preserve">average of standing offers </w:t>
      </w:r>
      <w:r>
        <w:t xml:space="preserve">at </w:t>
      </w:r>
      <w:r w:rsidRPr="00BF0C49">
        <w:t>June 2015</w:t>
      </w:r>
      <w:r>
        <w:t xml:space="preserve"> on </w:t>
      </w:r>
      <w:r w:rsidRPr="00BF0C49">
        <w:t>Switchon comparison tool (postcode 3</w:t>
      </w:r>
      <w:r>
        <w:t>550</w:t>
      </w:r>
      <w:r w:rsidRPr="00BF0C49">
        <w:t>)</w:t>
      </w:r>
      <w:r>
        <w:t xml:space="preserve"> using </w:t>
      </w:r>
      <w:r w:rsidRPr="00A14FB0">
        <w:t>annual bill for typical consumption of 4</w:t>
      </w:r>
      <w:r>
        <w:t>690 kWh per year.</w:t>
      </w:r>
    </w:p>
    <w:p w:rsidR="00892D94" w:rsidRDefault="00892D94" w:rsidP="00892D94">
      <w:pPr>
        <w:pStyle w:val="AERtablesource"/>
      </w:pPr>
      <w:r w:rsidRPr="00A14FB0">
        <w:lastRenderedPageBreak/>
        <w:t>(b)</w:t>
      </w:r>
      <w:r w:rsidRPr="00A14FB0">
        <w:tab/>
      </w:r>
      <w:r w:rsidRPr="00BF0C49">
        <w:t>Based on average of standing offers at June 2015 on Switchon comparison tool (postcode 3</w:t>
      </w:r>
      <w:r>
        <w:t>550</w:t>
      </w:r>
      <w:r w:rsidRPr="00BF0C49">
        <w:t xml:space="preserve">) using annual bill for typical consumption of </w:t>
      </w:r>
      <w:r>
        <w:t>12020</w:t>
      </w:r>
      <w:r w:rsidRPr="00BF0C49">
        <w:t xml:space="preserve"> kWh per year.</w:t>
      </w:r>
    </w:p>
    <w:p w:rsidR="00892D94" w:rsidRPr="00410C4F" w:rsidRDefault="00892D94" w:rsidP="00892D94">
      <w:pPr>
        <w:pStyle w:val="AERtablesource"/>
      </w:pPr>
      <w:r>
        <w:t>(c)</w:t>
      </w:r>
      <w:r>
        <w:tab/>
      </w:r>
      <w:r w:rsidRPr="00410C4F">
        <w:t>Annual change amounts and percentages are indicative. They are derived by varying 20</w:t>
      </w:r>
      <w:r>
        <w:t>1</w:t>
      </w:r>
      <w:r w:rsidRPr="00410C4F">
        <w:t>5 bill amounts in proportion with total annual regulated revenue divided by forecast demand. Actual bill impacts will vary depending on electricity consumption, tariff class and other variables.</w:t>
      </w:r>
    </w:p>
    <w:p w:rsidR="006A4F0A" w:rsidRDefault="00892D94" w:rsidP="006A4F0A">
      <w:pPr>
        <w:pStyle w:val="Heading2"/>
        <w:rPr>
          <w:rStyle w:val="AERbodytextChar"/>
          <w:rFonts w:eastAsiaTheme="minorHAnsi"/>
        </w:rPr>
      </w:pPr>
      <w:bookmarkStart w:id="22" w:name="_Toc433786783"/>
      <w:r>
        <w:rPr>
          <w:rStyle w:val="AERbodytextChar"/>
          <w:rFonts w:eastAsiaTheme="minorHAnsi"/>
        </w:rPr>
        <w:t>Key aspects of our p</w:t>
      </w:r>
      <w:r w:rsidR="006A4F0A">
        <w:rPr>
          <w:rStyle w:val="AERbodytextChar"/>
          <w:rFonts w:eastAsiaTheme="minorHAnsi"/>
        </w:rPr>
        <w:t>reliminary decision</w:t>
      </w:r>
      <w:bookmarkEnd w:id="22"/>
    </w:p>
    <w:p w:rsidR="00277533" w:rsidRDefault="00B0645F" w:rsidP="00B0645F">
      <w:pPr>
        <w:rPr>
          <w:rStyle w:val="AERbodytextChar"/>
          <w:rFonts w:eastAsiaTheme="minorHAnsi"/>
        </w:rPr>
      </w:pPr>
      <w:bookmarkStart w:id="23" w:name="_Toc432083544"/>
      <w:r w:rsidRPr="00DA7FB8">
        <w:rPr>
          <w:rStyle w:val="AERbodytextChar"/>
          <w:rFonts w:eastAsiaTheme="minorHAnsi"/>
        </w:rPr>
        <w:t>The total revenue approved in our preliminary decision reflects a number of factors</w:t>
      </w:r>
      <w:r w:rsidR="00277533">
        <w:rPr>
          <w:rStyle w:val="AERbodytextChar"/>
          <w:rFonts w:eastAsiaTheme="minorHAnsi"/>
        </w:rPr>
        <w:t>:</w:t>
      </w:r>
      <w:r w:rsidRPr="00DA7FB8">
        <w:rPr>
          <w:rStyle w:val="AERbodytextChar"/>
          <w:rFonts w:eastAsiaTheme="minorHAnsi"/>
        </w:rPr>
        <w:t xml:space="preserve"> </w:t>
      </w:r>
    </w:p>
    <w:p w:rsidR="00277533" w:rsidRDefault="00162844" w:rsidP="00277533">
      <w:pPr>
        <w:pStyle w:val="AERbulletlistfirststyle"/>
        <w:rPr>
          <w:rStyle w:val="AERbodytextChar"/>
          <w:rFonts w:eastAsiaTheme="minorHAnsi"/>
        </w:rPr>
      </w:pPr>
      <w:r>
        <w:rPr>
          <w:rStyle w:val="AERbodytextChar"/>
          <w:rFonts w:eastAsiaTheme="minorHAnsi"/>
        </w:rPr>
        <w:t xml:space="preserve">Based on our benchmarking results we find that Powercor has been operating relatively efficiently—such that we can use Powercor’s 2014 opex as a basis for assessing overall forecasts going forward. However, we still must assess </w:t>
      </w:r>
      <w:r w:rsidRPr="00FB0DE8">
        <w:rPr>
          <w:rStyle w:val="AERbodytextChar"/>
          <w:rFonts w:eastAsiaTheme="minorHAnsi"/>
        </w:rPr>
        <w:t>the prudency and efficiency of</w:t>
      </w:r>
      <w:r>
        <w:rPr>
          <w:rStyle w:val="AERbodytextChar"/>
          <w:rFonts w:eastAsiaTheme="minorHAnsi"/>
        </w:rPr>
        <w:t xml:space="preserve"> proposed</w:t>
      </w:r>
      <w:r w:rsidRPr="00FB0DE8">
        <w:rPr>
          <w:rStyle w:val="AERbodytextChar"/>
          <w:rFonts w:eastAsiaTheme="minorHAnsi"/>
        </w:rPr>
        <w:t xml:space="preserve"> forecast cost increases</w:t>
      </w:r>
      <w:r>
        <w:rPr>
          <w:rStyle w:val="AERbodytextChar"/>
          <w:rFonts w:eastAsiaTheme="minorHAnsi"/>
        </w:rPr>
        <w:t xml:space="preserve"> going forward</w:t>
      </w:r>
      <w:r w:rsidRPr="00FB0DE8">
        <w:rPr>
          <w:rStyle w:val="AERbodytextChar"/>
          <w:rFonts w:eastAsiaTheme="minorHAnsi"/>
        </w:rPr>
        <w:t xml:space="preserve"> </w:t>
      </w:r>
      <w:r>
        <w:rPr>
          <w:rStyle w:val="AERbodytextChar"/>
          <w:rFonts w:eastAsiaTheme="minorHAnsi"/>
        </w:rPr>
        <w:t>(section 2.2.1).</w:t>
      </w:r>
      <w:r w:rsidR="00B0645F" w:rsidRPr="00DA7FB8">
        <w:rPr>
          <w:rStyle w:val="AERbodytextChar"/>
          <w:rFonts w:eastAsiaTheme="minorHAnsi"/>
        </w:rPr>
        <w:t xml:space="preserve"> </w:t>
      </w:r>
    </w:p>
    <w:p w:rsidR="00721B11" w:rsidRDefault="00CE21D3" w:rsidP="00277533">
      <w:pPr>
        <w:pStyle w:val="AERbulletlistfirststyle"/>
        <w:rPr>
          <w:rStyle w:val="AERbodytextChar"/>
          <w:rFonts w:eastAsiaTheme="minorHAnsi"/>
        </w:rPr>
      </w:pPr>
      <w:r w:rsidRPr="005A7508">
        <w:rPr>
          <w:rStyle w:val="AERbodytextChar"/>
          <w:rFonts w:eastAsiaTheme="minorHAnsi"/>
        </w:rPr>
        <w:t xml:space="preserve">Advanced metering infrastructure is classified as an ‘alternative control service’. The associated efficient costs </w:t>
      </w:r>
      <w:r w:rsidRPr="00CB15B7">
        <w:rPr>
          <w:rStyle w:val="AERbodytextChar"/>
          <w:rFonts w:eastAsiaTheme="minorHAnsi"/>
        </w:rPr>
        <w:t xml:space="preserve">are </w:t>
      </w:r>
      <w:r w:rsidR="008D20D7">
        <w:rPr>
          <w:rStyle w:val="AERbodytextChar"/>
          <w:rFonts w:eastAsiaTheme="minorHAnsi"/>
        </w:rPr>
        <w:t xml:space="preserve">not included in Powercor’s allowed revenue of </w:t>
      </w:r>
      <w:r w:rsidR="008D20D7" w:rsidRPr="00B4230A">
        <w:t>$</w:t>
      </w:r>
      <w:r w:rsidR="008D20D7">
        <w:t>3085.8</w:t>
      </w:r>
      <w:r w:rsidR="008D20D7">
        <w:rPr>
          <w:rStyle w:val="AERbodytextChar"/>
          <w:rFonts w:eastAsiaTheme="minorHAnsi"/>
        </w:rPr>
        <w:t> </w:t>
      </w:r>
      <w:r w:rsidR="008D20D7" w:rsidRPr="00337B15">
        <w:rPr>
          <w:rStyle w:val="AERbodytextChar"/>
          <w:rFonts w:eastAsiaTheme="minorHAnsi"/>
        </w:rPr>
        <w:t xml:space="preserve">million </w:t>
      </w:r>
      <w:r w:rsidR="008D20D7">
        <w:rPr>
          <w:rStyle w:val="AERbodytextChar"/>
          <w:rFonts w:eastAsiaTheme="minorHAnsi"/>
        </w:rPr>
        <w:t xml:space="preserve">for </w:t>
      </w:r>
      <w:r w:rsidR="008D20D7" w:rsidRPr="002872D7">
        <w:rPr>
          <w:rStyle w:val="AERbodytextChar"/>
          <w:rFonts w:eastAsiaTheme="minorHAnsi"/>
        </w:rPr>
        <w:t>st</w:t>
      </w:r>
      <w:r w:rsidR="008D20D7">
        <w:rPr>
          <w:rStyle w:val="AERbodytextChar"/>
          <w:rFonts w:eastAsiaTheme="minorHAnsi"/>
        </w:rPr>
        <w:t>andard control services—</w:t>
      </w:r>
      <w:r w:rsidRPr="005A7508">
        <w:rPr>
          <w:rStyle w:val="AERbodytextChar"/>
          <w:rFonts w:eastAsiaTheme="minorHAnsi"/>
        </w:rPr>
        <w:t xml:space="preserve">but rather are recovered under a separate annual metering charge </w:t>
      </w:r>
      <w:r w:rsidR="008D20D7">
        <w:rPr>
          <w:rStyle w:val="AERbodytextChar"/>
          <w:rFonts w:eastAsiaTheme="minorHAnsi"/>
        </w:rPr>
        <w:t>(section 2.2.2).</w:t>
      </w:r>
    </w:p>
    <w:p w:rsidR="00277533" w:rsidRDefault="00B0645F" w:rsidP="00277533">
      <w:pPr>
        <w:pStyle w:val="AERbulletlistfirststyle"/>
        <w:rPr>
          <w:rStyle w:val="AERbodytextChar"/>
          <w:rFonts w:eastAsiaTheme="minorHAnsi"/>
        </w:rPr>
      </w:pPr>
      <w:r w:rsidRPr="00DA7FB8">
        <w:rPr>
          <w:rStyle w:val="AERbodytextChar"/>
          <w:rFonts w:eastAsiaTheme="minorHAnsi"/>
        </w:rPr>
        <w:t xml:space="preserve">We have approved sufficient capital expenditure to allow </w:t>
      </w:r>
      <w:r>
        <w:rPr>
          <w:rStyle w:val="AERbodytextChar"/>
          <w:rFonts w:eastAsiaTheme="minorHAnsi"/>
        </w:rPr>
        <w:t>Powercor</w:t>
      </w:r>
      <w:r w:rsidRPr="00DA7FB8">
        <w:rPr>
          <w:rStyle w:val="AERbodytextChar"/>
          <w:rFonts w:eastAsiaTheme="minorHAnsi"/>
        </w:rPr>
        <w:t xml:space="preserve"> to maintain the quality, reliability and security of electricity supply, among other things (section 2.2.</w:t>
      </w:r>
      <w:r w:rsidR="00721B11">
        <w:rPr>
          <w:rStyle w:val="AERbodytextChar"/>
          <w:rFonts w:eastAsiaTheme="minorHAnsi"/>
        </w:rPr>
        <w:t>3</w:t>
      </w:r>
      <w:r w:rsidRPr="00DA7FB8">
        <w:rPr>
          <w:rStyle w:val="AERbodytextChar"/>
          <w:rFonts w:eastAsiaTheme="minorHAnsi"/>
        </w:rPr>
        <w:t xml:space="preserve">). </w:t>
      </w:r>
    </w:p>
    <w:p w:rsidR="00B0645F" w:rsidRPr="00DA7FB8" w:rsidRDefault="00277533" w:rsidP="00277533">
      <w:pPr>
        <w:pStyle w:val="AERbulletlistfirststyle"/>
        <w:rPr>
          <w:rStyle w:val="AERbodytextChar"/>
          <w:rFonts w:eastAsiaTheme="minorHAnsi"/>
        </w:rPr>
      </w:pPr>
      <w:r>
        <w:rPr>
          <w:rStyle w:val="AERbodytextChar"/>
          <w:rFonts w:eastAsiaTheme="minorHAnsi"/>
        </w:rPr>
        <w:t>T</w:t>
      </w:r>
      <w:r w:rsidR="00B0645F" w:rsidRPr="00DA7FB8">
        <w:rPr>
          <w:rStyle w:val="AERbodytextChar"/>
          <w:rFonts w:eastAsiaTheme="minorHAnsi"/>
        </w:rPr>
        <w:t xml:space="preserve">here have been changes to </w:t>
      </w:r>
      <w:r w:rsidR="00B0645F">
        <w:rPr>
          <w:rStyle w:val="AERbodytextChar"/>
          <w:rFonts w:eastAsiaTheme="minorHAnsi"/>
        </w:rPr>
        <w:t>Powercor’s</w:t>
      </w:r>
      <w:r w:rsidR="00B0645F" w:rsidRPr="00DA7FB8">
        <w:rPr>
          <w:rStyle w:val="AERbodytextChar"/>
          <w:rFonts w:eastAsiaTheme="minorHAnsi"/>
        </w:rPr>
        <w:t xml:space="preserve"> operating environment that impact its underlying cost drivers, which is reflected in the lower revenue allowance for 2016–20 compared to 2011–15 (section 2.2.</w:t>
      </w:r>
      <w:r w:rsidR="00721B11">
        <w:rPr>
          <w:rStyle w:val="AERbodytextChar"/>
          <w:rFonts w:eastAsiaTheme="minorHAnsi"/>
        </w:rPr>
        <w:t>4</w:t>
      </w:r>
      <w:r w:rsidR="00B0645F" w:rsidRPr="00DA7FB8">
        <w:rPr>
          <w:rStyle w:val="AERbodytextChar"/>
          <w:rFonts w:eastAsiaTheme="minorHAnsi"/>
        </w:rPr>
        <w:t>).</w:t>
      </w:r>
    </w:p>
    <w:p w:rsidR="006A4F0A" w:rsidRDefault="00052810" w:rsidP="006A4F0A">
      <w:pPr>
        <w:pStyle w:val="Heading3"/>
        <w:rPr>
          <w:rStyle w:val="AERbodytextChar"/>
          <w:rFonts w:eastAsiaTheme="minorHAnsi"/>
        </w:rPr>
      </w:pPr>
      <w:bookmarkStart w:id="24" w:name="_Toc433786784"/>
      <w:r>
        <w:rPr>
          <w:rStyle w:val="AERbodytextChar"/>
          <w:rFonts w:eastAsiaTheme="minorHAnsi"/>
        </w:rPr>
        <w:t>Past o</w:t>
      </w:r>
      <w:r w:rsidRPr="007F1490">
        <w:rPr>
          <w:rStyle w:val="AERbodytextChar"/>
          <w:rFonts w:eastAsiaTheme="minorHAnsi"/>
        </w:rPr>
        <w:t>perating efficien</w:t>
      </w:r>
      <w:bookmarkEnd w:id="23"/>
      <w:r>
        <w:rPr>
          <w:rStyle w:val="AERbodytextChar"/>
          <w:rFonts w:eastAsiaTheme="minorHAnsi"/>
        </w:rPr>
        <w:t>cy</w:t>
      </w:r>
      <w:bookmarkEnd w:id="24"/>
    </w:p>
    <w:p w:rsidR="00162844" w:rsidRDefault="00162844" w:rsidP="00162844">
      <w:pPr>
        <w:rPr>
          <w:rStyle w:val="AERbodytextChar"/>
          <w:rFonts w:eastAsiaTheme="minorHAnsi"/>
        </w:rPr>
      </w:pPr>
      <w:r w:rsidRPr="00B66683">
        <w:rPr>
          <w:rStyle w:val="AERbodytextChar"/>
          <w:rFonts w:eastAsiaTheme="minorHAnsi"/>
        </w:rPr>
        <w:t xml:space="preserve">In recent years, we have expanded our regulatory toolkit to </w:t>
      </w:r>
      <w:r>
        <w:rPr>
          <w:rStyle w:val="AERbodytextChar"/>
          <w:rFonts w:eastAsiaTheme="minorHAnsi"/>
        </w:rPr>
        <w:t>include</w:t>
      </w:r>
      <w:r w:rsidRPr="00B66683">
        <w:rPr>
          <w:rStyle w:val="AERbodytextChar"/>
          <w:rFonts w:eastAsiaTheme="minorHAnsi"/>
        </w:rPr>
        <w:t xml:space="preserve"> greater use of benchmarking</w:t>
      </w:r>
      <w:r>
        <w:rPr>
          <w:rStyle w:val="AERbodytextChar"/>
          <w:rFonts w:eastAsiaTheme="minorHAnsi"/>
        </w:rPr>
        <w:t xml:space="preserve">—particularly for operating expenditure (opex). Benchmarking </w:t>
      </w:r>
      <w:r w:rsidRPr="00B66683">
        <w:rPr>
          <w:rStyle w:val="AERbodytextChar"/>
          <w:rFonts w:eastAsiaTheme="minorHAnsi"/>
        </w:rPr>
        <w:t xml:space="preserve">is a way of determining how well a network business is performing against </w:t>
      </w:r>
      <w:r>
        <w:rPr>
          <w:rStyle w:val="AERbodytextChar"/>
          <w:rFonts w:eastAsiaTheme="minorHAnsi"/>
        </w:rPr>
        <w:t xml:space="preserve">other distributors in the National Electricity Market </w:t>
      </w:r>
      <w:r w:rsidRPr="00B66683">
        <w:rPr>
          <w:rStyle w:val="AERbodytextChar"/>
          <w:rFonts w:eastAsiaTheme="minorHAnsi"/>
        </w:rPr>
        <w:t xml:space="preserve">and over time, and </w:t>
      </w:r>
      <w:r>
        <w:rPr>
          <w:rStyle w:val="AERbodytextChar"/>
          <w:rFonts w:eastAsiaTheme="minorHAnsi"/>
        </w:rPr>
        <w:t xml:space="preserve">it </w:t>
      </w:r>
      <w:r w:rsidRPr="00B66683">
        <w:rPr>
          <w:rStyle w:val="AERbodytextChar"/>
          <w:rFonts w:eastAsiaTheme="minorHAnsi"/>
        </w:rPr>
        <w:t>provides valuable informat</w:t>
      </w:r>
      <w:r>
        <w:rPr>
          <w:rStyle w:val="AERbodytextChar"/>
          <w:rFonts w:eastAsiaTheme="minorHAnsi"/>
        </w:rPr>
        <w:t>ion on what is considered to be ‘best practice’.</w:t>
      </w:r>
    </w:p>
    <w:p w:rsidR="006A4F0A" w:rsidRDefault="006A4F0A" w:rsidP="006A4F0A">
      <w:pPr>
        <w:rPr>
          <w:rStyle w:val="AERbodytextChar"/>
          <w:rFonts w:eastAsiaTheme="minorHAnsi"/>
        </w:rPr>
      </w:pPr>
      <w:r w:rsidRPr="006A4F0A">
        <w:rPr>
          <w:rStyle w:val="AERbodytextChar"/>
          <w:rFonts w:eastAsiaTheme="minorHAnsi"/>
        </w:rPr>
        <w:t xml:space="preserve">Our </w:t>
      </w:r>
      <w:r>
        <w:rPr>
          <w:rStyle w:val="AERbodytextChar"/>
          <w:rFonts w:eastAsiaTheme="minorHAnsi"/>
        </w:rPr>
        <w:t>opex benchmarking results show Powercor</w:t>
      </w:r>
      <w:r w:rsidRPr="006A4F0A">
        <w:rPr>
          <w:rStyle w:val="AERbodytextChar"/>
          <w:rFonts w:eastAsiaTheme="minorHAnsi"/>
        </w:rPr>
        <w:t xml:space="preserve"> is currently one of the most efficient service providers in the National Electricity Market.</w:t>
      </w:r>
      <w:r w:rsidRPr="008B4615">
        <w:rPr>
          <w:rStyle w:val="AERbodytextChar"/>
          <w:rFonts w:eastAsiaTheme="minorHAnsi"/>
        </w:rPr>
        <w:t xml:space="preserve"> </w:t>
      </w:r>
      <w:r>
        <w:rPr>
          <w:rStyle w:val="AERbodytextChar"/>
          <w:rFonts w:eastAsiaTheme="minorHAnsi"/>
        </w:rPr>
        <w:t xml:space="preserve">Further, we find that </w:t>
      </w:r>
      <w:r>
        <w:t xml:space="preserve">Powercor </w:t>
      </w:r>
      <w:r>
        <w:rPr>
          <w:rStyle w:val="AERbodytextChar"/>
          <w:rFonts w:eastAsiaTheme="minorHAnsi"/>
        </w:rPr>
        <w:t>has generally impr</w:t>
      </w:r>
      <w:r w:rsidR="00190C0D">
        <w:rPr>
          <w:rStyle w:val="AERbodytextChar"/>
          <w:rFonts w:eastAsiaTheme="minorHAnsi"/>
        </w:rPr>
        <w:t>oved</w:t>
      </w:r>
      <w:r>
        <w:rPr>
          <w:rStyle w:val="AERbodytextChar"/>
          <w:rFonts w:eastAsiaTheme="minorHAnsi"/>
        </w:rPr>
        <w:t xml:space="preserve"> r</w:t>
      </w:r>
      <w:r w:rsidR="00190C0D">
        <w:rPr>
          <w:rStyle w:val="AERbodytextChar"/>
          <w:rFonts w:eastAsiaTheme="minorHAnsi"/>
        </w:rPr>
        <w:t xml:space="preserve">eliability outcomes over 2011–14 compared to </w:t>
      </w:r>
      <w:r w:rsidR="00162844">
        <w:rPr>
          <w:rStyle w:val="AERbodytextChar"/>
          <w:rFonts w:eastAsiaTheme="minorHAnsi"/>
        </w:rPr>
        <w:t xml:space="preserve">its performance in </w:t>
      </w:r>
      <w:r w:rsidR="00190C0D">
        <w:rPr>
          <w:rStyle w:val="AERbodytextChar"/>
          <w:rFonts w:eastAsiaTheme="minorHAnsi"/>
        </w:rPr>
        <w:t xml:space="preserve">the previous </w:t>
      </w:r>
      <w:r w:rsidR="008912EB">
        <w:rPr>
          <w:rStyle w:val="AERbodytextChar"/>
          <w:rFonts w:eastAsiaTheme="minorHAnsi"/>
        </w:rPr>
        <w:t>period</w:t>
      </w:r>
      <w:r w:rsidR="00190C0D">
        <w:rPr>
          <w:rStyle w:val="AERbodytextChar"/>
          <w:rFonts w:eastAsiaTheme="minorHAnsi"/>
        </w:rPr>
        <w:t>.</w:t>
      </w:r>
    </w:p>
    <w:p w:rsidR="006A4F0A" w:rsidRPr="00FC20EA" w:rsidRDefault="006A4F0A" w:rsidP="006A4F0A">
      <w:r>
        <w:rPr>
          <w:rStyle w:val="AERbodytextChar"/>
          <w:rFonts w:eastAsiaTheme="minorHAnsi"/>
        </w:rPr>
        <w:t>W</w:t>
      </w:r>
      <w:r w:rsidRPr="0003662C">
        <w:rPr>
          <w:rStyle w:val="AERbodytextChar"/>
          <w:rFonts w:eastAsiaTheme="minorHAnsi"/>
        </w:rPr>
        <w:t xml:space="preserve">e </w:t>
      </w:r>
      <w:r>
        <w:rPr>
          <w:rStyle w:val="AERbodytextChar"/>
          <w:rFonts w:eastAsiaTheme="minorHAnsi"/>
        </w:rPr>
        <w:t>consider</w:t>
      </w:r>
      <w:r w:rsidRPr="0003662C">
        <w:rPr>
          <w:rStyle w:val="AERbodytextChar"/>
          <w:rFonts w:eastAsiaTheme="minorHAnsi"/>
        </w:rPr>
        <w:t xml:space="preserve"> </w:t>
      </w:r>
      <w:r>
        <w:rPr>
          <w:rStyle w:val="AERbodytextChar"/>
          <w:rFonts w:eastAsiaTheme="minorHAnsi"/>
        </w:rPr>
        <w:t>Powercor</w:t>
      </w:r>
      <w:r w:rsidRPr="006A4F0A">
        <w:rPr>
          <w:rStyle w:val="AERbodytextChar"/>
          <w:rFonts w:eastAsiaTheme="minorHAnsi"/>
        </w:rPr>
        <w:t xml:space="preserve"> </w:t>
      </w:r>
      <w:r>
        <w:rPr>
          <w:rStyle w:val="AERbodytextChar"/>
          <w:rFonts w:eastAsiaTheme="minorHAnsi"/>
        </w:rPr>
        <w:t>has been</w:t>
      </w:r>
      <w:r w:rsidRPr="0003662C">
        <w:rPr>
          <w:rStyle w:val="AERbodytextChar"/>
          <w:rFonts w:eastAsiaTheme="minorHAnsi"/>
        </w:rPr>
        <w:t xml:space="preserve"> responsive to the incen</w:t>
      </w:r>
      <w:r>
        <w:rPr>
          <w:rStyle w:val="AERbodytextChar"/>
          <w:rFonts w:eastAsiaTheme="minorHAnsi"/>
        </w:rPr>
        <w:t>tives of the regulatory regime.</w:t>
      </w:r>
      <w:r w:rsidRPr="00B818A5">
        <w:rPr>
          <w:rStyle w:val="AERbodytextChar"/>
          <w:rFonts w:eastAsiaTheme="minorHAnsi"/>
        </w:rPr>
        <w:t xml:space="preserve"> </w:t>
      </w:r>
      <w:r>
        <w:t>The network businesses are incentivised to spend efficiently and to share the benefits of efficiency gains with consumers. B</w:t>
      </w:r>
      <w:r w:rsidRPr="006C467E">
        <w:rPr>
          <w:rStyle w:val="AERbodytextChar"/>
          <w:rFonts w:eastAsiaTheme="minorHAnsi"/>
        </w:rPr>
        <w:t>usinesses that are able to improve their efficiency are rewarded with higher profits</w:t>
      </w:r>
      <w:r w:rsidR="001E1A1C" w:rsidRPr="001E1A1C">
        <w:rPr>
          <w:rStyle w:val="AERbodytextChar"/>
          <w:rFonts w:eastAsiaTheme="minorHAnsi"/>
        </w:rPr>
        <w:t xml:space="preserve"> </w:t>
      </w:r>
      <w:r w:rsidR="001E1A1C">
        <w:rPr>
          <w:rStyle w:val="AERbodytextChar"/>
          <w:rFonts w:eastAsiaTheme="minorHAnsi"/>
        </w:rPr>
        <w:t>for a period of time</w:t>
      </w:r>
      <w:r w:rsidRPr="006C467E">
        <w:rPr>
          <w:rStyle w:val="AERbodytextChar"/>
          <w:rFonts w:eastAsiaTheme="minorHAnsi"/>
        </w:rPr>
        <w:t xml:space="preserve">. </w:t>
      </w:r>
      <w:r w:rsidR="001E1A1C">
        <w:rPr>
          <w:rStyle w:val="AERbodytextChar"/>
          <w:rFonts w:eastAsiaTheme="minorHAnsi"/>
        </w:rPr>
        <w:t>P</w:t>
      </w:r>
      <w:r w:rsidRPr="00E438FE">
        <w:rPr>
          <w:rStyle w:val="AERbodytextChar"/>
          <w:rFonts w:eastAsiaTheme="minorHAnsi"/>
        </w:rPr>
        <w:t xml:space="preserve">roductivity savings are passed </w:t>
      </w:r>
      <w:r w:rsidR="00162844">
        <w:rPr>
          <w:rStyle w:val="AERbodytextChar"/>
          <w:rFonts w:eastAsiaTheme="minorHAnsi"/>
        </w:rPr>
        <w:t>on</w:t>
      </w:r>
      <w:r w:rsidR="00162844" w:rsidRPr="00E438FE">
        <w:rPr>
          <w:rStyle w:val="AERbodytextChar"/>
          <w:rFonts w:eastAsiaTheme="minorHAnsi"/>
        </w:rPr>
        <w:t xml:space="preserve"> </w:t>
      </w:r>
      <w:r w:rsidRPr="00E438FE">
        <w:rPr>
          <w:rStyle w:val="AERbodytextChar"/>
          <w:rFonts w:eastAsiaTheme="minorHAnsi"/>
        </w:rPr>
        <w:t>to consumers</w:t>
      </w:r>
      <w:r w:rsidRPr="00B818A5">
        <w:t xml:space="preserve"> </w:t>
      </w:r>
      <w:r w:rsidRPr="00B66683">
        <w:t xml:space="preserve">through the </w:t>
      </w:r>
      <w:r>
        <w:t xml:space="preserve">Efficiency Benefit Sharing Scheme (EBSS), and are reflected in </w:t>
      </w:r>
      <w:r w:rsidR="00B20FDF">
        <w:t xml:space="preserve">Powercor’s </w:t>
      </w:r>
      <w:r>
        <w:t>base opex when we forecast opex for future regulatory periods.</w:t>
      </w:r>
    </w:p>
    <w:p w:rsidR="007150AE" w:rsidRDefault="002C68C1" w:rsidP="006A4F0A">
      <w:pPr>
        <w:rPr>
          <w:rStyle w:val="AERbodytextChar"/>
          <w:rFonts w:eastAsiaTheme="minorHAnsi"/>
        </w:rPr>
      </w:pPr>
      <w:r>
        <w:rPr>
          <w:rStyle w:val="AERbodytextChar"/>
          <w:rFonts w:eastAsiaTheme="minorHAnsi"/>
        </w:rPr>
        <w:lastRenderedPageBreak/>
        <w:t>W</w:t>
      </w:r>
      <w:r w:rsidR="006A4F0A">
        <w:rPr>
          <w:rStyle w:val="AERbodytextChar"/>
          <w:rFonts w:eastAsiaTheme="minorHAnsi"/>
        </w:rPr>
        <w:t xml:space="preserve">e </w:t>
      </w:r>
      <w:r>
        <w:rPr>
          <w:rStyle w:val="AERbodytextChar"/>
          <w:rFonts w:eastAsiaTheme="minorHAnsi"/>
        </w:rPr>
        <w:t xml:space="preserve">therefore </w:t>
      </w:r>
      <w:r w:rsidR="006A4F0A">
        <w:rPr>
          <w:rStyle w:val="AERbodytextChar"/>
          <w:rFonts w:eastAsiaTheme="minorHAnsi"/>
        </w:rPr>
        <w:t xml:space="preserve">have used </w:t>
      </w:r>
      <w:r w:rsidR="00B20FDF">
        <w:t xml:space="preserve">Powercor’s </w:t>
      </w:r>
      <w:r w:rsidR="006A4F0A" w:rsidRPr="0084407D">
        <w:rPr>
          <w:rStyle w:val="AERbodytextChar"/>
          <w:rFonts w:eastAsiaTheme="minorHAnsi"/>
        </w:rPr>
        <w:t xml:space="preserve">revealed (past actual) costs as the starting point for </w:t>
      </w:r>
      <w:r w:rsidR="006A4F0A">
        <w:rPr>
          <w:rStyle w:val="AERbodytextChar"/>
          <w:rFonts w:eastAsiaTheme="minorHAnsi"/>
        </w:rPr>
        <w:t>forecasting efficient</w:t>
      </w:r>
      <w:r w:rsidR="006A4F0A" w:rsidRPr="0084407D">
        <w:rPr>
          <w:rStyle w:val="AERbodytextChar"/>
          <w:rFonts w:eastAsiaTheme="minorHAnsi"/>
        </w:rPr>
        <w:t xml:space="preserve"> opex. </w:t>
      </w:r>
    </w:p>
    <w:p w:rsidR="00D62197" w:rsidRDefault="006A4F0A" w:rsidP="006A4F0A">
      <w:pPr>
        <w:rPr>
          <w:rStyle w:val="AERbodytextChar"/>
          <w:rFonts w:eastAsiaTheme="minorHAnsi"/>
        </w:rPr>
      </w:pPr>
      <w:r>
        <w:rPr>
          <w:rStyle w:val="AERbodytextChar"/>
          <w:rFonts w:eastAsiaTheme="minorHAnsi"/>
        </w:rPr>
        <w:t>W</w:t>
      </w:r>
      <w:r w:rsidRPr="009665D6">
        <w:rPr>
          <w:rStyle w:val="AERbodytextChar"/>
          <w:rFonts w:eastAsiaTheme="minorHAnsi"/>
        </w:rPr>
        <w:t xml:space="preserve">e </w:t>
      </w:r>
      <w:r>
        <w:rPr>
          <w:rStyle w:val="AERbodytextChar"/>
          <w:rFonts w:eastAsiaTheme="minorHAnsi"/>
        </w:rPr>
        <w:t xml:space="preserve">have </w:t>
      </w:r>
      <w:r w:rsidRPr="009665D6">
        <w:rPr>
          <w:rStyle w:val="AERbodytextChar"/>
          <w:rFonts w:eastAsiaTheme="minorHAnsi"/>
        </w:rPr>
        <w:t>then account</w:t>
      </w:r>
      <w:r>
        <w:rPr>
          <w:rStyle w:val="AERbodytextChar"/>
          <w:rFonts w:eastAsiaTheme="minorHAnsi"/>
        </w:rPr>
        <w:t>ed</w:t>
      </w:r>
      <w:r w:rsidRPr="009665D6">
        <w:rPr>
          <w:rStyle w:val="AERbodytextChar"/>
          <w:rFonts w:eastAsiaTheme="minorHAnsi"/>
        </w:rPr>
        <w:t xml:space="preserve"> for any changes in efficient costs in the base year and each year of the forecast regulatory control period. </w:t>
      </w:r>
      <w:r w:rsidR="008D20D7">
        <w:rPr>
          <w:rStyle w:val="AERbodytextChar"/>
          <w:rFonts w:eastAsiaTheme="minorHAnsi"/>
        </w:rPr>
        <w:t xml:space="preserve">Overall, we consider that </w:t>
      </w:r>
      <w:r w:rsidR="008D20D7">
        <w:t xml:space="preserve">Powercor </w:t>
      </w:r>
      <w:r w:rsidR="008D20D7">
        <w:rPr>
          <w:rStyle w:val="AERbodytextChar"/>
          <w:rFonts w:eastAsiaTheme="minorHAnsi"/>
        </w:rPr>
        <w:t xml:space="preserve">has proposed more revenue than is actually required to operate its network prudently and efficiently. </w:t>
      </w:r>
      <w:r>
        <w:rPr>
          <w:rStyle w:val="AERbodytextChar"/>
          <w:rFonts w:eastAsiaTheme="minorHAnsi"/>
        </w:rPr>
        <w:t>As discussed in section 2.2.</w:t>
      </w:r>
      <w:r w:rsidR="00721B11">
        <w:rPr>
          <w:rStyle w:val="AERbodytextChar"/>
          <w:rFonts w:eastAsiaTheme="minorHAnsi"/>
        </w:rPr>
        <w:t>4</w:t>
      </w:r>
      <w:r>
        <w:rPr>
          <w:rStyle w:val="AERbodytextChar"/>
          <w:rFonts w:eastAsiaTheme="minorHAnsi"/>
        </w:rPr>
        <w:t xml:space="preserve">, we do not </w:t>
      </w:r>
      <w:r w:rsidR="003824B5">
        <w:rPr>
          <w:rStyle w:val="AERbodytextChar"/>
          <w:rFonts w:eastAsiaTheme="minorHAnsi"/>
        </w:rPr>
        <w:t>consider there are</w:t>
      </w:r>
      <w:r>
        <w:rPr>
          <w:rStyle w:val="AERbodytextChar"/>
          <w:rFonts w:eastAsiaTheme="minorHAnsi"/>
        </w:rPr>
        <w:t xml:space="preserve"> significant 'step changes' </w:t>
      </w:r>
      <w:r w:rsidR="00162844">
        <w:rPr>
          <w:rStyle w:val="AERbodytextChar"/>
          <w:rFonts w:eastAsiaTheme="minorHAnsi"/>
        </w:rPr>
        <w:t>required to</w:t>
      </w:r>
      <w:r w:rsidR="00162844">
        <w:t xml:space="preserve"> </w:t>
      </w:r>
      <w:r w:rsidR="00B20FDF">
        <w:t xml:space="preserve">Powercor’s </w:t>
      </w:r>
      <w:r>
        <w:rPr>
          <w:rStyle w:val="AERbodytextChar"/>
          <w:rFonts w:eastAsiaTheme="minorHAnsi"/>
        </w:rPr>
        <w:t xml:space="preserve">opex. </w:t>
      </w:r>
      <w:r w:rsidR="003824B5" w:rsidRPr="004F34AB">
        <w:rPr>
          <w:rStyle w:val="AERbodytextChar"/>
          <w:rFonts w:eastAsiaTheme="minorHAnsi"/>
        </w:rPr>
        <w:t>We have made some adjustments for changes in output</w:t>
      </w:r>
      <w:r w:rsidR="003824B5">
        <w:rPr>
          <w:rStyle w:val="AERbodytextChar"/>
          <w:rFonts w:eastAsiaTheme="minorHAnsi"/>
        </w:rPr>
        <w:t xml:space="preserve"> and</w:t>
      </w:r>
      <w:r w:rsidR="003824B5" w:rsidRPr="004F34AB">
        <w:rPr>
          <w:rStyle w:val="AERbodytextChar"/>
          <w:rFonts w:eastAsiaTheme="minorHAnsi"/>
        </w:rPr>
        <w:t xml:space="preserve"> real prices over the 2016–20 period.</w:t>
      </w:r>
      <w:r w:rsidR="007150AE" w:rsidRPr="007150AE">
        <w:rPr>
          <w:rStyle w:val="AERbodytextChar"/>
          <w:rFonts w:eastAsiaTheme="minorHAnsi"/>
        </w:rPr>
        <w:t xml:space="preserve"> </w:t>
      </w:r>
      <w:r w:rsidR="008D20D7">
        <w:rPr>
          <w:rStyle w:val="AERbodytextChar"/>
          <w:rFonts w:eastAsiaTheme="minorHAnsi"/>
        </w:rPr>
        <w:t xml:space="preserve">Further, </w:t>
      </w:r>
      <w:r w:rsidR="008D20D7">
        <w:rPr>
          <w:rStyle w:val="AERbody"/>
        </w:rPr>
        <w:t>Powercor allocated</w:t>
      </w:r>
      <w:r w:rsidR="008D20D7" w:rsidRPr="0022446D">
        <w:rPr>
          <w:rStyle w:val="AERbody"/>
        </w:rPr>
        <w:t xml:space="preserve"> </w:t>
      </w:r>
      <w:r w:rsidR="008D20D7">
        <w:rPr>
          <w:rStyle w:val="AERbody"/>
        </w:rPr>
        <w:t xml:space="preserve">opex for </w:t>
      </w:r>
      <w:r w:rsidR="000175BC">
        <w:rPr>
          <w:rStyle w:val="AERbody"/>
        </w:rPr>
        <w:t>A</w:t>
      </w:r>
      <w:r w:rsidR="008D20D7">
        <w:rPr>
          <w:rStyle w:val="AERbody"/>
        </w:rPr>
        <w:t xml:space="preserve">dvanced </w:t>
      </w:r>
      <w:r w:rsidR="000175BC">
        <w:rPr>
          <w:rStyle w:val="AERbody"/>
        </w:rPr>
        <w:t>M</w:t>
      </w:r>
      <w:r w:rsidR="008D20D7">
        <w:rPr>
          <w:rStyle w:val="AERbody"/>
        </w:rPr>
        <w:t xml:space="preserve">etering </w:t>
      </w:r>
      <w:r w:rsidR="000175BC">
        <w:rPr>
          <w:rStyle w:val="AERbody"/>
        </w:rPr>
        <w:t>I</w:t>
      </w:r>
      <w:r w:rsidR="008D20D7">
        <w:rPr>
          <w:rStyle w:val="AERbody"/>
        </w:rPr>
        <w:t xml:space="preserve">nfrastructure </w:t>
      </w:r>
      <w:r w:rsidR="000175BC">
        <w:rPr>
          <w:rStyle w:val="AERbody"/>
        </w:rPr>
        <w:t xml:space="preserve">(AMI) </w:t>
      </w:r>
      <w:r w:rsidR="008D20D7">
        <w:rPr>
          <w:rStyle w:val="AERbody"/>
        </w:rPr>
        <w:t xml:space="preserve">to standard control services. We classified these costs under ‘alternative control services’, which means ongoing </w:t>
      </w:r>
      <w:r w:rsidR="000175BC">
        <w:rPr>
          <w:rStyle w:val="AERbody"/>
        </w:rPr>
        <w:t xml:space="preserve">AMI </w:t>
      </w:r>
      <w:r w:rsidR="008D20D7">
        <w:rPr>
          <w:rStyle w:val="AERbody"/>
        </w:rPr>
        <w:t xml:space="preserve">costs will be recovered by Powercor </w:t>
      </w:r>
      <w:r w:rsidR="000175BC">
        <w:rPr>
          <w:rStyle w:val="AERbody"/>
        </w:rPr>
        <w:t>through a separate annual metering charge</w:t>
      </w:r>
      <w:r w:rsidR="008D20D7">
        <w:rPr>
          <w:rStyle w:val="AERbody"/>
        </w:rPr>
        <w:t>.</w:t>
      </w:r>
    </w:p>
    <w:p w:rsidR="00721B11" w:rsidRDefault="00721B11" w:rsidP="00721B11">
      <w:pPr>
        <w:pStyle w:val="Heading3"/>
        <w:rPr>
          <w:rStyle w:val="AERbodytextChar"/>
          <w:rFonts w:eastAsiaTheme="minorHAnsi"/>
        </w:rPr>
      </w:pPr>
      <w:bookmarkStart w:id="25" w:name="_Toc433786785"/>
      <w:bookmarkStart w:id="26" w:name="_Toc432081925"/>
      <w:r>
        <w:rPr>
          <w:rStyle w:val="AERbodytextChar"/>
          <w:rFonts w:eastAsiaTheme="minorHAnsi"/>
        </w:rPr>
        <w:t>Advanced metering infrastructure</w:t>
      </w:r>
      <w:bookmarkEnd w:id="25"/>
    </w:p>
    <w:p w:rsidR="000175BC" w:rsidRDefault="000175BC" w:rsidP="000175BC">
      <w:pPr>
        <w:rPr>
          <w:rStyle w:val="AERbodytextChar"/>
          <w:rFonts w:eastAsiaTheme="minorHAnsi"/>
        </w:rPr>
      </w:pPr>
      <w:r>
        <w:t xml:space="preserve">The advanced metering infrastructure rollout that commenced in 2009 under an Order in Council is now largely completed. So, we expect the capex component for metering to fall in 2016–20 as the Victorian distributors enter a ‘business-as-usual’ phase, although </w:t>
      </w:r>
      <w:r>
        <w:rPr>
          <w:rStyle w:val="AERbodytextChar"/>
          <w:rFonts w:eastAsiaTheme="minorHAnsi"/>
        </w:rPr>
        <w:t>opex is still required to maintain the metering infrastructure.</w:t>
      </w:r>
    </w:p>
    <w:p w:rsidR="00372DEA" w:rsidRDefault="00372DEA" w:rsidP="00372DEA">
      <w:r w:rsidRPr="006404E4">
        <w:rPr>
          <w:rStyle w:val="AERbodytextChar"/>
          <w:rFonts w:eastAsiaTheme="minorHAnsi"/>
        </w:rPr>
        <w:t xml:space="preserve">We have approved a revenue allowance </w:t>
      </w:r>
      <w:r w:rsidR="000175BC">
        <w:rPr>
          <w:rStyle w:val="AERbodytextChar"/>
          <w:rFonts w:eastAsiaTheme="minorHAnsi"/>
        </w:rPr>
        <w:t xml:space="preserve">for AMI </w:t>
      </w:r>
      <w:r w:rsidRPr="006404E4">
        <w:rPr>
          <w:rStyle w:val="AERbodytextChar"/>
          <w:rFonts w:eastAsiaTheme="minorHAnsi"/>
        </w:rPr>
        <w:t>of $</w:t>
      </w:r>
      <w:r>
        <w:rPr>
          <w:rStyle w:val="AERbodytextChar"/>
          <w:rFonts w:eastAsiaTheme="minorHAnsi"/>
        </w:rPr>
        <w:t>351.0</w:t>
      </w:r>
      <w:r w:rsidRPr="006404E4">
        <w:rPr>
          <w:rStyle w:val="AERbodytextChar"/>
          <w:rFonts w:eastAsiaTheme="minorHAnsi"/>
        </w:rPr>
        <w:t> million ($ nominal) for 2016–20, which includes $</w:t>
      </w:r>
      <w:r>
        <w:rPr>
          <w:rStyle w:val="AERbodytextChar"/>
          <w:rFonts w:eastAsiaTheme="minorHAnsi"/>
        </w:rPr>
        <w:t>33.5</w:t>
      </w:r>
      <w:r w:rsidRPr="006404E4">
        <w:rPr>
          <w:rStyle w:val="AERbodytextChar"/>
          <w:rFonts w:eastAsiaTheme="minorHAnsi"/>
        </w:rPr>
        <w:t> million ($2015) of capex and $</w:t>
      </w:r>
      <w:r>
        <w:rPr>
          <w:rStyle w:val="AERbodytextChar"/>
          <w:rFonts w:eastAsiaTheme="minorHAnsi"/>
        </w:rPr>
        <w:t>91.7</w:t>
      </w:r>
      <w:r w:rsidRPr="006404E4">
        <w:rPr>
          <w:rStyle w:val="AERbodytextChar"/>
          <w:rFonts w:eastAsiaTheme="minorHAnsi"/>
        </w:rPr>
        <w:t xml:space="preserve"> million of opex. </w:t>
      </w:r>
      <w:r>
        <w:t xml:space="preserve">The completion of the rollout means Powercor needs less revenue to provide metering services. Revenue for metering will decrease by around </w:t>
      </w:r>
      <w:r w:rsidR="00B556B1">
        <w:t>15</w:t>
      </w:r>
      <w:r>
        <w:t xml:space="preserve"> per cent from 2015 to 2016. This will lead to a similar reduction in </w:t>
      </w:r>
      <w:r w:rsidR="000175BC">
        <w:rPr>
          <w:rStyle w:val="AERbody"/>
        </w:rPr>
        <w:t xml:space="preserve">annual </w:t>
      </w:r>
      <w:r>
        <w:t>metering charges in 2016.</w:t>
      </w:r>
    </w:p>
    <w:p w:rsidR="006A4F0A" w:rsidRPr="00975A63" w:rsidRDefault="001E1A1C" w:rsidP="006A4F0A">
      <w:pPr>
        <w:pStyle w:val="Heading3"/>
        <w:rPr>
          <w:rStyle w:val="AERbodytextChar"/>
          <w:rFonts w:eastAsiaTheme="minorHAnsi"/>
        </w:rPr>
      </w:pPr>
      <w:bookmarkStart w:id="27" w:name="_Toc433786786"/>
      <w:r>
        <w:rPr>
          <w:rStyle w:val="AERbodytextChar"/>
          <w:rFonts w:eastAsiaTheme="minorHAnsi"/>
        </w:rPr>
        <w:t>Approved capital expenditure</w:t>
      </w:r>
      <w:bookmarkEnd w:id="26"/>
      <w:bookmarkEnd w:id="27"/>
    </w:p>
    <w:p w:rsidR="006A4F0A" w:rsidRPr="00170014" w:rsidRDefault="006A4F0A" w:rsidP="006A4F0A">
      <w:pPr>
        <w:rPr>
          <w:rStyle w:val="AERbodytextChar"/>
          <w:rFonts w:eastAsiaTheme="minorHAnsi"/>
        </w:rPr>
      </w:pPr>
      <w:r>
        <w:rPr>
          <w:rStyle w:val="AERbodytextChar"/>
          <w:rFonts w:eastAsiaTheme="minorHAnsi"/>
        </w:rPr>
        <w:t xml:space="preserve">We </w:t>
      </w:r>
      <w:r w:rsidRPr="00170014">
        <w:rPr>
          <w:rStyle w:val="AERbodytextChar"/>
          <w:rFonts w:eastAsiaTheme="minorHAnsi"/>
        </w:rPr>
        <w:t>approve $</w:t>
      </w:r>
      <w:r w:rsidR="00815C8F">
        <w:rPr>
          <w:rStyle w:val="AERbodytextChar"/>
          <w:rFonts w:eastAsiaTheme="minorHAnsi"/>
        </w:rPr>
        <w:t>1610</w:t>
      </w:r>
      <w:r w:rsidR="00F703B4">
        <w:rPr>
          <w:rStyle w:val="AERbodytextChar"/>
          <w:rFonts w:eastAsiaTheme="minorHAnsi"/>
        </w:rPr>
        <w:t>.4</w:t>
      </w:r>
      <w:r w:rsidR="00142AA6">
        <w:rPr>
          <w:rStyle w:val="AERbodytextChar"/>
          <w:rFonts w:eastAsiaTheme="minorHAnsi"/>
        </w:rPr>
        <w:t> </w:t>
      </w:r>
      <w:r>
        <w:rPr>
          <w:rStyle w:val="AERbodytextChar"/>
          <w:rFonts w:eastAsiaTheme="minorHAnsi"/>
        </w:rPr>
        <w:t>million of capital expenditure</w:t>
      </w:r>
      <w:r w:rsidR="00815C8F">
        <w:rPr>
          <w:rStyle w:val="AERbodytextChar"/>
          <w:rFonts w:eastAsiaTheme="minorHAnsi"/>
        </w:rPr>
        <w:t xml:space="preserve"> (capex)</w:t>
      </w:r>
      <w:r w:rsidR="0087041A">
        <w:rPr>
          <w:rStyle w:val="AERbodytextChar"/>
          <w:rFonts w:eastAsiaTheme="minorHAnsi"/>
        </w:rPr>
        <w:t xml:space="preserve">, which is </w:t>
      </w:r>
      <w:r w:rsidR="00F703B4">
        <w:rPr>
          <w:rStyle w:val="AERbodytextChar"/>
          <w:rFonts w:eastAsiaTheme="minorHAnsi"/>
        </w:rPr>
        <w:t>a reduction of 19.7</w:t>
      </w:r>
      <w:r w:rsidR="001E1A1C">
        <w:rPr>
          <w:rStyle w:val="AERbodytextChar"/>
          <w:rFonts w:eastAsiaTheme="minorHAnsi"/>
        </w:rPr>
        <w:t> per cent to</w:t>
      </w:r>
      <w:r w:rsidR="0087041A">
        <w:rPr>
          <w:rStyle w:val="AERbodytextChar"/>
          <w:rFonts w:eastAsiaTheme="minorHAnsi"/>
        </w:rPr>
        <w:t xml:space="preserve"> what </w:t>
      </w:r>
      <w:r w:rsidR="002C5AA0">
        <w:rPr>
          <w:rStyle w:val="AERbodytextChar"/>
          <w:rFonts w:eastAsiaTheme="minorHAnsi"/>
        </w:rPr>
        <w:t>Powercor</w:t>
      </w:r>
      <w:r w:rsidR="0087041A">
        <w:rPr>
          <w:rStyle w:val="AERbodytextChar"/>
          <w:rFonts w:eastAsiaTheme="minorHAnsi"/>
        </w:rPr>
        <w:t xml:space="preserve"> proposed</w:t>
      </w:r>
      <w:r>
        <w:rPr>
          <w:rStyle w:val="AERbodytextChar"/>
          <w:rFonts w:eastAsiaTheme="minorHAnsi"/>
        </w:rPr>
        <w:t xml:space="preserve">. This </w:t>
      </w:r>
      <w:r w:rsidR="00162844">
        <w:rPr>
          <w:rStyle w:val="AERbodytextChar"/>
          <w:rFonts w:eastAsiaTheme="minorHAnsi"/>
        </w:rPr>
        <w:t>provides sufficient funds to</w:t>
      </w:r>
      <w:r w:rsidR="00162844" w:rsidRPr="00170014">
        <w:rPr>
          <w:rStyle w:val="AERbodytextChar"/>
          <w:rFonts w:eastAsiaTheme="minorHAnsi"/>
        </w:rPr>
        <w:t xml:space="preserve"> </w:t>
      </w:r>
      <w:r w:rsidRPr="00170014">
        <w:rPr>
          <w:rStyle w:val="AERbodytextChar"/>
          <w:rFonts w:eastAsiaTheme="minorHAnsi"/>
        </w:rPr>
        <w:t xml:space="preserve">allow </w:t>
      </w:r>
      <w:r w:rsidR="00B20FDF">
        <w:t xml:space="preserve">Powercor </w:t>
      </w:r>
      <w:r w:rsidRPr="00170014">
        <w:rPr>
          <w:rStyle w:val="AERbodytextChar"/>
          <w:rFonts w:eastAsiaTheme="minorHAnsi"/>
        </w:rPr>
        <w:t>to</w:t>
      </w:r>
      <w:r>
        <w:rPr>
          <w:rStyle w:val="AERbodytextChar"/>
          <w:rFonts w:eastAsiaTheme="minorHAnsi"/>
        </w:rPr>
        <w:t xml:space="preserve"> augment the network where necessary, </w:t>
      </w:r>
      <w:r w:rsidRPr="00170014">
        <w:rPr>
          <w:rStyle w:val="AERbodytextChar"/>
          <w:rFonts w:eastAsiaTheme="minorHAnsi"/>
        </w:rPr>
        <w:t>replace assets that have reached the end of their economic life</w:t>
      </w:r>
      <w:r>
        <w:rPr>
          <w:rStyle w:val="AERbodytextChar"/>
          <w:rFonts w:eastAsiaTheme="minorHAnsi"/>
        </w:rPr>
        <w:t xml:space="preserve">, and </w:t>
      </w:r>
      <w:r w:rsidRPr="00170014">
        <w:rPr>
          <w:rStyle w:val="AERbodytextChar"/>
          <w:rFonts w:eastAsiaTheme="minorHAnsi"/>
        </w:rPr>
        <w:t xml:space="preserve">invest in information and communication technology </w:t>
      </w:r>
      <w:r>
        <w:rPr>
          <w:rStyle w:val="AERbodytextChar"/>
          <w:rFonts w:eastAsiaTheme="minorHAnsi"/>
        </w:rPr>
        <w:t xml:space="preserve">to </w:t>
      </w:r>
      <w:r w:rsidRPr="00170014">
        <w:rPr>
          <w:rStyle w:val="AERbodytextChar"/>
          <w:rFonts w:eastAsiaTheme="minorHAnsi"/>
        </w:rPr>
        <w:t>manage the transition to a smarter network</w:t>
      </w:r>
      <w:r>
        <w:rPr>
          <w:rStyle w:val="AERbodytextChar"/>
          <w:rFonts w:eastAsiaTheme="minorHAnsi"/>
        </w:rPr>
        <w:t>, among other things.</w:t>
      </w:r>
    </w:p>
    <w:p w:rsidR="004B7759" w:rsidRPr="00AD5EAB" w:rsidRDefault="004B7759" w:rsidP="004B7759">
      <w:pPr>
        <w:rPr>
          <w:rStyle w:val="AERbodytextChar"/>
          <w:rFonts w:eastAsiaTheme="minorHAnsi"/>
        </w:rPr>
      </w:pPr>
      <w:r w:rsidRPr="00AD5EAB">
        <w:rPr>
          <w:rStyle w:val="AERbodytextChar"/>
          <w:rFonts w:eastAsiaTheme="minorHAnsi"/>
        </w:rPr>
        <w:t xml:space="preserve">Our role is to assess </w:t>
      </w:r>
      <w:r>
        <w:t xml:space="preserve">Powercor’s </w:t>
      </w:r>
      <w:r w:rsidRPr="00AD5EAB">
        <w:rPr>
          <w:rStyle w:val="AERbodytextChar"/>
          <w:rFonts w:eastAsiaTheme="minorHAnsi"/>
        </w:rPr>
        <w:t xml:space="preserve">proposed total capex for 2016–20 against the (capex) criteria set out in the National Electricity Rules (NER). That is, we must form a view on whether </w:t>
      </w:r>
      <w:r>
        <w:t xml:space="preserve">Powercor’s </w:t>
      </w:r>
      <w:r w:rsidRPr="00AD5EAB">
        <w:rPr>
          <w:rStyle w:val="AERbodytextChar"/>
          <w:rFonts w:eastAsiaTheme="minorHAnsi"/>
        </w:rPr>
        <w:t xml:space="preserve">proposed total capex reasonably reflects the </w:t>
      </w:r>
      <w:r w:rsidR="005569C0">
        <w:rPr>
          <w:rStyle w:val="AERbodytextChar"/>
          <w:rFonts w:eastAsiaTheme="minorHAnsi"/>
        </w:rPr>
        <w:t>efficient</w:t>
      </w:r>
      <w:r w:rsidRPr="00AD5EAB">
        <w:rPr>
          <w:rStyle w:val="AERbodytextChar"/>
          <w:rFonts w:eastAsiaTheme="minorHAnsi"/>
        </w:rPr>
        <w:t xml:space="preserve"> costs a prudent operator would require to achieve the capex objectives </w:t>
      </w:r>
      <w:r w:rsidR="005569C0">
        <w:rPr>
          <w:rStyle w:val="AERbodytextChar"/>
          <w:rFonts w:eastAsiaTheme="minorHAnsi"/>
        </w:rPr>
        <w:t>given</w:t>
      </w:r>
      <w:r w:rsidRPr="00AD5EAB">
        <w:rPr>
          <w:rStyle w:val="AERbodytextChar"/>
          <w:rFonts w:eastAsiaTheme="minorHAnsi"/>
        </w:rPr>
        <w:t xml:space="preserve"> a realistic expectation of the demand forecast and cost inputs required to achieve the capex objectives. The capex objectives are to: meet expected demand; comply with all applicable regulatory obligations; and (broadly) maintain the quality, reliability, safety and security of supply and the distribution system. </w:t>
      </w:r>
    </w:p>
    <w:p w:rsidR="006A4F0A" w:rsidRPr="00170014" w:rsidRDefault="006A4F0A" w:rsidP="006A4F0A">
      <w:pPr>
        <w:rPr>
          <w:rStyle w:val="AERbodytextChar"/>
          <w:rFonts w:eastAsiaTheme="minorHAnsi"/>
        </w:rPr>
      </w:pPr>
      <w:r>
        <w:rPr>
          <w:rStyle w:val="AERbodytextChar"/>
          <w:rFonts w:eastAsiaTheme="minorHAnsi"/>
        </w:rPr>
        <w:t>We applied</w:t>
      </w:r>
      <w:r w:rsidRPr="00913085">
        <w:rPr>
          <w:rStyle w:val="AERbodytextChar"/>
          <w:rFonts w:eastAsiaTheme="minorHAnsi"/>
        </w:rPr>
        <w:t xml:space="preserve"> our various assessment techniques</w:t>
      </w:r>
      <w:r>
        <w:rPr>
          <w:rStyle w:val="AERbodytextChar"/>
          <w:rFonts w:eastAsiaTheme="minorHAnsi"/>
        </w:rPr>
        <w:t xml:space="preserve"> in considering </w:t>
      </w:r>
      <w:r w:rsidR="00B20FDF">
        <w:t xml:space="preserve">Powercor’s </w:t>
      </w:r>
      <w:r>
        <w:rPr>
          <w:rStyle w:val="AERbodytextChar"/>
          <w:rFonts w:eastAsiaTheme="minorHAnsi"/>
        </w:rPr>
        <w:t>proposal</w:t>
      </w:r>
      <w:r w:rsidRPr="00913085">
        <w:rPr>
          <w:rStyle w:val="AERbodytextChar"/>
          <w:rFonts w:eastAsiaTheme="minorHAnsi"/>
        </w:rPr>
        <w:t xml:space="preserve">. </w:t>
      </w:r>
      <w:r>
        <w:rPr>
          <w:rStyle w:val="AERbodytextChar"/>
          <w:rFonts w:eastAsiaTheme="minorHAnsi"/>
        </w:rPr>
        <w:t>For example, we considered</w:t>
      </w:r>
      <w:r w:rsidRPr="0003662C">
        <w:rPr>
          <w:rStyle w:val="AERbodytextChar"/>
          <w:rFonts w:eastAsiaTheme="minorHAnsi"/>
        </w:rPr>
        <w:t xml:space="preserve"> past trends in actual and forecast capex</w:t>
      </w:r>
      <w:r>
        <w:rPr>
          <w:rStyle w:val="AERbodytextChar"/>
          <w:rFonts w:eastAsiaTheme="minorHAnsi"/>
        </w:rPr>
        <w:t>, undertook '</w:t>
      </w:r>
      <w:r w:rsidRPr="0003662C">
        <w:rPr>
          <w:rStyle w:val="AERbodytextChar"/>
          <w:rFonts w:eastAsiaTheme="minorHAnsi"/>
        </w:rPr>
        <w:t>category analysis</w:t>
      </w:r>
      <w:r>
        <w:rPr>
          <w:rStyle w:val="AERbodytextChar"/>
          <w:rFonts w:eastAsiaTheme="minorHAnsi"/>
        </w:rPr>
        <w:t>'</w:t>
      </w:r>
      <w:r w:rsidRPr="0003662C">
        <w:rPr>
          <w:rStyle w:val="AERbodytextChar"/>
          <w:rFonts w:eastAsiaTheme="minorHAnsi"/>
        </w:rPr>
        <w:t xml:space="preserve"> to compare expenditure</w:t>
      </w:r>
      <w:r w:rsidR="001E1A1C">
        <w:rPr>
          <w:rStyle w:val="AERbodytextChar"/>
          <w:rFonts w:eastAsiaTheme="minorHAnsi"/>
        </w:rPr>
        <w:t>s</w:t>
      </w:r>
      <w:r w:rsidRPr="0003662C">
        <w:rPr>
          <w:rStyle w:val="AERbodytextChar"/>
          <w:rFonts w:eastAsiaTheme="minorHAnsi"/>
        </w:rPr>
        <w:t xml:space="preserve"> across </w:t>
      </w:r>
      <w:r>
        <w:rPr>
          <w:rStyle w:val="AERbodytextChar"/>
          <w:rFonts w:eastAsiaTheme="minorHAnsi"/>
        </w:rPr>
        <w:t>businesses</w:t>
      </w:r>
      <w:r w:rsidRPr="0003662C">
        <w:rPr>
          <w:rStyle w:val="AERbodytextChar"/>
          <w:rFonts w:eastAsiaTheme="minorHAnsi"/>
        </w:rPr>
        <w:t xml:space="preserve"> and over time</w:t>
      </w:r>
      <w:r>
        <w:rPr>
          <w:rStyle w:val="AERbodytextChar"/>
          <w:rFonts w:eastAsiaTheme="minorHAnsi"/>
        </w:rPr>
        <w:t xml:space="preserve">, and </w:t>
      </w:r>
      <w:r w:rsidRPr="0003662C">
        <w:rPr>
          <w:rStyle w:val="AERbodytextChar"/>
          <w:rFonts w:eastAsiaTheme="minorHAnsi"/>
        </w:rPr>
        <w:t>use</w:t>
      </w:r>
      <w:r>
        <w:rPr>
          <w:rStyle w:val="AERbodytextChar"/>
          <w:rFonts w:eastAsiaTheme="minorHAnsi"/>
        </w:rPr>
        <w:t>d</w:t>
      </w:r>
      <w:r w:rsidRPr="0003662C">
        <w:rPr>
          <w:rStyle w:val="AERbodytextChar"/>
          <w:rFonts w:eastAsiaTheme="minorHAnsi"/>
        </w:rPr>
        <w:t xml:space="preserve"> predictive modelling</w:t>
      </w:r>
      <w:r>
        <w:rPr>
          <w:rStyle w:val="AERbodytextChar"/>
          <w:rFonts w:eastAsiaTheme="minorHAnsi"/>
        </w:rPr>
        <w:t xml:space="preserve">. </w:t>
      </w:r>
      <w:r w:rsidR="00F703B4">
        <w:rPr>
          <w:rStyle w:val="AERbodytextChar"/>
          <w:rFonts w:eastAsiaTheme="minorHAnsi"/>
        </w:rPr>
        <w:t>This analysis, together with advice from our expert consultants and input from stakeholders, has informed</w:t>
      </w:r>
      <w:r w:rsidRPr="00913085">
        <w:rPr>
          <w:rStyle w:val="AERbodytextChar"/>
          <w:rFonts w:eastAsiaTheme="minorHAnsi"/>
        </w:rPr>
        <w:t xml:space="preserve"> our </w:t>
      </w:r>
      <w:r>
        <w:rPr>
          <w:rStyle w:val="AERbodytextChar"/>
          <w:rFonts w:eastAsiaTheme="minorHAnsi"/>
        </w:rPr>
        <w:t xml:space="preserve">view on whether </w:t>
      </w:r>
      <w:r w:rsidR="00B20FDF">
        <w:t xml:space="preserve">Powercor’s </w:t>
      </w:r>
      <w:r w:rsidRPr="00913085">
        <w:rPr>
          <w:rStyle w:val="AERbodytextChar"/>
          <w:rFonts w:eastAsiaTheme="minorHAnsi"/>
        </w:rPr>
        <w:t xml:space="preserve">proposal reasonably reflects the capex </w:t>
      </w:r>
      <w:r w:rsidR="004B7759">
        <w:rPr>
          <w:rStyle w:val="AERbodytextChar"/>
          <w:rFonts w:eastAsiaTheme="minorHAnsi"/>
        </w:rPr>
        <w:t>criteria</w:t>
      </w:r>
      <w:r w:rsidRPr="00913085">
        <w:rPr>
          <w:rStyle w:val="AERbodytextChar"/>
          <w:rFonts w:eastAsiaTheme="minorHAnsi"/>
        </w:rPr>
        <w:t xml:space="preserve"> in the NER at the total capex level.</w:t>
      </w:r>
    </w:p>
    <w:p w:rsidR="006A4F0A" w:rsidRDefault="006A4F0A" w:rsidP="006A4F0A">
      <w:pPr>
        <w:rPr>
          <w:rStyle w:val="AERbodytextChar"/>
          <w:rFonts w:eastAsiaTheme="minorHAnsi"/>
        </w:rPr>
      </w:pPr>
      <w:r w:rsidRPr="00B81259">
        <w:rPr>
          <w:rStyle w:val="AERbodytextChar"/>
          <w:rFonts w:eastAsiaTheme="minorHAnsi"/>
        </w:rPr>
        <w:lastRenderedPageBreak/>
        <w:t>Consumers should pay no more than necessary for the safe and reliable delivery of electricity network services.</w:t>
      </w:r>
      <w:r>
        <w:rPr>
          <w:rStyle w:val="AERbodytextChar"/>
          <w:rFonts w:eastAsiaTheme="minorHAnsi"/>
        </w:rPr>
        <w:t xml:space="preserve"> </w:t>
      </w:r>
      <w:r w:rsidR="00E71321">
        <w:rPr>
          <w:rStyle w:val="AERbodytextChar"/>
          <w:rFonts w:eastAsiaTheme="minorHAnsi"/>
        </w:rPr>
        <w:t>Powercor proposed capex of $2006</w:t>
      </w:r>
      <w:r w:rsidR="00F703B4">
        <w:rPr>
          <w:rStyle w:val="AERbodytextChar"/>
          <w:rFonts w:eastAsiaTheme="minorHAnsi"/>
        </w:rPr>
        <w:t>.3</w:t>
      </w:r>
      <w:r w:rsidR="00E71321">
        <w:rPr>
          <w:rStyle w:val="AERbodytextChar"/>
          <w:rFonts w:eastAsiaTheme="minorHAnsi"/>
        </w:rPr>
        <w:t xml:space="preserve"> million. </w:t>
      </w:r>
      <w:r w:rsidR="000175BC">
        <w:rPr>
          <w:rStyle w:val="AERbodytextChar"/>
          <w:rFonts w:eastAsiaTheme="minorHAnsi"/>
        </w:rPr>
        <w:t>Although we made some adjustments, w</w:t>
      </w:r>
      <w:r w:rsidR="000175BC" w:rsidRPr="00F67492">
        <w:rPr>
          <w:rStyle w:val="AERbodytextChar"/>
          <w:rFonts w:eastAsiaTheme="minorHAnsi"/>
        </w:rPr>
        <w:t>e</w:t>
      </w:r>
      <w:r w:rsidR="000175BC" w:rsidRPr="00170014">
        <w:rPr>
          <w:rStyle w:val="AERbodytextChar"/>
          <w:rFonts w:eastAsiaTheme="minorHAnsi"/>
        </w:rPr>
        <w:t xml:space="preserve"> </w:t>
      </w:r>
      <w:r w:rsidRPr="00170014">
        <w:rPr>
          <w:rStyle w:val="AERbodytextChar"/>
          <w:rFonts w:eastAsiaTheme="minorHAnsi"/>
        </w:rPr>
        <w:t xml:space="preserve">are reasonably satisfied that the majority of capex proposed by </w:t>
      </w:r>
      <w:r w:rsidR="00B20FDF">
        <w:t xml:space="preserve">Powercor </w:t>
      </w:r>
      <w:r w:rsidRPr="00170014">
        <w:rPr>
          <w:rStyle w:val="AERbodytextChar"/>
          <w:rFonts w:eastAsiaTheme="minorHAnsi"/>
        </w:rPr>
        <w:t>for 2016–20 is prudent and efficient and, therefore, is in the long term interests of consumers.</w:t>
      </w:r>
      <w:r w:rsidR="00815C8F">
        <w:rPr>
          <w:rStyle w:val="AERbodytextChar"/>
          <w:rFonts w:eastAsiaTheme="minorHAnsi"/>
        </w:rPr>
        <w:t xml:space="preserve"> </w:t>
      </w:r>
    </w:p>
    <w:p w:rsidR="006A4F0A" w:rsidRPr="00BB6DE6" w:rsidRDefault="00052810" w:rsidP="006A4F0A">
      <w:pPr>
        <w:pStyle w:val="Heading3"/>
        <w:rPr>
          <w:rStyle w:val="AERbodytextChar"/>
          <w:rFonts w:eastAsiaTheme="minorHAnsi"/>
        </w:rPr>
      </w:pPr>
      <w:bookmarkStart w:id="28" w:name="_Toc433786787"/>
      <w:r>
        <w:rPr>
          <w:rStyle w:val="AERbodytextChar"/>
          <w:rFonts w:eastAsiaTheme="minorHAnsi"/>
        </w:rPr>
        <w:t>Less revenue required in current operating environment</w:t>
      </w:r>
      <w:bookmarkEnd w:id="28"/>
    </w:p>
    <w:p w:rsidR="006A4F0A" w:rsidRPr="00650527" w:rsidRDefault="00B20FDF" w:rsidP="006A4F0A">
      <w:pPr>
        <w:rPr>
          <w:rStyle w:val="AERbodytextChar"/>
          <w:rFonts w:eastAsiaTheme="minorHAnsi"/>
        </w:rPr>
      </w:pPr>
      <w:r>
        <w:t xml:space="preserve">Powercor’s </w:t>
      </w:r>
      <w:r w:rsidR="006A4F0A" w:rsidRPr="00650527">
        <w:rPr>
          <w:rStyle w:val="AERbodytextChar"/>
          <w:rFonts w:eastAsiaTheme="minorHAnsi"/>
        </w:rPr>
        <w:t>annual revenue increased each year</w:t>
      </w:r>
      <w:r w:rsidR="001E1A1C" w:rsidRPr="001E1A1C">
        <w:rPr>
          <w:rStyle w:val="AERbodytextChar"/>
          <w:rFonts w:eastAsiaTheme="minorHAnsi"/>
        </w:rPr>
        <w:t xml:space="preserve"> </w:t>
      </w:r>
      <w:r w:rsidR="001E1A1C">
        <w:rPr>
          <w:rStyle w:val="AERbodytextChar"/>
          <w:rFonts w:eastAsiaTheme="minorHAnsi"/>
        </w:rPr>
        <w:t>f</w:t>
      </w:r>
      <w:r w:rsidR="001E1A1C" w:rsidRPr="00650527">
        <w:rPr>
          <w:rStyle w:val="AERbodytextChar"/>
          <w:rFonts w:eastAsiaTheme="minorHAnsi"/>
        </w:rPr>
        <w:t>rom 2011 to 2015</w:t>
      </w:r>
      <w:r w:rsidR="0099349D">
        <w:rPr>
          <w:rStyle w:val="AERbodytextChar"/>
          <w:rFonts w:eastAsiaTheme="minorHAnsi"/>
        </w:rPr>
        <w:t>. This p</w:t>
      </w:r>
      <w:r w:rsidR="006A4F0A" w:rsidRPr="00650527">
        <w:rPr>
          <w:rStyle w:val="AERbodytextChar"/>
          <w:rFonts w:eastAsiaTheme="minorHAnsi"/>
        </w:rPr>
        <w:t xml:space="preserve">reliminary </w:t>
      </w:r>
      <w:r w:rsidR="006A4F0A">
        <w:rPr>
          <w:rStyle w:val="AERbodytextChar"/>
          <w:rFonts w:eastAsiaTheme="minorHAnsi"/>
        </w:rPr>
        <w:t>decision</w:t>
      </w:r>
      <w:r w:rsidR="006A4F0A" w:rsidRPr="00650527">
        <w:rPr>
          <w:rStyle w:val="AERbodytextChar"/>
          <w:rFonts w:eastAsiaTheme="minorHAnsi"/>
        </w:rPr>
        <w:t xml:space="preserve"> results in a gradual fall i</w:t>
      </w:r>
      <w:r w:rsidR="008877D5">
        <w:rPr>
          <w:rStyle w:val="AERbodytextChar"/>
          <w:rFonts w:eastAsiaTheme="minorHAnsi"/>
        </w:rPr>
        <w:t>n revenue over 2016–20 (figure 4</w:t>
      </w:r>
      <w:r w:rsidR="006A4F0A">
        <w:rPr>
          <w:rStyle w:val="AERbodytextChar"/>
          <w:rFonts w:eastAsiaTheme="minorHAnsi"/>
        </w:rPr>
        <w:t xml:space="preserve">), which </w:t>
      </w:r>
      <w:r w:rsidR="006A4F0A" w:rsidRPr="00650527">
        <w:rPr>
          <w:rStyle w:val="AERbodytextChar"/>
          <w:rFonts w:eastAsiaTheme="minorHAnsi"/>
        </w:rPr>
        <w:t xml:space="preserve">reflects </w:t>
      </w:r>
      <w:r w:rsidR="006A4F0A">
        <w:rPr>
          <w:rStyle w:val="AERbodytextChar"/>
          <w:rFonts w:eastAsiaTheme="minorHAnsi"/>
        </w:rPr>
        <w:t>a number of f</w:t>
      </w:r>
      <w:r w:rsidR="006A4F0A" w:rsidRPr="00650527">
        <w:rPr>
          <w:rStyle w:val="AERbodytextChar"/>
          <w:rFonts w:eastAsiaTheme="minorHAnsi"/>
        </w:rPr>
        <w:t xml:space="preserve">actors that impact on </w:t>
      </w:r>
      <w:r>
        <w:t xml:space="preserve">Powercor’s </w:t>
      </w:r>
      <w:r w:rsidR="006A4F0A">
        <w:rPr>
          <w:rStyle w:val="AERbodytextChar"/>
          <w:rFonts w:eastAsiaTheme="minorHAnsi"/>
        </w:rPr>
        <w:t xml:space="preserve">underlying </w:t>
      </w:r>
      <w:r w:rsidR="006A4F0A" w:rsidRPr="00650527">
        <w:rPr>
          <w:rStyle w:val="AERbodytextChar"/>
          <w:rFonts w:eastAsiaTheme="minorHAnsi"/>
        </w:rPr>
        <w:t>costs</w:t>
      </w:r>
      <w:r w:rsidR="006A4F0A">
        <w:rPr>
          <w:rStyle w:val="AERbodytextChar"/>
          <w:rFonts w:eastAsiaTheme="minorHAnsi"/>
        </w:rPr>
        <w:t>, including</w:t>
      </w:r>
      <w:r w:rsidR="006A4F0A" w:rsidRPr="00650527">
        <w:rPr>
          <w:rStyle w:val="AERbodytextChar"/>
          <w:rFonts w:eastAsiaTheme="minorHAnsi"/>
        </w:rPr>
        <w:t>:</w:t>
      </w:r>
    </w:p>
    <w:p w:rsidR="006A4F0A" w:rsidRPr="00650527" w:rsidRDefault="006A4F0A" w:rsidP="006A4F0A">
      <w:pPr>
        <w:pStyle w:val="AERbulletlistfirststyle"/>
        <w:rPr>
          <w:rStyle w:val="AERbodytextChar"/>
          <w:rFonts w:eastAsiaTheme="minorHAnsi"/>
        </w:rPr>
      </w:pPr>
      <w:r w:rsidRPr="00650527">
        <w:rPr>
          <w:rStyle w:val="AERbodytextChar"/>
          <w:rFonts w:eastAsiaTheme="minorHAnsi"/>
        </w:rPr>
        <w:t>an improved investment environment compared to the previous regulatory period, which translates to lower financing costs necessary to attract efficient investment</w:t>
      </w:r>
      <w:r>
        <w:rPr>
          <w:rStyle w:val="AERbodytextChar"/>
          <w:rFonts w:eastAsiaTheme="minorHAnsi"/>
        </w:rPr>
        <w:t xml:space="preserve"> </w:t>
      </w:r>
    </w:p>
    <w:p w:rsidR="006A4F0A" w:rsidRPr="00650527" w:rsidRDefault="006A4F0A" w:rsidP="006A4F0A">
      <w:pPr>
        <w:pStyle w:val="AERbulletlistfirststyle"/>
        <w:rPr>
          <w:rStyle w:val="AERbodytextChar"/>
          <w:rFonts w:eastAsiaTheme="minorHAnsi"/>
        </w:rPr>
      </w:pPr>
      <w:r w:rsidRPr="00650527">
        <w:rPr>
          <w:rStyle w:val="AERbodytextChar"/>
          <w:rFonts w:eastAsiaTheme="minorHAnsi"/>
        </w:rPr>
        <w:t xml:space="preserve">demand for electricity </w:t>
      </w:r>
      <w:r w:rsidR="001E1A1C">
        <w:rPr>
          <w:rStyle w:val="AERbodytextChar"/>
          <w:rFonts w:eastAsiaTheme="minorHAnsi"/>
        </w:rPr>
        <w:t xml:space="preserve">which </w:t>
      </w:r>
      <w:r w:rsidRPr="00650527">
        <w:rPr>
          <w:rStyle w:val="AERbodytextChar"/>
          <w:rFonts w:eastAsiaTheme="minorHAnsi"/>
        </w:rPr>
        <w:t xml:space="preserve">is expected to be relatively flat going forward, which means less pressure on </w:t>
      </w:r>
      <w:r w:rsidR="00B20FDF">
        <w:t xml:space="preserve">Powercor </w:t>
      </w:r>
      <w:r w:rsidRPr="00650527">
        <w:rPr>
          <w:rStyle w:val="AERbodytextChar"/>
          <w:rFonts w:eastAsiaTheme="minorHAnsi"/>
        </w:rPr>
        <w:t xml:space="preserve">to expand </w:t>
      </w:r>
      <w:r>
        <w:rPr>
          <w:rStyle w:val="AERbodytextChar"/>
          <w:rFonts w:eastAsiaTheme="minorHAnsi"/>
        </w:rPr>
        <w:t xml:space="preserve">the capacity of </w:t>
      </w:r>
      <w:r w:rsidRPr="00650527">
        <w:rPr>
          <w:rStyle w:val="AERbodytextChar"/>
          <w:rFonts w:eastAsiaTheme="minorHAnsi"/>
        </w:rPr>
        <w:t>its network</w:t>
      </w:r>
      <w:r>
        <w:rPr>
          <w:rStyle w:val="AERbodytextChar"/>
          <w:rFonts w:eastAsiaTheme="minorHAnsi"/>
        </w:rPr>
        <w:t xml:space="preserve"> compared to previous regulatory periods</w:t>
      </w:r>
    </w:p>
    <w:p w:rsidR="006A4F0A" w:rsidRDefault="006A4F0A" w:rsidP="006A4F0A">
      <w:pPr>
        <w:pStyle w:val="AERbulletlistfirststyle"/>
        <w:rPr>
          <w:rStyle w:val="AERbodytextChar"/>
          <w:rFonts w:eastAsiaTheme="minorHAnsi"/>
        </w:rPr>
      </w:pPr>
      <w:r>
        <w:rPr>
          <w:rStyle w:val="AERbodytextChar"/>
          <w:rFonts w:eastAsiaTheme="minorHAnsi"/>
        </w:rPr>
        <w:t>changes to the V</w:t>
      </w:r>
      <w:r w:rsidRPr="00650527">
        <w:rPr>
          <w:rStyle w:val="AERbodytextChar"/>
          <w:rFonts w:eastAsiaTheme="minorHAnsi"/>
        </w:rPr>
        <w:t xml:space="preserve">alue of </w:t>
      </w:r>
      <w:r>
        <w:rPr>
          <w:rStyle w:val="AERbodytextChar"/>
          <w:rFonts w:eastAsiaTheme="minorHAnsi"/>
        </w:rPr>
        <w:t>C</w:t>
      </w:r>
      <w:r w:rsidRPr="00650527">
        <w:rPr>
          <w:rStyle w:val="AERbodytextChar"/>
          <w:rFonts w:eastAsiaTheme="minorHAnsi"/>
        </w:rPr>
        <w:t xml:space="preserve">ustomer </w:t>
      </w:r>
      <w:r>
        <w:rPr>
          <w:rStyle w:val="AERbodytextChar"/>
          <w:rFonts w:eastAsiaTheme="minorHAnsi"/>
        </w:rPr>
        <w:t>R</w:t>
      </w:r>
      <w:r w:rsidRPr="00650527">
        <w:rPr>
          <w:rStyle w:val="AERbodytextChar"/>
          <w:rFonts w:eastAsiaTheme="minorHAnsi"/>
        </w:rPr>
        <w:t>eliability, which reduce</w:t>
      </w:r>
      <w:r w:rsidR="002C5AA0">
        <w:rPr>
          <w:rStyle w:val="AERbodytextChar"/>
          <w:rFonts w:eastAsiaTheme="minorHAnsi"/>
        </w:rPr>
        <w:t>s</w:t>
      </w:r>
      <w:r w:rsidRPr="00650527">
        <w:rPr>
          <w:rStyle w:val="AERbodytextChar"/>
          <w:rFonts w:eastAsiaTheme="minorHAnsi"/>
        </w:rPr>
        <w:t xml:space="preserve"> the need to build new infrastructure </w:t>
      </w:r>
      <w:r>
        <w:rPr>
          <w:rStyle w:val="AERbodytextChar"/>
          <w:rFonts w:eastAsiaTheme="minorHAnsi"/>
        </w:rPr>
        <w:t>to meet customers' expectations of reliable electricity</w:t>
      </w:r>
    </w:p>
    <w:p w:rsidR="006A4F0A" w:rsidRPr="00650527" w:rsidRDefault="006A4F0A" w:rsidP="006A4F0A">
      <w:pPr>
        <w:pStyle w:val="AERbulletlistfirststyle"/>
        <w:rPr>
          <w:rStyle w:val="AERbodytextChar"/>
          <w:rFonts w:eastAsiaTheme="minorHAnsi"/>
        </w:rPr>
      </w:pPr>
      <w:r>
        <w:rPr>
          <w:rStyle w:val="AERbodytextChar"/>
          <w:rFonts w:eastAsiaTheme="minorHAnsi"/>
        </w:rPr>
        <w:t>the</w:t>
      </w:r>
      <w:r w:rsidR="001E1A1C" w:rsidRPr="001E1A1C">
        <w:rPr>
          <w:rStyle w:val="AERbodytextChar"/>
          <w:rFonts w:eastAsiaTheme="minorHAnsi"/>
        </w:rPr>
        <w:t xml:space="preserve"> </w:t>
      </w:r>
      <w:r w:rsidR="001E1A1C">
        <w:rPr>
          <w:rStyle w:val="AERbodytextChar"/>
          <w:rFonts w:eastAsiaTheme="minorHAnsi"/>
        </w:rPr>
        <w:t>asset</w:t>
      </w:r>
      <w:r>
        <w:rPr>
          <w:rStyle w:val="AERbodytextChar"/>
          <w:rFonts w:eastAsiaTheme="minorHAnsi"/>
        </w:rPr>
        <w:t xml:space="preserve"> replacement cycle, whereby increased replacement </w:t>
      </w:r>
      <w:r w:rsidR="002648FE">
        <w:rPr>
          <w:rStyle w:val="AERbodytextChar"/>
          <w:rFonts w:eastAsiaTheme="minorHAnsi"/>
        </w:rPr>
        <w:t>capex</w:t>
      </w:r>
      <w:r>
        <w:rPr>
          <w:rStyle w:val="AERbodytextChar"/>
          <w:rFonts w:eastAsiaTheme="minorHAnsi"/>
        </w:rPr>
        <w:t xml:space="preserve"> </w:t>
      </w:r>
      <w:r w:rsidR="003D0EB5">
        <w:rPr>
          <w:rStyle w:val="AERbodytextChar"/>
          <w:rFonts w:eastAsiaTheme="minorHAnsi"/>
        </w:rPr>
        <w:t>is</w:t>
      </w:r>
      <w:r>
        <w:rPr>
          <w:rStyle w:val="AERbodytextChar"/>
          <w:rFonts w:eastAsiaTheme="minorHAnsi"/>
        </w:rPr>
        <w:t xml:space="preserve"> required to manage deterioration in asset condition </w:t>
      </w:r>
      <w:r w:rsidRPr="00C9260A">
        <w:rPr>
          <w:rStyle w:val="AERbodytextChar"/>
          <w:rFonts w:eastAsiaTheme="minorHAnsi"/>
        </w:rPr>
        <w:t>because a greater proportion of</w:t>
      </w:r>
      <w:r w:rsidR="00CE21D3">
        <w:rPr>
          <w:rStyle w:val="AERbodytextChar"/>
          <w:rFonts w:eastAsiaTheme="minorHAnsi"/>
        </w:rPr>
        <w:t xml:space="preserve"> its</w:t>
      </w:r>
      <w:r w:rsidRPr="00C9260A">
        <w:rPr>
          <w:rStyle w:val="AERbodytextChar"/>
          <w:rFonts w:eastAsiaTheme="minorHAnsi"/>
        </w:rPr>
        <w:t xml:space="preserve"> assets are reaching the end of their economic life</w:t>
      </w:r>
    </w:p>
    <w:p w:rsidR="006A4F0A" w:rsidRPr="00650527" w:rsidRDefault="006A4F0A" w:rsidP="006A4F0A">
      <w:pPr>
        <w:pStyle w:val="AERbulletlistfirststyle"/>
        <w:rPr>
          <w:rStyle w:val="AERbodytextChar"/>
          <w:rFonts w:eastAsiaTheme="minorHAnsi"/>
        </w:rPr>
      </w:pPr>
      <w:r>
        <w:rPr>
          <w:rStyle w:val="AERbodytextChar"/>
          <w:rFonts w:eastAsiaTheme="minorHAnsi"/>
        </w:rPr>
        <w:t xml:space="preserve">fewer </w:t>
      </w:r>
      <w:r w:rsidRPr="00650527">
        <w:rPr>
          <w:rStyle w:val="AERbodytextChar"/>
          <w:rFonts w:eastAsiaTheme="minorHAnsi"/>
        </w:rPr>
        <w:t>new regulatory obligations</w:t>
      </w:r>
      <w:r w:rsidRPr="00CC5F78">
        <w:rPr>
          <w:rStyle w:val="AERbodytextChar"/>
          <w:rFonts w:eastAsiaTheme="minorHAnsi"/>
        </w:rPr>
        <w:t xml:space="preserve"> </w:t>
      </w:r>
      <w:r>
        <w:rPr>
          <w:rStyle w:val="AERbodytextChar"/>
          <w:rFonts w:eastAsiaTheme="minorHAnsi"/>
        </w:rPr>
        <w:t xml:space="preserve">imposed on </w:t>
      </w:r>
      <w:r w:rsidR="00B20FDF">
        <w:t>Powercor</w:t>
      </w:r>
      <w:r w:rsidRPr="00650527">
        <w:rPr>
          <w:rStyle w:val="AERbodytextChar"/>
          <w:rFonts w:eastAsiaTheme="minorHAnsi"/>
        </w:rPr>
        <w:t xml:space="preserve">, which </w:t>
      </w:r>
      <w:r>
        <w:rPr>
          <w:rStyle w:val="AERbodytextChar"/>
          <w:rFonts w:eastAsiaTheme="minorHAnsi"/>
        </w:rPr>
        <w:t>means there has not been the same 'step' increase in the business' costs</w:t>
      </w:r>
      <w:r w:rsidR="002648FE" w:rsidRPr="002648FE">
        <w:rPr>
          <w:rStyle w:val="AERbodytextChar"/>
          <w:rFonts w:eastAsiaTheme="minorHAnsi"/>
        </w:rPr>
        <w:t xml:space="preserve"> </w:t>
      </w:r>
      <w:r w:rsidR="002648FE">
        <w:rPr>
          <w:rStyle w:val="AERbodytextChar"/>
          <w:rFonts w:eastAsiaTheme="minorHAnsi"/>
        </w:rPr>
        <w:t xml:space="preserve">as there was in the </w:t>
      </w:r>
      <w:r w:rsidR="002648FE" w:rsidRPr="00CC5F78">
        <w:rPr>
          <w:rStyle w:val="AERbodytextChar"/>
          <w:rFonts w:eastAsiaTheme="minorHAnsi"/>
        </w:rPr>
        <w:t>previous regulatory period</w:t>
      </w:r>
      <w:r>
        <w:rPr>
          <w:rStyle w:val="AERbodytextChar"/>
          <w:rFonts w:eastAsiaTheme="minorHAnsi"/>
        </w:rPr>
        <w:t>.</w:t>
      </w:r>
    </w:p>
    <w:p w:rsidR="006A4F0A" w:rsidRDefault="006A4F0A" w:rsidP="006A4F0A">
      <w:pPr>
        <w:rPr>
          <w:rStyle w:val="AERbodytextChar"/>
          <w:rFonts w:eastAsiaTheme="minorHAnsi"/>
        </w:rPr>
      </w:pPr>
      <w:r>
        <w:rPr>
          <w:rStyle w:val="AERbodytextChar"/>
          <w:rFonts w:eastAsiaTheme="minorHAnsi"/>
        </w:rPr>
        <w:t xml:space="preserve">Most of the above factors reduce </w:t>
      </w:r>
      <w:r w:rsidR="00B20FDF">
        <w:t xml:space="preserve">Powercor’s </w:t>
      </w:r>
      <w:r>
        <w:rPr>
          <w:rStyle w:val="AERbodytextChar"/>
          <w:rFonts w:eastAsiaTheme="minorHAnsi"/>
        </w:rPr>
        <w:t xml:space="preserve">underlying costs compared to the previous regulatory period. Overall, we consider </w:t>
      </w:r>
      <w:r w:rsidR="004969CE">
        <w:rPr>
          <w:rStyle w:val="AERbodytextChar"/>
          <w:rFonts w:eastAsiaTheme="minorHAnsi"/>
        </w:rPr>
        <w:t>that Powercor</w:t>
      </w:r>
      <w:r w:rsidRPr="00267E5F">
        <w:rPr>
          <w:rStyle w:val="AERbodytextChar"/>
          <w:rFonts w:eastAsiaTheme="minorHAnsi"/>
        </w:rPr>
        <w:t xml:space="preserve">, operating prudently and efficiently, can provide safe and reliable distribution services </w:t>
      </w:r>
      <w:r>
        <w:rPr>
          <w:rStyle w:val="AERbodytextChar"/>
          <w:rFonts w:eastAsiaTheme="minorHAnsi"/>
        </w:rPr>
        <w:t xml:space="preserve">over 2016–20 </w:t>
      </w:r>
      <w:r w:rsidRPr="00267E5F">
        <w:rPr>
          <w:rStyle w:val="AERbodytextChar"/>
          <w:rFonts w:eastAsiaTheme="minorHAnsi"/>
        </w:rPr>
        <w:t>with less revenue</w:t>
      </w:r>
      <w:r w:rsidR="003D0EB5" w:rsidRPr="003D0EB5">
        <w:rPr>
          <w:rStyle w:val="AERbodytextChar"/>
          <w:rFonts w:eastAsiaTheme="minorHAnsi"/>
        </w:rPr>
        <w:t xml:space="preserve"> </w:t>
      </w:r>
      <w:r w:rsidR="003D0EB5">
        <w:rPr>
          <w:rStyle w:val="AERbodytextChar"/>
          <w:rFonts w:eastAsiaTheme="minorHAnsi"/>
        </w:rPr>
        <w:t>when</w:t>
      </w:r>
      <w:r w:rsidRPr="00267E5F">
        <w:rPr>
          <w:rStyle w:val="AERbodytextChar"/>
          <w:rFonts w:eastAsiaTheme="minorHAnsi"/>
        </w:rPr>
        <w:t xml:space="preserve"> </w:t>
      </w:r>
      <w:r w:rsidR="00AE0A56">
        <w:rPr>
          <w:rStyle w:val="AERbodytextChar"/>
          <w:rFonts w:eastAsiaTheme="minorHAnsi"/>
        </w:rPr>
        <w:t>compared to 2011–15.</w:t>
      </w:r>
    </w:p>
    <w:p w:rsidR="00137059" w:rsidRDefault="00137059" w:rsidP="002C68C1">
      <w:pPr>
        <w:rPr>
          <w:rStyle w:val="AERbodytextChar"/>
          <w:rFonts w:eastAsiaTheme="minorHAnsi"/>
        </w:rPr>
      </w:pPr>
      <w:r w:rsidRPr="00137059">
        <w:rPr>
          <w:rStyle w:val="AERbodytextChar"/>
          <w:rFonts w:eastAsiaTheme="minorHAnsi"/>
        </w:rPr>
        <w:t>It is noted that a contingent project allow</w:t>
      </w:r>
      <w:r w:rsidR="00A132E7">
        <w:rPr>
          <w:rStyle w:val="AERbodytextChar"/>
          <w:rFonts w:eastAsiaTheme="minorHAnsi"/>
        </w:rPr>
        <w:t>ance is included in this p</w:t>
      </w:r>
      <w:r w:rsidRPr="00137059">
        <w:rPr>
          <w:rStyle w:val="AERbodytextChar"/>
          <w:rFonts w:eastAsiaTheme="minorHAnsi"/>
        </w:rPr>
        <w:t>reliminary decision for new regulatory obligations that may be imposed on Powercor in 2016–20 by the Victorian Government—these relate to further initiatives stemming from the 2009 Victorian Bushfires Royal Commission. Although the full scope of the new obligations and their likely cost impact on Powercor are not currently known, the NER include the contingent project mechanism which may apply when a need for additional capital is likely to arise in the next period. This allowance is subject to further review before it is activated to ensure the costs are prudent and efficient.</w:t>
      </w:r>
      <w:r w:rsidR="00A132E7">
        <w:rPr>
          <w:rStyle w:val="AERbodytextChar"/>
          <w:rFonts w:eastAsiaTheme="minorHAnsi"/>
        </w:rPr>
        <w:t xml:space="preserve"> Further, w</w:t>
      </w:r>
      <w:r w:rsidR="00A132E7" w:rsidRPr="007F1B61">
        <w:rPr>
          <w:rStyle w:val="AERbodytextChar"/>
          <w:rFonts w:eastAsiaTheme="minorHAnsi"/>
        </w:rPr>
        <w:t xml:space="preserve">e have accepted additional capex </w:t>
      </w:r>
      <w:r w:rsidR="00A132E7">
        <w:rPr>
          <w:rStyle w:val="AERbodytextChar"/>
          <w:rFonts w:eastAsiaTheme="minorHAnsi"/>
        </w:rPr>
        <w:t xml:space="preserve">of </w:t>
      </w:r>
      <w:r w:rsidR="00A132E7" w:rsidRPr="00A63226">
        <w:rPr>
          <w:rStyle w:val="AERbodytextChar"/>
          <w:rFonts w:eastAsiaTheme="minorHAnsi"/>
        </w:rPr>
        <w:t>$</w:t>
      </w:r>
      <w:r w:rsidR="00A132E7">
        <w:rPr>
          <w:rStyle w:val="AERbodytextChar"/>
          <w:rFonts w:eastAsiaTheme="minorHAnsi"/>
        </w:rPr>
        <w:t>136 </w:t>
      </w:r>
      <w:r w:rsidR="00A132E7" w:rsidRPr="00A63226">
        <w:rPr>
          <w:rStyle w:val="AERbodytextChar"/>
          <w:rFonts w:eastAsiaTheme="minorHAnsi"/>
        </w:rPr>
        <w:t>million</w:t>
      </w:r>
      <w:r w:rsidR="00A132E7" w:rsidRPr="00852889">
        <w:rPr>
          <w:rStyle w:val="AERbodytextChar"/>
          <w:rFonts w:eastAsiaTheme="minorHAnsi"/>
        </w:rPr>
        <w:t xml:space="preserve"> </w:t>
      </w:r>
      <w:r w:rsidR="00A132E7" w:rsidRPr="007F1B61">
        <w:rPr>
          <w:rStyle w:val="AERbodytextChar"/>
          <w:rFonts w:eastAsiaTheme="minorHAnsi"/>
        </w:rPr>
        <w:t>that is driven by a bushfire safety mitigation program, which is based on a mandatory obligation to undertake this work.</w:t>
      </w:r>
    </w:p>
    <w:p w:rsidR="00DE2C0B" w:rsidRDefault="00DE2C0B">
      <w:pPr>
        <w:spacing w:line="240" w:lineRule="auto"/>
        <w:rPr>
          <w:b/>
          <w:color w:val="076A92" w:themeColor="text1"/>
          <w:sz w:val="24"/>
          <w:szCs w:val="20"/>
        </w:rPr>
      </w:pPr>
      <w:r>
        <w:br w:type="page"/>
      </w:r>
    </w:p>
    <w:p w:rsidR="006A4F0A" w:rsidRPr="007113DF" w:rsidRDefault="006A4F0A" w:rsidP="006A4F0A">
      <w:pPr>
        <w:pStyle w:val="Charttitle"/>
      </w:pPr>
      <w:r w:rsidRPr="007113DF">
        <w:lastRenderedPageBreak/>
        <w:t xml:space="preserve">Figure </w:t>
      </w:r>
      <w:r w:rsidR="008F6524">
        <w:t>4</w:t>
      </w:r>
      <w:r w:rsidRPr="007113DF">
        <w:tab/>
      </w:r>
      <w:r w:rsidR="00B20FDF">
        <w:t xml:space="preserve">Powercor’s </w:t>
      </w:r>
      <w:r w:rsidRPr="007113DF">
        <w:t>past total revenue, proposed total revenue and AER total revenue allowance ($ million, 2015)</w:t>
      </w:r>
    </w:p>
    <w:p w:rsidR="006A4F0A" w:rsidRPr="007113DF" w:rsidRDefault="00B123B4" w:rsidP="006A4F0A">
      <w:pPr>
        <w:pStyle w:val="Charttitle"/>
      </w:pPr>
      <w:r w:rsidRPr="00B123B4">
        <w:rPr>
          <w:noProof/>
          <w:lang w:eastAsia="en-AU"/>
        </w:rPr>
        <w:drawing>
          <wp:inline distT="0" distB="0" distL="0" distR="0" wp14:anchorId="6EA6E37A" wp14:editId="1371B4F6">
            <wp:extent cx="5382895" cy="322783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6A4F0A" w:rsidRPr="007113DF" w:rsidRDefault="006A4F0A" w:rsidP="006A4F0A">
      <w:pPr>
        <w:pStyle w:val="AERtablesource"/>
      </w:pPr>
      <w:r w:rsidRPr="007113DF">
        <w:t xml:space="preserve">Source: </w:t>
      </w:r>
      <w:r w:rsidRPr="007113DF">
        <w:tab/>
        <w:t>AER analysis.</w:t>
      </w:r>
    </w:p>
    <w:p w:rsidR="006A4F0A" w:rsidRPr="001C71E4" w:rsidRDefault="006A4F0A" w:rsidP="006A4F0A">
      <w:pPr>
        <w:pStyle w:val="HeadingBoldBlue"/>
        <w:rPr>
          <w:rStyle w:val="AERbodytextChar"/>
          <w:rFonts w:eastAsiaTheme="majorEastAsia"/>
          <w:szCs w:val="22"/>
        </w:rPr>
      </w:pPr>
      <w:bookmarkStart w:id="29" w:name="_Toc433786788"/>
      <w:r>
        <w:rPr>
          <w:rStyle w:val="AERbodytextChar"/>
          <w:rFonts w:eastAsiaTheme="majorEastAsia"/>
        </w:rPr>
        <w:t>Network funding costs are lower</w:t>
      </w:r>
      <w:bookmarkEnd w:id="29"/>
    </w:p>
    <w:p w:rsidR="006A4F0A" w:rsidRPr="00342921" w:rsidRDefault="006A4F0A" w:rsidP="006A4F0A">
      <w:pPr>
        <w:rPr>
          <w:rStyle w:val="AERbodytextChar"/>
          <w:rFonts w:eastAsiaTheme="minorHAnsi"/>
        </w:rPr>
      </w:pPr>
      <w:r w:rsidRPr="00342921">
        <w:rPr>
          <w:rStyle w:val="AERbodytextChar"/>
          <w:rFonts w:eastAsiaTheme="minorHAnsi"/>
        </w:rPr>
        <w:t>The rate of return provides a</w:t>
      </w:r>
      <w:r>
        <w:rPr>
          <w:rStyle w:val="AERbodytextChar"/>
          <w:rFonts w:eastAsiaTheme="minorHAnsi"/>
        </w:rPr>
        <w:t xml:space="preserve"> network business</w:t>
      </w:r>
      <w:r w:rsidRPr="00342921">
        <w:rPr>
          <w:rStyle w:val="AERbodytextChar"/>
          <w:rFonts w:eastAsiaTheme="minorHAnsi"/>
        </w:rPr>
        <w:t xml:space="preserve"> with revenue to service the interest on its loans and to give a return on equity to shareholders. The allowed rate of return is a key determinant of allowed revenue.</w:t>
      </w:r>
      <w:r w:rsidR="001B5135">
        <w:rPr>
          <w:rStyle w:val="AERbodytextChar"/>
          <w:rFonts w:eastAsiaTheme="minorHAnsi"/>
        </w:rPr>
        <w:t xml:space="preserve"> </w:t>
      </w:r>
      <w:r w:rsidR="001B5135" w:rsidRPr="0030304C">
        <w:rPr>
          <w:rStyle w:val="AERbodytextChar"/>
          <w:rFonts w:eastAsiaTheme="minorHAnsi"/>
        </w:rPr>
        <w:t>The differences in the rate of return</w:t>
      </w:r>
      <w:r w:rsidR="00B57C2D">
        <w:rPr>
          <w:rStyle w:val="AERbodytextChar"/>
          <w:rFonts w:eastAsiaTheme="minorHAnsi"/>
        </w:rPr>
        <w:t xml:space="preserve"> we determine</w:t>
      </w:r>
      <w:r w:rsidR="001B5135" w:rsidRPr="0030304C">
        <w:rPr>
          <w:rStyle w:val="AERbodytextChar"/>
          <w:rFonts w:eastAsiaTheme="minorHAnsi"/>
        </w:rPr>
        <w:t xml:space="preserve"> and those proposed by </w:t>
      </w:r>
      <w:r w:rsidR="001B5135">
        <w:rPr>
          <w:rStyle w:val="AERbodytextChar"/>
          <w:rFonts w:eastAsiaTheme="minorHAnsi"/>
        </w:rPr>
        <w:t>the businesses may appear small—</w:t>
      </w:r>
      <w:r w:rsidR="001B5135" w:rsidRPr="0030304C">
        <w:rPr>
          <w:rStyle w:val="AERbodytextChar"/>
          <w:rFonts w:eastAsiaTheme="minorHAnsi"/>
        </w:rPr>
        <w:t xml:space="preserve">a percentage point or two. However, even a small difference can have a big impact on revenues. This is because </w:t>
      </w:r>
      <w:r w:rsidR="003F0CB4" w:rsidRPr="00B33100">
        <w:rPr>
          <w:rStyle w:val="AERbodytextChar"/>
          <w:rFonts w:eastAsiaTheme="minorHAnsi"/>
        </w:rPr>
        <w:t xml:space="preserve">the businesses have </w:t>
      </w:r>
      <w:r w:rsidR="003F0CB4">
        <w:rPr>
          <w:rStyle w:val="AERbodytextChar"/>
          <w:rFonts w:eastAsiaTheme="minorHAnsi"/>
        </w:rPr>
        <w:t xml:space="preserve">raised </w:t>
      </w:r>
      <w:r w:rsidR="003F0CB4" w:rsidRPr="00B33100">
        <w:rPr>
          <w:rStyle w:val="AERbodytextChar"/>
          <w:rFonts w:eastAsiaTheme="minorHAnsi"/>
        </w:rPr>
        <w:t xml:space="preserve">large amounts </w:t>
      </w:r>
      <w:r w:rsidR="003F0CB4">
        <w:rPr>
          <w:rStyle w:val="AERbodytextChar"/>
          <w:rFonts w:eastAsiaTheme="minorHAnsi"/>
        </w:rPr>
        <w:t xml:space="preserve">of funds </w:t>
      </w:r>
      <w:r w:rsidR="001B5135" w:rsidRPr="0030304C">
        <w:rPr>
          <w:rStyle w:val="AERbodytextChar"/>
          <w:rFonts w:eastAsiaTheme="minorHAnsi"/>
        </w:rPr>
        <w:t xml:space="preserve">from lenders </w:t>
      </w:r>
      <w:r w:rsidR="00E71321">
        <w:rPr>
          <w:rStyle w:val="AERbodytextChar"/>
          <w:rFonts w:eastAsiaTheme="minorHAnsi"/>
        </w:rPr>
        <w:t xml:space="preserve">and other investors in the past, </w:t>
      </w:r>
      <w:r w:rsidR="001B5135" w:rsidRPr="0030304C">
        <w:rPr>
          <w:rStyle w:val="AERbodytextChar"/>
          <w:rFonts w:eastAsiaTheme="minorHAnsi"/>
        </w:rPr>
        <w:t>which is to be expected given the capital intensive nature of the sector</w:t>
      </w:r>
      <w:r w:rsidR="001B5135">
        <w:rPr>
          <w:rStyle w:val="AERbodytextChar"/>
          <w:rFonts w:eastAsiaTheme="minorHAnsi"/>
        </w:rPr>
        <w:t>. T</w:t>
      </w:r>
      <w:r w:rsidR="001B5135" w:rsidRPr="0030304C">
        <w:rPr>
          <w:rStyle w:val="AERbodytextChar"/>
          <w:rFonts w:eastAsiaTheme="minorHAnsi"/>
        </w:rPr>
        <w:t xml:space="preserve">hese </w:t>
      </w:r>
      <w:r w:rsidR="003F0CB4">
        <w:rPr>
          <w:rStyle w:val="AERbodytextChar"/>
          <w:rFonts w:eastAsiaTheme="minorHAnsi"/>
        </w:rPr>
        <w:t>fund raisings</w:t>
      </w:r>
      <w:r w:rsidR="003F0CB4" w:rsidRPr="0030304C">
        <w:rPr>
          <w:rStyle w:val="AERbodytextChar"/>
          <w:rFonts w:eastAsiaTheme="minorHAnsi"/>
        </w:rPr>
        <w:t xml:space="preserve"> </w:t>
      </w:r>
      <w:r w:rsidR="001B5135" w:rsidRPr="0030304C">
        <w:rPr>
          <w:rStyle w:val="AERbodytextChar"/>
          <w:rFonts w:eastAsiaTheme="minorHAnsi"/>
        </w:rPr>
        <w:t>have to continue to be financed</w:t>
      </w:r>
      <w:r w:rsidR="001B5135">
        <w:rPr>
          <w:rStyle w:val="AERbodytextChar"/>
          <w:rFonts w:eastAsiaTheme="minorHAnsi"/>
        </w:rPr>
        <w:t>,</w:t>
      </w:r>
      <w:r w:rsidR="001B5135" w:rsidRPr="0030304C">
        <w:rPr>
          <w:rStyle w:val="AERbodytextChar"/>
          <w:rFonts w:eastAsiaTheme="minorHAnsi"/>
        </w:rPr>
        <w:t xml:space="preserve"> as well as financing</w:t>
      </w:r>
      <w:r w:rsidR="001B5135">
        <w:rPr>
          <w:rStyle w:val="AERbodytextChar"/>
          <w:rFonts w:eastAsiaTheme="minorHAnsi"/>
        </w:rPr>
        <w:t xml:space="preserve"> of</w:t>
      </w:r>
      <w:r w:rsidR="001B5135" w:rsidRPr="0030304C">
        <w:rPr>
          <w:rStyle w:val="AERbodytextChar"/>
          <w:rFonts w:eastAsiaTheme="minorHAnsi"/>
        </w:rPr>
        <w:t xml:space="preserve"> any new capital spending.</w:t>
      </w:r>
    </w:p>
    <w:p w:rsidR="006A4F0A" w:rsidRDefault="006A4F0A" w:rsidP="006A4F0A">
      <w:pPr>
        <w:rPr>
          <w:rStyle w:val="AERbodytextChar"/>
          <w:rFonts w:eastAsiaTheme="minorHAnsi"/>
        </w:rPr>
      </w:pPr>
      <w:r w:rsidRPr="00342921">
        <w:rPr>
          <w:rStyle w:val="AERbodytextChar"/>
          <w:rFonts w:eastAsiaTheme="minorHAnsi"/>
        </w:rPr>
        <w:t>The rate of return must be commensurate with the efficient financing costs of a benchmark efficient entity with a similar degree of risk to the distributor in respect of the prov</w:t>
      </w:r>
      <w:r>
        <w:rPr>
          <w:rStyle w:val="AERbodytextChar"/>
          <w:rFonts w:eastAsiaTheme="minorHAnsi"/>
        </w:rPr>
        <w:t>ision of distribution services.</w:t>
      </w:r>
      <w:r w:rsidRPr="00342921">
        <w:rPr>
          <w:rStyle w:val="AERbodytextChar"/>
          <w:rFonts w:eastAsiaTheme="minorHAnsi"/>
        </w:rPr>
        <w:t xml:space="preserve"> The NER refers to this requirement as the </w:t>
      </w:r>
      <w:r w:rsidR="003744DB">
        <w:rPr>
          <w:rStyle w:val="AERbodytextChar"/>
          <w:rFonts w:eastAsiaTheme="minorHAnsi"/>
        </w:rPr>
        <w:t>‘</w:t>
      </w:r>
      <w:r w:rsidRPr="00342921">
        <w:rPr>
          <w:rStyle w:val="AERbodytextChar"/>
          <w:rFonts w:eastAsiaTheme="minorHAnsi"/>
        </w:rPr>
        <w:t>allowed rate of return objective</w:t>
      </w:r>
      <w:r w:rsidR="003744DB">
        <w:rPr>
          <w:rStyle w:val="AERbodytextChar"/>
          <w:rFonts w:eastAsiaTheme="minorHAnsi"/>
        </w:rPr>
        <w:t>’</w:t>
      </w:r>
      <w:r w:rsidRPr="00342921">
        <w:rPr>
          <w:rStyle w:val="AERbodytextChar"/>
          <w:rFonts w:eastAsiaTheme="minorHAnsi"/>
        </w:rPr>
        <w:t>.</w:t>
      </w:r>
    </w:p>
    <w:p w:rsidR="006A4F0A" w:rsidRDefault="006A4F0A" w:rsidP="006A4F0A">
      <w:pPr>
        <w:rPr>
          <w:rStyle w:val="AERbodytextChar"/>
          <w:rFonts w:eastAsiaTheme="minorHAnsi"/>
        </w:rPr>
      </w:pPr>
      <w:r w:rsidRPr="00400576">
        <w:rPr>
          <w:rStyle w:val="AERbodytextChar"/>
          <w:rFonts w:eastAsiaTheme="minorHAnsi"/>
        </w:rPr>
        <w:t xml:space="preserve">Prevailing market conditions for debt and equity heavily influence the rate of return. </w:t>
      </w:r>
      <w:r w:rsidR="005569C0" w:rsidRPr="00400576">
        <w:rPr>
          <w:rStyle w:val="AERbodytextChar"/>
          <w:rFonts w:eastAsiaTheme="minorHAnsi"/>
        </w:rPr>
        <w:t xml:space="preserve">Financial conditions have </w:t>
      </w:r>
      <w:r w:rsidR="005569C0">
        <w:rPr>
          <w:rStyle w:val="AERbodytextChar"/>
          <w:rFonts w:eastAsiaTheme="minorHAnsi"/>
        </w:rPr>
        <w:t>changed</w:t>
      </w:r>
      <w:r w:rsidR="005569C0" w:rsidRPr="00400576">
        <w:rPr>
          <w:rStyle w:val="AERbodytextChar"/>
          <w:rFonts w:eastAsiaTheme="minorHAnsi"/>
        </w:rPr>
        <w:t xml:space="preserve"> since our </w:t>
      </w:r>
      <w:r w:rsidR="005569C0">
        <w:rPr>
          <w:rStyle w:val="AERbodytextChar"/>
          <w:rFonts w:eastAsiaTheme="minorHAnsi"/>
        </w:rPr>
        <w:t xml:space="preserve">last decision for Powercor in October 2010, which covered the 2011–15 regulatory control period. This </w:t>
      </w:r>
      <w:r w:rsidR="00B557D3">
        <w:rPr>
          <w:rStyle w:val="AERbodytextChar"/>
          <w:rFonts w:eastAsiaTheme="minorHAnsi"/>
        </w:rPr>
        <w:t>is reflected</w:t>
      </w:r>
      <w:r w:rsidR="00B557D3" w:rsidRPr="00400576">
        <w:rPr>
          <w:rStyle w:val="AERbodytextChar"/>
          <w:rFonts w:eastAsiaTheme="minorHAnsi"/>
        </w:rPr>
        <w:t xml:space="preserve"> </w:t>
      </w:r>
      <w:r w:rsidRPr="00400576">
        <w:rPr>
          <w:rStyle w:val="AERbodytextChar"/>
          <w:rFonts w:eastAsiaTheme="minorHAnsi"/>
        </w:rPr>
        <w:t>in a lower rate of return</w:t>
      </w:r>
      <w:r w:rsidR="00B557D3" w:rsidRPr="00B557D3">
        <w:rPr>
          <w:rStyle w:val="AERbodytextChar"/>
          <w:rFonts w:eastAsiaTheme="minorHAnsi"/>
        </w:rPr>
        <w:t xml:space="preserve"> </w:t>
      </w:r>
      <w:r w:rsidR="00B557D3">
        <w:rPr>
          <w:rStyle w:val="AERbodytextChar"/>
          <w:rFonts w:eastAsiaTheme="minorHAnsi"/>
        </w:rPr>
        <w:t>in this preliminary decision</w:t>
      </w:r>
      <w:r w:rsidRPr="00400576">
        <w:rPr>
          <w:rStyle w:val="AERbodytextChar"/>
          <w:rFonts w:eastAsiaTheme="minorHAnsi"/>
        </w:rPr>
        <w:t xml:space="preserve">. Interest rates are lower and financial market conditions are more stable. This means that the cost of debt and the returns required to attract equity are lower. </w:t>
      </w:r>
      <w:r w:rsidR="00B557D3">
        <w:rPr>
          <w:rStyle w:val="AERbodytextChar"/>
          <w:rFonts w:eastAsiaTheme="minorHAnsi"/>
        </w:rPr>
        <w:t>T</w:t>
      </w:r>
      <w:r w:rsidR="00B557D3" w:rsidRPr="00400576">
        <w:rPr>
          <w:rStyle w:val="AERbodytextChar"/>
          <w:rFonts w:eastAsiaTheme="minorHAnsi"/>
        </w:rPr>
        <w:t xml:space="preserve">hese </w:t>
      </w:r>
      <w:r w:rsidRPr="00400576">
        <w:rPr>
          <w:rStyle w:val="AERbodytextChar"/>
          <w:rFonts w:eastAsiaTheme="minorHAnsi"/>
        </w:rPr>
        <w:t>factors should be reflected in the rate of return.</w:t>
      </w:r>
    </w:p>
    <w:p w:rsidR="0037423C" w:rsidRPr="00254377" w:rsidRDefault="0099349D" w:rsidP="0037423C">
      <w:pPr>
        <w:rPr>
          <w:rStyle w:val="AERbodytextChar"/>
          <w:rFonts w:eastAsiaTheme="minorHAnsi"/>
        </w:rPr>
      </w:pPr>
      <w:r>
        <w:rPr>
          <w:rStyle w:val="AERbodytextChar"/>
          <w:rFonts w:eastAsiaTheme="minorHAnsi"/>
        </w:rPr>
        <w:lastRenderedPageBreak/>
        <w:t>Our p</w:t>
      </w:r>
      <w:r w:rsidR="0037423C" w:rsidRPr="00254377">
        <w:rPr>
          <w:rStyle w:val="AERbodytextChar"/>
          <w:rFonts w:eastAsiaTheme="minorHAnsi"/>
        </w:rPr>
        <w:t>reliminary decision is for a rate of return of 6.02 per cent (for 2016)</w:t>
      </w:r>
      <w:r w:rsidR="0037423C" w:rsidRPr="00254377">
        <w:rPr>
          <w:rStyle w:val="FootnoteReference"/>
        </w:rPr>
        <w:footnoteReference w:id="4"/>
      </w:r>
      <w:r w:rsidR="0037423C" w:rsidRPr="00254377">
        <w:rPr>
          <w:rStyle w:val="AERbodytextChar"/>
          <w:rFonts w:eastAsiaTheme="minorHAnsi"/>
        </w:rPr>
        <w:t>—compared to 9.</w:t>
      </w:r>
      <w:r w:rsidR="0037423C">
        <w:rPr>
          <w:rStyle w:val="AERbodytextChar"/>
          <w:rFonts w:eastAsiaTheme="minorHAnsi"/>
        </w:rPr>
        <w:t>49</w:t>
      </w:r>
      <w:r w:rsidR="0037423C" w:rsidRPr="00254377">
        <w:rPr>
          <w:rStyle w:val="AERbodytextChar"/>
          <w:rFonts w:eastAsiaTheme="minorHAnsi"/>
        </w:rPr>
        <w:t xml:space="preserve"> per cent </w:t>
      </w:r>
      <w:r w:rsidR="005569C0">
        <w:rPr>
          <w:rStyle w:val="AERbodytextChar"/>
          <w:rFonts w:eastAsiaTheme="minorHAnsi"/>
        </w:rPr>
        <w:t>we set in</w:t>
      </w:r>
      <w:r w:rsidR="005569C0" w:rsidRPr="00254377">
        <w:rPr>
          <w:rStyle w:val="AERbodytextChar"/>
          <w:rFonts w:eastAsiaTheme="minorHAnsi"/>
        </w:rPr>
        <w:t xml:space="preserve"> </w:t>
      </w:r>
      <w:r w:rsidR="0037423C" w:rsidRPr="00254377">
        <w:rPr>
          <w:rStyle w:val="AERbodytextChar"/>
          <w:rFonts w:eastAsiaTheme="minorHAnsi"/>
        </w:rPr>
        <w:t>the 2011–15 regulatory control period.</w:t>
      </w:r>
    </w:p>
    <w:p w:rsidR="0037423C" w:rsidRPr="00254377" w:rsidRDefault="0037423C" w:rsidP="0037423C">
      <w:pPr>
        <w:rPr>
          <w:rStyle w:val="AERbodytextChar"/>
          <w:rFonts w:eastAsiaTheme="minorHAnsi"/>
        </w:rPr>
      </w:pPr>
      <w:r w:rsidRPr="00254377">
        <w:rPr>
          <w:rStyle w:val="AERbodytextChar"/>
          <w:rFonts w:eastAsiaTheme="minorHAnsi"/>
        </w:rPr>
        <w:t xml:space="preserve">We set out our approach to determining the rate of return in the Rate of Return Guideline (Guideline) we published in December 2013. We undertook significant consultation </w:t>
      </w:r>
      <w:r w:rsidR="005569C0">
        <w:rPr>
          <w:rStyle w:val="AERbodytextChar"/>
          <w:rFonts w:eastAsiaTheme="minorHAnsi"/>
        </w:rPr>
        <w:t>in developing</w:t>
      </w:r>
      <w:r w:rsidR="005569C0" w:rsidRPr="00254377">
        <w:rPr>
          <w:rStyle w:val="AERbodytextChar"/>
          <w:rFonts w:eastAsiaTheme="minorHAnsi"/>
        </w:rPr>
        <w:t xml:space="preserve"> </w:t>
      </w:r>
      <w:r w:rsidRPr="00254377">
        <w:rPr>
          <w:rStyle w:val="AERbodytextChar"/>
          <w:rFonts w:eastAsiaTheme="minorHAnsi"/>
        </w:rPr>
        <w:t>this Guideline. Although it is not binding, the distribution businesses must provide reasons to justify any departure from the Guideline.</w:t>
      </w:r>
    </w:p>
    <w:p w:rsidR="001F1909" w:rsidRDefault="007D1BF3" w:rsidP="001F1909">
      <w:pPr>
        <w:rPr>
          <w:rStyle w:val="AERbodytextChar"/>
          <w:rFonts w:eastAsiaTheme="minorHAnsi"/>
        </w:rPr>
      </w:pPr>
      <w:r>
        <w:rPr>
          <w:rStyle w:val="AERbodytextChar"/>
          <w:rFonts w:eastAsiaTheme="minorHAnsi"/>
        </w:rPr>
        <w:t>Powercor</w:t>
      </w:r>
      <w:r w:rsidRPr="00A1145E">
        <w:rPr>
          <w:rStyle w:val="AERbodytextChar"/>
          <w:rFonts w:eastAsiaTheme="minorHAnsi"/>
        </w:rPr>
        <w:t xml:space="preserve"> p</w:t>
      </w:r>
      <w:r>
        <w:rPr>
          <w:rStyle w:val="AERbodytextChar"/>
          <w:rFonts w:eastAsiaTheme="minorHAnsi"/>
        </w:rPr>
        <w:t>roposed a rate of return of 7.20</w:t>
      </w:r>
      <w:r w:rsidRPr="00A1145E">
        <w:rPr>
          <w:rStyle w:val="AERbodytextChar"/>
          <w:rFonts w:eastAsiaTheme="minorHAnsi"/>
        </w:rPr>
        <w:t xml:space="preserve"> per cent for 2016–20. It proposed that we depart from the Rate of Return Guideline. We have considered </w:t>
      </w:r>
      <w:r>
        <w:rPr>
          <w:rStyle w:val="AERbodytextChar"/>
          <w:rFonts w:eastAsiaTheme="minorHAnsi"/>
        </w:rPr>
        <w:t>Powercor’s</w:t>
      </w:r>
      <w:r w:rsidRPr="00A1145E">
        <w:rPr>
          <w:rStyle w:val="AERbodytextChar"/>
          <w:rFonts w:eastAsiaTheme="minorHAnsi"/>
        </w:rPr>
        <w:t xml:space="preserve"> arguments and supporting information, but do not find them sufficiently compelling for us to depart from the Guideline. </w:t>
      </w:r>
      <w:r w:rsidR="00D82FB5">
        <w:rPr>
          <w:rStyle w:val="AERbodytextChar"/>
          <w:rFonts w:eastAsiaTheme="minorHAnsi"/>
        </w:rPr>
        <w:t>Advice from the Consumer Challenge Panel, and s</w:t>
      </w:r>
      <w:r w:rsidRPr="00A1145E">
        <w:rPr>
          <w:rStyle w:val="AERbodytextChar"/>
          <w:rFonts w:eastAsiaTheme="minorHAnsi"/>
        </w:rPr>
        <w:t>ubmissions by the Consumer Utilities Advocacy Centre, Victorian Energy Consumer and User Alliance, Victorian Government, Energy Retailers Association of Australia and Origin Energy broadly considered that the Victorian distributors’ proposals should not have departed from the Guideline, and that their proposed rates of return are excessive given the current investment environment.</w:t>
      </w:r>
      <w:r w:rsidR="00494F92">
        <w:rPr>
          <w:rStyle w:val="FootnoteReference"/>
          <w:szCs w:val="24"/>
        </w:rPr>
        <w:footnoteReference w:id="5"/>
      </w:r>
      <w:r w:rsidR="001F1909">
        <w:rPr>
          <w:rStyle w:val="AERbodytextChar"/>
          <w:rFonts w:eastAsiaTheme="minorHAnsi"/>
        </w:rPr>
        <w:t xml:space="preserve"> For example, VECUA stated:</w:t>
      </w:r>
    </w:p>
    <w:p w:rsidR="001F1909" w:rsidRDefault="001F1909" w:rsidP="001F1909">
      <w:pPr>
        <w:pStyle w:val="AERquote"/>
        <w:rPr>
          <w:rStyle w:val="AERbodytextChar"/>
          <w:rFonts w:eastAsiaTheme="minorHAnsi"/>
        </w:rPr>
      </w:pP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WACC</w:t>
      </w:r>
      <w:r>
        <w:rPr>
          <w:rStyle w:val="AERbodytextChar"/>
          <w:rFonts w:eastAsiaTheme="minorHAnsi"/>
        </w:rPr>
        <w:t xml:space="preserve"> </w:t>
      </w:r>
      <w:r w:rsidRPr="00FC7BE3">
        <w:rPr>
          <w:rStyle w:val="AERbodytextChar"/>
          <w:rFonts w:eastAsiaTheme="minorHAnsi"/>
        </w:rPr>
        <w:t>proposals</w:t>
      </w:r>
      <w:r>
        <w:rPr>
          <w:rStyle w:val="AERbodytextChar"/>
          <w:rFonts w:eastAsiaTheme="minorHAnsi"/>
        </w:rPr>
        <w:t xml:space="preserve"> </w:t>
      </w:r>
      <w:r w:rsidRPr="00FC7BE3">
        <w:rPr>
          <w:rStyle w:val="AERbodytextChar"/>
          <w:rFonts w:eastAsiaTheme="minorHAnsi"/>
        </w:rPr>
        <w:t>are</w:t>
      </w:r>
      <w:r>
        <w:rPr>
          <w:rStyle w:val="AERbodytextChar"/>
          <w:rFonts w:eastAsiaTheme="minorHAnsi"/>
        </w:rPr>
        <w:t xml:space="preserve"> </w:t>
      </w:r>
      <w:r w:rsidRPr="00FC7BE3">
        <w:rPr>
          <w:rStyle w:val="AERbodytextChar"/>
          <w:rFonts w:eastAsiaTheme="minorHAnsi"/>
        </w:rPr>
        <w:t>excessive</w:t>
      </w:r>
      <w:r>
        <w:rPr>
          <w:rStyle w:val="AERbodytextChar"/>
          <w:rFonts w:eastAsiaTheme="minorHAnsi"/>
        </w:rPr>
        <w:t xml:space="preserve"> </w:t>
      </w:r>
      <w:r w:rsidRPr="00FC7BE3">
        <w:rPr>
          <w:rStyle w:val="AERbodytextChar"/>
          <w:rFonts w:eastAsiaTheme="minorHAnsi"/>
        </w:rPr>
        <w:t>and</w:t>
      </w:r>
      <w:r>
        <w:rPr>
          <w:rStyle w:val="AERbodytextChar"/>
          <w:rFonts w:eastAsiaTheme="minorHAnsi"/>
        </w:rPr>
        <w:t xml:space="preserve"> </w:t>
      </w:r>
      <w:r w:rsidRPr="00FC7BE3">
        <w:rPr>
          <w:rStyle w:val="AERbodytextChar"/>
          <w:rFonts w:eastAsiaTheme="minorHAnsi"/>
        </w:rPr>
        <w:t>are</w:t>
      </w:r>
      <w:r>
        <w:rPr>
          <w:rStyle w:val="AERbodytextChar"/>
          <w:rFonts w:eastAsiaTheme="minorHAnsi"/>
        </w:rPr>
        <w:t xml:space="preserve"> </w:t>
      </w:r>
      <w:r w:rsidRPr="00FC7BE3">
        <w:rPr>
          <w:rStyle w:val="AERbodytextChar"/>
          <w:rFonts w:eastAsiaTheme="minorHAnsi"/>
        </w:rPr>
        <w:t>based</w:t>
      </w:r>
      <w:r>
        <w:rPr>
          <w:rStyle w:val="AERbodytextChar"/>
          <w:rFonts w:eastAsiaTheme="minorHAnsi"/>
        </w:rPr>
        <w:t xml:space="preserve"> </w:t>
      </w:r>
      <w:r w:rsidRPr="00FC7BE3">
        <w:rPr>
          <w:rStyle w:val="AERbodytextChar"/>
          <w:rFonts w:eastAsiaTheme="minorHAnsi"/>
        </w:rPr>
        <w:t>on</w:t>
      </w:r>
      <w:r>
        <w:rPr>
          <w:rStyle w:val="AERbodytextChar"/>
          <w:rFonts w:eastAsiaTheme="minorHAnsi"/>
        </w:rPr>
        <w:t xml:space="preserve"> </w:t>
      </w:r>
      <w:r w:rsidRPr="00FC7BE3">
        <w:rPr>
          <w:rStyle w:val="AERbodytextChar"/>
          <w:rFonts w:eastAsiaTheme="minorHAnsi"/>
        </w:rPr>
        <w:t>major</w:t>
      </w:r>
      <w:r>
        <w:rPr>
          <w:rStyle w:val="AERbodytextChar"/>
          <w:rFonts w:eastAsiaTheme="minorHAnsi"/>
        </w:rPr>
        <w:t xml:space="preserve"> </w:t>
      </w:r>
      <w:r w:rsidRPr="00FC7BE3">
        <w:rPr>
          <w:rStyle w:val="AERbodytextChar"/>
          <w:rFonts w:eastAsiaTheme="minorHAnsi"/>
        </w:rPr>
        <w:t>unjustified</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from</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AER’s</w:t>
      </w:r>
      <w:r>
        <w:rPr>
          <w:rStyle w:val="AERbodytextChar"/>
          <w:rFonts w:eastAsiaTheme="minorHAnsi"/>
        </w:rPr>
        <w:t xml:space="preserve"> </w:t>
      </w:r>
      <w:r w:rsidRPr="00FC7BE3">
        <w:rPr>
          <w:rStyle w:val="AERbodytextChar"/>
          <w:rFonts w:eastAsiaTheme="minorHAnsi"/>
        </w:rPr>
        <w:t>Rate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Return</w:t>
      </w:r>
      <w:r>
        <w:rPr>
          <w:rStyle w:val="AERbodytextChar"/>
          <w:rFonts w:eastAsiaTheme="minorHAnsi"/>
        </w:rPr>
        <w:t xml:space="preserve"> </w:t>
      </w:r>
      <w:r w:rsidRPr="00FC7BE3">
        <w:rPr>
          <w:rStyle w:val="AERbodytextChar"/>
          <w:rFonts w:eastAsiaTheme="minorHAnsi"/>
        </w:rPr>
        <w:t>Guideline</w:t>
      </w:r>
      <w:r>
        <w:rPr>
          <w:rStyle w:val="AERbodytextChar"/>
          <w:rFonts w:eastAsiaTheme="minorHAnsi"/>
        </w:rPr>
        <w:t>—</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guideline</w:t>
      </w:r>
      <w:r>
        <w:rPr>
          <w:rStyle w:val="AERbodytextChar"/>
          <w:rFonts w:eastAsiaTheme="minorHAnsi"/>
        </w:rPr>
        <w:t xml:space="preserve"> </w:t>
      </w:r>
      <w:r w:rsidRPr="00FC7BE3">
        <w:rPr>
          <w:rStyle w:val="AERbodytextChar"/>
          <w:rFonts w:eastAsiaTheme="minorHAnsi"/>
        </w:rPr>
        <w:t>that</w:t>
      </w:r>
      <w:r>
        <w:rPr>
          <w:rStyle w:val="AERbodytextChar"/>
          <w:rFonts w:eastAsiaTheme="minorHAnsi"/>
        </w:rPr>
        <w:t xml:space="preserve"> </w:t>
      </w:r>
      <w:r w:rsidRPr="00FC7BE3">
        <w:rPr>
          <w:rStyle w:val="AERbodytextChar"/>
          <w:rFonts w:eastAsiaTheme="minorHAnsi"/>
        </w:rPr>
        <w:t>was</w:t>
      </w:r>
      <w:r>
        <w:rPr>
          <w:rStyle w:val="AERbodytextChar"/>
          <w:rFonts w:eastAsiaTheme="minorHAnsi"/>
        </w:rPr>
        <w:t xml:space="preserve"> </w:t>
      </w:r>
      <w:r w:rsidRPr="00FC7BE3">
        <w:rPr>
          <w:rStyle w:val="AERbodytextChar"/>
          <w:rFonts w:eastAsiaTheme="minorHAnsi"/>
        </w:rPr>
        <w:t>developed</w:t>
      </w:r>
      <w:r>
        <w:rPr>
          <w:rStyle w:val="AERbodytextChar"/>
          <w:rFonts w:eastAsiaTheme="minorHAnsi"/>
        </w:rPr>
        <w:t xml:space="preserve"> </w:t>
      </w:r>
      <w:r w:rsidRPr="00FC7BE3">
        <w:rPr>
          <w:rStyle w:val="AERbodytextChar"/>
          <w:rFonts w:eastAsiaTheme="minorHAnsi"/>
        </w:rPr>
        <w:t>through</w:t>
      </w:r>
      <w:r>
        <w:rPr>
          <w:rStyle w:val="AERbodytextChar"/>
          <w:rFonts w:eastAsiaTheme="minorHAnsi"/>
        </w:rPr>
        <w:t xml:space="preserve"> </w:t>
      </w:r>
      <w:r w:rsidRPr="00FC7BE3">
        <w:rPr>
          <w:rStyle w:val="AERbodytextChar"/>
          <w:rFonts w:eastAsiaTheme="minorHAnsi"/>
        </w:rPr>
        <w:t>extensive</w:t>
      </w:r>
      <w:r>
        <w:rPr>
          <w:rStyle w:val="AERbodytextChar"/>
          <w:rFonts w:eastAsiaTheme="minorHAnsi"/>
        </w:rPr>
        <w:t xml:space="preserve"> </w:t>
      </w:r>
      <w:r w:rsidRPr="00FC7BE3">
        <w:rPr>
          <w:rStyle w:val="AERbodytextChar"/>
          <w:rFonts w:eastAsiaTheme="minorHAnsi"/>
        </w:rPr>
        <w:t>consultation</w:t>
      </w:r>
      <w:r>
        <w:rPr>
          <w:rStyle w:val="AERbodytextChar"/>
          <w:rFonts w:eastAsiaTheme="minorHAnsi"/>
        </w:rPr>
        <w:t xml:space="preserve"> </w:t>
      </w:r>
      <w:r w:rsidRPr="00FC7BE3">
        <w:rPr>
          <w:rStyle w:val="AERbodytextChar"/>
          <w:rFonts w:eastAsiaTheme="minorHAnsi"/>
        </w:rPr>
        <w:t>over</w:t>
      </w:r>
      <w:r>
        <w:rPr>
          <w:rStyle w:val="AERbodytextChar"/>
          <w:rFonts w:eastAsiaTheme="minorHAnsi"/>
        </w:rPr>
        <w:t xml:space="preserve"> </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12</w:t>
      </w:r>
      <w:r>
        <w:rPr>
          <w:rStyle w:val="AERbodytextChar"/>
          <w:rFonts w:eastAsiaTheme="minorHAnsi"/>
        </w:rPr>
        <w:t xml:space="preserve"> </w:t>
      </w:r>
      <w:r w:rsidRPr="00FC7BE3">
        <w:rPr>
          <w:rStyle w:val="AERbodytextChar"/>
          <w:rFonts w:eastAsiaTheme="minorHAnsi"/>
        </w:rPr>
        <w:t>month</w:t>
      </w:r>
      <w:r>
        <w:rPr>
          <w:rStyle w:val="AERbodytextChar"/>
          <w:rFonts w:eastAsiaTheme="minorHAnsi"/>
        </w:rPr>
        <w:t xml:space="preserve"> </w:t>
      </w:r>
      <w:r w:rsidRPr="00FC7BE3">
        <w:rPr>
          <w:rStyle w:val="AERbodytextChar"/>
          <w:rFonts w:eastAsiaTheme="minorHAnsi"/>
        </w:rPr>
        <w:t>period</w:t>
      </w:r>
      <w:r>
        <w:rPr>
          <w:rStyle w:val="AERbodytextChar"/>
          <w:rFonts w:eastAsiaTheme="minorHAnsi"/>
        </w:rPr>
        <w:t xml:space="preserve"> </w:t>
      </w:r>
      <w:r w:rsidRPr="00FC7BE3">
        <w:rPr>
          <w:rStyle w:val="AERbodytextChar"/>
          <w:rFonts w:eastAsiaTheme="minorHAnsi"/>
        </w:rPr>
        <w:t>with</w:t>
      </w:r>
      <w:r>
        <w:rPr>
          <w:rStyle w:val="AERbodytextChar"/>
          <w:rFonts w:eastAsiaTheme="minorHAnsi"/>
        </w:rPr>
        <w:t xml:space="preserve"> </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broad</w:t>
      </w:r>
      <w:r>
        <w:rPr>
          <w:rStyle w:val="AERbodytextChar"/>
          <w:rFonts w:eastAsiaTheme="minorHAnsi"/>
        </w:rPr>
        <w:t xml:space="preserve"> </w:t>
      </w:r>
      <w:r w:rsidRPr="00FC7BE3">
        <w:rPr>
          <w:rStyle w:val="AERbodytextChar"/>
          <w:rFonts w:eastAsiaTheme="minorHAnsi"/>
        </w:rPr>
        <w:t>range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stakeholders,</w:t>
      </w:r>
      <w:r>
        <w:rPr>
          <w:rStyle w:val="AERbodytextChar"/>
          <w:rFonts w:eastAsiaTheme="minorHAnsi"/>
        </w:rPr>
        <w:t xml:space="preserve"> </w:t>
      </w:r>
      <w:r w:rsidRPr="00FC7BE3">
        <w:rPr>
          <w:rStyle w:val="AERbodytextChar"/>
          <w:rFonts w:eastAsiaTheme="minorHAnsi"/>
        </w:rPr>
        <w:t>including</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p>
    <w:p w:rsidR="001F1909" w:rsidRDefault="001F1909" w:rsidP="001F1909">
      <w:pPr>
        <w:pStyle w:val="AERquote"/>
        <w:rPr>
          <w:rStyle w:val="AERbodytextChar"/>
          <w:rFonts w:eastAsiaTheme="minorHAnsi"/>
        </w:rPr>
      </w:pP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contrast,</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proposed</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have</w:t>
      </w:r>
      <w:r>
        <w:rPr>
          <w:rStyle w:val="AERbodytextChar"/>
          <w:rFonts w:eastAsiaTheme="minorHAnsi"/>
        </w:rPr>
        <w:t xml:space="preserve"> </w:t>
      </w:r>
      <w:r w:rsidRPr="00FC7BE3">
        <w:rPr>
          <w:rStyle w:val="AERbodytextChar"/>
          <w:rFonts w:eastAsiaTheme="minorHAnsi"/>
        </w:rPr>
        <w:t>not</w:t>
      </w:r>
      <w:r>
        <w:rPr>
          <w:rStyle w:val="AERbodytextChar"/>
          <w:rFonts w:eastAsiaTheme="minorHAnsi"/>
        </w:rPr>
        <w:t xml:space="preserve"> </w:t>
      </w:r>
      <w:r w:rsidRPr="00FC7BE3">
        <w:rPr>
          <w:rStyle w:val="AERbodytextChar"/>
          <w:rFonts w:eastAsiaTheme="minorHAnsi"/>
        </w:rPr>
        <w:t>been</w:t>
      </w:r>
      <w:r>
        <w:rPr>
          <w:rStyle w:val="AERbodytextChar"/>
          <w:rFonts w:eastAsiaTheme="minorHAnsi"/>
        </w:rPr>
        <w:t xml:space="preserve"> </w:t>
      </w:r>
      <w:r w:rsidRPr="00FC7BE3">
        <w:rPr>
          <w:rStyle w:val="AERbodytextChar"/>
          <w:rFonts w:eastAsiaTheme="minorHAnsi"/>
        </w:rPr>
        <w:t>submitted</w:t>
      </w:r>
      <w:r>
        <w:rPr>
          <w:rStyle w:val="AERbodytextChar"/>
          <w:rFonts w:eastAsiaTheme="minorHAnsi"/>
        </w:rPr>
        <w:t xml:space="preserve"> </w:t>
      </w:r>
      <w:r w:rsidRPr="00FC7BE3">
        <w:rPr>
          <w:rStyle w:val="AERbodytextChar"/>
          <w:rFonts w:eastAsiaTheme="minorHAnsi"/>
        </w:rPr>
        <w:t>to</w:t>
      </w:r>
      <w:r>
        <w:rPr>
          <w:rStyle w:val="AERbodytextChar"/>
          <w:rFonts w:eastAsiaTheme="minorHAnsi"/>
        </w:rPr>
        <w:t xml:space="preserve"> </w:t>
      </w:r>
      <w:r w:rsidRPr="00FC7BE3">
        <w:rPr>
          <w:rStyle w:val="AERbodytextChar"/>
          <w:rFonts w:eastAsiaTheme="minorHAnsi"/>
        </w:rPr>
        <w:t>any</w:t>
      </w:r>
      <w:r>
        <w:rPr>
          <w:rStyle w:val="AERbodytextChar"/>
          <w:rFonts w:eastAsiaTheme="minorHAnsi"/>
        </w:rPr>
        <w:t xml:space="preserve"> </w:t>
      </w:r>
      <w:r w:rsidRPr="00FC7BE3">
        <w:rPr>
          <w:rStyle w:val="AERbodytextChar"/>
          <w:rFonts w:eastAsiaTheme="minorHAnsi"/>
        </w:rPr>
        <w:t>rigorous</w:t>
      </w:r>
      <w:r>
        <w:rPr>
          <w:rStyle w:val="AERbodytextChar"/>
          <w:rFonts w:eastAsiaTheme="minorHAnsi"/>
        </w:rPr>
        <w:t xml:space="preserve"> </w:t>
      </w:r>
      <w:r w:rsidRPr="00FC7BE3">
        <w:rPr>
          <w:rStyle w:val="AERbodytextChar"/>
          <w:rFonts w:eastAsiaTheme="minorHAnsi"/>
        </w:rPr>
        <w:t>analysis</w:t>
      </w:r>
      <w:r>
        <w:rPr>
          <w:rStyle w:val="AERbodytextChar"/>
          <w:rFonts w:eastAsiaTheme="minorHAnsi"/>
        </w:rPr>
        <w:t xml:space="preserve"> </w:t>
      </w:r>
      <w:r w:rsidRPr="00FC7BE3">
        <w:rPr>
          <w:rStyle w:val="AERbodytextChar"/>
          <w:rFonts w:eastAsiaTheme="minorHAnsi"/>
        </w:rPr>
        <w:t>or</w:t>
      </w:r>
      <w:r>
        <w:rPr>
          <w:rStyle w:val="AERbodytextChar"/>
          <w:rFonts w:eastAsiaTheme="minorHAnsi"/>
        </w:rPr>
        <w:t xml:space="preserve"> </w:t>
      </w:r>
      <w:r w:rsidRPr="00FC7BE3">
        <w:rPr>
          <w:rStyle w:val="AERbodytextChar"/>
          <w:rFonts w:eastAsiaTheme="minorHAnsi"/>
        </w:rPr>
        <w:t>stakeholder</w:t>
      </w:r>
      <w:r>
        <w:rPr>
          <w:rStyle w:val="AERbodytextChar"/>
          <w:rFonts w:eastAsiaTheme="minorHAnsi"/>
        </w:rPr>
        <w:t xml:space="preserve"> </w:t>
      </w:r>
      <w:r w:rsidRPr="00FC7BE3">
        <w:rPr>
          <w:rStyle w:val="AERbodytextChar"/>
          <w:rFonts w:eastAsiaTheme="minorHAnsi"/>
        </w:rPr>
        <w:t>consultation.</w:t>
      </w:r>
      <w:r>
        <w:rPr>
          <w:rStyle w:val="AERbodytextChar"/>
          <w:rFonts w:eastAsiaTheme="minorHAnsi"/>
        </w:rPr>
        <w:t xml:space="preserve"> </w:t>
      </w:r>
      <w:r w:rsidRPr="00FC7BE3">
        <w:rPr>
          <w:rStyle w:val="AERbodytextChar"/>
          <w:rFonts w:eastAsiaTheme="minorHAnsi"/>
        </w:rPr>
        <w:t>Most</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information</w:t>
      </w:r>
      <w:r>
        <w:rPr>
          <w:rStyle w:val="AERbodytextChar"/>
          <w:rFonts w:eastAsiaTheme="minorHAnsi"/>
        </w:rPr>
        <w:t xml:space="preserve"> </w:t>
      </w:r>
      <w:r w:rsidRPr="00FC7BE3">
        <w:rPr>
          <w:rStyle w:val="AERbodytextChar"/>
          <w:rFonts w:eastAsiaTheme="minorHAnsi"/>
        </w:rPr>
        <w:t>used</w:t>
      </w:r>
      <w:r>
        <w:rPr>
          <w:rStyle w:val="AERbodytextChar"/>
          <w:rFonts w:eastAsiaTheme="minorHAnsi"/>
        </w:rPr>
        <w:t xml:space="preserve"> </w:t>
      </w: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to</w:t>
      </w:r>
      <w:r>
        <w:rPr>
          <w:rStyle w:val="AERbodytextChar"/>
          <w:rFonts w:eastAsiaTheme="minorHAnsi"/>
        </w:rPr>
        <w:t xml:space="preserve"> </w:t>
      </w:r>
      <w:r w:rsidRPr="00FC7BE3">
        <w:rPr>
          <w:rStyle w:val="AERbodytextChar"/>
          <w:rFonts w:eastAsiaTheme="minorHAnsi"/>
        </w:rPr>
        <w:t>support</w:t>
      </w:r>
      <w:r>
        <w:rPr>
          <w:rStyle w:val="AERbodytextChar"/>
          <w:rFonts w:eastAsiaTheme="minorHAnsi"/>
        </w:rPr>
        <w:t xml:space="preserve"> </w:t>
      </w:r>
      <w:r w:rsidRPr="00FC7BE3">
        <w:rPr>
          <w:rStyle w:val="AERbodytextChar"/>
          <w:rFonts w:eastAsiaTheme="minorHAnsi"/>
        </w:rPr>
        <w:t>their</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was</w:t>
      </w:r>
      <w:r>
        <w:rPr>
          <w:rStyle w:val="AERbodytextChar"/>
          <w:rFonts w:eastAsiaTheme="minorHAnsi"/>
        </w:rPr>
        <w:t xml:space="preserve"> </w:t>
      </w:r>
      <w:r w:rsidRPr="00FC7BE3">
        <w:rPr>
          <w:rStyle w:val="AERbodytextChar"/>
          <w:rFonts w:eastAsiaTheme="minorHAnsi"/>
        </w:rPr>
        <w:t>already</w:t>
      </w:r>
      <w:r>
        <w:rPr>
          <w:rStyle w:val="AERbodytextChar"/>
          <w:rFonts w:eastAsiaTheme="minorHAnsi"/>
        </w:rPr>
        <w:t xml:space="preserve"> </w:t>
      </w:r>
      <w:r w:rsidRPr="00FC7BE3">
        <w:rPr>
          <w:rStyle w:val="AERbodytextChar"/>
          <w:rFonts w:eastAsiaTheme="minorHAnsi"/>
        </w:rPr>
        <w:t>considered</w:t>
      </w:r>
      <w:r>
        <w:rPr>
          <w:rStyle w:val="AERbodytextChar"/>
          <w:rFonts w:eastAsiaTheme="minorHAnsi"/>
        </w:rPr>
        <w:t xml:space="preserve"> </w:t>
      </w: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AER</w:t>
      </w:r>
      <w:r>
        <w:rPr>
          <w:rStyle w:val="AERbodytextChar"/>
          <w:rFonts w:eastAsiaTheme="minorHAnsi"/>
        </w:rPr>
        <w:t xml:space="preserve"> </w:t>
      </w:r>
      <w:r w:rsidRPr="00FC7BE3">
        <w:rPr>
          <w:rStyle w:val="AERbodytextChar"/>
          <w:rFonts w:eastAsiaTheme="minorHAnsi"/>
        </w:rPr>
        <w:t>during</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development</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rate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return</w:t>
      </w:r>
      <w:r>
        <w:rPr>
          <w:rStyle w:val="AERbodytextChar"/>
          <w:rFonts w:eastAsiaTheme="minorHAnsi"/>
        </w:rPr>
        <w:t xml:space="preserve"> </w:t>
      </w:r>
      <w:r w:rsidRPr="00FC7BE3">
        <w:rPr>
          <w:rStyle w:val="AERbodytextChar"/>
          <w:rFonts w:eastAsiaTheme="minorHAnsi"/>
        </w:rPr>
        <w:t>guideline.</w:t>
      </w:r>
      <w:r>
        <w:rPr>
          <w:rStyle w:val="FootnoteReference"/>
          <w:rFonts w:eastAsiaTheme="minorHAnsi"/>
        </w:rPr>
        <w:footnoteReference w:id="6"/>
      </w:r>
    </w:p>
    <w:p w:rsidR="00D62197" w:rsidRPr="00611496" w:rsidRDefault="00A9179D" w:rsidP="00A9179D">
      <w:pPr>
        <w:rPr>
          <w:rStyle w:val="AERbodytextChar"/>
          <w:rFonts w:eastAsiaTheme="minorHAnsi"/>
        </w:rPr>
      </w:pPr>
      <w:r>
        <w:rPr>
          <w:rStyle w:val="AERbodytextChar"/>
          <w:rFonts w:eastAsiaTheme="minorHAnsi"/>
        </w:rPr>
        <w:t xml:space="preserve">This preliminary decision on rate of return is consistent with our mid-2015 final decisions for the New South Wales and ACT electricity distribution, and New South Wales gas distribution, network businesses. These network businesses have appealed many aspects of our rate of return decisions to the Australian Competition Tribunal. The Victorian electricity distribution businesses are participating in the appeals process—arguing that the rate of return we set </w:t>
      </w:r>
      <w:r w:rsidR="00FD2AF2">
        <w:rPr>
          <w:rStyle w:val="AERbodytextChar"/>
          <w:rFonts w:eastAsiaTheme="minorHAnsi"/>
        </w:rPr>
        <w:t>is</w:t>
      </w:r>
      <w:r>
        <w:rPr>
          <w:rStyle w:val="AERbodytextChar"/>
          <w:rFonts w:eastAsiaTheme="minorHAnsi"/>
        </w:rPr>
        <w:t xml:space="preserve"> too low. The Australian Competition Tribunal’s process had not been finalised at the time of this preliminary decision. </w:t>
      </w:r>
    </w:p>
    <w:p w:rsidR="006A4F0A" w:rsidRDefault="006A4F0A" w:rsidP="006A4F0A">
      <w:pPr>
        <w:pStyle w:val="HeadingBoldBlue"/>
        <w:rPr>
          <w:rStyle w:val="AERbodytextChar"/>
          <w:rFonts w:eastAsiaTheme="minorHAnsi"/>
        </w:rPr>
      </w:pPr>
      <w:bookmarkStart w:id="30" w:name="_Toc433786789"/>
      <w:r>
        <w:rPr>
          <w:rStyle w:val="AERbodytextChar"/>
          <w:rFonts w:eastAsiaTheme="minorHAnsi"/>
        </w:rPr>
        <w:lastRenderedPageBreak/>
        <w:t>Maximum demand is not expected to grow</w:t>
      </w:r>
      <w:bookmarkEnd w:id="30"/>
    </w:p>
    <w:p w:rsidR="006A4F0A" w:rsidRPr="002D4043" w:rsidRDefault="006A4F0A" w:rsidP="006A4F0A">
      <w:pPr>
        <w:rPr>
          <w:rStyle w:val="AERbodytextChar"/>
          <w:rFonts w:eastAsiaTheme="minorHAnsi"/>
        </w:rPr>
      </w:pPr>
      <w:r w:rsidRPr="002D4043">
        <w:rPr>
          <w:rStyle w:val="AERbodytextChar"/>
          <w:rFonts w:eastAsiaTheme="minorHAnsi"/>
        </w:rPr>
        <w:t xml:space="preserve">Maximum demand for electricity is a key driver </w:t>
      </w:r>
      <w:r>
        <w:rPr>
          <w:rStyle w:val="AERbodytextChar"/>
          <w:rFonts w:eastAsiaTheme="minorHAnsi"/>
        </w:rPr>
        <w:t>of</w:t>
      </w:r>
      <w:r w:rsidRPr="002D4043">
        <w:rPr>
          <w:rStyle w:val="AERbodytextChar"/>
          <w:rFonts w:eastAsiaTheme="minorHAnsi"/>
        </w:rPr>
        <w:t xml:space="preserve"> investment in network capacity and expansion. Because of this, forecasts of maximum demand are fundamental to </w:t>
      </w:r>
      <w:r w:rsidR="00B20FDF">
        <w:t xml:space="preserve">Powercor’s </w:t>
      </w:r>
      <w:r w:rsidRPr="002D4043">
        <w:rPr>
          <w:rStyle w:val="AERbodytextChar"/>
          <w:rFonts w:eastAsiaTheme="minorHAnsi"/>
        </w:rPr>
        <w:t xml:space="preserve">forecast expenditure, and to our assessment of that forecast expenditure. </w:t>
      </w:r>
    </w:p>
    <w:p w:rsidR="006A4F0A" w:rsidRDefault="00B20FDF" w:rsidP="006A4F0A">
      <w:pPr>
        <w:rPr>
          <w:rStyle w:val="AERbodytextChar"/>
          <w:rFonts w:eastAsiaTheme="minorHAnsi"/>
        </w:rPr>
      </w:pPr>
      <w:r>
        <w:t xml:space="preserve">Powercor </w:t>
      </w:r>
      <w:r w:rsidR="006A4F0A" w:rsidRPr="002D4043">
        <w:rPr>
          <w:rStyle w:val="AERbodytextChar"/>
          <w:rFonts w:eastAsiaTheme="minorHAnsi"/>
        </w:rPr>
        <w:t>forecasts growth in maximum demand over 2016</w:t>
      </w:r>
      <w:r w:rsidR="006A4F0A">
        <w:rPr>
          <w:rStyle w:val="AERbodytextChar"/>
          <w:rFonts w:eastAsiaTheme="minorHAnsi"/>
        </w:rPr>
        <w:t>–</w:t>
      </w:r>
      <w:r w:rsidR="006A4F0A" w:rsidRPr="002D4043">
        <w:rPr>
          <w:rStyle w:val="AERbodytextChar"/>
          <w:rFonts w:eastAsiaTheme="minorHAnsi"/>
        </w:rPr>
        <w:t xml:space="preserve">20. </w:t>
      </w:r>
      <w:r>
        <w:t xml:space="preserve">Powercor’s </w:t>
      </w:r>
      <w:r w:rsidR="00FD605A">
        <w:rPr>
          <w:rStyle w:val="AERbodytextChar"/>
          <w:rFonts w:eastAsiaTheme="minorHAnsi"/>
        </w:rPr>
        <w:t>demand forecasts for the 2016</w:t>
      </w:r>
      <w:r w:rsidR="006A4F0A" w:rsidRPr="002D4043">
        <w:rPr>
          <w:rStyle w:val="AERbodytextChar"/>
          <w:rFonts w:eastAsiaTheme="minorHAnsi"/>
        </w:rPr>
        <w:t xml:space="preserve">–20 period are higher than the actual demand observed for its network </w:t>
      </w:r>
      <w:r w:rsidR="00FD605A">
        <w:rPr>
          <w:rStyle w:val="AERbodytextChar"/>
          <w:rFonts w:eastAsiaTheme="minorHAnsi"/>
        </w:rPr>
        <w:t>over the last two regulatory periods</w:t>
      </w:r>
      <w:r w:rsidR="006A4F0A" w:rsidRPr="002D4043">
        <w:rPr>
          <w:rStyle w:val="AERbodytextChar"/>
          <w:rFonts w:eastAsiaTheme="minorHAnsi"/>
        </w:rPr>
        <w:t xml:space="preserve">. </w:t>
      </w:r>
      <w:r>
        <w:t xml:space="preserve">Powercor </w:t>
      </w:r>
      <w:r w:rsidR="006A4F0A" w:rsidRPr="002D4043">
        <w:rPr>
          <w:rStyle w:val="AERbodytextChar"/>
          <w:rFonts w:eastAsiaTheme="minorHAnsi"/>
        </w:rPr>
        <w:t>forecasts a return to demand growth on the network similar to that experienced prior to 2009, which contrasts to the recent flattening of demand over 2011</w:t>
      </w:r>
      <w:r w:rsidR="006A4F0A">
        <w:rPr>
          <w:rStyle w:val="AERbodytextChar"/>
          <w:rFonts w:eastAsiaTheme="minorHAnsi"/>
        </w:rPr>
        <w:t>–</w:t>
      </w:r>
      <w:r w:rsidR="006A4F0A" w:rsidRPr="002D4043">
        <w:rPr>
          <w:rStyle w:val="AERbodytextChar"/>
          <w:rFonts w:eastAsiaTheme="minorHAnsi"/>
        </w:rPr>
        <w:t>15.</w:t>
      </w:r>
      <w:r w:rsidR="00F5304A">
        <w:rPr>
          <w:rStyle w:val="AERbodytextChar"/>
          <w:rFonts w:eastAsiaTheme="minorHAnsi"/>
        </w:rPr>
        <w:t xml:space="preserve"> Powercor stated that demand will increase due to:</w:t>
      </w:r>
    </w:p>
    <w:p w:rsidR="00F5304A" w:rsidRPr="00F5304A" w:rsidRDefault="00F5304A" w:rsidP="00F5304A">
      <w:pPr>
        <w:pStyle w:val="AERbulletlistfirststyle"/>
        <w:rPr>
          <w:rStyle w:val="AERbodytextChar"/>
          <w:rFonts w:eastAsiaTheme="minorHAnsi"/>
        </w:rPr>
      </w:pPr>
      <w:r w:rsidRPr="00F5304A">
        <w:rPr>
          <w:rStyle w:val="AERbodytextChar"/>
          <w:rFonts w:eastAsiaTheme="minorHAnsi"/>
        </w:rPr>
        <w:t>increases in the frequency and duration of heatwaves that will increase the use of air-conditioners by commercial busines</w:t>
      </w:r>
      <w:r>
        <w:rPr>
          <w:rStyle w:val="AERbodytextChar"/>
          <w:rFonts w:eastAsiaTheme="minorHAnsi"/>
        </w:rPr>
        <w:t>ses and residential households</w:t>
      </w:r>
    </w:p>
    <w:p w:rsidR="00F5304A" w:rsidRPr="00F5304A" w:rsidRDefault="00F5304A" w:rsidP="00F5304A">
      <w:pPr>
        <w:pStyle w:val="AERbulletlistfirststyle"/>
        <w:rPr>
          <w:rStyle w:val="AERbodytextChar"/>
          <w:rFonts w:eastAsiaTheme="minorHAnsi"/>
        </w:rPr>
      </w:pPr>
      <w:r w:rsidRPr="00F5304A">
        <w:rPr>
          <w:rStyle w:val="AERbodytextChar"/>
          <w:rFonts w:eastAsiaTheme="minorHAnsi"/>
        </w:rPr>
        <w:t xml:space="preserve">population growth in the western suburbs of Melbourne </w:t>
      </w:r>
      <w:r>
        <w:rPr>
          <w:rStyle w:val="AERbodytextChar"/>
          <w:rFonts w:eastAsiaTheme="minorHAnsi"/>
        </w:rPr>
        <w:t>and the Greater Geelong region</w:t>
      </w:r>
    </w:p>
    <w:p w:rsidR="00F5304A" w:rsidRPr="002D4043" w:rsidRDefault="00F5304A" w:rsidP="00F5304A">
      <w:pPr>
        <w:pStyle w:val="AERbulletlistfirststyle"/>
        <w:rPr>
          <w:rStyle w:val="AERbodytextChar"/>
          <w:rFonts w:eastAsiaTheme="minorHAnsi"/>
        </w:rPr>
      </w:pPr>
      <w:r w:rsidRPr="00F5304A">
        <w:rPr>
          <w:rStyle w:val="AERbodytextChar"/>
          <w:rFonts w:eastAsiaTheme="minorHAnsi"/>
        </w:rPr>
        <w:t>expansion and additional capacity required in the agricultural sector, particularly in Warrnambool and Murray R</w:t>
      </w:r>
      <w:r>
        <w:rPr>
          <w:rStyle w:val="AERbodytextChar"/>
          <w:rFonts w:eastAsiaTheme="minorHAnsi"/>
        </w:rPr>
        <w:t>iver Regions.</w:t>
      </w:r>
      <w:r w:rsidR="00945E95">
        <w:rPr>
          <w:rStyle w:val="FootnoteReference"/>
          <w:szCs w:val="24"/>
        </w:rPr>
        <w:footnoteReference w:id="7"/>
      </w:r>
    </w:p>
    <w:p w:rsidR="00FD605A" w:rsidRPr="00B80A6A" w:rsidRDefault="00FD605A" w:rsidP="00FD605A">
      <w:pPr>
        <w:rPr>
          <w:rStyle w:val="AERbodytextChar"/>
          <w:rFonts w:eastAsiaTheme="minorHAnsi"/>
        </w:rPr>
      </w:pPr>
      <w:r w:rsidRPr="00B80A6A">
        <w:rPr>
          <w:rStyle w:val="AERbodytextChar"/>
          <w:rFonts w:eastAsiaTheme="minorHAnsi"/>
        </w:rPr>
        <w:t>As we set out in Attachment 6, there have been developments in the Australian and Victorian electricity markets over recent years that have influenced electricity consumption and maximum demand patterns. For example, household installations of photo-voltaic (PV) cells and the increased focus on energy efficiency have changed historic demand growth patterns. Together with broader macroeconomic factors, we consider that this has led to a softening of both actual maximum demand growth and forecasts for future growth.</w:t>
      </w:r>
      <w:r w:rsidR="002C202F" w:rsidRPr="002C202F">
        <w:rPr>
          <w:rStyle w:val="AERbodytextChar"/>
          <w:rFonts w:eastAsiaTheme="minorHAnsi"/>
        </w:rPr>
        <w:t xml:space="preserve"> </w:t>
      </w:r>
      <w:r w:rsidR="002C202F">
        <w:rPr>
          <w:rStyle w:val="AERbodytextChar"/>
          <w:rFonts w:eastAsiaTheme="minorHAnsi"/>
        </w:rPr>
        <w:t>Similar observations are made by stakeholders in submissions to this process.</w:t>
      </w:r>
    </w:p>
    <w:p w:rsidR="00FD605A" w:rsidRPr="00B80A6A" w:rsidRDefault="00FD605A" w:rsidP="00FD605A">
      <w:pPr>
        <w:rPr>
          <w:rStyle w:val="AERbodytextChar"/>
          <w:rFonts w:eastAsiaTheme="minorHAnsi"/>
        </w:rPr>
      </w:pPr>
      <w:r>
        <w:rPr>
          <w:rStyle w:val="AERbodytextChar"/>
          <w:rFonts w:eastAsiaTheme="minorHAnsi"/>
        </w:rPr>
        <w:t>In this context</w:t>
      </w:r>
      <w:r w:rsidRPr="00B80A6A">
        <w:rPr>
          <w:rStyle w:val="AERbodytextChar"/>
          <w:rFonts w:eastAsiaTheme="minorHAnsi"/>
        </w:rPr>
        <w:t xml:space="preserve">, we consider </w:t>
      </w:r>
      <w:r w:rsidR="00720D3F">
        <w:rPr>
          <w:rStyle w:val="AERbodytextChar"/>
          <w:rFonts w:eastAsiaTheme="minorHAnsi"/>
        </w:rPr>
        <w:t>Powercor’s</w:t>
      </w:r>
      <w:r w:rsidRPr="00B80A6A">
        <w:rPr>
          <w:rStyle w:val="AERbodytextChar"/>
          <w:rFonts w:eastAsiaTheme="minorHAnsi"/>
        </w:rPr>
        <w:t xml:space="preserve"> forecasts of maximum demand likely do not reflect a realistic expectation of demand over the 2016–20 period. </w:t>
      </w:r>
      <w:r w:rsidR="00720D3F">
        <w:rPr>
          <w:rStyle w:val="AERbodytextChar"/>
          <w:rFonts w:eastAsiaTheme="minorHAnsi"/>
        </w:rPr>
        <w:t>Powercor’s</w:t>
      </w:r>
      <w:r w:rsidRPr="00B80A6A">
        <w:rPr>
          <w:rStyle w:val="AERbodytextChar"/>
          <w:rFonts w:eastAsiaTheme="minorHAnsi"/>
        </w:rPr>
        <w:t xml:space="preserve"> forecast appears to assume that the longer-terms drivers of maximum demand will continue into the future, regardless of the observed change in the pattern of consumption and maximum demand in recent years.</w:t>
      </w:r>
    </w:p>
    <w:p w:rsidR="00FD605A" w:rsidRPr="00B80A6A" w:rsidRDefault="00FD605A" w:rsidP="00FD605A">
      <w:pPr>
        <w:rPr>
          <w:rStyle w:val="AERbodytextChar"/>
          <w:rFonts w:eastAsiaTheme="minorHAnsi"/>
        </w:rPr>
      </w:pPr>
      <w:r w:rsidRPr="00B80A6A">
        <w:rPr>
          <w:rStyle w:val="AERbodytextChar"/>
          <w:rFonts w:eastAsiaTheme="minorHAnsi"/>
        </w:rPr>
        <w:t xml:space="preserve">In coming to this view, we considered </w:t>
      </w:r>
      <w:r w:rsidR="00720D3F">
        <w:rPr>
          <w:rStyle w:val="AERbodytextChar"/>
          <w:rFonts w:eastAsiaTheme="minorHAnsi"/>
        </w:rPr>
        <w:t>Powercor’s</w:t>
      </w:r>
      <w:r w:rsidRPr="00B80A6A">
        <w:rPr>
          <w:rStyle w:val="AERbodytextChar"/>
          <w:rFonts w:eastAsiaTheme="minorHAnsi"/>
        </w:rPr>
        <w:t xml:space="preserve"> forecasting methodology and compared </w:t>
      </w:r>
      <w:r w:rsidR="00720D3F">
        <w:rPr>
          <w:rStyle w:val="AERbodytextChar"/>
          <w:rFonts w:eastAsiaTheme="minorHAnsi"/>
        </w:rPr>
        <w:t>Powercor’s</w:t>
      </w:r>
      <w:r w:rsidRPr="00B80A6A">
        <w:rPr>
          <w:rStyle w:val="AERbodytextChar"/>
          <w:rFonts w:eastAsiaTheme="minorHAnsi"/>
        </w:rPr>
        <w:t xml:space="preserve"> proposal to the Australian Energy Market Operator’s (AEMO’s) independent forecasts of maximum demand. AEMO publishes forecasts and planning information in its role as the National Energy Market Operator and planner. We use AEMO's maximum demand forecasts as an independent reference in regulatory determination processes.</w:t>
      </w:r>
    </w:p>
    <w:p w:rsidR="00FD605A" w:rsidRPr="00B80A6A" w:rsidRDefault="00FD605A" w:rsidP="00FD605A">
      <w:pPr>
        <w:rPr>
          <w:rStyle w:val="AERbodytextChar"/>
          <w:rFonts w:eastAsiaTheme="minorHAnsi"/>
        </w:rPr>
      </w:pPr>
      <w:r w:rsidRPr="00B80A6A">
        <w:rPr>
          <w:rStyle w:val="AERbodytextChar"/>
          <w:rFonts w:eastAsiaTheme="minorHAnsi"/>
        </w:rPr>
        <w:lastRenderedPageBreak/>
        <w:t>We consider</w:t>
      </w:r>
      <w:r>
        <w:rPr>
          <w:rStyle w:val="AERbodytextChar"/>
          <w:rFonts w:eastAsiaTheme="minorHAnsi"/>
        </w:rPr>
        <w:t xml:space="preserve"> AEMO’s </w:t>
      </w:r>
      <w:r w:rsidRPr="00B80A6A">
        <w:rPr>
          <w:rStyle w:val="AERbodytextChar"/>
          <w:rFonts w:eastAsiaTheme="minorHAnsi"/>
        </w:rPr>
        <w:t xml:space="preserve">independent forecasts better explain the actual demand pattern seen across </w:t>
      </w:r>
      <w:r w:rsidR="00720D3F">
        <w:rPr>
          <w:rStyle w:val="AERbodytextChar"/>
          <w:rFonts w:eastAsiaTheme="minorHAnsi"/>
        </w:rPr>
        <w:t>Powercor’s</w:t>
      </w:r>
      <w:r w:rsidRPr="00B80A6A">
        <w:rPr>
          <w:rStyle w:val="AERbodytextChar"/>
          <w:rFonts w:eastAsiaTheme="minorHAnsi"/>
        </w:rPr>
        <w:t xml:space="preserve"> network. While not without its limitations, we consider that AEMO's forecasts better reflect recent changes in the electricity market.</w:t>
      </w:r>
    </w:p>
    <w:p w:rsidR="00FD605A" w:rsidRPr="00B80A6A" w:rsidRDefault="00FD605A" w:rsidP="00FD605A">
      <w:pPr>
        <w:rPr>
          <w:rStyle w:val="AERbodytextChar"/>
          <w:rFonts w:eastAsiaTheme="minorHAnsi"/>
        </w:rPr>
      </w:pPr>
      <w:r w:rsidRPr="00B80A6A">
        <w:rPr>
          <w:rStyle w:val="AERbodytextChar"/>
          <w:rFonts w:eastAsiaTheme="minorHAnsi"/>
        </w:rPr>
        <w:t xml:space="preserve">This means that </w:t>
      </w:r>
      <w:r w:rsidR="00720D3F">
        <w:rPr>
          <w:rStyle w:val="AERbodytextChar"/>
          <w:rFonts w:eastAsiaTheme="minorHAnsi"/>
        </w:rPr>
        <w:t>Powercor</w:t>
      </w:r>
      <w:r w:rsidRPr="00B80A6A">
        <w:rPr>
          <w:rStyle w:val="AERbodytextChar"/>
          <w:rFonts w:eastAsiaTheme="minorHAnsi"/>
        </w:rPr>
        <w:t xml:space="preserve"> is likely to be under less pressure to expand its network than in previous years to meet the needs of additional customers or any increased demand from existing customers. While we accept there will remain areas of its network that require expansion to meet localised growth in maximum demand, we find that </w:t>
      </w:r>
      <w:r w:rsidR="00720D3F">
        <w:rPr>
          <w:rStyle w:val="AERbodytextChar"/>
          <w:rFonts w:eastAsiaTheme="minorHAnsi"/>
        </w:rPr>
        <w:t>Powercor</w:t>
      </w:r>
      <w:r w:rsidRPr="00B80A6A">
        <w:rPr>
          <w:rStyle w:val="AERbodytextChar"/>
          <w:rFonts w:eastAsiaTheme="minorHAnsi"/>
        </w:rPr>
        <w:t xml:space="preserve"> should not require significant increases in overall capex to </w:t>
      </w:r>
      <w:r>
        <w:rPr>
          <w:rStyle w:val="AERbodytextChar"/>
          <w:rFonts w:eastAsiaTheme="minorHAnsi"/>
        </w:rPr>
        <w:t xml:space="preserve">expand its network. Therefore, </w:t>
      </w:r>
      <w:r w:rsidRPr="00B80A6A">
        <w:rPr>
          <w:rStyle w:val="AERbodytextChar"/>
          <w:rFonts w:eastAsiaTheme="minorHAnsi"/>
        </w:rPr>
        <w:t xml:space="preserve">we consider there is the potential to prudently delay some of </w:t>
      </w:r>
      <w:r w:rsidR="00720D3F">
        <w:rPr>
          <w:rStyle w:val="AERbodytextChar"/>
          <w:rFonts w:eastAsiaTheme="minorHAnsi"/>
        </w:rPr>
        <w:t>Powercor’s</w:t>
      </w:r>
      <w:r w:rsidRPr="00B80A6A">
        <w:rPr>
          <w:rStyle w:val="AERbodytextChar"/>
          <w:rFonts w:eastAsiaTheme="minorHAnsi"/>
        </w:rPr>
        <w:t xml:space="preserve"> proposed network augmentation projects. We have taken this into account as part of our assessment of </w:t>
      </w:r>
      <w:r w:rsidR="00720D3F">
        <w:rPr>
          <w:rStyle w:val="AERbodytextChar"/>
          <w:rFonts w:eastAsiaTheme="minorHAnsi"/>
        </w:rPr>
        <w:t>Powercor’s</w:t>
      </w:r>
      <w:r w:rsidRPr="00B80A6A">
        <w:rPr>
          <w:rStyle w:val="AERbodytextChar"/>
          <w:rFonts w:eastAsiaTheme="minorHAnsi"/>
        </w:rPr>
        <w:t xml:space="preserve"> expenditure forecasts.</w:t>
      </w:r>
    </w:p>
    <w:p w:rsidR="00FD605A" w:rsidRPr="00B80A6A" w:rsidRDefault="00FD605A" w:rsidP="00FD605A">
      <w:pPr>
        <w:rPr>
          <w:rStyle w:val="AERbodytextChar"/>
          <w:rFonts w:eastAsiaTheme="minorHAnsi"/>
        </w:rPr>
      </w:pPr>
      <w:r w:rsidRPr="00B80A6A">
        <w:rPr>
          <w:rStyle w:val="AERbodytextChar"/>
          <w:rFonts w:eastAsiaTheme="minorHAnsi"/>
        </w:rPr>
        <w:t xml:space="preserve">We understand that </w:t>
      </w:r>
      <w:r w:rsidR="00720D3F">
        <w:rPr>
          <w:rStyle w:val="AERbodytextChar"/>
          <w:rFonts w:eastAsiaTheme="minorHAnsi"/>
        </w:rPr>
        <w:t>Powercor</w:t>
      </w:r>
      <w:r w:rsidRPr="00B80A6A">
        <w:rPr>
          <w:rStyle w:val="AERbodytextChar"/>
          <w:rFonts w:eastAsiaTheme="minorHAnsi"/>
        </w:rPr>
        <w:t xml:space="preserve">—and the other Victorian electricity distribution businesses—are in the process of updating their demand forecasts as part of their annual network planning processes. We also note that in September 2015, AEMO published updated connection point demand forecasts for Victoria. These forecasts took into account actual 2015 summer demand data and some revisions to its forecasting methodology. We have not been able to take AEMO's updated connection point forecasts into account for this preliminary decision. We will revisit </w:t>
      </w:r>
      <w:r w:rsidR="00720D3F">
        <w:rPr>
          <w:rStyle w:val="AERbodytextChar"/>
          <w:rFonts w:eastAsiaTheme="minorHAnsi"/>
        </w:rPr>
        <w:t>Powercor’s</w:t>
      </w:r>
      <w:r w:rsidRPr="00B80A6A">
        <w:rPr>
          <w:rStyle w:val="AERbodytextChar"/>
          <w:rFonts w:eastAsiaTheme="minorHAnsi"/>
        </w:rPr>
        <w:t xml:space="preserve"> updated demand forecast in its revised regulatory proposal.</w:t>
      </w:r>
    </w:p>
    <w:p w:rsidR="006A4F0A" w:rsidRPr="004E6A92" w:rsidRDefault="00AE0A56" w:rsidP="006A4F0A">
      <w:pPr>
        <w:pStyle w:val="HeadingBoldBlue"/>
        <w:rPr>
          <w:rStyle w:val="AERbodytextChar"/>
          <w:rFonts w:eastAsiaTheme="minorHAnsi"/>
        </w:rPr>
      </w:pPr>
      <w:bookmarkStart w:id="31" w:name="_Toc432086575"/>
      <w:bookmarkStart w:id="32" w:name="_Toc433786790"/>
      <w:r>
        <w:rPr>
          <w:rStyle w:val="AERbodytextChar"/>
          <w:rFonts w:eastAsiaTheme="minorHAnsi"/>
        </w:rPr>
        <w:t>Customers are not willing to pay more for increased reliability</w:t>
      </w:r>
      <w:bookmarkEnd w:id="31"/>
      <w:bookmarkEnd w:id="32"/>
    </w:p>
    <w:p w:rsidR="006A4F0A" w:rsidRPr="00E14797" w:rsidRDefault="006A4F0A" w:rsidP="006A4F0A">
      <w:pPr>
        <w:rPr>
          <w:rStyle w:val="AERbodytextChar"/>
          <w:rFonts w:eastAsiaTheme="minorHAnsi"/>
        </w:rPr>
      </w:pPr>
      <w:r w:rsidRPr="00E14797">
        <w:rPr>
          <w:rStyle w:val="AERbodytextChar"/>
          <w:rFonts w:eastAsiaTheme="minorHAnsi"/>
        </w:rPr>
        <w:t xml:space="preserve">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w:t>
      </w:r>
      <w:r w:rsidR="00494F92" w:rsidRPr="00E14797">
        <w:rPr>
          <w:rStyle w:val="AERbodytextChar"/>
          <w:rFonts w:eastAsiaTheme="minorHAnsi"/>
        </w:rPr>
        <w:t>This</w:t>
      </w:r>
      <w:r w:rsidR="00494F92">
        <w:rPr>
          <w:rStyle w:val="AERbodytextChar"/>
          <w:rFonts w:eastAsiaTheme="minorHAnsi"/>
        </w:rPr>
        <w:t xml:space="preserve"> is a commonly used assessment and</w:t>
      </w:r>
      <w:r w:rsidR="00494F92" w:rsidRPr="00E14797">
        <w:rPr>
          <w:rStyle w:val="AERbodytextChar"/>
          <w:rFonts w:eastAsiaTheme="minorHAnsi"/>
        </w:rPr>
        <w:t xml:space="preserve"> reflects good industry practice.</w:t>
      </w:r>
    </w:p>
    <w:p w:rsidR="006A4F0A" w:rsidRPr="00E14797" w:rsidRDefault="006A4F0A" w:rsidP="006A4F0A">
      <w:pPr>
        <w:rPr>
          <w:rStyle w:val="AERbodytextChar"/>
          <w:rFonts w:eastAsiaTheme="minorHAnsi"/>
        </w:rPr>
      </w:pPr>
      <w:r w:rsidRPr="00E14797">
        <w:rPr>
          <w:rStyle w:val="AERbodytextChar"/>
          <w:rFonts w:eastAsiaTheme="minorHAnsi"/>
        </w:rPr>
        <w:t xml:space="preserve">AEMO recently completed a National Electricity Market-wide review of the VCR. The study was requested by the COAG Energy Council. The purpose of the review was to improve the understanding of the level of reliability that customers expect by producing a range of VCR values for residential and business customers across the National Electricity Market. This study </w:t>
      </w:r>
      <w:r w:rsidR="00992E28">
        <w:rPr>
          <w:rStyle w:val="AERbodytextChar"/>
          <w:rFonts w:eastAsiaTheme="minorHAnsi"/>
        </w:rPr>
        <w:t>found</w:t>
      </w:r>
      <w:r w:rsidRPr="00E14797">
        <w:rPr>
          <w:rStyle w:val="AERbodytextChar"/>
          <w:rFonts w:eastAsiaTheme="minorHAnsi"/>
        </w:rPr>
        <w:t xml:space="preserve"> that the VCR in Victoria has dec</w:t>
      </w:r>
      <w:r>
        <w:rPr>
          <w:rStyle w:val="AERbodytextChar"/>
          <w:rFonts w:eastAsiaTheme="minorHAnsi"/>
        </w:rPr>
        <w:t>lined since the previous study</w:t>
      </w:r>
      <w:r w:rsidR="00992E28" w:rsidRPr="00992E28">
        <w:rPr>
          <w:rStyle w:val="AERbodytextChar"/>
          <w:rFonts w:eastAsiaTheme="minorHAnsi"/>
        </w:rPr>
        <w:t xml:space="preserve"> </w:t>
      </w:r>
      <w:r w:rsidR="00992E28">
        <w:rPr>
          <w:rStyle w:val="AERbodytextChar"/>
          <w:rFonts w:eastAsiaTheme="minorHAnsi"/>
        </w:rPr>
        <w:t>conducted in 2014</w:t>
      </w:r>
      <w:r w:rsidR="00C045F0">
        <w:rPr>
          <w:rStyle w:val="AERbodytextChar"/>
          <w:rFonts w:eastAsiaTheme="minorHAnsi"/>
        </w:rPr>
        <w:t>,</w:t>
      </w:r>
      <w:r>
        <w:rPr>
          <w:rStyle w:val="FootnoteReference"/>
          <w:szCs w:val="24"/>
        </w:rPr>
        <w:footnoteReference w:id="8"/>
      </w:r>
      <w:r w:rsidR="00C045F0">
        <w:rPr>
          <w:rStyle w:val="AERbodytextChar"/>
          <w:rFonts w:eastAsiaTheme="minorHAnsi"/>
        </w:rPr>
        <w:t xml:space="preserve"> </w:t>
      </w:r>
      <w:r w:rsidR="00C045F0" w:rsidRPr="00650527">
        <w:rPr>
          <w:rStyle w:val="AERbodytextChar"/>
          <w:rFonts w:eastAsiaTheme="minorHAnsi"/>
        </w:rPr>
        <w:t>which reduce</w:t>
      </w:r>
      <w:r w:rsidR="00C045F0">
        <w:rPr>
          <w:rStyle w:val="AERbodytextChar"/>
          <w:rFonts w:eastAsiaTheme="minorHAnsi"/>
        </w:rPr>
        <w:t>s</w:t>
      </w:r>
      <w:r w:rsidR="00C045F0" w:rsidRPr="00650527">
        <w:rPr>
          <w:rStyle w:val="AERbodytextChar"/>
          <w:rFonts w:eastAsiaTheme="minorHAnsi"/>
        </w:rPr>
        <w:t xml:space="preserve"> the need to build new infrastructure </w:t>
      </w:r>
      <w:r w:rsidR="00C045F0">
        <w:rPr>
          <w:rStyle w:val="AERbodytextChar"/>
          <w:rFonts w:eastAsiaTheme="minorHAnsi"/>
        </w:rPr>
        <w:t>to meet customers' expectations of reliable electricity.</w:t>
      </w:r>
    </w:p>
    <w:p w:rsidR="001A41F9" w:rsidRDefault="002E1415" w:rsidP="006A4F0A">
      <w:pPr>
        <w:rPr>
          <w:rStyle w:val="AERbodytextChar"/>
          <w:rFonts w:eastAsiaTheme="minorHAnsi"/>
        </w:rPr>
      </w:pPr>
      <w:r>
        <w:rPr>
          <w:rStyle w:val="AERbodytextChar"/>
          <w:rFonts w:eastAsiaTheme="minorHAnsi"/>
        </w:rPr>
        <w:t>Powercor</w:t>
      </w:r>
      <w:r w:rsidR="006A4F0A" w:rsidRPr="00E14797">
        <w:rPr>
          <w:rStyle w:val="AERbodytextChar"/>
          <w:rFonts w:eastAsiaTheme="minorHAnsi"/>
        </w:rPr>
        <w:t xml:space="preserve"> applied AEMO's Victorian VCR in its expenditure forecasts for </w:t>
      </w:r>
      <w:r w:rsidR="006A4F0A" w:rsidRPr="005701FF">
        <w:rPr>
          <w:rStyle w:val="AERbodytextChar"/>
          <w:rFonts w:eastAsiaTheme="minorHAnsi"/>
        </w:rPr>
        <w:t>2016–20</w:t>
      </w:r>
      <w:r w:rsidR="006A4F0A" w:rsidRPr="00E14797">
        <w:rPr>
          <w:rStyle w:val="AERbodytextChar"/>
          <w:rFonts w:eastAsiaTheme="minorHAnsi"/>
        </w:rPr>
        <w:t xml:space="preserve">. On this basis, we consider that </w:t>
      </w:r>
      <w:r>
        <w:rPr>
          <w:rStyle w:val="AERbodytextChar"/>
          <w:rFonts w:eastAsiaTheme="minorHAnsi"/>
        </w:rPr>
        <w:t>Powercor</w:t>
      </w:r>
      <w:r w:rsidR="006A4F0A" w:rsidRPr="00E14797">
        <w:rPr>
          <w:rStyle w:val="AERbodytextChar"/>
          <w:rFonts w:eastAsiaTheme="minorHAnsi"/>
        </w:rPr>
        <w:t xml:space="preserve"> has prudently identified the need to augment specific parts of its network to meet customer expectations of reliable electricity.</w:t>
      </w:r>
      <w:r w:rsidR="006955B9">
        <w:rPr>
          <w:rStyle w:val="AERbodytextChar"/>
          <w:rFonts w:eastAsiaTheme="minorHAnsi"/>
        </w:rPr>
        <w:t xml:space="preserve"> </w:t>
      </w:r>
    </w:p>
    <w:p w:rsidR="006A4F0A" w:rsidRDefault="006955B9" w:rsidP="006A4F0A">
      <w:pPr>
        <w:rPr>
          <w:rStyle w:val="AERbodytextChar"/>
          <w:rFonts w:eastAsiaTheme="minorHAnsi"/>
        </w:rPr>
      </w:pPr>
      <w:r>
        <w:rPr>
          <w:rStyle w:val="AERbodytextChar"/>
          <w:rFonts w:eastAsiaTheme="minorHAnsi"/>
        </w:rPr>
        <w:lastRenderedPageBreak/>
        <w:t>Powercor stated t</w:t>
      </w:r>
      <w:r w:rsidRPr="006955B9">
        <w:rPr>
          <w:rStyle w:val="AERbodytextChar"/>
          <w:rFonts w:eastAsiaTheme="minorHAnsi"/>
        </w:rPr>
        <w:t>he large reduction in the AEMO VCR values between 2013 and 2014 resulted in the deferral of some anticipated projects from the 2016–20 regulatory control period to 2021 and beyond.</w:t>
      </w:r>
      <w:r>
        <w:rPr>
          <w:rStyle w:val="FootnoteReference"/>
          <w:szCs w:val="24"/>
        </w:rPr>
        <w:footnoteReference w:id="9"/>
      </w:r>
      <w:r w:rsidRPr="006955B9">
        <w:rPr>
          <w:rStyle w:val="AERbodytextChar"/>
          <w:rFonts w:eastAsiaTheme="minorHAnsi"/>
        </w:rPr>
        <w:t xml:space="preserve"> </w:t>
      </w:r>
    </w:p>
    <w:p w:rsidR="006A4F0A" w:rsidRPr="00F036D6" w:rsidRDefault="006A4F0A" w:rsidP="006A4F0A">
      <w:pPr>
        <w:pStyle w:val="HeadingBoldBlue"/>
        <w:rPr>
          <w:rStyle w:val="AERbodytextChar"/>
          <w:rFonts w:eastAsiaTheme="minorHAnsi"/>
        </w:rPr>
      </w:pPr>
      <w:bookmarkStart w:id="33" w:name="_Toc433786791"/>
      <w:r w:rsidRPr="005701FF">
        <w:rPr>
          <w:rStyle w:val="AERbodytextChar"/>
          <w:rFonts w:eastAsiaTheme="majorEastAsia"/>
        </w:rPr>
        <w:t>More network assets are reaching the end of their useful life</w:t>
      </w:r>
      <w:bookmarkEnd w:id="33"/>
    </w:p>
    <w:p w:rsidR="006A4F0A" w:rsidRPr="00F67492" w:rsidRDefault="006A4F0A" w:rsidP="006A4F0A">
      <w:pPr>
        <w:rPr>
          <w:rStyle w:val="AERbodytextChar"/>
          <w:rFonts w:eastAsiaTheme="minorHAnsi"/>
        </w:rPr>
      </w:pPr>
      <w:r w:rsidRPr="00F67492">
        <w:rPr>
          <w:rStyle w:val="AERbodytextChar"/>
          <w:rFonts w:eastAsiaTheme="minorHAnsi"/>
        </w:rPr>
        <w:t xml:space="preserve">Network assets do not last forever. As assets age and deteriorate the cost of maintaining the asset in acceptable condition and the probability of outright failure increases. At some point it becomes economically sensible to replace existing assets. </w:t>
      </w:r>
    </w:p>
    <w:p w:rsidR="006A4F0A" w:rsidRPr="00F67492" w:rsidRDefault="006A4F0A" w:rsidP="006A4F0A">
      <w:pPr>
        <w:rPr>
          <w:rStyle w:val="AERbodytextChar"/>
          <w:rFonts w:eastAsiaTheme="minorHAnsi"/>
        </w:rPr>
      </w:pPr>
      <w:r w:rsidRPr="00F67492">
        <w:rPr>
          <w:rStyle w:val="AERbodytextChar"/>
          <w:rFonts w:eastAsiaTheme="minorHAnsi"/>
        </w:rPr>
        <w:t>Major expansions in the distribution networks—due to factors such as customer or demand growth—can lead to large variations in investments for a period of time. This may then fall away, and be followed by relatively moderate network investment for a number of years. This brings about a lumpy pattern of investment over the life of the network.</w:t>
      </w:r>
    </w:p>
    <w:p w:rsidR="00640CF4" w:rsidRPr="007C0C69" w:rsidRDefault="00640CF4" w:rsidP="00640CF4">
      <w:pPr>
        <w:rPr>
          <w:rStyle w:val="AERbodytextChar"/>
          <w:rFonts w:eastAsiaTheme="minorHAnsi"/>
        </w:rPr>
      </w:pPr>
      <w:r w:rsidRPr="007C0C69">
        <w:rPr>
          <w:rStyle w:val="AERbodytextChar"/>
          <w:rFonts w:eastAsiaTheme="minorHAnsi"/>
        </w:rPr>
        <w:t>Replacement may occur when an asset fails,</w:t>
      </w:r>
      <w:r>
        <w:rPr>
          <w:rStyle w:val="AERbodytextChar"/>
          <w:rFonts w:eastAsiaTheme="minorHAnsi"/>
        </w:rPr>
        <w:t xml:space="preserve"> when the maintenance costs become unacceptably high,</w:t>
      </w:r>
      <w:r w:rsidRPr="007C0C69">
        <w:rPr>
          <w:rStyle w:val="AERbodytextChar"/>
          <w:rFonts w:eastAsiaTheme="minorHAnsi"/>
        </w:rPr>
        <w:t xml:space="preserve"> or a condition assessment may find it is likely to fail soon and replacement is the most economic option. It may also occur because jurisdictional safety regulations </w:t>
      </w:r>
      <w:r>
        <w:rPr>
          <w:rStyle w:val="AERbodytextChar"/>
          <w:rFonts w:eastAsiaTheme="minorHAnsi"/>
        </w:rPr>
        <w:t xml:space="preserve">dictate that the asset is </w:t>
      </w:r>
      <w:r w:rsidRPr="007C0C69">
        <w:rPr>
          <w:rStyle w:val="AERbodytextChar"/>
          <w:rFonts w:eastAsiaTheme="minorHAnsi"/>
        </w:rPr>
        <w:t xml:space="preserve">no longer </w:t>
      </w:r>
      <w:r>
        <w:rPr>
          <w:rStyle w:val="AERbodytextChar"/>
          <w:rFonts w:eastAsiaTheme="minorHAnsi"/>
        </w:rPr>
        <w:t xml:space="preserve">considered to </w:t>
      </w:r>
      <w:r w:rsidRPr="007C0C69">
        <w:rPr>
          <w:rStyle w:val="AERbodytextChar"/>
          <w:rFonts w:eastAsiaTheme="minorHAnsi"/>
        </w:rPr>
        <w:t>be safely operated on the network, or because the risk of using the asset exceeds the benefit of continuing to operate it on the network.</w:t>
      </w:r>
    </w:p>
    <w:p w:rsidR="006A4F0A" w:rsidRPr="00613184" w:rsidRDefault="006A4F0A" w:rsidP="006A4F0A">
      <w:pPr>
        <w:rPr>
          <w:rStyle w:val="AERbodytextChar"/>
          <w:rFonts w:eastAsiaTheme="minorHAnsi"/>
        </w:rPr>
      </w:pPr>
      <w:r w:rsidRPr="00613184">
        <w:rPr>
          <w:rStyle w:val="AERbodytextChar"/>
          <w:rFonts w:eastAsiaTheme="minorHAnsi"/>
        </w:rPr>
        <w:t>In general, the majority of network assets will remain in efficient use for far longer than a single five year regulatory period. Many of these assets have economic lives of 50 years or more. As a consequence, distributors will only need to replace a portion of their network assets in each regulatory control period.</w:t>
      </w:r>
    </w:p>
    <w:p w:rsidR="006A4F0A" w:rsidRPr="007B4CB8" w:rsidRDefault="006A4F0A" w:rsidP="006A4F0A">
      <w:pPr>
        <w:rPr>
          <w:rStyle w:val="AERbodytextChar"/>
          <w:rFonts w:eastAsiaTheme="minorHAnsi"/>
        </w:rPr>
      </w:pPr>
      <w:r>
        <w:rPr>
          <w:rStyle w:val="AERbodytextChar"/>
          <w:rFonts w:eastAsiaTheme="minorHAnsi"/>
        </w:rPr>
        <w:t>Powercor's</w:t>
      </w:r>
      <w:r w:rsidRPr="007B4CB8">
        <w:rPr>
          <w:rStyle w:val="AERbodytextChar"/>
          <w:rFonts w:eastAsiaTheme="minorHAnsi"/>
        </w:rPr>
        <w:t xml:space="preserve"> replacement expenditure (or repex) has </w:t>
      </w:r>
      <w:r>
        <w:rPr>
          <w:rStyle w:val="AERbodytextChar"/>
          <w:rFonts w:eastAsiaTheme="minorHAnsi"/>
        </w:rPr>
        <w:t xml:space="preserve">been trending up </w:t>
      </w:r>
      <w:r w:rsidRPr="007B4CB8">
        <w:rPr>
          <w:rStyle w:val="AERbodytextChar"/>
          <w:rFonts w:eastAsiaTheme="minorHAnsi"/>
        </w:rPr>
        <w:t>over time</w:t>
      </w:r>
      <w:r>
        <w:rPr>
          <w:rStyle w:val="AERbodytextChar"/>
          <w:rFonts w:eastAsiaTheme="minorHAnsi"/>
        </w:rPr>
        <w:t xml:space="preserve"> and is forecast to increase further over 2016–20</w:t>
      </w:r>
      <w:r w:rsidRPr="007B4CB8">
        <w:rPr>
          <w:rStyle w:val="AERbodytextChar"/>
          <w:rFonts w:eastAsiaTheme="minorHAnsi"/>
        </w:rPr>
        <w:t xml:space="preserve">. </w:t>
      </w:r>
      <w:r>
        <w:rPr>
          <w:rStyle w:val="AERbodytextChar"/>
          <w:rFonts w:eastAsiaTheme="minorHAnsi"/>
        </w:rPr>
        <w:t xml:space="preserve">Powercor states it has </w:t>
      </w:r>
      <w:r w:rsidRPr="00C55499">
        <w:rPr>
          <w:rStyle w:val="AERbodytextChar"/>
          <w:rFonts w:eastAsiaTheme="minorHAnsi"/>
        </w:rPr>
        <w:t xml:space="preserve">an ageing network, with the majority of </w:t>
      </w:r>
      <w:r>
        <w:rPr>
          <w:rStyle w:val="AERbodytextChar"/>
          <w:rFonts w:eastAsiaTheme="minorHAnsi"/>
        </w:rPr>
        <w:t xml:space="preserve">its </w:t>
      </w:r>
      <w:r w:rsidRPr="00C55499">
        <w:rPr>
          <w:rStyle w:val="AERbodytextChar"/>
          <w:rFonts w:eastAsiaTheme="minorHAnsi"/>
        </w:rPr>
        <w:t>current assets installed during the 1960s, 1970s and 1980s</w:t>
      </w:r>
      <w:r>
        <w:rPr>
          <w:rStyle w:val="AERbodytextChar"/>
          <w:rFonts w:eastAsiaTheme="minorHAnsi"/>
        </w:rPr>
        <w:t>.</w:t>
      </w:r>
      <w:r w:rsidRPr="00683281">
        <w:rPr>
          <w:rStyle w:val="FootnoteReference"/>
        </w:rPr>
        <w:footnoteReference w:id="10"/>
      </w:r>
      <w:r>
        <w:rPr>
          <w:rStyle w:val="AERbodytextChar"/>
          <w:rFonts w:eastAsiaTheme="minorHAnsi"/>
        </w:rPr>
        <w:t xml:space="preserve"> Further, Powercor stated the</w:t>
      </w:r>
      <w:r w:rsidRPr="00C55499">
        <w:rPr>
          <w:rStyle w:val="AERbodytextChar"/>
          <w:rFonts w:eastAsiaTheme="minorHAnsi"/>
        </w:rPr>
        <w:t xml:space="preserve"> increasing failure rate of </w:t>
      </w:r>
      <w:r>
        <w:rPr>
          <w:rStyle w:val="AERbodytextChar"/>
          <w:rFonts w:eastAsiaTheme="minorHAnsi"/>
        </w:rPr>
        <w:t>its</w:t>
      </w:r>
      <w:r w:rsidRPr="00C55499">
        <w:rPr>
          <w:rStyle w:val="AERbodytextChar"/>
          <w:rFonts w:eastAsiaTheme="minorHAnsi"/>
        </w:rPr>
        <w:t xml:space="preserve"> ‘poles and wires’ assets is a key driver of </w:t>
      </w:r>
      <w:r>
        <w:rPr>
          <w:rStyle w:val="AERbodytextChar"/>
          <w:rFonts w:eastAsiaTheme="minorHAnsi"/>
        </w:rPr>
        <w:t>its</w:t>
      </w:r>
      <w:r w:rsidRPr="00C55499">
        <w:rPr>
          <w:rStyle w:val="AERbodytextChar"/>
          <w:rFonts w:eastAsiaTheme="minorHAnsi"/>
        </w:rPr>
        <w:t xml:space="preserve"> replacement expenditure.</w:t>
      </w:r>
      <w:r>
        <w:rPr>
          <w:rStyle w:val="FootnoteReference"/>
          <w:szCs w:val="24"/>
        </w:rPr>
        <w:footnoteReference w:id="11"/>
      </w:r>
    </w:p>
    <w:p w:rsidR="006A4F0A" w:rsidRPr="007B4CB8" w:rsidRDefault="006A4F0A" w:rsidP="006A4F0A">
      <w:pPr>
        <w:rPr>
          <w:rStyle w:val="AERbodytextChar"/>
          <w:rFonts w:eastAsiaTheme="minorHAnsi"/>
        </w:rPr>
      </w:pPr>
      <w:r w:rsidRPr="007B4CB8">
        <w:rPr>
          <w:rStyle w:val="AERbodytextChar"/>
          <w:rFonts w:eastAsiaTheme="minorHAnsi"/>
        </w:rPr>
        <w:t xml:space="preserve">Our predictive </w:t>
      </w:r>
      <w:r>
        <w:rPr>
          <w:rStyle w:val="AERbodytextChar"/>
          <w:rFonts w:eastAsiaTheme="minorHAnsi"/>
        </w:rPr>
        <w:t xml:space="preserve">repex </w:t>
      </w:r>
      <w:r w:rsidRPr="007B4CB8">
        <w:rPr>
          <w:rStyle w:val="AERbodytextChar"/>
          <w:rFonts w:eastAsiaTheme="minorHAnsi"/>
        </w:rPr>
        <w:t>model</w:t>
      </w:r>
      <w:r>
        <w:rPr>
          <w:rStyle w:val="AERbodytextChar"/>
          <w:rFonts w:eastAsiaTheme="minorHAnsi"/>
        </w:rPr>
        <w:t xml:space="preserve"> </w:t>
      </w:r>
      <w:r w:rsidRPr="007B4CB8">
        <w:rPr>
          <w:rStyle w:val="AERbodytextChar"/>
          <w:rFonts w:eastAsiaTheme="minorHAnsi"/>
        </w:rPr>
        <w:t xml:space="preserve">can be used to </w:t>
      </w:r>
      <w:r>
        <w:rPr>
          <w:rStyle w:val="AERbodytextChar"/>
          <w:rFonts w:eastAsiaTheme="minorHAnsi"/>
        </w:rPr>
        <w:t>forecast</w:t>
      </w:r>
      <w:r w:rsidRPr="007B4CB8">
        <w:rPr>
          <w:rStyle w:val="AERbodytextChar"/>
          <w:rFonts w:eastAsiaTheme="minorHAnsi"/>
        </w:rPr>
        <w:t xml:space="preserve"> a reasonable amount of repex </w:t>
      </w:r>
      <w:r>
        <w:rPr>
          <w:rStyle w:val="AERbodytextChar"/>
          <w:rFonts w:eastAsiaTheme="minorHAnsi"/>
        </w:rPr>
        <w:t>Powercor</w:t>
      </w:r>
      <w:r w:rsidRPr="007B4CB8">
        <w:rPr>
          <w:rStyle w:val="AERbodytextChar"/>
          <w:rFonts w:eastAsiaTheme="minorHAnsi"/>
        </w:rPr>
        <w:t xml:space="preserve"> would require if it maintains its current risk profile for condition-based replacement into the next regulatory period. The model takes into account the age profile of </w:t>
      </w:r>
      <w:r>
        <w:rPr>
          <w:rStyle w:val="AERbodytextChar"/>
          <w:rFonts w:eastAsiaTheme="minorHAnsi"/>
        </w:rPr>
        <w:t>Powercor</w:t>
      </w:r>
      <w:r w:rsidRPr="007B4CB8">
        <w:rPr>
          <w:rStyle w:val="AERbodytextChar"/>
          <w:rFonts w:eastAsiaTheme="minorHAnsi"/>
        </w:rPr>
        <w:t xml:space="preserve">'s assets and when it is likely to replace the assets. </w:t>
      </w:r>
    </w:p>
    <w:p w:rsidR="006A4F0A" w:rsidRDefault="00225165" w:rsidP="006A4F0A">
      <w:pPr>
        <w:rPr>
          <w:rStyle w:val="AERbodytextChar"/>
          <w:rFonts w:eastAsiaTheme="minorHAnsi"/>
        </w:rPr>
      </w:pPr>
      <w:r>
        <w:rPr>
          <w:rStyle w:val="AERbodytextChar"/>
          <w:rFonts w:eastAsiaTheme="minorHAnsi"/>
        </w:rPr>
        <w:t>Having considered its proposal, w</w:t>
      </w:r>
      <w:r w:rsidR="00A40AEE">
        <w:rPr>
          <w:rStyle w:val="AERbodytextChar"/>
          <w:rFonts w:eastAsiaTheme="minorHAnsi"/>
        </w:rPr>
        <w:t xml:space="preserve">e accept that Powercor requires increased repex </w:t>
      </w:r>
      <w:r w:rsidR="00415CED">
        <w:rPr>
          <w:rStyle w:val="AERbodytextChar"/>
          <w:rFonts w:eastAsiaTheme="minorHAnsi"/>
        </w:rPr>
        <w:t>over 2016–20</w:t>
      </w:r>
      <w:r w:rsidR="00721B11">
        <w:rPr>
          <w:rStyle w:val="AERbodytextChar"/>
          <w:rFonts w:eastAsiaTheme="minorHAnsi"/>
        </w:rPr>
        <w:t>—compared to 2011–15—</w:t>
      </w:r>
      <w:r w:rsidR="00A40AEE">
        <w:rPr>
          <w:rStyle w:val="AERbodytextChar"/>
          <w:rFonts w:eastAsiaTheme="minorHAnsi"/>
        </w:rPr>
        <w:t xml:space="preserve">to manage deterioration in asset condition because a greater proportion of </w:t>
      </w:r>
      <w:r w:rsidR="00721B11">
        <w:rPr>
          <w:rStyle w:val="AERbodytextChar"/>
          <w:rFonts w:eastAsiaTheme="minorHAnsi"/>
        </w:rPr>
        <w:t xml:space="preserve">its </w:t>
      </w:r>
      <w:r w:rsidR="00A40AEE">
        <w:rPr>
          <w:rStyle w:val="AERbodytextChar"/>
          <w:rFonts w:eastAsiaTheme="minorHAnsi"/>
        </w:rPr>
        <w:t xml:space="preserve">assets are reaching </w:t>
      </w:r>
      <w:r w:rsidR="00162BC4">
        <w:rPr>
          <w:rStyle w:val="AERbodytextChar"/>
          <w:rFonts w:eastAsiaTheme="minorHAnsi"/>
        </w:rPr>
        <w:t>the end of their economic life.</w:t>
      </w:r>
      <w:r w:rsidR="00721B11" w:rsidRPr="00721B11">
        <w:rPr>
          <w:rStyle w:val="AERbodytextChar"/>
          <w:rFonts w:eastAsiaTheme="minorHAnsi"/>
        </w:rPr>
        <w:t xml:space="preserve"> </w:t>
      </w:r>
      <w:r w:rsidR="00721B11">
        <w:rPr>
          <w:rStyle w:val="AERbodytextChar"/>
          <w:rFonts w:eastAsiaTheme="minorHAnsi"/>
        </w:rPr>
        <w:t>Although we made some adjustments, w</w:t>
      </w:r>
      <w:r w:rsidR="00721B11" w:rsidRPr="00884BBC">
        <w:rPr>
          <w:rStyle w:val="AERbodytextChar"/>
          <w:rFonts w:eastAsiaTheme="minorHAnsi"/>
        </w:rPr>
        <w:t xml:space="preserve">e have approved the majority of Powercor's </w:t>
      </w:r>
      <w:r w:rsidR="00721B11" w:rsidRPr="00884BBC">
        <w:rPr>
          <w:rStyle w:val="AERbodytextChar"/>
          <w:rFonts w:eastAsiaTheme="minorHAnsi"/>
        </w:rPr>
        <w:lastRenderedPageBreak/>
        <w:t xml:space="preserve">proposed repex </w:t>
      </w:r>
      <w:r w:rsidR="00721B11" w:rsidRPr="00F81A39">
        <w:rPr>
          <w:rStyle w:val="AERbodytextChar"/>
          <w:rFonts w:eastAsiaTheme="minorHAnsi"/>
        </w:rPr>
        <w:t xml:space="preserve">based on our predictive modelling, the advice of our expert consultants, trend analysis, asset health indicators, and </w:t>
      </w:r>
      <w:r w:rsidR="00721B11" w:rsidRPr="00EF1AF9">
        <w:rPr>
          <w:rStyle w:val="AERbodytextChar"/>
          <w:rFonts w:eastAsiaTheme="minorHAnsi"/>
        </w:rPr>
        <w:t>consideration of the Consumer Challenge Panel</w:t>
      </w:r>
      <w:r w:rsidR="00721B11">
        <w:rPr>
          <w:rStyle w:val="AERbodytextChar"/>
          <w:rFonts w:eastAsiaTheme="minorHAnsi"/>
        </w:rPr>
        <w:t>'s advice</w:t>
      </w:r>
      <w:r w:rsidR="00721B11" w:rsidRPr="00EF1AF9">
        <w:rPr>
          <w:rStyle w:val="AERbodytextChar"/>
          <w:rFonts w:eastAsiaTheme="minorHAnsi"/>
        </w:rPr>
        <w:t xml:space="preserve"> and </w:t>
      </w:r>
      <w:r w:rsidR="00721B11">
        <w:rPr>
          <w:rStyle w:val="AERbodytextChar"/>
          <w:rFonts w:eastAsiaTheme="minorHAnsi"/>
        </w:rPr>
        <w:t>stakeholder</w:t>
      </w:r>
      <w:r w:rsidR="00721B11" w:rsidRPr="00EF1AF9">
        <w:rPr>
          <w:rStyle w:val="AERbodytextChar"/>
          <w:rFonts w:eastAsiaTheme="minorHAnsi"/>
        </w:rPr>
        <w:t xml:space="preserve"> submissions</w:t>
      </w:r>
      <w:r w:rsidR="00721B11">
        <w:rPr>
          <w:rStyle w:val="AERbodytextChar"/>
          <w:rFonts w:eastAsiaTheme="minorHAnsi"/>
        </w:rPr>
        <w:t>.</w:t>
      </w:r>
    </w:p>
    <w:p w:rsidR="006A4F0A" w:rsidRDefault="006A4F0A" w:rsidP="006A4F0A">
      <w:pPr>
        <w:pStyle w:val="HeadingBoldBlue"/>
        <w:rPr>
          <w:rStyle w:val="AERbodytextChar"/>
          <w:rFonts w:eastAsiaTheme="minorHAnsi"/>
        </w:rPr>
      </w:pPr>
      <w:bookmarkStart w:id="34" w:name="_Toc433786792"/>
      <w:r>
        <w:rPr>
          <w:rStyle w:val="AERbodytextChar"/>
          <w:rFonts w:eastAsiaTheme="minorHAnsi"/>
        </w:rPr>
        <w:t>Few</w:t>
      </w:r>
      <w:r w:rsidR="00992E28">
        <w:rPr>
          <w:rStyle w:val="AERbodytextChar"/>
          <w:rFonts w:eastAsiaTheme="minorHAnsi"/>
        </w:rPr>
        <w:t>er</w:t>
      </w:r>
      <w:r>
        <w:rPr>
          <w:rStyle w:val="AERbodytextChar"/>
          <w:rFonts w:eastAsiaTheme="minorHAnsi"/>
        </w:rPr>
        <w:t xml:space="preserve"> new regulatory obligations</w:t>
      </w:r>
      <w:bookmarkEnd w:id="34"/>
    </w:p>
    <w:p w:rsidR="006A4F0A" w:rsidRPr="00852889" w:rsidRDefault="006A4F0A" w:rsidP="006A4F0A">
      <w:pPr>
        <w:rPr>
          <w:rStyle w:val="AERbodytextChar"/>
          <w:rFonts w:eastAsiaTheme="minorHAnsi"/>
        </w:rPr>
      </w:pPr>
      <w:r>
        <w:rPr>
          <w:rStyle w:val="AERbodytextChar"/>
          <w:rFonts w:eastAsiaTheme="minorHAnsi"/>
        </w:rPr>
        <w:t xml:space="preserve">In its proposal, </w:t>
      </w:r>
      <w:r w:rsidR="002E1415">
        <w:rPr>
          <w:rStyle w:val="AERbodytextChar"/>
          <w:rFonts w:eastAsiaTheme="minorHAnsi"/>
        </w:rPr>
        <w:t>Powercor</w:t>
      </w:r>
      <w:r>
        <w:rPr>
          <w:rStyle w:val="AERbodytextChar"/>
          <w:rFonts w:eastAsiaTheme="minorHAnsi"/>
        </w:rPr>
        <w:t xml:space="preserve"> has </w:t>
      </w:r>
      <w:r w:rsidRPr="005E1747">
        <w:rPr>
          <w:rStyle w:val="AERbodytextChar"/>
          <w:rFonts w:eastAsiaTheme="minorHAnsi"/>
        </w:rPr>
        <w:t xml:space="preserve">raised a number of cost drivers that </w:t>
      </w:r>
      <w:r>
        <w:rPr>
          <w:rStyle w:val="AERbodytextChar"/>
          <w:rFonts w:eastAsiaTheme="minorHAnsi"/>
        </w:rPr>
        <w:t>it</w:t>
      </w:r>
      <w:r w:rsidRPr="005E1747">
        <w:rPr>
          <w:rStyle w:val="AERbodytextChar"/>
          <w:rFonts w:eastAsiaTheme="minorHAnsi"/>
        </w:rPr>
        <w:t xml:space="preserve"> consider</w:t>
      </w:r>
      <w:r>
        <w:rPr>
          <w:rStyle w:val="AERbodytextChar"/>
          <w:rFonts w:eastAsiaTheme="minorHAnsi"/>
        </w:rPr>
        <w:t>s</w:t>
      </w:r>
      <w:r w:rsidRPr="005E1747">
        <w:rPr>
          <w:rStyle w:val="AERbodytextChar"/>
          <w:rFonts w:eastAsiaTheme="minorHAnsi"/>
        </w:rPr>
        <w:t xml:space="preserve"> will require increased opex </w:t>
      </w:r>
      <w:r>
        <w:rPr>
          <w:rStyle w:val="AERbodytextChar"/>
          <w:rFonts w:eastAsiaTheme="minorHAnsi"/>
        </w:rPr>
        <w:t xml:space="preserve">and capex </w:t>
      </w:r>
      <w:r w:rsidRPr="005E1747">
        <w:rPr>
          <w:rStyle w:val="AERbodytextChar"/>
          <w:rFonts w:eastAsiaTheme="minorHAnsi"/>
        </w:rPr>
        <w:t>over the forecast period</w:t>
      </w:r>
      <w:r w:rsidR="00992E28">
        <w:rPr>
          <w:rStyle w:val="AERbodytextChar"/>
          <w:rFonts w:eastAsiaTheme="minorHAnsi"/>
        </w:rPr>
        <w:t>.</w:t>
      </w:r>
      <w:r w:rsidR="004E2832" w:rsidRPr="004E2832">
        <w:rPr>
          <w:rStyle w:val="AERbodytextChar"/>
          <w:rFonts w:eastAsiaTheme="minorHAnsi"/>
        </w:rPr>
        <w:t xml:space="preserve"> For example, Powercor proposes increased funding for step changes</w:t>
      </w:r>
      <w:r w:rsidR="004E2832">
        <w:rPr>
          <w:rStyle w:val="AERbodytextChar"/>
          <w:rFonts w:eastAsiaTheme="minorHAnsi"/>
        </w:rPr>
        <w:t>,</w:t>
      </w:r>
      <w:r w:rsidR="004E2832" w:rsidRPr="004E2832">
        <w:rPr>
          <w:rStyle w:val="AERbodytextChar"/>
          <w:rFonts w:eastAsiaTheme="minorHAnsi"/>
        </w:rPr>
        <w:t xml:space="preserve"> such as new customer information and relationship management systems, new mobile devices, and IT security monitoring.</w:t>
      </w:r>
      <w:r>
        <w:rPr>
          <w:rStyle w:val="FootnoteReference"/>
          <w:szCs w:val="24"/>
        </w:rPr>
        <w:footnoteReference w:id="12"/>
      </w:r>
      <w:r>
        <w:rPr>
          <w:rStyle w:val="AERbodytextChar"/>
          <w:rFonts w:eastAsiaTheme="minorHAnsi"/>
        </w:rPr>
        <w:t xml:space="preserve"> Capex</w:t>
      </w:r>
      <w:r w:rsidRPr="00852889">
        <w:rPr>
          <w:rStyle w:val="AERbodytextChar"/>
          <w:rFonts w:eastAsiaTheme="minorHAnsi"/>
        </w:rPr>
        <w:t xml:space="preserve"> can also be triggered by the need to upgrade the network to comply with quality, safety, reliability and security requirements.</w:t>
      </w:r>
    </w:p>
    <w:p w:rsidR="006A4F0A" w:rsidRDefault="006A4F0A" w:rsidP="006A4F0A">
      <w:pPr>
        <w:rPr>
          <w:rStyle w:val="AERbodytextChar"/>
          <w:rFonts w:eastAsiaTheme="minorHAnsi"/>
        </w:rPr>
      </w:pPr>
      <w:r>
        <w:rPr>
          <w:rStyle w:val="AERbodytextChar"/>
          <w:rFonts w:eastAsiaTheme="minorHAnsi"/>
        </w:rPr>
        <w:t>For opex, w</w:t>
      </w:r>
      <w:r w:rsidRPr="005E1747">
        <w:rPr>
          <w:rStyle w:val="AERbodytextChar"/>
          <w:rFonts w:eastAsiaTheme="minorHAnsi"/>
        </w:rPr>
        <w:t>e refer to these</w:t>
      </w:r>
      <w:r w:rsidR="00CA43D6" w:rsidRPr="00CA43D6">
        <w:rPr>
          <w:rStyle w:val="AERbodytextChar"/>
          <w:rFonts w:eastAsiaTheme="minorHAnsi"/>
        </w:rPr>
        <w:t xml:space="preserve"> </w:t>
      </w:r>
      <w:r w:rsidR="00CA43D6">
        <w:rPr>
          <w:rStyle w:val="AERbodytextChar"/>
          <w:rFonts w:eastAsiaTheme="minorHAnsi"/>
        </w:rPr>
        <w:t>cost drivers</w:t>
      </w:r>
      <w:r w:rsidRPr="005E1747">
        <w:rPr>
          <w:rStyle w:val="AERbodytextChar"/>
          <w:rFonts w:eastAsiaTheme="minorHAnsi"/>
        </w:rPr>
        <w:t xml:space="preserve"> as</w:t>
      </w:r>
      <w:r>
        <w:rPr>
          <w:rStyle w:val="AERbodytextChar"/>
          <w:rFonts w:eastAsiaTheme="minorHAnsi"/>
        </w:rPr>
        <w:t xml:space="preserve"> possible</w:t>
      </w:r>
      <w:r w:rsidRPr="005E1747">
        <w:rPr>
          <w:rStyle w:val="AERbodytextChar"/>
          <w:rFonts w:eastAsiaTheme="minorHAnsi"/>
        </w:rPr>
        <w:t xml:space="preserve"> ‘step changes’. Step changes may be for cost drivers such as new, changed or removed regulatory obligations, or efficient capex/opex trade-offs.</w:t>
      </w:r>
      <w:r>
        <w:rPr>
          <w:rStyle w:val="FootnoteReference"/>
          <w:szCs w:val="24"/>
        </w:rPr>
        <w:footnoteReference w:id="13"/>
      </w:r>
      <w:r w:rsidRPr="005E1747">
        <w:rPr>
          <w:rStyle w:val="AERbodytextChar"/>
          <w:rFonts w:eastAsiaTheme="minorHAnsi"/>
        </w:rPr>
        <w:t xml:space="preserve"> </w:t>
      </w:r>
      <w:r>
        <w:rPr>
          <w:rStyle w:val="AERbodytextChar"/>
          <w:rFonts w:eastAsiaTheme="minorHAnsi"/>
        </w:rPr>
        <w:t>W</w:t>
      </w:r>
      <w:r w:rsidRPr="005E1747">
        <w:rPr>
          <w:rStyle w:val="AERbodytextChar"/>
          <w:rFonts w:eastAsiaTheme="minorHAnsi"/>
        </w:rPr>
        <w:t xml:space="preserve">e typically compensate a </w:t>
      </w:r>
      <w:r>
        <w:rPr>
          <w:rStyle w:val="AERbodytextChar"/>
          <w:rFonts w:eastAsiaTheme="minorHAnsi"/>
        </w:rPr>
        <w:t>network business</w:t>
      </w:r>
      <w:r w:rsidRPr="005E1747">
        <w:rPr>
          <w:rStyle w:val="AERbodytextChar"/>
          <w:rFonts w:eastAsiaTheme="minorHAnsi"/>
        </w:rPr>
        <w:t xml:space="preserve"> for step changes only if efficient base year opex</w:t>
      </w:r>
      <w:r>
        <w:rPr>
          <w:rStyle w:val="AERbodytextChar"/>
          <w:rFonts w:eastAsiaTheme="minorHAnsi"/>
        </w:rPr>
        <w:t>,</w:t>
      </w:r>
      <w:r w:rsidRPr="005E1747">
        <w:rPr>
          <w:rStyle w:val="AERbodytextChar"/>
          <w:rFonts w:eastAsiaTheme="minorHAnsi"/>
        </w:rPr>
        <w:t xml:space="preserve"> and the rate of change in opex of an efficient service provider</w:t>
      </w:r>
      <w:r>
        <w:rPr>
          <w:rStyle w:val="AERbodytextChar"/>
          <w:rFonts w:eastAsiaTheme="minorHAnsi"/>
        </w:rPr>
        <w:t>,</w:t>
      </w:r>
      <w:r w:rsidRPr="005E1747">
        <w:rPr>
          <w:rStyle w:val="AERbodytextChar"/>
          <w:rFonts w:eastAsiaTheme="minorHAnsi"/>
        </w:rPr>
        <w:t xml:space="preserve"> do not already comp</w:t>
      </w:r>
      <w:r>
        <w:rPr>
          <w:rStyle w:val="AERbodytextChar"/>
          <w:rFonts w:eastAsiaTheme="minorHAnsi"/>
        </w:rPr>
        <w:t>ensate the business for the proposed costs.</w:t>
      </w:r>
      <w:r>
        <w:rPr>
          <w:rStyle w:val="FootnoteReference"/>
          <w:szCs w:val="24"/>
        </w:rPr>
        <w:footnoteReference w:id="14"/>
      </w:r>
    </w:p>
    <w:p w:rsidR="006A4F0A" w:rsidRDefault="006A4F0A" w:rsidP="006A4F0A">
      <w:pPr>
        <w:rPr>
          <w:rStyle w:val="AERbodytextChar"/>
          <w:rFonts w:eastAsiaTheme="minorHAnsi"/>
        </w:rPr>
      </w:pPr>
      <w:r w:rsidRPr="00E0050D">
        <w:rPr>
          <w:rStyle w:val="AERbodytextChar"/>
          <w:rFonts w:eastAsiaTheme="minorHAnsi"/>
        </w:rPr>
        <w:t xml:space="preserve">We </w:t>
      </w:r>
      <w:r>
        <w:rPr>
          <w:rStyle w:val="AERbodytextChar"/>
          <w:rFonts w:eastAsiaTheme="minorHAnsi"/>
        </w:rPr>
        <w:t>find</w:t>
      </w:r>
      <w:r w:rsidRPr="00E0050D">
        <w:rPr>
          <w:rStyle w:val="AERbodytextChar"/>
          <w:rFonts w:eastAsiaTheme="minorHAnsi"/>
        </w:rPr>
        <w:t xml:space="preserve"> there are very few chan</w:t>
      </w:r>
      <w:r>
        <w:rPr>
          <w:rStyle w:val="AERbodytextChar"/>
          <w:rFonts w:eastAsiaTheme="minorHAnsi"/>
        </w:rPr>
        <w:t xml:space="preserve">ges in the external environment, such as new regulatory obligations, </w:t>
      </w:r>
      <w:r w:rsidRPr="00E0050D">
        <w:rPr>
          <w:rStyle w:val="AERbodytextChar"/>
          <w:rFonts w:eastAsiaTheme="minorHAnsi"/>
        </w:rPr>
        <w:t>that require a step change in opex</w:t>
      </w:r>
      <w:r>
        <w:rPr>
          <w:rStyle w:val="AERbodytextChar"/>
          <w:rFonts w:eastAsiaTheme="minorHAnsi"/>
        </w:rPr>
        <w:t xml:space="preserve"> for </w:t>
      </w:r>
      <w:r w:rsidR="002E1415">
        <w:rPr>
          <w:rStyle w:val="AERbodytextChar"/>
          <w:rFonts w:eastAsiaTheme="minorHAnsi"/>
        </w:rPr>
        <w:t>Powercor</w:t>
      </w:r>
      <w:r w:rsidR="00CA43D6">
        <w:rPr>
          <w:rStyle w:val="AERbodytextChar"/>
          <w:rFonts w:eastAsiaTheme="minorHAnsi"/>
        </w:rPr>
        <w:t xml:space="preserve">, </w:t>
      </w:r>
      <w:r w:rsidR="007078A1">
        <w:rPr>
          <w:rStyle w:val="AERbodytextChar"/>
          <w:rFonts w:eastAsiaTheme="minorHAnsi"/>
        </w:rPr>
        <w:t>especially compared to the previous regulatory period</w:t>
      </w:r>
      <w:r w:rsidRPr="00E0050D">
        <w:rPr>
          <w:rStyle w:val="AERbodytextChar"/>
          <w:rFonts w:eastAsiaTheme="minorHAnsi"/>
        </w:rPr>
        <w:t xml:space="preserve">. </w:t>
      </w:r>
      <w:r w:rsidR="00CA43D6">
        <w:rPr>
          <w:rStyle w:val="AERbodytextChar"/>
          <w:rFonts w:eastAsiaTheme="minorHAnsi"/>
        </w:rPr>
        <w:t xml:space="preserve">Powercor proposed $26.1 million for step changes in opex—of which we accepted $3.1 million. </w:t>
      </w:r>
      <w:r>
        <w:rPr>
          <w:rStyle w:val="AERbodytextChar"/>
          <w:rFonts w:eastAsiaTheme="minorHAnsi"/>
        </w:rPr>
        <w:t>T</w:t>
      </w:r>
      <w:r w:rsidRPr="00E0050D">
        <w:rPr>
          <w:rStyle w:val="AERbodytextChar"/>
          <w:rFonts w:eastAsiaTheme="minorHAnsi"/>
        </w:rPr>
        <w:t xml:space="preserve">he base level of opex </w:t>
      </w:r>
      <w:r>
        <w:rPr>
          <w:rStyle w:val="AERbodytextChar"/>
          <w:rFonts w:eastAsiaTheme="minorHAnsi"/>
        </w:rPr>
        <w:t>f</w:t>
      </w:r>
      <w:r w:rsidRPr="00A50D9C">
        <w:rPr>
          <w:rStyle w:val="AERbodytextChar"/>
          <w:rFonts w:eastAsiaTheme="minorHAnsi"/>
        </w:rPr>
        <w:t xml:space="preserve">or the most part </w:t>
      </w:r>
      <w:r w:rsidRPr="00E0050D">
        <w:rPr>
          <w:rStyle w:val="AERbodytextChar"/>
          <w:rFonts w:eastAsiaTheme="minorHAnsi"/>
        </w:rPr>
        <w:t xml:space="preserve">is sufficient for </w:t>
      </w:r>
      <w:r w:rsidR="002E1415">
        <w:rPr>
          <w:rStyle w:val="AERbodytextChar"/>
          <w:rFonts w:eastAsiaTheme="minorHAnsi"/>
        </w:rPr>
        <w:t>Powercor</w:t>
      </w:r>
      <w:r>
        <w:rPr>
          <w:rStyle w:val="AERbodytextChar"/>
          <w:rFonts w:eastAsiaTheme="minorHAnsi"/>
        </w:rPr>
        <w:t xml:space="preserve"> </w:t>
      </w:r>
      <w:r w:rsidRPr="00E0050D">
        <w:rPr>
          <w:rStyle w:val="AERbodytextChar"/>
          <w:rFonts w:eastAsiaTheme="minorHAnsi"/>
        </w:rPr>
        <w:t xml:space="preserve">to operate </w:t>
      </w:r>
      <w:r>
        <w:rPr>
          <w:rStyle w:val="AERbodytextChar"/>
          <w:rFonts w:eastAsiaTheme="minorHAnsi"/>
        </w:rPr>
        <w:t>a safe and reliable network</w:t>
      </w:r>
      <w:r w:rsidRPr="00E0050D">
        <w:rPr>
          <w:rStyle w:val="AERbodytextChar"/>
          <w:rFonts w:eastAsiaTheme="minorHAnsi"/>
        </w:rPr>
        <w:t xml:space="preserve"> </w:t>
      </w:r>
      <w:r w:rsidR="00CA43D6">
        <w:rPr>
          <w:rStyle w:val="AERbodytextChar"/>
          <w:rFonts w:eastAsiaTheme="minorHAnsi"/>
        </w:rPr>
        <w:t>for the 2016–20 period</w:t>
      </w:r>
      <w:r w:rsidRPr="00E0050D">
        <w:rPr>
          <w:rStyle w:val="AERbodytextChar"/>
          <w:rFonts w:eastAsiaTheme="minorHAnsi"/>
        </w:rPr>
        <w:t>.</w:t>
      </w:r>
      <w:r>
        <w:rPr>
          <w:rStyle w:val="AERbodytextChar"/>
          <w:rFonts w:eastAsiaTheme="minorHAnsi"/>
        </w:rPr>
        <w:t xml:space="preserve"> Moreover</w:t>
      </w:r>
      <w:r w:rsidRPr="00254257">
        <w:rPr>
          <w:rStyle w:val="AERbodytextChar"/>
          <w:rFonts w:eastAsiaTheme="minorHAnsi"/>
        </w:rPr>
        <w:t xml:space="preserve">, we find some proposed </w:t>
      </w:r>
      <w:r>
        <w:rPr>
          <w:rStyle w:val="AERbodytextChar"/>
          <w:rFonts w:eastAsiaTheme="minorHAnsi"/>
        </w:rPr>
        <w:t xml:space="preserve">step changes </w:t>
      </w:r>
      <w:r w:rsidRPr="00254257">
        <w:rPr>
          <w:rStyle w:val="AERbodytextChar"/>
          <w:rFonts w:eastAsiaTheme="minorHAnsi"/>
        </w:rPr>
        <w:t>are driven by</w:t>
      </w:r>
      <w:r>
        <w:rPr>
          <w:rStyle w:val="AERbodytextChar"/>
          <w:rFonts w:eastAsiaTheme="minorHAnsi"/>
        </w:rPr>
        <w:t xml:space="preserve"> </w:t>
      </w:r>
      <w:r w:rsidR="002E1415">
        <w:rPr>
          <w:rStyle w:val="AERbodytextChar"/>
          <w:rFonts w:eastAsiaTheme="minorHAnsi"/>
        </w:rPr>
        <w:t>Powercor’s</w:t>
      </w:r>
      <w:r w:rsidRPr="00254257">
        <w:rPr>
          <w:rStyle w:val="AERbodytextChar"/>
          <w:rFonts w:eastAsiaTheme="minorHAnsi"/>
        </w:rPr>
        <w:t xml:space="preserve"> internal management decision</w:t>
      </w:r>
      <w:r>
        <w:rPr>
          <w:rStyle w:val="AERbodytextChar"/>
          <w:rFonts w:eastAsiaTheme="minorHAnsi"/>
        </w:rPr>
        <w:t xml:space="preserve">s </w:t>
      </w:r>
      <w:r w:rsidRPr="00254257">
        <w:rPr>
          <w:rStyle w:val="AERbodytextChar"/>
          <w:rFonts w:eastAsiaTheme="minorHAnsi"/>
        </w:rPr>
        <w:t>and are</w:t>
      </w:r>
      <w:r>
        <w:rPr>
          <w:rStyle w:val="AERbodytextChar"/>
          <w:rFonts w:eastAsiaTheme="minorHAnsi"/>
        </w:rPr>
        <w:t xml:space="preserve"> 'business-as-usual'.</w:t>
      </w:r>
    </w:p>
    <w:p w:rsidR="006A4F0A" w:rsidRDefault="006A4F0A" w:rsidP="006A4F0A">
      <w:pPr>
        <w:rPr>
          <w:rStyle w:val="AERbodytextChar"/>
          <w:rFonts w:eastAsiaTheme="minorHAnsi"/>
        </w:rPr>
      </w:pPr>
      <w:r>
        <w:rPr>
          <w:rStyle w:val="AERbodytextChar"/>
          <w:rFonts w:eastAsiaTheme="minorHAnsi"/>
        </w:rPr>
        <w:t xml:space="preserve">That said, we have accepted </w:t>
      </w:r>
      <w:r w:rsidR="001A41F9">
        <w:rPr>
          <w:rStyle w:val="AERbodytextChar"/>
          <w:rFonts w:eastAsiaTheme="minorHAnsi"/>
        </w:rPr>
        <w:t>additional</w:t>
      </w:r>
      <w:r>
        <w:rPr>
          <w:rStyle w:val="AERbodytextChar"/>
          <w:rFonts w:eastAsiaTheme="minorHAnsi"/>
        </w:rPr>
        <w:t xml:space="preserve"> capex of </w:t>
      </w:r>
      <w:r w:rsidRPr="00A63226">
        <w:rPr>
          <w:rStyle w:val="AERbodytextChar"/>
          <w:rFonts w:eastAsiaTheme="minorHAnsi"/>
        </w:rPr>
        <w:t>$</w:t>
      </w:r>
      <w:r w:rsidR="000741E3">
        <w:rPr>
          <w:rStyle w:val="AERbodytextChar"/>
          <w:rFonts w:eastAsiaTheme="minorHAnsi"/>
        </w:rPr>
        <w:t>136 </w:t>
      </w:r>
      <w:r w:rsidRPr="00A63226">
        <w:rPr>
          <w:rStyle w:val="AERbodytextChar"/>
          <w:rFonts w:eastAsiaTheme="minorHAnsi"/>
        </w:rPr>
        <w:t>million</w:t>
      </w:r>
      <w:r w:rsidRPr="00852889">
        <w:rPr>
          <w:rStyle w:val="AERbodytextChar"/>
          <w:rFonts w:eastAsiaTheme="minorHAnsi"/>
        </w:rPr>
        <w:t xml:space="preserve"> </w:t>
      </w:r>
      <w:r>
        <w:rPr>
          <w:rStyle w:val="AERbodytextChar"/>
          <w:rFonts w:eastAsiaTheme="minorHAnsi"/>
        </w:rPr>
        <w:t xml:space="preserve">that is </w:t>
      </w:r>
      <w:r w:rsidRPr="00852889">
        <w:rPr>
          <w:rStyle w:val="AERbodytextChar"/>
          <w:rFonts w:eastAsiaTheme="minorHAnsi"/>
        </w:rPr>
        <w:t>driven by a bushfire safety mitigation program for the 2016–20 period</w:t>
      </w:r>
      <w:r>
        <w:rPr>
          <w:rStyle w:val="AERbodytextChar"/>
          <w:rFonts w:eastAsiaTheme="minorHAnsi"/>
        </w:rPr>
        <w:t xml:space="preserve">. </w:t>
      </w:r>
      <w:r w:rsidR="002E1415">
        <w:rPr>
          <w:rStyle w:val="AERbodytextChar"/>
          <w:rFonts w:eastAsiaTheme="minorHAnsi"/>
        </w:rPr>
        <w:t>Powercor</w:t>
      </w:r>
      <w:r>
        <w:rPr>
          <w:rStyle w:val="AERbodytextChar"/>
          <w:rFonts w:eastAsiaTheme="minorHAnsi"/>
        </w:rPr>
        <w:t xml:space="preserve"> has demonstrated it has a mandatory </w:t>
      </w:r>
      <w:r w:rsidRPr="00852889">
        <w:rPr>
          <w:rStyle w:val="AERbodytextChar"/>
          <w:rFonts w:eastAsiaTheme="minorHAnsi"/>
        </w:rPr>
        <w:t xml:space="preserve">obligation to undertake this </w:t>
      </w:r>
      <w:r>
        <w:rPr>
          <w:rStyle w:val="AERbodytextChar"/>
          <w:rFonts w:eastAsiaTheme="minorHAnsi"/>
        </w:rPr>
        <w:t xml:space="preserve">new </w:t>
      </w:r>
      <w:r w:rsidRPr="00852889">
        <w:rPr>
          <w:rStyle w:val="AERbodytextChar"/>
          <w:rFonts w:eastAsiaTheme="minorHAnsi"/>
        </w:rPr>
        <w:t>work</w:t>
      </w:r>
      <w:r>
        <w:rPr>
          <w:rStyle w:val="AERbodytextChar"/>
          <w:rFonts w:eastAsiaTheme="minorHAnsi"/>
        </w:rPr>
        <w:t>, which follow</w:t>
      </w:r>
      <w:r w:rsidR="00D52C56">
        <w:rPr>
          <w:rStyle w:val="AERbodytextChar"/>
          <w:rFonts w:eastAsiaTheme="minorHAnsi"/>
        </w:rPr>
        <w:t>s</w:t>
      </w:r>
      <w:r>
        <w:rPr>
          <w:rStyle w:val="AERbodytextChar"/>
          <w:rFonts w:eastAsiaTheme="minorHAnsi"/>
        </w:rPr>
        <w:t xml:space="preserve"> from the 2009 </w:t>
      </w:r>
      <w:r w:rsidRPr="00BB3827">
        <w:rPr>
          <w:rStyle w:val="AERbodytextChar"/>
          <w:rFonts w:eastAsiaTheme="minorHAnsi"/>
        </w:rPr>
        <w:t>Victorian Bushfires Royal Commission</w:t>
      </w:r>
      <w:r w:rsidRPr="00852889">
        <w:rPr>
          <w:rStyle w:val="AERbodytextChar"/>
          <w:rFonts w:eastAsiaTheme="minorHAnsi"/>
        </w:rPr>
        <w:t>.</w:t>
      </w:r>
    </w:p>
    <w:p w:rsidR="00D52C56" w:rsidRDefault="00F75625" w:rsidP="006A4F0A">
      <w:pPr>
        <w:rPr>
          <w:rStyle w:val="AERbodytextChar"/>
          <w:rFonts w:eastAsiaTheme="minorHAnsi"/>
        </w:rPr>
      </w:pPr>
      <w:r>
        <w:rPr>
          <w:rStyle w:val="AERbodytextChar"/>
          <w:rFonts w:eastAsiaTheme="minorHAnsi"/>
        </w:rPr>
        <w:t>Powercor</w:t>
      </w:r>
      <w:r w:rsidRPr="00DB276B">
        <w:rPr>
          <w:rStyle w:val="AERbodytextChar"/>
          <w:rFonts w:eastAsiaTheme="minorHAnsi"/>
        </w:rPr>
        <w:t xml:space="preserve"> may also face some anticipated, as opposed to known, changes to legislation. Where there is a clear prospect of a change in regulation, such as for some new bushfire safety related regulatory obligations, additional </w:t>
      </w:r>
      <w:r>
        <w:rPr>
          <w:rStyle w:val="AERbodytextChar"/>
          <w:rFonts w:eastAsiaTheme="minorHAnsi"/>
        </w:rPr>
        <w:t>costs</w:t>
      </w:r>
      <w:r w:rsidRPr="00DB276B">
        <w:rPr>
          <w:rStyle w:val="AERbodytextChar"/>
          <w:rFonts w:eastAsiaTheme="minorHAnsi"/>
        </w:rPr>
        <w:t xml:space="preserve"> may arise. </w:t>
      </w:r>
      <w:r w:rsidR="001C6558">
        <w:rPr>
          <w:rStyle w:val="AERbodytextChar"/>
          <w:rFonts w:eastAsiaTheme="minorHAnsi"/>
        </w:rPr>
        <w:t>Powercor may</w:t>
      </w:r>
      <w:r w:rsidRPr="00DB276B">
        <w:rPr>
          <w:rStyle w:val="AERbodytextChar"/>
          <w:rFonts w:eastAsiaTheme="minorHAnsi"/>
        </w:rPr>
        <w:t xml:space="preserve"> </w:t>
      </w:r>
      <w:r>
        <w:rPr>
          <w:rStyle w:val="AERbodytextChar"/>
          <w:rFonts w:eastAsiaTheme="minorHAnsi"/>
        </w:rPr>
        <w:t>provide</w:t>
      </w:r>
      <w:r w:rsidRPr="00DB276B">
        <w:rPr>
          <w:rStyle w:val="AERbodytextChar"/>
          <w:rFonts w:eastAsiaTheme="minorHAnsi"/>
        </w:rPr>
        <w:t xml:space="preserve"> information in its revised proposal </w:t>
      </w:r>
      <w:r>
        <w:rPr>
          <w:rStyle w:val="AERbodytextChar"/>
          <w:rFonts w:eastAsiaTheme="minorHAnsi"/>
        </w:rPr>
        <w:t xml:space="preserve">on anticipated regulatory obligations </w:t>
      </w:r>
      <w:r w:rsidRPr="00DB276B">
        <w:rPr>
          <w:rStyle w:val="AERbodytextChar"/>
          <w:rFonts w:eastAsiaTheme="minorHAnsi"/>
        </w:rPr>
        <w:t>so that we may consider them as contingent projects in our final decision.</w:t>
      </w:r>
    </w:p>
    <w:p w:rsidR="003A3002" w:rsidRDefault="003A3002">
      <w:pPr>
        <w:spacing w:line="240" w:lineRule="auto"/>
        <w:rPr>
          <w:rFonts w:eastAsiaTheme="majorEastAsia" w:cstheme="majorBidi"/>
          <w:b/>
          <w:bCs/>
          <w:color w:val="70635A" w:themeColor="text2"/>
          <w:sz w:val="32"/>
          <w:szCs w:val="26"/>
        </w:rPr>
      </w:pPr>
      <w:bookmarkStart w:id="35" w:name="_Toc429039115"/>
      <w:bookmarkStart w:id="36" w:name="_Toc417973134"/>
      <w:r>
        <w:br w:type="page"/>
      </w:r>
    </w:p>
    <w:p w:rsidR="006A4F0A" w:rsidRDefault="006A4F0A" w:rsidP="006A4F0A">
      <w:pPr>
        <w:pStyle w:val="Heading2"/>
      </w:pPr>
      <w:bookmarkStart w:id="37" w:name="_Toc433786793"/>
      <w:r>
        <w:lastRenderedPageBreak/>
        <w:t>Process timeline and transitional rules</w:t>
      </w:r>
      <w:bookmarkEnd w:id="35"/>
      <w:bookmarkEnd w:id="37"/>
    </w:p>
    <w:p w:rsidR="001F6B67" w:rsidRDefault="001F6B67" w:rsidP="001F6B67">
      <w:r>
        <w:t xml:space="preserve">We began the process of reviewing Powercor’s regulatory proposal </w:t>
      </w:r>
      <w:r w:rsidRPr="00C23F2D">
        <w:t>in May 2015</w:t>
      </w:r>
      <w:r>
        <w:t>. Powercor’s revised proposal and submissions on our preliminary decisions are due by 6 January 2016. W</w:t>
      </w:r>
      <w:r w:rsidRPr="000B3E2F">
        <w:t xml:space="preserve">e will </w:t>
      </w:r>
      <w:r>
        <w:t xml:space="preserve">then </w:t>
      </w:r>
      <w:r w:rsidRPr="000B3E2F">
        <w:t xml:space="preserve">give third party stakeholders an opportunity to comment on </w:t>
      </w:r>
      <w:r>
        <w:t xml:space="preserve">the </w:t>
      </w:r>
      <w:r w:rsidRPr="000B3E2F">
        <w:t>revised proposals</w:t>
      </w:r>
      <w:r>
        <w:t xml:space="preserve"> by 4 February 2016. By the same date, w</w:t>
      </w:r>
      <w:r w:rsidRPr="000B3E2F">
        <w:t xml:space="preserve">e will </w:t>
      </w:r>
      <w:r>
        <w:t>a</w:t>
      </w:r>
      <w:r w:rsidRPr="000B3E2F">
        <w:t xml:space="preserve">llow further submissions from all stakeholders, including the distribution businesses, on the submissions made by third party stakeholders to the preliminary </w:t>
      </w:r>
      <w:r>
        <w:t>decisions. Our f</w:t>
      </w:r>
      <w:r w:rsidRPr="00C23F2D">
        <w:t xml:space="preserve">inal decision </w:t>
      </w:r>
      <w:r>
        <w:t xml:space="preserve">is </w:t>
      </w:r>
      <w:r w:rsidRPr="00C23F2D">
        <w:t xml:space="preserve">due to be released in late April 2016. </w:t>
      </w:r>
      <w:r>
        <w:t>Table 2</w:t>
      </w:r>
      <w:r w:rsidRPr="00C23F2D">
        <w:t xml:space="preserve"> lists </w:t>
      </w:r>
      <w:r>
        <w:t>the</w:t>
      </w:r>
      <w:r w:rsidRPr="00C23F2D">
        <w:t xml:space="preserve"> key dates</w:t>
      </w:r>
      <w:r>
        <w:t>.</w:t>
      </w:r>
    </w:p>
    <w:p w:rsidR="00A40AEE" w:rsidRDefault="00A40AEE" w:rsidP="00A40AEE">
      <w:pPr>
        <w:pStyle w:val="Caption"/>
      </w:pPr>
      <w:r>
        <w:t>Table 2</w:t>
      </w:r>
      <w:r>
        <w:tab/>
        <w:t>Key dates</w:t>
      </w:r>
    </w:p>
    <w:tbl>
      <w:tblPr>
        <w:tblStyle w:val="AERtable-numbers"/>
        <w:tblW w:w="0" w:type="auto"/>
        <w:tblLook w:val="04A0" w:firstRow="1" w:lastRow="0" w:firstColumn="1" w:lastColumn="0" w:noHBand="0" w:noVBand="1"/>
      </w:tblPr>
      <w:tblGrid>
        <w:gridCol w:w="4346"/>
        <w:gridCol w:w="4347"/>
      </w:tblGrid>
      <w:tr w:rsidR="00A40AEE" w:rsidTr="00A40A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pPr>
              <w:jc w:val="right"/>
            </w:pPr>
            <w:r>
              <w:t>Task</w:t>
            </w:r>
          </w:p>
        </w:tc>
        <w:tc>
          <w:tcPr>
            <w:tcW w:w="4347" w:type="dxa"/>
            <w:tcBorders>
              <w:top w:val="nil"/>
              <w:left w:val="nil"/>
              <w:bottom w:val="nil"/>
              <w:right w:val="nil"/>
            </w:tcBorders>
            <w:hideMark/>
          </w:tcPr>
          <w:p w:rsidR="00A40AEE" w:rsidRDefault="00A40AEE">
            <w:pPr>
              <w:cnfStyle w:val="100000000000" w:firstRow="1" w:lastRow="0" w:firstColumn="0" w:lastColumn="0" w:oddVBand="0" w:evenVBand="0" w:oddHBand="0" w:evenHBand="0" w:firstRowFirstColumn="0" w:firstRowLastColumn="0" w:lastRowFirstColumn="0" w:lastRowLastColumn="0"/>
            </w:pPr>
            <w:r>
              <w:t xml:space="preserve">Date </w:t>
            </w:r>
          </w:p>
        </w:tc>
      </w:tr>
      <w:tr w:rsidR="00A40AEE" w:rsidTr="00A40AEE">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A40AEE">
            <w:r>
              <w:t xml:space="preserve">Businesses submitted regulatory proposals to AER </w:t>
            </w:r>
          </w:p>
        </w:tc>
        <w:tc>
          <w:tcPr>
            <w:tcW w:w="4347" w:type="dxa"/>
            <w:tcBorders>
              <w:top w:val="nil"/>
              <w:left w:val="nil"/>
              <w:bottom w:val="nil"/>
              <w:right w:val="nil"/>
            </w:tcBorders>
            <w:hideMark/>
          </w:tcPr>
          <w:p w:rsidR="00A40AEE" w:rsidRDefault="00A40AEE">
            <w:pPr>
              <w:cnfStyle w:val="000000000000" w:firstRow="0" w:lastRow="0" w:firstColumn="0" w:lastColumn="0" w:oddVBand="0" w:evenVBand="0" w:oddHBand="0" w:evenHBand="0" w:firstRowFirstColumn="0" w:firstRowLastColumn="0" w:lastRowFirstColumn="0" w:lastRowLastColumn="0"/>
            </w:pPr>
            <w:r>
              <w:t xml:space="preserve">30 April 2015 </w:t>
            </w:r>
          </w:p>
        </w:tc>
      </w:tr>
      <w:tr w:rsidR="00A40AEE"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4D6F21">
            <w:r>
              <w:t xml:space="preserve">AER released </w:t>
            </w:r>
            <w:r w:rsidR="00D85557">
              <w:t>I</w:t>
            </w:r>
            <w:r>
              <w:t xml:space="preserve">ssues paper </w:t>
            </w:r>
          </w:p>
        </w:tc>
        <w:tc>
          <w:tcPr>
            <w:tcW w:w="4347" w:type="dxa"/>
            <w:tcBorders>
              <w:top w:val="nil"/>
              <w:left w:val="nil"/>
              <w:bottom w:val="nil"/>
              <w:right w:val="nil"/>
            </w:tcBorders>
            <w:hideMark/>
          </w:tcPr>
          <w:p w:rsidR="00A40AEE" w:rsidRDefault="00A40AEE">
            <w:pPr>
              <w:cnfStyle w:val="000000010000" w:firstRow="0" w:lastRow="0" w:firstColumn="0" w:lastColumn="0" w:oddVBand="0" w:evenVBand="0" w:oddHBand="0" w:evenHBand="1" w:firstRowFirstColumn="0" w:firstRowLastColumn="0" w:lastRowFirstColumn="0" w:lastRowLastColumn="0"/>
            </w:pPr>
            <w:r>
              <w:t xml:space="preserve">9 June 2015 </w:t>
            </w:r>
          </w:p>
        </w:tc>
      </w:tr>
      <w:tr w:rsidR="00A40AEE" w:rsidTr="00A40AEE">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A40AEE">
            <w:r>
              <w:t xml:space="preserve">AER held public forum </w:t>
            </w:r>
          </w:p>
        </w:tc>
        <w:tc>
          <w:tcPr>
            <w:tcW w:w="4347" w:type="dxa"/>
            <w:tcBorders>
              <w:top w:val="nil"/>
              <w:left w:val="nil"/>
              <w:bottom w:val="nil"/>
              <w:right w:val="nil"/>
            </w:tcBorders>
            <w:hideMark/>
          </w:tcPr>
          <w:p w:rsidR="00A40AEE" w:rsidRDefault="00A40AEE">
            <w:pPr>
              <w:cnfStyle w:val="000000000000" w:firstRow="0" w:lastRow="0" w:firstColumn="0" w:lastColumn="0" w:oddVBand="0" w:evenVBand="0" w:oddHBand="0" w:evenHBand="0" w:firstRowFirstColumn="0" w:firstRowLastColumn="0" w:lastRowFirstColumn="0" w:lastRowLastColumn="0"/>
            </w:pPr>
            <w:r>
              <w:t xml:space="preserve">22 June 2015 </w:t>
            </w:r>
          </w:p>
        </w:tc>
      </w:tr>
      <w:tr w:rsidR="00A40AEE"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A40AEE">
            <w:r>
              <w:t>Submissions on regulatory proposals received</w:t>
            </w:r>
          </w:p>
        </w:tc>
        <w:tc>
          <w:tcPr>
            <w:tcW w:w="4347" w:type="dxa"/>
            <w:tcBorders>
              <w:top w:val="nil"/>
              <w:left w:val="nil"/>
              <w:bottom w:val="nil"/>
              <w:right w:val="nil"/>
            </w:tcBorders>
            <w:hideMark/>
          </w:tcPr>
          <w:p w:rsidR="00A40AEE" w:rsidRDefault="00A40AEE">
            <w:pPr>
              <w:cnfStyle w:val="000000010000" w:firstRow="0" w:lastRow="0" w:firstColumn="0" w:lastColumn="0" w:oddVBand="0" w:evenVBand="0" w:oddHBand="0" w:evenHBand="1" w:firstRowFirstColumn="0" w:firstRowLastColumn="0" w:lastRowFirstColumn="0" w:lastRowLastColumn="0"/>
            </w:pPr>
            <w:r>
              <w:t xml:space="preserve">13 July 2015 </w:t>
            </w:r>
          </w:p>
        </w:tc>
      </w:tr>
      <w:tr w:rsidR="00A40AEE" w:rsidTr="00A40AEE">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99349D">
            <w:r>
              <w:t xml:space="preserve">AER </w:t>
            </w:r>
            <w:r w:rsidR="0099349D">
              <w:t>p</w:t>
            </w:r>
            <w:r>
              <w:t>reliminary decisions</w:t>
            </w:r>
          </w:p>
        </w:tc>
        <w:tc>
          <w:tcPr>
            <w:tcW w:w="4347" w:type="dxa"/>
            <w:tcBorders>
              <w:top w:val="nil"/>
              <w:left w:val="nil"/>
              <w:bottom w:val="nil"/>
              <w:right w:val="nil"/>
            </w:tcBorders>
            <w:hideMark/>
          </w:tcPr>
          <w:p w:rsidR="00A40AEE" w:rsidRDefault="00A40AEE">
            <w:pPr>
              <w:cnfStyle w:val="000000000000" w:firstRow="0" w:lastRow="0" w:firstColumn="0" w:lastColumn="0" w:oddVBand="0" w:evenVBand="0" w:oddHBand="0" w:evenHBand="0" w:firstRowFirstColumn="0" w:firstRowLastColumn="0" w:lastRowFirstColumn="0" w:lastRowLastColumn="0"/>
            </w:pPr>
            <w:r>
              <w:t xml:space="preserve">29 October 2015 </w:t>
            </w:r>
          </w:p>
        </w:tc>
      </w:tr>
      <w:tr w:rsidR="00A40AEE"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A40AEE">
            <w:r>
              <w:t>AER</w:t>
            </w:r>
            <w:r w:rsidR="0099349D">
              <w:t xml:space="preserve"> to hold conference to explain p</w:t>
            </w:r>
            <w:r>
              <w:t>reliminary decisions</w:t>
            </w:r>
          </w:p>
        </w:tc>
        <w:tc>
          <w:tcPr>
            <w:tcW w:w="4347" w:type="dxa"/>
            <w:tcBorders>
              <w:top w:val="nil"/>
              <w:left w:val="nil"/>
              <w:bottom w:val="nil"/>
              <w:right w:val="nil"/>
            </w:tcBorders>
            <w:hideMark/>
          </w:tcPr>
          <w:p w:rsidR="00A40AEE" w:rsidRDefault="00A40AEE">
            <w:pPr>
              <w:cnfStyle w:val="000000010000" w:firstRow="0" w:lastRow="0" w:firstColumn="0" w:lastColumn="0" w:oddVBand="0" w:evenVBand="0" w:oddHBand="0" w:evenHBand="1" w:firstRowFirstColumn="0" w:firstRowLastColumn="0" w:lastRowFirstColumn="0" w:lastRowLastColumn="0"/>
            </w:pPr>
            <w:r>
              <w:t xml:space="preserve">17 November 2015 </w:t>
            </w:r>
          </w:p>
        </w:tc>
      </w:tr>
      <w:tr w:rsidR="00A40AEE" w:rsidTr="00A40AEE">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99349D" w:rsidP="00A40AEE">
            <w:r>
              <w:t>Submissions on p</w:t>
            </w:r>
            <w:r w:rsidR="00A40AEE">
              <w:t xml:space="preserve">reliminary decisions due </w:t>
            </w:r>
          </w:p>
        </w:tc>
        <w:tc>
          <w:tcPr>
            <w:tcW w:w="4347" w:type="dxa"/>
            <w:tcBorders>
              <w:top w:val="nil"/>
              <w:left w:val="nil"/>
              <w:bottom w:val="nil"/>
              <w:right w:val="nil"/>
            </w:tcBorders>
            <w:hideMark/>
          </w:tcPr>
          <w:p w:rsidR="00A40AEE" w:rsidRDefault="00A40AEE">
            <w:pPr>
              <w:cnfStyle w:val="000000000000" w:firstRow="0" w:lastRow="0" w:firstColumn="0" w:lastColumn="0" w:oddVBand="0" w:evenVBand="0" w:oddHBand="0" w:evenHBand="0" w:firstRowFirstColumn="0" w:firstRowLastColumn="0" w:lastRowFirstColumn="0" w:lastRowLastColumn="0"/>
            </w:pPr>
            <w:r>
              <w:t xml:space="preserve">6 January 2016 </w:t>
            </w:r>
          </w:p>
        </w:tc>
      </w:tr>
      <w:tr w:rsidR="00A40AEE"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A40AEE">
            <w:r>
              <w:t xml:space="preserve">Businesses to submit revised regulatory proposals to AER </w:t>
            </w:r>
          </w:p>
        </w:tc>
        <w:tc>
          <w:tcPr>
            <w:tcW w:w="4347" w:type="dxa"/>
            <w:tcBorders>
              <w:top w:val="nil"/>
              <w:left w:val="nil"/>
              <w:bottom w:val="nil"/>
              <w:right w:val="nil"/>
            </w:tcBorders>
            <w:hideMark/>
          </w:tcPr>
          <w:p w:rsidR="00A40AEE" w:rsidRDefault="00A40AEE">
            <w:pPr>
              <w:cnfStyle w:val="000000010000" w:firstRow="0" w:lastRow="0" w:firstColumn="0" w:lastColumn="0" w:oddVBand="0" w:evenVBand="0" w:oddHBand="0" w:evenHBand="1" w:firstRowFirstColumn="0" w:firstRowLastColumn="0" w:lastRowFirstColumn="0" w:lastRowLastColumn="0"/>
            </w:pPr>
            <w:r>
              <w:t xml:space="preserve">6 January 2016 </w:t>
            </w:r>
          </w:p>
        </w:tc>
      </w:tr>
      <w:tr w:rsidR="00A40AEE" w:rsidTr="00A40AEE">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A40AEE" w:rsidRDefault="00A40AEE" w:rsidP="00DE1FF4">
            <w:r>
              <w:t>Further submissions due, including on revised proposals</w:t>
            </w:r>
            <w:r w:rsidR="00DE1FF4">
              <w:t>*</w:t>
            </w:r>
          </w:p>
        </w:tc>
        <w:tc>
          <w:tcPr>
            <w:tcW w:w="4347" w:type="dxa"/>
            <w:tcBorders>
              <w:top w:val="nil"/>
              <w:left w:val="nil"/>
              <w:bottom w:val="nil"/>
              <w:right w:val="nil"/>
            </w:tcBorders>
            <w:hideMark/>
          </w:tcPr>
          <w:p w:rsidR="00A40AEE" w:rsidRDefault="00A40AEE">
            <w:pPr>
              <w:cnfStyle w:val="000000000000" w:firstRow="0" w:lastRow="0" w:firstColumn="0" w:lastColumn="0" w:oddVBand="0" w:evenVBand="0" w:oddHBand="0" w:evenHBand="0" w:firstRowFirstColumn="0" w:firstRowLastColumn="0" w:lastRowFirstColumn="0" w:lastRowLastColumn="0"/>
            </w:pPr>
            <w:r>
              <w:t xml:space="preserve">4 February 2016 </w:t>
            </w:r>
          </w:p>
        </w:tc>
      </w:tr>
      <w:tr w:rsidR="00A40AEE"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single" w:sz="4" w:space="0" w:color="365F91"/>
              <w:right w:val="nil"/>
            </w:tcBorders>
            <w:hideMark/>
          </w:tcPr>
          <w:p w:rsidR="00A40AEE" w:rsidRDefault="00A40AEE" w:rsidP="004D6F21">
            <w:r>
              <w:t xml:space="preserve">AER to release </w:t>
            </w:r>
            <w:r w:rsidR="004D6F21">
              <w:t>f</w:t>
            </w:r>
            <w:r>
              <w:t>inal decisions</w:t>
            </w:r>
          </w:p>
        </w:tc>
        <w:tc>
          <w:tcPr>
            <w:tcW w:w="4347" w:type="dxa"/>
            <w:tcBorders>
              <w:top w:val="nil"/>
              <w:left w:val="nil"/>
              <w:bottom w:val="single" w:sz="4" w:space="0" w:color="365F91"/>
              <w:right w:val="nil"/>
            </w:tcBorders>
            <w:hideMark/>
          </w:tcPr>
          <w:p w:rsidR="00A40AEE" w:rsidRDefault="00A40AEE">
            <w:pPr>
              <w:cnfStyle w:val="000000010000" w:firstRow="0" w:lastRow="0" w:firstColumn="0" w:lastColumn="0" w:oddVBand="0" w:evenVBand="0" w:oddHBand="0" w:evenHBand="1" w:firstRowFirstColumn="0" w:firstRowLastColumn="0" w:lastRowFirstColumn="0" w:lastRowLastColumn="0"/>
            </w:pPr>
            <w:r>
              <w:t>End of April 2016</w:t>
            </w:r>
          </w:p>
        </w:tc>
      </w:tr>
    </w:tbl>
    <w:p w:rsidR="006A4F0A" w:rsidRDefault="006A4F0A" w:rsidP="006A4F0A">
      <w:pPr>
        <w:pStyle w:val="HeadingBoldItalic"/>
      </w:pPr>
      <w:r>
        <w:t>Transitional rules for the Victorian electricity businesses</w:t>
      </w:r>
    </w:p>
    <w:p w:rsidR="006A4F0A" w:rsidRDefault="006A4F0A" w:rsidP="006A4F0A">
      <w:r>
        <w:t>In November 2012, the AEMC introduced major changes to the economic regulation of electricity distributors under chapter 6 of the NER.</w:t>
      </w:r>
      <w:r>
        <w:rPr>
          <w:rStyle w:val="FootnoteReference"/>
        </w:rPr>
        <w:footnoteReference w:id="15"/>
      </w:r>
      <w:r>
        <w:t xml:space="preserve"> To allow consumers to receive the benefit of the new rules the AEMC made transitional rules under chapter 11 of the NER. </w:t>
      </w:r>
      <w:r w:rsidRPr="00EB1AF1">
        <w:t xml:space="preserve">The transitional provisions in chapter 11 of the NER effectively provide that a modified version of chapter 6 </w:t>
      </w:r>
      <w:r>
        <w:t xml:space="preserve">(version 58) </w:t>
      </w:r>
      <w:r w:rsidRPr="00EB1AF1">
        <w:t xml:space="preserve">governs the making of the </w:t>
      </w:r>
      <w:r>
        <w:t xml:space="preserve">Victorian distribution </w:t>
      </w:r>
      <w:r w:rsidRPr="00EB1AF1">
        <w:t>determinations</w:t>
      </w:r>
      <w:r>
        <w:t xml:space="preserve">. </w:t>
      </w:r>
    </w:p>
    <w:p w:rsidR="007F5134" w:rsidRDefault="0099349D" w:rsidP="007F5134">
      <w:bookmarkStart w:id="38" w:name="_Toc417973135"/>
      <w:bookmarkStart w:id="39" w:name="_Toc428354968"/>
      <w:bookmarkStart w:id="40" w:name="_Toc428956710"/>
      <w:bookmarkEnd w:id="36"/>
      <w:r>
        <w:t>Our p</w:t>
      </w:r>
      <w:r w:rsidR="007F5134" w:rsidRPr="000B3E2F">
        <w:t>reliminary decision for the 2016</w:t>
      </w:r>
      <w:r w:rsidR="007F5134">
        <w:t>–</w:t>
      </w:r>
      <w:r w:rsidR="007F5134" w:rsidRPr="000B3E2F">
        <w:t>20 regulatory control period will be the basis used for approving network prices in 2016. As required by the 'transitional arrangements' in th</w:t>
      </w:r>
      <w:r>
        <w:t>e NER, we will then revoke the p</w:t>
      </w:r>
      <w:r w:rsidR="007F5134" w:rsidRPr="000B3E2F">
        <w:t xml:space="preserve">reliminary decision and substitute it with a new distribution determination which takes effect at the date it is made and applies in respect of the 2016─20 regulatory control period (referred to as our </w:t>
      </w:r>
      <w:r w:rsidR="0040474D">
        <w:t>f</w:t>
      </w:r>
      <w:r w:rsidR="007F5134" w:rsidRPr="000B3E2F">
        <w:t xml:space="preserve">inal decision). The new distribution determination will provide for a revenue adjustment, as </w:t>
      </w:r>
      <w:r w:rsidR="007F5134" w:rsidRPr="000B3E2F">
        <w:lastRenderedPageBreak/>
        <w:t xml:space="preserve">specified in the NER, that incorporates adjustments of </w:t>
      </w:r>
      <w:r w:rsidR="00A13795">
        <w:t>Powercor’s</w:t>
      </w:r>
      <w:r w:rsidR="007F5134" w:rsidRPr="000B3E2F">
        <w:t xml:space="preserve"> revenues or prices over the regulatory control period to account for differences between the amount of the revenues and prices that we approved for the 2016 regulatory year in th</w:t>
      </w:r>
      <w:r>
        <w:t>e p</w:t>
      </w:r>
      <w:r w:rsidR="0040474D">
        <w:t>reliminary decision and in the f</w:t>
      </w:r>
      <w:r w:rsidR="007F5134" w:rsidRPr="000B3E2F">
        <w:t>inal decision.</w:t>
      </w:r>
    </w:p>
    <w:p w:rsidR="002F3C7B" w:rsidRDefault="002F3C7B" w:rsidP="002F3C7B">
      <w:pPr>
        <w:pStyle w:val="Heading1"/>
        <w:ind w:left="680" w:hanging="680"/>
      </w:pPr>
      <w:bookmarkStart w:id="41" w:name="_Toc433786794"/>
      <w:r>
        <w:lastRenderedPageBreak/>
        <w:t xml:space="preserve">Key elements of </w:t>
      </w:r>
      <w:bookmarkEnd w:id="38"/>
      <w:r>
        <w:t>decision on Powercor’s revenue</w:t>
      </w:r>
      <w:bookmarkEnd w:id="39"/>
      <w:bookmarkEnd w:id="40"/>
      <w:bookmarkEnd w:id="41"/>
    </w:p>
    <w:p w:rsidR="002F3C7B" w:rsidRPr="00112BF8" w:rsidRDefault="002F3C7B" w:rsidP="002F3C7B">
      <w:pPr>
        <w:numPr>
          <w:ilvl w:val="0"/>
          <w:numId w:val="24"/>
        </w:numPr>
      </w:pPr>
      <w:r w:rsidRPr="00112BF8">
        <w:t xml:space="preserve">We </w:t>
      </w:r>
      <w:r>
        <w:t>use</w:t>
      </w:r>
      <w:r w:rsidRPr="00112BF8">
        <w:t xml:space="preserve"> the building block approach to determine </w:t>
      </w:r>
      <w:r>
        <w:t>Powercor’s</w:t>
      </w:r>
      <w:r w:rsidRPr="00112BF8">
        <w:t xml:space="preserve"> annual revenue requirement</w:t>
      </w:r>
      <w:r>
        <w:t xml:space="preserve">. </w:t>
      </w:r>
      <w:r w:rsidRPr="00112BF8">
        <w:t>The building block costs</w:t>
      </w:r>
      <w:r>
        <w:t xml:space="preserve">, illustrated in figure </w:t>
      </w:r>
      <w:r w:rsidR="008F6524">
        <w:t>5</w:t>
      </w:r>
      <w:r>
        <w:t>,</w:t>
      </w:r>
      <w:r w:rsidRPr="00112BF8">
        <w:t xml:space="preserve"> include:</w:t>
      </w:r>
    </w:p>
    <w:p w:rsidR="002F3C7B" w:rsidRPr="00112BF8" w:rsidRDefault="002F3C7B" w:rsidP="002F3C7B">
      <w:pPr>
        <w:pStyle w:val="AERbulletlistfirststyle"/>
      </w:pPr>
      <w:r w:rsidRPr="00112BF8">
        <w:t xml:space="preserve">a return on the </w:t>
      </w:r>
      <w:r w:rsidR="003E55B6">
        <w:t>r</w:t>
      </w:r>
      <w:r w:rsidRPr="00112BF8">
        <w:t xml:space="preserve">egulatory </w:t>
      </w:r>
      <w:r w:rsidR="003E55B6">
        <w:t>a</w:t>
      </w:r>
      <w:r w:rsidRPr="00112BF8">
        <w:t xml:space="preserve">sset </w:t>
      </w:r>
      <w:r w:rsidR="003E55B6">
        <w:t>b</w:t>
      </w:r>
      <w:r w:rsidRPr="00112BF8">
        <w:t>ase (RAB) (return on capital)</w:t>
      </w:r>
    </w:p>
    <w:p w:rsidR="002F3C7B" w:rsidRPr="00112BF8" w:rsidRDefault="002F3C7B" w:rsidP="002F3C7B">
      <w:pPr>
        <w:pStyle w:val="AERbulletlistfirststyle"/>
      </w:pPr>
      <w:r w:rsidRPr="00112BF8">
        <w:t>depreciation of the RAB (return of capital)</w:t>
      </w:r>
    </w:p>
    <w:p w:rsidR="002F3C7B" w:rsidRPr="00112BF8" w:rsidRDefault="002F3C7B" w:rsidP="002F3C7B">
      <w:pPr>
        <w:pStyle w:val="AERbulletlistfirststyle"/>
      </w:pPr>
      <w:r w:rsidRPr="00112BF8">
        <w:t>forecast opex</w:t>
      </w:r>
    </w:p>
    <w:p w:rsidR="002F3C7B" w:rsidRPr="00112BF8" w:rsidRDefault="00841D6B" w:rsidP="002F3C7B">
      <w:pPr>
        <w:pStyle w:val="AERbulletlistfirststyle"/>
      </w:pPr>
      <w:r>
        <w:t xml:space="preserve">revenue </w:t>
      </w:r>
      <w:r w:rsidR="002F3C7B" w:rsidRPr="00112BF8">
        <w:t>increments or decrements resulting from incentive schemes such as the efficiency benefit sharing scheme (EBSS)</w:t>
      </w:r>
    </w:p>
    <w:p w:rsidR="002F3C7B" w:rsidRPr="00112BF8" w:rsidRDefault="002F3C7B" w:rsidP="002F3C7B">
      <w:pPr>
        <w:pStyle w:val="AERbulletlistfirststyle"/>
      </w:pPr>
      <w:r w:rsidRPr="00112BF8">
        <w:t xml:space="preserve">the estimated cost of corporate income tax. </w:t>
      </w:r>
    </w:p>
    <w:p w:rsidR="002F3C7B" w:rsidRPr="00112BF8" w:rsidRDefault="002F3C7B" w:rsidP="002F3C7B">
      <w:pPr>
        <w:numPr>
          <w:ilvl w:val="0"/>
          <w:numId w:val="24"/>
        </w:numPr>
      </w:pPr>
      <w:r w:rsidRPr="00112BF8">
        <w:t xml:space="preserve">Our assessment of capex directly affects the size of the RAB and therefore, the revenue generated from the return on capital and return of capital building blocks. </w:t>
      </w:r>
    </w:p>
    <w:p w:rsidR="002F3C7B" w:rsidRPr="00112BF8" w:rsidRDefault="002F3C7B" w:rsidP="002F3C7B">
      <w:pPr>
        <w:pStyle w:val="Caption"/>
      </w:pPr>
      <w:r w:rsidRPr="00112BF8">
        <w:t xml:space="preserve">Figure </w:t>
      </w:r>
      <w:r w:rsidR="008F6524">
        <w:t>5</w:t>
      </w:r>
      <w:r w:rsidRPr="00112BF8">
        <w:tab/>
        <w:t>The building block approach for determining total revenue</w:t>
      </w:r>
    </w:p>
    <w:p w:rsidR="002F3C7B" w:rsidRPr="00112BF8" w:rsidRDefault="00841D6B" w:rsidP="002F3C7B">
      <w:r>
        <w:rPr>
          <w:noProof/>
          <w:lang w:eastAsia="en-AU"/>
        </w:rPr>
        <w:drawing>
          <wp:inline distT="0" distB="0" distL="0" distR="0" wp14:anchorId="0C37FB97" wp14:editId="5ABB8880">
            <wp:extent cx="5382895" cy="3399723"/>
            <wp:effectExtent l="0" t="0" r="8255" b="0"/>
            <wp:docPr id="3" name="Picture 3"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82895" cy="3399723"/>
                    </a:xfrm>
                    <a:prstGeom prst="rect">
                      <a:avLst/>
                    </a:prstGeom>
                    <a:noFill/>
                    <a:ln>
                      <a:noFill/>
                    </a:ln>
                  </pic:spPr>
                </pic:pic>
              </a:graphicData>
            </a:graphic>
          </wp:inline>
        </w:drawing>
      </w:r>
    </w:p>
    <w:p w:rsidR="002F3C7B" w:rsidRPr="003E3873" w:rsidRDefault="002F3C7B" w:rsidP="002F3C7B">
      <w:r>
        <w:t>I</w:t>
      </w:r>
      <w:r w:rsidRPr="003E3873">
        <w:t>n setting our alternative overall revenue allowance</w:t>
      </w:r>
      <w:r>
        <w:t xml:space="preserve"> </w:t>
      </w:r>
      <w:r w:rsidRPr="003E3873">
        <w:t xml:space="preserve">for </w:t>
      </w:r>
      <w:r>
        <w:t>Powercor</w:t>
      </w:r>
      <w:r w:rsidRPr="003E3873">
        <w:t xml:space="preserve"> </w:t>
      </w:r>
      <w:r w:rsidRPr="004C1F16">
        <w:t xml:space="preserve">of </w:t>
      </w:r>
      <w:r w:rsidRPr="000A2EAB">
        <w:t>$</w:t>
      </w:r>
      <w:r w:rsidR="004C1F16" w:rsidRPr="000A2EAB">
        <w:t>3</w:t>
      </w:r>
      <w:r w:rsidR="00AA5F4A">
        <w:t>0</w:t>
      </w:r>
      <w:r w:rsidR="00B123B4">
        <w:t>8</w:t>
      </w:r>
      <w:r w:rsidR="00313A02">
        <w:t>5.8</w:t>
      </w:r>
      <w:r w:rsidR="004C1F16" w:rsidRPr="007B3355">
        <w:rPr>
          <w:rStyle w:val="AERbodytextChar"/>
          <w:rFonts w:eastAsiaTheme="minorHAnsi"/>
        </w:rPr>
        <w:t> </w:t>
      </w:r>
      <w:r>
        <w:t>million ($ nominal) for the 2016</w:t>
      </w:r>
      <w:r w:rsidRPr="003E3873">
        <w:t>–20 regulatory control period we:</w:t>
      </w:r>
    </w:p>
    <w:p w:rsidR="002F3C7B" w:rsidRPr="003E3873" w:rsidRDefault="002F3C7B" w:rsidP="002F3C7B">
      <w:pPr>
        <w:pStyle w:val="AERbulletlistfirststyle"/>
        <w:rPr>
          <w:rStyle w:val="AERbody"/>
        </w:rPr>
      </w:pPr>
      <w:r w:rsidRPr="003E3873">
        <w:rPr>
          <w:rStyle w:val="AERbody"/>
        </w:rPr>
        <w:lastRenderedPageBreak/>
        <w:t>apply relevant tests under the NER, the assessment methods and tools developed as part of our Better Regulation Guidelines</w:t>
      </w:r>
      <w:r>
        <w:rPr>
          <w:rStyle w:val="AERbody"/>
        </w:rPr>
        <w:t>.</w:t>
      </w:r>
      <w:r>
        <w:rPr>
          <w:rStyle w:val="FootnoteReference"/>
        </w:rPr>
        <w:footnoteReference w:id="16"/>
      </w:r>
      <w:r w:rsidRPr="003E3873">
        <w:rPr>
          <w:rStyle w:val="AERbody"/>
        </w:rPr>
        <w:t xml:space="preserve"> </w:t>
      </w:r>
      <w:r>
        <w:rPr>
          <w:rStyle w:val="AERbody"/>
        </w:rPr>
        <w:t xml:space="preserve">We also </w:t>
      </w:r>
      <w:r w:rsidRPr="003E3873">
        <w:rPr>
          <w:rStyle w:val="AERbody"/>
        </w:rPr>
        <w:t xml:space="preserve">consider information provided by </w:t>
      </w:r>
      <w:r w:rsidR="00A85AFD">
        <w:rPr>
          <w:rStyle w:val="AERbody"/>
        </w:rPr>
        <w:t>Powercor</w:t>
      </w:r>
      <w:r w:rsidRPr="003E3873">
        <w:rPr>
          <w:rStyle w:val="AERbody"/>
        </w:rPr>
        <w:t>, the C</w:t>
      </w:r>
      <w:r>
        <w:rPr>
          <w:rStyle w:val="AERbody"/>
        </w:rPr>
        <w:t>onsumer Challenge Panel (CCP)</w:t>
      </w:r>
      <w:r w:rsidRPr="003E3873">
        <w:rPr>
          <w:rStyle w:val="AERbody"/>
        </w:rPr>
        <w:t>, consultants and stakeholder submissions</w:t>
      </w:r>
    </w:p>
    <w:p w:rsidR="002F3C7B" w:rsidRDefault="002F3C7B" w:rsidP="002F3C7B">
      <w:pPr>
        <w:pStyle w:val="AERbulletlistfirststyle"/>
        <w:rPr>
          <w:rStyle w:val="AERbody"/>
        </w:rPr>
      </w:pPr>
      <w:r w:rsidRPr="003E3873">
        <w:rPr>
          <w:rStyle w:val="AERbody"/>
        </w:rPr>
        <w:t xml:space="preserve">consider our </w:t>
      </w:r>
      <w:r>
        <w:rPr>
          <w:rStyle w:val="AERbody"/>
        </w:rPr>
        <w:t xml:space="preserve">total </w:t>
      </w:r>
      <w:r w:rsidRPr="003E3873">
        <w:rPr>
          <w:rStyle w:val="AERbody"/>
        </w:rPr>
        <w:t xml:space="preserve">revenue allowance against section 16 of the NEL, including the constituent </w:t>
      </w:r>
      <w:r>
        <w:rPr>
          <w:rStyle w:val="AERbody"/>
        </w:rPr>
        <w:t>components</w:t>
      </w:r>
      <w:r w:rsidRPr="003E3873">
        <w:rPr>
          <w:rStyle w:val="AERbody"/>
        </w:rPr>
        <w:t xml:space="preserve"> and the interrelationships</w:t>
      </w:r>
      <w:r>
        <w:rPr>
          <w:rStyle w:val="AERbody"/>
        </w:rPr>
        <w:t>.</w:t>
      </w:r>
    </w:p>
    <w:p w:rsidR="002F3C7B" w:rsidRPr="00B470AF" w:rsidRDefault="000A2EAB" w:rsidP="00B470AF">
      <w:r w:rsidRPr="00B470AF">
        <w:t>T</w:t>
      </w:r>
      <w:r w:rsidR="00C0460B" w:rsidRPr="00B470AF">
        <w:t>able 3</w:t>
      </w:r>
      <w:r w:rsidR="002F3C7B" w:rsidRPr="00B470AF">
        <w:t xml:space="preserve"> show</w:t>
      </w:r>
      <w:r w:rsidRPr="00B470AF">
        <w:t>s</w:t>
      </w:r>
      <w:r w:rsidR="002F3C7B" w:rsidRPr="00B470AF">
        <w:t xml:space="preserve"> our </w:t>
      </w:r>
      <w:r w:rsidR="00A85AFD" w:rsidRPr="00B470AF">
        <w:t xml:space="preserve">preliminary </w:t>
      </w:r>
      <w:r w:rsidR="002F3C7B" w:rsidRPr="00B470AF">
        <w:t xml:space="preserve">decision on Powercor’s revenues and </w:t>
      </w:r>
      <w:r w:rsidR="00626386" w:rsidRPr="00D64B04">
        <w:t>the building block</w:t>
      </w:r>
      <w:r w:rsidR="00626386">
        <w:t xml:space="preserve"> components</w:t>
      </w:r>
      <w:r w:rsidR="002F3C7B" w:rsidRPr="00B470AF">
        <w:t>.</w:t>
      </w:r>
    </w:p>
    <w:p w:rsidR="002F3C7B" w:rsidRPr="000D667E" w:rsidRDefault="00C0460B" w:rsidP="002F3C7B">
      <w:pPr>
        <w:pStyle w:val="Caption"/>
      </w:pPr>
      <w:r>
        <w:t>Table 3</w:t>
      </w:r>
      <w:r w:rsidR="002F3C7B">
        <w:tab/>
        <w:t xml:space="preserve">AER's </w:t>
      </w:r>
      <w:r w:rsidR="0099349D">
        <w:t>p</w:t>
      </w:r>
      <w:r w:rsidR="00A85AFD">
        <w:t xml:space="preserve">reliminary </w:t>
      </w:r>
      <w:r w:rsidR="002F3C7B">
        <w:t>decision on Powercor’s revenues ($ million, nominal)</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2F3C7B" w:rsidTr="00A85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F3C7B" w:rsidRPr="00012781" w:rsidRDefault="002F3C7B" w:rsidP="00A85AFD"/>
        </w:tc>
        <w:tc>
          <w:tcPr>
            <w:tcW w:w="1029" w:type="dxa"/>
          </w:tcPr>
          <w:p w:rsidR="002F3C7B" w:rsidRPr="007B3355" w:rsidRDefault="004C1F16" w:rsidP="00A85AFD">
            <w:pPr>
              <w:cnfStyle w:val="100000000000" w:firstRow="1" w:lastRow="0" w:firstColumn="0" w:lastColumn="0" w:oddVBand="0" w:evenVBand="0" w:oddHBand="0" w:evenHBand="0" w:firstRowFirstColumn="0" w:firstRowLastColumn="0" w:lastRowFirstColumn="0" w:lastRowLastColumn="0"/>
            </w:pPr>
            <w:r>
              <w:t>20</w:t>
            </w:r>
            <w:r w:rsidR="002F3C7B" w:rsidRPr="007B3355">
              <w:t>16</w:t>
            </w:r>
          </w:p>
        </w:tc>
        <w:tc>
          <w:tcPr>
            <w:tcW w:w="1029" w:type="dxa"/>
          </w:tcPr>
          <w:p w:rsidR="002F3C7B" w:rsidRPr="007B3355" w:rsidRDefault="004C1F16" w:rsidP="00A85AFD">
            <w:pPr>
              <w:cnfStyle w:val="100000000000" w:firstRow="1" w:lastRow="0" w:firstColumn="0" w:lastColumn="0" w:oddVBand="0" w:evenVBand="0" w:oddHBand="0" w:evenHBand="0" w:firstRowFirstColumn="0" w:firstRowLastColumn="0" w:lastRowFirstColumn="0" w:lastRowLastColumn="0"/>
            </w:pPr>
            <w:r>
              <w:t>20</w:t>
            </w:r>
            <w:r w:rsidR="002F3C7B" w:rsidRPr="007B3355">
              <w:t>17</w:t>
            </w:r>
          </w:p>
        </w:tc>
        <w:tc>
          <w:tcPr>
            <w:tcW w:w="1029" w:type="dxa"/>
          </w:tcPr>
          <w:p w:rsidR="002F3C7B" w:rsidRPr="007B3355" w:rsidRDefault="004C1F16" w:rsidP="00A85AFD">
            <w:pPr>
              <w:cnfStyle w:val="100000000000" w:firstRow="1" w:lastRow="0" w:firstColumn="0" w:lastColumn="0" w:oddVBand="0" w:evenVBand="0" w:oddHBand="0" w:evenHBand="0" w:firstRowFirstColumn="0" w:firstRowLastColumn="0" w:lastRowFirstColumn="0" w:lastRowLastColumn="0"/>
            </w:pPr>
            <w:r>
              <w:t>20</w:t>
            </w:r>
            <w:r w:rsidR="002F3C7B" w:rsidRPr="007B3355">
              <w:t>18</w:t>
            </w:r>
          </w:p>
        </w:tc>
        <w:tc>
          <w:tcPr>
            <w:tcW w:w="1029" w:type="dxa"/>
          </w:tcPr>
          <w:p w:rsidR="002F3C7B" w:rsidRPr="007B3355" w:rsidRDefault="004C1F16" w:rsidP="00A85AFD">
            <w:pPr>
              <w:cnfStyle w:val="100000000000" w:firstRow="1" w:lastRow="0" w:firstColumn="0" w:lastColumn="0" w:oddVBand="0" w:evenVBand="0" w:oddHBand="0" w:evenHBand="0" w:firstRowFirstColumn="0" w:firstRowLastColumn="0" w:lastRowFirstColumn="0" w:lastRowLastColumn="0"/>
            </w:pPr>
            <w:r>
              <w:t>20</w:t>
            </w:r>
            <w:r w:rsidR="002F3C7B" w:rsidRPr="007B3355">
              <w:t>19</w:t>
            </w:r>
          </w:p>
        </w:tc>
        <w:tc>
          <w:tcPr>
            <w:tcW w:w="1029" w:type="dxa"/>
          </w:tcPr>
          <w:p w:rsidR="002F3C7B" w:rsidRPr="007B3355" w:rsidRDefault="004C1F16" w:rsidP="00A85AFD">
            <w:pPr>
              <w:cnfStyle w:val="100000000000" w:firstRow="1" w:lastRow="0" w:firstColumn="0" w:lastColumn="0" w:oddVBand="0" w:evenVBand="0" w:oddHBand="0" w:evenHBand="0" w:firstRowFirstColumn="0" w:firstRowLastColumn="0" w:lastRowFirstColumn="0" w:lastRowLastColumn="0"/>
            </w:pPr>
            <w:r>
              <w:t>20</w:t>
            </w:r>
            <w:r w:rsidR="002F3C7B" w:rsidRPr="007B3355">
              <w:t>20</w:t>
            </w:r>
          </w:p>
        </w:tc>
        <w:tc>
          <w:tcPr>
            <w:tcW w:w="1030" w:type="dxa"/>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012781">
              <w:t>Total</w:t>
            </w:r>
          </w:p>
        </w:tc>
      </w:tr>
      <w:tr w:rsidR="00B123B4" w:rsidTr="00A40AEE">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B123B4" w:rsidRPr="007B3355" w:rsidRDefault="00B123B4" w:rsidP="00A85AFD">
            <w:r w:rsidRPr="00BC07C3">
              <w:t>Return on capital</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201.2</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215.7</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230.8</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246.3</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261.1</w:t>
            </w:r>
          </w:p>
        </w:tc>
        <w:tc>
          <w:tcPr>
            <w:tcW w:w="1030"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1155.1</w:t>
            </w:r>
          </w:p>
        </w:tc>
      </w:tr>
      <w:tr w:rsidR="00B123B4"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123B4" w:rsidRPr="007B3355" w:rsidRDefault="00B123B4" w:rsidP="00A85AFD">
            <w:r w:rsidRPr="00BC07C3">
              <w:t>Regulatory depreciation</w:t>
            </w:r>
            <w:r w:rsidRPr="007B3355">
              <w:rPr>
                <w:rStyle w:val="AERsuperscript"/>
              </w:rPr>
              <w:t>a</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102.3</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89.6</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96.6</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105.8</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108.9</w:t>
            </w:r>
          </w:p>
        </w:tc>
        <w:tc>
          <w:tcPr>
            <w:tcW w:w="1030"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503.2</w:t>
            </w:r>
          </w:p>
        </w:tc>
      </w:tr>
      <w:tr w:rsidR="00B123B4" w:rsidTr="00A40AEE">
        <w:tc>
          <w:tcPr>
            <w:cnfStyle w:val="001000000000" w:firstRow="0" w:lastRow="0" w:firstColumn="1" w:lastColumn="0" w:oddVBand="0" w:evenVBand="0" w:oddHBand="0" w:evenHBand="0" w:firstRowFirstColumn="0" w:firstRowLastColumn="0" w:lastRowFirstColumn="0" w:lastRowLastColumn="0"/>
            <w:tcW w:w="2518" w:type="dxa"/>
          </w:tcPr>
          <w:p w:rsidR="00B123B4" w:rsidRPr="007B3355" w:rsidRDefault="00B123B4" w:rsidP="00A85AFD">
            <w:r w:rsidRPr="00BC07C3">
              <w:t>Operating expenditure</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228.6</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238.5</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250.6</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262.6</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275.6</w:t>
            </w:r>
          </w:p>
        </w:tc>
        <w:tc>
          <w:tcPr>
            <w:tcW w:w="1030"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1255.9</w:t>
            </w:r>
          </w:p>
        </w:tc>
      </w:tr>
      <w:tr w:rsidR="00B123B4"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123B4" w:rsidRPr="007B3355" w:rsidRDefault="00B123B4" w:rsidP="00A85AFD">
            <w:r w:rsidRPr="00BC07C3">
              <w:t>Revenue adjustments</w:t>
            </w:r>
            <w:r w:rsidRPr="007B3355">
              <w:rPr>
                <w:rStyle w:val="AERsuperscript"/>
              </w:rPr>
              <w:t>b</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4.2</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-2.7</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3.3</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11.5</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0.7</w:t>
            </w:r>
          </w:p>
        </w:tc>
        <w:tc>
          <w:tcPr>
            <w:tcW w:w="1030"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16.9</w:t>
            </w:r>
          </w:p>
        </w:tc>
      </w:tr>
      <w:tr w:rsidR="00B123B4" w:rsidTr="00A40AEE">
        <w:tc>
          <w:tcPr>
            <w:cnfStyle w:val="001000000000" w:firstRow="0" w:lastRow="0" w:firstColumn="1" w:lastColumn="0" w:oddVBand="0" w:evenVBand="0" w:oddHBand="0" w:evenHBand="0" w:firstRowFirstColumn="0" w:firstRowLastColumn="0" w:lastRowFirstColumn="0" w:lastRowLastColumn="0"/>
            <w:tcW w:w="2518" w:type="dxa"/>
          </w:tcPr>
          <w:p w:rsidR="00B123B4" w:rsidRPr="007B3355" w:rsidRDefault="00B123B4" w:rsidP="00A85AFD">
            <w:r w:rsidRPr="00BC07C3">
              <w:t>Corporate tax allowance</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37.6</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33.2</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30.7</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33.0</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32.6</w:t>
            </w:r>
          </w:p>
        </w:tc>
        <w:tc>
          <w:tcPr>
            <w:tcW w:w="1030"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167.0</w:t>
            </w:r>
          </w:p>
        </w:tc>
      </w:tr>
      <w:tr w:rsidR="00B123B4" w:rsidRPr="00E444F2"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123B4" w:rsidRPr="00E444F2" w:rsidRDefault="00B123B4" w:rsidP="00E444F2">
            <w:r w:rsidRPr="00E444F2">
              <w:t>Annual revenue requirement (unsmoothed)</w:t>
            </w:r>
          </w:p>
        </w:tc>
        <w:tc>
          <w:tcPr>
            <w:tcW w:w="1029" w:type="dxa"/>
            <w:vAlign w:val="bottom"/>
          </w:tcPr>
          <w:p w:rsidR="00B123B4" w:rsidRPr="00E444F2" w:rsidRDefault="00B123B4" w:rsidP="00E444F2">
            <w:pPr>
              <w:cnfStyle w:val="000000010000" w:firstRow="0" w:lastRow="0" w:firstColumn="0" w:lastColumn="0" w:oddVBand="0" w:evenVBand="0" w:oddHBand="0" w:evenHBand="1" w:firstRowFirstColumn="0" w:firstRowLastColumn="0" w:lastRowFirstColumn="0" w:lastRowLastColumn="0"/>
            </w:pPr>
            <w:r w:rsidRPr="00E444F2">
              <w:t>573.8</w:t>
            </w:r>
          </w:p>
        </w:tc>
        <w:tc>
          <w:tcPr>
            <w:tcW w:w="1029" w:type="dxa"/>
            <w:vAlign w:val="bottom"/>
          </w:tcPr>
          <w:p w:rsidR="00B123B4" w:rsidRPr="00E444F2" w:rsidRDefault="00B123B4" w:rsidP="00E444F2">
            <w:pPr>
              <w:cnfStyle w:val="000000010000" w:firstRow="0" w:lastRow="0" w:firstColumn="0" w:lastColumn="0" w:oddVBand="0" w:evenVBand="0" w:oddHBand="0" w:evenHBand="1" w:firstRowFirstColumn="0" w:firstRowLastColumn="0" w:lastRowFirstColumn="0" w:lastRowLastColumn="0"/>
            </w:pPr>
            <w:r w:rsidRPr="00E444F2">
              <w:t>574.2</w:t>
            </w:r>
          </w:p>
        </w:tc>
        <w:tc>
          <w:tcPr>
            <w:tcW w:w="1029" w:type="dxa"/>
            <w:vAlign w:val="bottom"/>
          </w:tcPr>
          <w:p w:rsidR="00B123B4" w:rsidRPr="00E444F2" w:rsidRDefault="00B123B4" w:rsidP="00E444F2">
            <w:pPr>
              <w:cnfStyle w:val="000000010000" w:firstRow="0" w:lastRow="0" w:firstColumn="0" w:lastColumn="0" w:oddVBand="0" w:evenVBand="0" w:oddHBand="0" w:evenHBand="1" w:firstRowFirstColumn="0" w:firstRowLastColumn="0" w:lastRowFirstColumn="0" w:lastRowLastColumn="0"/>
            </w:pPr>
            <w:r w:rsidRPr="00E444F2">
              <w:t>612.0</w:t>
            </w:r>
          </w:p>
        </w:tc>
        <w:tc>
          <w:tcPr>
            <w:tcW w:w="1029" w:type="dxa"/>
            <w:vAlign w:val="bottom"/>
          </w:tcPr>
          <w:p w:rsidR="00B123B4" w:rsidRPr="00E444F2" w:rsidRDefault="00B123B4" w:rsidP="00E444F2">
            <w:pPr>
              <w:cnfStyle w:val="000000010000" w:firstRow="0" w:lastRow="0" w:firstColumn="0" w:lastColumn="0" w:oddVBand="0" w:evenVBand="0" w:oddHBand="0" w:evenHBand="1" w:firstRowFirstColumn="0" w:firstRowLastColumn="0" w:lastRowFirstColumn="0" w:lastRowLastColumn="0"/>
            </w:pPr>
            <w:r w:rsidRPr="00E444F2">
              <w:t>659.2</w:t>
            </w:r>
          </w:p>
        </w:tc>
        <w:tc>
          <w:tcPr>
            <w:tcW w:w="1029" w:type="dxa"/>
            <w:vAlign w:val="bottom"/>
          </w:tcPr>
          <w:p w:rsidR="00B123B4" w:rsidRPr="00E444F2" w:rsidRDefault="00B123B4" w:rsidP="00E444F2">
            <w:pPr>
              <w:cnfStyle w:val="000000010000" w:firstRow="0" w:lastRow="0" w:firstColumn="0" w:lastColumn="0" w:oddVBand="0" w:evenVBand="0" w:oddHBand="0" w:evenHBand="1" w:firstRowFirstColumn="0" w:firstRowLastColumn="0" w:lastRowFirstColumn="0" w:lastRowLastColumn="0"/>
            </w:pPr>
            <w:r w:rsidRPr="00E444F2">
              <w:t>678.8</w:t>
            </w:r>
          </w:p>
        </w:tc>
        <w:tc>
          <w:tcPr>
            <w:tcW w:w="1030" w:type="dxa"/>
            <w:vAlign w:val="bottom"/>
          </w:tcPr>
          <w:p w:rsidR="00B123B4" w:rsidRPr="00E444F2" w:rsidRDefault="00B123B4" w:rsidP="00E444F2">
            <w:pPr>
              <w:cnfStyle w:val="000000010000" w:firstRow="0" w:lastRow="0" w:firstColumn="0" w:lastColumn="0" w:oddVBand="0" w:evenVBand="0" w:oddHBand="0" w:evenHBand="1" w:firstRowFirstColumn="0" w:firstRowLastColumn="0" w:lastRowFirstColumn="0" w:lastRowLastColumn="0"/>
            </w:pPr>
            <w:r w:rsidRPr="00E444F2">
              <w:t>3098.0</w:t>
            </w:r>
          </w:p>
        </w:tc>
      </w:tr>
      <w:tr w:rsidR="00B123B4" w:rsidTr="00A40AEE">
        <w:tc>
          <w:tcPr>
            <w:cnfStyle w:val="001000000000" w:firstRow="0" w:lastRow="0" w:firstColumn="1" w:lastColumn="0" w:oddVBand="0" w:evenVBand="0" w:oddHBand="0" w:evenHBand="0" w:firstRowFirstColumn="0" w:firstRowLastColumn="0" w:lastRowFirstColumn="0" w:lastRowLastColumn="0"/>
            <w:tcW w:w="2518" w:type="dxa"/>
          </w:tcPr>
          <w:p w:rsidR="00B123B4" w:rsidRPr="007B3355" w:rsidRDefault="00B123B4" w:rsidP="00A85AFD">
            <w:r w:rsidRPr="00BC07C3">
              <w:t>X factor</w:t>
            </w:r>
            <w:r w:rsidRPr="007B3355">
              <w:rPr>
                <w:rStyle w:val="AERsuperscript"/>
              </w:rPr>
              <w:t xml:space="preserve">c </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7.96%</w:t>
            </w:r>
          </w:p>
        </w:tc>
        <w:tc>
          <w:tcPr>
            <w:tcW w:w="1029"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7.96%</w:t>
            </w:r>
          </w:p>
        </w:tc>
        <w:tc>
          <w:tcPr>
            <w:tcW w:w="1029" w:type="dxa"/>
            <w:vAlign w:val="bottom"/>
          </w:tcPr>
          <w:p w:rsidR="00B123B4" w:rsidRPr="00B123B4" w:rsidRDefault="006949C6" w:rsidP="00B123B4">
            <w:pPr>
              <w:cnfStyle w:val="000000000000" w:firstRow="0" w:lastRow="0" w:firstColumn="0" w:lastColumn="0" w:oddVBand="0" w:evenVBand="0" w:oddHBand="0" w:evenHBand="0" w:firstRowFirstColumn="0" w:firstRowLastColumn="0" w:lastRowFirstColumn="0" w:lastRowLastColumn="0"/>
            </w:pPr>
            <w:r>
              <w:t>–</w:t>
            </w:r>
            <w:r w:rsidR="00B123B4" w:rsidRPr="00B123B4">
              <w:t>0.75%</w:t>
            </w:r>
          </w:p>
        </w:tc>
        <w:tc>
          <w:tcPr>
            <w:tcW w:w="1029" w:type="dxa"/>
            <w:vAlign w:val="bottom"/>
          </w:tcPr>
          <w:p w:rsidR="00B123B4" w:rsidRPr="00B123B4" w:rsidRDefault="006949C6" w:rsidP="00B123B4">
            <w:pPr>
              <w:cnfStyle w:val="000000000000" w:firstRow="0" w:lastRow="0" w:firstColumn="0" w:lastColumn="0" w:oddVBand="0" w:evenVBand="0" w:oddHBand="0" w:evenHBand="0" w:firstRowFirstColumn="0" w:firstRowLastColumn="0" w:lastRowFirstColumn="0" w:lastRowLastColumn="0"/>
            </w:pPr>
            <w:r>
              <w:t>–</w:t>
            </w:r>
            <w:r w:rsidR="00B123B4" w:rsidRPr="00B123B4">
              <w:t>0.75%</w:t>
            </w:r>
          </w:p>
        </w:tc>
        <w:tc>
          <w:tcPr>
            <w:tcW w:w="1029" w:type="dxa"/>
            <w:vAlign w:val="bottom"/>
          </w:tcPr>
          <w:p w:rsidR="00B123B4" w:rsidRPr="00B123B4" w:rsidRDefault="006949C6" w:rsidP="00B123B4">
            <w:pPr>
              <w:cnfStyle w:val="000000000000" w:firstRow="0" w:lastRow="0" w:firstColumn="0" w:lastColumn="0" w:oddVBand="0" w:evenVBand="0" w:oddHBand="0" w:evenHBand="0" w:firstRowFirstColumn="0" w:firstRowLastColumn="0" w:lastRowFirstColumn="0" w:lastRowLastColumn="0"/>
            </w:pPr>
            <w:r>
              <w:t>–</w:t>
            </w:r>
            <w:r w:rsidR="00B123B4" w:rsidRPr="00B123B4">
              <w:t>0.75%</w:t>
            </w:r>
          </w:p>
        </w:tc>
        <w:tc>
          <w:tcPr>
            <w:tcW w:w="1030" w:type="dxa"/>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n/a</w:t>
            </w:r>
          </w:p>
        </w:tc>
      </w:tr>
      <w:tr w:rsidR="00B123B4" w:rsidRPr="00B123B4" w:rsidTr="00A40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123B4" w:rsidRPr="00B123B4" w:rsidRDefault="00B123B4" w:rsidP="00A85AFD">
            <w:pPr>
              <w:rPr>
                <w:rStyle w:val="Strong"/>
              </w:rPr>
            </w:pPr>
            <w:r w:rsidRPr="00B123B4">
              <w:rPr>
                <w:rStyle w:val="Strong"/>
              </w:rPr>
              <w:t>Annual expected revenue (smoothed)</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rPr>
                <w:rStyle w:val="Strong"/>
              </w:rPr>
            </w:pPr>
            <w:r w:rsidRPr="00B123B4">
              <w:rPr>
                <w:rStyle w:val="Strong"/>
              </w:rPr>
              <w:t>621.8</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rPr>
                <w:rStyle w:val="Strong"/>
              </w:rPr>
            </w:pPr>
            <w:r w:rsidRPr="00B123B4">
              <w:rPr>
                <w:rStyle w:val="Strong"/>
              </w:rPr>
              <w:t>586.6</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rPr>
                <w:rStyle w:val="Strong"/>
              </w:rPr>
            </w:pPr>
            <w:r w:rsidRPr="00B123B4">
              <w:rPr>
                <w:rStyle w:val="Strong"/>
              </w:rPr>
              <w:t>605.8</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rPr>
                <w:rStyle w:val="Strong"/>
              </w:rPr>
            </w:pPr>
            <w:r w:rsidRPr="00B123B4">
              <w:rPr>
                <w:rStyle w:val="Strong"/>
              </w:rPr>
              <w:t>625.6</w:t>
            </w:r>
          </w:p>
        </w:tc>
        <w:tc>
          <w:tcPr>
            <w:tcW w:w="1029"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rPr>
                <w:rStyle w:val="Strong"/>
              </w:rPr>
            </w:pPr>
            <w:r w:rsidRPr="00B123B4">
              <w:rPr>
                <w:rStyle w:val="Strong"/>
              </w:rPr>
              <w:t>646.0</w:t>
            </w:r>
          </w:p>
        </w:tc>
        <w:tc>
          <w:tcPr>
            <w:tcW w:w="1030" w:type="dxa"/>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rPr>
                <w:rStyle w:val="Strong"/>
              </w:rPr>
            </w:pPr>
            <w:r w:rsidRPr="00B123B4">
              <w:rPr>
                <w:rStyle w:val="Strong"/>
              </w:rPr>
              <w:t>3085.8</w:t>
            </w:r>
          </w:p>
        </w:tc>
      </w:tr>
    </w:tbl>
    <w:p w:rsidR="002F3C7B" w:rsidRPr="00012781" w:rsidRDefault="002F3C7B" w:rsidP="002F3C7B">
      <w:pPr>
        <w:pStyle w:val="AERtablesource"/>
      </w:pPr>
      <w:r w:rsidRPr="00012781">
        <w:t xml:space="preserve">Source: </w:t>
      </w:r>
      <w:r w:rsidRPr="00012781">
        <w:tab/>
        <w:t>AER analysis.</w:t>
      </w:r>
    </w:p>
    <w:p w:rsidR="002F3C7B" w:rsidRPr="00012781" w:rsidRDefault="002F3C7B" w:rsidP="002F3C7B">
      <w:pPr>
        <w:pStyle w:val="AERtablesource"/>
      </w:pPr>
      <w:r w:rsidRPr="00012781">
        <w:t xml:space="preserve">(a) </w:t>
      </w:r>
      <w:r w:rsidRPr="00012781">
        <w:tab/>
        <w:t xml:space="preserve">Regulatory depreciation is straight-line depreciation net of the inflation indexation on the opening RAB. </w:t>
      </w:r>
    </w:p>
    <w:p w:rsidR="002F3C7B" w:rsidRDefault="002F3C7B" w:rsidP="002F3C7B">
      <w:pPr>
        <w:pStyle w:val="AERtablesource"/>
      </w:pPr>
      <w:r w:rsidRPr="00012781">
        <w:t>(b)</w:t>
      </w:r>
      <w:r w:rsidRPr="00012781">
        <w:tab/>
      </w:r>
      <w:r>
        <w:t>Revenue adjustments include efficiency benefit sharing scheme carry-overs, forecast DMIA</w:t>
      </w:r>
      <w:r w:rsidR="001E70CF">
        <w:t xml:space="preserve"> </w:t>
      </w:r>
      <w:r>
        <w:t xml:space="preserve">and </w:t>
      </w:r>
      <w:r w:rsidR="00E444F2">
        <w:t>2010</w:t>
      </w:r>
      <w:r w:rsidR="004C1F16">
        <w:t xml:space="preserve"> </w:t>
      </w:r>
      <w:r w:rsidR="00E444F2">
        <w:t>S</w:t>
      </w:r>
      <w:r w:rsidR="004C1F16">
        <w:t>-factor scheme close</w:t>
      </w:r>
      <w:r w:rsidR="00E444F2">
        <w:t xml:space="preserve"> </w:t>
      </w:r>
      <w:r w:rsidR="004C1F16">
        <w:t>out</w:t>
      </w:r>
      <w:r>
        <w:t>.</w:t>
      </w:r>
      <w:r w:rsidRPr="00012781">
        <w:t xml:space="preserve"> </w:t>
      </w:r>
    </w:p>
    <w:p w:rsidR="002F3C7B" w:rsidRDefault="002F3C7B" w:rsidP="002F3C7B">
      <w:pPr>
        <w:pStyle w:val="AERtablesource"/>
      </w:pPr>
      <w:r>
        <w:t xml:space="preserve">(c) </w:t>
      </w:r>
      <w:r>
        <w:tab/>
      </w:r>
      <w:r w:rsidRPr="00266E3C">
        <w:t>The X factor</w:t>
      </w:r>
      <w:r>
        <w:t>s</w:t>
      </w:r>
      <w:r w:rsidRPr="00266E3C">
        <w:t xml:space="preserve"> </w:t>
      </w:r>
      <w:r w:rsidR="004C1F16">
        <w:t>from 2017 to 20</w:t>
      </w:r>
      <w:r>
        <w:t xml:space="preserve">20 </w:t>
      </w:r>
      <w:r w:rsidRPr="00266E3C">
        <w:t xml:space="preserve">will be revised </w:t>
      </w:r>
      <w:r>
        <w:t>t</w:t>
      </w:r>
      <w:r w:rsidRPr="00266E3C">
        <w:t>o reflect the annual return on debt update.</w:t>
      </w:r>
      <w:r>
        <w:t xml:space="preserve"> </w:t>
      </w:r>
    </w:p>
    <w:p w:rsidR="002F3C7B" w:rsidRDefault="002F3C7B" w:rsidP="002F3C7B">
      <w:pPr>
        <w:pStyle w:val="Heading2"/>
        <w:ind w:left="680" w:hanging="680"/>
      </w:pPr>
      <w:bookmarkStart w:id="42" w:name="_Toc417973137"/>
      <w:bookmarkStart w:id="43" w:name="_Toc428354969"/>
      <w:bookmarkStart w:id="44" w:name="_Toc428956711"/>
      <w:bookmarkStart w:id="45" w:name="_Toc433786795"/>
      <w:r>
        <w:t>Regulatory asset base</w:t>
      </w:r>
      <w:bookmarkEnd w:id="42"/>
      <w:bookmarkEnd w:id="43"/>
      <w:bookmarkEnd w:id="44"/>
      <w:bookmarkEnd w:id="45"/>
    </w:p>
    <w:p w:rsidR="006010D1" w:rsidRDefault="002F3C7B" w:rsidP="002F3C7B">
      <w:pPr>
        <w:numPr>
          <w:ilvl w:val="0"/>
          <w:numId w:val="24"/>
        </w:numPr>
        <w:rPr>
          <w:rStyle w:val="AERbody"/>
        </w:rPr>
      </w:pPr>
      <w:r w:rsidRPr="009F4C42">
        <w:t xml:space="preserve">The RAB is the value of </w:t>
      </w:r>
      <w:r>
        <w:t>Powercor’s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Powercor</w:t>
      </w:r>
      <w:r w:rsidRPr="009F4C42">
        <w:t xml:space="preserve"> earns a return on capital</w:t>
      </w:r>
      <w:r>
        <w:t xml:space="preserve">, and </w:t>
      </w:r>
      <w:r w:rsidRPr="009F4C42">
        <w:t>a depreciation allowance (return of capital).</w:t>
      </w:r>
      <w:r>
        <w:t xml:space="preserve"> W</w:t>
      </w:r>
      <w:r w:rsidRPr="009F4C42">
        <w:t xml:space="preserve">e assess </w:t>
      </w:r>
      <w:r>
        <w:t>Powercor’s</w:t>
      </w:r>
      <w:r w:rsidRPr="009F4C42">
        <w:t xml:space="preserve"> proposed opening value for the RAB for each year of the 201</w:t>
      </w:r>
      <w:r>
        <w:t>6</w:t>
      </w:r>
      <w:r w:rsidRPr="009F4C42">
        <w:t>–</w:t>
      </w:r>
      <w:r>
        <w:t>20</w:t>
      </w:r>
      <w:r w:rsidRPr="009F4C42">
        <w:t xml:space="preserve"> regulatory control period.</w:t>
      </w:r>
      <w:r w:rsidRPr="00112BF8">
        <w:rPr>
          <w:rStyle w:val="FootnoteReference"/>
        </w:rPr>
        <w:footnoteReference w:id="17"/>
      </w:r>
      <w:r w:rsidRPr="009F4C42">
        <w:t xml:space="preserve"> </w:t>
      </w:r>
    </w:p>
    <w:p w:rsidR="00E444F2" w:rsidRDefault="006010D1" w:rsidP="00E444F2">
      <w:pPr>
        <w:rPr>
          <w:rStyle w:val="AERbody"/>
        </w:rPr>
      </w:pPr>
      <w:r>
        <w:rPr>
          <w:rStyle w:val="AERbody"/>
        </w:rPr>
        <w:t>Our preliminary decision is to set Powerco</w:t>
      </w:r>
      <w:r w:rsidR="009809DB">
        <w:rPr>
          <w:rStyle w:val="AERbody"/>
        </w:rPr>
        <w:t>r</w:t>
      </w:r>
      <w:r>
        <w:rPr>
          <w:rStyle w:val="AERbody"/>
        </w:rPr>
        <w:t>’s opening RAB at $33</w:t>
      </w:r>
      <w:r w:rsidR="004C1F16">
        <w:rPr>
          <w:rStyle w:val="AERbody"/>
        </w:rPr>
        <w:t>44.4</w:t>
      </w:r>
      <w:r>
        <w:rPr>
          <w:rStyle w:val="AERbody"/>
        </w:rPr>
        <w:t xml:space="preserve"> ($ nominal) as at 1 January 2016. </w:t>
      </w:r>
      <w:r w:rsidR="00E444F2" w:rsidRPr="008B20E4">
        <w:rPr>
          <w:rStyle w:val="AERbody"/>
        </w:rPr>
        <w:t xml:space="preserve">This is because we have amended </w:t>
      </w:r>
      <w:r w:rsidR="00E444F2">
        <w:rPr>
          <w:rStyle w:val="AERbody"/>
        </w:rPr>
        <w:t>Powercor's</w:t>
      </w:r>
      <w:r w:rsidR="00E444F2" w:rsidRPr="008B20E4">
        <w:rPr>
          <w:rStyle w:val="AERbody"/>
        </w:rPr>
        <w:t xml:space="preserve"> propos</w:t>
      </w:r>
      <w:r w:rsidR="00E444F2">
        <w:rPr>
          <w:rStyle w:val="AERbody"/>
        </w:rPr>
        <w:t>al</w:t>
      </w:r>
      <w:r w:rsidR="00E444F2" w:rsidRPr="008B20E4">
        <w:rPr>
          <w:rStyle w:val="AERbody"/>
        </w:rPr>
        <w:t xml:space="preserve"> to correct </w:t>
      </w:r>
      <w:r w:rsidR="00E444F2">
        <w:rPr>
          <w:rStyle w:val="AERbody"/>
        </w:rPr>
        <w:lastRenderedPageBreak/>
        <w:t>a number of input errors to the model used by Powercor to roll forward the RAB. These amendments include:</w:t>
      </w:r>
    </w:p>
    <w:p w:rsidR="00E444F2" w:rsidRDefault="00E444F2" w:rsidP="00E444F2">
      <w:pPr>
        <w:pStyle w:val="AERbulletlistfirststyle"/>
        <w:rPr>
          <w:rStyle w:val="AERbody"/>
        </w:rPr>
      </w:pPr>
      <w:r w:rsidRPr="005E7332">
        <w:rPr>
          <w:rStyle w:val="AERbody"/>
        </w:rPr>
        <w:t>correcting the annual actual inflation rates for RAB indexation</w:t>
      </w:r>
    </w:p>
    <w:p w:rsidR="00E444F2" w:rsidRDefault="00E444F2" w:rsidP="00E444F2">
      <w:pPr>
        <w:pStyle w:val="AERbulletlistfirststyle"/>
        <w:rPr>
          <w:rStyle w:val="AERbody"/>
        </w:rPr>
      </w:pPr>
      <w:r>
        <w:rPr>
          <w:rStyle w:val="AERbody"/>
        </w:rPr>
        <w:t xml:space="preserve">amending the proposed approach to the indexation adjustment required in the RAB </w:t>
      </w:r>
    </w:p>
    <w:p w:rsidR="00E444F2" w:rsidRDefault="00E444F2" w:rsidP="00E444F2">
      <w:pPr>
        <w:pStyle w:val="AERbulletlistfirststyle"/>
        <w:rPr>
          <w:rStyle w:val="AERbody"/>
        </w:rPr>
      </w:pPr>
      <w:r>
        <w:rPr>
          <w:rStyle w:val="AERbody"/>
        </w:rPr>
        <w:t>adjusting allowed equity raising costs to the correct dollar terms.</w:t>
      </w:r>
    </w:p>
    <w:p w:rsidR="006010D1" w:rsidRDefault="00E444F2" w:rsidP="006010D1">
      <w:pPr>
        <w:rPr>
          <w:rStyle w:val="AERbody"/>
        </w:rPr>
      </w:pPr>
      <w:r>
        <w:rPr>
          <w:rStyle w:val="AERbody"/>
        </w:rPr>
        <w:t xml:space="preserve">These amendments </w:t>
      </w:r>
      <w:r w:rsidR="006010D1">
        <w:rPr>
          <w:rStyle w:val="AERbody"/>
        </w:rPr>
        <w:t>reduce</w:t>
      </w:r>
      <w:r>
        <w:rPr>
          <w:rStyle w:val="AERbody"/>
        </w:rPr>
        <w:t>d</w:t>
      </w:r>
      <w:r w:rsidR="006010D1">
        <w:rPr>
          <w:rStyle w:val="AERbody"/>
        </w:rPr>
        <w:t xml:space="preserve"> the opening RAB as at 1 January 2016 by $</w:t>
      </w:r>
      <w:r w:rsidR="004C1F16" w:rsidRPr="008F6524">
        <w:t>18.4</w:t>
      </w:r>
      <w:r w:rsidR="006010D1" w:rsidRPr="008F6524">
        <w:t xml:space="preserve"> million (or </w:t>
      </w:r>
      <w:r w:rsidR="004C1F16" w:rsidRPr="008F6524">
        <w:t>0.5</w:t>
      </w:r>
      <w:r w:rsidR="006010D1">
        <w:rPr>
          <w:rStyle w:val="AERbody"/>
        </w:rPr>
        <w:t xml:space="preserve"> per cent) compared to Powercor's proposed opening RAB of </w:t>
      </w:r>
      <w:r w:rsidR="006010D1" w:rsidRPr="00A449A3">
        <w:t>$</w:t>
      </w:r>
      <w:r w:rsidR="006010D1">
        <w:t xml:space="preserve">3362.9 </w:t>
      </w:r>
      <w:r w:rsidR="006010D1" w:rsidRPr="00A449A3">
        <w:t xml:space="preserve">million ($ nominal) at </w:t>
      </w:r>
      <w:r w:rsidR="006010D1">
        <w:t>1 January 2016</w:t>
      </w:r>
      <w:r w:rsidR="006010D1" w:rsidRPr="00A449A3">
        <w:t>.</w:t>
      </w:r>
      <w:r w:rsidR="006010D1">
        <w:rPr>
          <w:rStyle w:val="FootnoteReference"/>
        </w:rPr>
        <w:footnoteReference w:id="18"/>
      </w:r>
    </w:p>
    <w:p w:rsidR="006010D1" w:rsidRPr="00A449A3" w:rsidRDefault="006010D1" w:rsidP="006010D1">
      <w:pPr>
        <w:numPr>
          <w:ilvl w:val="0"/>
          <w:numId w:val="24"/>
        </w:numPr>
      </w:pPr>
      <w:r w:rsidRPr="00A449A3">
        <w:t xml:space="preserve">To determine the opening RAB as at </w:t>
      </w:r>
      <w:r>
        <w:t>1 January 2016</w:t>
      </w:r>
      <w:r w:rsidRPr="00A449A3">
        <w:t xml:space="preserve">, we have rolled forward the RAB over the </w:t>
      </w:r>
      <w:r>
        <w:t>2011–15</w:t>
      </w:r>
      <w:r w:rsidRPr="00A449A3">
        <w:t xml:space="preserve"> regulatory control period to determine a closing RAB value at </w:t>
      </w:r>
      <w:r>
        <w:t>31 December 2015</w:t>
      </w:r>
      <w:r w:rsidRPr="00A449A3">
        <w:t xml:space="preserve">. This roll forward includes an adjustment at the end of the </w:t>
      </w:r>
      <w:r>
        <w:t>2011–15</w:t>
      </w:r>
      <w:r w:rsidRPr="00A449A3">
        <w:t xml:space="preserve"> regulatory control period to account for the difference between actual 2010 capex and the estimate approved at the 201</w:t>
      </w:r>
      <w:r>
        <w:t>1</w:t>
      </w:r>
      <w:r w:rsidR="00D62197">
        <w:t>–15</w:t>
      </w:r>
      <w:r w:rsidRPr="00A449A3">
        <w:t xml:space="preserve"> determination.</w:t>
      </w:r>
      <w:r w:rsidRPr="00A449A3">
        <w:rPr>
          <w:rStyle w:val="FootnoteReference"/>
        </w:rPr>
        <w:footnoteReference w:id="19"/>
      </w:r>
      <w:r w:rsidRPr="00A449A3">
        <w:t xml:space="preserve"> </w:t>
      </w:r>
    </w:p>
    <w:p w:rsidR="006010D1" w:rsidRPr="00E063A8" w:rsidRDefault="006010D1" w:rsidP="006010D1">
      <w:pPr>
        <w:pStyle w:val="ListParagraph"/>
        <w:numPr>
          <w:ilvl w:val="0"/>
          <w:numId w:val="24"/>
        </w:numPr>
      </w:pPr>
      <w:r w:rsidRPr="00E063A8">
        <w:t xml:space="preserve">Tables </w:t>
      </w:r>
      <w:r w:rsidR="00C0460B">
        <w:t>4 and 5</w:t>
      </w:r>
      <w:r w:rsidRPr="00E063A8">
        <w:t xml:space="preserve"> set out our preliminary decision on the roll forward of </w:t>
      </w:r>
      <w:r w:rsidR="0006525C">
        <w:t>Powercor</w:t>
      </w:r>
      <w:r>
        <w:t>'s</w:t>
      </w:r>
      <w:r w:rsidRPr="00E063A8">
        <w:t xml:space="preserve"> RAB for the 201</w:t>
      </w:r>
      <w:r>
        <w:t>1</w:t>
      </w:r>
      <w:r w:rsidRPr="00E063A8">
        <w:t xml:space="preserve">–15 regulatory control period and the forecast RAB for </w:t>
      </w:r>
      <w:r w:rsidR="0006525C">
        <w:t>Powercor</w:t>
      </w:r>
      <w:r w:rsidRPr="00E063A8">
        <w:t xml:space="preserve"> during the 2016–20 regulatory control period respectively.</w:t>
      </w:r>
    </w:p>
    <w:p w:rsidR="002F3C7B" w:rsidRDefault="002F3C7B" w:rsidP="002F3C7B">
      <w:pPr>
        <w:pStyle w:val="Caption"/>
      </w:pPr>
      <w:r w:rsidRPr="00112BF8">
        <w:t xml:space="preserve">Table </w:t>
      </w:r>
      <w:r w:rsidR="00C0460B">
        <w:t>4</w:t>
      </w:r>
      <w:r w:rsidRPr="00112BF8">
        <w:t xml:space="preserve"> </w:t>
      </w:r>
      <w:r w:rsidRPr="00112BF8">
        <w:tab/>
        <w:t xml:space="preserve">AER's </w:t>
      </w:r>
      <w:r w:rsidR="00A85AFD">
        <w:t xml:space="preserve">preliminary </w:t>
      </w:r>
      <w:r w:rsidRPr="00112BF8">
        <w:t xml:space="preserve">decision on </w:t>
      </w:r>
      <w:r>
        <w:t>Powercor’s</w:t>
      </w:r>
      <w:r w:rsidRPr="00112BF8">
        <w:t xml:space="preserve"> RAB for the 201</w:t>
      </w:r>
      <w:r w:rsidR="00A85AFD">
        <w:t>1</w:t>
      </w:r>
      <w:r w:rsidRPr="00112BF8">
        <w:t>–15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2F3C7B" w:rsidRPr="00237902" w:rsidTr="00A85AF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2F3C7B" w:rsidRPr="007B3355" w:rsidRDefault="002F3C7B" w:rsidP="00A85AFD">
            <w:r w:rsidRPr="00237902">
              <w:t> </w:t>
            </w:r>
          </w:p>
        </w:tc>
        <w:tc>
          <w:tcPr>
            <w:tcW w:w="56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237902">
              <w:t>2011</w:t>
            </w:r>
          </w:p>
        </w:tc>
        <w:tc>
          <w:tcPr>
            <w:tcW w:w="56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237902">
              <w:t>2012</w:t>
            </w:r>
          </w:p>
        </w:tc>
        <w:tc>
          <w:tcPr>
            <w:tcW w:w="567"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237902">
              <w:t>2013</w:t>
            </w:r>
          </w:p>
        </w:tc>
        <w:tc>
          <w:tcPr>
            <w:tcW w:w="56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237902">
              <w:t>2014</w:t>
            </w:r>
          </w:p>
        </w:tc>
        <w:tc>
          <w:tcPr>
            <w:tcW w:w="567"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237902">
              <w:t>2015</w:t>
            </w:r>
            <w:r w:rsidRPr="007B3355">
              <w:rPr>
                <w:rStyle w:val="AERsuperscript"/>
              </w:rPr>
              <w:t>a</w:t>
            </w:r>
          </w:p>
        </w:tc>
      </w:tr>
      <w:tr w:rsidR="004C1F16" w:rsidRPr="00237902" w:rsidTr="004C1F16">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C1F16" w:rsidRPr="007B3355" w:rsidRDefault="004C1F16" w:rsidP="00A85AFD">
            <w:r w:rsidRPr="00BF419C">
              <w:t>Opening RAB</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2212.8</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2415.0</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2600.1</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2815.6</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3073.1</w:t>
            </w:r>
          </w:p>
        </w:tc>
      </w:tr>
      <w:tr w:rsidR="004C1F16" w:rsidRPr="00237902" w:rsidTr="004C1F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C1F16" w:rsidRPr="007B3355" w:rsidRDefault="004C1F16" w:rsidP="00A85AFD">
            <w:r w:rsidRPr="00BF419C">
              <w:t>Capital expenditure</w:t>
            </w:r>
            <w:r w:rsidRPr="007B3355">
              <w:rPr>
                <w:rStyle w:val="AERsuperscript"/>
              </w:rPr>
              <w:t>b</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243.6</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268.9</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302.3</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348.0</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375.7</w:t>
            </w:r>
          </w:p>
        </w:tc>
      </w:tr>
      <w:tr w:rsidR="004C1F16" w:rsidRPr="00237902" w:rsidTr="004C1F16">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C1F16" w:rsidRPr="007B3355" w:rsidRDefault="004C1F16" w:rsidP="00A85AFD">
            <w:r w:rsidRPr="00BF419C">
              <w:t>Inflation indexation on opening RAB</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77.9</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48.4</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56.2</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65.0</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70.9</w:t>
            </w:r>
          </w:p>
        </w:tc>
      </w:tr>
      <w:tr w:rsidR="004C1F16" w:rsidRPr="00237902" w:rsidTr="004C1F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C1F16" w:rsidRPr="007B3355" w:rsidRDefault="004C1F16" w:rsidP="00A85AFD">
            <w:r w:rsidRPr="00BF419C">
              <w:rPr>
                <w:rStyle w:val="AERtextitalic"/>
              </w:rPr>
              <w:t>Less</w:t>
            </w:r>
            <w:r w:rsidRPr="007B3355">
              <w:t>: straight-line depreciation</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119.3</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132.2</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143.0</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155.5</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171.6</w:t>
            </w:r>
          </w:p>
        </w:tc>
      </w:tr>
      <w:tr w:rsidR="004C1F16" w:rsidRPr="00E444F2" w:rsidTr="004C1F16">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C1F16" w:rsidRPr="00E444F2" w:rsidRDefault="004C1F16" w:rsidP="00E444F2">
            <w:r w:rsidRPr="00E444F2">
              <w:t>Closing RAB</w:t>
            </w:r>
          </w:p>
        </w:tc>
        <w:tc>
          <w:tcPr>
            <w:tcW w:w="566" w:type="pct"/>
            <w:noWrap/>
            <w:vAlign w:val="bottom"/>
          </w:tcPr>
          <w:p w:rsidR="004C1F16" w:rsidRPr="00E444F2" w:rsidRDefault="004C1F16" w:rsidP="00E444F2">
            <w:pPr>
              <w:cnfStyle w:val="000000000000" w:firstRow="0" w:lastRow="0" w:firstColumn="0" w:lastColumn="0" w:oddVBand="0" w:evenVBand="0" w:oddHBand="0" w:evenHBand="0" w:firstRowFirstColumn="0" w:firstRowLastColumn="0" w:lastRowFirstColumn="0" w:lastRowLastColumn="0"/>
            </w:pPr>
            <w:r w:rsidRPr="00E444F2">
              <w:t>2415.0</w:t>
            </w:r>
          </w:p>
        </w:tc>
        <w:tc>
          <w:tcPr>
            <w:tcW w:w="566" w:type="pct"/>
            <w:noWrap/>
            <w:vAlign w:val="bottom"/>
          </w:tcPr>
          <w:p w:rsidR="004C1F16" w:rsidRPr="00E444F2" w:rsidRDefault="004C1F16" w:rsidP="00E444F2">
            <w:pPr>
              <w:cnfStyle w:val="000000000000" w:firstRow="0" w:lastRow="0" w:firstColumn="0" w:lastColumn="0" w:oddVBand="0" w:evenVBand="0" w:oddHBand="0" w:evenHBand="0" w:firstRowFirstColumn="0" w:firstRowLastColumn="0" w:lastRowFirstColumn="0" w:lastRowLastColumn="0"/>
            </w:pPr>
            <w:r w:rsidRPr="00E444F2">
              <w:t>2600.1</w:t>
            </w:r>
          </w:p>
        </w:tc>
        <w:tc>
          <w:tcPr>
            <w:tcW w:w="567" w:type="pct"/>
            <w:noWrap/>
            <w:vAlign w:val="bottom"/>
          </w:tcPr>
          <w:p w:rsidR="004C1F16" w:rsidRPr="00E444F2" w:rsidRDefault="004C1F16" w:rsidP="00E444F2">
            <w:pPr>
              <w:cnfStyle w:val="000000000000" w:firstRow="0" w:lastRow="0" w:firstColumn="0" w:lastColumn="0" w:oddVBand="0" w:evenVBand="0" w:oddHBand="0" w:evenHBand="0" w:firstRowFirstColumn="0" w:firstRowLastColumn="0" w:lastRowFirstColumn="0" w:lastRowLastColumn="0"/>
            </w:pPr>
            <w:r w:rsidRPr="00E444F2">
              <w:t>2815.6</w:t>
            </w:r>
          </w:p>
        </w:tc>
        <w:tc>
          <w:tcPr>
            <w:tcW w:w="566" w:type="pct"/>
            <w:noWrap/>
            <w:vAlign w:val="bottom"/>
          </w:tcPr>
          <w:p w:rsidR="004C1F16" w:rsidRPr="00E444F2" w:rsidRDefault="004C1F16" w:rsidP="00E444F2">
            <w:pPr>
              <w:cnfStyle w:val="000000000000" w:firstRow="0" w:lastRow="0" w:firstColumn="0" w:lastColumn="0" w:oddVBand="0" w:evenVBand="0" w:oddHBand="0" w:evenHBand="0" w:firstRowFirstColumn="0" w:firstRowLastColumn="0" w:lastRowFirstColumn="0" w:lastRowLastColumn="0"/>
            </w:pPr>
            <w:r w:rsidRPr="00E444F2">
              <w:t>3073.1</w:t>
            </w:r>
          </w:p>
        </w:tc>
        <w:tc>
          <w:tcPr>
            <w:tcW w:w="567" w:type="pct"/>
            <w:noWrap/>
            <w:vAlign w:val="bottom"/>
          </w:tcPr>
          <w:p w:rsidR="004C1F16" w:rsidRPr="00E444F2" w:rsidRDefault="004C1F16" w:rsidP="00E444F2">
            <w:pPr>
              <w:cnfStyle w:val="000000000000" w:firstRow="0" w:lastRow="0" w:firstColumn="0" w:lastColumn="0" w:oddVBand="0" w:evenVBand="0" w:oddHBand="0" w:evenHBand="0" w:firstRowFirstColumn="0" w:firstRowLastColumn="0" w:lastRowFirstColumn="0" w:lastRowLastColumn="0"/>
            </w:pPr>
            <w:r w:rsidRPr="00E444F2">
              <w:t>3348.1</w:t>
            </w:r>
          </w:p>
        </w:tc>
      </w:tr>
      <w:tr w:rsidR="004C1F16" w:rsidRPr="00237902" w:rsidTr="004C1F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vAlign w:val="bottom"/>
            <w:hideMark/>
          </w:tcPr>
          <w:p w:rsidR="004C1F16" w:rsidRPr="004C1F16" w:rsidRDefault="004C1F16" w:rsidP="004C1F16">
            <w:r w:rsidRPr="004C1F16">
              <w:t>Difference between estimated and actual capex in 2010</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7" w:type="pct"/>
            <w:noWrap/>
            <w:vAlign w:val="bottom"/>
          </w:tcPr>
          <w:p w:rsidR="004C1F16" w:rsidRPr="004C1F16" w:rsidRDefault="00B16B49" w:rsidP="004C1F16">
            <w:pPr>
              <w:cnfStyle w:val="000000010000" w:firstRow="0" w:lastRow="0" w:firstColumn="0" w:lastColumn="0" w:oddVBand="0" w:evenVBand="0" w:oddHBand="0" w:evenHBand="1" w:firstRowFirstColumn="0" w:firstRowLastColumn="0" w:lastRowFirstColumn="0" w:lastRowLastColumn="0"/>
            </w:pPr>
            <w:r>
              <w:t>–</w:t>
            </w:r>
            <w:r w:rsidR="004C1F16" w:rsidRPr="004C1F16">
              <w:t>18.7</w:t>
            </w:r>
          </w:p>
        </w:tc>
      </w:tr>
      <w:tr w:rsidR="004C1F16" w:rsidRPr="00237902" w:rsidTr="004C1F16">
        <w:trPr>
          <w:trHeight w:val="340"/>
        </w:trPr>
        <w:tc>
          <w:tcPr>
            <w:cnfStyle w:val="001000000000" w:firstRow="0" w:lastRow="0" w:firstColumn="1" w:lastColumn="0" w:oddVBand="0" w:evenVBand="0" w:oddHBand="0" w:evenHBand="0" w:firstRowFirstColumn="0" w:firstRowLastColumn="0" w:lastRowFirstColumn="0" w:lastRowLastColumn="0"/>
            <w:tcW w:w="2168" w:type="pct"/>
            <w:vAlign w:val="bottom"/>
            <w:hideMark/>
          </w:tcPr>
          <w:p w:rsidR="004C1F16" w:rsidRPr="004C1F16" w:rsidRDefault="004C1F16" w:rsidP="004C1F16">
            <w:r w:rsidRPr="004C1F16">
              <w:t>Return on difference for 2010 capex</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 </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 </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 </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pPr>
            <w:r w:rsidRPr="004C1F16">
              <w:t> </w:t>
            </w:r>
          </w:p>
        </w:tc>
        <w:tc>
          <w:tcPr>
            <w:tcW w:w="567" w:type="pct"/>
            <w:noWrap/>
            <w:vAlign w:val="bottom"/>
          </w:tcPr>
          <w:p w:rsidR="004C1F16" w:rsidRPr="004C1F16" w:rsidRDefault="00B16B49" w:rsidP="004C1F16">
            <w:pPr>
              <w:cnfStyle w:val="000000000000" w:firstRow="0" w:lastRow="0" w:firstColumn="0" w:lastColumn="0" w:oddVBand="0" w:evenVBand="0" w:oddHBand="0" w:evenHBand="0" w:firstRowFirstColumn="0" w:firstRowLastColumn="0" w:lastRowFirstColumn="0" w:lastRowLastColumn="0"/>
            </w:pPr>
            <w:r>
              <w:t>–</w:t>
            </w:r>
            <w:r w:rsidR="004C1F16" w:rsidRPr="004C1F16">
              <w:t>10.5</w:t>
            </w:r>
          </w:p>
        </w:tc>
      </w:tr>
      <w:tr w:rsidR="004C1F16" w:rsidRPr="00237902" w:rsidTr="004C1F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vAlign w:val="bottom"/>
          </w:tcPr>
          <w:p w:rsidR="004C1F16" w:rsidRPr="004C1F16" w:rsidRDefault="00D62197" w:rsidP="004C1F16">
            <w:r>
              <w:t>Six month CPI a</w:t>
            </w:r>
            <w:r w:rsidR="004C1F16" w:rsidRPr="004C1F16">
              <w:t>djustment</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6"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 </w:t>
            </w:r>
          </w:p>
        </w:tc>
        <w:tc>
          <w:tcPr>
            <w:tcW w:w="567" w:type="pct"/>
            <w:noWrap/>
            <w:vAlign w:val="bottom"/>
          </w:tcPr>
          <w:p w:rsidR="004C1F16" w:rsidRPr="004C1F16" w:rsidRDefault="004C1F16" w:rsidP="004C1F16">
            <w:pPr>
              <w:cnfStyle w:val="000000010000" w:firstRow="0" w:lastRow="0" w:firstColumn="0" w:lastColumn="0" w:oddVBand="0" w:evenVBand="0" w:oddHBand="0" w:evenHBand="1" w:firstRowFirstColumn="0" w:firstRowLastColumn="0" w:lastRowFirstColumn="0" w:lastRowLastColumn="0"/>
            </w:pPr>
            <w:r w:rsidRPr="004C1F16">
              <w:t>25.5</w:t>
            </w:r>
          </w:p>
        </w:tc>
      </w:tr>
      <w:tr w:rsidR="004C1F16" w:rsidRPr="004C1F16" w:rsidTr="004C1F16">
        <w:trPr>
          <w:trHeight w:val="340"/>
        </w:trPr>
        <w:tc>
          <w:tcPr>
            <w:cnfStyle w:val="001000000000" w:firstRow="0" w:lastRow="0" w:firstColumn="1" w:lastColumn="0" w:oddVBand="0" w:evenVBand="0" w:oddHBand="0" w:evenHBand="0" w:firstRowFirstColumn="0" w:firstRowLastColumn="0" w:lastRowFirstColumn="0" w:lastRowLastColumn="0"/>
            <w:tcW w:w="2168" w:type="pct"/>
            <w:noWrap/>
            <w:vAlign w:val="bottom"/>
          </w:tcPr>
          <w:p w:rsidR="004C1F16" w:rsidRPr="004C1F16" w:rsidRDefault="00D62197" w:rsidP="004C1F16">
            <w:pPr>
              <w:rPr>
                <w:rStyle w:val="Strong"/>
              </w:rPr>
            </w:pPr>
            <w:r>
              <w:rPr>
                <w:rStyle w:val="Strong"/>
              </w:rPr>
              <w:t xml:space="preserve">Closing </w:t>
            </w:r>
            <w:r w:rsidR="004C1F16" w:rsidRPr="004C1F16">
              <w:rPr>
                <w:rStyle w:val="Strong"/>
              </w:rPr>
              <w:t>RAB as at 31 December 2015</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rPr>
                <w:rStyle w:val="Strong"/>
              </w:rPr>
            </w:pPr>
            <w:r w:rsidRPr="004C1F16">
              <w:rPr>
                <w:rStyle w:val="Strong"/>
              </w:rPr>
              <w:t> </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rPr>
                <w:rStyle w:val="Strong"/>
              </w:rPr>
            </w:pPr>
            <w:r w:rsidRPr="004C1F16">
              <w:rPr>
                <w:rStyle w:val="Strong"/>
              </w:rPr>
              <w:t> </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rPr>
                <w:rStyle w:val="Strong"/>
              </w:rPr>
            </w:pPr>
            <w:r w:rsidRPr="004C1F16">
              <w:rPr>
                <w:rStyle w:val="Strong"/>
              </w:rPr>
              <w:t> </w:t>
            </w:r>
          </w:p>
        </w:tc>
        <w:tc>
          <w:tcPr>
            <w:tcW w:w="566"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rPr>
                <w:rStyle w:val="Strong"/>
              </w:rPr>
            </w:pPr>
            <w:r w:rsidRPr="004C1F16">
              <w:rPr>
                <w:rStyle w:val="Strong"/>
              </w:rPr>
              <w:t> </w:t>
            </w:r>
          </w:p>
        </w:tc>
        <w:tc>
          <w:tcPr>
            <w:tcW w:w="567" w:type="pct"/>
            <w:noWrap/>
            <w:vAlign w:val="bottom"/>
          </w:tcPr>
          <w:p w:rsidR="004C1F16" w:rsidRPr="004C1F16" w:rsidRDefault="004C1F16" w:rsidP="004C1F16">
            <w:pPr>
              <w:cnfStyle w:val="000000000000" w:firstRow="0" w:lastRow="0" w:firstColumn="0" w:lastColumn="0" w:oddVBand="0" w:evenVBand="0" w:oddHBand="0" w:evenHBand="0" w:firstRowFirstColumn="0" w:firstRowLastColumn="0" w:lastRowFirstColumn="0" w:lastRowLastColumn="0"/>
              <w:rPr>
                <w:rStyle w:val="Strong"/>
              </w:rPr>
            </w:pPr>
            <w:r w:rsidRPr="004C1F16">
              <w:rPr>
                <w:rStyle w:val="Strong"/>
              </w:rPr>
              <w:t>3344.4</w:t>
            </w:r>
          </w:p>
        </w:tc>
      </w:tr>
    </w:tbl>
    <w:p w:rsidR="002F3C7B" w:rsidRPr="004B1187" w:rsidRDefault="002F3C7B" w:rsidP="002F3C7B">
      <w:pPr>
        <w:pStyle w:val="AERtablesource"/>
      </w:pPr>
      <w:r w:rsidRPr="004B1187">
        <w:t>Source:</w:t>
      </w:r>
      <w:r w:rsidRPr="004B1187">
        <w:tab/>
        <w:t>AER analysis.</w:t>
      </w:r>
    </w:p>
    <w:p w:rsidR="002F3C7B" w:rsidRPr="004B1187" w:rsidRDefault="002F3C7B" w:rsidP="002F3C7B">
      <w:pPr>
        <w:pStyle w:val="AERtablesource"/>
      </w:pPr>
      <w:r w:rsidRPr="004B1187">
        <w:t>(a)</w:t>
      </w:r>
      <w:r w:rsidRPr="004B1187">
        <w:tab/>
        <w:t>Based on estimated capex. We will update the RAB roll forward in the substitute decision.</w:t>
      </w:r>
    </w:p>
    <w:p w:rsidR="002F3C7B" w:rsidRDefault="002F3C7B" w:rsidP="002F3C7B">
      <w:pPr>
        <w:pStyle w:val="AERtablesource"/>
      </w:pPr>
      <w:r w:rsidRPr="004B1187">
        <w:t>(b)</w:t>
      </w:r>
      <w:r w:rsidRPr="004B1187">
        <w:tab/>
        <w:t>Net of disposals</w:t>
      </w:r>
      <w:r w:rsidR="00B123B4">
        <w:t xml:space="preserve"> and capital contributions,</w:t>
      </w:r>
      <w:r w:rsidRPr="004B1187">
        <w:t xml:space="preserve"> and adjusted for CPI.</w:t>
      </w:r>
    </w:p>
    <w:p w:rsidR="002F3C7B" w:rsidRPr="00112BF8" w:rsidRDefault="002F3C7B" w:rsidP="002F3C7B">
      <w:pPr>
        <w:pStyle w:val="Caption"/>
      </w:pPr>
      <w:r w:rsidRPr="00112BF8">
        <w:lastRenderedPageBreak/>
        <w:t xml:space="preserve">Table </w:t>
      </w:r>
      <w:r w:rsidR="00C0460B">
        <w:t>5</w:t>
      </w:r>
      <w:r w:rsidRPr="00112BF8">
        <w:tab/>
        <w:t>AER's</w:t>
      </w:r>
      <w:r w:rsidR="00A85AFD">
        <w:t xml:space="preserve"> preliminary</w:t>
      </w:r>
      <w:r w:rsidRPr="00112BF8">
        <w:t xml:space="preserve"> decision on </w:t>
      </w:r>
      <w:r>
        <w:t>Powercor’s</w:t>
      </w:r>
      <w:r w:rsidRPr="00112BF8">
        <w:t xml:space="preserve"> RAB for the 201</w:t>
      </w:r>
      <w:r w:rsidR="00A85AFD">
        <w:t>6</w:t>
      </w:r>
      <w:r w:rsidRPr="00112BF8">
        <w:t xml:space="preserve">–20 </w:t>
      </w:r>
      <w:r w:rsidR="00E444F2">
        <w:t xml:space="preserve">regulatory control </w:t>
      </w:r>
      <w:r w:rsidRPr="00112BF8">
        <w:t>period ($ million, nominal)</w:t>
      </w:r>
    </w:p>
    <w:tbl>
      <w:tblPr>
        <w:tblStyle w:val="AERtable-numbers"/>
        <w:tblW w:w="5000" w:type="pct"/>
        <w:tblLook w:val="01E0" w:firstRow="1" w:lastRow="1" w:firstColumn="1" w:lastColumn="1" w:noHBand="0" w:noVBand="0"/>
      </w:tblPr>
      <w:tblGrid>
        <w:gridCol w:w="3439"/>
        <w:gridCol w:w="1052"/>
        <w:gridCol w:w="1052"/>
        <w:gridCol w:w="1050"/>
        <w:gridCol w:w="1050"/>
        <w:gridCol w:w="1050"/>
      </w:tblGrid>
      <w:tr w:rsidR="002F3C7B" w:rsidRPr="00E404D2" w:rsidTr="00A85AFD">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2F3C7B" w:rsidRPr="00112BF8" w:rsidRDefault="002F3C7B" w:rsidP="00A85AFD"/>
        </w:tc>
        <w:tc>
          <w:tcPr>
            <w:tcW w:w="605" w:type="pct"/>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16</w:t>
            </w:r>
          </w:p>
        </w:tc>
        <w:tc>
          <w:tcPr>
            <w:tcW w:w="605" w:type="pct"/>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17</w:t>
            </w:r>
          </w:p>
        </w:tc>
        <w:tc>
          <w:tcPr>
            <w:tcW w:w="604" w:type="pct"/>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18</w:t>
            </w:r>
          </w:p>
        </w:tc>
        <w:tc>
          <w:tcPr>
            <w:tcW w:w="604" w:type="pct"/>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19</w:t>
            </w:r>
          </w:p>
        </w:tc>
        <w:tc>
          <w:tcPr>
            <w:tcW w:w="604" w:type="pct"/>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r>
      <w:tr w:rsidR="00B123B4" w:rsidRPr="000B73AB" w:rsidTr="00A40AEE">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B123B4" w:rsidRPr="007B3355" w:rsidRDefault="00B123B4" w:rsidP="00A85AFD">
            <w:r w:rsidRPr="00186632">
              <w:t>Opening RAB</w:t>
            </w:r>
          </w:p>
        </w:tc>
        <w:tc>
          <w:tcPr>
            <w:tcW w:w="605"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3344.4</w:t>
            </w:r>
          </w:p>
        </w:tc>
        <w:tc>
          <w:tcPr>
            <w:tcW w:w="605"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3585.0</w:t>
            </w:r>
          </w:p>
        </w:tc>
        <w:tc>
          <w:tcPr>
            <w:tcW w:w="604"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3836.4</w:t>
            </w:r>
          </w:p>
        </w:tc>
        <w:tc>
          <w:tcPr>
            <w:tcW w:w="604"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4093.4</w:t>
            </w:r>
          </w:p>
        </w:tc>
        <w:tc>
          <w:tcPr>
            <w:tcW w:w="604"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4340.6</w:t>
            </w:r>
          </w:p>
        </w:tc>
      </w:tr>
      <w:tr w:rsidR="00B123B4" w:rsidRPr="000B73AB" w:rsidTr="00A40AEE">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B123B4" w:rsidRPr="007B3355" w:rsidRDefault="00B123B4" w:rsidP="00A85AFD">
            <w:r w:rsidRPr="00186632">
              <w:t>Capital expenditure</w:t>
            </w:r>
            <w:r w:rsidRPr="007B3355">
              <w:rPr>
                <w:rStyle w:val="AERsuperscript"/>
              </w:rPr>
              <w:t>a</w:t>
            </w:r>
          </w:p>
        </w:tc>
        <w:tc>
          <w:tcPr>
            <w:tcW w:w="605"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342.8</w:t>
            </w:r>
          </w:p>
        </w:tc>
        <w:tc>
          <w:tcPr>
            <w:tcW w:w="605"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341.0</w:t>
            </w:r>
          </w:p>
        </w:tc>
        <w:tc>
          <w:tcPr>
            <w:tcW w:w="604"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353.5</w:t>
            </w:r>
          </w:p>
        </w:tc>
        <w:tc>
          <w:tcPr>
            <w:tcW w:w="604"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353.0</w:t>
            </w:r>
          </w:p>
        </w:tc>
        <w:tc>
          <w:tcPr>
            <w:tcW w:w="604"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374.1</w:t>
            </w:r>
          </w:p>
        </w:tc>
      </w:tr>
      <w:tr w:rsidR="00B123B4" w:rsidRPr="000B73AB" w:rsidTr="00A40AEE">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B123B4" w:rsidRPr="007B3355" w:rsidRDefault="00B123B4" w:rsidP="00A85AFD">
            <w:r w:rsidRPr="00186632">
              <w:t>Inflation indexation on opening RAB</w:t>
            </w:r>
          </w:p>
        </w:tc>
        <w:tc>
          <w:tcPr>
            <w:tcW w:w="605"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83.6</w:t>
            </w:r>
          </w:p>
        </w:tc>
        <w:tc>
          <w:tcPr>
            <w:tcW w:w="605"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89.6</w:t>
            </w:r>
          </w:p>
        </w:tc>
        <w:tc>
          <w:tcPr>
            <w:tcW w:w="604"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95.9</w:t>
            </w:r>
          </w:p>
        </w:tc>
        <w:tc>
          <w:tcPr>
            <w:tcW w:w="604"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102.3</w:t>
            </w:r>
          </w:p>
        </w:tc>
        <w:tc>
          <w:tcPr>
            <w:tcW w:w="604" w:type="pct"/>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108.5</w:t>
            </w:r>
          </w:p>
        </w:tc>
      </w:tr>
      <w:tr w:rsidR="00B123B4" w:rsidRPr="000B73AB" w:rsidTr="00A40AEE">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B123B4" w:rsidRPr="007B3355" w:rsidRDefault="00B123B4" w:rsidP="00A85AFD">
            <w:r w:rsidRPr="00186632">
              <w:rPr>
                <w:rStyle w:val="AERtextitalic"/>
              </w:rPr>
              <w:t>Less</w:t>
            </w:r>
            <w:r w:rsidRPr="007B3355">
              <w:t>: Straight-line depreciation</w:t>
            </w:r>
          </w:p>
        </w:tc>
        <w:tc>
          <w:tcPr>
            <w:tcW w:w="605"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185.9</w:t>
            </w:r>
          </w:p>
        </w:tc>
        <w:tc>
          <w:tcPr>
            <w:tcW w:w="605"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179.2</w:t>
            </w:r>
          </w:p>
        </w:tc>
        <w:tc>
          <w:tcPr>
            <w:tcW w:w="604"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192.5</w:t>
            </w:r>
          </w:p>
        </w:tc>
        <w:tc>
          <w:tcPr>
            <w:tcW w:w="604"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208.1</w:t>
            </w:r>
          </w:p>
        </w:tc>
        <w:tc>
          <w:tcPr>
            <w:tcW w:w="604" w:type="pct"/>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217.4</w:t>
            </w:r>
          </w:p>
        </w:tc>
      </w:tr>
      <w:tr w:rsidR="00B123B4" w:rsidRPr="009F075C" w:rsidTr="00A40AEE">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B123B4" w:rsidRPr="009F075C" w:rsidRDefault="00B123B4" w:rsidP="009F075C">
            <w:r w:rsidRPr="009F075C">
              <w:t>Closing RAB</w:t>
            </w:r>
          </w:p>
        </w:tc>
        <w:tc>
          <w:tcPr>
            <w:tcW w:w="605" w:type="pct"/>
            <w:vAlign w:val="bottom"/>
          </w:tcPr>
          <w:p w:rsidR="00B123B4" w:rsidRPr="009F075C" w:rsidRDefault="00B123B4" w:rsidP="009F075C">
            <w:pPr>
              <w:cnfStyle w:val="000000000000" w:firstRow="0" w:lastRow="0" w:firstColumn="0" w:lastColumn="0" w:oddVBand="0" w:evenVBand="0" w:oddHBand="0" w:evenHBand="0" w:firstRowFirstColumn="0" w:firstRowLastColumn="0" w:lastRowFirstColumn="0" w:lastRowLastColumn="0"/>
            </w:pPr>
            <w:r w:rsidRPr="009F075C">
              <w:t>3585.0</w:t>
            </w:r>
          </w:p>
        </w:tc>
        <w:tc>
          <w:tcPr>
            <w:tcW w:w="605" w:type="pct"/>
            <w:vAlign w:val="bottom"/>
          </w:tcPr>
          <w:p w:rsidR="00B123B4" w:rsidRPr="009F075C" w:rsidRDefault="00B123B4" w:rsidP="009F075C">
            <w:pPr>
              <w:cnfStyle w:val="000000000000" w:firstRow="0" w:lastRow="0" w:firstColumn="0" w:lastColumn="0" w:oddVBand="0" w:evenVBand="0" w:oddHBand="0" w:evenHBand="0" w:firstRowFirstColumn="0" w:firstRowLastColumn="0" w:lastRowFirstColumn="0" w:lastRowLastColumn="0"/>
            </w:pPr>
            <w:r w:rsidRPr="009F075C">
              <w:t>3836.4</w:t>
            </w:r>
          </w:p>
        </w:tc>
        <w:tc>
          <w:tcPr>
            <w:tcW w:w="604" w:type="pct"/>
            <w:vAlign w:val="bottom"/>
          </w:tcPr>
          <w:p w:rsidR="00B123B4" w:rsidRPr="009F075C" w:rsidRDefault="00B123B4" w:rsidP="009F075C">
            <w:pPr>
              <w:cnfStyle w:val="000000000000" w:firstRow="0" w:lastRow="0" w:firstColumn="0" w:lastColumn="0" w:oddVBand="0" w:evenVBand="0" w:oddHBand="0" w:evenHBand="0" w:firstRowFirstColumn="0" w:firstRowLastColumn="0" w:lastRowFirstColumn="0" w:lastRowLastColumn="0"/>
            </w:pPr>
            <w:r w:rsidRPr="009F075C">
              <w:t>4093.4</w:t>
            </w:r>
          </w:p>
        </w:tc>
        <w:tc>
          <w:tcPr>
            <w:tcW w:w="604" w:type="pct"/>
            <w:vAlign w:val="bottom"/>
          </w:tcPr>
          <w:p w:rsidR="00B123B4" w:rsidRPr="009F075C" w:rsidRDefault="00B123B4" w:rsidP="009F075C">
            <w:pPr>
              <w:cnfStyle w:val="000000000000" w:firstRow="0" w:lastRow="0" w:firstColumn="0" w:lastColumn="0" w:oddVBand="0" w:evenVBand="0" w:oddHBand="0" w:evenHBand="0" w:firstRowFirstColumn="0" w:firstRowLastColumn="0" w:lastRowFirstColumn="0" w:lastRowLastColumn="0"/>
            </w:pPr>
            <w:r w:rsidRPr="009F075C">
              <w:t>4340.6</w:t>
            </w:r>
          </w:p>
        </w:tc>
        <w:tc>
          <w:tcPr>
            <w:tcW w:w="604" w:type="pct"/>
            <w:vAlign w:val="bottom"/>
          </w:tcPr>
          <w:p w:rsidR="00B123B4" w:rsidRPr="009F075C" w:rsidRDefault="00B123B4" w:rsidP="009F075C">
            <w:pPr>
              <w:cnfStyle w:val="000000000000" w:firstRow="0" w:lastRow="0" w:firstColumn="0" w:lastColumn="0" w:oddVBand="0" w:evenVBand="0" w:oddHBand="0" w:evenHBand="0" w:firstRowFirstColumn="0" w:firstRowLastColumn="0" w:lastRowFirstColumn="0" w:lastRowLastColumn="0"/>
            </w:pPr>
            <w:r w:rsidRPr="009F075C">
              <w:t>4605.8</w:t>
            </w:r>
          </w:p>
        </w:tc>
      </w:tr>
    </w:tbl>
    <w:p w:rsidR="002F3C7B" w:rsidRPr="00112BF8" w:rsidRDefault="002F3C7B" w:rsidP="002F3C7B">
      <w:pPr>
        <w:pStyle w:val="AERtablesource"/>
      </w:pPr>
      <w:r w:rsidRPr="00112BF8">
        <w:t>Source:</w:t>
      </w:r>
      <w:r w:rsidRPr="00112BF8">
        <w:tab/>
        <w:t>AER analysis.</w:t>
      </w:r>
    </w:p>
    <w:p w:rsidR="002F3C7B" w:rsidRPr="00112BF8" w:rsidRDefault="002F3C7B" w:rsidP="002F3C7B">
      <w:pPr>
        <w:pStyle w:val="AERtablesource"/>
      </w:pPr>
      <w:r w:rsidRPr="00112BF8">
        <w:t xml:space="preserve">(a) </w:t>
      </w:r>
      <w:r w:rsidRPr="00112BF8">
        <w:tab/>
        <w:t>Net of forecast disposals and capital contributions.</w:t>
      </w:r>
    </w:p>
    <w:p w:rsidR="006010D1" w:rsidRDefault="006010D1" w:rsidP="006010D1">
      <w:pPr>
        <w:numPr>
          <w:ilvl w:val="0"/>
          <w:numId w:val="24"/>
        </w:numPr>
      </w:pPr>
      <w:bookmarkStart w:id="46" w:name="_Ref406141567"/>
      <w:bookmarkStart w:id="47" w:name="_Ref406141561"/>
      <w:r w:rsidRPr="00A449A3">
        <w:t xml:space="preserve">We determine a forecast closing RAB value at </w:t>
      </w:r>
      <w:r>
        <w:t>31 December 2020</w:t>
      </w:r>
      <w:r w:rsidRPr="00A449A3">
        <w:t xml:space="preserve"> </w:t>
      </w:r>
      <w:r w:rsidRPr="00A449A3">
        <w:rPr>
          <w:rStyle w:val="AERbody"/>
        </w:rPr>
        <w:t xml:space="preserve">of </w:t>
      </w:r>
      <w:r w:rsidRPr="008F6524">
        <w:t>$</w:t>
      </w:r>
      <w:r w:rsidR="00AA5F4A" w:rsidRPr="008F6524">
        <w:t>460</w:t>
      </w:r>
      <w:r w:rsidR="00C93080" w:rsidRPr="008F6524">
        <w:t>5.</w:t>
      </w:r>
      <w:r w:rsidR="00B123B4">
        <w:t>8</w:t>
      </w:r>
      <w:r w:rsidRPr="008F6524">
        <w:t> million ($ nominal). This is $</w:t>
      </w:r>
      <w:r w:rsidR="00AA5F4A" w:rsidRPr="008F6524">
        <w:t>48</w:t>
      </w:r>
      <w:r w:rsidR="00C93080" w:rsidRPr="008F6524">
        <w:t>0.</w:t>
      </w:r>
      <w:r w:rsidR="00B123B4">
        <w:t>5</w:t>
      </w:r>
      <w:r w:rsidRPr="008F6524">
        <w:t xml:space="preserve"> million (or </w:t>
      </w:r>
      <w:r w:rsidR="00AA5F4A" w:rsidRPr="008F6524">
        <w:t>9.</w:t>
      </w:r>
      <w:r w:rsidR="00B123B4">
        <w:t>4</w:t>
      </w:r>
      <w:r w:rsidRPr="008F6524">
        <w:t xml:space="preserve"> per cent) lower than the am</w:t>
      </w:r>
      <w:r w:rsidRPr="00A449A3">
        <w:rPr>
          <w:rStyle w:val="AERbody"/>
        </w:rPr>
        <w:t>ount of $</w:t>
      </w:r>
      <w:r w:rsidR="0006525C">
        <w:rPr>
          <w:rStyle w:val="AERbody"/>
        </w:rPr>
        <w:t>5086.3 </w:t>
      </w:r>
      <w:r w:rsidRPr="00A449A3">
        <w:rPr>
          <w:rStyle w:val="AERbody"/>
        </w:rPr>
        <w:t xml:space="preserve">million ($ nominal) </w:t>
      </w:r>
      <w:r>
        <w:rPr>
          <w:rStyle w:val="AERbody"/>
        </w:rPr>
        <w:t>Powercor proposed</w:t>
      </w:r>
      <w:r w:rsidRPr="00A449A3">
        <w:rPr>
          <w:rStyle w:val="AERbody"/>
        </w:rPr>
        <w:t xml:space="preserve">. Our preliminary decision on the forecast closing RAB reflects the amended opening RAB as at </w:t>
      </w:r>
      <w:r>
        <w:rPr>
          <w:rStyle w:val="AERbody"/>
        </w:rPr>
        <w:t>1 January 2016</w:t>
      </w:r>
      <w:r w:rsidRPr="00A449A3">
        <w:rPr>
          <w:rStyle w:val="AERbody"/>
        </w:rPr>
        <w:t>, and our preliminary dec</w:t>
      </w:r>
      <w:r w:rsidRPr="00A449A3">
        <w:t>isions on forecast capex (attachment 6)</w:t>
      </w:r>
      <w:r w:rsidR="00AA5F4A">
        <w:t>,</w:t>
      </w:r>
      <w:r w:rsidRPr="00A449A3">
        <w:t xml:space="preserve"> forecast regulatory depreciation (attachment 5)</w:t>
      </w:r>
      <w:r w:rsidR="00AA5F4A">
        <w:t xml:space="preserve"> and forecast inflation (attachment 3)</w:t>
      </w:r>
      <w:r w:rsidRPr="00A449A3">
        <w:t>.</w:t>
      </w:r>
    </w:p>
    <w:p w:rsidR="00D62197" w:rsidRDefault="00594F1A" w:rsidP="002F3C7B">
      <w:r w:rsidRPr="006001AB">
        <w:t xml:space="preserve">We </w:t>
      </w:r>
      <w:r>
        <w:t>accept Powercor's proposal</w:t>
      </w:r>
      <w:r w:rsidRPr="006001AB">
        <w:t xml:space="preserve"> that </w:t>
      </w:r>
      <w:r>
        <w:t>a</w:t>
      </w:r>
      <w:r w:rsidRPr="006001AB">
        <w:t xml:space="preserve"> forecast depreciation approach</w:t>
      </w:r>
      <w:r w:rsidR="00E444F2">
        <w:t xml:space="preserve"> </w:t>
      </w:r>
      <w:r w:rsidR="0085275E">
        <w:t>is to</w:t>
      </w:r>
      <w:r w:rsidRPr="006001AB">
        <w:t xml:space="preserve"> be used to establish the opening RAB at the commencement of the 202</w:t>
      </w:r>
      <w:r>
        <w:t>1</w:t>
      </w:r>
      <w:r w:rsidRPr="006001AB">
        <w:t>–25 regulatory control period.</w:t>
      </w:r>
      <w:r w:rsidR="005C0AA1">
        <w:rPr>
          <w:rStyle w:val="FootnoteReference"/>
        </w:rPr>
        <w:footnoteReference w:id="20"/>
      </w:r>
      <w:bookmarkEnd w:id="46"/>
      <w:bookmarkEnd w:id="47"/>
    </w:p>
    <w:p w:rsidR="002F3C7B" w:rsidRDefault="006010D1" w:rsidP="002F3C7B">
      <w:r w:rsidRPr="009F4C42">
        <w:t xml:space="preserve">Details of our </w:t>
      </w:r>
      <w:r>
        <w:t>preliminary decision on the value of the RAB are set out in</w:t>
      </w:r>
      <w:r w:rsidRPr="009F4C42">
        <w:t xml:space="preserve"> attachment</w:t>
      </w:r>
      <w:r>
        <w:t xml:space="preserve"> 2</w:t>
      </w:r>
      <w:r w:rsidRPr="009F4C42">
        <w:t>.</w:t>
      </w:r>
    </w:p>
    <w:p w:rsidR="002F3C7B" w:rsidRDefault="002F3C7B" w:rsidP="002F3C7B">
      <w:pPr>
        <w:pStyle w:val="Heading2"/>
        <w:ind w:left="680" w:hanging="680"/>
      </w:pPr>
      <w:bookmarkStart w:id="48" w:name="_Toc417973138"/>
      <w:bookmarkStart w:id="49" w:name="_Toc428354970"/>
      <w:bookmarkStart w:id="50" w:name="_Toc428956712"/>
      <w:bookmarkStart w:id="51" w:name="_Toc433786796"/>
      <w:r>
        <w:t>Rate of return (return on capital)</w:t>
      </w:r>
      <w:bookmarkEnd w:id="48"/>
      <w:bookmarkEnd w:id="49"/>
      <w:bookmarkEnd w:id="50"/>
      <w:bookmarkEnd w:id="51"/>
    </w:p>
    <w:p w:rsidR="002F3C7B" w:rsidRDefault="002F3C7B" w:rsidP="002F3C7B">
      <w:pPr>
        <w:numPr>
          <w:ilvl w:val="0"/>
          <w:numId w:val="24"/>
        </w:numPr>
      </w:pPr>
      <w:r>
        <w:t>The return on capital provides a distributor with revenue to service the interest on its loans and to give a return on equity to shareholders. This building block is calculated as a product of the rate of return and the value of the RAB.</w:t>
      </w:r>
      <w:r w:rsidRPr="00F86A91">
        <w:rPr>
          <w:rStyle w:val="FootnoteReference"/>
        </w:rPr>
        <w:t xml:space="preserve"> </w:t>
      </w:r>
      <w:r w:rsidRPr="00112BF8">
        <w:rPr>
          <w:rStyle w:val="FootnoteReference"/>
        </w:rPr>
        <w:footnoteReference w:id="21"/>
      </w:r>
      <w:r>
        <w:t xml:space="preserve"> </w:t>
      </w:r>
    </w:p>
    <w:p w:rsidR="002F3C7B" w:rsidRDefault="002F3C7B" w:rsidP="002F3C7B">
      <w:pPr>
        <w:numPr>
          <w:ilvl w:val="0"/>
          <w:numId w:val="24"/>
        </w:numPr>
      </w:pPr>
      <w:r>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2"/>
      </w:r>
      <w:r>
        <w:t xml:space="preserve"> The NER refers to this requirement as the allowed rate of return objective.</w:t>
      </w:r>
    </w:p>
    <w:p w:rsidR="002F3C7B" w:rsidRPr="00112BF8" w:rsidRDefault="002F3C7B" w:rsidP="002F3C7B">
      <w:r w:rsidRPr="00112BF8">
        <w:lastRenderedPageBreak/>
        <w:t xml:space="preserve">We </w:t>
      </w:r>
      <w:r>
        <w:t>have determined</w:t>
      </w:r>
      <w:r w:rsidRPr="00112BF8">
        <w:t xml:space="preserve"> </w:t>
      </w:r>
      <w:r>
        <w:t>an</w:t>
      </w:r>
      <w:r w:rsidRPr="00112BF8">
        <w:t xml:space="preserve"> allowed rate of return </w:t>
      </w:r>
      <w:r w:rsidRPr="008F6524">
        <w:t xml:space="preserve">of </w:t>
      </w:r>
      <w:r w:rsidR="00780CDF" w:rsidRPr="008F6524">
        <w:t>6.02</w:t>
      </w:r>
      <w:r w:rsidRPr="008F6524">
        <w:t xml:space="preserve"> per</w:t>
      </w:r>
      <w:r w:rsidRPr="00112BF8">
        <w:t xml:space="preserve"> cent (nominal vanilla</w:t>
      </w:r>
      <w:r w:rsidRPr="00112BF8">
        <w:rPr>
          <w:rStyle w:val="FootnoteReference"/>
        </w:rPr>
        <w:footnoteReference w:id="23"/>
      </w:r>
      <w:r w:rsidRPr="00112BF8">
        <w:t xml:space="preserve">), </w:t>
      </w:r>
      <w:r w:rsidR="00A13795" w:rsidRPr="00112BF8">
        <w:t xml:space="preserve">subject to </w:t>
      </w:r>
      <w:r w:rsidR="00A13795">
        <w:t xml:space="preserve">annually </w:t>
      </w:r>
      <w:r w:rsidR="00A13795" w:rsidRPr="00112BF8">
        <w:t>updating</w:t>
      </w:r>
      <w:r w:rsidR="00A13795">
        <w:t xml:space="preserve"> cost of debt</w:t>
      </w:r>
      <w:r>
        <w:t xml:space="preserve">. </w:t>
      </w:r>
      <w:r w:rsidRPr="00112BF8">
        <w:t xml:space="preserve">We </w:t>
      </w:r>
      <w:r>
        <w:t>have not accepted</w:t>
      </w:r>
      <w:r w:rsidRPr="00112BF8">
        <w:t xml:space="preserve"> </w:t>
      </w:r>
      <w:r>
        <w:t>Powercor’s</w:t>
      </w:r>
      <w:r w:rsidRPr="00112BF8">
        <w:t xml:space="preserve"> proposed </w:t>
      </w:r>
      <w:r w:rsidR="00803B06">
        <w:t>7.20</w:t>
      </w:r>
      <w:r w:rsidRPr="00112BF8">
        <w:t xml:space="preserve"> per cent return</w:t>
      </w:r>
      <w:r>
        <w:t>.</w:t>
      </w:r>
      <w:r w:rsidR="00803B06">
        <w:rPr>
          <w:rStyle w:val="FootnoteReference"/>
        </w:rPr>
        <w:footnoteReference w:id="24"/>
      </w:r>
      <w:r>
        <w:t xml:space="preserve"> In accordance with the </w:t>
      </w:r>
      <w:r w:rsidR="00803B06">
        <w:t xml:space="preserve">Rate of Return </w:t>
      </w:r>
      <w:r>
        <w:t>Guideline, we</w:t>
      </w:r>
      <w:r w:rsidRPr="00112BF8">
        <w:t xml:space="preserve"> will update</w:t>
      </w:r>
      <w:r>
        <w:t xml:space="preserve"> the rate of return </w:t>
      </w:r>
      <w:r w:rsidRPr="00112BF8">
        <w:t>annually</w:t>
      </w:r>
      <w:r>
        <w:t>, consistent with Powercor’s proposal and our approach to return on debt</w:t>
      </w:r>
      <w:r w:rsidRPr="00112BF8">
        <w:t>.</w:t>
      </w:r>
      <w:r>
        <w:rPr>
          <w:rStyle w:val="FootnoteReference"/>
        </w:rPr>
        <w:footnoteReference w:id="25"/>
      </w:r>
      <w:r w:rsidRPr="00112BF8">
        <w:t xml:space="preserve"> </w:t>
      </w:r>
      <w:r>
        <w:t xml:space="preserve">Table </w:t>
      </w:r>
      <w:r w:rsidR="00C0460B">
        <w:t>6</w:t>
      </w:r>
      <w:r>
        <w:t xml:space="preserve"> sets out the parameters we have used to determine the rate of return</w:t>
      </w:r>
      <w:r w:rsidRPr="00112BF8">
        <w:t>.</w:t>
      </w:r>
    </w:p>
    <w:p w:rsidR="002F3C7B" w:rsidRDefault="002F3C7B" w:rsidP="002F3C7B">
      <w:pPr>
        <w:pStyle w:val="Caption"/>
      </w:pPr>
      <w:r w:rsidRPr="00112BF8">
        <w:t xml:space="preserve">Table </w:t>
      </w:r>
      <w:r w:rsidR="00C0460B">
        <w:t>6</w:t>
      </w:r>
      <w:r w:rsidRPr="00112BF8">
        <w:tab/>
        <w:t xml:space="preserve">AER's </w:t>
      </w:r>
      <w:r w:rsidR="00A85AFD">
        <w:t>preliminary</w:t>
      </w:r>
      <w:r w:rsidR="00A85AFD" w:rsidRPr="00112BF8">
        <w:t xml:space="preserve"> </w:t>
      </w:r>
      <w:r w:rsidRPr="00112BF8">
        <w:t xml:space="preserve">decision on </w:t>
      </w:r>
      <w:r>
        <w:t>Powercor’s</w:t>
      </w:r>
      <w:r w:rsidRPr="00112BF8">
        <w:t xml:space="preserve"> rate of return (nominal)</w:t>
      </w:r>
    </w:p>
    <w:tbl>
      <w:tblPr>
        <w:tblStyle w:val="AERtable-numbers"/>
        <w:tblW w:w="5000" w:type="pct"/>
        <w:tblLook w:val="04A0" w:firstRow="1" w:lastRow="0" w:firstColumn="1" w:lastColumn="0" w:noHBand="0" w:noVBand="1"/>
      </w:tblPr>
      <w:tblGrid>
        <w:gridCol w:w="2471"/>
        <w:gridCol w:w="1556"/>
        <w:gridCol w:w="1556"/>
        <w:gridCol w:w="1556"/>
        <w:gridCol w:w="1554"/>
      </w:tblGrid>
      <w:tr w:rsidR="006D6F33" w:rsidRPr="0036067E" w:rsidTr="00BE2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6D6F33" w:rsidRPr="00796C00" w:rsidRDefault="006D6F33" w:rsidP="008F6524"/>
        </w:tc>
        <w:tc>
          <w:tcPr>
            <w:tcW w:w="895" w:type="pct"/>
          </w:tcPr>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rsidRPr="000954D7">
              <w:t xml:space="preserve">AER </w:t>
            </w:r>
            <w:r w:rsidRPr="00C32DEC">
              <w:t>previous decision</w:t>
            </w:r>
          </w:p>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t>(</w:t>
            </w:r>
            <w:r w:rsidRPr="00C32DEC">
              <w:t>201</w:t>
            </w:r>
            <w:r>
              <w:t>1</w:t>
            </w:r>
            <w:r w:rsidRPr="00C32DEC">
              <w:br w:type="column"/>
              <w:t>–15)</w:t>
            </w:r>
          </w:p>
        </w:tc>
        <w:tc>
          <w:tcPr>
            <w:tcW w:w="895" w:type="pct"/>
          </w:tcPr>
          <w:p w:rsidR="006D6F33" w:rsidRDefault="006D6F33" w:rsidP="008F6524">
            <w:pPr>
              <w:cnfStyle w:val="100000000000" w:firstRow="1" w:lastRow="0" w:firstColumn="0" w:lastColumn="0" w:oddVBand="0" w:evenVBand="0" w:oddHBand="0" w:evenHBand="0" w:firstRowFirstColumn="0" w:firstRowLastColumn="0" w:lastRowFirstColumn="0" w:lastRowLastColumn="0"/>
            </w:pPr>
          </w:p>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t>Powercor</w:t>
            </w:r>
            <w:r w:rsidRPr="00C32DEC">
              <w:t xml:space="preserve"> proposal</w:t>
            </w:r>
          </w:p>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t>(2016</w:t>
            </w:r>
            <w:r w:rsidRPr="00C32DEC">
              <w:t>)</w:t>
            </w:r>
            <w:r w:rsidRPr="00C32DEC">
              <w:rPr>
                <w:rStyle w:val="AERsuperscript"/>
              </w:rPr>
              <w:t>(a)</w:t>
            </w:r>
          </w:p>
          <w:p w:rsidR="006D6F33" w:rsidRPr="0019488C" w:rsidRDefault="006D6F33" w:rsidP="008F6524">
            <w:pPr>
              <w:cnfStyle w:val="100000000000" w:firstRow="1" w:lastRow="0" w:firstColumn="0" w:lastColumn="0" w:oddVBand="0" w:evenVBand="0" w:oddHBand="0" w:evenHBand="0" w:firstRowFirstColumn="0" w:firstRowLastColumn="0" w:lastRowFirstColumn="0" w:lastRowLastColumn="0"/>
            </w:pPr>
          </w:p>
        </w:tc>
        <w:tc>
          <w:tcPr>
            <w:tcW w:w="895" w:type="pct"/>
          </w:tcPr>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rsidRPr="00381B0E">
              <w:t xml:space="preserve">AER </w:t>
            </w:r>
            <w:r>
              <w:t>preliminary</w:t>
            </w:r>
            <w:r w:rsidRPr="00381B0E">
              <w:t xml:space="preserve"> decision</w:t>
            </w:r>
          </w:p>
          <w:p w:rsidR="006D6F33" w:rsidRPr="00C32DEC" w:rsidRDefault="006D6F33" w:rsidP="00A434BA">
            <w:pPr>
              <w:cnfStyle w:val="100000000000" w:firstRow="1" w:lastRow="0" w:firstColumn="0" w:lastColumn="0" w:oddVBand="0" w:evenVBand="0" w:oddHBand="0" w:evenHBand="0" w:firstRowFirstColumn="0" w:firstRowLastColumn="0" w:lastRowFirstColumn="0" w:lastRowLastColumn="0"/>
            </w:pPr>
            <w:r>
              <w:t>(</w:t>
            </w:r>
            <w:r w:rsidRPr="00C32DEC">
              <w:t>201</w:t>
            </w:r>
            <w:r>
              <w:t>6</w:t>
            </w:r>
            <w:r w:rsidRPr="00C32DEC">
              <w:t>)</w:t>
            </w:r>
          </w:p>
        </w:tc>
        <w:tc>
          <w:tcPr>
            <w:tcW w:w="894" w:type="pct"/>
          </w:tcPr>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t>R</w:t>
            </w:r>
            <w:r w:rsidRPr="00C32DEC">
              <w:t>eturn over</w:t>
            </w:r>
          </w:p>
          <w:p w:rsidR="006D6F33" w:rsidRPr="00C32DEC" w:rsidRDefault="006D6F33" w:rsidP="008F6524">
            <w:pPr>
              <w:cnfStyle w:val="100000000000" w:firstRow="1" w:lastRow="0" w:firstColumn="0" w:lastColumn="0" w:oddVBand="0" w:evenVBand="0" w:oddHBand="0" w:evenHBand="0" w:firstRowFirstColumn="0" w:firstRowLastColumn="0" w:lastRowFirstColumn="0" w:lastRowLastColumn="0"/>
            </w:pPr>
            <w:r>
              <w:t>2016</w:t>
            </w:r>
            <w:r w:rsidRPr="00C32DEC">
              <w:t xml:space="preserve">–20 regulatory </w:t>
            </w:r>
            <w:r w:rsidR="00BE224D">
              <w:t>control</w:t>
            </w:r>
            <w:r w:rsidRPr="00C32DEC">
              <w:t xml:space="preserve"> period</w:t>
            </w:r>
          </w:p>
        </w:tc>
      </w:tr>
      <w:tr w:rsidR="006D6F33" w:rsidRPr="00BD56F3" w:rsidTr="00BE224D">
        <w:tc>
          <w:tcPr>
            <w:cnfStyle w:val="001000000000" w:firstRow="0" w:lastRow="0" w:firstColumn="1" w:lastColumn="0" w:oddVBand="0" w:evenVBand="0" w:oddHBand="0" w:evenHBand="0" w:firstRowFirstColumn="0" w:firstRowLastColumn="0" w:lastRowFirstColumn="0" w:lastRowLastColumn="0"/>
            <w:tcW w:w="1421" w:type="pct"/>
          </w:tcPr>
          <w:p w:rsidR="006D6F33" w:rsidRPr="00C32DEC" w:rsidRDefault="006D6F33" w:rsidP="008F6524">
            <w:r>
              <w:t>R</w:t>
            </w:r>
            <w:r w:rsidRPr="00C32DEC">
              <w:t xml:space="preserve">eturn on equity    (nominal post–tax) </w:t>
            </w:r>
          </w:p>
        </w:tc>
        <w:tc>
          <w:tcPr>
            <w:tcW w:w="895" w:type="pct"/>
          </w:tcPr>
          <w:p w:rsidR="006D6F33" w:rsidRPr="00C32DEC" w:rsidRDefault="00BE224D" w:rsidP="008F6524">
            <w:pPr>
              <w:cnfStyle w:val="000000000000" w:firstRow="0" w:lastRow="0" w:firstColumn="0" w:lastColumn="0" w:oddVBand="0" w:evenVBand="0" w:oddHBand="0" w:evenHBand="0" w:firstRowFirstColumn="0" w:firstRowLastColumn="0" w:lastRowFirstColumn="0" w:lastRowLastColumn="0"/>
            </w:pPr>
            <w:r>
              <w:t>10.28</w:t>
            </w:r>
            <w:r w:rsidR="006D6F33" w:rsidRPr="00C32DEC">
              <w:t>%</w:t>
            </w:r>
          </w:p>
        </w:tc>
        <w:tc>
          <w:tcPr>
            <w:tcW w:w="895"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9.</w:t>
            </w:r>
            <w:r w:rsidR="00BE224D">
              <w:t>9</w:t>
            </w:r>
            <w:r w:rsidRPr="00C32DEC">
              <w:t>%</w:t>
            </w:r>
            <w:r w:rsidRPr="00C32DEC">
              <w:rPr>
                <w:rStyle w:val="AERsuperscript"/>
              </w:rPr>
              <w:t xml:space="preserve"> </w:t>
            </w:r>
          </w:p>
        </w:tc>
        <w:tc>
          <w:tcPr>
            <w:tcW w:w="895" w:type="pct"/>
          </w:tcPr>
          <w:p w:rsidR="006D6F33" w:rsidRPr="00C32DEC" w:rsidRDefault="00BE224D" w:rsidP="008F6524">
            <w:pPr>
              <w:cnfStyle w:val="000000000000" w:firstRow="0" w:lastRow="0" w:firstColumn="0" w:lastColumn="0" w:oddVBand="0" w:evenVBand="0" w:oddHBand="0" w:evenHBand="0" w:firstRowFirstColumn="0" w:firstRowLastColumn="0" w:lastRowFirstColumn="0" w:lastRowLastColumn="0"/>
            </w:pPr>
            <w:r>
              <w:t>7.3</w:t>
            </w:r>
            <w:r w:rsidR="006D6F33" w:rsidRPr="00C32DEC">
              <w:t>%</w:t>
            </w:r>
          </w:p>
        </w:tc>
        <w:tc>
          <w:tcPr>
            <w:tcW w:w="894"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R</w:t>
            </w:r>
            <w:r w:rsidR="00BE224D">
              <w:t>emains constant</w:t>
            </w:r>
            <w:r w:rsidRPr="00C32DEC">
              <w:t xml:space="preserve"> (</w:t>
            </w:r>
            <w:r w:rsidR="00BE224D">
              <w:t>7.3</w:t>
            </w:r>
            <w:r w:rsidRPr="00C32DEC">
              <w:t>%)</w:t>
            </w:r>
          </w:p>
        </w:tc>
      </w:tr>
      <w:tr w:rsidR="006D6F33" w:rsidRPr="00BD56F3" w:rsidTr="00BE22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6D6F33" w:rsidRPr="00C32DEC" w:rsidRDefault="006D6F33" w:rsidP="008F6524">
            <w:r>
              <w:t>Return on debt</w:t>
            </w:r>
            <w:r w:rsidRPr="00C32DEC">
              <w:t xml:space="preserve">      (nominal pre–tax)</w:t>
            </w:r>
          </w:p>
        </w:tc>
        <w:tc>
          <w:tcPr>
            <w:tcW w:w="895" w:type="pct"/>
          </w:tcPr>
          <w:p w:rsidR="006D6F33" w:rsidRPr="00C32DEC" w:rsidRDefault="00BE224D" w:rsidP="008F6524">
            <w:pPr>
              <w:cnfStyle w:val="000000010000" w:firstRow="0" w:lastRow="0" w:firstColumn="0" w:lastColumn="0" w:oddVBand="0" w:evenVBand="0" w:oddHBand="0" w:evenHBand="1" w:firstRowFirstColumn="0" w:firstRowLastColumn="0" w:lastRowFirstColumn="0" w:lastRowLastColumn="0"/>
            </w:pPr>
            <w:r>
              <w:t>8.</w:t>
            </w:r>
            <w:r w:rsidR="00566DC7">
              <w:t>97</w:t>
            </w:r>
            <w:r w:rsidR="006D6F33" w:rsidRPr="00C32DEC">
              <w:t>%</w:t>
            </w:r>
          </w:p>
        </w:tc>
        <w:tc>
          <w:tcPr>
            <w:tcW w:w="895" w:type="pct"/>
          </w:tcPr>
          <w:p w:rsidR="006D6F33" w:rsidRPr="00C32DEC" w:rsidRDefault="00BE224D" w:rsidP="008F6524">
            <w:pPr>
              <w:cnfStyle w:val="000000010000" w:firstRow="0" w:lastRow="0" w:firstColumn="0" w:lastColumn="0" w:oddVBand="0" w:evenVBand="0" w:oddHBand="0" w:evenHBand="1" w:firstRowFirstColumn="0" w:firstRowLastColumn="0" w:lastRowFirstColumn="0" w:lastRowLastColumn="0"/>
            </w:pPr>
            <w:r>
              <w:t>5.3</w:t>
            </w:r>
            <w:r w:rsidR="006D6F33" w:rsidRPr="00C32DEC">
              <w:t>9%</w:t>
            </w:r>
          </w:p>
        </w:tc>
        <w:tc>
          <w:tcPr>
            <w:tcW w:w="895" w:type="pct"/>
          </w:tcPr>
          <w:p w:rsidR="006D6F33" w:rsidRPr="00C32DEC" w:rsidRDefault="00BE224D" w:rsidP="008F6524">
            <w:pPr>
              <w:cnfStyle w:val="000000010000" w:firstRow="0" w:lastRow="0" w:firstColumn="0" w:lastColumn="0" w:oddVBand="0" w:evenVBand="0" w:oddHBand="0" w:evenHBand="1" w:firstRowFirstColumn="0" w:firstRowLastColumn="0" w:lastRowFirstColumn="0" w:lastRowLastColumn="0"/>
            </w:pPr>
            <w:r>
              <w:t>5.16</w:t>
            </w:r>
            <w:r w:rsidR="006D6F33" w:rsidRPr="00C32DEC">
              <w:t>%</w:t>
            </w:r>
          </w:p>
        </w:tc>
        <w:tc>
          <w:tcPr>
            <w:tcW w:w="894" w:type="pct"/>
          </w:tcPr>
          <w:p w:rsidR="006D6F33" w:rsidRPr="00C32DEC" w:rsidRDefault="006D6F33" w:rsidP="008F6524">
            <w:pPr>
              <w:cnfStyle w:val="000000010000" w:firstRow="0" w:lastRow="0" w:firstColumn="0" w:lastColumn="0" w:oddVBand="0" w:evenVBand="0" w:oddHBand="0" w:evenHBand="1" w:firstRowFirstColumn="0" w:firstRowLastColumn="0" w:lastRowFirstColumn="0" w:lastRowLastColumn="0"/>
            </w:pPr>
            <w:r>
              <w:t>Updated annually</w:t>
            </w:r>
          </w:p>
        </w:tc>
      </w:tr>
      <w:tr w:rsidR="006D6F33" w:rsidRPr="00BD56F3" w:rsidTr="00BE224D">
        <w:tc>
          <w:tcPr>
            <w:cnfStyle w:val="001000000000" w:firstRow="0" w:lastRow="0" w:firstColumn="1" w:lastColumn="0" w:oddVBand="0" w:evenVBand="0" w:oddHBand="0" w:evenHBand="0" w:firstRowFirstColumn="0" w:firstRowLastColumn="0" w:lastRowFirstColumn="0" w:lastRowLastColumn="0"/>
            <w:tcW w:w="1421" w:type="pct"/>
          </w:tcPr>
          <w:p w:rsidR="006D6F33" w:rsidRPr="00C32DEC" w:rsidRDefault="006D6F33" w:rsidP="008F6524">
            <w:r>
              <w:t>Gearing</w:t>
            </w:r>
          </w:p>
        </w:tc>
        <w:tc>
          <w:tcPr>
            <w:tcW w:w="895"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60%</w:t>
            </w:r>
          </w:p>
        </w:tc>
        <w:tc>
          <w:tcPr>
            <w:tcW w:w="894"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Remains constant</w:t>
            </w:r>
            <w:r w:rsidRPr="00C32DEC">
              <w:t xml:space="preserve">   (60%)</w:t>
            </w:r>
          </w:p>
        </w:tc>
      </w:tr>
      <w:tr w:rsidR="006D6F33" w:rsidRPr="00BD56F3" w:rsidTr="00BE22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6D6F33" w:rsidRPr="00C32DEC" w:rsidRDefault="006D6F33" w:rsidP="008F6524">
            <w:r w:rsidRPr="00796C00">
              <w:t>Nominal vanilla WACC</w:t>
            </w:r>
          </w:p>
        </w:tc>
        <w:tc>
          <w:tcPr>
            <w:tcW w:w="895" w:type="pct"/>
          </w:tcPr>
          <w:p w:rsidR="006D6F33" w:rsidRPr="00C32DEC" w:rsidRDefault="006D6F33" w:rsidP="008F6524">
            <w:pPr>
              <w:cnfStyle w:val="000000010000" w:firstRow="0" w:lastRow="0" w:firstColumn="0" w:lastColumn="0" w:oddVBand="0" w:evenVBand="0" w:oddHBand="0" w:evenHBand="1" w:firstRowFirstColumn="0" w:firstRowLastColumn="0" w:lastRowFirstColumn="0" w:lastRowLastColumn="0"/>
            </w:pPr>
            <w:r>
              <w:t>9.</w:t>
            </w:r>
            <w:r w:rsidR="00566DC7">
              <w:t>49</w:t>
            </w:r>
            <w:r w:rsidRPr="00C32DEC">
              <w:t>%</w:t>
            </w:r>
          </w:p>
        </w:tc>
        <w:tc>
          <w:tcPr>
            <w:tcW w:w="895" w:type="pct"/>
          </w:tcPr>
          <w:p w:rsidR="006D6F33" w:rsidRPr="00C32DEC" w:rsidRDefault="006D6F33" w:rsidP="008F6524">
            <w:pPr>
              <w:cnfStyle w:val="000000010000" w:firstRow="0" w:lastRow="0" w:firstColumn="0" w:lastColumn="0" w:oddVBand="0" w:evenVBand="0" w:oddHBand="0" w:evenHBand="1" w:firstRowFirstColumn="0" w:firstRowLastColumn="0" w:lastRowFirstColumn="0" w:lastRowLastColumn="0"/>
            </w:pPr>
            <w:r>
              <w:t>7.</w:t>
            </w:r>
            <w:r w:rsidR="00BE224D">
              <w:t>20</w:t>
            </w:r>
            <w:r w:rsidRPr="00C32DEC">
              <w:t>%</w:t>
            </w:r>
          </w:p>
        </w:tc>
        <w:tc>
          <w:tcPr>
            <w:tcW w:w="895" w:type="pct"/>
          </w:tcPr>
          <w:p w:rsidR="006D6F33" w:rsidRPr="00C32DEC" w:rsidRDefault="00BE224D" w:rsidP="008F6524">
            <w:pPr>
              <w:cnfStyle w:val="000000010000" w:firstRow="0" w:lastRow="0" w:firstColumn="0" w:lastColumn="0" w:oddVBand="0" w:evenVBand="0" w:oddHBand="0" w:evenHBand="1" w:firstRowFirstColumn="0" w:firstRowLastColumn="0" w:lastRowFirstColumn="0" w:lastRowLastColumn="0"/>
            </w:pPr>
            <w:r>
              <w:t>6.02</w:t>
            </w:r>
            <w:r w:rsidR="006D6F33" w:rsidRPr="00C32DEC">
              <w:t>%</w:t>
            </w:r>
          </w:p>
        </w:tc>
        <w:tc>
          <w:tcPr>
            <w:tcW w:w="894" w:type="pct"/>
          </w:tcPr>
          <w:p w:rsidR="006D6F33" w:rsidRPr="00C32DEC" w:rsidRDefault="006D6F33" w:rsidP="008F6524">
            <w:pPr>
              <w:cnfStyle w:val="000000010000" w:firstRow="0" w:lastRow="0" w:firstColumn="0" w:lastColumn="0" w:oddVBand="0" w:evenVBand="0" w:oddHBand="0" w:evenHBand="1" w:firstRowFirstColumn="0" w:firstRowLastColumn="0" w:lastRowFirstColumn="0" w:lastRowLastColumn="0"/>
            </w:pPr>
            <w:r>
              <w:t xml:space="preserve">Updated </w:t>
            </w:r>
            <w:r w:rsidRPr="00C32DEC">
              <w:t>annually as return on debt is updated</w:t>
            </w:r>
          </w:p>
        </w:tc>
      </w:tr>
      <w:tr w:rsidR="006D6F33" w:rsidRPr="00BD56F3" w:rsidTr="00BE224D">
        <w:tc>
          <w:tcPr>
            <w:cnfStyle w:val="001000000000" w:firstRow="0" w:lastRow="0" w:firstColumn="1" w:lastColumn="0" w:oddVBand="0" w:evenVBand="0" w:oddHBand="0" w:evenHBand="0" w:firstRowFirstColumn="0" w:firstRowLastColumn="0" w:lastRowFirstColumn="0" w:lastRowLastColumn="0"/>
            <w:tcW w:w="1421" w:type="pct"/>
          </w:tcPr>
          <w:p w:rsidR="006D6F33" w:rsidRPr="00C32DEC" w:rsidRDefault="006D6F33" w:rsidP="008F6524">
            <w:r>
              <w:t xml:space="preserve">Forecast </w:t>
            </w:r>
            <w:r w:rsidRPr="00C32DEC">
              <w:t>inflation</w:t>
            </w:r>
          </w:p>
        </w:tc>
        <w:tc>
          <w:tcPr>
            <w:tcW w:w="895"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2.5</w:t>
            </w:r>
            <w:r w:rsidR="00BE224D">
              <w:t>7</w:t>
            </w:r>
            <w:r w:rsidRPr="00C32DEC">
              <w:t>%</w:t>
            </w:r>
          </w:p>
        </w:tc>
        <w:tc>
          <w:tcPr>
            <w:tcW w:w="895" w:type="pct"/>
          </w:tcPr>
          <w:p w:rsidR="006D6F33" w:rsidRPr="00C32DEC" w:rsidRDefault="006D6F33" w:rsidP="00277533">
            <w:pPr>
              <w:cnfStyle w:val="000000000000" w:firstRow="0" w:lastRow="0" w:firstColumn="0" w:lastColumn="0" w:oddVBand="0" w:evenVBand="0" w:oddHBand="0" w:evenHBand="0" w:firstRowFirstColumn="0" w:firstRowLastColumn="0" w:lastRowFirstColumn="0" w:lastRowLastColumn="0"/>
            </w:pPr>
            <w:r>
              <w:t>2.</w:t>
            </w:r>
            <w:r w:rsidRPr="00C32DEC">
              <w:t>6</w:t>
            </w:r>
            <w:r w:rsidR="00277533">
              <w:t>0</w:t>
            </w:r>
            <w:r w:rsidRPr="00C32DEC">
              <w:t>%</w:t>
            </w:r>
          </w:p>
        </w:tc>
        <w:tc>
          <w:tcPr>
            <w:tcW w:w="895"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2.5</w:t>
            </w:r>
            <w:r w:rsidRPr="00C32DEC">
              <w:t>0%</w:t>
            </w:r>
          </w:p>
        </w:tc>
        <w:tc>
          <w:tcPr>
            <w:tcW w:w="894" w:type="pct"/>
          </w:tcPr>
          <w:p w:rsidR="006D6F33" w:rsidRPr="00C32DEC" w:rsidRDefault="006D6F33" w:rsidP="008F6524">
            <w:pPr>
              <w:cnfStyle w:val="000000000000" w:firstRow="0" w:lastRow="0" w:firstColumn="0" w:lastColumn="0" w:oddVBand="0" w:evenVBand="0" w:oddHBand="0" w:evenHBand="0" w:firstRowFirstColumn="0" w:firstRowLastColumn="0" w:lastRowFirstColumn="0" w:lastRowLastColumn="0"/>
            </w:pPr>
            <w:r>
              <w:t>R</w:t>
            </w:r>
            <w:r w:rsidRPr="00C32DEC">
              <w:t>emains constant (2.50%)</w:t>
            </w:r>
          </w:p>
        </w:tc>
      </w:tr>
    </w:tbl>
    <w:p w:rsidR="00BE224D" w:rsidRDefault="00BE224D" w:rsidP="00BE224D">
      <w:pPr>
        <w:pStyle w:val="AERtablesource"/>
      </w:pPr>
      <w:bookmarkStart w:id="52" w:name="_Toc414891204"/>
      <w:bookmarkStart w:id="53" w:name="_Toc414977539"/>
      <w:bookmarkStart w:id="54" w:name="_Toc415837327"/>
      <w:bookmarkStart w:id="55" w:name="_Toc416178159"/>
      <w:bookmarkStart w:id="56" w:name="_Toc416340892"/>
      <w:bookmarkStart w:id="57" w:name="_Toc417973139"/>
      <w:bookmarkStart w:id="58" w:name="_Toc428354971"/>
      <w:bookmarkStart w:id="59" w:name="_Toc428956713"/>
      <w:r>
        <w:t>Source:</w:t>
      </w:r>
      <w:r>
        <w:tab/>
        <w:t xml:space="preserve">AER analysis; Powercor, </w:t>
      </w:r>
      <w:r w:rsidR="00AF690B">
        <w:rPr>
          <w:rStyle w:val="AERtextitalic"/>
        </w:rPr>
        <w:t>Re</w:t>
      </w:r>
      <w:r w:rsidRPr="00217FD9">
        <w:rPr>
          <w:rStyle w:val="AERtextitalic"/>
        </w:rPr>
        <w:t>gulatory proposal</w:t>
      </w:r>
      <w:r>
        <w:rPr>
          <w:rStyle w:val="AERtextitalic"/>
        </w:rPr>
        <w:t xml:space="preserve">, </w:t>
      </w:r>
      <w:r w:rsidRPr="006675CD">
        <w:t>April 2015</w:t>
      </w:r>
      <w:r>
        <w:t xml:space="preserve">; AER, </w:t>
      </w:r>
      <w:r w:rsidRPr="00740B5F">
        <w:rPr>
          <w:rStyle w:val="AERtextitalic"/>
        </w:rPr>
        <w:t xml:space="preserve">Final decision: </w:t>
      </w:r>
      <w:r>
        <w:rPr>
          <w:rStyle w:val="AERtextitalic"/>
        </w:rPr>
        <w:t>Victorian electricity distribution network service providers, Distribution determination</w:t>
      </w:r>
      <w:r w:rsidRPr="00740B5F">
        <w:rPr>
          <w:rStyle w:val="AERtextitalic"/>
        </w:rPr>
        <w:t xml:space="preserve"> 20</w:t>
      </w:r>
      <w:r>
        <w:rPr>
          <w:rStyle w:val="AERtextitalic"/>
        </w:rPr>
        <w:t>11</w:t>
      </w:r>
      <w:r w:rsidRPr="00740B5F">
        <w:rPr>
          <w:rStyle w:val="AERtextitalic"/>
        </w:rPr>
        <w:t>–1</w:t>
      </w:r>
      <w:r>
        <w:rPr>
          <w:rStyle w:val="AERtextitalic"/>
        </w:rPr>
        <w:t>5, October</w:t>
      </w:r>
      <w:r>
        <w:t xml:space="preserve"> 2010. The Australian Competition Tribunal, in </w:t>
      </w:r>
      <w:r w:rsidRPr="000F4C2D">
        <w:rPr>
          <w:rStyle w:val="AERtextitalic"/>
        </w:rPr>
        <w:t xml:space="preserve">Application by United Energy Distribution Pte Ltd (No 2) [2012] ACompT 8 </w:t>
      </w:r>
      <w:r>
        <w:rPr>
          <w:rStyle w:val="AERtextitalic"/>
        </w:rPr>
        <w:t>(</w:t>
      </w:r>
      <w:r w:rsidRPr="000F4C2D">
        <w:rPr>
          <w:rStyle w:val="AERtextitalic"/>
        </w:rPr>
        <w:t>5 April 2012</w:t>
      </w:r>
      <w:r>
        <w:rPr>
          <w:rStyle w:val="AERtextitalic"/>
        </w:rPr>
        <w:t>)</w:t>
      </w:r>
      <w:r w:rsidR="00780CDF">
        <w:rPr>
          <w:rStyle w:val="AERtextitalic"/>
        </w:rPr>
        <w:t>.</w:t>
      </w:r>
      <w:r>
        <w:rPr>
          <w:rStyle w:val="AERtextitalic"/>
        </w:rPr>
        <w:t xml:space="preserve"> </w:t>
      </w:r>
    </w:p>
    <w:p w:rsidR="00BE224D" w:rsidRPr="00C32DEC" w:rsidRDefault="00BE224D" w:rsidP="00BE224D">
      <w:pPr>
        <w:pStyle w:val="AERtablesource"/>
      </w:pPr>
      <w:r w:rsidRPr="00C32DEC" w:rsidDel="00527773">
        <w:t xml:space="preserve"> </w:t>
      </w:r>
      <w:r w:rsidRPr="00C32DEC">
        <w:t>(a)</w:t>
      </w:r>
      <w:r w:rsidRPr="00C32DEC">
        <w:tab/>
      </w:r>
      <w:r>
        <w:t>Powercor's</w:t>
      </w:r>
      <w:r w:rsidRPr="000F4C2D">
        <w:t xml:space="preserve">, </w:t>
      </w:r>
      <w:r w:rsidR="00AF690B">
        <w:t>Regulatory proposal u</w:t>
      </w:r>
      <w:r>
        <w:t>ses values derived from the placeholder averaging</w:t>
      </w:r>
      <w:r w:rsidRPr="00C32DEC">
        <w:t xml:space="preserve"> periods for risk free rate and rate on debt</w:t>
      </w:r>
      <w:r>
        <w:t xml:space="preserve"> in its revised proposal</w:t>
      </w:r>
      <w:r w:rsidRPr="00C32DEC">
        <w:t xml:space="preserve">.   </w:t>
      </w:r>
    </w:p>
    <w:p w:rsidR="002F3C7B" w:rsidRPr="00112BF8" w:rsidRDefault="002F3C7B" w:rsidP="002F3C7B">
      <w:pPr>
        <w:pStyle w:val="HeadingBoldBlue"/>
        <w:numPr>
          <w:ilvl w:val="0"/>
          <w:numId w:val="24"/>
        </w:numPr>
      </w:pPr>
      <w:bookmarkStart w:id="60" w:name="_Toc433786797"/>
      <w:r w:rsidRPr="00112BF8">
        <w:t>Our approach</w:t>
      </w:r>
      <w:bookmarkEnd w:id="52"/>
      <w:bookmarkEnd w:id="53"/>
      <w:bookmarkEnd w:id="54"/>
      <w:bookmarkEnd w:id="55"/>
      <w:bookmarkEnd w:id="56"/>
      <w:bookmarkEnd w:id="57"/>
      <w:bookmarkEnd w:id="58"/>
      <w:bookmarkEnd w:id="59"/>
      <w:bookmarkEnd w:id="60"/>
    </w:p>
    <w:p w:rsidR="002F3C7B" w:rsidRDefault="002F3C7B" w:rsidP="002F3C7B">
      <w:pPr>
        <w:numPr>
          <w:ilvl w:val="0"/>
          <w:numId w:val="24"/>
        </w:numPr>
      </w:pPr>
      <w:r>
        <w:t>All NER requirements relating to the rate of return are subject to the overall rate of return achieving the allowed rate of return objective.</w:t>
      </w:r>
      <w:r>
        <w:rPr>
          <w:rStyle w:val="FootnoteReference"/>
        </w:rPr>
        <w:footnoteReference w:id="26"/>
      </w:r>
      <w:r>
        <w:t xml:space="preserve"> The NER recognises that there </w:t>
      </w:r>
      <w:r w:rsidR="00A14C7A">
        <w:t xml:space="preserve">may be </w:t>
      </w:r>
      <w:r>
        <w:t xml:space="preserve">several plausible answers that could achieve the allowed rate of return </w:t>
      </w:r>
      <w:r>
        <w:lastRenderedPageBreak/>
        <w:t>objective.</w:t>
      </w:r>
      <w:r w:rsidRPr="00D16140">
        <w:rPr>
          <w:rStyle w:val="FootnoteReference"/>
        </w:rPr>
        <w:footnoteReference w:id="27"/>
      </w:r>
      <w:r>
        <w:t xml:space="preserve"> We agree with stakeholders that predictability of outcomes in rate of return issues </w:t>
      </w:r>
      <w:r w:rsidR="005569C0" w:rsidRPr="0078484E">
        <w:t>consistent wi</w:t>
      </w:r>
      <w:r w:rsidR="005569C0">
        <w:t xml:space="preserve">th prevailing market conditions </w:t>
      </w:r>
      <w:r>
        <w:t>could materially benefit the long term interests of consumers.</w:t>
      </w:r>
      <w:r w:rsidRPr="00FF1D25">
        <w:rPr>
          <w:rStyle w:val="FootnoteReference"/>
        </w:rPr>
        <w:t xml:space="preserve"> </w:t>
      </w:r>
      <w:r w:rsidRPr="00D16140">
        <w:rPr>
          <w:rStyle w:val="FootnoteReference"/>
        </w:rPr>
        <w:footnoteReference w:id="28"/>
      </w:r>
      <w:r>
        <w:t xml:space="preserve"> </w:t>
      </w:r>
    </w:p>
    <w:p w:rsidR="002F3C7B" w:rsidRPr="00D16140" w:rsidRDefault="002F3C7B" w:rsidP="002F3C7B">
      <w:pPr>
        <w:numPr>
          <w:ilvl w:val="0"/>
          <w:numId w:val="24"/>
        </w:numPr>
      </w:pPr>
      <w:r>
        <w:t>We developed our approach prior to the submission of this regulatory proposal, as required by the rate of return framework</w:t>
      </w:r>
      <w:r w:rsidR="00A13795" w:rsidRPr="00A13795">
        <w:t xml:space="preserve"> </w:t>
      </w:r>
      <w:r w:rsidR="00A13795">
        <w:t>in the NER</w:t>
      </w:r>
      <w:r>
        <w:t xml:space="preserve">. In December 2013, we published the </w:t>
      </w:r>
      <w:r w:rsidR="00A14C7A">
        <w:t xml:space="preserve">Rate of Return </w:t>
      </w:r>
      <w:r>
        <w:t>Guideline,</w:t>
      </w:r>
      <w:r w:rsidRPr="00D16140">
        <w:rPr>
          <w:rStyle w:val="FootnoteReference"/>
        </w:rPr>
        <w:footnoteReference w:id="29"/>
      </w:r>
      <w:r>
        <w:t xml:space="preserve"> as contemplated by the NER. </w:t>
      </w:r>
      <w:r w:rsidRPr="00D16140">
        <w:t xml:space="preserve">The Guideline was </w:t>
      </w:r>
      <w:r w:rsidR="00A14C7A" w:rsidRPr="00D16140">
        <w:t>de</w:t>
      </w:r>
      <w:r w:rsidR="00A14C7A">
        <w:t>veloped</w:t>
      </w:r>
      <w:r w:rsidR="00A14C7A" w:rsidRPr="00D16140">
        <w:t xml:space="preserve"> </w:t>
      </w:r>
      <w:r w:rsidRPr="00D16140">
        <w:t xml:space="preserve">through extensive consultation </w:t>
      </w:r>
      <w:r w:rsidR="00A13795">
        <w:t>in 2013</w:t>
      </w:r>
      <w:r w:rsidRPr="00D16140">
        <w:t>.</w:t>
      </w:r>
      <w:r>
        <w:t xml:space="preserve"> </w:t>
      </w:r>
    </w:p>
    <w:p w:rsidR="002F3C7B" w:rsidRPr="00D16140" w:rsidRDefault="002F3C7B" w:rsidP="002F3C7B">
      <w:pPr>
        <w:pStyle w:val="HeadingBoldBlue"/>
        <w:numPr>
          <w:ilvl w:val="0"/>
          <w:numId w:val="24"/>
        </w:numPr>
      </w:pPr>
      <w:bookmarkStart w:id="61" w:name="_Toc417973140"/>
      <w:bookmarkStart w:id="62" w:name="_Toc428354972"/>
      <w:bookmarkStart w:id="63" w:name="_Toc428956714"/>
      <w:bookmarkStart w:id="64" w:name="_Toc433786798"/>
      <w:r w:rsidRPr="00D16140">
        <w:t>Return on debt</w:t>
      </w:r>
      <w:bookmarkEnd w:id="61"/>
      <w:bookmarkEnd w:id="62"/>
      <w:bookmarkEnd w:id="63"/>
      <w:bookmarkEnd w:id="64"/>
    </w:p>
    <w:p w:rsidR="005D3D96" w:rsidRDefault="005D3D96" w:rsidP="00A14C7A">
      <w:r>
        <w:t>In our previous regulatory decisions</w:t>
      </w:r>
      <w:r w:rsidR="002F3C7B">
        <w:t>,</w:t>
      </w:r>
      <w:r w:rsidR="002F3C7B" w:rsidRPr="00D16140">
        <w:t xml:space="preserve"> </w:t>
      </w:r>
      <w:r w:rsidR="002F3C7B">
        <w:t xml:space="preserve">we used </w:t>
      </w:r>
      <w:r w:rsidR="002F3C7B" w:rsidRPr="00D16140">
        <w:t>an on-the-day approach</w:t>
      </w:r>
      <w:r w:rsidR="002F3C7B">
        <w:t xml:space="preserve"> to determine the return on debt</w:t>
      </w:r>
      <w:r w:rsidR="002F3C7B" w:rsidRPr="00D16140">
        <w:t>.</w:t>
      </w:r>
      <w:r w:rsidR="002F3C7B">
        <w:rPr>
          <w:rStyle w:val="FootnoteReference"/>
        </w:rPr>
        <w:footnoteReference w:id="30"/>
      </w:r>
      <w:r w:rsidR="002F3C7B">
        <w:t xml:space="preserve"> This is the approach that many Australian regulators continue to use.</w:t>
      </w:r>
      <w:r w:rsidR="002F3C7B" w:rsidRPr="00D16140">
        <w:t xml:space="preserve"> </w:t>
      </w:r>
    </w:p>
    <w:p w:rsidR="00A14C7A" w:rsidRDefault="002F3C7B" w:rsidP="00A14C7A">
      <w:r>
        <w:t xml:space="preserve">However, for this </w:t>
      </w:r>
      <w:r w:rsidR="00A85AFD">
        <w:t xml:space="preserve">preliminary </w:t>
      </w:r>
      <w:r>
        <w:t>decision</w:t>
      </w:r>
      <w:r w:rsidR="005D3D96" w:rsidRPr="005D3D96">
        <w:t xml:space="preserve"> </w:t>
      </w:r>
      <w:r w:rsidR="005D3D96">
        <w:t>as with all our other decisions</w:t>
      </w:r>
      <w:r>
        <w:t>, we have determined a return on debt estimate that gradually transitions from an on-the-day approach to a trailing average approach</w:t>
      </w:r>
      <w:r w:rsidRPr="00D16140">
        <w:t>.</w:t>
      </w:r>
      <w:r>
        <w:rPr>
          <w:rStyle w:val="FootnoteReference"/>
        </w:rPr>
        <w:footnoteReference w:id="31"/>
      </w:r>
      <w:r w:rsidRPr="00D16140">
        <w:t xml:space="preserve"> </w:t>
      </w:r>
      <w:r>
        <w:t xml:space="preserve">This is consistent with the approach most stakeholders supported during the Guideline development process. </w:t>
      </w:r>
      <w:r w:rsidR="00A14C7A">
        <w:t xml:space="preserve">In its regulatory proposal, Powercor </w:t>
      </w:r>
      <w:r w:rsidR="005A1D28">
        <w:t>proposed a different hybrid approach to ours</w:t>
      </w:r>
      <w:r w:rsidR="00A14C7A">
        <w:t>.</w:t>
      </w:r>
      <w:r w:rsidR="00A14C7A">
        <w:rPr>
          <w:rStyle w:val="FootnoteReference"/>
        </w:rPr>
        <w:footnoteReference w:id="32"/>
      </w:r>
    </w:p>
    <w:p w:rsidR="002F3C7B" w:rsidRPr="00D16140" w:rsidRDefault="002F3C7B" w:rsidP="002F3C7B">
      <w:pPr>
        <w:pStyle w:val="HeadingBoldBlue"/>
        <w:numPr>
          <w:ilvl w:val="0"/>
          <w:numId w:val="24"/>
        </w:numPr>
      </w:pPr>
      <w:bookmarkStart w:id="65" w:name="_Toc417973141"/>
      <w:bookmarkStart w:id="66" w:name="_Toc428354973"/>
      <w:bookmarkStart w:id="67" w:name="_Toc428956715"/>
      <w:bookmarkStart w:id="68" w:name="_Toc433786799"/>
      <w:r w:rsidRPr="00D16140">
        <w:t>Return on equity</w:t>
      </w:r>
      <w:bookmarkEnd w:id="65"/>
      <w:bookmarkEnd w:id="66"/>
      <w:bookmarkEnd w:id="67"/>
      <w:bookmarkEnd w:id="68"/>
    </w:p>
    <w:p w:rsidR="002F3C7B" w:rsidRPr="00D16140" w:rsidRDefault="00555951" w:rsidP="002F3C7B">
      <w:pPr>
        <w:pStyle w:val="ListParagraph"/>
        <w:numPr>
          <w:ilvl w:val="0"/>
          <w:numId w:val="24"/>
        </w:numPr>
      </w:pPr>
      <w:r>
        <w:t>Powercor</w:t>
      </w:r>
      <w:r w:rsidR="00A14C7A">
        <w:t xml:space="preserve"> has departed from the Rate of Return Guideline in proposing a return on equity</w:t>
      </w:r>
      <w:r w:rsidR="00F5304A">
        <w:t xml:space="preserve"> of 9.9 per cent</w:t>
      </w:r>
      <w:r w:rsidR="00A14C7A">
        <w:t>.</w:t>
      </w:r>
      <w:r w:rsidR="00A14C7A">
        <w:rPr>
          <w:rStyle w:val="FootnoteReference"/>
        </w:rPr>
        <w:footnoteReference w:id="33"/>
      </w:r>
      <w:r w:rsidR="00A14C7A">
        <w:t xml:space="preserve"> Our approach</w:t>
      </w:r>
      <w:r w:rsidR="002F3C7B">
        <w:t xml:space="preserve"> involves considering all the information before us, through a six step process as set out in the Guideline (foundation model approach).</w:t>
      </w:r>
      <w:r w:rsidR="002F3C7B" w:rsidRPr="00D16140">
        <w:t xml:space="preserve"> </w:t>
      </w:r>
      <w:r w:rsidR="002F3C7B">
        <w:t>This includes detailed consideration of a number of financial models for determining the return on equity.</w:t>
      </w:r>
      <w:r w:rsidR="002F3C7B">
        <w:rPr>
          <w:rStyle w:val="FootnoteReference"/>
        </w:rPr>
        <w:footnoteReference w:id="34"/>
      </w:r>
      <w:r w:rsidR="002F3C7B">
        <w:t xml:space="preserve"> Considering all of this material helps inform a return on equity estimate that contributes to the achievement of the allowed rate of return objective.</w:t>
      </w:r>
    </w:p>
    <w:p w:rsidR="002F3C7B" w:rsidRPr="00D16140" w:rsidRDefault="002F3C7B" w:rsidP="002F3C7B">
      <w:pPr>
        <w:numPr>
          <w:ilvl w:val="0"/>
          <w:numId w:val="24"/>
        </w:numPr>
      </w:pPr>
      <w:r>
        <w:lastRenderedPageBreak/>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evidence before us</w:t>
      </w:r>
      <w:r w:rsidRPr="00D16140">
        <w:t xml:space="preserve"> </w:t>
      </w:r>
      <w:r>
        <w:t>indicates</w:t>
      </w:r>
      <w:r w:rsidRPr="00D16140">
        <w:t xml:space="preserve"> that </w:t>
      </w:r>
      <w:r>
        <w:t xml:space="preserve">on balance </w:t>
      </w:r>
      <w:r w:rsidRPr="00D16140">
        <w:t xml:space="preserve">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35"/>
      </w:r>
    </w:p>
    <w:p w:rsidR="002F3C7B" w:rsidRDefault="002F3C7B" w:rsidP="002F3C7B">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36"/>
      </w:r>
      <w:r w:rsidRPr="00D16140">
        <w:t xml:space="preserve"> Our estimate of the ERP for the benchmark efficient entity is </w:t>
      </w:r>
      <w:r w:rsidRPr="006D6F33">
        <w:t>4.55</w:t>
      </w:r>
      <w:r w:rsidRPr="00D16140">
        <w:t xml:space="preserve"> per cent</w:t>
      </w:r>
      <w:r>
        <w:t xml:space="preserve"> which is within range</w:t>
      </w:r>
      <w:r w:rsidRPr="00D16140">
        <w:t xml:space="preserve"> of other information available to inform the return on equity</w:t>
      </w:r>
      <w:r>
        <w:t xml:space="preserve"> (see figure </w:t>
      </w:r>
      <w:r w:rsidR="00FE3FED">
        <w:t>6</w:t>
      </w:r>
      <w:r>
        <w:t>)</w:t>
      </w:r>
      <w:r w:rsidRPr="00D16140">
        <w:t xml:space="preserve">. </w:t>
      </w:r>
      <w:bookmarkStart w:id="69" w:name="_Ref402448694"/>
      <w:r w:rsidRPr="00205830">
        <w:t xml:space="preserve">A detailed explanation of </w:t>
      </w:r>
      <w:r>
        <w:t xml:space="preserve">our findings on return on equity and </w:t>
      </w:r>
      <w:r w:rsidRPr="00205830">
        <w:t>this figure can be found in the attachment 3: Rate of return</w:t>
      </w:r>
      <w:r>
        <w:t>.</w:t>
      </w:r>
    </w:p>
    <w:p w:rsidR="002F3C7B" w:rsidRPr="00D16140" w:rsidRDefault="002F3C7B" w:rsidP="002F3C7B">
      <w:pPr>
        <w:pStyle w:val="Caption"/>
      </w:pPr>
      <w:r>
        <w:t xml:space="preserve">Figure </w:t>
      </w:r>
      <w:bookmarkEnd w:id="69"/>
      <w:r w:rsidR="00FE3FED">
        <w:t>6</w:t>
      </w:r>
      <w:r>
        <w:tab/>
      </w:r>
      <w:r w:rsidRPr="00D16140">
        <w:t>Other information comparisons with the AER allowed ERP</w:t>
      </w:r>
      <w:r w:rsidRPr="00D16140">
        <w:tab/>
      </w:r>
    </w:p>
    <w:p w:rsidR="002F3C7B" w:rsidRDefault="002D6B4E" w:rsidP="002F3C7B">
      <w:pPr>
        <w:pStyle w:val="AERtablesource"/>
      </w:pPr>
      <w:r w:rsidRPr="001577A6">
        <w:rPr>
          <w:noProof/>
          <w:lang w:eastAsia="en-AU"/>
        </w:rPr>
        <w:drawing>
          <wp:inline distT="0" distB="0" distL="0" distR="0" wp14:anchorId="67707CA0" wp14:editId="6169F611">
            <wp:extent cx="5382895" cy="3738245"/>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3C7B" w:rsidRDefault="002F3C7B" w:rsidP="002F3C7B">
      <w:pPr>
        <w:pStyle w:val="AERtablesource"/>
      </w:pPr>
    </w:p>
    <w:p w:rsidR="002D6B4E" w:rsidRPr="00E33AD2" w:rsidRDefault="002D6B4E" w:rsidP="002D6B4E">
      <w:pPr>
        <w:pStyle w:val="AERtablesource"/>
      </w:pPr>
      <w:r w:rsidRPr="00E33AD2">
        <w:t>Source:</w:t>
      </w:r>
      <w:r w:rsidRPr="00E33AD2">
        <w:tab/>
        <w:t>AER analysis and various submissions and reports.</w:t>
      </w:r>
    </w:p>
    <w:p w:rsidR="002D6B4E" w:rsidRPr="00E33AD2" w:rsidRDefault="002D6B4E" w:rsidP="002D6B4E">
      <w:pPr>
        <w:pStyle w:val="AERtablesource"/>
      </w:pPr>
      <w:r w:rsidRPr="00E33AD2">
        <w:lastRenderedPageBreak/>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2D6B4E" w:rsidRDefault="002D6B4E" w:rsidP="002D6B4E">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2D6B4E" w:rsidRPr="00A26D56" w:rsidRDefault="002D6B4E" w:rsidP="002D6B4E">
      <w:pPr>
        <w:pStyle w:val="AERtablesource"/>
      </w:pPr>
      <w:r>
        <w:tab/>
        <w:t>The shaded portion of the other regulators range represents the impact of rail decisions on the range. We consider rail networks are unlikely to be comparable to the benchmark efficient entity.</w:t>
      </w:r>
    </w:p>
    <w:p w:rsidR="002D6B4E" w:rsidRPr="00E33AD2" w:rsidRDefault="002D6B4E" w:rsidP="002D6B4E">
      <w:pPr>
        <w:pStyle w:val="AERtablesource"/>
      </w:pPr>
      <w:r w:rsidRPr="00E33AD2">
        <w:tab/>
        <w:t>The service provider proposals range is based on the proposals from businesses for which we are making final or pr</w:t>
      </w:r>
      <w:r>
        <w:t xml:space="preserve">eliminary decisions in </w:t>
      </w:r>
      <w:r w:rsidRPr="00E33AD2">
        <w:t xml:space="preserve">October-December 2015.  Equity risk premiums were calculated as the proposed return on equity less the risk free rate utilised in the service provider's proposed estimation approach. </w:t>
      </w:r>
    </w:p>
    <w:p w:rsidR="002D6B4E" w:rsidRDefault="002D6B4E" w:rsidP="002D6B4E">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2F3C7B" w:rsidRPr="00112BF8" w:rsidRDefault="002F3C7B" w:rsidP="002F3C7B">
      <w:pPr>
        <w:pStyle w:val="Heading2"/>
        <w:ind w:left="680" w:hanging="680"/>
      </w:pPr>
      <w:bookmarkStart w:id="70" w:name="_Toc417973142"/>
      <w:bookmarkStart w:id="71" w:name="_Toc428354974"/>
      <w:bookmarkStart w:id="72" w:name="_Toc428956716"/>
      <w:bookmarkStart w:id="73" w:name="_Toc433786800"/>
      <w:r w:rsidRPr="00112BF8">
        <w:t>Value of imputation credits (gamma)</w:t>
      </w:r>
      <w:bookmarkEnd w:id="70"/>
      <w:bookmarkEnd w:id="71"/>
      <w:bookmarkEnd w:id="72"/>
      <w:bookmarkEnd w:id="73"/>
    </w:p>
    <w:p w:rsidR="002F3C7B" w:rsidRDefault="002F3C7B" w:rsidP="002F3C7B">
      <w:pPr>
        <w:numPr>
          <w:ilvl w:val="0"/>
          <w:numId w:val="24"/>
        </w:numPr>
      </w:pPr>
      <w:bookmarkStart w:id="74" w:name="_Toc404437135"/>
      <w:bookmarkStart w:id="75"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7"/>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2F3C7B" w:rsidRDefault="002F3C7B" w:rsidP="002F3C7B">
      <w:pPr>
        <w:numPr>
          <w:ilvl w:val="0"/>
          <w:numId w:val="24"/>
        </w:numPr>
      </w:pPr>
      <w:r>
        <w:t>In determining a service provider's revenue allowance, the NER requires that the estimated cost of corporate income tax be estimated in accordance with a formula that reduces the estimated cost by the 'value of imputation credits'.</w:t>
      </w:r>
      <w:r>
        <w:rPr>
          <w:rStyle w:val="FootnoteReference"/>
        </w:rPr>
        <w:footnoteReference w:id="38"/>
      </w:r>
      <w:r>
        <w:t xml:space="preserve"> That is, the revenue granted to a service provider to cover its expected tax liability must be reduced in a manner consistent with the value of imputation credits.</w:t>
      </w:r>
    </w:p>
    <w:p w:rsidR="002F3C7B" w:rsidRPr="00C00A11" w:rsidRDefault="002F3C7B" w:rsidP="002F3C7B">
      <w:pPr>
        <w:numPr>
          <w:ilvl w:val="0"/>
          <w:numId w:val="24"/>
        </w:numPr>
      </w:pPr>
      <w:r w:rsidRPr="00C00A11">
        <w:t xml:space="preserve">Our </w:t>
      </w:r>
      <w:r>
        <w:t>preliminary</w:t>
      </w:r>
      <w:r w:rsidRPr="00C00A11">
        <w:t xml:space="preserve"> decision is to adopt a value of imputation credits </w:t>
      </w:r>
      <w:r w:rsidRPr="006D6F33">
        <w:t>of 0.4</w:t>
      </w:r>
      <w:r w:rsidRPr="00C00A11">
        <w:t xml:space="preserve">. This differs from </w:t>
      </w:r>
      <w:r>
        <w:t>Powercor’s</w:t>
      </w:r>
      <w:r w:rsidRPr="00C00A11">
        <w:t xml:space="preserve"> proposed value of imputation credits of </w:t>
      </w:r>
      <w:r w:rsidRPr="001D2183">
        <w:t>0.25</w:t>
      </w:r>
      <w:r w:rsidRPr="00C00A11">
        <w:t>.</w:t>
      </w:r>
      <w:r w:rsidR="001D2183">
        <w:rPr>
          <w:rStyle w:val="FootnoteReference"/>
        </w:rPr>
        <w:footnoteReference w:id="39"/>
      </w:r>
    </w:p>
    <w:p w:rsidR="002F3C7B" w:rsidRPr="003C2542" w:rsidRDefault="002F3C7B" w:rsidP="002F3C7B">
      <w:pPr>
        <w:numPr>
          <w:ilvl w:val="0"/>
          <w:numId w:val="24"/>
        </w:numPr>
      </w:pPr>
      <w:r>
        <w:t xml:space="preserve">Although we have broadly maintained the approach to determining the value of imputation credits set out in the Rate of Return Guideline, we have re-examined the </w:t>
      </w:r>
      <w:r>
        <w:lastRenderedPageBreak/>
        <w:t xml:space="preserve">relevant evidence and estimates. This re-examination, and new evidence and advice considered for the first time since the Guideline, led us to depart from the value of 0.5 in the Guideline. Most notably, our updated consideration of the relevant advice and evidence led us to generally lower estimates of the 'utilisation rate' from the 0.7 estimate of the Guideline. Estimating the value of imputation credits is a complex and somewhat imprecise task. There is no consensus among experts on the appropriate value or estimation techniques to use. </w:t>
      </w:r>
    </w:p>
    <w:p w:rsidR="002F3C7B" w:rsidRDefault="002F3C7B" w:rsidP="002F3C7B">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2F3C7B" w:rsidRPr="00B10087" w:rsidRDefault="002F3C7B" w:rsidP="002F3C7B">
      <w:pPr>
        <w:pStyle w:val="AERbulletlistfirststyle"/>
      </w:pPr>
      <w:r>
        <w:t>t</w:t>
      </w:r>
      <w:r w:rsidRPr="00222B8F">
        <w:t>he proportion of Australian equity held by domestic investors (the 'equity ownership approach')</w:t>
      </w:r>
      <w:r w:rsidRPr="00B10087">
        <w:t>.</w:t>
      </w:r>
    </w:p>
    <w:p w:rsidR="002F3C7B" w:rsidRPr="00B10087" w:rsidRDefault="002F3C7B" w:rsidP="002F3C7B">
      <w:pPr>
        <w:pStyle w:val="AERbulletlistfirststyle"/>
      </w:pPr>
      <w:r>
        <w:t>t</w:t>
      </w:r>
      <w:r w:rsidRPr="00222B8F">
        <w:t xml:space="preserve">he reported value of credits utilised by investors in </w:t>
      </w:r>
      <w:r w:rsidRPr="00B10087">
        <w:t>Australian Taxation Office (ATO) statistics ('tax statistics').</w:t>
      </w:r>
    </w:p>
    <w:p w:rsidR="002F3C7B" w:rsidRPr="00B10087" w:rsidRDefault="002F3C7B" w:rsidP="002F3C7B">
      <w:pPr>
        <w:pStyle w:val="AERbulletlistfirststyle"/>
      </w:pPr>
      <w:r>
        <w:t>implied market value studies—there is no separate market in which imputation credits are traded, and therefore there is no observable market price for imputation credits.</w:t>
      </w:r>
    </w:p>
    <w:p w:rsidR="002F3C7B" w:rsidRPr="009229E7" w:rsidRDefault="002F3C7B" w:rsidP="002F3C7B">
      <w:pPr>
        <w:numPr>
          <w:ilvl w:val="0"/>
          <w:numId w:val="24"/>
        </w:numPr>
      </w:pPr>
      <w:r>
        <w:t>In estimating the utilisation rate, we place:</w:t>
      </w:r>
    </w:p>
    <w:p w:rsidR="002F3C7B" w:rsidRPr="00B10087" w:rsidRDefault="002F3C7B" w:rsidP="002F3C7B">
      <w:pPr>
        <w:pStyle w:val="AERbulletlistfirststyle"/>
      </w:pPr>
      <w:r>
        <w:t>significant reliance upon the equity ownership approach</w:t>
      </w:r>
    </w:p>
    <w:p w:rsidR="002F3C7B" w:rsidRPr="00B10087" w:rsidRDefault="002F3C7B" w:rsidP="002F3C7B">
      <w:pPr>
        <w:pStyle w:val="AERbulletlistfirststyle"/>
      </w:pPr>
      <w:r>
        <w:t>some reliance upon tax statistics</w:t>
      </w:r>
    </w:p>
    <w:p w:rsidR="002F3C7B" w:rsidRPr="00B10087" w:rsidRDefault="002F3C7B" w:rsidP="002F3C7B">
      <w:pPr>
        <w:pStyle w:val="AERbulletlistfirststyle"/>
      </w:pPr>
      <w:r>
        <w:t>less reliance upon implied market value studies.</w:t>
      </w:r>
    </w:p>
    <w:p w:rsidR="002F3C7B" w:rsidRDefault="002F3C7B" w:rsidP="002F3C7B">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2F3C7B" w:rsidRDefault="002F3C7B" w:rsidP="002F3C7B">
      <w:pPr>
        <w:pStyle w:val="AERbulletlistfirststyle"/>
      </w:pPr>
      <w:r>
        <w:t>the equity ownership approach, on which we have placed the most reliance, suggests a value between 0.40 and 0.47 when applied to all equity and between 0.</w:t>
      </w:r>
      <w:r w:rsidR="001E6343">
        <w:t>29</w:t>
      </w:r>
      <w:r>
        <w:t xml:space="preserve"> and 0.4</w:t>
      </w:r>
      <w:r w:rsidR="001E6343">
        <w:t>2</w:t>
      </w:r>
      <w:r>
        <w:t xml:space="preserve"> when applied to only listed equity. Therefore, the overlap of the evidence from the equity ownership approach suggests a value between 0.40 and 0.4</w:t>
      </w:r>
      <w:r w:rsidR="001E6343">
        <w:t>2</w:t>
      </w:r>
      <w:r>
        <w:t>.</w:t>
      </w:r>
    </w:p>
    <w:p w:rsidR="002F3C7B" w:rsidRDefault="002F3C7B" w:rsidP="002F3C7B">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2F3C7B" w:rsidRDefault="002F3C7B" w:rsidP="002F3C7B">
      <w:pPr>
        <w:pStyle w:val="AERbulletlistfirststyle"/>
      </w:pPr>
      <w:r>
        <w:t xml:space="preserve">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w:t>
      </w:r>
      <w:r>
        <w:lastRenderedPageBreak/>
        <w:t>study (0.3</w:t>
      </w:r>
      <w:r w:rsidR="001E6343">
        <w:t>1</w:t>
      </w:r>
      <w:r>
        <w:t>) nor any increased reliance we might place on it relative to other implied market value studies are sufficient to warrant an estimate lower than 0.4.</w:t>
      </w:r>
    </w:p>
    <w:p w:rsidR="002F3C7B" w:rsidRPr="00112BF8" w:rsidRDefault="002F3C7B" w:rsidP="002F3C7B">
      <w:pPr>
        <w:pStyle w:val="Heading2"/>
        <w:ind w:left="680" w:hanging="680"/>
      </w:pPr>
      <w:bookmarkStart w:id="76" w:name="_Toc417973143"/>
      <w:bookmarkStart w:id="77" w:name="_Toc428354975"/>
      <w:bookmarkStart w:id="78" w:name="_Toc428956717"/>
      <w:bookmarkStart w:id="79" w:name="_Toc433786801"/>
      <w:bookmarkEnd w:id="74"/>
      <w:bookmarkEnd w:id="75"/>
      <w:r w:rsidRPr="00112BF8">
        <w:t>Regulatory depreciation (return of capital)</w:t>
      </w:r>
      <w:bookmarkEnd w:id="76"/>
      <w:bookmarkEnd w:id="77"/>
      <w:bookmarkEnd w:id="78"/>
      <w:bookmarkEnd w:id="79"/>
    </w:p>
    <w:p w:rsidR="002F3C7B" w:rsidRDefault="002F3C7B" w:rsidP="002F3C7B">
      <w:r>
        <w:t xml:space="preserve">Depreciation is the allowance provided so that capital investors recover their investment over the economic life of the asset (return of capital). We are required to decide on whether to approve the depreciation schedules submitted by </w:t>
      </w:r>
      <w:r w:rsidR="00A85AFD">
        <w:t>Powercor</w:t>
      </w:r>
      <w:r>
        <w:t>.</w:t>
      </w:r>
      <w:r>
        <w:rPr>
          <w:rStyle w:val="FootnoteReference"/>
        </w:rPr>
        <w:footnoteReference w:id="40"/>
      </w:r>
      <w:r>
        <w:t xml:space="preserve"> In doing so, we make a determination on the indexation of the RAB and depreciation building blocks for Powercor’s 2016</w:t>
      </w:r>
      <w:r w:rsidRPr="007B3355">
        <w:t>−</w:t>
      </w:r>
      <w:r>
        <w:t>20 regulatory control period.</w:t>
      </w:r>
      <w:r w:rsidRPr="00112BF8">
        <w:t xml:space="preserve">  </w:t>
      </w:r>
    </w:p>
    <w:p w:rsidR="001D2183" w:rsidRDefault="001D2183" w:rsidP="001D2183">
      <w:r>
        <w:t xml:space="preserve">Our preliminary decision is to determine a regulatory depreciation allowance of </w:t>
      </w:r>
      <w:r w:rsidR="008F6524">
        <w:t>$50</w:t>
      </w:r>
      <w:r w:rsidR="00B123B4">
        <w:t>3.2 </w:t>
      </w:r>
      <w:r w:rsidRPr="008F6524">
        <w:t xml:space="preserve">million ($ nominal) for Powercor. This amount represents a decrease of </w:t>
      </w:r>
      <w:r w:rsidR="008F6524">
        <w:t>$0.</w:t>
      </w:r>
      <w:r w:rsidR="00B123B4">
        <w:t>3</w:t>
      </w:r>
      <w:r w:rsidRPr="008F6524">
        <w:t> million</w:t>
      </w:r>
      <w:r w:rsidRPr="00F433A3">
        <w:t xml:space="preserve"> (or </w:t>
      </w:r>
      <w:r w:rsidR="00AA5F4A">
        <w:t>0.</w:t>
      </w:r>
      <w:r w:rsidR="00C93080">
        <w:t>1</w:t>
      </w:r>
      <w:r w:rsidRPr="00F433A3">
        <w:t xml:space="preserve"> per cent) </w:t>
      </w:r>
      <w:r>
        <w:t xml:space="preserve">of the </w:t>
      </w:r>
      <w:r w:rsidRPr="00F433A3">
        <w:t>$</w:t>
      </w:r>
      <w:r>
        <w:t>503.5 </w:t>
      </w:r>
      <w:r w:rsidRPr="00F433A3">
        <w:t>million ($ nominal)</w:t>
      </w:r>
      <w:r>
        <w:t xml:space="preserve"> Powercor proposed for the 2016</w:t>
      </w:r>
      <w:r>
        <w:rPr>
          <w:rFonts w:cs="Arial"/>
        </w:rPr>
        <w:t>─</w:t>
      </w:r>
      <w:r>
        <w:t>20 regulatory control period.</w:t>
      </w:r>
      <w:r w:rsidRPr="00F433A3">
        <w:rPr>
          <w:rStyle w:val="FootnoteReference"/>
        </w:rPr>
        <w:footnoteReference w:id="41"/>
      </w:r>
      <w:r>
        <w:t xml:space="preserve"> In coming to this decision:</w:t>
      </w:r>
    </w:p>
    <w:p w:rsidR="001D2183" w:rsidRDefault="001D2183" w:rsidP="001D2183">
      <w:pPr>
        <w:pStyle w:val="AERbulletlistfirststyle"/>
      </w:pPr>
      <w:r>
        <w:t>We a</w:t>
      </w:r>
      <w:r w:rsidRPr="00F433A3">
        <w:t xml:space="preserve">ccept </w:t>
      </w:r>
      <w:r>
        <w:t>Powercor's</w:t>
      </w:r>
      <w:r w:rsidRPr="00F433A3">
        <w:t xml:space="preserve"> proposed asset classes</w:t>
      </w:r>
      <w:r>
        <w:t xml:space="preserve"> and</w:t>
      </w:r>
      <w:r w:rsidRPr="00F433A3">
        <w:t xml:space="preserve"> </w:t>
      </w:r>
      <w:r>
        <w:t xml:space="preserve">its </w:t>
      </w:r>
      <w:r w:rsidRPr="00F433A3">
        <w:t xml:space="preserve">straight-line depreciation method used to calculate the regulatory depreciation allowance. </w:t>
      </w:r>
      <w:r>
        <w:t>However, we have included a new ‘Land’ asset class that will consist of any land related forecast capex</w:t>
      </w:r>
      <w:r w:rsidRPr="00F433A3">
        <w:t>.</w:t>
      </w:r>
      <w:r w:rsidRPr="00F433A3">
        <w:rPr>
          <w:rStyle w:val="FootnoteReference"/>
        </w:rPr>
        <w:footnoteReference w:id="42"/>
      </w:r>
    </w:p>
    <w:p w:rsidR="001D2183" w:rsidRDefault="001D2183" w:rsidP="001D2183">
      <w:pPr>
        <w:pStyle w:val="AERbulletlistfirststyle"/>
      </w:pPr>
      <w:r>
        <w:t>We accept Powercor’s proposed standard asset lives for its existing asset classes, with the exception of the ‘VBRC’ asset class. For the ‘VBRC’ asset class, we consider that the standard asset life should equal the standard asset life for the ‘Distribution system assets’ class, instead of the remaining asset life.</w:t>
      </w:r>
    </w:p>
    <w:p w:rsidR="001D2183" w:rsidRDefault="001D2183" w:rsidP="001D2183">
      <w:pPr>
        <w:pStyle w:val="AERbulletlistfirststyle"/>
      </w:pPr>
      <w:r>
        <w:t>We do not ac</w:t>
      </w:r>
      <w:r w:rsidRPr="00F01ABB">
        <w:t xml:space="preserve">cept </w:t>
      </w:r>
      <w:r>
        <w:t>Powercor</w:t>
      </w:r>
      <w:r w:rsidRPr="00F01ABB">
        <w:t xml:space="preserve">'s proposed average </w:t>
      </w:r>
      <w:r>
        <w:t xml:space="preserve">depreciation </w:t>
      </w:r>
      <w:r w:rsidRPr="00F01ABB">
        <w:t>method to calculate remaining asset</w:t>
      </w:r>
      <w:r>
        <w:t xml:space="preserve"> </w:t>
      </w:r>
      <w:r w:rsidRPr="00F01ABB">
        <w:t xml:space="preserve">lives at </w:t>
      </w:r>
      <w:r>
        <w:t>1 January 2016</w:t>
      </w:r>
      <w:r w:rsidRPr="00F01ABB">
        <w:t xml:space="preserve">. However, </w:t>
      </w:r>
      <w:r>
        <w:t>consistent with Powercor’s submission to the AER’s issues paper, we have applied a</w:t>
      </w:r>
      <w:r w:rsidR="00D62197">
        <w:t xml:space="preserve"> year-by-year </w:t>
      </w:r>
      <w:r>
        <w:t>tracking approach to determine the depreciation for existing assets.</w:t>
      </w:r>
      <w:r>
        <w:rPr>
          <w:rStyle w:val="FootnoteReference"/>
        </w:rPr>
        <w:footnoteReference w:id="43"/>
      </w:r>
      <w:r>
        <w:t xml:space="preserve"> </w:t>
      </w:r>
    </w:p>
    <w:p w:rsidR="001D2183" w:rsidRDefault="001D2183" w:rsidP="001D2183">
      <w:pPr>
        <w:pStyle w:val="AERbulletlistfirststyle"/>
      </w:pPr>
      <w:r w:rsidRPr="000D71B4">
        <w:t>We accept Powercor’s proposal to accelerate the depreciation of two particular asset sub-classes, ‘Old SWER ACRs’ and ‘Supervisory cables’. The changed depreciation schedules reflect new regulatory requirements (Old SWER ACRs) or economically justified replacement (Supervisory cables) that have changed the economic life of the assets.</w:t>
      </w:r>
      <w:r>
        <w:rPr>
          <w:rStyle w:val="FootnoteReference"/>
        </w:rPr>
        <w:footnoteReference w:id="44"/>
      </w:r>
    </w:p>
    <w:p w:rsidR="001D2183" w:rsidRPr="00B65CF2" w:rsidRDefault="001D2183" w:rsidP="001D2183">
      <w:pPr>
        <w:pStyle w:val="AERbulletlistfirststyle"/>
      </w:pPr>
      <w:r>
        <w:t>We m</w:t>
      </w:r>
      <w:r w:rsidRPr="00F01ABB">
        <w:t xml:space="preserve">ade determinations on other components of </w:t>
      </w:r>
      <w:r>
        <w:t xml:space="preserve">Powercor's </w:t>
      </w:r>
      <w:r w:rsidRPr="00F01ABB">
        <w:t xml:space="preserve">proposal </w:t>
      </w:r>
      <w:r>
        <w:t xml:space="preserve">that </w:t>
      </w:r>
      <w:r w:rsidRPr="00F01ABB">
        <w:t>also affect the forecast regulatory depreciation allowance—for example, the forecast capex (attachment 6)</w:t>
      </w:r>
      <w:r>
        <w:t>,</w:t>
      </w:r>
      <w:r w:rsidRPr="00D95C49">
        <w:t xml:space="preserve"> </w:t>
      </w:r>
      <w:r w:rsidRPr="00F01ABB">
        <w:t>the opening RAB value (attachment 2)</w:t>
      </w:r>
      <w:r w:rsidR="00C93080">
        <w:t>, and forecast inflation (attachment 3)</w:t>
      </w:r>
      <w:r w:rsidRPr="00F01ABB">
        <w:t>.</w:t>
      </w:r>
      <w:r w:rsidRPr="005B6543">
        <w:rPr>
          <w:rStyle w:val="AERbody"/>
          <w:vertAlign w:val="superscript"/>
        </w:rPr>
        <w:footnoteReference w:id="45"/>
      </w:r>
    </w:p>
    <w:p w:rsidR="002F3C7B" w:rsidRPr="00112BF8" w:rsidRDefault="002F3C7B" w:rsidP="002F3C7B">
      <w:pPr>
        <w:numPr>
          <w:ilvl w:val="0"/>
          <w:numId w:val="24"/>
        </w:numPr>
      </w:pPr>
      <w:r>
        <w:lastRenderedPageBreak/>
        <w:t xml:space="preserve">Table </w:t>
      </w:r>
      <w:r w:rsidR="00FE3FED">
        <w:t>7</w:t>
      </w:r>
      <w:r w:rsidRPr="00112BF8">
        <w:t xml:space="preserve"> sets out our </w:t>
      </w:r>
      <w:r w:rsidR="00A85AFD">
        <w:t xml:space="preserve">preliminary </w:t>
      </w:r>
      <w:r w:rsidRPr="00112BF8">
        <w:t xml:space="preserve">decision on </w:t>
      </w:r>
      <w:r>
        <w:t>Powercor’s</w:t>
      </w:r>
      <w:r w:rsidRPr="00112BF8">
        <w:t xml:space="preserve"> depreciation allowance for the 201</w:t>
      </w:r>
      <w:r>
        <w:t>6</w:t>
      </w:r>
      <w:r w:rsidRPr="00112BF8">
        <w:t>–</w:t>
      </w:r>
      <w:r>
        <w:t>20 regulatory control</w:t>
      </w:r>
      <w:r w:rsidRPr="00112BF8">
        <w:t xml:space="preserve"> period</w:t>
      </w:r>
      <w:r>
        <w:t>.</w:t>
      </w:r>
    </w:p>
    <w:p w:rsidR="002F3C7B" w:rsidRPr="00112BF8" w:rsidRDefault="002F3C7B" w:rsidP="002F3C7B">
      <w:pPr>
        <w:pStyle w:val="Caption"/>
      </w:pPr>
      <w:r w:rsidRPr="00112BF8">
        <w:t xml:space="preserve">Table </w:t>
      </w:r>
      <w:r w:rsidR="00FE3FED">
        <w:t>7</w:t>
      </w:r>
      <w:r w:rsidRPr="00112BF8">
        <w:tab/>
        <w:t xml:space="preserve">AER's </w:t>
      </w:r>
      <w:r w:rsidR="00A85AFD">
        <w:t xml:space="preserve">preliminary </w:t>
      </w:r>
      <w:r w:rsidRPr="00112BF8">
        <w:t xml:space="preserve">decision on </w:t>
      </w:r>
      <w:r>
        <w:t>Powercor’s</w:t>
      </w:r>
      <w:r w:rsidRPr="00112BF8">
        <w:t xml:space="preserve"> dep</w:t>
      </w:r>
      <w:r>
        <w:t>reciation allowance for the 2016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370"/>
        <w:gridCol w:w="889"/>
        <w:gridCol w:w="889"/>
        <w:gridCol w:w="888"/>
        <w:gridCol w:w="888"/>
        <w:gridCol w:w="888"/>
        <w:gridCol w:w="881"/>
      </w:tblGrid>
      <w:tr w:rsidR="002F3C7B" w:rsidRPr="004D699F" w:rsidTr="00A85A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2F3C7B" w:rsidRPr="007B3355" w:rsidRDefault="002F3C7B" w:rsidP="00A85AFD">
            <w:r w:rsidRPr="00112BF8">
              <w:t> </w:t>
            </w:r>
          </w:p>
        </w:tc>
        <w:tc>
          <w:tcPr>
            <w:tcW w:w="511"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16</w:t>
            </w:r>
          </w:p>
        </w:tc>
        <w:tc>
          <w:tcPr>
            <w:tcW w:w="511"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17</w:t>
            </w:r>
          </w:p>
        </w:tc>
        <w:tc>
          <w:tcPr>
            <w:tcW w:w="511"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201</w:t>
            </w:r>
            <w:r w:rsidRPr="007B3355">
              <w:t>7–18</w:t>
            </w:r>
          </w:p>
        </w:tc>
        <w:tc>
          <w:tcPr>
            <w:tcW w:w="511"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201</w:t>
            </w:r>
            <w:r w:rsidRPr="007B3355">
              <w:t>8–19</w:t>
            </w:r>
          </w:p>
        </w:tc>
        <w:tc>
          <w:tcPr>
            <w:tcW w:w="511"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201</w:t>
            </w:r>
            <w:r w:rsidRPr="007B3355">
              <w:t>9–20</w:t>
            </w:r>
          </w:p>
        </w:tc>
        <w:tc>
          <w:tcPr>
            <w:tcW w:w="507"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Total</w:t>
            </w:r>
          </w:p>
        </w:tc>
      </w:tr>
      <w:tr w:rsidR="00B123B4" w:rsidRPr="004D699F" w:rsidTr="00A85AFD">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B123B4" w:rsidRPr="007B3355" w:rsidRDefault="00B123B4" w:rsidP="00A85AFD">
            <w:r w:rsidRPr="00D60A9B">
              <w:t>Straight-line depreciation</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185.9</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179.2</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192.5</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208.1</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217.4</w:t>
            </w:r>
          </w:p>
        </w:tc>
        <w:tc>
          <w:tcPr>
            <w:tcW w:w="507"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983.2</w:t>
            </w:r>
          </w:p>
        </w:tc>
      </w:tr>
      <w:tr w:rsidR="00B123B4" w:rsidRPr="004D699F" w:rsidTr="00A85A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B123B4" w:rsidRPr="007B3355" w:rsidRDefault="00B123B4" w:rsidP="00A85AFD">
            <w:r w:rsidRPr="00D60A9B">
              <w:rPr>
                <w:rStyle w:val="AERtextitalic"/>
              </w:rPr>
              <w:t>Less</w:t>
            </w:r>
            <w:r w:rsidRPr="007B3355">
              <w:t>: inflation indexation on opening RAB</w:t>
            </w:r>
          </w:p>
        </w:tc>
        <w:tc>
          <w:tcPr>
            <w:tcW w:w="511"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83.6</w:t>
            </w:r>
          </w:p>
        </w:tc>
        <w:tc>
          <w:tcPr>
            <w:tcW w:w="511"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89.6</w:t>
            </w:r>
          </w:p>
        </w:tc>
        <w:tc>
          <w:tcPr>
            <w:tcW w:w="511"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95.9</w:t>
            </w:r>
          </w:p>
        </w:tc>
        <w:tc>
          <w:tcPr>
            <w:tcW w:w="511"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102.3</w:t>
            </w:r>
          </w:p>
        </w:tc>
        <w:tc>
          <w:tcPr>
            <w:tcW w:w="511"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108.5</w:t>
            </w:r>
          </w:p>
        </w:tc>
        <w:tc>
          <w:tcPr>
            <w:tcW w:w="507"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480.0</w:t>
            </w:r>
          </w:p>
        </w:tc>
      </w:tr>
      <w:tr w:rsidR="00B123B4" w:rsidRPr="00B123B4" w:rsidTr="00A85AFD">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B123B4" w:rsidRPr="00B123B4" w:rsidRDefault="00B123B4" w:rsidP="00A85AFD">
            <w:pPr>
              <w:rPr>
                <w:rStyle w:val="Strong"/>
              </w:rPr>
            </w:pPr>
            <w:r w:rsidRPr="00B123B4">
              <w:rPr>
                <w:rStyle w:val="Strong"/>
              </w:rPr>
              <w:t>Regulatory depreciation</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102.3</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89.6</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96.6</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105.8</w:t>
            </w:r>
          </w:p>
        </w:tc>
        <w:tc>
          <w:tcPr>
            <w:tcW w:w="511"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108.9</w:t>
            </w:r>
          </w:p>
        </w:tc>
        <w:tc>
          <w:tcPr>
            <w:tcW w:w="507"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503.2</w:t>
            </w:r>
          </w:p>
        </w:tc>
      </w:tr>
    </w:tbl>
    <w:p w:rsidR="002F3C7B" w:rsidRDefault="002F3C7B" w:rsidP="002F3C7B">
      <w:pPr>
        <w:pStyle w:val="AERtablesource"/>
      </w:pPr>
      <w:r w:rsidRPr="00112BF8">
        <w:t>Source:</w:t>
      </w:r>
      <w:r w:rsidRPr="00112BF8">
        <w:tab/>
        <w:t>AER analysis.</w:t>
      </w:r>
    </w:p>
    <w:p w:rsidR="002F3C7B" w:rsidRDefault="002F3C7B" w:rsidP="002F3C7B">
      <w:r>
        <w:t>D</w:t>
      </w:r>
      <w:r w:rsidRPr="004F77EF">
        <w:t>etail</w:t>
      </w:r>
      <w:r>
        <w:t>s of</w:t>
      </w:r>
      <w:r w:rsidRPr="004F77EF">
        <w:t xml:space="preserve"> our </w:t>
      </w:r>
      <w:r>
        <w:t>preliminary</w:t>
      </w:r>
      <w:r w:rsidRPr="004F77EF">
        <w:t xml:space="preserve"> decision on </w:t>
      </w:r>
      <w:r>
        <w:t>the</w:t>
      </w:r>
      <w:r w:rsidRPr="004F77EF">
        <w:t xml:space="preserve"> regulatory depreciation allowance</w:t>
      </w:r>
      <w:r>
        <w:t xml:space="preserve"> are set out in attachment 5</w:t>
      </w:r>
      <w:r w:rsidRPr="004F77EF">
        <w:t>.</w:t>
      </w:r>
    </w:p>
    <w:p w:rsidR="002F3C7B" w:rsidRPr="00112BF8" w:rsidRDefault="002F3C7B" w:rsidP="002F3C7B">
      <w:pPr>
        <w:pStyle w:val="Heading2"/>
        <w:ind w:left="680" w:hanging="680"/>
      </w:pPr>
      <w:bookmarkStart w:id="80" w:name="_Toc417973144"/>
      <w:bookmarkStart w:id="81" w:name="_Toc428354976"/>
      <w:bookmarkStart w:id="82" w:name="_Toc428956718"/>
      <w:bookmarkStart w:id="83" w:name="_Toc433786802"/>
      <w:r w:rsidRPr="00112BF8">
        <w:t>Capital expenditure</w:t>
      </w:r>
      <w:bookmarkEnd w:id="80"/>
      <w:bookmarkEnd w:id="81"/>
      <w:bookmarkEnd w:id="82"/>
      <w:bookmarkEnd w:id="83"/>
    </w:p>
    <w:p w:rsidR="002F3C7B" w:rsidRPr="00112BF8" w:rsidRDefault="00425452" w:rsidP="002F3C7B">
      <w:pPr>
        <w:rPr>
          <w:rStyle w:val="AERbody"/>
        </w:rPr>
      </w:pPr>
      <w:r>
        <w:rPr>
          <w:rStyle w:val="AERbody"/>
        </w:rPr>
        <w:t>Capital expenditure (capex)</w:t>
      </w:r>
      <w:r w:rsidRPr="00112BF8">
        <w:rPr>
          <w:rStyle w:val="AERbody"/>
        </w:rPr>
        <w:t xml:space="preserve"> </w:t>
      </w:r>
      <w:r w:rsidR="002F3C7B" w:rsidRPr="00112BF8">
        <w:rPr>
          <w:rStyle w:val="AERbody"/>
        </w:rPr>
        <w:t xml:space="preserve">refers to the capital expenses incurred in the provision of network services. The return on and </w:t>
      </w:r>
      <w:r w:rsidR="00E426BD">
        <w:rPr>
          <w:rStyle w:val="AERbody"/>
        </w:rPr>
        <w:t xml:space="preserve">return </w:t>
      </w:r>
      <w:r w:rsidR="002F3C7B" w:rsidRPr="00112BF8">
        <w:rPr>
          <w:rStyle w:val="AERbody"/>
        </w:rPr>
        <w:t xml:space="preserve">of forecast capex for standard control services are two of the building blocks we use to determine a service provider's total revenue requirement.  </w:t>
      </w:r>
    </w:p>
    <w:p w:rsidR="002F3C7B" w:rsidRDefault="002F3C7B" w:rsidP="002F3C7B">
      <w:r>
        <w:t xml:space="preserve">We estimate total </w:t>
      </w:r>
      <w:r w:rsidR="005E5C9F">
        <w:t xml:space="preserve">net </w:t>
      </w:r>
      <w:r>
        <w:t xml:space="preserve">capex </w:t>
      </w:r>
      <w:r w:rsidRPr="007B3355">
        <w:rPr>
          <w:rStyle w:val="AERbodytextChar"/>
          <w:rFonts w:eastAsiaTheme="minorHAnsi"/>
        </w:rPr>
        <w:t>of $</w:t>
      </w:r>
      <w:r w:rsidR="005E5C9F" w:rsidRPr="005E5C9F">
        <w:rPr>
          <w:rStyle w:val="AERbody"/>
        </w:rPr>
        <w:t>1610.</w:t>
      </w:r>
      <w:r w:rsidR="00BE52CF">
        <w:rPr>
          <w:rStyle w:val="AERbody"/>
        </w:rPr>
        <w:t>4</w:t>
      </w:r>
      <w:r w:rsidR="005E5C9F" w:rsidRPr="005E5C9F">
        <w:rPr>
          <w:rStyle w:val="AERbody"/>
        </w:rPr>
        <w:t xml:space="preserve"> </w:t>
      </w:r>
      <w:r w:rsidRPr="008F6524">
        <w:rPr>
          <w:rStyle w:val="AERbody"/>
        </w:rPr>
        <w:t>million ($2015) for Powercor’s 2016−20 regulatory control period</w:t>
      </w:r>
      <w:r w:rsidR="008C08AE">
        <w:rPr>
          <w:rStyle w:val="AERbody"/>
        </w:rPr>
        <w:t xml:space="preserve">—which is a </w:t>
      </w:r>
      <w:r w:rsidR="001F1909">
        <w:rPr>
          <w:rStyle w:val="AERbody"/>
        </w:rPr>
        <w:t>19.7</w:t>
      </w:r>
      <w:r w:rsidR="008C08AE">
        <w:t> </w:t>
      </w:r>
      <w:r w:rsidRPr="007B3355">
        <w:rPr>
          <w:rStyle w:val="AERbodytextChar"/>
          <w:rFonts w:eastAsiaTheme="minorHAnsi"/>
        </w:rPr>
        <w:t>per</w:t>
      </w:r>
      <w:r w:rsidR="008C08AE">
        <w:t> </w:t>
      </w:r>
      <w:r>
        <w:t xml:space="preserve">cent </w:t>
      </w:r>
      <w:r w:rsidR="008C08AE">
        <w:t xml:space="preserve">reduction to </w:t>
      </w:r>
      <w:r>
        <w:t>Powercor’s</w:t>
      </w:r>
      <w:r w:rsidR="00A51493">
        <w:t xml:space="preserve"> forecast </w:t>
      </w:r>
      <w:r>
        <w:t>capex</w:t>
      </w:r>
      <w:r w:rsidR="00A51493">
        <w:t xml:space="preserve"> of $</w:t>
      </w:r>
      <w:r w:rsidR="005E5C9F" w:rsidRPr="005E5C9F">
        <w:t xml:space="preserve">2006.3 </w:t>
      </w:r>
      <w:r w:rsidR="00A51493">
        <w:t>million ($2015)</w:t>
      </w:r>
      <w:r>
        <w:t xml:space="preserve">. We are satisfied our substitute estimate of Powercor’s total capex reasonably reflects the capex criteria. Table </w:t>
      </w:r>
      <w:r w:rsidR="00FE3FED">
        <w:t>8</w:t>
      </w:r>
      <w:r>
        <w:t xml:space="preserve"> shows our </w:t>
      </w:r>
      <w:r w:rsidR="00A85AFD">
        <w:t xml:space="preserve">preliminary </w:t>
      </w:r>
      <w:r w:rsidR="00A937CB">
        <w:t xml:space="preserve">capex </w:t>
      </w:r>
      <w:r>
        <w:t>decision compared to Powercor’s proposal.</w:t>
      </w:r>
    </w:p>
    <w:p w:rsidR="002F3C7B" w:rsidRPr="00112BF8" w:rsidRDefault="002F3C7B" w:rsidP="002F3C7B">
      <w:pPr>
        <w:pStyle w:val="Caption"/>
      </w:pPr>
      <w:r w:rsidRPr="00112BF8">
        <w:t xml:space="preserve">Table </w:t>
      </w:r>
      <w:r w:rsidR="00FE3FED">
        <w:t>8</w:t>
      </w:r>
      <w:r w:rsidRPr="00112BF8">
        <w:tab/>
        <w:t xml:space="preserve"> </w:t>
      </w:r>
      <w:r>
        <w:t>AER</w:t>
      </w:r>
      <w:r w:rsidRPr="00112BF8">
        <w:t xml:space="preserve"> </w:t>
      </w:r>
      <w:r w:rsidR="00A85AFD">
        <w:t xml:space="preserve">preliminary </w:t>
      </w:r>
      <w:r w:rsidRPr="00112BF8">
        <w:t xml:space="preserve">decision on total net capex ($million </w:t>
      </w:r>
      <w:r w:rsidRPr="009B0EDD">
        <w:t>2015)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2F3C7B" w:rsidRPr="00767B5A" w:rsidTr="00A85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2F3C7B" w:rsidRPr="000201AB" w:rsidRDefault="002F3C7B" w:rsidP="00A85AFD">
            <w:pPr>
              <w:pStyle w:val="ListParagraph"/>
              <w:numPr>
                <w:ilvl w:val="0"/>
                <w:numId w:val="24"/>
              </w:numPr>
            </w:pPr>
          </w:p>
        </w:tc>
        <w:tc>
          <w:tcPr>
            <w:tcW w:w="1042" w:type="dxa"/>
            <w:vAlign w:val="top"/>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411AD3">
              <w:t>2015–16</w:t>
            </w:r>
          </w:p>
        </w:tc>
        <w:tc>
          <w:tcPr>
            <w:tcW w:w="1041" w:type="dxa"/>
            <w:vAlign w:val="top"/>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411AD3">
              <w:t>2016–17</w:t>
            </w:r>
          </w:p>
        </w:tc>
        <w:tc>
          <w:tcPr>
            <w:tcW w:w="1041" w:type="dxa"/>
            <w:vAlign w:val="top"/>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411AD3">
              <w:t>2017–18</w:t>
            </w:r>
          </w:p>
        </w:tc>
        <w:tc>
          <w:tcPr>
            <w:tcW w:w="1041" w:type="dxa"/>
            <w:vAlign w:val="top"/>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411AD3">
              <w:t>2018–19</w:t>
            </w:r>
          </w:p>
        </w:tc>
        <w:tc>
          <w:tcPr>
            <w:tcW w:w="1041" w:type="dxa"/>
            <w:vAlign w:val="top"/>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411AD3">
              <w:t>2019–20</w:t>
            </w:r>
          </w:p>
        </w:tc>
        <w:tc>
          <w:tcPr>
            <w:tcW w:w="1033" w:type="dxa"/>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411AD3">
              <w:t>Total</w:t>
            </w:r>
          </w:p>
        </w:tc>
      </w:tr>
      <w:tr w:rsidR="000938F8" w:rsidRPr="00767B5A" w:rsidTr="00D5207A">
        <w:tc>
          <w:tcPr>
            <w:cnfStyle w:val="001000000000" w:firstRow="0" w:lastRow="0" w:firstColumn="1" w:lastColumn="0" w:oddVBand="0" w:evenVBand="0" w:oddHBand="0" w:evenHBand="0" w:firstRowFirstColumn="0" w:firstRowLastColumn="0" w:lastRowFirstColumn="0" w:lastRowLastColumn="0"/>
            <w:tcW w:w="2454" w:type="dxa"/>
          </w:tcPr>
          <w:p w:rsidR="000938F8" w:rsidRPr="007B3355" w:rsidRDefault="000938F8" w:rsidP="00A85AFD">
            <w:r>
              <w:t xml:space="preserve">Powercor’s </w:t>
            </w:r>
            <w:r w:rsidRPr="00442D75">
              <w:t>proposal</w:t>
            </w:r>
          </w:p>
        </w:tc>
        <w:tc>
          <w:tcPr>
            <w:tcW w:w="1042" w:type="dxa"/>
            <w:vAlign w:val="top"/>
          </w:tcPr>
          <w:p w:rsidR="000938F8" w:rsidRPr="00D25A49" w:rsidRDefault="000938F8" w:rsidP="00E426BD">
            <w:pPr>
              <w:cnfStyle w:val="000000000000" w:firstRow="0" w:lastRow="0" w:firstColumn="0" w:lastColumn="0" w:oddVBand="0" w:evenVBand="0" w:oddHBand="0" w:evenHBand="0" w:firstRowFirstColumn="0" w:firstRowLastColumn="0" w:lastRowFirstColumn="0" w:lastRowLastColumn="0"/>
            </w:pPr>
            <w:r w:rsidRPr="00D25A49">
              <w:t xml:space="preserve">392.3 </w:t>
            </w:r>
          </w:p>
        </w:tc>
        <w:tc>
          <w:tcPr>
            <w:tcW w:w="1041" w:type="dxa"/>
            <w:vAlign w:val="top"/>
          </w:tcPr>
          <w:p w:rsidR="000938F8" w:rsidRPr="00D25A49" w:rsidRDefault="000938F8" w:rsidP="00E426BD">
            <w:pPr>
              <w:cnfStyle w:val="000000000000" w:firstRow="0" w:lastRow="0" w:firstColumn="0" w:lastColumn="0" w:oddVBand="0" w:evenVBand="0" w:oddHBand="0" w:evenHBand="0" w:firstRowFirstColumn="0" w:firstRowLastColumn="0" w:lastRowFirstColumn="0" w:lastRowLastColumn="0"/>
            </w:pPr>
            <w:r w:rsidRPr="00D25A49">
              <w:t xml:space="preserve">399.3 </w:t>
            </w:r>
          </w:p>
        </w:tc>
        <w:tc>
          <w:tcPr>
            <w:tcW w:w="1041" w:type="dxa"/>
            <w:vAlign w:val="top"/>
          </w:tcPr>
          <w:p w:rsidR="000938F8" w:rsidRPr="00D25A49" w:rsidRDefault="000938F8" w:rsidP="00E426BD">
            <w:pPr>
              <w:cnfStyle w:val="000000000000" w:firstRow="0" w:lastRow="0" w:firstColumn="0" w:lastColumn="0" w:oddVBand="0" w:evenVBand="0" w:oddHBand="0" w:evenHBand="0" w:firstRowFirstColumn="0" w:firstRowLastColumn="0" w:lastRowFirstColumn="0" w:lastRowLastColumn="0"/>
            </w:pPr>
            <w:r w:rsidRPr="00D25A49">
              <w:t xml:space="preserve">406.4 </w:t>
            </w:r>
          </w:p>
        </w:tc>
        <w:tc>
          <w:tcPr>
            <w:tcW w:w="1041" w:type="dxa"/>
            <w:vAlign w:val="top"/>
          </w:tcPr>
          <w:p w:rsidR="000938F8" w:rsidRPr="00D25A49" w:rsidRDefault="000938F8" w:rsidP="00E426BD">
            <w:pPr>
              <w:cnfStyle w:val="000000000000" w:firstRow="0" w:lastRow="0" w:firstColumn="0" w:lastColumn="0" w:oddVBand="0" w:evenVBand="0" w:oddHBand="0" w:evenHBand="0" w:firstRowFirstColumn="0" w:firstRowLastColumn="0" w:lastRowFirstColumn="0" w:lastRowLastColumn="0"/>
            </w:pPr>
            <w:r w:rsidRPr="00D25A49">
              <w:t xml:space="preserve">397.8 </w:t>
            </w:r>
          </w:p>
        </w:tc>
        <w:tc>
          <w:tcPr>
            <w:tcW w:w="1041" w:type="dxa"/>
            <w:vAlign w:val="top"/>
          </w:tcPr>
          <w:p w:rsidR="000938F8" w:rsidRPr="00D25A49" w:rsidRDefault="000938F8" w:rsidP="00E426BD">
            <w:pPr>
              <w:cnfStyle w:val="000000000000" w:firstRow="0" w:lastRow="0" w:firstColumn="0" w:lastColumn="0" w:oddVBand="0" w:evenVBand="0" w:oddHBand="0" w:evenHBand="0" w:firstRowFirstColumn="0" w:firstRowLastColumn="0" w:lastRowFirstColumn="0" w:lastRowLastColumn="0"/>
            </w:pPr>
            <w:r w:rsidRPr="00D25A49">
              <w:t xml:space="preserve">410.5 </w:t>
            </w:r>
          </w:p>
        </w:tc>
        <w:tc>
          <w:tcPr>
            <w:tcW w:w="1033" w:type="dxa"/>
            <w:vAlign w:val="top"/>
          </w:tcPr>
          <w:p w:rsidR="000938F8" w:rsidRDefault="000938F8" w:rsidP="00E426BD">
            <w:pPr>
              <w:cnfStyle w:val="000000000000" w:firstRow="0" w:lastRow="0" w:firstColumn="0" w:lastColumn="0" w:oddVBand="0" w:evenVBand="0" w:oddHBand="0" w:evenHBand="0" w:firstRowFirstColumn="0" w:firstRowLastColumn="0" w:lastRowFirstColumn="0" w:lastRowLastColumn="0"/>
            </w:pPr>
            <w:r w:rsidRPr="00D25A49">
              <w:t xml:space="preserve">2,006.3 </w:t>
            </w:r>
          </w:p>
        </w:tc>
      </w:tr>
      <w:tr w:rsidR="000938F8" w:rsidRPr="00767B5A" w:rsidTr="00D520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0938F8" w:rsidRPr="007B3355" w:rsidRDefault="000938F8" w:rsidP="00A85AFD">
            <w:r w:rsidRPr="00442D75">
              <w:t xml:space="preserve">AER </w:t>
            </w:r>
            <w:r>
              <w:t>preliminary</w:t>
            </w:r>
            <w:r w:rsidRPr="00442D75">
              <w:t xml:space="preserve"> decision</w:t>
            </w:r>
          </w:p>
        </w:tc>
        <w:tc>
          <w:tcPr>
            <w:tcW w:w="1042" w:type="dxa"/>
            <w:vAlign w:val="top"/>
          </w:tcPr>
          <w:p w:rsidR="000938F8" w:rsidRPr="0064649E" w:rsidRDefault="000938F8" w:rsidP="00E426BD">
            <w:pPr>
              <w:cnfStyle w:val="000000010000" w:firstRow="0" w:lastRow="0" w:firstColumn="0" w:lastColumn="0" w:oddVBand="0" w:evenVBand="0" w:oddHBand="0" w:evenHBand="1" w:firstRowFirstColumn="0" w:firstRowLastColumn="0" w:lastRowFirstColumn="0" w:lastRowLastColumn="0"/>
            </w:pPr>
            <w:r w:rsidRPr="0064649E">
              <w:t>320.</w:t>
            </w:r>
            <w:r w:rsidR="00BE52CF">
              <w:t>4</w:t>
            </w:r>
            <w:r w:rsidRPr="0064649E">
              <w:t xml:space="preserve"> </w:t>
            </w:r>
          </w:p>
        </w:tc>
        <w:tc>
          <w:tcPr>
            <w:tcW w:w="1041" w:type="dxa"/>
            <w:vAlign w:val="top"/>
          </w:tcPr>
          <w:p w:rsidR="000938F8" w:rsidRPr="0064649E" w:rsidRDefault="000938F8" w:rsidP="00E426BD">
            <w:pPr>
              <w:cnfStyle w:val="000000010000" w:firstRow="0" w:lastRow="0" w:firstColumn="0" w:lastColumn="0" w:oddVBand="0" w:evenVBand="0" w:oddHBand="0" w:evenHBand="1" w:firstRowFirstColumn="0" w:firstRowLastColumn="0" w:lastRowFirstColumn="0" w:lastRowLastColumn="0"/>
            </w:pPr>
            <w:r w:rsidRPr="0064649E">
              <w:t xml:space="preserve">321.3 </w:t>
            </w:r>
          </w:p>
        </w:tc>
        <w:tc>
          <w:tcPr>
            <w:tcW w:w="1041" w:type="dxa"/>
            <w:vAlign w:val="top"/>
          </w:tcPr>
          <w:p w:rsidR="000938F8" w:rsidRPr="0064649E" w:rsidRDefault="000938F8" w:rsidP="00E426BD">
            <w:pPr>
              <w:cnfStyle w:val="000000010000" w:firstRow="0" w:lastRow="0" w:firstColumn="0" w:lastColumn="0" w:oddVBand="0" w:evenVBand="0" w:oddHBand="0" w:evenHBand="1" w:firstRowFirstColumn="0" w:firstRowLastColumn="0" w:lastRowFirstColumn="0" w:lastRowLastColumn="0"/>
            </w:pPr>
            <w:r w:rsidRPr="0064649E">
              <w:t>32</w:t>
            </w:r>
            <w:r w:rsidR="00BE52CF">
              <w:t>4.9</w:t>
            </w:r>
            <w:r w:rsidRPr="0064649E">
              <w:t xml:space="preserve"> </w:t>
            </w:r>
          </w:p>
        </w:tc>
        <w:tc>
          <w:tcPr>
            <w:tcW w:w="1041" w:type="dxa"/>
            <w:vAlign w:val="top"/>
          </w:tcPr>
          <w:p w:rsidR="000938F8" w:rsidRPr="0064649E" w:rsidRDefault="000938F8" w:rsidP="00E426BD">
            <w:pPr>
              <w:cnfStyle w:val="000000010000" w:firstRow="0" w:lastRow="0" w:firstColumn="0" w:lastColumn="0" w:oddVBand="0" w:evenVBand="0" w:oddHBand="0" w:evenHBand="1" w:firstRowFirstColumn="0" w:firstRowLastColumn="0" w:lastRowFirstColumn="0" w:lastRowLastColumn="0"/>
            </w:pPr>
            <w:r w:rsidRPr="0064649E">
              <w:t>316.</w:t>
            </w:r>
            <w:r w:rsidR="00BE52CF">
              <w:t>6</w:t>
            </w:r>
          </w:p>
        </w:tc>
        <w:tc>
          <w:tcPr>
            <w:tcW w:w="1041" w:type="dxa"/>
            <w:vAlign w:val="top"/>
          </w:tcPr>
          <w:p w:rsidR="000938F8" w:rsidRPr="0064649E" w:rsidRDefault="000938F8" w:rsidP="00E426BD">
            <w:pPr>
              <w:cnfStyle w:val="000000010000" w:firstRow="0" w:lastRow="0" w:firstColumn="0" w:lastColumn="0" w:oddVBand="0" w:evenVBand="0" w:oddHBand="0" w:evenHBand="1" w:firstRowFirstColumn="0" w:firstRowLastColumn="0" w:lastRowFirstColumn="0" w:lastRowLastColumn="0"/>
            </w:pPr>
            <w:r w:rsidRPr="0064649E">
              <w:t>327.</w:t>
            </w:r>
            <w:r w:rsidR="00BE52CF">
              <w:t>2</w:t>
            </w:r>
          </w:p>
        </w:tc>
        <w:tc>
          <w:tcPr>
            <w:tcW w:w="1033" w:type="dxa"/>
            <w:vAlign w:val="top"/>
          </w:tcPr>
          <w:p w:rsidR="000938F8" w:rsidRDefault="000938F8" w:rsidP="00E426BD">
            <w:pPr>
              <w:cnfStyle w:val="000000010000" w:firstRow="0" w:lastRow="0" w:firstColumn="0" w:lastColumn="0" w:oddVBand="0" w:evenVBand="0" w:oddHBand="0" w:evenHBand="1" w:firstRowFirstColumn="0" w:firstRowLastColumn="0" w:lastRowFirstColumn="0" w:lastRowLastColumn="0"/>
            </w:pPr>
            <w:r w:rsidRPr="0064649E">
              <w:t>1,610.</w:t>
            </w:r>
            <w:r w:rsidR="00BE52CF">
              <w:t>4</w:t>
            </w:r>
            <w:r w:rsidRPr="0064649E">
              <w:t xml:space="preserve"> </w:t>
            </w:r>
          </w:p>
        </w:tc>
      </w:tr>
      <w:tr w:rsidR="000938F8" w:rsidRPr="00767B5A" w:rsidTr="00D5207A">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0938F8" w:rsidRPr="007B3355" w:rsidRDefault="000938F8" w:rsidP="00A85AFD">
            <w:r w:rsidRPr="00442D75">
              <w:t>Difference</w:t>
            </w:r>
          </w:p>
        </w:tc>
        <w:tc>
          <w:tcPr>
            <w:tcW w:w="1042" w:type="dxa"/>
            <w:vAlign w:val="top"/>
          </w:tcPr>
          <w:p w:rsidR="000938F8" w:rsidRPr="000B17CC" w:rsidRDefault="000938F8" w:rsidP="00E426BD">
            <w:pPr>
              <w:cnfStyle w:val="000000000000" w:firstRow="0" w:lastRow="0" w:firstColumn="0" w:lastColumn="0" w:oddVBand="0" w:evenVBand="0" w:oddHBand="0" w:evenHBand="0" w:firstRowFirstColumn="0" w:firstRowLastColumn="0" w:lastRowFirstColumn="0" w:lastRowLastColumn="0"/>
            </w:pPr>
            <w:r>
              <w:t>-</w:t>
            </w:r>
            <w:r w:rsidRPr="000B17CC">
              <w:t>71.</w:t>
            </w:r>
            <w:r w:rsidR="00BE52CF">
              <w:t>9</w:t>
            </w:r>
          </w:p>
        </w:tc>
        <w:tc>
          <w:tcPr>
            <w:tcW w:w="1041" w:type="dxa"/>
            <w:vAlign w:val="top"/>
          </w:tcPr>
          <w:p w:rsidR="000938F8" w:rsidRPr="000B17CC" w:rsidRDefault="000938F8" w:rsidP="00E426BD">
            <w:pPr>
              <w:cnfStyle w:val="000000000000" w:firstRow="0" w:lastRow="0" w:firstColumn="0" w:lastColumn="0" w:oddVBand="0" w:evenVBand="0" w:oddHBand="0" w:evenHBand="0" w:firstRowFirstColumn="0" w:firstRowLastColumn="0" w:lastRowFirstColumn="0" w:lastRowLastColumn="0"/>
            </w:pPr>
            <w:r>
              <w:t>-</w:t>
            </w:r>
            <w:r w:rsidRPr="000B17CC">
              <w:t xml:space="preserve">78.0 </w:t>
            </w:r>
          </w:p>
        </w:tc>
        <w:tc>
          <w:tcPr>
            <w:tcW w:w="1041" w:type="dxa"/>
            <w:vAlign w:val="top"/>
          </w:tcPr>
          <w:p w:rsidR="000938F8" w:rsidRPr="000B17CC" w:rsidRDefault="000938F8" w:rsidP="00E426BD">
            <w:pPr>
              <w:cnfStyle w:val="000000000000" w:firstRow="0" w:lastRow="0" w:firstColumn="0" w:lastColumn="0" w:oddVBand="0" w:evenVBand="0" w:oddHBand="0" w:evenHBand="0" w:firstRowFirstColumn="0" w:firstRowLastColumn="0" w:lastRowFirstColumn="0" w:lastRowLastColumn="0"/>
            </w:pPr>
            <w:r>
              <w:t>-</w:t>
            </w:r>
            <w:r w:rsidRPr="000B17CC">
              <w:t>81.</w:t>
            </w:r>
            <w:r w:rsidR="00BE52CF">
              <w:t>5</w:t>
            </w:r>
            <w:r w:rsidRPr="000B17CC">
              <w:t xml:space="preserve"> </w:t>
            </w:r>
          </w:p>
        </w:tc>
        <w:tc>
          <w:tcPr>
            <w:tcW w:w="1041" w:type="dxa"/>
            <w:vAlign w:val="top"/>
          </w:tcPr>
          <w:p w:rsidR="000938F8" w:rsidRPr="000B17CC" w:rsidRDefault="000938F8" w:rsidP="00E426BD">
            <w:pPr>
              <w:cnfStyle w:val="000000000000" w:firstRow="0" w:lastRow="0" w:firstColumn="0" w:lastColumn="0" w:oddVBand="0" w:evenVBand="0" w:oddHBand="0" w:evenHBand="0" w:firstRowFirstColumn="0" w:firstRowLastColumn="0" w:lastRowFirstColumn="0" w:lastRowLastColumn="0"/>
            </w:pPr>
            <w:r>
              <w:t>-</w:t>
            </w:r>
            <w:r w:rsidRPr="000B17CC">
              <w:t>81.</w:t>
            </w:r>
            <w:r w:rsidR="00BE52CF">
              <w:t>2</w:t>
            </w:r>
            <w:r w:rsidRPr="000B17CC">
              <w:t xml:space="preserve"> </w:t>
            </w:r>
          </w:p>
        </w:tc>
        <w:tc>
          <w:tcPr>
            <w:tcW w:w="1041" w:type="dxa"/>
            <w:vAlign w:val="top"/>
          </w:tcPr>
          <w:p w:rsidR="000938F8" w:rsidRPr="000B17CC" w:rsidRDefault="000938F8" w:rsidP="00E426BD">
            <w:pPr>
              <w:cnfStyle w:val="000000000000" w:firstRow="0" w:lastRow="0" w:firstColumn="0" w:lastColumn="0" w:oddVBand="0" w:evenVBand="0" w:oddHBand="0" w:evenHBand="0" w:firstRowFirstColumn="0" w:firstRowLastColumn="0" w:lastRowFirstColumn="0" w:lastRowLastColumn="0"/>
            </w:pPr>
            <w:r>
              <w:t>-</w:t>
            </w:r>
            <w:r w:rsidRPr="000B17CC">
              <w:t>83.</w:t>
            </w:r>
            <w:r w:rsidR="00BE52CF">
              <w:t>3</w:t>
            </w:r>
            <w:r w:rsidRPr="000B17CC">
              <w:t xml:space="preserve"> </w:t>
            </w:r>
          </w:p>
        </w:tc>
        <w:tc>
          <w:tcPr>
            <w:tcW w:w="1033" w:type="dxa"/>
            <w:vAlign w:val="top"/>
          </w:tcPr>
          <w:p w:rsidR="000938F8" w:rsidRDefault="000938F8" w:rsidP="00E426BD">
            <w:pPr>
              <w:cnfStyle w:val="000000000000" w:firstRow="0" w:lastRow="0" w:firstColumn="0" w:lastColumn="0" w:oddVBand="0" w:evenVBand="0" w:oddHBand="0" w:evenHBand="0" w:firstRowFirstColumn="0" w:firstRowLastColumn="0" w:lastRowFirstColumn="0" w:lastRowLastColumn="0"/>
            </w:pPr>
            <w:r>
              <w:t>-</w:t>
            </w:r>
            <w:r w:rsidRPr="000B17CC">
              <w:t>395.</w:t>
            </w:r>
            <w:r w:rsidR="00BE52CF">
              <w:t>9</w:t>
            </w:r>
          </w:p>
        </w:tc>
      </w:tr>
      <w:tr w:rsidR="000938F8" w:rsidRPr="00767B5A" w:rsidTr="00D5207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0938F8" w:rsidRPr="007B3355" w:rsidRDefault="000938F8" w:rsidP="00A85AFD">
            <w:r w:rsidRPr="00C05551">
              <w:t>Percentage difference (%)</w:t>
            </w:r>
          </w:p>
        </w:tc>
        <w:tc>
          <w:tcPr>
            <w:tcW w:w="1042" w:type="dxa"/>
            <w:vAlign w:val="top"/>
          </w:tcPr>
          <w:p w:rsidR="000938F8" w:rsidRPr="00101987" w:rsidRDefault="000938F8" w:rsidP="000938F8">
            <w:pPr>
              <w:cnfStyle w:val="000000010000" w:firstRow="0" w:lastRow="0" w:firstColumn="0" w:lastColumn="0" w:oddVBand="0" w:evenVBand="0" w:oddHBand="0" w:evenHBand="1" w:firstRowFirstColumn="0" w:firstRowLastColumn="0" w:lastRowFirstColumn="0" w:lastRowLastColumn="0"/>
            </w:pPr>
            <w:r>
              <w:t>-</w:t>
            </w:r>
            <w:r w:rsidRPr="00101987">
              <w:t>18.3</w:t>
            </w:r>
          </w:p>
        </w:tc>
        <w:tc>
          <w:tcPr>
            <w:tcW w:w="1041" w:type="dxa"/>
            <w:vAlign w:val="top"/>
          </w:tcPr>
          <w:p w:rsidR="000938F8" w:rsidRPr="00101987" w:rsidRDefault="000938F8" w:rsidP="000938F8">
            <w:pPr>
              <w:cnfStyle w:val="000000010000" w:firstRow="0" w:lastRow="0" w:firstColumn="0" w:lastColumn="0" w:oddVBand="0" w:evenVBand="0" w:oddHBand="0" w:evenHBand="1" w:firstRowFirstColumn="0" w:firstRowLastColumn="0" w:lastRowFirstColumn="0" w:lastRowLastColumn="0"/>
            </w:pPr>
            <w:r>
              <w:t>-</w:t>
            </w:r>
            <w:r w:rsidRPr="00101987">
              <w:t>19.5</w:t>
            </w:r>
          </w:p>
        </w:tc>
        <w:tc>
          <w:tcPr>
            <w:tcW w:w="1041" w:type="dxa"/>
            <w:vAlign w:val="top"/>
          </w:tcPr>
          <w:p w:rsidR="000938F8" w:rsidRPr="00101987" w:rsidRDefault="000938F8" w:rsidP="000938F8">
            <w:pPr>
              <w:cnfStyle w:val="000000010000" w:firstRow="0" w:lastRow="0" w:firstColumn="0" w:lastColumn="0" w:oddVBand="0" w:evenVBand="0" w:oddHBand="0" w:evenHBand="1" w:firstRowFirstColumn="0" w:firstRowLastColumn="0" w:lastRowFirstColumn="0" w:lastRowLastColumn="0"/>
            </w:pPr>
            <w:r>
              <w:t>-</w:t>
            </w:r>
            <w:r w:rsidRPr="00101987">
              <w:t>20.</w:t>
            </w:r>
            <w:r w:rsidR="00BE52CF">
              <w:t>1</w:t>
            </w:r>
          </w:p>
        </w:tc>
        <w:tc>
          <w:tcPr>
            <w:tcW w:w="1041" w:type="dxa"/>
            <w:vAlign w:val="top"/>
          </w:tcPr>
          <w:p w:rsidR="000938F8" w:rsidRPr="00101987" w:rsidRDefault="000938F8" w:rsidP="000938F8">
            <w:pPr>
              <w:cnfStyle w:val="000000010000" w:firstRow="0" w:lastRow="0" w:firstColumn="0" w:lastColumn="0" w:oddVBand="0" w:evenVBand="0" w:oddHBand="0" w:evenHBand="1" w:firstRowFirstColumn="0" w:firstRowLastColumn="0" w:lastRowFirstColumn="0" w:lastRowLastColumn="0"/>
            </w:pPr>
            <w:r>
              <w:t>-</w:t>
            </w:r>
            <w:r w:rsidRPr="00101987">
              <w:t>20.4</w:t>
            </w:r>
          </w:p>
        </w:tc>
        <w:tc>
          <w:tcPr>
            <w:tcW w:w="1041" w:type="dxa"/>
            <w:vAlign w:val="top"/>
          </w:tcPr>
          <w:p w:rsidR="000938F8" w:rsidRPr="00101987" w:rsidRDefault="000938F8" w:rsidP="00E426BD">
            <w:pPr>
              <w:cnfStyle w:val="000000010000" w:firstRow="0" w:lastRow="0" w:firstColumn="0" w:lastColumn="0" w:oddVBand="0" w:evenVBand="0" w:oddHBand="0" w:evenHBand="1" w:firstRowFirstColumn="0" w:firstRowLastColumn="0" w:lastRowFirstColumn="0" w:lastRowLastColumn="0"/>
            </w:pPr>
            <w:r>
              <w:t>-</w:t>
            </w:r>
            <w:r w:rsidRPr="00101987">
              <w:t>20.3</w:t>
            </w:r>
          </w:p>
        </w:tc>
        <w:tc>
          <w:tcPr>
            <w:tcW w:w="1033" w:type="dxa"/>
            <w:vAlign w:val="top"/>
          </w:tcPr>
          <w:p w:rsidR="000938F8" w:rsidRDefault="000938F8" w:rsidP="000938F8">
            <w:pPr>
              <w:cnfStyle w:val="000000010000" w:firstRow="0" w:lastRow="0" w:firstColumn="0" w:lastColumn="0" w:oddVBand="0" w:evenVBand="0" w:oddHBand="0" w:evenHBand="1" w:firstRowFirstColumn="0" w:firstRowLastColumn="0" w:lastRowFirstColumn="0" w:lastRowLastColumn="0"/>
            </w:pPr>
            <w:r>
              <w:t>-</w:t>
            </w:r>
            <w:r w:rsidRPr="00101987">
              <w:t>19.7</w:t>
            </w:r>
          </w:p>
        </w:tc>
      </w:tr>
    </w:tbl>
    <w:p w:rsidR="002F3C7B" w:rsidRPr="007B3355" w:rsidRDefault="002F3C7B" w:rsidP="002F3C7B">
      <w:pPr>
        <w:pStyle w:val="AERtablesource"/>
        <w:rPr>
          <w:rFonts w:eastAsia="Calibri"/>
        </w:rPr>
      </w:pPr>
      <w:r w:rsidRPr="00767B5A">
        <w:t>Source:</w:t>
      </w:r>
      <w:r w:rsidRPr="00767B5A">
        <w:tab/>
      </w:r>
      <w:r w:rsidR="00300C3A">
        <w:t xml:space="preserve">Powercor, </w:t>
      </w:r>
      <w:r w:rsidR="00300C3A" w:rsidRPr="00E120C6">
        <w:rPr>
          <w:rStyle w:val="AERtextitalic"/>
        </w:rPr>
        <w:t>Regulatory proposal 2016–2020</w:t>
      </w:r>
      <w:r w:rsidR="00300C3A">
        <w:t>, April 2015, pp. 101–102;</w:t>
      </w:r>
      <w:r w:rsidR="00300C3A" w:rsidRPr="005531F2">
        <w:t xml:space="preserve"> AER analysis</w:t>
      </w:r>
      <w:r w:rsidR="00300C3A">
        <w:t>.</w:t>
      </w:r>
    </w:p>
    <w:p w:rsidR="002F3C7B" w:rsidRDefault="002F3C7B" w:rsidP="002F3C7B">
      <w:pPr>
        <w:pStyle w:val="AERtablesource"/>
      </w:pPr>
      <w:r w:rsidRPr="00767B5A">
        <w:t>Note:</w:t>
      </w:r>
      <w:r w:rsidRPr="00767B5A">
        <w:tab/>
        <w:t>Numbers may not add up due to rounding.</w:t>
      </w:r>
    </w:p>
    <w:p w:rsidR="00300C3A" w:rsidRPr="00300C3A" w:rsidRDefault="00300C3A" w:rsidP="00300C3A">
      <w:pPr>
        <w:pStyle w:val="AERtablesource"/>
        <w:rPr>
          <w:rFonts w:eastAsia="Calibri"/>
        </w:rPr>
      </w:pPr>
      <w:r w:rsidRPr="00E120C6">
        <w:t>Note:</w:t>
      </w:r>
      <w:r w:rsidRPr="00E120C6">
        <w:tab/>
        <w:t>The figures above</w:t>
      </w:r>
      <w:r>
        <w:t xml:space="preserve"> do not</w:t>
      </w:r>
      <w:r w:rsidRPr="00E120C6">
        <w:t xml:space="preserve"> include equity raising costs. For our assessment of equity raising costs, see attachment</w:t>
      </w:r>
      <w:r>
        <w:t xml:space="preserve"> 3</w:t>
      </w:r>
      <w:r w:rsidRPr="00E120C6">
        <w:t>.</w:t>
      </w:r>
    </w:p>
    <w:p w:rsidR="00ED2BFB" w:rsidRPr="00ED2BFB" w:rsidRDefault="00ED2BFB" w:rsidP="00ED2BFB">
      <w:pPr>
        <w:pStyle w:val="ListParagraph"/>
        <w:numPr>
          <w:ilvl w:val="0"/>
          <w:numId w:val="24"/>
        </w:numPr>
      </w:pPr>
      <w:r w:rsidRPr="00ED2BFB">
        <w:t xml:space="preserve">Figure </w:t>
      </w:r>
      <w:r w:rsidR="00FE3FED">
        <w:t xml:space="preserve">7 </w:t>
      </w:r>
      <w:r w:rsidRPr="00ED2BFB">
        <w:t>shows our preliminary</w:t>
      </w:r>
      <w:r>
        <w:t xml:space="preserve"> capex</w:t>
      </w:r>
      <w:r w:rsidRPr="00ED2BFB">
        <w:t xml:space="preserve"> decision compared to Powercor’s proposal, its past allowances and past actual expenditure.</w:t>
      </w:r>
    </w:p>
    <w:p w:rsidR="0090039D" w:rsidRDefault="0090039D" w:rsidP="0090039D">
      <w:pPr>
        <w:pStyle w:val="Caption"/>
      </w:pPr>
      <w:r>
        <w:lastRenderedPageBreak/>
        <w:t xml:space="preserve">Figure </w:t>
      </w:r>
      <w:r w:rsidR="00FE3FED">
        <w:t>7</w:t>
      </w:r>
      <w:r w:rsidR="00DA77C3">
        <w:tab/>
      </w:r>
      <w:r>
        <w:t>Powercor’s total actual and forecast capex 2011–2020</w:t>
      </w:r>
    </w:p>
    <w:p w:rsidR="00ED2BFB" w:rsidRDefault="003052EA" w:rsidP="003052EA">
      <w:pPr>
        <w:numPr>
          <w:ilvl w:val="0"/>
          <w:numId w:val="24"/>
        </w:numPr>
      </w:pPr>
      <w:r w:rsidRPr="003052EA">
        <w:rPr>
          <w:noProof/>
          <w:lang w:eastAsia="en-AU"/>
        </w:rPr>
        <w:drawing>
          <wp:inline distT="0" distB="0" distL="0" distR="0" wp14:anchorId="3911D240" wp14:editId="7BBBC68D">
            <wp:extent cx="5286375" cy="3590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6375" cy="3590925"/>
                    </a:xfrm>
                    <a:prstGeom prst="rect">
                      <a:avLst/>
                    </a:prstGeom>
                    <a:noFill/>
                    <a:ln>
                      <a:noFill/>
                    </a:ln>
                  </pic:spPr>
                </pic:pic>
              </a:graphicData>
            </a:graphic>
          </wp:inline>
        </w:drawing>
      </w:r>
    </w:p>
    <w:p w:rsidR="004F25B6" w:rsidRPr="004F25B6" w:rsidRDefault="003052EA" w:rsidP="00AA5008">
      <w:pPr>
        <w:pStyle w:val="AERbodytextnospaceleftalign"/>
        <w:rPr>
          <w:rStyle w:val="AERbody"/>
        </w:rPr>
      </w:pPr>
      <w:r>
        <w:rPr>
          <w:rStyle w:val="AERbody"/>
        </w:rPr>
        <w:t>W</w:t>
      </w:r>
      <w:r w:rsidR="002F3C7B" w:rsidRPr="00AA5008">
        <w:rPr>
          <w:rStyle w:val="AERbody"/>
        </w:rPr>
        <w:t xml:space="preserve">e examined Powercor’s forecasting methodology, key assumptions and past capex performance. </w:t>
      </w:r>
      <w:r w:rsidRPr="00AA5008">
        <w:rPr>
          <w:rStyle w:val="AERbody"/>
        </w:rPr>
        <w:t xml:space="preserve">Attachment 6 sets out our detailed reasons for our preliminary decision on Powercor’s total forecast capex. </w:t>
      </w:r>
    </w:p>
    <w:p w:rsidR="004F25B6" w:rsidRPr="004F25B6" w:rsidRDefault="004F25B6" w:rsidP="00AA5008">
      <w:pPr>
        <w:pStyle w:val="AERbodytextnospaceleftalign"/>
        <w:rPr>
          <w:rStyle w:val="AERbody"/>
        </w:rPr>
      </w:pPr>
    </w:p>
    <w:p w:rsidR="002F3C7B" w:rsidRPr="00C97844" w:rsidRDefault="002F3C7B" w:rsidP="00AA5008">
      <w:pPr>
        <w:pStyle w:val="AERbodytextnospaceleftalign"/>
        <w:rPr>
          <w:rStyle w:val="AERbody"/>
        </w:rPr>
      </w:pPr>
      <w:r w:rsidRPr="004F25B6">
        <w:rPr>
          <w:rStyle w:val="AERbody"/>
        </w:rPr>
        <w:t xml:space="preserve">The key areas of difference between our substitute </w:t>
      </w:r>
      <w:r w:rsidR="004F25B6">
        <w:rPr>
          <w:rStyle w:val="AERbody"/>
        </w:rPr>
        <w:t xml:space="preserve">capex </w:t>
      </w:r>
      <w:r w:rsidRPr="004F25B6">
        <w:rPr>
          <w:rStyle w:val="AERbody"/>
        </w:rPr>
        <w:t>estimate and Powercor’s proposal are</w:t>
      </w:r>
      <w:r w:rsidRPr="00C97844">
        <w:rPr>
          <w:rStyle w:val="AERbody"/>
        </w:rPr>
        <w:t>:</w:t>
      </w:r>
      <w:r w:rsidR="00300C3A">
        <w:rPr>
          <w:rStyle w:val="FootnoteReference"/>
        </w:rPr>
        <w:footnoteReference w:id="46"/>
      </w:r>
      <w:r w:rsidRPr="00C97844">
        <w:rPr>
          <w:rStyle w:val="AERbody"/>
        </w:rPr>
        <w:t xml:space="preserve"> </w:t>
      </w:r>
    </w:p>
    <w:p w:rsidR="00BC6281" w:rsidRDefault="00A06556" w:rsidP="00BC6281">
      <w:pPr>
        <w:pStyle w:val="Bulletpoint"/>
        <w:numPr>
          <w:ilvl w:val="0"/>
          <w:numId w:val="2"/>
        </w:numPr>
        <w:spacing w:line="240" w:lineRule="auto"/>
        <w:ind w:left="340" w:hanging="340"/>
      </w:pPr>
      <w:r>
        <w:t>Our alternative estimate of total capex includes $6</w:t>
      </w:r>
      <w:r w:rsidR="00300C3A">
        <w:t>0</w:t>
      </w:r>
      <w:r w:rsidR="002B3347">
        <w:t>9</w:t>
      </w:r>
      <w:r w:rsidR="00C97844" w:rsidRPr="00C97844">
        <w:t xml:space="preserve"> million</w:t>
      </w:r>
      <w:r>
        <w:t xml:space="preserve"> ($2015) for repex</w:t>
      </w:r>
      <w:r w:rsidR="00C97844" w:rsidRPr="00C97844">
        <w:t>.</w:t>
      </w:r>
      <w:r>
        <w:rPr>
          <w:rStyle w:val="FootnoteReference"/>
        </w:rPr>
        <w:footnoteReference w:id="47"/>
      </w:r>
      <w:r w:rsidR="00C97844" w:rsidRPr="00C97844">
        <w:t xml:space="preserve"> </w:t>
      </w:r>
      <w:r w:rsidRPr="00A06556">
        <w:t>This is 1</w:t>
      </w:r>
      <w:r w:rsidR="00300C3A">
        <w:t>6</w:t>
      </w:r>
      <w:r w:rsidRPr="00A06556">
        <w:t xml:space="preserve"> per cent lower than Powercor’s </w:t>
      </w:r>
      <w:r w:rsidR="00CC52BD">
        <w:t xml:space="preserve">repex </w:t>
      </w:r>
      <w:r w:rsidRPr="00A06556">
        <w:t>proposal</w:t>
      </w:r>
      <w:r>
        <w:t xml:space="preserve"> of $72</w:t>
      </w:r>
      <w:r w:rsidR="002B3347">
        <w:t>2</w:t>
      </w:r>
      <w:r>
        <w:t xml:space="preserve"> million</w:t>
      </w:r>
      <w:r w:rsidRPr="00A06556">
        <w:t>.</w:t>
      </w:r>
      <w:r>
        <w:t xml:space="preserve"> </w:t>
      </w:r>
      <w:r w:rsidR="00BC6281">
        <w:t xml:space="preserve">Our repex modelling estimates a lower amount of “business as usual” repex is necessary compared to Powercor’s forecast for the modelled categories of repex. We also do not accept Powercor’s proposed increase to repex for pole top structures. </w:t>
      </w:r>
    </w:p>
    <w:p w:rsidR="004D067D" w:rsidRDefault="00E7248F" w:rsidP="004D067D">
      <w:pPr>
        <w:pStyle w:val="AERbulletlistfirststyle"/>
      </w:pPr>
      <w:r w:rsidRPr="00BC6281">
        <w:rPr>
          <w:rStyle w:val="AERbodytextChar"/>
          <w:rFonts w:eastAsiaTheme="minorHAnsi"/>
        </w:rPr>
        <w:t>Our alternative estimate of total capex includes $</w:t>
      </w:r>
      <w:r w:rsidR="00300C3A" w:rsidRPr="00BC6281">
        <w:rPr>
          <w:rStyle w:val="AERbodytextChar"/>
          <w:rFonts w:eastAsiaTheme="minorHAnsi"/>
        </w:rPr>
        <w:t>241.6</w:t>
      </w:r>
      <w:r w:rsidRPr="00BC6281">
        <w:rPr>
          <w:rStyle w:val="AERbodytextChar"/>
          <w:rFonts w:eastAsiaTheme="minorHAnsi"/>
        </w:rPr>
        <w:t xml:space="preserve"> million ($</w:t>
      </w:r>
      <w:r w:rsidR="00300C3A" w:rsidRPr="00BC6281">
        <w:rPr>
          <w:rStyle w:val="AERbodytextChar"/>
          <w:rFonts w:eastAsiaTheme="minorHAnsi"/>
        </w:rPr>
        <w:t>2015</w:t>
      </w:r>
      <w:r w:rsidRPr="00BC6281">
        <w:rPr>
          <w:rStyle w:val="AERbodytextChar"/>
          <w:rFonts w:eastAsiaTheme="minorHAnsi"/>
        </w:rPr>
        <w:t xml:space="preserve">) for augex. This is </w:t>
      </w:r>
      <w:r w:rsidR="00300C3A" w:rsidRPr="00BC6281">
        <w:rPr>
          <w:rStyle w:val="AERbodytextChar"/>
          <w:rFonts w:eastAsiaTheme="minorHAnsi"/>
        </w:rPr>
        <w:t xml:space="preserve">33 </w:t>
      </w:r>
      <w:r w:rsidRPr="00BC6281">
        <w:rPr>
          <w:rStyle w:val="AERbodytextChar"/>
          <w:rFonts w:eastAsiaTheme="minorHAnsi"/>
        </w:rPr>
        <w:t>per cent lower than Powercor’s augex proposal</w:t>
      </w:r>
      <w:r w:rsidR="00300C3A" w:rsidRPr="00BC6281">
        <w:rPr>
          <w:rStyle w:val="AERbodytextChar"/>
          <w:rFonts w:eastAsiaTheme="minorHAnsi"/>
        </w:rPr>
        <w:t xml:space="preserve"> of $362.3 million ($2015)</w:t>
      </w:r>
      <w:r w:rsidRPr="00BC6281">
        <w:rPr>
          <w:rStyle w:val="AERbodytextChar"/>
          <w:rFonts w:eastAsiaTheme="minorHAnsi"/>
        </w:rPr>
        <w:t xml:space="preserve">. </w:t>
      </w:r>
      <w:r w:rsidR="004D067D">
        <w:t xml:space="preserve">Our estimate is lower because we consider Powercor’s demand forecast is overstated. Using a realistic demand forecast, we consider less capex is required to augment Powercor’s network than it had forecast, including for its high voltage feeders and a new Torquay zone substation. </w:t>
      </w:r>
      <w:r w:rsidR="004D067D" w:rsidRPr="00BC6281">
        <w:rPr>
          <w:rStyle w:val="AERbodytextChar"/>
          <w:rFonts w:eastAsiaTheme="minorHAnsi"/>
        </w:rPr>
        <w:t>In addition, we consider that Powercor’s proposed capex for voltage regulators is not necessary</w:t>
      </w:r>
    </w:p>
    <w:p w:rsidR="00872F34" w:rsidRPr="00EE451D" w:rsidRDefault="00872F34" w:rsidP="00EE451D">
      <w:pPr>
        <w:pStyle w:val="AERbulletlistfirststyle"/>
        <w:rPr>
          <w:rStyle w:val="AERbodytextChar"/>
          <w:rFonts w:eastAsiaTheme="minorHAnsi" w:cstheme="minorBidi"/>
        </w:rPr>
      </w:pPr>
      <w:r>
        <w:rPr>
          <w:rStyle w:val="AERbodytextChar"/>
          <w:rFonts w:eastAsiaTheme="minorHAnsi"/>
        </w:rPr>
        <w:lastRenderedPageBreak/>
        <w:t xml:space="preserve">We </w:t>
      </w:r>
      <w:r w:rsidR="008F7008">
        <w:rPr>
          <w:rStyle w:val="AERbodytextChar"/>
          <w:rFonts w:eastAsiaTheme="minorHAnsi"/>
        </w:rPr>
        <w:t>estimate</w:t>
      </w:r>
      <w:r>
        <w:rPr>
          <w:rStyle w:val="AERbodytextChar"/>
          <w:rFonts w:eastAsiaTheme="minorHAnsi"/>
        </w:rPr>
        <w:t xml:space="preserve"> $724.</w:t>
      </w:r>
      <w:r w:rsidR="00300C3A">
        <w:rPr>
          <w:rStyle w:val="AERbodytextChar"/>
          <w:rFonts w:eastAsiaTheme="minorHAnsi"/>
        </w:rPr>
        <w:t>6</w:t>
      </w:r>
      <w:r w:rsidR="009C50E6">
        <w:rPr>
          <w:rStyle w:val="AERbodytextChar"/>
          <w:rFonts w:eastAsiaTheme="minorHAnsi"/>
        </w:rPr>
        <w:t xml:space="preserve"> million ($2015) for connections.</w:t>
      </w:r>
      <w:r w:rsidR="000352D5">
        <w:rPr>
          <w:rStyle w:val="FootnoteReference"/>
          <w:szCs w:val="24"/>
        </w:rPr>
        <w:footnoteReference w:id="48"/>
      </w:r>
      <w:r w:rsidR="009C50E6">
        <w:rPr>
          <w:rStyle w:val="AERbodytextChar"/>
          <w:rFonts w:eastAsiaTheme="minorHAnsi"/>
        </w:rPr>
        <w:t xml:space="preserve"> </w:t>
      </w:r>
      <w:r w:rsidR="00EE451D" w:rsidRPr="00EE451D">
        <w:rPr>
          <w:rStyle w:val="AERbodytextChar"/>
          <w:rFonts w:eastAsiaTheme="minorHAnsi"/>
        </w:rPr>
        <w:t xml:space="preserve">Our connections capex estimate is lower because we consider Powercor’s forecasting methodology overstates the amount of high volume connection activities required </w:t>
      </w:r>
      <w:r w:rsidR="00EE451D">
        <w:rPr>
          <w:rStyle w:val="AERbodytextChar"/>
          <w:rFonts w:eastAsiaTheme="minorHAnsi"/>
        </w:rPr>
        <w:t>in the 2016–</w:t>
      </w:r>
      <w:r w:rsidR="00EE451D" w:rsidRPr="00EE451D">
        <w:rPr>
          <w:rStyle w:val="AERbodytextChar"/>
          <w:rFonts w:eastAsiaTheme="minorHAnsi"/>
        </w:rPr>
        <w:t>20 period.</w:t>
      </w:r>
    </w:p>
    <w:p w:rsidR="00EE451D" w:rsidRPr="00BD0A53" w:rsidRDefault="00EE451D" w:rsidP="00EE451D">
      <w:pPr>
        <w:pStyle w:val="AERbulletlistfirststyle"/>
        <w:rPr>
          <w:rStyle w:val="AERbodytextChar"/>
          <w:rFonts w:eastAsiaTheme="minorHAnsi" w:cstheme="minorBidi"/>
        </w:rPr>
      </w:pPr>
      <w:r w:rsidRPr="00EE451D">
        <w:rPr>
          <w:rStyle w:val="AERbodytextChar"/>
          <w:rFonts w:eastAsiaTheme="minorHAnsi" w:cstheme="minorBidi"/>
        </w:rPr>
        <w:t xml:space="preserve">Our </w:t>
      </w:r>
      <w:r>
        <w:rPr>
          <w:rStyle w:val="AERbodytextChar"/>
          <w:rFonts w:eastAsiaTheme="minorHAnsi" w:cstheme="minorBidi"/>
        </w:rPr>
        <w:t xml:space="preserve">estimate of connections capex </w:t>
      </w:r>
      <w:r w:rsidRPr="00EE451D">
        <w:rPr>
          <w:rStyle w:val="AERbodytextChar"/>
          <w:rFonts w:eastAsiaTheme="minorHAnsi" w:cstheme="minorBidi"/>
        </w:rPr>
        <w:t>includes customer contribut</w:t>
      </w:r>
      <w:r w:rsidR="00531CED">
        <w:rPr>
          <w:rStyle w:val="AERbodytextChar"/>
          <w:rFonts w:eastAsiaTheme="minorHAnsi" w:cstheme="minorBidi"/>
        </w:rPr>
        <w:t>ions of $358.9 million ($2015</w:t>
      </w:r>
      <w:r w:rsidRPr="00EE451D">
        <w:rPr>
          <w:rStyle w:val="AERbodytextChar"/>
          <w:rFonts w:eastAsiaTheme="minorHAnsi" w:cstheme="minorBidi"/>
        </w:rPr>
        <w:t>). This is higher than Powercor’s forecast of $316.1 million ($</w:t>
      </w:r>
      <w:r w:rsidR="00531CED">
        <w:rPr>
          <w:rStyle w:val="AERbodytextChar"/>
          <w:rFonts w:eastAsiaTheme="minorHAnsi" w:cstheme="minorBidi"/>
        </w:rPr>
        <w:t>2015</w:t>
      </w:r>
      <w:r w:rsidRPr="00EE451D">
        <w:rPr>
          <w:rStyle w:val="AERbodytextChar"/>
          <w:rFonts w:eastAsiaTheme="minorHAnsi" w:cstheme="minorBidi"/>
        </w:rPr>
        <w:t xml:space="preserve">). Our customer contribution </w:t>
      </w:r>
      <w:r>
        <w:rPr>
          <w:rStyle w:val="AERbodytextChar"/>
          <w:rFonts w:eastAsiaTheme="minorHAnsi" w:cstheme="minorBidi"/>
        </w:rPr>
        <w:t>estimate is higher because</w:t>
      </w:r>
      <w:r w:rsidRPr="00EE451D">
        <w:rPr>
          <w:rStyle w:val="AERbodytextChar"/>
          <w:rFonts w:eastAsiaTheme="minorHAnsi" w:cstheme="minorBidi"/>
        </w:rPr>
        <w:t xml:space="preserve"> we are not satisfie</w:t>
      </w:r>
      <w:r>
        <w:rPr>
          <w:rStyle w:val="AERbodytextChar"/>
          <w:rFonts w:eastAsiaTheme="minorHAnsi" w:cstheme="minorBidi"/>
        </w:rPr>
        <w:t xml:space="preserve">d Powercor’s </w:t>
      </w:r>
      <w:r w:rsidRPr="00EE451D">
        <w:rPr>
          <w:rStyle w:val="AERbodytextChar"/>
          <w:rFonts w:eastAsiaTheme="minorHAnsi" w:cstheme="minorBidi"/>
        </w:rPr>
        <w:t>sampling approach to generate its contribution rate is reflective of the projects included in its</w:t>
      </w:r>
      <w:r>
        <w:rPr>
          <w:rStyle w:val="AERbodytextChar"/>
          <w:rFonts w:eastAsiaTheme="minorHAnsi" w:cstheme="minorBidi"/>
        </w:rPr>
        <w:t xml:space="preserve"> total</w:t>
      </w:r>
      <w:r w:rsidRPr="00EE451D">
        <w:rPr>
          <w:rStyle w:val="AERbodytextChar"/>
          <w:rFonts w:eastAsiaTheme="minorHAnsi" w:cstheme="minorBidi"/>
        </w:rPr>
        <w:t xml:space="preserve"> connections capex forecast.</w:t>
      </w:r>
    </w:p>
    <w:p w:rsidR="00BD0A53" w:rsidRPr="003052EA" w:rsidRDefault="006E7151" w:rsidP="00BD0A53">
      <w:pPr>
        <w:pStyle w:val="AERbulletlistfirststyle"/>
        <w:rPr>
          <w:rStyle w:val="AERbodytextChar"/>
          <w:rFonts w:eastAsiaTheme="minorHAnsi" w:cstheme="minorBidi"/>
        </w:rPr>
      </w:pPr>
      <w:r>
        <w:rPr>
          <w:rStyle w:val="AERbodytextChar"/>
          <w:rFonts w:eastAsiaTheme="minorHAnsi"/>
        </w:rPr>
        <w:t>We estimate $226</w:t>
      </w:r>
      <w:r w:rsidR="00BD0A53">
        <w:rPr>
          <w:rStyle w:val="AERbodytextChar"/>
          <w:rFonts w:eastAsiaTheme="minorHAnsi"/>
        </w:rPr>
        <w:t>.4 million ($2015) for Powercor</w:t>
      </w:r>
      <w:r>
        <w:rPr>
          <w:rStyle w:val="AERbodytextChar"/>
          <w:rFonts w:eastAsiaTheme="minorHAnsi"/>
        </w:rPr>
        <w:t>’s non–network capex. This is 86</w:t>
      </w:r>
      <w:r w:rsidR="00BD0A53">
        <w:rPr>
          <w:rStyle w:val="AERbodytextChar"/>
          <w:rFonts w:eastAsiaTheme="minorHAnsi"/>
        </w:rPr>
        <w:t xml:space="preserve"> per cent of Powercor’</w:t>
      </w:r>
      <w:r w:rsidR="003F7C2C">
        <w:rPr>
          <w:rStyle w:val="AERbodytextChar"/>
          <w:rFonts w:eastAsiaTheme="minorHAnsi"/>
        </w:rPr>
        <w:t>s non–network capex</w:t>
      </w:r>
      <w:r w:rsidR="00BD0A53">
        <w:rPr>
          <w:rStyle w:val="AERbodytextChar"/>
          <w:rFonts w:eastAsiaTheme="minorHAnsi"/>
        </w:rPr>
        <w:t xml:space="preserve"> forecast of $262.1 million ($2015).</w:t>
      </w:r>
      <w:r w:rsidR="003F7C2C">
        <w:rPr>
          <w:rStyle w:val="AERbodytextChar"/>
          <w:rFonts w:eastAsiaTheme="minorHAnsi"/>
        </w:rPr>
        <w:t xml:space="preserve"> </w:t>
      </w:r>
      <w:r w:rsidR="00697864">
        <w:rPr>
          <w:rStyle w:val="AERbodytextChar"/>
          <w:rFonts w:eastAsiaTheme="minorHAnsi"/>
        </w:rPr>
        <w:t>As part of our estimate, we accept Powercor</w:t>
      </w:r>
      <w:r>
        <w:rPr>
          <w:rStyle w:val="AERbodytextChar"/>
          <w:rFonts w:eastAsiaTheme="minorHAnsi"/>
        </w:rPr>
        <w:t>’s forecasts for a range of non</w:t>
      </w:r>
      <w:r w:rsidR="00697864">
        <w:rPr>
          <w:rStyle w:val="AERbodytextChar"/>
          <w:rFonts w:eastAsiaTheme="minorHAnsi"/>
        </w:rPr>
        <w:t>–network capex components. Our total non–network capex estimate is lower than Powercor’s forecast because we consider its proposed IT program is not prudent and efficient. We include in our estimate of non–network capex a lower forecast for IT expenditure.</w:t>
      </w:r>
    </w:p>
    <w:p w:rsidR="003052EA" w:rsidRDefault="003052EA" w:rsidP="003052EA">
      <w:pPr>
        <w:pStyle w:val="AERbulletlistfirststyle"/>
        <w:rPr>
          <w:rStyle w:val="AERbodytextChar"/>
          <w:rFonts w:eastAsiaTheme="minorHAnsi" w:cstheme="minorBidi"/>
        </w:rPr>
      </w:pPr>
      <w:r w:rsidRPr="003052EA">
        <w:rPr>
          <w:rStyle w:val="AERbodytextChar"/>
          <w:rFonts w:eastAsiaTheme="minorHAnsi" w:cstheme="minorBidi"/>
        </w:rPr>
        <w:t xml:space="preserve">We do not accept </w:t>
      </w:r>
      <w:r>
        <w:rPr>
          <w:rStyle w:val="AERbodytextChar"/>
          <w:rFonts w:eastAsiaTheme="minorHAnsi" w:cstheme="minorBidi"/>
        </w:rPr>
        <w:t>Powercor’s</w:t>
      </w:r>
      <w:r w:rsidRPr="003052EA">
        <w:rPr>
          <w:rStyle w:val="AERbodytextChar"/>
          <w:rFonts w:eastAsiaTheme="minorHAnsi" w:cstheme="minorBidi"/>
        </w:rPr>
        <w:t xml:space="preserve"> proposed capitalised overheads of $</w:t>
      </w:r>
      <w:r>
        <w:rPr>
          <w:rStyle w:val="AERbodytextChar"/>
          <w:rFonts w:eastAsiaTheme="minorHAnsi" w:cstheme="minorBidi"/>
        </w:rPr>
        <w:t>202.3</w:t>
      </w:r>
      <w:r w:rsidRPr="003052EA">
        <w:rPr>
          <w:rStyle w:val="AERbodytextChar"/>
          <w:rFonts w:eastAsiaTheme="minorHAnsi" w:cstheme="minorBidi"/>
        </w:rPr>
        <w:t xml:space="preserve"> million ($2015). We have instead included in our substitute estimate of overall total capex an amount of $</w:t>
      </w:r>
      <w:r>
        <w:rPr>
          <w:rStyle w:val="AERbodytextChar"/>
          <w:rFonts w:eastAsiaTheme="minorHAnsi" w:cstheme="minorBidi"/>
        </w:rPr>
        <w:t>197.7</w:t>
      </w:r>
      <w:r w:rsidRPr="003052EA">
        <w:rPr>
          <w:rStyle w:val="AERbodytextChar"/>
          <w:rFonts w:eastAsiaTheme="minorHAnsi" w:cstheme="minorBidi"/>
        </w:rPr>
        <w:t xml:space="preserve"> million ($2015) for capitalised overheads. This reduction in forecast overheads reflects our direct capex forecast that is expected to attract overhead expenditure.</w:t>
      </w:r>
    </w:p>
    <w:p w:rsidR="002B3347" w:rsidRDefault="002B3347" w:rsidP="002B3347">
      <w:pPr>
        <w:pStyle w:val="AERbulletlistfirststyle"/>
        <w:rPr>
          <w:rStyle w:val="AERbodytextChar"/>
          <w:rFonts w:eastAsiaTheme="minorHAnsi" w:cstheme="minorBidi"/>
        </w:rPr>
      </w:pPr>
      <w:r>
        <w:rPr>
          <w:rStyle w:val="AERbodytextChar"/>
          <w:rFonts w:eastAsiaTheme="minorHAnsi" w:cstheme="minorBidi"/>
        </w:rPr>
        <w:t xml:space="preserve">Our total capex </w:t>
      </w:r>
      <w:r w:rsidRPr="002B3347">
        <w:rPr>
          <w:rStyle w:val="AERbodytextChar"/>
          <w:rFonts w:eastAsiaTheme="minorHAnsi" w:cstheme="minorBidi"/>
        </w:rPr>
        <w:t xml:space="preserve">allowance also includes </w:t>
      </w:r>
      <w:r>
        <w:rPr>
          <w:rStyle w:val="AERbodytextChar"/>
          <w:rFonts w:eastAsiaTheme="minorHAnsi" w:cstheme="minorBidi"/>
        </w:rPr>
        <w:t xml:space="preserve">expenditure from </w:t>
      </w:r>
      <w:r w:rsidRPr="002B3347">
        <w:rPr>
          <w:rStyle w:val="AERbodytextChar"/>
          <w:rFonts w:eastAsiaTheme="minorHAnsi" w:cstheme="minorBidi"/>
        </w:rPr>
        <w:t>new safety obligations arising as a result of the recommendations of the 2009 Victorian Bushfire Royal Commission.</w:t>
      </w:r>
    </w:p>
    <w:p w:rsidR="002F3C7B" w:rsidRDefault="002F3C7B" w:rsidP="002F3C7B">
      <w:pPr>
        <w:pStyle w:val="Heading2"/>
        <w:ind w:left="680" w:hanging="680"/>
      </w:pPr>
      <w:bookmarkStart w:id="84" w:name="_Toc417973145"/>
      <w:bookmarkStart w:id="85" w:name="_Toc428354977"/>
      <w:bookmarkStart w:id="86" w:name="_Toc428956719"/>
      <w:bookmarkStart w:id="87" w:name="_Toc433786803"/>
      <w:r w:rsidRPr="00112BF8">
        <w:t>Operating expenditure</w:t>
      </w:r>
      <w:bookmarkEnd w:id="84"/>
      <w:bookmarkEnd w:id="85"/>
      <w:bookmarkEnd w:id="86"/>
      <w:bookmarkEnd w:id="87"/>
    </w:p>
    <w:p w:rsidR="008C4D66" w:rsidRPr="00D5634F" w:rsidRDefault="008C08AE" w:rsidP="008C4D66">
      <w:pPr>
        <w:numPr>
          <w:ilvl w:val="0"/>
          <w:numId w:val="24"/>
        </w:numPr>
      </w:pPr>
      <w:r>
        <w:t>Operating expenditure</w:t>
      </w:r>
      <w:r w:rsidRPr="00D5634F">
        <w:t xml:space="preserve"> </w:t>
      </w:r>
      <w:r>
        <w:t xml:space="preserve">(opex) </w:t>
      </w:r>
      <w:r w:rsidR="008C4D66">
        <w:t>is</w:t>
      </w:r>
      <w:r w:rsidR="008C4D66" w:rsidRPr="00D5634F">
        <w:t xml:space="preserve"> non-capital </w:t>
      </w:r>
      <w:r w:rsidR="008C4D66">
        <w:t xml:space="preserve">expenditure </w:t>
      </w:r>
      <w:r w:rsidR="008C4D66" w:rsidRPr="00D5634F">
        <w:t xml:space="preserve">incurred in the provision of distribution network services. It includes labour and other non-capital costs that </w:t>
      </w:r>
      <w:r w:rsidR="008C4D66">
        <w:t>Powercor</w:t>
      </w:r>
      <w:r w:rsidR="008C4D66" w:rsidRPr="00B71392">
        <w:t xml:space="preserve"> </w:t>
      </w:r>
      <w:r w:rsidR="008C4D66" w:rsidRPr="00D5634F">
        <w:t>is likely to require</w:t>
      </w:r>
      <w:r w:rsidR="008C4D66">
        <w:t xml:space="preserve"> to operate and maintain its network</w:t>
      </w:r>
      <w:r w:rsidR="008C4D66" w:rsidRPr="00D5634F">
        <w:t xml:space="preserve"> during the 201</w:t>
      </w:r>
      <w:r w:rsidR="008C4D66">
        <w:t>6</w:t>
      </w:r>
      <w:r w:rsidR="008C4D66" w:rsidRPr="00D5634F">
        <w:t xml:space="preserve">–20 regulatory control period. </w:t>
      </w:r>
    </w:p>
    <w:p w:rsidR="008C4D66" w:rsidRDefault="008C4D66" w:rsidP="008C4D66">
      <w:pPr>
        <w:rPr>
          <w:rStyle w:val="AERbodytextChar"/>
          <w:rFonts w:eastAsiaTheme="minorHAnsi"/>
        </w:rPr>
      </w:pPr>
      <w:r>
        <w:t>Powercor</w:t>
      </w:r>
      <w:r w:rsidRPr="00B71392">
        <w:t xml:space="preserve"> </w:t>
      </w:r>
      <w:r w:rsidRPr="007B3355">
        <w:rPr>
          <w:rStyle w:val="AERbodytextChar"/>
          <w:rFonts w:eastAsiaTheme="minorHAnsi"/>
        </w:rPr>
        <w:t>forecast total opex of $</w:t>
      </w:r>
      <w:r>
        <w:rPr>
          <w:rStyle w:val="AERbodytextChar"/>
          <w:rFonts w:eastAsiaTheme="minorHAnsi"/>
        </w:rPr>
        <w:t>1330.7</w:t>
      </w:r>
      <w:r w:rsidR="00531CED">
        <w:rPr>
          <w:rStyle w:val="AERbodytextChar"/>
          <w:rFonts w:eastAsiaTheme="minorHAnsi"/>
        </w:rPr>
        <w:t xml:space="preserve"> million ($20</w:t>
      </w:r>
      <w:r w:rsidRPr="007B3355">
        <w:rPr>
          <w:rStyle w:val="AERbodytextChar"/>
          <w:rFonts w:eastAsiaTheme="minorHAnsi"/>
        </w:rPr>
        <w:t>15) over the 201</w:t>
      </w:r>
      <w:r>
        <w:rPr>
          <w:rStyle w:val="AERbodytextChar"/>
          <w:rFonts w:eastAsiaTheme="minorHAnsi"/>
        </w:rPr>
        <w:t>6</w:t>
      </w:r>
      <w:r w:rsidRPr="007B3355">
        <w:rPr>
          <w:rStyle w:val="AERbodytextChar"/>
          <w:rFonts w:eastAsiaTheme="minorHAnsi"/>
        </w:rPr>
        <w:t xml:space="preserve">–20 regulatory control period. </w:t>
      </w:r>
      <w:r w:rsidRPr="00677312">
        <w:rPr>
          <w:rStyle w:val="AERbodytextChar"/>
          <w:rFonts w:eastAsiaTheme="minorHAnsi"/>
        </w:rPr>
        <w:t xml:space="preserve">Our preliminary decision is we are not satisfied </w:t>
      </w:r>
      <w:r>
        <w:rPr>
          <w:rStyle w:val="AERbodytextChar"/>
          <w:rFonts w:eastAsiaTheme="minorHAnsi"/>
        </w:rPr>
        <w:t>Powercor’s</w:t>
      </w:r>
      <w:r w:rsidRPr="00677312">
        <w:rPr>
          <w:rStyle w:val="AERbodytextChar"/>
          <w:rFonts w:eastAsiaTheme="minorHAnsi"/>
        </w:rPr>
        <w:t xml:space="preserve"> forecast opex reasonably reflects the opex criteria. </w:t>
      </w:r>
      <w:r w:rsidR="00FB0330">
        <w:rPr>
          <w:rStyle w:val="AERbodytextChar"/>
          <w:rFonts w:eastAsiaTheme="minorHAnsi"/>
        </w:rPr>
        <w:t xml:space="preserve">Where we find that a distributors' forecast opex does not reasonably reflect the opex criteria, the NER instruct us to not accept it and replace it with a forecast </w:t>
      </w:r>
      <w:r w:rsidR="00FB0330" w:rsidRPr="00CB0443">
        <w:rPr>
          <w:rStyle w:val="AERbodytextChar"/>
          <w:rFonts w:eastAsiaTheme="minorHAnsi"/>
        </w:rPr>
        <w:t>that we are satisfied reasonably reflects the opex criteria.</w:t>
      </w:r>
    </w:p>
    <w:p w:rsidR="008C4D66" w:rsidRPr="007B3355" w:rsidRDefault="008C4D66" w:rsidP="008C4D66">
      <w:pPr>
        <w:rPr>
          <w:rStyle w:val="AERbodytextChar"/>
          <w:rFonts w:eastAsiaTheme="minorHAnsi"/>
        </w:rPr>
      </w:pPr>
      <w:r w:rsidRPr="00677312">
        <w:t xml:space="preserve">Attachment 7 sets out our detailed reasons for our preliminary decision on </w:t>
      </w:r>
      <w:r>
        <w:t>Powercor’s</w:t>
      </w:r>
      <w:r w:rsidRPr="00677312">
        <w:t xml:space="preserve"> total forecast opex. </w:t>
      </w:r>
      <w:r w:rsidRPr="00677312">
        <w:rPr>
          <w:rStyle w:val="AERbodytextChar"/>
          <w:rFonts w:eastAsiaTheme="minorHAnsi"/>
        </w:rPr>
        <w:t xml:space="preserve">We compare our estimate with </w:t>
      </w:r>
      <w:r>
        <w:rPr>
          <w:rStyle w:val="AERbodytextChar"/>
          <w:rFonts w:eastAsiaTheme="minorHAnsi"/>
        </w:rPr>
        <w:t>Powercor’s</w:t>
      </w:r>
      <w:r w:rsidRPr="00677312">
        <w:rPr>
          <w:rStyle w:val="AERbodytextChar"/>
          <w:rFonts w:eastAsiaTheme="minorHAnsi"/>
        </w:rPr>
        <w:t xml:space="preserve"> proposal in </w:t>
      </w:r>
      <w:r>
        <w:rPr>
          <w:rStyle w:val="AERbodytextChar"/>
          <w:rFonts w:eastAsiaTheme="minorHAnsi"/>
        </w:rPr>
        <w:t>t</w:t>
      </w:r>
      <w:r w:rsidR="00FE3FED">
        <w:rPr>
          <w:rStyle w:val="AERbodytextChar"/>
          <w:rFonts w:eastAsiaTheme="minorHAnsi"/>
        </w:rPr>
        <w:t>able 9</w:t>
      </w:r>
      <w:r w:rsidRPr="007B3355">
        <w:rPr>
          <w:rStyle w:val="AERbodytextChar"/>
          <w:rFonts w:eastAsiaTheme="minorHAnsi"/>
        </w:rPr>
        <w:t>.</w:t>
      </w:r>
    </w:p>
    <w:p w:rsidR="008C4D66" w:rsidRPr="007B3355" w:rsidRDefault="00FE3FED" w:rsidP="008C4D66">
      <w:pPr>
        <w:pStyle w:val="Caption"/>
        <w:numPr>
          <w:ilvl w:val="0"/>
          <w:numId w:val="24"/>
        </w:numPr>
        <w:rPr>
          <w:rStyle w:val="AERbodytextChar"/>
          <w:rFonts w:eastAsiaTheme="minorHAnsi"/>
        </w:rPr>
      </w:pPr>
      <w:r>
        <w:rPr>
          <w:rStyle w:val="AERbodytextChar"/>
          <w:rFonts w:eastAsiaTheme="minorHAnsi"/>
        </w:rPr>
        <w:lastRenderedPageBreak/>
        <w:t>Table 9</w:t>
      </w:r>
      <w:r w:rsidR="008C4D66" w:rsidRPr="007B3355">
        <w:rPr>
          <w:rStyle w:val="AERbodytextChar"/>
          <w:rFonts w:eastAsiaTheme="minorHAnsi"/>
        </w:rPr>
        <w:tab/>
        <w:t xml:space="preserve">AER </w:t>
      </w:r>
      <w:r w:rsidR="008C4D66">
        <w:rPr>
          <w:rStyle w:val="AERbodytextChar"/>
          <w:rFonts w:eastAsiaTheme="minorHAnsi"/>
        </w:rPr>
        <w:t>preliminary</w:t>
      </w:r>
      <w:r w:rsidR="008C4D66" w:rsidRPr="007B3355">
        <w:rPr>
          <w:rStyle w:val="AERbodytextChar"/>
          <w:rFonts w:eastAsiaTheme="minorHAnsi"/>
        </w:rPr>
        <w:t xml:space="preserve"> decision </w:t>
      </w:r>
      <w:r w:rsidR="008C4D66">
        <w:rPr>
          <w:rStyle w:val="AERbodytextChar"/>
          <w:rFonts w:eastAsiaTheme="minorHAnsi"/>
        </w:rPr>
        <w:t>on</w:t>
      </w:r>
      <w:r w:rsidR="008C4D66" w:rsidRPr="007B3355">
        <w:rPr>
          <w:rStyle w:val="AERbodytextChar"/>
          <w:rFonts w:eastAsiaTheme="minorHAnsi"/>
        </w:rPr>
        <w:t xml:space="preserve"> total opex ($ million, </w:t>
      </w:r>
      <w:r w:rsidR="00531CED">
        <w:rPr>
          <w:rStyle w:val="AERbodytextChar"/>
          <w:rFonts w:eastAsiaTheme="minorHAnsi"/>
        </w:rPr>
        <w:t>2015</w:t>
      </w:r>
      <w:r w:rsidR="008C4D66" w:rsidRPr="007B3355">
        <w:rPr>
          <w:rStyle w:val="AERbodytextChar"/>
          <w:rFonts w:eastAsiaTheme="minorHAnsi"/>
        </w:rPr>
        <w:t>)</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8C4D66" w:rsidTr="002C6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8C4D66" w:rsidRPr="007B3355" w:rsidRDefault="008C4D66" w:rsidP="002C68C1">
            <w:r w:rsidRPr="00D5634F">
              <w:t>Year ending 30 June</w:t>
            </w:r>
          </w:p>
        </w:tc>
        <w:tc>
          <w:tcPr>
            <w:tcW w:w="972" w:type="dxa"/>
          </w:tcPr>
          <w:p w:rsidR="008C4D66" w:rsidRPr="007B3355" w:rsidRDefault="008C4D66" w:rsidP="00531CED">
            <w:pPr>
              <w:cnfStyle w:val="100000000000" w:firstRow="1" w:lastRow="0" w:firstColumn="0" w:lastColumn="0" w:oddVBand="0" w:evenVBand="0" w:oddHBand="0" w:evenHBand="0" w:firstRowFirstColumn="0" w:firstRowLastColumn="0" w:lastRowFirstColumn="0" w:lastRowLastColumn="0"/>
            </w:pPr>
            <w:r w:rsidRPr="00D5634F">
              <w:t>201</w:t>
            </w:r>
            <w:r w:rsidR="00531CED">
              <w:t>6</w:t>
            </w:r>
          </w:p>
        </w:tc>
        <w:tc>
          <w:tcPr>
            <w:tcW w:w="972" w:type="dxa"/>
          </w:tcPr>
          <w:p w:rsidR="008C4D66" w:rsidRPr="007B3355" w:rsidRDefault="008C4D66" w:rsidP="00531CED">
            <w:pPr>
              <w:cnfStyle w:val="100000000000" w:firstRow="1" w:lastRow="0" w:firstColumn="0" w:lastColumn="0" w:oddVBand="0" w:evenVBand="0" w:oddHBand="0" w:evenHBand="0" w:firstRowFirstColumn="0" w:firstRowLastColumn="0" w:lastRowFirstColumn="0" w:lastRowLastColumn="0"/>
            </w:pPr>
            <w:r w:rsidRPr="00D5634F">
              <w:t>201</w:t>
            </w:r>
            <w:r w:rsidR="00531CED">
              <w:t>7</w:t>
            </w:r>
          </w:p>
        </w:tc>
        <w:tc>
          <w:tcPr>
            <w:tcW w:w="972" w:type="dxa"/>
          </w:tcPr>
          <w:p w:rsidR="008C4D66" w:rsidRPr="007B3355" w:rsidRDefault="008C4D66" w:rsidP="00531CED">
            <w:pPr>
              <w:cnfStyle w:val="100000000000" w:firstRow="1" w:lastRow="0" w:firstColumn="0" w:lastColumn="0" w:oddVBand="0" w:evenVBand="0" w:oddHBand="0" w:evenHBand="0" w:firstRowFirstColumn="0" w:firstRowLastColumn="0" w:lastRowFirstColumn="0" w:lastRowLastColumn="0"/>
            </w:pPr>
            <w:r w:rsidRPr="00D5634F">
              <w:t>201</w:t>
            </w:r>
            <w:r w:rsidR="00531CED">
              <w:t>8</w:t>
            </w:r>
          </w:p>
        </w:tc>
        <w:tc>
          <w:tcPr>
            <w:tcW w:w="972" w:type="dxa"/>
          </w:tcPr>
          <w:p w:rsidR="008C4D66" w:rsidRPr="007B3355" w:rsidRDefault="008C4D66" w:rsidP="00531CED">
            <w:pPr>
              <w:cnfStyle w:val="100000000000" w:firstRow="1" w:lastRow="0" w:firstColumn="0" w:lastColumn="0" w:oddVBand="0" w:evenVBand="0" w:oddHBand="0" w:evenHBand="0" w:firstRowFirstColumn="0" w:firstRowLastColumn="0" w:lastRowFirstColumn="0" w:lastRowLastColumn="0"/>
            </w:pPr>
            <w:r w:rsidRPr="00D5634F">
              <w:t>201</w:t>
            </w:r>
            <w:r w:rsidR="00531CED">
              <w:t>9</w:t>
            </w:r>
          </w:p>
        </w:tc>
        <w:tc>
          <w:tcPr>
            <w:tcW w:w="972" w:type="dxa"/>
          </w:tcPr>
          <w:p w:rsidR="008C4D66" w:rsidRPr="007B3355" w:rsidRDefault="008C4D66" w:rsidP="00531CED">
            <w:pPr>
              <w:cnfStyle w:val="100000000000" w:firstRow="1" w:lastRow="0" w:firstColumn="0" w:lastColumn="0" w:oddVBand="0" w:evenVBand="0" w:oddHBand="0" w:evenHBand="0" w:firstRowFirstColumn="0" w:firstRowLastColumn="0" w:lastRowFirstColumn="0" w:lastRowLastColumn="0"/>
            </w:pPr>
            <w:r w:rsidRPr="00D5634F">
              <w:t>20</w:t>
            </w:r>
            <w:r w:rsidR="00531CED">
              <w:t>20</w:t>
            </w:r>
          </w:p>
        </w:tc>
        <w:tc>
          <w:tcPr>
            <w:tcW w:w="1120" w:type="dxa"/>
          </w:tcPr>
          <w:p w:rsidR="008C4D66" w:rsidRPr="007B3355" w:rsidRDefault="008C4D66" w:rsidP="002C68C1">
            <w:pPr>
              <w:cnfStyle w:val="100000000000" w:firstRow="1" w:lastRow="0" w:firstColumn="0" w:lastColumn="0" w:oddVBand="0" w:evenVBand="0" w:oddHBand="0" w:evenHBand="0" w:firstRowFirstColumn="0" w:firstRowLastColumn="0" w:lastRowFirstColumn="0" w:lastRowLastColumn="0"/>
            </w:pPr>
            <w:r w:rsidRPr="00D5634F">
              <w:t>Total</w:t>
            </w:r>
          </w:p>
        </w:tc>
      </w:tr>
      <w:tr w:rsidR="008C4D66" w:rsidTr="002C68C1">
        <w:tc>
          <w:tcPr>
            <w:cnfStyle w:val="001000000000" w:firstRow="0" w:lastRow="0" w:firstColumn="1" w:lastColumn="0" w:oddVBand="0" w:evenVBand="0" w:oddHBand="0" w:evenHBand="0" w:firstRowFirstColumn="0" w:firstRowLastColumn="0" w:lastRowFirstColumn="0" w:lastRowLastColumn="0"/>
            <w:tcW w:w="2713" w:type="dxa"/>
          </w:tcPr>
          <w:p w:rsidR="008C4D66" w:rsidRPr="007B3355" w:rsidRDefault="008C4D66" w:rsidP="002C68C1">
            <w:r>
              <w:t>Powercor’s</w:t>
            </w:r>
            <w:r w:rsidRPr="00B71392">
              <w:t xml:space="preserve"> </w:t>
            </w:r>
            <w:r w:rsidRPr="00D5634F">
              <w:t>proposal</w:t>
            </w:r>
          </w:p>
        </w:tc>
        <w:tc>
          <w:tcPr>
            <w:tcW w:w="972" w:type="dxa"/>
            <w:vAlign w:val="top"/>
          </w:tcPr>
          <w:p w:rsidR="008C4D66" w:rsidRPr="00980E49" w:rsidRDefault="008C4D66" w:rsidP="002C68C1">
            <w:pPr>
              <w:cnfStyle w:val="000000000000" w:firstRow="0" w:lastRow="0" w:firstColumn="0" w:lastColumn="0" w:oddVBand="0" w:evenVBand="0" w:oddHBand="0" w:evenHBand="0" w:firstRowFirstColumn="0" w:firstRowLastColumn="0" w:lastRowFirstColumn="0" w:lastRowLastColumn="0"/>
            </w:pPr>
            <w:r w:rsidRPr="00980E49">
              <w:t>246.9</w:t>
            </w:r>
          </w:p>
        </w:tc>
        <w:tc>
          <w:tcPr>
            <w:tcW w:w="972" w:type="dxa"/>
            <w:vAlign w:val="top"/>
          </w:tcPr>
          <w:p w:rsidR="008C4D66" w:rsidRPr="00980E49" w:rsidRDefault="008C4D66" w:rsidP="002C68C1">
            <w:pPr>
              <w:cnfStyle w:val="000000000000" w:firstRow="0" w:lastRow="0" w:firstColumn="0" w:lastColumn="0" w:oddVBand="0" w:evenVBand="0" w:oddHBand="0" w:evenHBand="0" w:firstRowFirstColumn="0" w:firstRowLastColumn="0" w:lastRowFirstColumn="0" w:lastRowLastColumn="0"/>
            </w:pPr>
            <w:r w:rsidRPr="00980E49">
              <w:t>255.2</w:t>
            </w:r>
          </w:p>
        </w:tc>
        <w:tc>
          <w:tcPr>
            <w:tcW w:w="972" w:type="dxa"/>
            <w:vAlign w:val="top"/>
          </w:tcPr>
          <w:p w:rsidR="008C4D66" w:rsidRPr="00980E49" w:rsidRDefault="008C4D66" w:rsidP="002C68C1">
            <w:pPr>
              <w:cnfStyle w:val="000000000000" w:firstRow="0" w:lastRow="0" w:firstColumn="0" w:lastColumn="0" w:oddVBand="0" w:evenVBand="0" w:oddHBand="0" w:evenHBand="0" w:firstRowFirstColumn="0" w:firstRowLastColumn="0" w:lastRowFirstColumn="0" w:lastRowLastColumn="0"/>
            </w:pPr>
            <w:r w:rsidRPr="00980E49">
              <w:t>267.1</w:t>
            </w:r>
          </w:p>
        </w:tc>
        <w:tc>
          <w:tcPr>
            <w:tcW w:w="972" w:type="dxa"/>
            <w:vAlign w:val="top"/>
          </w:tcPr>
          <w:p w:rsidR="008C4D66" w:rsidRPr="00980E49" w:rsidRDefault="008C4D66" w:rsidP="002C68C1">
            <w:pPr>
              <w:cnfStyle w:val="000000000000" w:firstRow="0" w:lastRow="0" w:firstColumn="0" w:lastColumn="0" w:oddVBand="0" w:evenVBand="0" w:oddHBand="0" w:evenHBand="0" w:firstRowFirstColumn="0" w:firstRowLastColumn="0" w:lastRowFirstColumn="0" w:lastRowLastColumn="0"/>
            </w:pPr>
            <w:r w:rsidRPr="00980E49">
              <w:t>276.2</w:t>
            </w:r>
          </w:p>
        </w:tc>
        <w:tc>
          <w:tcPr>
            <w:tcW w:w="972" w:type="dxa"/>
            <w:vAlign w:val="top"/>
          </w:tcPr>
          <w:p w:rsidR="008C4D66" w:rsidRPr="00980E49" w:rsidRDefault="008C4D66" w:rsidP="002C68C1">
            <w:pPr>
              <w:cnfStyle w:val="000000000000" w:firstRow="0" w:lastRow="0" w:firstColumn="0" w:lastColumn="0" w:oddVBand="0" w:evenVBand="0" w:oddHBand="0" w:evenHBand="0" w:firstRowFirstColumn="0" w:firstRowLastColumn="0" w:lastRowFirstColumn="0" w:lastRowLastColumn="0"/>
            </w:pPr>
            <w:r w:rsidRPr="00980E49">
              <w:t>285.3</w:t>
            </w:r>
          </w:p>
        </w:tc>
        <w:tc>
          <w:tcPr>
            <w:tcW w:w="1120" w:type="dxa"/>
            <w:vAlign w:val="top"/>
          </w:tcPr>
          <w:p w:rsidR="008C4D66" w:rsidRPr="0025329B" w:rsidRDefault="008C4D66" w:rsidP="002C68C1">
            <w:pPr>
              <w:cnfStyle w:val="000000000000" w:firstRow="0" w:lastRow="0" w:firstColumn="0" w:lastColumn="0" w:oddVBand="0" w:evenVBand="0" w:oddHBand="0" w:evenHBand="0" w:firstRowFirstColumn="0" w:firstRowLastColumn="0" w:lastRowFirstColumn="0" w:lastRowLastColumn="0"/>
              <w:rPr>
                <w:rStyle w:val="Strong"/>
              </w:rPr>
            </w:pPr>
            <w:r w:rsidRPr="0025329B">
              <w:rPr>
                <w:rStyle w:val="Strong"/>
              </w:rPr>
              <w:t>1330.7</w:t>
            </w:r>
          </w:p>
        </w:tc>
      </w:tr>
      <w:tr w:rsidR="007C77D8" w:rsidTr="002C68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7C77D8" w:rsidRPr="007B3355" w:rsidRDefault="007C77D8" w:rsidP="002C68C1">
            <w:r w:rsidRPr="00D5634F">
              <w:t xml:space="preserve">AER </w:t>
            </w:r>
            <w:r>
              <w:t xml:space="preserve">preliminary </w:t>
            </w:r>
            <w:r w:rsidRPr="00D5634F">
              <w:t xml:space="preserve"> decision</w:t>
            </w:r>
          </w:p>
        </w:tc>
        <w:tc>
          <w:tcPr>
            <w:tcW w:w="972" w:type="dxa"/>
            <w:vAlign w:val="top"/>
          </w:tcPr>
          <w:p w:rsidR="007C77D8" w:rsidRPr="00347898" w:rsidRDefault="007C77D8" w:rsidP="008D3409">
            <w:pPr>
              <w:cnfStyle w:val="000000010000" w:firstRow="0" w:lastRow="0" w:firstColumn="0" w:lastColumn="0" w:oddVBand="0" w:evenVBand="0" w:oddHBand="0" w:evenHBand="1" w:firstRowFirstColumn="0" w:firstRowLastColumn="0" w:lastRowFirstColumn="0" w:lastRowLastColumn="0"/>
            </w:pPr>
            <w:r w:rsidRPr="00347898">
              <w:t>223.0</w:t>
            </w:r>
          </w:p>
        </w:tc>
        <w:tc>
          <w:tcPr>
            <w:tcW w:w="972" w:type="dxa"/>
            <w:vAlign w:val="top"/>
          </w:tcPr>
          <w:p w:rsidR="007C77D8" w:rsidRPr="00347898" w:rsidRDefault="007C77D8" w:rsidP="008D3409">
            <w:pPr>
              <w:cnfStyle w:val="000000010000" w:firstRow="0" w:lastRow="0" w:firstColumn="0" w:lastColumn="0" w:oddVBand="0" w:evenVBand="0" w:oddHBand="0" w:evenHBand="1" w:firstRowFirstColumn="0" w:firstRowLastColumn="0" w:lastRowFirstColumn="0" w:lastRowLastColumn="0"/>
            </w:pPr>
            <w:r w:rsidRPr="00347898">
              <w:t>227.0</w:t>
            </w:r>
          </w:p>
        </w:tc>
        <w:tc>
          <w:tcPr>
            <w:tcW w:w="972" w:type="dxa"/>
            <w:vAlign w:val="top"/>
          </w:tcPr>
          <w:p w:rsidR="007C77D8" w:rsidRPr="00347898" w:rsidRDefault="007C77D8" w:rsidP="008D3409">
            <w:pPr>
              <w:cnfStyle w:val="000000010000" w:firstRow="0" w:lastRow="0" w:firstColumn="0" w:lastColumn="0" w:oddVBand="0" w:evenVBand="0" w:oddHBand="0" w:evenHBand="1" w:firstRowFirstColumn="0" w:firstRowLastColumn="0" w:lastRowFirstColumn="0" w:lastRowLastColumn="0"/>
            </w:pPr>
            <w:r w:rsidRPr="00347898">
              <w:t>232.7</w:t>
            </w:r>
          </w:p>
        </w:tc>
        <w:tc>
          <w:tcPr>
            <w:tcW w:w="972" w:type="dxa"/>
            <w:vAlign w:val="top"/>
          </w:tcPr>
          <w:p w:rsidR="007C77D8" w:rsidRPr="00347898" w:rsidRDefault="007C77D8" w:rsidP="008D3409">
            <w:pPr>
              <w:cnfStyle w:val="000000010000" w:firstRow="0" w:lastRow="0" w:firstColumn="0" w:lastColumn="0" w:oddVBand="0" w:evenVBand="0" w:oddHBand="0" w:evenHBand="1" w:firstRowFirstColumn="0" w:firstRowLastColumn="0" w:lastRowFirstColumn="0" w:lastRowLastColumn="0"/>
            </w:pPr>
            <w:r w:rsidRPr="00347898">
              <w:t>237.9</w:t>
            </w:r>
          </w:p>
        </w:tc>
        <w:tc>
          <w:tcPr>
            <w:tcW w:w="972" w:type="dxa"/>
            <w:vAlign w:val="top"/>
          </w:tcPr>
          <w:p w:rsidR="007C77D8" w:rsidRPr="00347898" w:rsidRDefault="007C77D8" w:rsidP="008D3409">
            <w:pPr>
              <w:cnfStyle w:val="000000010000" w:firstRow="0" w:lastRow="0" w:firstColumn="0" w:lastColumn="0" w:oddVBand="0" w:evenVBand="0" w:oddHBand="0" w:evenHBand="1" w:firstRowFirstColumn="0" w:firstRowLastColumn="0" w:lastRowFirstColumn="0" w:lastRowLastColumn="0"/>
            </w:pPr>
            <w:r w:rsidRPr="00347898">
              <w:t>243.6</w:t>
            </w:r>
          </w:p>
        </w:tc>
        <w:tc>
          <w:tcPr>
            <w:tcW w:w="1120" w:type="dxa"/>
            <w:vAlign w:val="top"/>
          </w:tcPr>
          <w:p w:rsidR="007C77D8" w:rsidRPr="007C77D8" w:rsidRDefault="007C77D8" w:rsidP="008D3409">
            <w:pPr>
              <w:cnfStyle w:val="000000010000" w:firstRow="0" w:lastRow="0" w:firstColumn="0" w:lastColumn="0" w:oddVBand="0" w:evenVBand="0" w:oddHBand="0" w:evenHBand="1" w:firstRowFirstColumn="0" w:firstRowLastColumn="0" w:lastRowFirstColumn="0" w:lastRowLastColumn="0"/>
              <w:rPr>
                <w:rStyle w:val="Strong"/>
              </w:rPr>
            </w:pPr>
            <w:r w:rsidRPr="007C77D8">
              <w:rPr>
                <w:rStyle w:val="Strong"/>
              </w:rPr>
              <w:t>1164.2</w:t>
            </w:r>
          </w:p>
        </w:tc>
      </w:tr>
      <w:tr w:rsidR="007C77D8" w:rsidTr="002C68C1">
        <w:tc>
          <w:tcPr>
            <w:cnfStyle w:val="001000000000" w:firstRow="0" w:lastRow="0" w:firstColumn="1" w:lastColumn="0" w:oddVBand="0" w:evenVBand="0" w:oddHBand="0" w:evenHBand="0" w:firstRowFirstColumn="0" w:firstRowLastColumn="0" w:lastRowFirstColumn="0" w:lastRowLastColumn="0"/>
            <w:tcW w:w="2713" w:type="dxa"/>
          </w:tcPr>
          <w:p w:rsidR="007C77D8" w:rsidRPr="007B3355" w:rsidRDefault="007C77D8" w:rsidP="002C68C1">
            <w:r w:rsidRPr="00DF1051">
              <w:rPr>
                <w:rStyle w:val="Strong"/>
              </w:rPr>
              <w:t>Difference</w:t>
            </w:r>
          </w:p>
        </w:tc>
        <w:tc>
          <w:tcPr>
            <w:tcW w:w="972" w:type="dxa"/>
            <w:vAlign w:val="top"/>
          </w:tcPr>
          <w:p w:rsidR="007C77D8" w:rsidRPr="007C77D8" w:rsidRDefault="007C77D8" w:rsidP="008D3409">
            <w:pPr>
              <w:cnfStyle w:val="000000000000" w:firstRow="0" w:lastRow="0" w:firstColumn="0" w:lastColumn="0" w:oddVBand="0" w:evenVBand="0" w:oddHBand="0" w:evenHBand="0" w:firstRowFirstColumn="0" w:firstRowLastColumn="0" w:lastRowFirstColumn="0" w:lastRowLastColumn="0"/>
              <w:rPr>
                <w:rStyle w:val="Strong"/>
              </w:rPr>
            </w:pPr>
            <w:r w:rsidRPr="007C77D8">
              <w:rPr>
                <w:rStyle w:val="Strong"/>
              </w:rPr>
              <w:t>–23.9</w:t>
            </w:r>
          </w:p>
        </w:tc>
        <w:tc>
          <w:tcPr>
            <w:tcW w:w="972" w:type="dxa"/>
            <w:vAlign w:val="top"/>
          </w:tcPr>
          <w:p w:rsidR="007C77D8" w:rsidRPr="007C77D8" w:rsidRDefault="007C77D8" w:rsidP="008D3409">
            <w:pPr>
              <w:cnfStyle w:val="000000000000" w:firstRow="0" w:lastRow="0" w:firstColumn="0" w:lastColumn="0" w:oddVBand="0" w:evenVBand="0" w:oddHBand="0" w:evenHBand="0" w:firstRowFirstColumn="0" w:firstRowLastColumn="0" w:lastRowFirstColumn="0" w:lastRowLastColumn="0"/>
              <w:rPr>
                <w:rStyle w:val="Strong"/>
              </w:rPr>
            </w:pPr>
            <w:r w:rsidRPr="007C77D8">
              <w:rPr>
                <w:rStyle w:val="Strong"/>
              </w:rPr>
              <w:t>–28.2</w:t>
            </w:r>
          </w:p>
        </w:tc>
        <w:tc>
          <w:tcPr>
            <w:tcW w:w="972" w:type="dxa"/>
            <w:vAlign w:val="top"/>
          </w:tcPr>
          <w:p w:rsidR="007C77D8" w:rsidRPr="007C77D8" w:rsidRDefault="007C77D8" w:rsidP="008D3409">
            <w:pPr>
              <w:cnfStyle w:val="000000000000" w:firstRow="0" w:lastRow="0" w:firstColumn="0" w:lastColumn="0" w:oddVBand="0" w:evenVBand="0" w:oddHBand="0" w:evenHBand="0" w:firstRowFirstColumn="0" w:firstRowLastColumn="0" w:lastRowFirstColumn="0" w:lastRowLastColumn="0"/>
              <w:rPr>
                <w:rStyle w:val="Strong"/>
              </w:rPr>
            </w:pPr>
            <w:r w:rsidRPr="007C77D8">
              <w:rPr>
                <w:rStyle w:val="Strong"/>
              </w:rPr>
              <w:t>–34.4</w:t>
            </w:r>
          </w:p>
        </w:tc>
        <w:tc>
          <w:tcPr>
            <w:tcW w:w="972" w:type="dxa"/>
            <w:vAlign w:val="top"/>
          </w:tcPr>
          <w:p w:rsidR="007C77D8" w:rsidRPr="007C77D8" w:rsidRDefault="007C77D8" w:rsidP="008D3409">
            <w:pPr>
              <w:cnfStyle w:val="000000000000" w:firstRow="0" w:lastRow="0" w:firstColumn="0" w:lastColumn="0" w:oddVBand="0" w:evenVBand="0" w:oddHBand="0" w:evenHBand="0" w:firstRowFirstColumn="0" w:firstRowLastColumn="0" w:lastRowFirstColumn="0" w:lastRowLastColumn="0"/>
              <w:rPr>
                <w:rStyle w:val="Strong"/>
              </w:rPr>
            </w:pPr>
            <w:r w:rsidRPr="007C77D8">
              <w:rPr>
                <w:rStyle w:val="Strong"/>
              </w:rPr>
              <w:t>–38.3</w:t>
            </w:r>
          </w:p>
        </w:tc>
        <w:tc>
          <w:tcPr>
            <w:tcW w:w="972" w:type="dxa"/>
            <w:vAlign w:val="top"/>
          </w:tcPr>
          <w:p w:rsidR="007C77D8" w:rsidRPr="007C77D8" w:rsidRDefault="007C77D8" w:rsidP="008D3409">
            <w:pPr>
              <w:cnfStyle w:val="000000000000" w:firstRow="0" w:lastRow="0" w:firstColumn="0" w:lastColumn="0" w:oddVBand="0" w:evenVBand="0" w:oddHBand="0" w:evenHBand="0" w:firstRowFirstColumn="0" w:firstRowLastColumn="0" w:lastRowFirstColumn="0" w:lastRowLastColumn="0"/>
              <w:rPr>
                <w:rStyle w:val="Strong"/>
              </w:rPr>
            </w:pPr>
            <w:r w:rsidRPr="007C77D8">
              <w:rPr>
                <w:rStyle w:val="Strong"/>
              </w:rPr>
              <w:t>–41.7</w:t>
            </w:r>
          </w:p>
        </w:tc>
        <w:tc>
          <w:tcPr>
            <w:tcW w:w="1120" w:type="dxa"/>
            <w:vAlign w:val="top"/>
          </w:tcPr>
          <w:p w:rsidR="007C77D8" w:rsidRPr="007C77D8" w:rsidRDefault="007C77D8" w:rsidP="008D3409">
            <w:pPr>
              <w:cnfStyle w:val="000000000000" w:firstRow="0" w:lastRow="0" w:firstColumn="0" w:lastColumn="0" w:oddVBand="0" w:evenVBand="0" w:oddHBand="0" w:evenHBand="0" w:firstRowFirstColumn="0" w:firstRowLastColumn="0" w:lastRowFirstColumn="0" w:lastRowLastColumn="0"/>
              <w:rPr>
                <w:rStyle w:val="Strong"/>
              </w:rPr>
            </w:pPr>
            <w:r w:rsidRPr="007C77D8">
              <w:rPr>
                <w:rStyle w:val="Strong"/>
              </w:rPr>
              <w:t>–166.5</w:t>
            </w:r>
          </w:p>
        </w:tc>
      </w:tr>
    </w:tbl>
    <w:p w:rsidR="008C4D66" w:rsidRPr="00D5634F" w:rsidRDefault="008C4D66" w:rsidP="008C4D66">
      <w:pPr>
        <w:pStyle w:val="AERtablesource"/>
        <w:numPr>
          <w:ilvl w:val="0"/>
          <w:numId w:val="24"/>
        </w:numPr>
      </w:pPr>
      <w:r w:rsidRPr="00D5634F">
        <w:t>Source:</w:t>
      </w:r>
      <w:r w:rsidRPr="00D5634F">
        <w:tab/>
        <w:t>AER analysis.</w:t>
      </w:r>
    </w:p>
    <w:p w:rsidR="008C4D66" w:rsidRPr="00D5634F" w:rsidRDefault="008C4D66" w:rsidP="008C4D66">
      <w:pPr>
        <w:pStyle w:val="AERtablesource"/>
        <w:numPr>
          <w:ilvl w:val="0"/>
          <w:numId w:val="24"/>
        </w:numPr>
      </w:pPr>
      <w:r w:rsidRPr="00D5634F">
        <w:t>Note:</w:t>
      </w:r>
      <w:r w:rsidRPr="00D5634F">
        <w:tab/>
        <w:t>Includes debt raising costs.</w:t>
      </w:r>
      <w:r w:rsidR="00EE6D16">
        <w:t xml:space="preserve"> Excludes DMIA.</w:t>
      </w:r>
    </w:p>
    <w:p w:rsidR="008C4D66" w:rsidRPr="00B52007" w:rsidRDefault="00FE3FED" w:rsidP="00E660CB">
      <w:pPr>
        <w:numPr>
          <w:ilvl w:val="0"/>
          <w:numId w:val="24"/>
        </w:numPr>
      </w:pPr>
      <w:r>
        <w:t>Figure 8</w:t>
      </w:r>
      <w:r w:rsidR="008C4D66" w:rsidRPr="00B52007">
        <w:t xml:space="preserve"> shows our preliminary decision compared to </w:t>
      </w:r>
      <w:r w:rsidR="008C4D66">
        <w:t>Powercor</w:t>
      </w:r>
      <w:r w:rsidR="008C4D66" w:rsidRPr="00B52007">
        <w:t>’</w:t>
      </w:r>
      <w:r w:rsidR="008C4D66">
        <w:t>s</w:t>
      </w:r>
      <w:r w:rsidR="008C4D66" w:rsidRPr="00B52007">
        <w:t xml:space="preserve"> proposal, its past allowances and past actual expenditure.</w:t>
      </w:r>
      <w:r w:rsidR="008D3409">
        <w:t xml:space="preserve"> </w:t>
      </w:r>
      <w:r w:rsidR="008D3409">
        <w:rPr>
          <w:rStyle w:val="AERbody"/>
        </w:rPr>
        <w:t xml:space="preserve">Notably, </w:t>
      </w:r>
      <w:r w:rsidR="008D3409" w:rsidRPr="008D3409">
        <w:rPr>
          <w:rStyle w:val="AERbody"/>
        </w:rPr>
        <w:t>Powercor will change its capitalisation policy in 2016. This causes a step increase in forecast opex</w:t>
      </w:r>
      <w:r w:rsidR="008D3409">
        <w:rPr>
          <w:rStyle w:val="AERbody"/>
        </w:rPr>
        <w:t>, which is offset by a corresponding reduction in capex</w:t>
      </w:r>
      <w:r w:rsidR="008D3409" w:rsidRPr="008D3409">
        <w:rPr>
          <w:rStyle w:val="AERbody"/>
        </w:rPr>
        <w:t>.</w:t>
      </w:r>
      <w:r w:rsidR="00E660CB">
        <w:rPr>
          <w:rStyle w:val="AERbody"/>
        </w:rPr>
        <w:t xml:space="preserve"> </w:t>
      </w:r>
      <w:r w:rsidR="00E660CB" w:rsidRPr="00E660CB">
        <w:rPr>
          <w:rStyle w:val="AERbody"/>
        </w:rPr>
        <w:t>We have agreed to this change.</w:t>
      </w:r>
      <w:r w:rsidR="008D3409">
        <w:rPr>
          <w:rStyle w:val="AERbody"/>
        </w:rPr>
        <w:t xml:space="preserve"> Also, Power</w:t>
      </w:r>
      <w:r w:rsidR="00434D13">
        <w:rPr>
          <w:rStyle w:val="AERbody"/>
        </w:rPr>
        <w:t>cor</w:t>
      </w:r>
      <w:r w:rsidR="008D3409" w:rsidRPr="0022446D">
        <w:rPr>
          <w:rStyle w:val="AERbody"/>
        </w:rPr>
        <w:t xml:space="preserve"> included </w:t>
      </w:r>
      <w:r w:rsidR="008D3409">
        <w:rPr>
          <w:rStyle w:val="AERbody"/>
        </w:rPr>
        <w:t xml:space="preserve">significant opex </w:t>
      </w:r>
      <w:r w:rsidR="008D3409" w:rsidRPr="0022446D">
        <w:rPr>
          <w:rStyle w:val="AERbody"/>
        </w:rPr>
        <w:t xml:space="preserve">for 2016–20 </w:t>
      </w:r>
      <w:r w:rsidR="00434D13">
        <w:rPr>
          <w:rStyle w:val="AERbody"/>
        </w:rPr>
        <w:t xml:space="preserve">for smart meters </w:t>
      </w:r>
      <w:r w:rsidR="00434D13" w:rsidRPr="0022446D">
        <w:rPr>
          <w:rStyle w:val="AERbody"/>
        </w:rPr>
        <w:t>that was not previously classified as standard control services</w:t>
      </w:r>
      <w:r w:rsidR="00434D13">
        <w:rPr>
          <w:rStyle w:val="AERbody"/>
        </w:rPr>
        <w:t xml:space="preserve"> opex. </w:t>
      </w:r>
      <w:r w:rsidR="007414DC">
        <w:rPr>
          <w:rStyle w:val="AERbody"/>
        </w:rPr>
        <w:t>We have allocated these costs to alternative control services rather than standard control services—therefor</w:t>
      </w:r>
      <w:r w:rsidR="007414DC" w:rsidRPr="00AC327E">
        <w:rPr>
          <w:rStyle w:val="AERbody"/>
        </w:rPr>
        <w:t>e</w:t>
      </w:r>
      <w:r w:rsidR="007414DC" w:rsidRPr="00105E9A">
        <w:rPr>
          <w:rFonts w:eastAsia="Calibri" w:cs="Times New Roman"/>
        </w:rPr>
        <w:t xml:space="preserve"> our preliminary decision is on the basis of this cost</w:t>
      </w:r>
      <w:r w:rsidR="007414DC" w:rsidRPr="00AC327E">
        <w:rPr>
          <w:rFonts w:eastAsia="Calibri" w:cs="Times New Roman"/>
        </w:rPr>
        <w:t xml:space="preserve"> allocation for </w:t>
      </w:r>
      <w:r w:rsidR="007414DC" w:rsidRPr="00AC327E">
        <w:t>a</w:t>
      </w:r>
      <w:r w:rsidR="007414DC" w:rsidRPr="00AC327E">
        <w:rPr>
          <w:rStyle w:val="AERbody"/>
        </w:rPr>
        <w:t>dvanced metering infrastructure</w:t>
      </w:r>
      <w:r w:rsidR="007414DC">
        <w:rPr>
          <w:rStyle w:val="AERbody"/>
        </w:rPr>
        <w:t xml:space="preserve"> (</w:t>
      </w:r>
      <w:r w:rsidR="007414DC">
        <w:t>AMI</w:t>
      </w:r>
      <w:r w:rsidR="007414DC">
        <w:rPr>
          <w:rStyle w:val="AERbody"/>
        </w:rPr>
        <w:t>)</w:t>
      </w:r>
      <w:r w:rsidR="007414DC">
        <w:t xml:space="preserve"> opex</w:t>
      </w:r>
      <w:r w:rsidR="007414DC">
        <w:rPr>
          <w:rStyle w:val="AERbody"/>
        </w:rPr>
        <w:t>.</w:t>
      </w:r>
    </w:p>
    <w:p w:rsidR="008C4D66" w:rsidRPr="00B52007" w:rsidRDefault="008C4D66" w:rsidP="008C4D66">
      <w:pPr>
        <w:keepNext/>
        <w:spacing w:before="240" w:after="120"/>
        <w:rPr>
          <w:b/>
          <w:bCs/>
          <w:color w:val="076A92" w:themeColor="text1"/>
          <w:sz w:val="24"/>
          <w:szCs w:val="18"/>
        </w:rPr>
      </w:pPr>
      <w:r w:rsidRPr="00B52007">
        <w:rPr>
          <w:b/>
          <w:bCs/>
          <w:color w:val="076A92" w:themeColor="text1"/>
          <w:sz w:val="24"/>
          <w:szCs w:val="18"/>
        </w:rPr>
        <w:t xml:space="preserve">Figure </w:t>
      </w:r>
      <w:r w:rsidR="00FE3FED">
        <w:rPr>
          <w:b/>
          <w:bCs/>
          <w:color w:val="076A92" w:themeColor="text1"/>
          <w:sz w:val="24"/>
          <w:szCs w:val="18"/>
        </w:rPr>
        <w:t>8</w:t>
      </w:r>
      <w:r w:rsidRPr="00B52007">
        <w:rPr>
          <w:b/>
          <w:bCs/>
          <w:color w:val="076A92" w:themeColor="text1"/>
          <w:sz w:val="24"/>
          <w:szCs w:val="18"/>
        </w:rPr>
        <w:t xml:space="preserve"> AER preliminary decision compared to </w:t>
      </w:r>
      <w:r>
        <w:rPr>
          <w:b/>
          <w:bCs/>
          <w:color w:val="076A92" w:themeColor="text1"/>
          <w:sz w:val="24"/>
          <w:szCs w:val="18"/>
        </w:rPr>
        <w:t>Powercor’</w:t>
      </w:r>
      <w:r w:rsidRPr="00B52007">
        <w:rPr>
          <w:b/>
          <w:bCs/>
          <w:color w:val="076A92" w:themeColor="text1"/>
          <w:sz w:val="24"/>
          <w:szCs w:val="18"/>
        </w:rPr>
        <w:t>s past and proposed opex ($million</w:t>
      </w:r>
      <w:r w:rsidR="00BB5ED4">
        <w:rPr>
          <w:b/>
          <w:bCs/>
          <w:color w:val="076A92" w:themeColor="text1"/>
          <w:sz w:val="24"/>
          <w:szCs w:val="24"/>
        </w:rPr>
        <w:t>, 20</w:t>
      </w:r>
      <w:r w:rsidRPr="00B52007">
        <w:rPr>
          <w:b/>
          <w:bCs/>
          <w:color w:val="076A92" w:themeColor="text1"/>
          <w:sz w:val="24"/>
          <w:szCs w:val="24"/>
        </w:rPr>
        <w:t>15)</w:t>
      </w:r>
    </w:p>
    <w:p w:rsidR="008C4D66" w:rsidRDefault="0050188F" w:rsidP="008C4D66">
      <w:pPr>
        <w:pStyle w:val="Caption"/>
      </w:pPr>
      <w:r w:rsidRPr="0050188F">
        <w:rPr>
          <w:noProof/>
          <w:lang w:eastAsia="en-AU"/>
        </w:rPr>
        <w:drawing>
          <wp:inline distT="0" distB="0" distL="0" distR="0" wp14:anchorId="6DBCFF3D" wp14:editId="0698B648">
            <wp:extent cx="5382895" cy="3939861"/>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8C4D66" w:rsidRPr="00574049" w:rsidRDefault="008C4D66" w:rsidP="008C4D66">
      <w:pPr>
        <w:pStyle w:val="AERtablesource"/>
      </w:pPr>
      <w:r w:rsidRPr="00FB2A4B">
        <w:t>Source:</w:t>
      </w:r>
      <w:r w:rsidRPr="00FB2A4B">
        <w:tab/>
      </w:r>
      <w:r>
        <w:t>Powercor</w:t>
      </w:r>
      <w:r w:rsidRPr="00FB2A4B">
        <w:t xml:space="preserve">, Regulatory accounts </w:t>
      </w:r>
      <w:r>
        <w:t>2011</w:t>
      </w:r>
      <w:r w:rsidRPr="00FB2A4B">
        <w:t xml:space="preserve"> to </w:t>
      </w:r>
      <w:r>
        <w:t>2014</w:t>
      </w:r>
      <w:r w:rsidRPr="00FB2A4B">
        <w:t xml:space="preserve">; </w:t>
      </w:r>
      <w:r>
        <w:t>Powercor</w:t>
      </w:r>
      <w:r w:rsidRPr="00FB2A4B">
        <w:t>, Economic benchmarking - Regulatory Information Notice response 2006 to 2013; AER analysis.</w:t>
      </w:r>
    </w:p>
    <w:p w:rsidR="008C4D66" w:rsidRDefault="008C08AE" w:rsidP="008C4D66">
      <w:r>
        <w:lastRenderedPageBreak/>
        <w:t>W</w:t>
      </w:r>
      <w:r w:rsidR="008C4D66" w:rsidRPr="00B52007">
        <w:t xml:space="preserve">e have used </w:t>
      </w:r>
      <w:r w:rsidR="008C4D66">
        <w:t>Powercor’s</w:t>
      </w:r>
      <w:r w:rsidR="008C4D66" w:rsidRPr="00B52007">
        <w:t xml:space="preserve"> reported opex for 2014 as the basis for forecasting total</w:t>
      </w:r>
      <w:r w:rsidR="008C4D66">
        <w:t xml:space="preserve"> opex</w:t>
      </w:r>
      <w:r w:rsidR="008C4D66" w:rsidRPr="00B52007">
        <w:t>. The</w:t>
      </w:r>
      <w:r w:rsidR="008C4D66">
        <w:t xml:space="preserve"> main</w:t>
      </w:r>
      <w:r w:rsidR="008C4D66" w:rsidRPr="00B52007">
        <w:t xml:space="preserve"> difference between our forecast opex and </w:t>
      </w:r>
      <w:r w:rsidR="008C4D66">
        <w:t>Powercor</w:t>
      </w:r>
      <w:r w:rsidR="008C4D66" w:rsidRPr="00B52007">
        <w:t>'</w:t>
      </w:r>
      <w:r w:rsidR="008C4D66">
        <w:t>s</w:t>
      </w:r>
      <w:r w:rsidR="008C4D66" w:rsidRPr="00B52007">
        <w:t xml:space="preserve"> proposal reflects our views on</w:t>
      </w:r>
      <w:r w:rsidR="008C4D66">
        <w:t>:</w:t>
      </w:r>
    </w:p>
    <w:p w:rsidR="008C4D66" w:rsidRDefault="008C4D66" w:rsidP="008C4D66">
      <w:pPr>
        <w:pStyle w:val="AERbulletlistfirststyle"/>
      </w:pPr>
      <w:r>
        <w:t>the rate of change</w:t>
      </w:r>
    </w:p>
    <w:p w:rsidR="008C4D66" w:rsidRPr="00B52007" w:rsidRDefault="008C4D66" w:rsidP="008C4D66">
      <w:pPr>
        <w:pStyle w:val="AERbulletlistfirststyle"/>
      </w:pPr>
      <w:r w:rsidRPr="00B52007">
        <w:t xml:space="preserve">the </w:t>
      </w:r>
      <w:r w:rsidR="006902EB">
        <w:t>allocation</w:t>
      </w:r>
      <w:r w:rsidRPr="00B52007">
        <w:t xml:space="preserve"> of </w:t>
      </w:r>
      <w:r>
        <w:t>advanced metering infrastructure (</w:t>
      </w:r>
      <w:r w:rsidRPr="00B52007">
        <w:t>AMI</w:t>
      </w:r>
      <w:r>
        <w:t>)</w:t>
      </w:r>
      <w:r w:rsidRPr="00B52007">
        <w:t xml:space="preserve"> related opex.</w:t>
      </w:r>
    </w:p>
    <w:p w:rsidR="008C4D66" w:rsidRPr="008C4D66" w:rsidRDefault="008C4D66" w:rsidP="008C4D66">
      <w:pPr>
        <w:pStyle w:val="Heading3"/>
      </w:pPr>
      <w:bookmarkStart w:id="88" w:name="_Toc433786804"/>
      <w:r w:rsidRPr="008C4D66">
        <w:t>Rate of change</w:t>
      </w:r>
      <w:bookmarkEnd w:id="88"/>
    </w:p>
    <w:p w:rsidR="008C4D66" w:rsidRDefault="008C4D66" w:rsidP="008C4D66">
      <w:r w:rsidRPr="00677312">
        <w:t xml:space="preserve">The difference between our forecast </w:t>
      </w:r>
      <w:r>
        <w:t>of the rate of change and Powercor’s</w:t>
      </w:r>
      <w:r w:rsidRPr="00677312">
        <w:t xml:space="preserve"> proposal </w:t>
      </w:r>
      <w:r>
        <w:t>reflects our views on price growth and output growth:</w:t>
      </w:r>
    </w:p>
    <w:p w:rsidR="008C4D66" w:rsidRDefault="008C4D66" w:rsidP="008C4D66">
      <w:pPr>
        <w:pStyle w:val="AERbulletlistfirststyle"/>
      </w:pPr>
      <w:r>
        <w:t xml:space="preserve">using information from our expert consultants, we have forecast a lower labour price growth than Powercor and we have adopted different opex price weights </w:t>
      </w:r>
    </w:p>
    <w:p w:rsidR="008C4D66" w:rsidRDefault="008C4D66" w:rsidP="008C4D66">
      <w:pPr>
        <w:pStyle w:val="AERbulletlistfirststyle"/>
      </w:pPr>
      <w:r>
        <w:t>our approach to forecasting output growth used information from Economic Insights, Powercor’s reset RIN and AEMO, which produced a lower forecast than that proposed by Powercor.</w:t>
      </w:r>
    </w:p>
    <w:p w:rsidR="008C4D66" w:rsidRPr="008C4D66" w:rsidRDefault="008C4D66" w:rsidP="008C4D66">
      <w:pPr>
        <w:pStyle w:val="Heading3"/>
      </w:pPr>
      <w:bookmarkStart w:id="89" w:name="_Toc433786805"/>
      <w:r w:rsidRPr="008C4D66">
        <w:t>Advanced metering infrastructure</w:t>
      </w:r>
      <w:bookmarkEnd w:id="89"/>
    </w:p>
    <w:p w:rsidR="008C4D66" w:rsidRDefault="008C4D66" w:rsidP="008C4D66">
      <w:r>
        <w:rPr>
          <w:rStyle w:val="AERbody"/>
        </w:rPr>
        <w:t xml:space="preserve">We have not included opex for </w:t>
      </w:r>
      <w:r w:rsidR="008C08AE">
        <w:rPr>
          <w:rStyle w:val="AERbody"/>
        </w:rPr>
        <w:t xml:space="preserve">advanced metering infrastructure (AMI) </w:t>
      </w:r>
      <w:r>
        <w:rPr>
          <w:rStyle w:val="AERbody"/>
        </w:rPr>
        <w:t xml:space="preserve">expenditure in our forecast. </w:t>
      </w:r>
      <w:r>
        <w:t xml:space="preserve">During the 2011–15 regulatory control period, incremental costs associated with implementing smart meters were regulated under the AMI Order in Council (OIC). This included costs associated with new or upgraded IT systems. </w:t>
      </w:r>
    </w:p>
    <w:p w:rsidR="008C4D66" w:rsidRPr="008C4D66" w:rsidRDefault="008C4D66" w:rsidP="008C4D66">
      <w:r>
        <w:t>With the expiry of the AMI OIC</w:t>
      </w:r>
      <w:r w:rsidR="00A82FD4" w:rsidRPr="00A82FD4">
        <w:t xml:space="preserve"> </w:t>
      </w:r>
      <w:r w:rsidR="00A82FD4">
        <w:t>at 31 December 2016</w:t>
      </w:r>
      <w:r>
        <w:t xml:space="preserve">, opex associated with AMI will be regulated under the NER and allocated between standard control services and alternative control services. </w:t>
      </w:r>
      <w:r w:rsidR="00711E84">
        <w:t xml:space="preserve">Given the rollout of smart meters is largely complete, this opex is for the business-as-usual costs of maintaining the metering infrastructure. </w:t>
      </w:r>
      <w:r w:rsidR="00F34AC5">
        <w:t>Until we issue new Distribution Ring Fencing Guidelines that will set out how metering costs should be treated</w:t>
      </w:r>
      <w:r>
        <w:t>, we consider all costs formerly regulated under the AMI OIC should be allocated to alternative control services. This is similar to the historical approach where AMI costs were recovered separately to most distribution network costs. We consider this approach will assist in promoting transparency around trends in AMI and standard control expenditure.</w:t>
      </w:r>
    </w:p>
    <w:p w:rsidR="002F3C7B" w:rsidRPr="00112BF8" w:rsidRDefault="002F3C7B" w:rsidP="002F3C7B">
      <w:pPr>
        <w:pStyle w:val="Heading2"/>
        <w:ind w:left="680" w:hanging="680"/>
      </w:pPr>
      <w:bookmarkStart w:id="90" w:name="_Toc417973146"/>
      <w:bookmarkStart w:id="91" w:name="_Toc428354978"/>
      <w:bookmarkStart w:id="92" w:name="_Toc428956720"/>
      <w:bookmarkStart w:id="93" w:name="_Toc433786806"/>
      <w:r w:rsidRPr="00112BF8">
        <w:t>Corporate income tax</w:t>
      </w:r>
      <w:bookmarkEnd w:id="90"/>
      <w:bookmarkEnd w:id="91"/>
      <w:bookmarkEnd w:id="92"/>
      <w:bookmarkEnd w:id="93"/>
    </w:p>
    <w:p w:rsidR="002F3C7B" w:rsidRDefault="002F3C7B" w:rsidP="002F3C7B">
      <w:pPr>
        <w:numPr>
          <w:ilvl w:val="0"/>
          <w:numId w:val="24"/>
        </w:numPr>
      </w:pPr>
      <w:r>
        <w:t xml:space="preserve">The NER requires us </w:t>
      </w:r>
      <w:r w:rsidRPr="00521143">
        <w:rPr>
          <w:rStyle w:val="AERbody"/>
        </w:rPr>
        <w:t xml:space="preserve">to make a decision on the estimated cost of corporate income tax for </w:t>
      </w:r>
      <w:r>
        <w:t>Powercor’s</w:t>
      </w:r>
      <w:r w:rsidRPr="00B71392">
        <w:t xml:space="preserve"> </w:t>
      </w:r>
      <w:r>
        <w:rPr>
          <w:rStyle w:val="AERbody"/>
        </w:rPr>
        <w:t>2016</w:t>
      </w:r>
      <w:r w:rsidRPr="00521143">
        <w:rPr>
          <w:rStyle w:val="AERbody"/>
        </w:rPr>
        <w:t>–20 regulatory control period.</w:t>
      </w:r>
      <w:r w:rsidRPr="00577DF0">
        <w:rPr>
          <w:rStyle w:val="FootnoteReference"/>
        </w:rPr>
        <w:footnoteReference w:id="49"/>
      </w:r>
      <w:r>
        <w:rPr>
          <w:rStyle w:val="AERbody"/>
        </w:rPr>
        <w:t xml:space="preserve"> </w:t>
      </w:r>
      <w:r w:rsidRPr="00112BF8">
        <w:t xml:space="preserve">The estimated cost of corporate income tax contributes to our determination of the total revenue requirements for </w:t>
      </w:r>
      <w:r>
        <w:t>Powercor</w:t>
      </w:r>
      <w:r w:rsidRPr="00B71392">
        <w:t xml:space="preserve"> </w:t>
      </w:r>
      <w:r w:rsidRPr="00112BF8">
        <w:t>over the 201</w:t>
      </w:r>
      <w:r>
        <w:t>6</w:t>
      </w:r>
      <w:r w:rsidRPr="00112BF8">
        <w:t xml:space="preserve">–20 regulatory control period. </w:t>
      </w:r>
      <w:r>
        <w:t xml:space="preserve">It </w:t>
      </w:r>
      <w:r w:rsidRPr="00112BF8">
        <w:t xml:space="preserve">enables </w:t>
      </w:r>
      <w:r>
        <w:t>Powercor</w:t>
      </w:r>
      <w:r w:rsidRPr="00B71392">
        <w:t xml:space="preserve"> </w:t>
      </w:r>
      <w:r w:rsidRPr="00112BF8">
        <w:t xml:space="preserve">to recover the costs associated with the estimated corporate income tax payable during that period. </w:t>
      </w:r>
    </w:p>
    <w:p w:rsidR="002F3C7B" w:rsidRPr="00082EA6" w:rsidRDefault="002F3C7B" w:rsidP="002F3C7B">
      <w:pPr>
        <w:pStyle w:val="ListParagraph"/>
        <w:numPr>
          <w:ilvl w:val="0"/>
          <w:numId w:val="24"/>
        </w:numPr>
      </w:pPr>
      <w:r w:rsidRPr="00082EA6">
        <w:lastRenderedPageBreak/>
        <w:t xml:space="preserve">Our </w:t>
      </w:r>
      <w:r w:rsidR="00A85AFD">
        <w:t>preliminary</w:t>
      </w:r>
      <w:r w:rsidR="00A85AFD" w:rsidRPr="00082EA6">
        <w:t xml:space="preserve"> </w:t>
      </w:r>
      <w:r w:rsidRPr="00082EA6">
        <w:t xml:space="preserve">decision on the estimated cost of corporate income tax is </w:t>
      </w:r>
      <w:r w:rsidRPr="008F6524">
        <w:t>$</w:t>
      </w:r>
      <w:r w:rsidR="00B123B4">
        <w:t>167.0</w:t>
      </w:r>
      <w:r w:rsidRPr="008F6524">
        <w:t> million</w:t>
      </w:r>
      <w:r w:rsidRPr="00082EA6">
        <w:t xml:space="preserve"> ($ nominal) for </w:t>
      </w:r>
      <w:r>
        <w:t>Powercor</w:t>
      </w:r>
      <w:r w:rsidRPr="00B71392">
        <w:t xml:space="preserve"> </w:t>
      </w:r>
      <w:r>
        <w:t>over the 2016</w:t>
      </w:r>
      <w:r w:rsidRPr="00082EA6">
        <w:t xml:space="preserve">–20 regulatory control period. </w:t>
      </w:r>
      <w:r>
        <w:t>This is instead of Powercor’s</w:t>
      </w:r>
      <w:r w:rsidRPr="00B71392">
        <w:t xml:space="preserve"> </w:t>
      </w:r>
      <w:r>
        <w:t>proposed cost of corporate income tax allowance of $</w:t>
      </w:r>
      <w:r w:rsidR="002C7A3A">
        <w:t>244.8 </w:t>
      </w:r>
      <w:r w:rsidR="002C7A3A" w:rsidRPr="00521143">
        <w:t>million</w:t>
      </w:r>
      <w:r w:rsidRPr="00082EA6">
        <w:t xml:space="preserve"> ($ nominal). </w:t>
      </w:r>
      <w:r>
        <w:t>Our preliminary decision</w:t>
      </w:r>
      <w:r w:rsidRPr="00082EA6">
        <w:t xml:space="preserve"> represents a reduction of $</w:t>
      </w:r>
      <w:r w:rsidR="00034EF4" w:rsidRPr="008F6524">
        <w:t>77.8</w:t>
      </w:r>
      <w:r w:rsidRPr="008F6524">
        <w:t xml:space="preserve"> million (or </w:t>
      </w:r>
      <w:r w:rsidR="00034EF4" w:rsidRPr="008F6524">
        <w:t>31.8</w:t>
      </w:r>
      <w:r w:rsidRPr="008F6524">
        <w:t> per cent</w:t>
      </w:r>
      <w:r w:rsidRPr="00082EA6">
        <w:t xml:space="preserve">) from </w:t>
      </w:r>
      <w:r w:rsidR="002C7A3A">
        <w:t>Powercor’s</w:t>
      </w:r>
      <w:r w:rsidR="002C7A3A" w:rsidRPr="00082EA6">
        <w:t xml:space="preserve"> </w:t>
      </w:r>
      <w:r w:rsidRPr="00082EA6">
        <w:t>proposal.</w:t>
      </w:r>
      <w:r w:rsidR="002C7A3A">
        <w:t xml:space="preserve"> Table </w:t>
      </w:r>
      <w:r w:rsidR="00FE3FED">
        <w:t>10</w:t>
      </w:r>
      <w:r w:rsidR="002C7A3A" w:rsidRPr="00514CA5">
        <w:t xml:space="preserve"> </w:t>
      </w:r>
      <w:r w:rsidR="002C7A3A" w:rsidRPr="00EB66DE">
        <w:t>sets out our preliminary decision on the estimated cost of corporate income tax allowance for</w:t>
      </w:r>
      <w:r w:rsidR="002C7A3A">
        <w:t xml:space="preserve"> Powercor.</w:t>
      </w:r>
    </w:p>
    <w:p w:rsidR="002F3C7B" w:rsidRPr="00112BF8" w:rsidRDefault="002F3C7B" w:rsidP="002F3C7B">
      <w:pPr>
        <w:pStyle w:val="Caption"/>
      </w:pPr>
      <w:r w:rsidRPr="00112BF8">
        <w:t>Table</w:t>
      </w:r>
      <w:r>
        <w:t xml:space="preserve"> </w:t>
      </w:r>
      <w:r w:rsidR="00FE3FED">
        <w:t>10</w:t>
      </w:r>
      <w:r w:rsidRPr="00112BF8">
        <w:t xml:space="preserve"> </w:t>
      </w:r>
      <w:r w:rsidRPr="00112BF8">
        <w:tab/>
        <w:t xml:space="preserve">AER's </w:t>
      </w:r>
      <w:r>
        <w:t>preliminary</w:t>
      </w:r>
      <w:r w:rsidRPr="00112BF8">
        <w:t xml:space="preserve"> decision on </w:t>
      </w:r>
      <w:r>
        <w:t>Powercor’s</w:t>
      </w:r>
      <w:r w:rsidRPr="00B71392">
        <w:t xml:space="preserve"> </w:t>
      </w:r>
      <w:r w:rsidRPr="00112BF8">
        <w:t>cost of corporate income tax allowance for the 201</w:t>
      </w:r>
      <w:r>
        <w:t>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2F3C7B" w:rsidRPr="00F516A1" w:rsidTr="00A85A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2F3C7B" w:rsidRPr="007B3355" w:rsidRDefault="002F3C7B" w:rsidP="00A85AFD">
            <w:r w:rsidRPr="00112BF8">
              <w:t> </w:t>
            </w:r>
          </w:p>
        </w:tc>
        <w:tc>
          <w:tcPr>
            <w:tcW w:w="53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16</w:t>
            </w:r>
          </w:p>
        </w:tc>
        <w:tc>
          <w:tcPr>
            <w:tcW w:w="53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17</w:t>
            </w:r>
          </w:p>
        </w:tc>
        <w:tc>
          <w:tcPr>
            <w:tcW w:w="53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18</w:t>
            </w:r>
          </w:p>
        </w:tc>
        <w:tc>
          <w:tcPr>
            <w:tcW w:w="53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19</w:t>
            </w:r>
          </w:p>
        </w:tc>
        <w:tc>
          <w:tcPr>
            <w:tcW w:w="53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c>
          <w:tcPr>
            <w:tcW w:w="536" w:type="pct"/>
            <w:noWrap/>
            <w:hideMark/>
          </w:tcPr>
          <w:p w:rsidR="002F3C7B" w:rsidRPr="007B3355" w:rsidRDefault="002F3C7B" w:rsidP="00A85AFD">
            <w:pPr>
              <w:cnfStyle w:val="100000000000" w:firstRow="1" w:lastRow="0" w:firstColumn="0" w:lastColumn="0" w:oddVBand="0" w:evenVBand="0" w:oddHBand="0" w:evenHBand="0" w:firstRowFirstColumn="0" w:firstRowLastColumn="0" w:lastRowFirstColumn="0" w:lastRowLastColumn="0"/>
            </w:pPr>
            <w:r w:rsidRPr="00112BF8">
              <w:t>Total</w:t>
            </w:r>
          </w:p>
        </w:tc>
      </w:tr>
      <w:tr w:rsidR="00B123B4" w:rsidRPr="00F516A1" w:rsidTr="00A85AFD">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B123B4" w:rsidRPr="007B3355" w:rsidRDefault="00B123B4" w:rsidP="00A85AFD">
            <w:r w:rsidRPr="00D60A9B">
              <w:t>Tax payable</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62.6</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55.3</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51.1</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55.1</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54.3</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pPr>
            <w:r w:rsidRPr="00B123B4">
              <w:t>278.3</w:t>
            </w:r>
          </w:p>
        </w:tc>
      </w:tr>
      <w:tr w:rsidR="00B123B4" w:rsidRPr="00F516A1" w:rsidTr="00A85A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B123B4" w:rsidRPr="007B3355" w:rsidRDefault="00B123B4" w:rsidP="00A85AFD">
            <w:r w:rsidRPr="00D60A9B">
              <w:rPr>
                <w:rStyle w:val="AERtextitalic"/>
              </w:rPr>
              <w:t>Less</w:t>
            </w:r>
            <w:r w:rsidRPr="007B3355">
              <w:t>: value of imputation credits</w:t>
            </w:r>
          </w:p>
        </w:tc>
        <w:tc>
          <w:tcPr>
            <w:tcW w:w="536"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25.0</w:t>
            </w:r>
          </w:p>
        </w:tc>
        <w:tc>
          <w:tcPr>
            <w:tcW w:w="536"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22.1</w:t>
            </w:r>
          </w:p>
        </w:tc>
        <w:tc>
          <w:tcPr>
            <w:tcW w:w="536"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20.4</w:t>
            </w:r>
          </w:p>
        </w:tc>
        <w:tc>
          <w:tcPr>
            <w:tcW w:w="536"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22.0</w:t>
            </w:r>
          </w:p>
        </w:tc>
        <w:tc>
          <w:tcPr>
            <w:tcW w:w="536"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21.7</w:t>
            </w:r>
          </w:p>
        </w:tc>
        <w:tc>
          <w:tcPr>
            <w:tcW w:w="536" w:type="pct"/>
            <w:noWrap/>
            <w:vAlign w:val="bottom"/>
          </w:tcPr>
          <w:p w:rsidR="00B123B4" w:rsidRPr="00B123B4" w:rsidRDefault="00B123B4" w:rsidP="00B123B4">
            <w:pPr>
              <w:cnfStyle w:val="000000010000" w:firstRow="0" w:lastRow="0" w:firstColumn="0" w:lastColumn="0" w:oddVBand="0" w:evenVBand="0" w:oddHBand="0" w:evenHBand="1" w:firstRowFirstColumn="0" w:firstRowLastColumn="0" w:lastRowFirstColumn="0" w:lastRowLastColumn="0"/>
            </w:pPr>
            <w:r w:rsidRPr="00B123B4">
              <w:t>111.3</w:t>
            </w:r>
          </w:p>
        </w:tc>
      </w:tr>
      <w:tr w:rsidR="00B123B4" w:rsidRPr="00B123B4" w:rsidTr="00A85AFD">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B123B4" w:rsidRPr="00B123B4" w:rsidRDefault="00B123B4" w:rsidP="00A85AFD">
            <w:pPr>
              <w:rPr>
                <w:rStyle w:val="Strong"/>
              </w:rPr>
            </w:pPr>
            <w:r w:rsidRPr="00B123B4">
              <w:rPr>
                <w:rStyle w:val="Strong"/>
              </w:rPr>
              <w:t>Corporate income tax allowance</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37.6</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33.2</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30.7</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33.0</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32.6</w:t>
            </w:r>
          </w:p>
        </w:tc>
        <w:tc>
          <w:tcPr>
            <w:tcW w:w="536" w:type="pct"/>
            <w:noWrap/>
            <w:vAlign w:val="bottom"/>
          </w:tcPr>
          <w:p w:rsidR="00B123B4" w:rsidRPr="00B123B4" w:rsidRDefault="00B123B4" w:rsidP="00B123B4">
            <w:pPr>
              <w:cnfStyle w:val="000000000000" w:firstRow="0" w:lastRow="0" w:firstColumn="0" w:lastColumn="0" w:oddVBand="0" w:evenVBand="0" w:oddHBand="0" w:evenHBand="0" w:firstRowFirstColumn="0" w:firstRowLastColumn="0" w:lastRowFirstColumn="0" w:lastRowLastColumn="0"/>
              <w:rPr>
                <w:rStyle w:val="Strong"/>
              </w:rPr>
            </w:pPr>
            <w:r w:rsidRPr="00B123B4">
              <w:rPr>
                <w:rStyle w:val="Strong"/>
              </w:rPr>
              <w:t>167.0</w:t>
            </w:r>
          </w:p>
        </w:tc>
      </w:tr>
    </w:tbl>
    <w:p w:rsidR="002F3C7B" w:rsidRPr="00112BF8" w:rsidRDefault="002F3C7B" w:rsidP="002F3C7B">
      <w:pPr>
        <w:pStyle w:val="AERtablesource"/>
      </w:pPr>
      <w:r w:rsidRPr="00112BF8">
        <w:t>Source:</w:t>
      </w:r>
      <w:r w:rsidRPr="00112BF8">
        <w:tab/>
        <w:t>AER analysis.</w:t>
      </w:r>
    </w:p>
    <w:p w:rsidR="002F3C7B" w:rsidRDefault="002F3C7B" w:rsidP="002F3C7B">
      <w:r>
        <w:t xml:space="preserve">Our </w:t>
      </w:r>
      <w:r w:rsidR="00A85AFD">
        <w:t xml:space="preserve">preliminary </w:t>
      </w:r>
      <w:r>
        <w:t>decision</w:t>
      </w:r>
      <w:r w:rsidRPr="00E123FB">
        <w:t xml:space="preserve"> reflects our amendments to some of </w:t>
      </w:r>
      <w:r>
        <w:t>Powercor’s</w:t>
      </w:r>
      <w:r w:rsidRPr="00B71392">
        <w:t xml:space="preserve"> </w:t>
      </w:r>
      <w:r w:rsidRPr="00E123FB">
        <w:t xml:space="preserve">proposed inputs for forecasting the cost of corporate income tax such as the opening </w:t>
      </w:r>
      <w:r w:rsidR="002C7A3A">
        <w:t>tax asset base</w:t>
      </w:r>
      <w:r w:rsidR="002C7A3A" w:rsidRPr="00E123FB">
        <w:t xml:space="preserve"> </w:t>
      </w:r>
      <w:r w:rsidRPr="00E123FB">
        <w:t>and the remaining tax asset lives</w:t>
      </w:r>
      <w:r>
        <w:t xml:space="preserve">. It also reflects our </w:t>
      </w:r>
      <w:r w:rsidR="00A85AFD">
        <w:t xml:space="preserve">preliminary </w:t>
      </w:r>
      <w:r>
        <w:t xml:space="preserve">decision on the value of imputation credits—gamma—(attachment 4). Changes to the building block costs also affect revenues, which in turn impacts the tax calculation. The changes affecting revenues are discussed in attachment 1.  </w:t>
      </w:r>
    </w:p>
    <w:p w:rsidR="002F3C7B" w:rsidRDefault="002F3C7B" w:rsidP="002F3C7B">
      <w:r>
        <w:t xml:space="preserve">Details of our </w:t>
      </w:r>
      <w:r w:rsidR="00A85AFD">
        <w:t>preliminary</w:t>
      </w:r>
      <w:r>
        <w:t xml:space="preserve"> decision on the corporate income tax allowance are set out in attachment 8.</w:t>
      </w:r>
    </w:p>
    <w:p w:rsidR="002F3C7B" w:rsidRPr="00222367" w:rsidRDefault="002F3C7B" w:rsidP="002F3C7B">
      <w:pPr>
        <w:pStyle w:val="Heading1"/>
        <w:ind w:left="680" w:hanging="680"/>
      </w:pPr>
      <w:bookmarkStart w:id="94" w:name="_Toc417973147"/>
      <w:bookmarkStart w:id="95" w:name="_Toc428354979"/>
      <w:bookmarkStart w:id="96" w:name="_Toc428956721"/>
      <w:bookmarkStart w:id="97" w:name="_Toc433786807"/>
      <w:r w:rsidRPr="00222367">
        <w:lastRenderedPageBreak/>
        <w:t>Service classification, control mechanisms and incentive schemes</w:t>
      </w:r>
      <w:bookmarkEnd w:id="94"/>
      <w:bookmarkEnd w:id="95"/>
      <w:bookmarkEnd w:id="96"/>
      <w:bookmarkEnd w:id="97"/>
      <w:r w:rsidRPr="00222367">
        <w:t xml:space="preserve"> </w:t>
      </w:r>
    </w:p>
    <w:p w:rsidR="002F3C7B" w:rsidRPr="00891DF8" w:rsidRDefault="002F3C7B" w:rsidP="002F3C7B">
      <w:r w:rsidRPr="00891DF8">
        <w:t xml:space="preserve">A range of factors, in addition to the building blocks, affect </w:t>
      </w:r>
      <w:r>
        <w:t>Powercor’s</w:t>
      </w:r>
      <w:r w:rsidRPr="00B71392">
        <w:t xml:space="preserve"> </w:t>
      </w:r>
      <w:r w:rsidRPr="00891DF8">
        <w:t>revenues. These include service classification, the control mechanism</w:t>
      </w:r>
      <w:r w:rsidR="002C7A3A">
        <w:t xml:space="preserve"> </w:t>
      </w:r>
      <w:r w:rsidR="002C7A3A" w:rsidRPr="00891DF8">
        <w:t>and our approach to services charged to individual consumers</w:t>
      </w:r>
      <w:r w:rsidR="002C7A3A">
        <w:t xml:space="preserve"> and</w:t>
      </w:r>
      <w:r w:rsidRPr="00891DF8">
        <w:t xml:space="preserve"> incentive schemes to promote efficiency. This section sets out our approach to these issues.</w:t>
      </w:r>
    </w:p>
    <w:p w:rsidR="002F3C7B" w:rsidRPr="00112BF8" w:rsidRDefault="002F3C7B" w:rsidP="002F3C7B">
      <w:pPr>
        <w:pStyle w:val="Heading2"/>
        <w:ind w:left="680" w:hanging="680"/>
      </w:pPr>
      <w:bookmarkStart w:id="98" w:name="_Toc417973148"/>
      <w:bookmarkStart w:id="99" w:name="_Toc428354980"/>
      <w:bookmarkStart w:id="100" w:name="_Toc428956722"/>
      <w:bookmarkStart w:id="101" w:name="_Toc433786808"/>
      <w:r w:rsidRPr="00112BF8">
        <w:t>Classification of services and control mechanisms</w:t>
      </w:r>
      <w:bookmarkEnd w:id="98"/>
      <w:bookmarkEnd w:id="99"/>
      <w:bookmarkEnd w:id="100"/>
      <w:bookmarkEnd w:id="101"/>
    </w:p>
    <w:p w:rsidR="002F3C7B" w:rsidRPr="00112BF8" w:rsidRDefault="002F3C7B" w:rsidP="002F3C7B">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A85AFD">
        <w:t xml:space="preserve">preliminary </w:t>
      </w:r>
      <w:r w:rsidRPr="00112BF8">
        <w:t xml:space="preserve">decision reflects our assessment of a number of factors, including existing and potential competition to supply these services. </w:t>
      </w:r>
    </w:p>
    <w:p w:rsidR="002F3C7B" w:rsidRPr="00112BF8" w:rsidRDefault="002F3C7B" w:rsidP="002F3C7B">
      <w:r w:rsidRPr="00112BF8">
        <w:t xml:space="preserve">Figure </w:t>
      </w:r>
      <w:r w:rsidR="00FE3FED">
        <w:t>9</w:t>
      </w:r>
      <w:r>
        <w:t xml:space="preserve"> summarises</w:t>
      </w:r>
      <w:r w:rsidRPr="00112BF8">
        <w:t xml:space="preserve"> our </w:t>
      </w:r>
      <w:r>
        <w:t>preliminary</w:t>
      </w:r>
      <w:r w:rsidRPr="00112BF8">
        <w:t xml:space="preserve"> </w:t>
      </w:r>
      <w:r w:rsidR="00065FD3">
        <w:t>determination</w:t>
      </w:r>
      <w:r w:rsidRPr="00112BF8">
        <w:t xml:space="preserve"> on service c</w:t>
      </w:r>
      <w:r w:rsidR="00065FD3">
        <w:t>lassifications for the 2016</w:t>
      </w:r>
      <w:r w:rsidRPr="00112BF8">
        <w:t xml:space="preserve">–20 regulatory control period. </w:t>
      </w:r>
    </w:p>
    <w:p w:rsidR="002F3C7B" w:rsidRPr="00112BF8" w:rsidRDefault="002F3C7B" w:rsidP="002F3C7B">
      <w:pPr>
        <w:pStyle w:val="Caption"/>
      </w:pPr>
      <w:r w:rsidRPr="00112BF8">
        <w:t xml:space="preserve">Figure </w:t>
      </w:r>
      <w:r w:rsidR="00FE3FED">
        <w:t>9</w:t>
      </w:r>
      <w:r w:rsidRPr="00112BF8">
        <w:tab/>
        <w:t xml:space="preserve">AER </w:t>
      </w:r>
      <w:r>
        <w:t>preliminary</w:t>
      </w:r>
      <w:r w:rsidRPr="00112BF8">
        <w:t xml:space="preserve"> </w:t>
      </w:r>
      <w:r w:rsidR="00065FD3">
        <w:t>de</w:t>
      </w:r>
      <w:r w:rsidR="00F007AA">
        <w:t>cision</w:t>
      </w:r>
      <w:r w:rsidRPr="00112BF8">
        <w:t xml:space="preserve"> on 201</w:t>
      </w:r>
      <w:r w:rsidR="00065FD3">
        <w:t>6</w:t>
      </w:r>
      <w:r w:rsidRPr="00112BF8">
        <w:t xml:space="preserve">–20 service classifications for </w:t>
      </w:r>
      <w:r>
        <w:t>Powercor</w:t>
      </w:r>
    </w:p>
    <w:p w:rsidR="002F3C7B" w:rsidRPr="00112BF8" w:rsidRDefault="002C7A3A" w:rsidP="002F3C7B">
      <w:pPr>
        <w:pStyle w:val="AERtablesource"/>
      </w:pPr>
      <w:r w:rsidRPr="00644B03">
        <w:rPr>
          <w:noProof/>
          <w:lang w:eastAsia="en-AU"/>
        </w:rPr>
        <w:drawing>
          <wp:inline distT="0" distB="0" distL="0" distR="0" wp14:anchorId="2B95AA05" wp14:editId="27A84EB2">
            <wp:extent cx="5381434" cy="427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4277886"/>
                    </a:xfrm>
                    <a:prstGeom prst="rect">
                      <a:avLst/>
                    </a:prstGeom>
                    <a:noFill/>
                    <a:ln>
                      <a:noFill/>
                    </a:ln>
                  </pic:spPr>
                </pic:pic>
              </a:graphicData>
            </a:graphic>
          </wp:inline>
        </w:drawing>
      </w:r>
    </w:p>
    <w:p w:rsidR="002F3C7B" w:rsidRDefault="002F3C7B" w:rsidP="002F3C7B">
      <w:pPr>
        <w:pStyle w:val="AERtablesource"/>
      </w:pPr>
      <w:r w:rsidRPr="00112BF8">
        <w:lastRenderedPageBreak/>
        <w:t>Source: AER.</w:t>
      </w:r>
    </w:p>
    <w:p w:rsidR="002F3C7B" w:rsidRDefault="002F3C7B" w:rsidP="002F3C7B">
      <w:pPr>
        <w:numPr>
          <w:ilvl w:val="0"/>
          <w:numId w:val="24"/>
        </w:numPr>
      </w:pPr>
      <w:r>
        <w:rPr>
          <w:rStyle w:val="AERbody"/>
        </w:rPr>
        <w:t>Consistent with our final framework and approach (F&amp;A),</w:t>
      </w:r>
      <w:r>
        <w:rPr>
          <w:rStyle w:val="FootnoteReference"/>
        </w:rPr>
        <w:footnoteReference w:id="50"/>
      </w:r>
      <w:r>
        <w:rPr>
          <w:rStyle w:val="AERbody"/>
        </w:rPr>
        <w:t xml:space="preserve"> </w:t>
      </w:r>
      <w:r>
        <w:t>Powercor</w:t>
      </w:r>
      <w:r w:rsidRPr="00B71392">
        <w:t xml:space="preserve"> </w:t>
      </w:r>
      <w:r>
        <w:rPr>
          <w:rStyle w:val="AERbody"/>
        </w:rPr>
        <w:t xml:space="preserve">will be subject to a 'revenue cap' form of control for standard control services over the next regulatory control period. </w:t>
      </w:r>
      <w:r w:rsidRPr="00112BF8">
        <w:t>The control mechanism (</w:t>
      </w:r>
      <w:r>
        <w:t>which describes how the revenues will vary from year to year</w:t>
      </w:r>
      <w:r w:rsidRPr="00112BF8">
        <w:t xml:space="preserve">) </w:t>
      </w:r>
      <w:r>
        <w:t xml:space="preserve">is discussed in attachments 14 and 16. The control mechanism for standard control services is described in mathematical terms and reflects all possible adjustments that might be made to the revenue cap. </w:t>
      </w:r>
    </w:p>
    <w:p w:rsidR="002F3C7B" w:rsidRPr="00112BF8" w:rsidRDefault="002F3C7B" w:rsidP="002F3C7B">
      <w:pPr>
        <w:pStyle w:val="Heading2"/>
        <w:ind w:left="680" w:hanging="680"/>
      </w:pPr>
      <w:bookmarkStart w:id="102" w:name="_Toc417973149"/>
      <w:bookmarkStart w:id="103" w:name="_Toc428354981"/>
      <w:bookmarkStart w:id="104" w:name="_Toc428956723"/>
      <w:bookmarkStart w:id="105" w:name="_Toc433786809"/>
      <w:r w:rsidRPr="00112BF8">
        <w:t>Alternative control services</w:t>
      </w:r>
      <w:bookmarkEnd w:id="102"/>
      <w:bookmarkEnd w:id="103"/>
      <w:bookmarkEnd w:id="104"/>
      <w:bookmarkEnd w:id="105"/>
    </w:p>
    <w:p w:rsidR="002F3C7B" w:rsidRDefault="002F3C7B" w:rsidP="002F3C7B">
      <w:r w:rsidRPr="0058687D">
        <w:t xml:space="preserve">Alternative control services do not form part of </w:t>
      </w:r>
      <w:r>
        <w:t>Powercor’s</w:t>
      </w:r>
      <w:r w:rsidRPr="00B71392">
        <w:t xml:space="preserve"> </w:t>
      </w:r>
      <w:r w:rsidRPr="0058687D">
        <w:t>revenue cap. Rather, the prices of these services are</w:t>
      </w:r>
      <w:r w:rsidR="00F34AC5">
        <w:t xml:space="preserve"> generally</w:t>
      </w:r>
      <w:r w:rsidRPr="0058687D">
        <w:t xml:space="preserve"> set individually. Our </w:t>
      </w:r>
      <w:r w:rsidR="00065FD3">
        <w:t>preliminary determination</w:t>
      </w:r>
      <w:r w:rsidR="00CA6910">
        <w:t xml:space="preserve"> for all services other than metering</w:t>
      </w:r>
      <w:r w:rsidRPr="0058687D">
        <w:t xml:space="preserve"> is to maintain the approach adopted in our F&amp;A, that the form of control mechanism to apply to </w:t>
      </w:r>
      <w:r w:rsidR="00065FD3">
        <w:t>Powercor’s</w:t>
      </w:r>
      <w:r w:rsidRPr="0058687D">
        <w:t xml:space="preserve"> alternative control services will be price caps. </w:t>
      </w:r>
      <w:r w:rsidR="00F04446" w:rsidRPr="00F04446">
        <w:t xml:space="preserve">As per past regulatory practice, </w:t>
      </w:r>
      <w:r>
        <w:t>Powercor</w:t>
      </w:r>
      <w:r w:rsidRPr="00B71392">
        <w:t xml:space="preserve"> </w:t>
      </w:r>
      <w:r>
        <w:t xml:space="preserve">must demonstrate compliance with the control mechanism through an annual pricing proposal. </w:t>
      </w:r>
    </w:p>
    <w:p w:rsidR="00F04446" w:rsidRDefault="00F04446" w:rsidP="00F04446">
      <w:r>
        <w:t>We have set charges for fee based and quoted services that reflect the costs incurred by</w:t>
      </w:r>
      <w:r w:rsidRPr="00F04446">
        <w:t xml:space="preserve"> Powercor </w:t>
      </w:r>
      <w:r>
        <w:t xml:space="preserve">to provide these services. </w:t>
      </w:r>
      <w:r w:rsidRPr="00F04446">
        <w:t>Powercor</w:t>
      </w:r>
      <w:r>
        <w:t xml:space="preserve"> only earns revenues on these activities where they are specifically requested by individual customers. Further details are in attachment 16.</w:t>
      </w:r>
    </w:p>
    <w:p w:rsidR="00F04446" w:rsidRDefault="00F04446" w:rsidP="00F04446">
      <w:r>
        <w:t xml:space="preserve">The charges for public lighting have been set on the same basis as the 2011–15 regulatory control period. That is, with </w:t>
      </w:r>
      <w:r w:rsidRPr="00F04446">
        <w:t>Powercor</w:t>
      </w:r>
      <w:r>
        <w:t xml:space="preserve"> operating, maintaining and replacing luminaires it owns on behalf of municipal councils in its distribution area. It does this in accordance with both our preliminary determination and the Public Lighting Code. Attachment 16 set out that there has been an increase in charges as a result of higher operating expenditures, mostly associated with the growth in labour costs.</w:t>
      </w:r>
    </w:p>
    <w:p w:rsidR="00F04446" w:rsidRDefault="00F04446" w:rsidP="00F04446">
      <w:r>
        <w:t>The Advanced Metering Infrastructure rollout that commen</w:t>
      </w:r>
      <w:r w:rsidR="004F75B8">
        <w:t>c</w:t>
      </w:r>
      <w:r>
        <w:t>ed in 2009 under an Order in Council (the Order) is now largely completed. In the 2016–20 regulatory control period, metering in Victoria is entering a "business-as-usual" phase.</w:t>
      </w:r>
    </w:p>
    <w:p w:rsidR="00F04446" w:rsidRDefault="00F04446" w:rsidP="00F04446">
      <w:r>
        <w:t>For metering services, we have set charges that recover the operating and capital expenditures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 which this determination includes—see attachment 16.</w:t>
      </w:r>
    </w:p>
    <w:p w:rsidR="00F04446" w:rsidRDefault="00F04446" w:rsidP="00F04446">
      <w:r>
        <w:t xml:space="preserve">A revenue cap will operate for metering services during the 2016–20 regulatory control period. The completion of the rollout means </w:t>
      </w:r>
      <w:r w:rsidRPr="00F04446">
        <w:t>Powercor</w:t>
      </w:r>
      <w:r>
        <w:t xml:space="preserve"> needs less revenue to provide </w:t>
      </w:r>
      <w:r>
        <w:lastRenderedPageBreak/>
        <w:t xml:space="preserve">the services and as a consequence meter charges </w:t>
      </w:r>
      <w:r w:rsidR="006A623B">
        <w:t>have fallen between 2015 and 2016 in particular</w:t>
      </w:r>
      <w:r>
        <w:t>.</w:t>
      </w:r>
    </w:p>
    <w:p w:rsidR="00FA289E" w:rsidRDefault="00FA289E" w:rsidP="00F04446">
      <w:r>
        <w:t xml:space="preserve">Powercor </w:t>
      </w:r>
      <w:r w:rsidRPr="000B4F10">
        <w:t>has proposed that some of the costs associated with the provision of Advanced Metering Infrastructure (AMI) be classified under standard control service</w:t>
      </w:r>
      <w:r>
        <w:t>s</w:t>
      </w:r>
      <w:r w:rsidRPr="000B4F10">
        <w:t>. We do not agree. All costs associated with AMI are classified un</w:t>
      </w:r>
      <w:r>
        <w:t>der alternative control services</w:t>
      </w:r>
      <w:r w:rsidRPr="000B4F10">
        <w:t xml:space="preserve">. As a result, some of the difference between </w:t>
      </w:r>
      <w:r>
        <w:t xml:space="preserve">Powercor’s </w:t>
      </w:r>
      <w:r w:rsidRPr="000B4F10">
        <w:t>forecast opex and our alternative forecast is simply as a result of reclassifying costs from standard control service</w:t>
      </w:r>
      <w:r>
        <w:t>s</w:t>
      </w:r>
      <w:r w:rsidRPr="000B4F10">
        <w:t xml:space="preserve"> to alternative control service</w:t>
      </w:r>
      <w:r>
        <w:t>s</w:t>
      </w:r>
      <w:r w:rsidRPr="000B4F10">
        <w:t>.</w:t>
      </w:r>
    </w:p>
    <w:p w:rsidR="002F3C7B" w:rsidRPr="00112BF8" w:rsidRDefault="002F3C7B" w:rsidP="002F3C7B">
      <w:pPr>
        <w:pStyle w:val="Heading2"/>
        <w:ind w:left="680" w:hanging="680"/>
      </w:pPr>
      <w:bookmarkStart w:id="106" w:name="_Toc417973150"/>
      <w:bookmarkStart w:id="107" w:name="_Toc428354982"/>
      <w:bookmarkStart w:id="108" w:name="_Toc428956724"/>
      <w:bookmarkStart w:id="109" w:name="_Toc433786810"/>
      <w:r w:rsidRPr="00112BF8">
        <w:t>Incentive schemes</w:t>
      </w:r>
      <w:bookmarkEnd w:id="106"/>
      <w:bookmarkEnd w:id="107"/>
      <w:bookmarkEnd w:id="108"/>
      <w:bookmarkEnd w:id="109"/>
    </w:p>
    <w:p w:rsidR="002F3C7B" w:rsidRPr="00AA082F" w:rsidRDefault="002F3C7B" w:rsidP="002F3C7B">
      <w:r w:rsidRPr="00AA082F">
        <w:t xml:space="preserve">Incentive schemes are a component of incentive-based regulation and complement our approach to assessing efficient costs. The incentive schemes </w:t>
      </w:r>
      <w:r>
        <w:t>that will apply to Powercor</w:t>
      </w:r>
      <w:r w:rsidRPr="00B71392">
        <w:t xml:space="preserve"> </w:t>
      </w:r>
      <w:r w:rsidRPr="00AA082F">
        <w:t>are:</w:t>
      </w:r>
    </w:p>
    <w:p w:rsidR="002F3C7B" w:rsidRPr="00112BF8" w:rsidRDefault="002F3C7B" w:rsidP="002F3C7B">
      <w:pPr>
        <w:pStyle w:val="AERbulletlistfirststyle"/>
      </w:pPr>
      <w:r w:rsidRPr="00112BF8">
        <w:t>The efficiency benefit sharing scheme (EBSS)</w:t>
      </w:r>
    </w:p>
    <w:p w:rsidR="002F3C7B" w:rsidRPr="00112BF8" w:rsidRDefault="002F3C7B" w:rsidP="002F3C7B">
      <w:pPr>
        <w:pStyle w:val="AERbulletlistfirststyle"/>
      </w:pPr>
      <w:r w:rsidRPr="00112BF8">
        <w:t>The capital expenditure sharing scheme (CESS)</w:t>
      </w:r>
    </w:p>
    <w:p w:rsidR="002F3C7B" w:rsidRPr="00112BF8" w:rsidRDefault="002F3C7B" w:rsidP="002F3C7B">
      <w:pPr>
        <w:pStyle w:val="AERbulletlistfirststyle"/>
      </w:pPr>
      <w:r w:rsidRPr="00112BF8">
        <w:t>The service target performance incentive scheme (STPIS)</w:t>
      </w:r>
    </w:p>
    <w:p w:rsidR="00AF6185" w:rsidRDefault="002F3C7B" w:rsidP="002F3C7B">
      <w:pPr>
        <w:pStyle w:val="AERbulletlistfirststyle"/>
      </w:pPr>
      <w:r w:rsidRPr="00112BF8">
        <w:t>The demand management incentive scheme (DMIS)</w:t>
      </w:r>
    </w:p>
    <w:p w:rsidR="002F3C7B" w:rsidRDefault="00AF6185" w:rsidP="002F3C7B">
      <w:pPr>
        <w:pStyle w:val="AERbulletlistfirststyle"/>
      </w:pPr>
      <w:r>
        <w:t>The f-factor scheme</w:t>
      </w:r>
      <w:r w:rsidR="002F3C7B" w:rsidRPr="00112BF8">
        <w:t>.</w:t>
      </w:r>
    </w:p>
    <w:p w:rsidR="00C140BE" w:rsidRPr="00112BF8" w:rsidRDefault="00C140BE" w:rsidP="00C140BE">
      <w:pPr>
        <w:pStyle w:val="AERbulletlistfirststyle"/>
        <w:numPr>
          <w:ilvl w:val="0"/>
          <w:numId w:val="0"/>
        </w:numPr>
      </w:pPr>
      <w:r w:rsidRPr="00C140BE">
        <w:t>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service reliability targets.</w:t>
      </w:r>
    </w:p>
    <w:p w:rsidR="002F3C7B" w:rsidRPr="00112BF8" w:rsidRDefault="002F3C7B" w:rsidP="002F3C7B">
      <w:pPr>
        <w:pStyle w:val="Heading3"/>
        <w:ind w:left="1021" w:hanging="1021"/>
      </w:pPr>
      <w:bookmarkStart w:id="110" w:name="_Toc417973151"/>
      <w:bookmarkStart w:id="111" w:name="_Toc428354983"/>
      <w:bookmarkStart w:id="112" w:name="_Toc428956725"/>
      <w:bookmarkStart w:id="113" w:name="_Toc433786811"/>
      <w:r w:rsidRPr="00112BF8">
        <w:t>Efficiency benefit sharing scheme</w:t>
      </w:r>
      <w:bookmarkEnd w:id="110"/>
      <w:bookmarkEnd w:id="111"/>
      <w:bookmarkEnd w:id="112"/>
      <w:bookmarkEnd w:id="113"/>
    </w:p>
    <w:p w:rsidR="002F3C7B" w:rsidRDefault="002F3C7B" w:rsidP="002F3C7B">
      <w:pPr>
        <w:numPr>
          <w:ilvl w:val="0"/>
          <w:numId w:val="24"/>
        </w:numPr>
        <w:rPr>
          <w:rStyle w:val="AERbody"/>
        </w:rPr>
      </w:pPr>
      <w:r w:rsidRPr="00112BF8">
        <w:rPr>
          <w:rStyle w:val="AERbody"/>
        </w:rPr>
        <w:t xml:space="preserve">The EBSS provides an additional incentive for service providers to pursue efficiency improvements in opex. </w:t>
      </w:r>
    </w:p>
    <w:p w:rsidR="002F3C7B" w:rsidRDefault="002F3C7B" w:rsidP="002F3C7B">
      <w:r>
        <w:t xml:space="preserve">As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C140BE" w:rsidRDefault="002F3C7B" w:rsidP="002F3C7B">
      <w:r>
        <w:t xml:space="preserve">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 In total these rewards and penalties work together to provide a continuous incentive for a service provider to pursue efficiency gains over the regulatory control period. </w:t>
      </w:r>
      <w:r w:rsidR="00C140BE" w:rsidRPr="00C140BE">
        <w:t xml:space="preserve">The combined effect of our revealed cost forecasting </w:t>
      </w:r>
      <w:r w:rsidR="00C140BE" w:rsidRPr="00C140BE">
        <w:lastRenderedPageBreak/>
        <w:t>approach and the EBSS is that opex efficiency savings or losses are shared approximately 30:70 between the network businesses and consumers. For example, for a one dollar saving in opex the network business gets 30 cents of the benefit while consumers get 70 cents of the benefit.</w:t>
      </w:r>
    </w:p>
    <w:p w:rsidR="002F3C7B" w:rsidRDefault="002F3C7B" w:rsidP="002F3C7B">
      <w:r>
        <w:t>The EBSS also discourages a distributor from incurring opex in the expected base year in order to receive a higher opex allowance in the following regulatory control period.</w:t>
      </w:r>
      <w:r>
        <w:rPr>
          <w:rStyle w:val="FootnoteReference"/>
        </w:rPr>
        <w:footnoteReference w:id="51"/>
      </w:r>
    </w:p>
    <w:p w:rsidR="00E10957" w:rsidRDefault="004171D1" w:rsidP="00E10957">
      <w:bookmarkStart w:id="114" w:name="_Toc417973152"/>
      <w:bookmarkStart w:id="115" w:name="_Toc428354984"/>
      <w:bookmarkStart w:id="116" w:name="_Toc428956726"/>
      <w:r w:rsidRPr="00BA7C17">
        <w:t xml:space="preserve">Our </w:t>
      </w:r>
      <w:r>
        <w:t>preliminary</w:t>
      </w:r>
      <w:r w:rsidRPr="00BA7C17">
        <w:t xml:space="preserve"> decision for the EBSS</w:t>
      </w:r>
      <w:r>
        <w:t xml:space="preserve"> carryover amounts from the application of the EBSS in the 2011–15</w:t>
      </w:r>
      <w:r w:rsidRPr="00BA7C17">
        <w:t xml:space="preserve"> </w:t>
      </w:r>
      <w:r>
        <w:t xml:space="preserve">regulatory control </w:t>
      </w:r>
      <w:r w:rsidRPr="00BA7C17">
        <w:t>period is outlined in</w:t>
      </w:r>
      <w:r>
        <w:t xml:space="preserve"> table 1</w:t>
      </w:r>
      <w:r w:rsidR="00FE3FED">
        <w:t>1</w:t>
      </w:r>
      <w:r>
        <w:t xml:space="preserve">. </w:t>
      </w:r>
      <w:r w:rsidRPr="00BA7C17">
        <w:t xml:space="preserve">The difference between our calculations </w:t>
      </w:r>
      <w:r>
        <w:t>and Powercor's</w:t>
      </w:r>
      <w:r w:rsidRPr="00BA7C17">
        <w:t xml:space="preserve"> proposal is </w:t>
      </w:r>
      <w:r>
        <w:t>mostly attributable to using a different formula to calculate Powercor’s carryover amounts for 2011</w:t>
      </w:r>
      <w:r w:rsidR="00E10957">
        <w:t>.</w:t>
      </w:r>
    </w:p>
    <w:p w:rsidR="00E10957" w:rsidRPr="00BA7C17" w:rsidRDefault="00E10957" w:rsidP="00E10957">
      <w:pPr>
        <w:pStyle w:val="Caption"/>
      </w:pPr>
      <w:bookmarkStart w:id="117" w:name="_Ref431298042"/>
      <w:r>
        <w:t>Table 1</w:t>
      </w:r>
      <w:r w:rsidR="00FE3FED">
        <w:t>1</w:t>
      </w:r>
      <w:r>
        <w:tab/>
        <w:t>AER’s preliminary decision on Powercor’s EBSS carryover amounts ($ million, 2015)</w:t>
      </w:r>
      <w:bookmarkEnd w:id="117"/>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E10957" w:rsidTr="00E10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E10957" w:rsidRDefault="00E10957" w:rsidP="008F6524"/>
        </w:tc>
        <w:tc>
          <w:tcPr>
            <w:tcW w:w="996" w:type="dxa"/>
          </w:tcPr>
          <w:p w:rsidR="00E10957" w:rsidRPr="00BD1EA7" w:rsidRDefault="00E10957" w:rsidP="008F6524">
            <w:pPr>
              <w:cnfStyle w:val="100000000000" w:firstRow="1" w:lastRow="0" w:firstColumn="0" w:lastColumn="0" w:oddVBand="0" w:evenVBand="0" w:oddHBand="0" w:evenHBand="0" w:firstRowFirstColumn="0" w:firstRowLastColumn="0" w:lastRowFirstColumn="0" w:lastRowLastColumn="0"/>
            </w:pPr>
            <w:r>
              <w:t>2</w:t>
            </w:r>
            <w:r w:rsidRPr="00BD1EA7">
              <w:t>016</w:t>
            </w:r>
          </w:p>
        </w:tc>
        <w:tc>
          <w:tcPr>
            <w:tcW w:w="997" w:type="dxa"/>
          </w:tcPr>
          <w:p w:rsidR="00E10957" w:rsidRPr="00BD1EA7" w:rsidRDefault="00E10957" w:rsidP="008F6524">
            <w:pPr>
              <w:cnfStyle w:val="100000000000" w:firstRow="1" w:lastRow="0" w:firstColumn="0" w:lastColumn="0" w:oddVBand="0" w:evenVBand="0" w:oddHBand="0" w:evenHBand="0" w:firstRowFirstColumn="0" w:firstRowLastColumn="0" w:lastRowFirstColumn="0" w:lastRowLastColumn="0"/>
            </w:pPr>
            <w:r>
              <w:t>2</w:t>
            </w:r>
            <w:r w:rsidRPr="00BD1EA7">
              <w:t>017</w:t>
            </w:r>
          </w:p>
        </w:tc>
        <w:tc>
          <w:tcPr>
            <w:tcW w:w="997" w:type="dxa"/>
          </w:tcPr>
          <w:p w:rsidR="00E10957" w:rsidRPr="00BD1EA7" w:rsidRDefault="00E10957" w:rsidP="008F6524">
            <w:pPr>
              <w:cnfStyle w:val="100000000000" w:firstRow="1" w:lastRow="0" w:firstColumn="0" w:lastColumn="0" w:oddVBand="0" w:evenVBand="0" w:oddHBand="0" w:evenHBand="0" w:firstRowFirstColumn="0" w:firstRowLastColumn="0" w:lastRowFirstColumn="0" w:lastRowLastColumn="0"/>
            </w:pPr>
            <w:r>
              <w:t>2</w:t>
            </w:r>
            <w:r w:rsidRPr="00BD1EA7">
              <w:t>018</w:t>
            </w:r>
          </w:p>
        </w:tc>
        <w:tc>
          <w:tcPr>
            <w:tcW w:w="997" w:type="dxa"/>
          </w:tcPr>
          <w:p w:rsidR="00E10957" w:rsidRPr="00BD1EA7" w:rsidRDefault="00E10957" w:rsidP="008F6524">
            <w:pPr>
              <w:cnfStyle w:val="100000000000" w:firstRow="1" w:lastRow="0" w:firstColumn="0" w:lastColumn="0" w:oddVBand="0" w:evenVBand="0" w:oddHBand="0" w:evenHBand="0" w:firstRowFirstColumn="0" w:firstRowLastColumn="0" w:lastRowFirstColumn="0" w:lastRowLastColumn="0"/>
            </w:pPr>
            <w:r>
              <w:t>2</w:t>
            </w:r>
            <w:r w:rsidRPr="00BD1EA7">
              <w:t>019</w:t>
            </w:r>
          </w:p>
        </w:tc>
        <w:tc>
          <w:tcPr>
            <w:tcW w:w="997" w:type="dxa"/>
          </w:tcPr>
          <w:p w:rsidR="00E10957" w:rsidRPr="00BD1EA7" w:rsidRDefault="00E10957" w:rsidP="008F6524">
            <w:pPr>
              <w:cnfStyle w:val="100000000000" w:firstRow="1" w:lastRow="0" w:firstColumn="0" w:lastColumn="0" w:oddVBand="0" w:evenVBand="0" w:oddHBand="0" w:evenHBand="0" w:firstRowFirstColumn="0" w:firstRowLastColumn="0" w:lastRowFirstColumn="0" w:lastRowLastColumn="0"/>
            </w:pPr>
            <w:r>
              <w:t>2</w:t>
            </w:r>
            <w:r w:rsidRPr="00BD1EA7">
              <w:t>020</w:t>
            </w:r>
          </w:p>
        </w:tc>
        <w:tc>
          <w:tcPr>
            <w:tcW w:w="1001" w:type="dxa"/>
          </w:tcPr>
          <w:p w:rsidR="00E10957" w:rsidRPr="00BD1EA7" w:rsidRDefault="00E10957" w:rsidP="008F6524">
            <w:pPr>
              <w:cnfStyle w:val="100000000000" w:firstRow="1" w:lastRow="0" w:firstColumn="0" w:lastColumn="0" w:oddVBand="0" w:evenVBand="0" w:oddHBand="0" w:evenHBand="0" w:firstRowFirstColumn="0" w:firstRowLastColumn="0" w:lastRowFirstColumn="0" w:lastRowLastColumn="0"/>
            </w:pPr>
            <w:r>
              <w:t>Total</w:t>
            </w:r>
          </w:p>
        </w:tc>
      </w:tr>
      <w:tr w:rsidR="00E10957" w:rsidTr="00E10957">
        <w:tc>
          <w:tcPr>
            <w:cnfStyle w:val="001000000000" w:firstRow="0" w:lastRow="0" w:firstColumn="1" w:lastColumn="0" w:oddVBand="0" w:evenVBand="0" w:oddHBand="0" w:evenHBand="0" w:firstRowFirstColumn="0" w:firstRowLastColumn="0" w:lastRowFirstColumn="0" w:lastRowLastColumn="0"/>
            <w:tcW w:w="2708" w:type="dxa"/>
          </w:tcPr>
          <w:p w:rsidR="00E10957" w:rsidRPr="00BD1EA7" w:rsidRDefault="00E10957" w:rsidP="008F6524">
            <w:r>
              <w:t>Powercor’s</w:t>
            </w:r>
            <w:r w:rsidRPr="00BD1EA7">
              <w:t xml:space="preserve"> proposed carryover</w:t>
            </w:r>
          </w:p>
        </w:tc>
        <w:tc>
          <w:tcPr>
            <w:tcW w:w="996" w:type="dxa"/>
          </w:tcPr>
          <w:p w:rsidR="00E10957" w:rsidRPr="00BD1EA7" w:rsidRDefault="00E10957" w:rsidP="008F6524">
            <w:pPr>
              <w:cnfStyle w:val="000000000000" w:firstRow="0" w:lastRow="0" w:firstColumn="0" w:lastColumn="0" w:oddVBand="0" w:evenVBand="0" w:oddHBand="0" w:evenHBand="0" w:firstRowFirstColumn="0" w:firstRowLastColumn="0" w:lastRowFirstColumn="0" w:lastRowLastColumn="0"/>
            </w:pPr>
            <w:r>
              <w:t>11.0</w:t>
            </w:r>
          </w:p>
        </w:tc>
        <w:tc>
          <w:tcPr>
            <w:tcW w:w="997" w:type="dxa"/>
          </w:tcPr>
          <w:p w:rsidR="00E10957" w:rsidRPr="00BD1EA7" w:rsidRDefault="00E10957" w:rsidP="008F6524">
            <w:pPr>
              <w:cnfStyle w:val="000000000000" w:firstRow="0" w:lastRow="0" w:firstColumn="0" w:lastColumn="0" w:oddVBand="0" w:evenVBand="0" w:oddHBand="0" w:evenHBand="0" w:firstRowFirstColumn="0" w:firstRowLastColumn="0" w:lastRowFirstColumn="0" w:lastRowLastColumn="0"/>
            </w:pPr>
            <w:r>
              <w:t>-1.1</w:t>
            </w:r>
          </w:p>
        </w:tc>
        <w:tc>
          <w:tcPr>
            <w:tcW w:w="997" w:type="dxa"/>
          </w:tcPr>
          <w:p w:rsidR="00E10957" w:rsidRPr="00BD1EA7" w:rsidRDefault="00E10957" w:rsidP="008F6524">
            <w:pPr>
              <w:cnfStyle w:val="000000000000" w:firstRow="0" w:lastRow="0" w:firstColumn="0" w:lastColumn="0" w:oddVBand="0" w:evenVBand="0" w:oddHBand="0" w:evenHBand="0" w:firstRowFirstColumn="0" w:firstRowLastColumn="0" w:lastRowFirstColumn="0" w:lastRowLastColumn="0"/>
            </w:pPr>
            <w:r>
              <w:t>4.1</w:t>
            </w:r>
          </w:p>
        </w:tc>
        <w:tc>
          <w:tcPr>
            <w:tcW w:w="997" w:type="dxa"/>
          </w:tcPr>
          <w:p w:rsidR="00E10957" w:rsidRPr="00BD1EA7" w:rsidRDefault="00E10957" w:rsidP="008F6524">
            <w:pPr>
              <w:cnfStyle w:val="000000000000" w:firstRow="0" w:lastRow="0" w:firstColumn="0" w:lastColumn="0" w:oddVBand="0" w:evenVBand="0" w:oddHBand="0" w:evenHBand="0" w:firstRowFirstColumn="0" w:firstRowLastColumn="0" w:lastRowFirstColumn="0" w:lastRowLastColumn="0"/>
            </w:pPr>
            <w:r>
              <w:t>8.2</w:t>
            </w:r>
          </w:p>
        </w:tc>
        <w:tc>
          <w:tcPr>
            <w:tcW w:w="997" w:type="dxa"/>
          </w:tcPr>
          <w:p w:rsidR="00E10957" w:rsidRPr="00BD1EA7" w:rsidRDefault="00E10957" w:rsidP="008F6524">
            <w:pPr>
              <w:cnfStyle w:val="000000000000" w:firstRow="0" w:lastRow="0" w:firstColumn="0" w:lastColumn="0" w:oddVBand="0" w:evenVBand="0" w:oddHBand="0" w:evenHBand="0" w:firstRowFirstColumn="0" w:firstRowLastColumn="0" w:lastRowFirstColumn="0" w:lastRowLastColumn="0"/>
            </w:pPr>
            <w:r>
              <w:t>-</w:t>
            </w:r>
          </w:p>
        </w:tc>
        <w:tc>
          <w:tcPr>
            <w:tcW w:w="1001" w:type="dxa"/>
          </w:tcPr>
          <w:p w:rsidR="00E10957" w:rsidRPr="00BD1EA7" w:rsidRDefault="00E10957" w:rsidP="008F6524">
            <w:pPr>
              <w:cnfStyle w:val="000000000000" w:firstRow="0" w:lastRow="0" w:firstColumn="0" w:lastColumn="0" w:oddVBand="0" w:evenVBand="0" w:oddHBand="0" w:evenHBand="0" w:firstRowFirstColumn="0" w:firstRowLastColumn="0" w:lastRowFirstColumn="0" w:lastRowLastColumn="0"/>
            </w:pPr>
            <w:r>
              <w:t>22.1</w:t>
            </w:r>
          </w:p>
        </w:tc>
      </w:tr>
      <w:tr w:rsidR="003221C6" w:rsidTr="00E109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3221C6" w:rsidRPr="00BD1EA7" w:rsidRDefault="003221C6" w:rsidP="008F6524">
            <w:r>
              <w:t>Preliminary decision</w:t>
            </w:r>
          </w:p>
        </w:tc>
        <w:tc>
          <w:tcPr>
            <w:tcW w:w="996" w:type="dxa"/>
          </w:tcPr>
          <w:p w:rsidR="003221C6" w:rsidRPr="00BD1EA7" w:rsidRDefault="003221C6" w:rsidP="008F6524">
            <w:pPr>
              <w:cnfStyle w:val="000000010000" w:firstRow="0" w:lastRow="0" w:firstColumn="0" w:lastColumn="0" w:oddVBand="0" w:evenVBand="0" w:oddHBand="0" w:evenHBand="1" w:firstRowFirstColumn="0" w:firstRowLastColumn="0" w:lastRowFirstColumn="0" w:lastRowLastColumn="0"/>
            </w:pPr>
            <w:r>
              <w:t>12.5</w:t>
            </w:r>
          </w:p>
        </w:tc>
        <w:tc>
          <w:tcPr>
            <w:tcW w:w="997" w:type="dxa"/>
          </w:tcPr>
          <w:p w:rsidR="003221C6" w:rsidRPr="00BD1EA7" w:rsidRDefault="003221C6" w:rsidP="008F6524">
            <w:pPr>
              <w:cnfStyle w:val="000000010000" w:firstRow="0" w:lastRow="0" w:firstColumn="0" w:lastColumn="0" w:oddVBand="0" w:evenVBand="0" w:oddHBand="0" w:evenHBand="1" w:firstRowFirstColumn="0" w:firstRowLastColumn="0" w:lastRowFirstColumn="0" w:lastRowLastColumn="0"/>
            </w:pPr>
            <w:r>
              <w:t>–3.2</w:t>
            </w:r>
          </w:p>
        </w:tc>
        <w:tc>
          <w:tcPr>
            <w:tcW w:w="997" w:type="dxa"/>
          </w:tcPr>
          <w:p w:rsidR="003221C6" w:rsidRPr="00BD1EA7" w:rsidRDefault="003221C6" w:rsidP="008F6524">
            <w:pPr>
              <w:cnfStyle w:val="000000010000" w:firstRow="0" w:lastRow="0" w:firstColumn="0" w:lastColumn="0" w:oddVBand="0" w:evenVBand="0" w:oddHBand="0" w:evenHBand="1" w:firstRowFirstColumn="0" w:firstRowLastColumn="0" w:lastRowFirstColumn="0" w:lastRowLastColumn="0"/>
            </w:pPr>
            <w:r>
              <w:t>2.5</w:t>
            </w:r>
          </w:p>
        </w:tc>
        <w:tc>
          <w:tcPr>
            <w:tcW w:w="997" w:type="dxa"/>
          </w:tcPr>
          <w:p w:rsidR="003221C6" w:rsidRPr="00BD1EA7" w:rsidRDefault="003221C6" w:rsidP="008F6524">
            <w:pPr>
              <w:cnfStyle w:val="000000010000" w:firstRow="0" w:lastRow="0" w:firstColumn="0" w:lastColumn="0" w:oddVBand="0" w:evenVBand="0" w:oddHBand="0" w:evenHBand="1" w:firstRowFirstColumn="0" w:firstRowLastColumn="0" w:lastRowFirstColumn="0" w:lastRowLastColumn="0"/>
            </w:pPr>
            <w:r>
              <w:t>9.8</w:t>
            </w:r>
          </w:p>
        </w:tc>
        <w:tc>
          <w:tcPr>
            <w:tcW w:w="997" w:type="dxa"/>
          </w:tcPr>
          <w:p w:rsidR="003221C6" w:rsidRPr="00BD1EA7" w:rsidRDefault="003221C6" w:rsidP="008F6524">
            <w:pPr>
              <w:cnfStyle w:val="000000010000" w:firstRow="0" w:lastRow="0" w:firstColumn="0" w:lastColumn="0" w:oddVBand="0" w:evenVBand="0" w:oddHBand="0" w:evenHBand="1" w:firstRowFirstColumn="0" w:firstRowLastColumn="0" w:lastRowFirstColumn="0" w:lastRowLastColumn="0"/>
            </w:pPr>
            <w:r>
              <w:t>-</w:t>
            </w:r>
          </w:p>
        </w:tc>
        <w:tc>
          <w:tcPr>
            <w:tcW w:w="1001" w:type="dxa"/>
          </w:tcPr>
          <w:p w:rsidR="003221C6" w:rsidRPr="00BD1EA7" w:rsidRDefault="003221C6" w:rsidP="008F6524">
            <w:pPr>
              <w:cnfStyle w:val="000000010000" w:firstRow="0" w:lastRow="0" w:firstColumn="0" w:lastColumn="0" w:oddVBand="0" w:evenVBand="0" w:oddHBand="0" w:evenHBand="1" w:firstRowFirstColumn="0" w:firstRowLastColumn="0" w:lastRowFirstColumn="0" w:lastRowLastColumn="0"/>
            </w:pPr>
            <w:r>
              <w:t>21.6</w:t>
            </w:r>
          </w:p>
        </w:tc>
      </w:tr>
    </w:tbl>
    <w:p w:rsidR="00E10957" w:rsidRDefault="00E10957" w:rsidP="00E10957">
      <w:pPr>
        <w:pStyle w:val="AERtablesource"/>
      </w:pPr>
      <w:r w:rsidRPr="00BA7C17">
        <w:t xml:space="preserve">Source: AER analysis; </w:t>
      </w:r>
      <w:r>
        <w:t>Powercor</w:t>
      </w:r>
      <w:r w:rsidRPr="00D20E85">
        <w:t xml:space="preserve">, </w:t>
      </w:r>
      <w:r w:rsidRPr="00D20E85">
        <w:rPr>
          <w:rStyle w:val="AERtextitalic"/>
        </w:rPr>
        <w:t>Regulatory proposal</w:t>
      </w:r>
      <w:r>
        <w:t>, April 2015, p. 249.</w:t>
      </w:r>
    </w:p>
    <w:p w:rsidR="00E10957" w:rsidRDefault="00E10957" w:rsidP="00E10957">
      <w:r w:rsidRPr="00DC38A9">
        <w:t>Our preliminary 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Powercor</w:t>
      </w:r>
      <w:r w:rsidRPr="001D6F12">
        <w:rPr>
          <w:rStyle w:val="AERbody"/>
        </w:rPr>
        <w:t xml:space="preserve"> in the </w:t>
      </w:r>
      <w:r>
        <w:rPr>
          <w:rStyle w:val="AERbody"/>
        </w:rPr>
        <w:br/>
      </w:r>
      <w:r>
        <w:t>2016–20</w:t>
      </w:r>
      <w:r w:rsidRPr="00BD4587">
        <w:t xml:space="preserve"> </w:t>
      </w:r>
      <w:r w:rsidRPr="001D6F12">
        <w:rPr>
          <w:rStyle w:val="AERbody"/>
        </w:rPr>
        <w:t>regulatory control period.</w:t>
      </w:r>
      <w:r>
        <w:rPr>
          <w:rStyle w:val="FootnoteReference"/>
        </w:rPr>
        <w:footnoteReference w:id="52"/>
      </w:r>
      <w:r>
        <w:rPr>
          <w:rStyle w:val="AERbody"/>
        </w:rPr>
        <w:t xml:space="preserve"> </w:t>
      </w:r>
      <w:r w:rsidR="004171D1">
        <w:t xml:space="preserve">Our preliminary decision on </w:t>
      </w:r>
      <w:r w:rsidR="004171D1">
        <w:rPr>
          <w:rStyle w:val="AERbody"/>
        </w:rPr>
        <w:t xml:space="preserve">the </w:t>
      </w:r>
      <w:r w:rsidR="004171D1" w:rsidRPr="001D6F12">
        <w:rPr>
          <w:rStyle w:val="AERbody"/>
        </w:rPr>
        <w:t>EBSS</w:t>
      </w:r>
      <w:r w:rsidR="004171D1">
        <w:rPr>
          <w:rStyle w:val="AERbody"/>
        </w:rPr>
        <w:t xml:space="preserve"> is discussed in Attachment 9</w:t>
      </w:r>
      <w:r w:rsidR="004171D1">
        <w:t>.</w:t>
      </w:r>
    </w:p>
    <w:p w:rsidR="002F3C7B" w:rsidRPr="00112BF8" w:rsidRDefault="002F3C7B" w:rsidP="002F3C7B">
      <w:pPr>
        <w:pStyle w:val="Heading3"/>
        <w:ind w:left="1021" w:hanging="1021"/>
      </w:pPr>
      <w:bookmarkStart w:id="118" w:name="_Toc433786812"/>
      <w:r w:rsidRPr="00112BF8">
        <w:t>Capital expenditure sharing scheme</w:t>
      </w:r>
      <w:bookmarkEnd w:id="114"/>
      <w:bookmarkEnd w:id="115"/>
      <w:bookmarkEnd w:id="116"/>
      <w:bookmarkEnd w:id="118"/>
    </w:p>
    <w:p w:rsidR="0040094D" w:rsidRDefault="0040094D" w:rsidP="0040094D">
      <w:r>
        <w:t xml:space="preserve">The capital expenditure sharing scheme (CESS) provides a network service provider with the same reward for an efficiency saving and same penalty for an efficiency loss regardless of which year they make the saving or loss. Consumers benefit from improved efficiency through lower regulated prices. </w:t>
      </w:r>
    </w:p>
    <w:p w:rsidR="0040094D" w:rsidRDefault="0040094D" w:rsidP="0040094D">
      <w:r>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40094D" w:rsidRDefault="0040094D" w:rsidP="0040094D">
      <w:r>
        <w:t xml:space="preserve">For capex, the sharing of underspends and overspends happens at the end of each regulatory control period when we update a network service provider's RAB to include </w:t>
      </w:r>
      <w:r>
        <w:lastRenderedPageBreak/>
        <w:t>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p w:rsidR="002F3C7B" w:rsidRPr="00112BF8" w:rsidRDefault="002F3C7B" w:rsidP="0040094D">
      <w:r>
        <w:t xml:space="preserve">Our preliminary </w:t>
      </w:r>
      <w:r w:rsidR="00065FD3">
        <w:t>determination</w:t>
      </w:r>
      <w:r>
        <w:t xml:space="preserve"> is to</w:t>
      </w:r>
      <w:r w:rsidRPr="00112BF8">
        <w:t xml:space="preserve"> apply version 1 of the CESS</w:t>
      </w:r>
      <w:r w:rsidR="0040094D">
        <w:t>,</w:t>
      </w:r>
      <w:r w:rsidRPr="00112BF8">
        <w:t xml:space="preserve"> as set out the </w:t>
      </w:r>
      <w:r>
        <w:t>C</w:t>
      </w:r>
      <w:r w:rsidRPr="00112BF8">
        <w:t xml:space="preserve">apital </w:t>
      </w:r>
      <w:r>
        <w:t>E</w:t>
      </w:r>
      <w:r w:rsidRPr="00112BF8">
        <w:t xml:space="preserve">xpenditure </w:t>
      </w:r>
      <w:r>
        <w:t>I</w:t>
      </w:r>
      <w:r w:rsidRPr="00112BF8">
        <w:t xml:space="preserve">ncentives </w:t>
      </w:r>
      <w:r>
        <w:t>G</w:t>
      </w:r>
      <w:r w:rsidRPr="00112BF8">
        <w:t>uideline</w:t>
      </w:r>
      <w:r w:rsidR="0040094D">
        <w:t>,</w:t>
      </w:r>
      <w:r w:rsidRPr="00112BF8">
        <w:t xml:space="preserve"> to </w:t>
      </w:r>
      <w:r>
        <w:t>Powercor</w:t>
      </w:r>
      <w:r w:rsidRPr="00B71392">
        <w:t xml:space="preserve"> </w:t>
      </w:r>
      <w:r w:rsidRPr="00112BF8">
        <w:t>in the 201</w:t>
      </w:r>
      <w:r>
        <w:t>6–20 regulatory control period as Powercor</w:t>
      </w:r>
      <w:r w:rsidRPr="00B71392">
        <w:t xml:space="preserve"> </w:t>
      </w:r>
      <w:r>
        <w:t>proposed.</w:t>
      </w:r>
      <w:r w:rsidRPr="0026327F">
        <w:rPr>
          <w:rStyle w:val="AERsuperscript"/>
        </w:rPr>
        <w:footnoteReference w:id="53"/>
      </w:r>
      <w:r>
        <w:t xml:space="preserve"> Attachment 10 sets out our reasons for our </w:t>
      </w:r>
      <w:r w:rsidR="00065FD3">
        <w:t>preliminary determination</w:t>
      </w:r>
      <w:r>
        <w:t xml:space="preserve"> on CESS. </w:t>
      </w:r>
    </w:p>
    <w:p w:rsidR="002F3C7B" w:rsidRPr="00112BF8" w:rsidRDefault="002F3C7B" w:rsidP="002F3C7B">
      <w:pPr>
        <w:pStyle w:val="Heading3"/>
        <w:ind w:left="1021" w:hanging="1021"/>
      </w:pPr>
      <w:bookmarkStart w:id="119" w:name="_Toc417973153"/>
      <w:bookmarkStart w:id="120" w:name="_Toc428354985"/>
      <w:bookmarkStart w:id="121" w:name="_Toc428956727"/>
      <w:bookmarkStart w:id="122" w:name="_Toc433786813"/>
      <w:r w:rsidRPr="00112BF8">
        <w:t>Service target performance incentive scheme (STPIS)</w:t>
      </w:r>
      <w:bookmarkEnd w:id="119"/>
      <w:bookmarkEnd w:id="120"/>
      <w:bookmarkEnd w:id="121"/>
      <w:bookmarkEnd w:id="122"/>
    </w:p>
    <w:p w:rsidR="00A16B96" w:rsidRPr="004E129E" w:rsidRDefault="001C7B5C" w:rsidP="001C7B5C">
      <w:pPr>
        <w:pStyle w:val="ListParagraph"/>
        <w:numPr>
          <w:ilvl w:val="0"/>
          <w:numId w:val="24"/>
        </w:numPr>
        <w:rPr>
          <w:rStyle w:val="AERbody"/>
        </w:rPr>
      </w:pPr>
      <w:r w:rsidRPr="001C7B5C">
        <w:t xml:space="preserve">Consistent with our final F&amp;A, our preliminary determination is to apply the service standards component (the s-factor) of our national STPIS to </w:t>
      </w:r>
      <w:r w:rsidR="00720D3F">
        <w:t>Powercor</w:t>
      </w:r>
      <w:r w:rsidRPr="001C7B5C">
        <w:t xml:space="preserve"> for the 2016–20 regulatory control period.</w:t>
      </w:r>
      <w:r>
        <w:t xml:space="preserve"> </w:t>
      </w:r>
      <w:r w:rsidR="00A16B96" w:rsidRPr="004E129E">
        <w:t xml:space="preserve">We will not apply the guarantee service level component to </w:t>
      </w:r>
      <w:r w:rsidR="00A16B96">
        <w:t xml:space="preserve">Powercor </w:t>
      </w:r>
      <w:r w:rsidR="00A16B96" w:rsidRPr="004E129E">
        <w:t>as the existing Victorian jurisdictional arrangements will continue to apply.</w:t>
      </w:r>
      <w:r w:rsidR="00A16B96" w:rsidRPr="004E129E">
        <w:rPr>
          <w:rStyle w:val="FootnoteReference"/>
        </w:rPr>
        <w:footnoteReference w:id="54"/>
      </w:r>
      <w:r w:rsidR="00A16B96" w:rsidRPr="004E129E">
        <w:t xml:space="preserve"> Our preliminary decision is to </w:t>
      </w:r>
      <w:r w:rsidR="00A16B96" w:rsidRPr="004E129E">
        <w:rPr>
          <w:rStyle w:val="AERbody"/>
        </w:rPr>
        <w:t xml:space="preserve">set revenue at risk for </w:t>
      </w:r>
      <w:r w:rsidR="00A16B96">
        <w:rPr>
          <w:rStyle w:val="AERbody"/>
        </w:rPr>
        <w:t>Powercor</w:t>
      </w:r>
      <w:r w:rsidR="00A16B96" w:rsidRPr="004E129E">
        <w:rPr>
          <w:rStyle w:val="AERbody"/>
        </w:rPr>
        <w:t xml:space="preserve"> at the range ± 5.0 per cent.</w:t>
      </w:r>
    </w:p>
    <w:p w:rsidR="002F3C7B" w:rsidRDefault="002F3C7B" w:rsidP="002F3C7B">
      <w:pPr>
        <w:numPr>
          <w:ilvl w:val="0"/>
          <w:numId w:val="24"/>
        </w:numPr>
        <w:rPr>
          <w:rStyle w:val="AERbody"/>
        </w:rPr>
      </w:pPr>
      <w:r w:rsidRPr="006E5A4D">
        <w:t xml:space="preserve">The national STPIS is intended to balance the incentives to reduce expenditure with the need to maintain or improve service quality. </w:t>
      </w:r>
      <w:r w:rsidR="001C7B5C" w:rsidRPr="009B1880">
        <w:t>It achieves this by providing appropriate financial incentives to distributors to maintain and improve service performance (at the level where customers are willing to pay for these improvements).</w:t>
      </w:r>
      <w:r w:rsidRPr="006E5A4D">
        <w:rPr>
          <w:rStyle w:val="FootnoteReference"/>
        </w:rPr>
        <w:footnoteReference w:id="55"/>
      </w:r>
      <w:r w:rsidRPr="006E5A4D">
        <w:t xml:space="preserve"> Hence, t</w:t>
      </w:r>
      <w:r w:rsidRPr="006E5A4D">
        <w:rPr>
          <w:rStyle w:val="AERbody"/>
        </w:rPr>
        <w:t>he STPIS also provides an incentive for distributors to invest in further reliability improvements (via additional capex or opex) where custo</w:t>
      </w:r>
      <w:r w:rsidR="001C7B5C">
        <w:rPr>
          <w:rStyle w:val="AERbody"/>
        </w:rPr>
        <w:t xml:space="preserve">mers are willing to pay for it. </w:t>
      </w:r>
      <w:r w:rsidR="001C7B5C" w:rsidRPr="009B1880">
        <w:rPr>
          <w:rStyle w:val="AERbody"/>
        </w:rPr>
        <w:t xml:space="preserve">Conversely, the STPIS penalises distributors where they let reliability deteriorate beyond the acceptable level valued by customers. </w:t>
      </w:r>
      <w:r w:rsidRPr="006E5A4D">
        <w:rPr>
          <w:rStyle w:val="AERbody"/>
        </w:rPr>
        <w:t xml:space="preserve">Importantly, the distributor will only receive a financial reward after actual improvements are delivered to the customers. </w:t>
      </w:r>
    </w:p>
    <w:p w:rsidR="001C7B5C" w:rsidRPr="006E5A4D" w:rsidRDefault="001C7B5C" w:rsidP="001C7B5C">
      <w:pPr>
        <w:numPr>
          <w:ilvl w:val="0"/>
          <w:numId w:val="24"/>
        </w:numPr>
        <w:rPr>
          <w:rStyle w:val="AERbody"/>
        </w:rPr>
      </w:pPr>
      <w:r w:rsidRPr="009B1880">
        <w:rPr>
          <w:rStyle w:val="AERbody"/>
        </w:rPr>
        <w:t>Distributors can only retain their rewards for sustained and continuous improvements to the reliability of supply to customer. Once improvements are made, the benchmark performance targets will be tightened in future years.</w:t>
      </w:r>
    </w:p>
    <w:p w:rsidR="008D54A5" w:rsidRPr="006E5A4D" w:rsidRDefault="008D54A5" w:rsidP="008D54A5">
      <w:pPr>
        <w:pStyle w:val="ListParagraph"/>
        <w:numPr>
          <w:ilvl w:val="0"/>
          <w:numId w:val="24"/>
        </w:numPr>
        <w:rPr>
          <w:rStyle w:val="AERbody"/>
        </w:rPr>
      </w:pPr>
      <w:r w:rsidRPr="005D23BE">
        <w:rPr>
          <w:rStyle w:val="AERbody"/>
        </w:rPr>
        <w:t xml:space="preserve">In conjunction with the EBSS and CESS, the STPIS will ensure that: </w:t>
      </w:r>
    </w:p>
    <w:p w:rsidR="002F3C7B" w:rsidRPr="006E5A4D" w:rsidRDefault="002F3C7B" w:rsidP="002F3C7B">
      <w:pPr>
        <w:pStyle w:val="AERbulletlistfirststyle"/>
        <w:rPr>
          <w:rStyle w:val="AERbody"/>
        </w:rPr>
      </w:pPr>
      <w:r w:rsidRPr="006E5A4D">
        <w:rPr>
          <w:rStyle w:val="AERbody"/>
        </w:rPr>
        <w:t>any additional investments to improve reliability are based on prudent economic decisions</w:t>
      </w:r>
    </w:p>
    <w:p w:rsidR="002F3C7B" w:rsidRPr="006E5A4D" w:rsidRDefault="002F3C7B" w:rsidP="002F3C7B">
      <w:pPr>
        <w:pStyle w:val="AERbulletlistfirststyle"/>
        <w:rPr>
          <w:rStyle w:val="AERbody"/>
        </w:rPr>
      </w:pPr>
      <w:r w:rsidRPr="006E5A4D">
        <w:rPr>
          <w:rStyle w:val="AERbody"/>
        </w:rPr>
        <w:t>reductions in capex are achieved efficiently, rather than at the expense of service levels to customers.</w:t>
      </w:r>
    </w:p>
    <w:p w:rsidR="002F3C7B" w:rsidRPr="006E5A4D" w:rsidRDefault="002F3C7B" w:rsidP="002F3C7B">
      <w:pPr>
        <w:numPr>
          <w:ilvl w:val="0"/>
          <w:numId w:val="24"/>
        </w:numPr>
      </w:pPr>
      <w:r w:rsidRPr="006E5A4D">
        <w:lastRenderedPageBreak/>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2F3C7B" w:rsidRDefault="002F3C7B" w:rsidP="002F3C7B">
      <w:pPr>
        <w:numPr>
          <w:ilvl w:val="0"/>
          <w:numId w:val="24"/>
        </w:numPr>
        <w:rPr>
          <w:rStyle w:val="AERbody"/>
        </w:rPr>
      </w:pPr>
      <w:r>
        <w:rPr>
          <w:rStyle w:val="AERbody"/>
        </w:rPr>
        <w:t xml:space="preserve">Attachment 11 sets out our </w:t>
      </w:r>
      <w:r w:rsidR="00065FD3">
        <w:rPr>
          <w:rStyle w:val="AERbody"/>
        </w:rPr>
        <w:t>preliminary determination</w:t>
      </w:r>
      <w:r>
        <w:rPr>
          <w:rStyle w:val="AERbody"/>
        </w:rPr>
        <w:t xml:space="preserve"> on </w:t>
      </w:r>
      <w:r>
        <w:t>Powercor’s</w:t>
      </w:r>
      <w:r w:rsidRPr="00B71392">
        <w:t xml:space="preserve"> </w:t>
      </w:r>
      <w:r>
        <w:rPr>
          <w:rStyle w:val="AERbody"/>
        </w:rPr>
        <w:t xml:space="preserve">service component parameter values. </w:t>
      </w:r>
    </w:p>
    <w:p w:rsidR="002F3C7B" w:rsidRPr="00112BF8" w:rsidRDefault="002F3C7B" w:rsidP="002F3C7B">
      <w:pPr>
        <w:pStyle w:val="Heading3"/>
        <w:ind w:left="1021" w:hanging="1021"/>
      </w:pPr>
      <w:bookmarkStart w:id="123" w:name="_Toc417973154"/>
      <w:bookmarkStart w:id="124" w:name="_Toc428354986"/>
      <w:bookmarkStart w:id="125" w:name="_Toc428956728"/>
      <w:bookmarkStart w:id="126" w:name="_Toc433786814"/>
      <w:r w:rsidRPr="00112BF8">
        <w:t>Demand management incentive scheme</w:t>
      </w:r>
      <w:bookmarkEnd w:id="123"/>
      <w:bookmarkEnd w:id="124"/>
      <w:bookmarkEnd w:id="125"/>
      <w:bookmarkEnd w:id="126"/>
    </w:p>
    <w:p w:rsidR="002F3C7B" w:rsidRPr="00112BF8" w:rsidRDefault="002F3C7B" w:rsidP="002F3C7B">
      <w:pPr>
        <w:numPr>
          <w:ilvl w:val="0"/>
          <w:numId w:val="24"/>
        </w:numPr>
      </w:pPr>
      <w:r w:rsidRPr="00112BF8">
        <w:t>The DMIS includes a demand management innovation allowance (DMIA). The DMIA is a capped allowance for distributors to investigate and conduct broad based and/or peak demand management projects.</w:t>
      </w:r>
    </w:p>
    <w:p w:rsidR="00A16B96" w:rsidRPr="00B307CC" w:rsidRDefault="00A16B96" w:rsidP="00A16B96">
      <w:pPr>
        <w:numPr>
          <w:ilvl w:val="0"/>
          <w:numId w:val="24"/>
        </w:numPr>
      </w:pPr>
      <w:r>
        <w:t>Our preliminary decision is to continue Part A of the DMIS</w:t>
      </w:r>
      <w:r w:rsidRPr="00B307CC">
        <w:t xml:space="preserve"> </w:t>
      </w:r>
      <w:r>
        <w:t>for Powercor</w:t>
      </w:r>
      <w:r w:rsidRPr="00B307CC">
        <w:t xml:space="preserve"> in the 2016–20 regulatory control period</w:t>
      </w:r>
      <w:r>
        <w:t xml:space="preserve"> (that is, the DMIA component)</w:t>
      </w:r>
      <w:r w:rsidRPr="00B307CC">
        <w:t>. We w</w:t>
      </w:r>
      <w:r>
        <w:t>ill not apply Part B of the DMIS</w:t>
      </w:r>
      <w:r w:rsidRPr="00B307CC">
        <w:t xml:space="preserve"> to </w:t>
      </w:r>
      <w:r>
        <w:t>Powercor</w:t>
      </w:r>
      <w:r w:rsidRPr="00B307CC">
        <w:t xml:space="preserve"> for the 2016–2020 regulatory control period because we have decided to apply a revenue cap form of control. This is consistent with our proposed approach in our</w:t>
      </w:r>
      <w:r>
        <w:t xml:space="preserve"> final </w:t>
      </w:r>
      <w:r w:rsidR="00F34AC5">
        <w:t>Framework and Approach paper</w:t>
      </w:r>
      <w:r w:rsidRPr="00B307CC">
        <w:t>.</w:t>
      </w:r>
      <w:r w:rsidRPr="00B307CC">
        <w:rPr>
          <w:rStyle w:val="FootnoteReference"/>
        </w:rPr>
        <w:footnoteReference w:id="56"/>
      </w:r>
    </w:p>
    <w:p w:rsidR="00A16B96" w:rsidRDefault="00A16B96" w:rsidP="00A16B96">
      <w:pPr>
        <w:numPr>
          <w:ilvl w:val="0"/>
          <w:numId w:val="24"/>
        </w:numPr>
      </w:pPr>
      <w:r w:rsidRPr="00B307CC">
        <w:t>The current innovation allowance amount of $</w:t>
      </w:r>
      <w:r>
        <w:t>0.6 million</w:t>
      </w:r>
      <w:r w:rsidRPr="00B307CC">
        <w:t xml:space="preserve"> ($2015) per annum will continue in the 2016–20 regulatory control period.</w:t>
      </w:r>
    </w:p>
    <w:p w:rsidR="00A16B96" w:rsidRDefault="00A16B96" w:rsidP="00A16B96">
      <w:pPr>
        <w:numPr>
          <w:ilvl w:val="0"/>
          <w:numId w:val="24"/>
        </w:numPr>
        <w:rPr>
          <w:rStyle w:val="AERbody"/>
        </w:rPr>
      </w:pPr>
      <w:r>
        <w:t xml:space="preserve">Attachment 12 </w:t>
      </w:r>
      <w:r>
        <w:rPr>
          <w:rStyle w:val="AERbody"/>
        </w:rPr>
        <w:t xml:space="preserve">sets out our preliminary determination on </w:t>
      </w:r>
      <w:r>
        <w:t>Powercor’s</w:t>
      </w:r>
      <w:r w:rsidRPr="00B71392">
        <w:t xml:space="preserve"> </w:t>
      </w:r>
      <w:r>
        <w:rPr>
          <w:rStyle w:val="AERbody"/>
        </w:rPr>
        <w:t>DMIS.</w:t>
      </w:r>
    </w:p>
    <w:p w:rsidR="00AF6185" w:rsidRPr="00AF6185" w:rsidRDefault="00AF6185" w:rsidP="00AF6185">
      <w:pPr>
        <w:pStyle w:val="Heading3"/>
        <w:rPr>
          <w:rStyle w:val="AERbody"/>
          <w:color w:val="70635A" w:themeColor="text2"/>
          <w:sz w:val="28"/>
        </w:rPr>
      </w:pPr>
      <w:bookmarkStart w:id="127" w:name="_Toc433786815"/>
      <w:r w:rsidRPr="00AF6185">
        <w:rPr>
          <w:rStyle w:val="AERbody"/>
          <w:color w:val="70635A" w:themeColor="text2"/>
          <w:sz w:val="28"/>
        </w:rPr>
        <w:t>f-factor scheme</w:t>
      </w:r>
      <w:bookmarkEnd w:id="127"/>
    </w:p>
    <w:p w:rsidR="00C64D2A" w:rsidRPr="006D621E" w:rsidRDefault="00C64D2A" w:rsidP="00C64D2A">
      <w:pPr>
        <w:numPr>
          <w:ilvl w:val="0"/>
          <w:numId w:val="24"/>
        </w:numPr>
      </w:pPr>
      <w:r w:rsidRPr="006D621E">
        <w:t>The f-factor is</w:t>
      </w:r>
      <w:r>
        <w:t xml:space="preserve"> an incentive scheme</w:t>
      </w:r>
      <w:r w:rsidRPr="006D621E">
        <w:t xml:space="preserve"> to</w:t>
      </w:r>
      <w:r>
        <w:t xml:space="preserve"> r</w:t>
      </w:r>
      <w:r w:rsidRPr="006D621E">
        <w:t>educe the risk of fire starts due to electricity infrastructure</w:t>
      </w:r>
      <w:r>
        <w:t xml:space="preserve"> and </w:t>
      </w:r>
      <w:r w:rsidRPr="006D621E">
        <w:t xml:space="preserve">the risk of loss or damage caused by </w:t>
      </w:r>
      <w:r>
        <w:t xml:space="preserve">such </w:t>
      </w:r>
      <w:r w:rsidRPr="006D621E">
        <w:t>fire starts. The current incentive framework of the scheme is to set the</w:t>
      </w:r>
      <w:r>
        <w:t xml:space="preserve"> performance target based on a five</w:t>
      </w:r>
      <w:r w:rsidRPr="006D621E">
        <w:t xml:space="preserve"> year historical average and an incentive rate of $25</w:t>
      </w:r>
      <w:r>
        <w:t> 000 per fire start</w:t>
      </w:r>
      <w:r w:rsidRPr="006D621E">
        <w:t>.</w:t>
      </w:r>
    </w:p>
    <w:p w:rsidR="00C64D2A" w:rsidRDefault="00C64D2A" w:rsidP="00C64D2A">
      <w:pPr>
        <w:numPr>
          <w:ilvl w:val="0"/>
          <w:numId w:val="24"/>
        </w:numPr>
      </w:pPr>
      <w:r w:rsidRPr="006D621E">
        <w:t xml:space="preserve">The f-factor scheme is prescribed by </w:t>
      </w:r>
      <w:r w:rsidRPr="00582775">
        <w:rPr>
          <w:rStyle w:val="AERtextitalic"/>
        </w:rPr>
        <w:t>f-factor scheme order 2011</w:t>
      </w:r>
      <w:r w:rsidRPr="006D621E">
        <w:t xml:space="preserve"> (the Order) issued under the National Electricity (Victoria) Act 2005. The Order confers functions and powers on the AER to implement the f-factor. </w:t>
      </w:r>
    </w:p>
    <w:p w:rsidR="00C64D2A" w:rsidRPr="006D621E" w:rsidRDefault="00C64D2A" w:rsidP="00C64D2A">
      <w:pPr>
        <w:numPr>
          <w:ilvl w:val="0"/>
          <w:numId w:val="24"/>
        </w:numPr>
      </w:pPr>
      <w:r w:rsidRPr="006D621E">
        <w:t xml:space="preserve">As explained in the </w:t>
      </w:r>
      <w:r>
        <w:t xml:space="preserve">Framework and approach </w:t>
      </w:r>
      <w:r w:rsidRPr="006D621E">
        <w:t>paper, the Department of State Development Business and Innovation advised that it intend to rev</w:t>
      </w:r>
      <w:r w:rsidR="00BB5ED4">
        <w:t>iew the f-factor scheme in 20</w:t>
      </w:r>
      <w:r w:rsidRPr="006D621E">
        <w:t xml:space="preserve">15 to determine how the incentive has performed in delivering efficient improvements </w:t>
      </w:r>
      <w:r>
        <w:t xml:space="preserve">to power line bushfire safety. </w:t>
      </w:r>
      <w:r w:rsidRPr="006D621E">
        <w:t>Because of this, we will retain the current incentive framework for the purpose of this preliminary decision</w:t>
      </w:r>
      <w:r>
        <w:t xml:space="preserve"> to set the target based on a five year</w:t>
      </w:r>
      <w:r w:rsidRPr="006D621E">
        <w:t xml:space="preserve"> historical average and an incentive ra</w:t>
      </w:r>
      <w:r>
        <w:t xml:space="preserve">te of $25 000 per fire start. </w:t>
      </w:r>
      <w:r w:rsidRPr="006D621E">
        <w:t xml:space="preserve">We will </w:t>
      </w:r>
      <w:r>
        <w:t xml:space="preserve">amend </w:t>
      </w:r>
      <w:r w:rsidRPr="006D621E">
        <w:t xml:space="preserve">this scheme </w:t>
      </w:r>
      <w:r>
        <w:t>as appropriate to reflect any changes by the Victorian Government following the review.</w:t>
      </w:r>
    </w:p>
    <w:p w:rsidR="00AF6185" w:rsidRPr="00B307CC" w:rsidRDefault="00C64D2A" w:rsidP="00C64D2A">
      <w:r w:rsidRPr="006D621E">
        <w:lastRenderedPageBreak/>
        <w:t>Attachment 1</w:t>
      </w:r>
      <w:r>
        <w:t>8</w:t>
      </w:r>
      <w:r w:rsidRPr="006D621E">
        <w:t xml:space="preserve"> sets out our preliminary decision on the f-factor scheme.</w:t>
      </w:r>
    </w:p>
    <w:p w:rsidR="002F3C7B" w:rsidRDefault="002F3C7B" w:rsidP="002F3C7B">
      <w:pPr>
        <w:pStyle w:val="Heading1"/>
        <w:ind w:left="680" w:hanging="680"/>
      </w:pPr>
      <w:bookmarkStart w:id="128" w:name="_Toc428354987"/>
      <w:bookmarkStart w:id="129" w:name="_Toc428956729"/>
      <w:bookmarkStart w:id="130" w:name="_Toc433786816"/>
      <w:r>
        <w:lastRenderedPageBreak/>
        <w:t>Understanding the NEO</w:t>
      </w:r>
      <w:bookmarkEnd w:id="128"/>
      <w:bookmarkEnd w:id="129"/>
      <w:bookmarkEnd w:id="130"/>
    </w:p>
    <w:p w:rsidR="00FB0330" w:rsidRDefault="00FB0330" w:rsidP="00FB0330">
      <w:pPr>
        <w:numPr>
          <w:ilvl w:val="0"/>
          <w:numId w:val="24"/>
        </w:numPr>
      </w:pPr>
      <w:r w:rsidRPr="006C7462">
        <w:t xml:space="preserve">The NEO is the central feature of the </w:t>
      </w:r>
      <w:r>
        <w:t>regulatory</w:t>
      </w:r>
      <w:r w:rsidRPr="006C7462">
        <w:t xml:space="preserve"> framework. The NEO is to</w:t>
      </w:r>
      <w:r>
        <w:t>:</w:t>
      </w:r>
      <w:r w:rsidRPr="006C7462">
        <w:t xml:space="preserve"> </w:t>
      </w:r>
    </w:p>
    <w:p w:rsidR="00FB0330" w:rsidRPr="006C7462" w:rsidRDefault="00FB0330" w:rsidP="00FB0330">
      <w:pPr>
        <w:pStyle w:val="AERquote"/>
      </w:pPr>
      <w:r w:rsidRPr="006C7462">
        <w:t>promote efficient investment in, and efficient operation and use of, electricity services for the long term interests of consumers of electricity with respect to—</w:t>
      </w:r>
    </w:p>
    <w:p w:rsidR="00FB0330" w:rsidRPr="006C7462" w:rsidRDefault="00FB0330" w:rsidP="00FB0330">
      <w:pPr>
        <w:pStyle w:val="AERquote"/>
      </w:pPr>
      <w:r>
        <w:t xml:space="preserve">(a) </w:t>
      </w:r>
      <w:r w:rsidRPr="006C7462">
        <w:t>price, quality, safety, reliability and security of supply of electricity; and</w:t>
      </w:r>
    </w:p>
    <w:p w:rsidR="00FB0330" w:rsidRPr="006C7462" w:rsidRDefault="00FB0330" w:rsidP="00FB0330">
      <w:pPr>
        <w:pStyle w:val="AERquote"/>
      </w:pPr>
      <w:r>
        <w:t xml:space="preserve">(b) </w:t>
      </w:r>
      <w:r w:rsidRPr="006C7462">
        <w:t>the reliability, safety and security of the national electricity system.</w:t>
      </w:r>
      <w:r w:rsidRPr="006C7462">
        <w:rPr>
          <w:rStyle w:val="FootnoteReference"/>
        </w:rPr>
        <w:footnoteReference w:id="57"/>
      </w:r>
      <w:r w:rsidRPr="006C7462">
        <w:t xml:space="preserve">  </w:t>
      </w:r>
    </w:p>
    <w:p w:rsidR="00FB0330" w:rsidRPr="006C7462" w:rsidRDefault="00FB0330" w:rsidP="00FB0330">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58"/>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59"/>
      </w:r>
    </w:p>
    <w:p w:rsidR="00FB0330" w:rsidRDefault="00FB0330" w:rsidP="00FB0330">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60"/>
      </w:r>
      <w:r>
        <w:t xml:space="preserve"> We have also considered the quality and reliability of services provided to consumers. For example, opex allowances have been set so </w:t>
      </w:r>
      <w:r w:rsidR="00704AD4">
        <w:t>Powercor</w:t>
      </w:r>
      <w:r>
        <w:t xml:space="preserve">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FB0330" w:rsidRDefault="00FB0330" w:rsidP="00FB0330">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61"/>
      </w:r>
      <w:r w:rsidRPr="006C7462">
        <w:t xml:space="preserve"> At the same time, however, there are a range of outcomes that are unlikely to advance the NEO</w:t>
      </w:r>
      <w:r>
        <w:t xml:space="preserve">, or advance the NEO to the degree that others would. </w:t>
      </w:r>
      <w:r w:rsidRPr="006C7462">
        <w:t xml:space="preserve"> </w:t>
      </w:r>
    </w:p>
    <w:p w:rsidR="00FB0330" w:rsidRDefault="00FB0330" w:rsidP="00FB0330">
      <w:r w:rsidRPr="006C7462">
        <w:t>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62"/>
      </w:r>
      <w:r w:rsidRPr="006C7462">
        <w:t xml:space="preserve"> This could have significant longer term pricing implications for those consumers who continue to use network services.</w:t>
      </w:r>
    </w:p>
    <w:p w:rsidR="00FB0330" w:rsidRDefault="00FB0330" w:rsidP="00FB0330">
      <w:r w:rsidRPr="006C7462">
        <w:lastRenderedPageBreak/>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63"/>
      </w:r>
      <w:r w:rsidRPr="006C7462">
        <w:t xml:space="preserve"> </w:t>
      </w:r>
      <w:r>
        <w:t>and</w:t>
      </w:r>
      <w:r w:rsidRPr="006C7462">
        <w:t xml:space="preserve"> </w:t>
      </w:r>
      <w:r>
        <w:t>could</w:t>
      </w:r>
      <w:r w:rsidRPr="006C7462">
        <w:t xml:space="preserve"> have adverse consequences for safety, security and reliability of the network. </w:t>
      </w:r>
    </w:p>
    <w:p w:rsidR="00FB0330" w:rsidRPr="003B504B" w:rsidRDefault="00FB0330" w:rsidP="00FB0330">
      <w:r w:rsidRPr="006C7462">
        <w:t>The NEL also includes the revenue and pricing principles (RPP),</w:t>
      </w:r>
      <w:r w:rsidRPr="00E77248">
        <w:rPr>
          <w:rStyle w:val="FootnoteReference"/>
        </w:rPr>
        <w:t xml:space="preserve"> </w:t>
      </w:r>
      <w:r w:rsidRPr="006C7462">
        <w:rPr>
          <w:rStyle w:val="FootnoteReference"/>
        </w:rPr>
        <w:footnoteReference w:id="64"/>
      </w:r>
      <w:r w:rsidRPr="006C7462">
        <w:t xml:space="preserve"> which support the NEO. As the NEL requires,</w:t>
      </w:r>
      <w:r w:rsidRPr="006C7462">
        <w:rPr>
          <w:rStyle w:val="FootnoteReference"/>
        </w:rPr>
        <w:footnoteReference w:id="65"/>
      </w:r>
      <w:r w:rsidRPr="006C7462">
        <w:t xml:space="preserve"> we have taken the RPPs into account throughout our analysis. The RPPs are: </w:t>
      </w:r>
    </w:p>
    <w:p w:rsidR="00FB0330" w:rsidRPr="00AF78C7" w:rsidRDefault="00FB0330" w:rsidP="00FB0330">
      <w:pPr>
        <w:pStyle w:val="AERquote"/>
      </w:pPr>
      <w:r w:rsidRPr="00AF78C7">
        <w:t>A regulated network service provider should be provided with a reasonable opportunity to recover at least the efficient costs the operator incurs in—</w:t>
      </w:r>
    </w:p>
    <w:p w:rsidR="00FB0330" w:rsidRPr="00AF78C7" w:rsidRDefault="00FB0330" w:rsidP="00FB0330">
      <w:pPr>
        <w:pStyle w:val="AERquotebullet1"/>
      </w:pPr>
      <w:r w:rsidRPr="00AF78C7">
        <w:t>providing direct control network services; and</w:t>
      </w:r>
    </w:p>
    <w:p w:rsidR="00FB0330" w:rsidRPr="00AF78C7" w:rsidRDefault="00FB0330" w:rsidP="00FB0330">
      <w:pPr>
        <w:pStyle w:val="AERquotebullet1"/>
      </w:pPr>
      <w:r w:rsidRPr="00AF78C7">
        <w:t>complying with a regulatory obligation or requirement or making a regulatory payment.</w:t>
      </w:r>
    </w:p>
    <w:p w:rsidR="00FB0330" w:rsidRPr="00AF78C7" w:rsidRDefault="00FB0330" w:rsidP="00FB0330">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FB0330" w:rsidRPr="00AF78C7" w:rsidRDefault="00FB0330" w:rsidP="00FB0330">
      <w:pPr>
        <w:pStyle w:val="AERquotebullet1"/>
      </w:pPr>
      <w:r w:rsidRPr="00AF78C7">
        <w:t>efficient investment in a distribution system or transmission system with which the operator provides direct control network services; and</w:t>
      </w:r>
    </w:p>
    <w:p w:rsidR="00FB0330" w:rsidRPr="003B504B" w:rsidRDefault="00FB0330" w:rsidP="00FB0330">
      <w:pPr>
        <w:pStyle w:val="AERquotebullet1"/>
      </w:pPr>
      <w:r w:rsidRPr="00AF78C7">
        <w:t>the efficient provision of electricity network services; and</w:t>
      </w:r>
    </w:p>
    <w:p w:rsidR="00FB0330" w:rsidRPr="00AF78C7" w:rsidRDefault="00FB0330" w:rsidP="00FB0330">
      <w:pPr>
        <w:pStyle w:val="AERquotebullet1"/>
      </w:pPr>
      <w:r w:rsidRPr="00AF78C7">
        <w:t>the efficient use of the distribution system or transmission system with which the operator provides direct control network services.</w:t>
      </w:r>
    </w:p>
    <w:p w:rsidR="00FB0330" w:rsidRPr="00AF78C7" w:rsidRDefault="00FB0330" w:rsidP="00FB0330">
      <w:pPr>
        <w:pStyle w:val="AERquote"/>
      </w:pPr>
      <w:r w:rsidRPr="00AF78C7">
        <w:t>Regard should be had to the regulatory asset base with respect to a distribution system or transmission system adopted—</w:t>
      </w:r>
    </w:p>
    <w:p w:rsidR="00FB0330" w:rsidRPr="00AF78C7" w:rsidRDefault="00FB0330" w:rsidP="00FB0330">
      <w:pPr>
        <w:pStyle w:val="AERquotebullet1"/>
      </w:pPr>
      <w:r w:rsidRPr="00AF78C7">
        <w:t>in any previous—</w:t>
      </w:r>
    </w:p>
    <w:p w:rsidR="00FB0330" w:rsidRPr="00CB0443" w:rsidRDefault="00FB0330" w:rsidP="00FB0330">
      <w:pPr>
        <w:pStyle w:val="AERquotebullet1"/>
      </w:pPr>
      <w:r w:rsidRPr="00D2725D">
        <w:t>as the case requires, distribution determination or transmission determination; or</w:t>
      </w:r>
    </w:p>
    <w:p w:rsidR="00FB0330" w:rsidRPr="00CB0443" w:rsidRDefault="00FB0330" w:rsidP="00FB0330">
      <w:pPr>
        <w:pStyle w:val="AERquotebullet1"/>
      </w:pPr>
      <w:r w:rsidRPr="00363B18">
        <w:t>determination or decision under the National Electricity Code or jurisdictional electricity legislation regulating the revenue earned, or prices charged, by a person providing services by means of that di</w:t>
      </w:r>
      <w:r w:rsidRPr="00CB0443">
        <w:t>stribution system or transmission system; or</w:t>
      </w:r>
    </w:p>
    <w:p w:rsidR="00FB0330" w:rsidRPr="00CB0443" w:rsidRDefault="00FB0330" w:rsidP="00FB0330">
      <w:pPr>
        <w:pStyle w:val="AERquotebullet1"/>
      </w:pPr>
      <w:r w:rsidRPr="00AF78C7">
        <w:t>in the Rules.</w:t>
      </w:r>
    </w:p>
    <w:p w:rsidR="00FB0330" w:rsidRPr="00AF78C7" w:rsidRDefault="00FB0330" w:rsidP="00FB0330">
      <w:pPr>
        <w:pStyle w:val="AERquote"/>
      </w:pPr>
      <w:r w:rsidRPr="00AF78C7">
        <w:t xml:space="preserve">A price or charge for the provision of a direct control network service should allow for a return commensurate with the regulatory and commercial risks </w:t>
      </w:r>
      <w:r w:rsidRPr="00AF78C7">
        <w:lastRenderedPageBreak/>
        <w:t>involved in providing the direct control network service to which that price or charge relates.</w:t>
      </w:r>
    </w:p>
    <w:p w:rsidR="00FB0330" w:rsidRPr="00AF78C7" w:rsidRDefault="00FB0330" w:rsidP="00FB0330">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FB0330" w:rsidRDefault="00FB0330" w:rsidP="00FB0330">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FB0330" w:rsidRPr="00232478" w:rsidRDefault="00FB0330" w:rsidP="00FB0330">
      <w:pPr>
        <w:numPr>
          <w:ilvl w:val="0"/>
          <w:numId w:val="24"/>
        </w:numPr>
      </w:pPr>
      <w:r>
        <w:t>Consistent with Energy Ministers' views, we set revenue allowances to balance all elements of the NEO and consider each of the RPPs.</w:t>
      </w:r>
      <w:r>
        <w:rPr>
          <w:rStyle w:val="FootnoteReference"/>
        </w:rPr>
        <w:footnoteReference w:id="66"/>
      </w:r>
      <w:r>
        <w:t xml:space="preserve"> </w:t>
      </w:r>
      <w:r w:rsidRPr="00232478">
        <w:t>For example:</w:t>
      </w:r>
    </w:p>
    <w:p w:rsidR="00FB0330" w:rsidRPr="00232478" w:rsidRDefault="00FB0330" w:rsidP="00FB0330">
      <w:pPr>
        <w:pStyle w:val="AERbulletlistfirststyle"/>
      </w:pPr>
      <w:r w:rsidRPr="00232478">
        <w:t>In determining forecast opex and capex that reasonably reflects the opex and capex criteria, we take into account the revenue and pricing pr</w:t>
      </w:r>
      <w:r>
        <w:t xml:space="preserve">inciple that we should provide </w:t>
      </w:r>
      <w:r w:rsidR="00704AD4">
        <w:t>Powercor</w:t>
      </w:r>
      <w:r>
        <w:t xml:space="preserve"> </w:t>
      </w:r>
      <w:r w:rsidRPr="00232478">
        <w:t xml:space="preserve">with a reasonable opportunity to recover at least efficient costs. </w:t>
      </w:r>
      <w:r>
        <w:t>(Refer to capex attachment 6 and opex attachment 7).</w:t>
      </w:r>
      <w:r w:rsidRPr="00232478">
        <w:t xml:space="preserve"> </w:t>
      </w:r>
    </w:p>
    <w:p w:rsidR="00FB0330" w:rsidRPr="00232478" w:rsidRDefault="00FB0330" w:rsidP="00FB0330">
      <w:pPr>
        <w:pStyle w:val="AERbulletlistfirststyle"/>
      </w:pPr>
      <w:r w:rsidRPr="00232478">
        <w:t xml:space="preserve">We take into account the economic costs and risks of the potential for under and over investment by a network service provider in our assessment of </w:t>
      </w:r>
      <w:r w:rsidR="00704AD4">
        <w:t>Powercor</w:t>
      </w:r>
      <w:r>
        <w:t>'</w:t>
      </w:r>
      <w:r w:rsidR="00704AD4">
        <w:t>s</w:t>
      </w:r>
      <w:r w:rsidRPr="00232478">
        <w:t xml:space="preserve"> forecast capital expenditure and operating expenditure proposals</w:t>
      </w:r>
      <w:r>
        <w:t>.</w:t>
      </w:r>
      <w:r w:rsidRPr="00232478">
        <w:t xml:space="preserve"> (Refer to capex attachment 6 and opex attachment 7).</w:t>
      </w:r>
    </w:p>
    <w:p w:rsidR="00FB0330" w:rsidRPr="00232478" w:rsidRDefault="00FB0330" w:rsidP="00FB0330">
      <w:pPr>
        <w:pStyle w:val="AERbulletlistfirststyle"/>
      </w:pPr>
      <w:r w:rsidRPr="00232478">
        <w:t>We consider the economic costs and risks of the potential for under and over utilisation of</w:t>
      </w:r>
      <w:r>
        <w:t xml:space="preserve"> </w:t>
      </w:r>
      <w:r w:rsidR="00704AD4">
        <w:t>Powercor</w:t>
      </w:r>
      <w:r>
        <w:t>'</w:t>
      </w:r>
      <w:r w:rsidR="00704AD4">
        <w:t>s</w:t>
      </w:r>
      <w:r>
        <w:t xml:space="preserve"> </w:t>
      </w:r>
      <w:r w:rsidRPr="00232478">
        <w:t xml:space="preserve">distribution system in our demand forecasting and augmentation determinations </w:t>
      </w:r>
      <w:r>
        <w:t>(Refer to capex attachment 6).</w:t>
      </w:r>
    </w:p>
    <w:p w:rsidR="00FB0330" w:rsidRPr="00232478" w:rsidRDefault="00FB0330" w:rsidP="00FB0330">
      <w:pPr>
        <w:pStyle w:val="AERbulletlistfirststyle"/>
      </w:pPr>
      <w:r w:rsidRPr="00232478">
        <w:t xml:space="preserve">Our </w:t>
      </w:r>
      <w:r w:rsidR="001C6558" w:rsidRPr="00232478">
        <w:t xml:space="preserve">application on the EBSS, CESS, STPIS and </w:t>
      </w:r>
      <w:r w:rsidR="001C6558">
        <w:t>DMIS</w:t>
      </w:r>
      <w:r w:rsidR="001C6558" w:rsidRPr="00232478">
        <w:t xml:space="preserve"> in this determination provides</w:t>
      </w:r>
      <w:r w:rsidRPr="00232478">
        <w:t xml:space="preserve"> </w:t>
      </w:r>
      <w:r w:rsidR="00704AD4">
        <w:t>Powercor</w:t>
      </w:r>
      <w:r w:rsidRPr="00232478">
        <w:t xml:space="preserve"> with effective incentives which we consider will promote economic efficiency with respect to the direct control services that </w:t>
      </w:r>
      <w:r w:rsidR="00704AD4">
        <w:t>Powercor</w:t>
      </w:r>
      <w:r>
        <w:t xml:space="preserve"> </w:t>
      </w:r>
      <w:r w:rsidRPr="00232478">
        <w:t xml:space="preserve">provides throughout the regulatory control period. </w:t>
      </w:r>
      <w:r>
        <w:t xml:space="preserve">(Refer to attachments 9, 10, 11 and 12). </w:t>
      </w:r>
    </w:p>
    <w:p w:rsidR="00FB0330" w:rsidRPr="00232478" w:rsidRDefault="00FB0330" w:rsidP="00FB0330">
      <w:pPr>
        <w:pStyle w:val="AERbulletlistfirststyle"/>
      </w:pPr>
      <w:r w:rsidRPr="00232478">
        <w:t>We have determined</w:t>
      </w:r>
      <w:r>
        <w:t xml:space="preserve"> </w:t>
      </w:r>
      <w:r w:rsidR="00704AD4">
        <w:t>Powercor</w:t>
      </w:r>
      <w:r>
        <w:t>'</w:t>
      </w:r>
      <w:r w:rsidR="00704AD4">
        <w:t>s</w:t>
      </w:r>
      <w:r w:rsidRPr="00232478">
        <w:t xml:space="preserve"> opening RAB taking into account the RAB adopted in the previous distribution determination. </w:t>
      </w:r>
      <w:r>
        <w:t>(Refer to attachment 2, regulatory asset base).</w:t>
      </w:r>
    </w:p>
    <w:p w:rsidR="00FB0330" w:rsidRPr="00232478" w:rsidRDefault="00FB0330" w:rsidP="00FB0330">
      <w:pPr>
        <w:pStyle w:val="AERbulletlistfirststyle"/>
      </w:pPr>
      <w:r w:rsidRPr="00232478">
        <w:t xml:space="preserve">The allowed rate of return objective reflects the revenue and pricing principle in s.7A(5). We have determined a rate of return that we consider will </w:t>
      </w:r>
      <w:r>
        <w:t xml:space="preserve">provide </w:t>
      </w:r>
      <w:r w:rsidR="00704AD4">
        <w:t>Powercor</w:t>
      </w:r>
      <w:r>
        <w:t xml:space="preserve"> </w:t>
      </w:r>
      <w:r w:rsidRPr="00232478">
        <w:t xml:space="preserve">with a return commensurate with the regulatory and commercial risks involved in providing direct control services. </w:t>
      </w:r>
      <w:r>
        <w:t>(Refer to attachment 3, rate of return).</w:t>
      </w:r>
    </w:p>
    <w:p w:rsidR="00FB0330" w:rsidRPr="00232478" w:rsidRDefault="00FB0330" w:rsidP="00FB0330">
      <w:pPr>
        <w:pStyle w:val="AERbulletlistfirststyle"/>
      </w:pPr>
      <w:r w:rsidRPr="00232478">
        <w:t xml:space="preserve">Our financing determinations provide the </w:t>
      </w:r>
      <w:r w:rsidRPr="007A162D">
        <w:t>d</w:t>
      </w:r>
      <w:r w:rsidRPr="0090632E">
        <w:t xml:space="preserve">istributor </w:t>
      </w:r>
      <w:r w:rsidRPr="00E87134">
        <w:t>with a reasonable opportunity to recover</w:t>
      </w:r>
      <w:r w:rsidRPr="00232478">
        <w:t xml:space="preserve"> at least the efficient costs of accessing debt and capital. (Refer to attachment 3, rate of return).</w:t>
      </w:r>
    </w:p>
    <w:p w:rsidR="00842A93" w:rsidRPr="001B46C8" w:rsidRDefault="00842A93" w:rsidP="00842A93">
      <w:pPr>
        <w:rPr>
          <w:rStyle w:val="AERbody"/>
        </w:rPr>
      </w:pPr>
      <w:r w:rsidRPr="001B46C8">
        <w:rPr>
          <w:rStyle w:val="AERbody"/>
        </w:rPr>
        <w:lastRenderedPageBreak/>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842A93" w:rsidRPr="001B46C8" w:rsidRDefault="00842A93" w:rsidP="00842A93">
      <w:pPr>
        <w:pStyle w:val="AERbulletlistfirststyle"/>
        <w:rPr>
          <w:rStyle w:val="AERbody"/>
        </w:rPr>
      </w:pPr>
      <w:r w:rsidRPr="001B46C8">
        <w:rPr>
          <w:rStyle w:val="AERbody"/>
        </w:rPr>
        <w:t>selecting at the top of the range for the equity beta</w:t>
      </w:r>
    </w:p>
    <w:p w:rsidR="00842A93" w:rsidRPr="001B46C8" w:rsidRDefault="00842A93" w:rsidP="00842A93">
      <w:pPr>
        <w:pStyle w:val="AERbulletlistfirststyle"/>
        <w:rPr>
          <w:rStyle w:val="AERbody"/>
        </w:rPr>
      </w:pPr>
      <w:r w:rsidRPr="001B46C8">
        <w:rPr>
          <w:rStyle w:val="AERbody"/>
        </w:rPr>
        <w:t>setting the return on debt by reference to data for a BBB broad band credit rating, when the benchmark is BBB+</w:t>
      </w:r>
    </w:p>
    <w:p w:rsidR="00842A93" w:rsidRPr="001B46C8" w:rsidRDefault="00842A93" w:rsidP="00842A93">
      <w:pPr>
        <w:pStyle w:val="AERbulletlistfirststyle"/>
        <w:rPr>
          <w:rStyle w:val="AERbody"/>
        </w:rPr>
      </w:pPr>
      <w:r w:rsidRPr="001B46C8">
        <w:rPr>
          <w:rStyle w:val="AERbody"/>
        </w:rPr>
        <w:t xml:space="preserve">the cash flow timing assumptions in the post-tax revenue model. </w:t>
      </w:r>
    </w:p>
    <w:p w:rsidR="00842A93" w:rsidRDefault="00842A93" w:rsidP="00842A93">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t</w:t>
      </w:r>
      <w:r w:rsidRPr="00A34B93">
        <w:t>he AER is also conscious of the risk of introducing an inherent bias towards higher amounts where estimates throughout the different components of the determination are each set too conservatively.</w:t>
      </w:r>
      <w:r>
        <w:rPr>
          <w:rStyle w:val="FootnoteReference"/>
        </w:rPr>
        <w:footnoteReference w:id="67"/>
      </w:r>
      <w:r w:rsidRPr="00A34B93">
        <w:t xml:space="preserve"> The legislative framework recognises the complexity of this task by providing the AER with significant discretion in many aspects of the decision-making process to make judgements on these matters.</w:t>
      </w:r>
    </w:p>
    <w:p w:rsidR="00FB0330" w:rsidRDefault="00FB0330" w:rsidP="00FB0330">
      <w:pPr>
        <w:pStyle w:val="AERbulletlistfirststyle"/>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68"/>
      </w:r>
      <w:r>
        <w:t xml:space="preserve"> </w:t>
      </w:r>
    </w:p>
    <w:p w:rsidR="00FB0330" w:rsidRDefault="00FB0330" w:rsidP="00FB0330">
      <w:pPr>
        <w:pStyle w:val="Heading2"/>
        <w:ind w:left="680" w:hanging="680"/>
      </w:pPr>
      <w:bookmarkStart w:id="131" w:name="_Toc433125935"/>
      <w:bookmarkStart w:id="132" w:name="_Toc433786817"/>
      <w:r>
        <w:t>Achieving the NEO to the greatest degree</w:t>
      </w:r>
      <w:bookmarkEnd w:id="131"/>
      <w:bookmarkEnd w:id="132"/>
    </w:p>
    <w:p w:rsidR="00FB0330" w:rsidRPr="00A34B93" w:rsidRDefault="00FB0330" w:rsidP="00FB0330">
      <w:r w:rsidRPr="00A34B93">
        <w:t>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w:t>
      </w:r>
      <w:r w:rsidR="00842A93" w:rsidRPr="00842A93">
        <w:t xml:space="preserve"> </w:t>
      </w:r>
      <w:r w:rsidR="00842A93">
        <w:t>plausible</w:t>
      </w:r>
      <w:r w:rsidRPr="00A34B93">
        <w:t xml:space="preserve"> point estimates. </w:t>
      </w:r>
    </w:p>
    <w:p w:rsidR="00FB0330" w:rsidRPr="00A34B93" w:rsidRDefault="00FB0330" w:rsidP="00FB0330">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w:t>
      </w:r>
      <w:r w:rsidRPr="00A34B93">
        <w:lastRenderedPageBreak/>
        <w:t xml:space="preserve">make an overall decision that we are satisfied contributes to the achievement of the NEO to the </w:t>
      </w:r>
      <w:r w:rsidRPr="00A34B93">
        <w:rPr>
          <w:rStyle w:val="AERtextitalic"/>
        </w:rPr>
        <w:t>greatest</w:t>
      </w:r>
      <w:r w:rsidRPr="00A34B93">
        <w:t xml:space="preserve"> degree.</w:t>
      </w:r>
      <w:r>
        <w:rPr>
          <w:rStyle w:val="FootnoteReference"/>
        </w:rPr>
        <w:footnoteReference w:id="69"/>
      </w:r>
      <w:r w:rsidRPr="00A34B93">
        <w:t xml:space="preserve"> </w:t>
      </w:r>
    </w:p>
    <w:p w:rsidR="00FB0330" w:rsidRPr="00A34B93" w:rsidRDefault="00FB0330" w:rsidP="00FB0330">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1E70CF" w:rsidRPr="00A34B93" w:rsidRDefault="001E70CF" w:rsidP="001E70CF">
      <w:r w:rsidRPr="00A34B93">
        <w:t>Also, in coming to this</w:t>
      </w:r>
      <w:r>
        <w:t xml:space="preserve"> preliminary</w:t>
      </w:r>
      <w:r w:rsidRPr="00A34B93">
        <w:t xml:space="preserve"> decision we have considered </w:t>
      </w:r>
      <w:r>
        <w:t>Powercor’s regulatory proposal</w:t>
      </w:r>
      <w:r w:rsidRPr="00A34B93">
        <w:t xml:space="preserve">. We have examined each of the building block components of the proposal and the incentive mechanisms </w:t>
      </w:r>
      <w:r w:rsidR="00842A93">
        <w:t>that</w:t>
      </w:r>
      <w:r w:rsidR="00842A93" w:rsidRPr="00A34B93">
        <w:t xml:space="preserve"> </w:t>
      </w:r>
      <w:r w:rsidRPr="00A34B93">
        <w:t xml:space="preserve">would apply across the next regulatory control period. We have considered the submissions we received in regard to </w:t>
      </w:r>
      <w:r>
        <w:t>Powercor’s proposal</w:t>
      </w:r>
      <w:r w:rsidRPr="00A34B93">
        <w:t xml:space="preserve">. We have conducted our own analysis and engaged expert consultant to help us better understand if and how </w:t>
      </w:r>
      <w:r>
        <w:t xml:space="preserve">Powercor’s </w:t>
      </w:r>
      <w:r w:rsidRPr="00A34B93">
        <w:t xml:space="preserve">proposal contribute to the achievement the NEO. We have also considered how our constituent decisions relate to each other, the impact that particular constituent decisions have on other constituent components of our decision, and have described these interrelationships in this </w:t>
      </w:r>
      <w:r>
        <w:t>preliminary</w:t>
      </w:r>
      <w:r w:rsidRPr="00A34B93">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preliminary</w:t>
      </w:r>
      <w:r w:rsidRPr="00A34B93">
        <w:t xml:space="preserve"> decision. </w:t>
      </w:r>
    </w:p>
    <w:p w:rsidR="001E70CF" w:rsidRPr="00A34B93" w:rsidRDefault="001E70CF" w:rsidP="001E70CF">
      <w:r w:rsidRPr="00A34B93">
        <w:t>Therefore, we are satisfied that among the options before us</w:t>
      </w:r>
      <w:r>
        <w:t>,</w:t>
      </w:r>
      <w:r w:rsidRPr="00A34B93">
        <w:t xml:space="preserve"> our </w:t>
      </w:r>
      <w:r>
        <w:t>preliminary</w:t>
      </w:r>
      <w:r w:rsidRPr="00A34B93">
        <w:t xml:space="preserve"> decision on </w:t>
      </w:r>
      <w:r>
        <w:t>Powercor’s</w:t>
      </w:r>
      <w:r w:rsidRPr="00A34B93">
        <w:t xml:space="preserve"> distribution determination for </w:t>
      </w:r>
      <w:r>
        <w:t xml:space="preserve">the 2016–20 regulatory control period </w:t>
      </w:r>
      <w:r w:rsidRPr="00A34B93">
        <w:t>contributes to the achieving the NEO to the greatest degree.</w:t>
      </w:r>
    </w:p>
    <w:p w:rsidR="00FB0330" w:rsidRPr="00A34B93" w:rsidRDefault="00FB0330" w:rsidP="00FB0330">
      <w:pPr>
        <w:pStyle w:val="Heading3"/>
        <w:ind w:left="1021" w:hanging="1021"/>
      </w:pPr>
      <w:bookmarkStart w:id="133" w:name="_Toc432081958"/>
      <w:bookmarkStart w:id="134" w:name="_Toc430336810"/>
      <w:bookmarkStart w:id="135" w:name="_Toc433123387"/>
      <w:bookmarkStart w:id="136" w:name="_Toc433125936"/>
      <w:bookmarkStart w:id="137" w:name="_Toc433786818"/>
      <w:bookmarkEnd w:id="133"/>
      <w:bookmarkEnd w:id="134"/>
      <w:r w:rsidRPr="00A34B93">
        <w:t>Interrelationships between constituent components</w:t>
      </w:r>
      <w:bookmarkEnd w:id="135"/>
      <w:bookmarkEnd w:id="136"/>
      <w:bookmarkEnd w:id="137"/>
    </w:p>
    <w:p w:rsidR="00FB0330" w:rsidRPr="00A34B93" w:rsidRDefault="00FB0330" w:rsidP="00FB0330">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70"/>
      </w:r>
      <w:r w:rsidRPr="00A34B93">
        <w:t xml:space="preserve"> Interrelationships can take various forms, including:</w:t>
      </w:r>
    </w:p>
    <w:p w:rsidR="00FB0330" w:rsidRPr="00A34B93" w:rsidRDefault="00FB0330" w:rsidP="00FB0330">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FB0330" w:rsidRPr="00A34B93" w:rsidRDefault="00FB0330" w:rsidP="00FB0330">
      <w:pPr>
        <w:pStyle w:val="AERbulletlistfirststyle"/>
      </w:pPr>
      <w:r w:rsidRPr="00A34B93">
        <w:t xml:space="preserve">direct mathematical links between different components of a decision. For example, the level of gamma has an impact on the appropriate tax allowance; the benchmark </w:t>
      </w:r>
      <w:r w:rsidRPr="00A34B93">
        <w:lastRenderedPageBreak/>
        <w:t>efficient entity's debt to equity ratio has a direct effect on the cost of equity, the cost of debt, and the overall vanilla rate of return (see attachments 3, 4 and 8).</w:t>
      </w:r>
    </w:p>
    <w:p w:rsidR="00FB0330" w:rsidRPr="00A34B93" w:rsidRDefault="00FB0330" w:rsidP="00FB0330">
      <w:pPr>
        <w:pStyle w:val="AERbulletlistfirststyle"/>
      </w:pPr>
      <w:r w:rsidRPr="00A34B93">
        <w:t>trade-offs between different components of revenue. For example, undertaking a particular capex project may affect the need for opex or vice versa (see attachments 6 and 7).</w:t>
      </w:r>
    </w:p>
    <w:p w:rsidR="00FB0330" w:rsidRPr="00A34B93" w:rsidRDefault="00FB0330" w:rsidP="00FB0330">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FB0330" w:rsidRPr="00A34B93" w:rsidRDefault="00FB0330" w:rsidP="00FB0330">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F756EC" w:rsidRDefault="00FB0330" w:rsidP="00FB0330">
      <w:r w:rsidRPr="00A34B93">
        <w:t xml:space="preserve">We have considered interrelationships, including those above, in our analysis of the constituent components of our </w:t>
      </w:r>
      <w:r w:rsidR="00571800">
        <w:t>preliminary</w:t>
      </w:r>
      <w:r w:rsidR="00571800" w:rsidRPr="00A34B93">
        <w:t xml:space="preserve"> </w:t>
      </w:r>
      <w:r w:rsidRPr="00A34B93">
        <w:t>decision. These considerations are explor</w:t>
      </w:r>
      <w:r w:rsidR="00F756EC">
        <w:t>ed in the relevant attachments.</w:t>
      </w:r>
    </w:p>
    <w:p w:rsidR="002F3C7B" w:rsidRDefault="002F3C7B" w:rsidP="002F3C7B">
      <w:pPr>
        <w:pStyle w:val="Heading1"/>
        <w:ind w:left="680" w:hanging="680"/>
      </w:pPr>
      <w:bookmarkStart w:id="138" w:name="_Toc428354990"/>
      <w:bookmarkStart w:id="139" w:name="_Toc428956732"/>
      <w:bookmarkStart w:id="140" w:name="_Toc433786819"/>
      <w:r>
        <w:lastRenderedPageBreak/>
        <w:t>Consultation</w:t>
      </w:r>
      <w:bookmarkEnd w:id="138"/>
      <w:bookmarkEnd w:id="139"/>
      <w:bookmarkEnd w:id="140"/>
    </w:p>
    <w:p w:rsidR="00842A93" w:rsidRDefault="00842A93" w:rsidP="00842A93">
      <w:pPr>
        <w:rPr>
          <w:rStyle w:val="AERbody"/>
        </w:rPr>
      </w:pPr>
      <w:bookmarkStart w:id="141" w:name="_Toc428354991"/>
      <w:bookmarkStart w:id="142" w:name="_Toc428956733"/>
      <w:bookmarkStart w:id="143" w:name="_Toc428964616"/>
      <w:bookmarkStart w:id="144" w:name="_Toc429039140"/>
      <w:bookmarkStart w:id="145" w:name="_Toc428354993"/>
      <w:bookmarkStart w:id="146" w:name="_Toc428956735"/>
      <w:r w:rsidRPr="007F7D9B">
        <w:rPr>
          <w:rStyle w:val="AERbody"/>
        </w:rPr>
        <w:t xml:space="preserve">Stakeholder participation is important to informed decision making under the NEL and NER. It allows us to take a range of views into account when considering how a proposal or decision contributes to the NEO. </w:t>
      </w:r>
      <w:r>
        <w:rPr>
          <w:rStyle w:val="AERbody"/>
        </w:rPr>
        <w:t>Effective c</w:t>
      </w:r>
      <w:r w:rsidRPr="006A7CAA">
        <w:rPr>
          <w:rStyle w:val="AERbody"/>
        </w:rPr>
        <w:t>onsultation and engagement provide confidence in our processes and are good regulatory practice.</w:t>
      </w:r>
    </w:p>
    <w:p w:rsidR="00842A93" w:rsidRDefault="00842A93" w:rsidP="00842A93">
      <w:pPr>
        <w:rPr>
          <w:rStyle w:val="AERbody"/>
        </w:rPr>
      </w:pPr>
      <w:r>
        <w:rPr>
          <w:rStyle w:val="AERbody"/>
        </w:rPr>
        <w:t xml:space="preserve">We have undertaken extensive consultation in developing this preliminary decision. Also, the NER require us to take account of network businesses’ consultation with their customers in our consideration of their proposals. This requirement is part of recent reforms that support consumer involvement in the regulatory process </w:t>
      </w:r>
      <w:r>
        <w:t>(section 6.2).</w:t>
      </w:r>
    </w:p>
    <w:p w:rsidR="00842A93" w:rsidRPr="0004255F" w:rsidRDefault="00842A93" w:rsidP="00842A93">
      <w:pPr>
        <w:pStyle w:val="Heading2"/>
      </w:pPr>
      <w:bookmarkStart w:id="147" w:name="_Toc433194665"/>
      <w:bookmarkStart w:id="148" w:name="_Toc433786820"/>
      <w:r>
        <w:t>Our consultation process</w:t>
      </w:r>
      <w:bookmarkEnd w:id="141"/>
      <w:bookmarkEnd w:id="142"/>
      <w:bookmarkEnd w:id="143"/>
      <w:bookmarkEnd w:id="144"/>
      <w:bookmarkEnd w:id="147"/>
      <w:bookmarkEnd w:id="148"/>
    </w:p>
    <w:p w:rsidR="00842A93" w:rsidRDefault="00842A93" w:rsidP="00842A93">
      <w:r>
        <w:t xml:space="preserve">In developing this preliminary decision we have considered </w:t>
      </w:r>
      <w:r w:rsidRPr="00922B98">
        <w:t>views presented to us by all stakeholders</w:t>
      </w:r>
      <w:r>
        <w:t>. We also received advice from expert consultants and our Consumer Challenge Panel.</w:t>
      </w:r>
    </w:p>
    <w:p w:rsidR="00842A93" w:rsidRPr="00922B98" w:rsidRDefault="00842A93" w:rsidP="00842A93">
      <w:pPr>
        <w:rPr>
          <w:rStyle w:val="AERbody"/>
        </w:rPr>
      </w:pPr>
      <w:r w:rsidRPr="003E09AF">
        <w:rPr>
          <w:rStyle w:val="AERbody"/>
        </w:rPr>
        <w:t xml:space="preserve">The </w:t>
      </w:r>
      <w:r>
        <w:rPr>
          <w:rStyle w:val="AERbody"/>
        </w:rPr>
        <w:t>NER</w:t>
      </w:r>
      <w:r w:rsidRPr="00922B98">
        <w:rPr>
          <w:rStyle w:val="AERbody"/>
        </w:rPr>
        <w:t xml:space="preserve"> </w:t>
      </w:r>
      <w:r>
        <w:rPr>
          <w:rStyle w:val="AERbody"/>
        </w:rPr>
        <w:t>sets out</w:t>
      </w:r>
      <w:r w:rsidRPr="00922B98">
        <w:rPr>
          <w:rStyle w:val="AERbody"/>
        </w:rPr>
        <w:t xml:space="preserve"> a process for both consultation on our decisions and publication of information that will inform those decisions. Under the transitional rules</w:t>
      </w:r>
      <w:r>
        <w:rPr>
          <w:rStyle w:val="AERbody"/>
        </w:rPr>
        <w:t xml:space="preserve"> for this decision</w:t>
      </w:r>
      <w:r w:rsidRPr="00922B98">
        <w:rPr>
          <w:rStyle w:val="AERbody"/>
        </w:rPr>
        <w:t xml:space="preserve">, </w:t>
      </w:r>
      <w:r>
        <w:rPr>
          <w:rStyle w:val="AERbody"/>
        </w:rPr>
        <w:t>we</w:t>
      </w:r>
      <w:r w:rsidR="00CE21D3">
        <w:rPr>
          <w:rStyle w:val="AERbody"/>
        </w:rPr>
        <w:t xml:space="preserve"> must</w:t>
      </w:r>
      <w:r w:rsidRPr="00922B98">
        <w:rPr>
          <w:rStyle w:val="AERbody"/>
        </w:rPr>
        <w:t>:</w:t>
      </w:r>
    </w:p>
    <w:p w:rsidR="00B35BE8" w:rsidRPr="00D81B44" w:rsidRDefault="00B35BE8" w:rsidP="00B35BE8">
      <w:pPr>
        <w:pStyle w:val="AERbulletlistfirststyle"/>
        <w:rPr>
          <w:rStyle w:val="AERbody"/>
        </w:rPr>
      </w:pPr>
      <w:r w:rsidRPr="00D81B44">
        <w:rPr>
          <w:rStyle w:val="AERbody"/>
        </w:rPr>
        <w:t>publish the regulatory proposal</w:t>
      </w:r>
      <w:r w:rsidR="00CE21D3">
        <w:rPr>
          <w:rStyle w:val="AERbody"/>
        </w:rPr>
        <w:t>s</w:t>
      </w:r>
      <w:r w:rsidRPr="00D81B44">
        <w:rPr>
          <w:rStyle w:val="AERbody"/>
        </w:rPr>
        <w:t xml:space="preserve"> and any supporting material</w:t>
      </w:r>
    </w:p>
    <w:p w:rsidR="00B35BE8" w:rsidRPr="00D81B44" w:rsidRDefault="00B35BE8" w:rsidP="00B35BE8">
      <w:pPr>
        <w:pStyle w:val="AERbulletlistfirststyle"/>
        <w:rPr>
          <w:rStyle w:val="AERbody"/>
        </w:rPr>
      </w:pPr>
      <w:r>
        <w:rPr>
          <w:rStyle w:val="AERbody"/>
        </w:rPr>
        <w:t>invite</w:t>
      </w:r>
      <w:r w:rsidRPr="00D81B44">
        <w:rPr>
          <w:rStyle w:val="AERbody"/>
        </w:rPr>
        <w:t xml:space="preserve"> written submissions</w:t>
      </w:r>
      <w:r>
        <w:rPr>
          <w:rStyle w:val="AERbody"/>
        </w:rPr>
        <w:t xml:space="preserve"> on the regulatory proposals </w:t>
      </w:r>
    </w:p>
    <w:p w:rsidR="00B35BE8" w:rsidRPr="00D81B44" w:rsidRDefault="00B35BE8" w:rsidP="00B35BE8">
      <w:pPr>
        <w:pStyle w:val="AERbulletlistfirststyle"/>
        <w:rPr>
          <w:rStyle w:val="AERbody"/>
        </w:rPr>
      </w:pPr>
      <w:r w:rsidRPr="00D81B44">
        <w:rPr>
          <w:rStyle w:val="AERbody"/>
        </w:rPr>
        <w:t xml:space="preserve">hold a public forum on the </w:t>
      </w:r>
      <w:r>
        <w:rPr>
          <w:rStyle w:val="AERbody"/>
        </w:rPr>
        <w:t>regulatory proposals</w:t>
      </w:r>
    </w:p>
    <w:p w:rsidR="00B35BE8" w:rsidRPr="00D81B44" w:rsidRDefault="00B35BE8" w:rsidP="00B35BE8">
      <w:pPr>
        <w:pStyle w:val="AERbulletlistfirststyle"/>
        <w:rPr>
          <w:rStyle w:val="AERbody"/>
        </w:rPr>
      </w:pPr>
      <w:r w:rsidRPr="00D81B44">
        <w:rPr>
          <w:rStyle w:val="AERbody"/>
        </w:rPr>
        <w:t xml:space="preserve">publish a </w:t>
      </w:r>
      <w:r w:rsidR="0099349D">
        <w:rPr>
          <w:rStyle w:val="AERbody"/>
        </w:rPr>
        <w:t>p</w:t>
      </w:r>
      <w:r>
        <w:rPr>
          <w:rStyle w:val="AERbody"/>
        </w:rPr>
        <w:t xml:space="preserve">reliminary determination </w:t>
      </w:r>
      <w:r w:rsidRPr="00D81B44">
        <w:rPr>
          <w:rStyle w:val="AERbody"/>
        </w:rPr>
        <w:t>and reasoning</w:t>
      </w:r>
    </w:p>
    <w:p w:rsidR="00B35BE8" w:rsidRPr="00D81B44" w:rsidRDefault="00B35BE8" w:rsidP="00B35BE8">
      <w:pPr>
        <w:pStyle w:val="AERbulletlistfirststyle"/>
        <w:rPr>
          <w:rStyle w:val="AERbody"/>
        </w:rPr>
      </w:pPr>
      <w:r>
        <w:rPr>
          <w:rStyle w:val="AERbody"/>
        </w:rPr>
        <w:t>invite</w:t>
      </w:r>
      <w:r w:rsidRPr="00D81B44">
        <w:rPr>
          <w:rStyle w:val="AERbody"/>
        </w:rPr>
        <w:t xml:space="preserve"> written submissions</w:t>
      </w:r>
      <w:r w:rsidR="0099349D">
        <w:rPr>
          <w:rStyle w:val="AERbody"/>
        </w:rPr>
        <w:t xml:space="preserve"> on the p</w:t>
      </w:r>
      <w:r>
        <w:rPr>
          <w:rStyle w:val="AERbody"/>
        </w:rPr>
        <w:t>reliminary determination</w:t>
      </w:r>
    </w:p>
    <w:p w:rsidR="00B35BE8" w:rsidRDefault="00B35BE8" w:rsidP="00B35BE8">
      <w:pPr>
        <w:pStyle w:val="AERbulletlistfirststyle"/>
        <w:rPr>
          <w:rStyle w:val="AERbody"/>
        </w:rPr>
      </w:pPr>
      <w:r w:rsidRPr="00D81B44">
        <w:rPr>
          <w:rStyle w:val="AERbody"/>
        </w:rPr>
        <w:t xml:space="preserve">publish </w:t>
      </w:r>
      <w:r>
        <w:rPr>
          <w:rStyle w:val="AERbody"/>
        </w:rPr>
        <w:t xml:space="preserve">a </w:t>
      </w:r>
      <w:r w:rsidRPr="00D81B44">
        <w:rPr>
          <w:rStyle w:val="AERbody"/>
        </w:rPr>
        <w:t xml:space="preserve">final </w:t>
      </w:r>
      <w:r>
        <w:rPr>
          <w:rStyle w:val="AERbody"/>
        </w:rPr>
        <w:t>determination</w:t>
      </w:r>
      <w:r w:rsidRPr="00D81B44">
        <w:rPr>
          <w:rStyle w:val="AERbody"/>
        </w:rPr>
        <w:t xml:space="preserve"> and reasoning</w:t>
      </w:r>
      <w:r>
        <w:rPr>
          <w:rStyle w:val="AERbody"/>
        </w:rPr>
        <w:t>.</w:t>
      </w:r>
    </w:p>
    <w:p w:rsidR="00B35BE8" w:rsidRDefault="0099349D" w:rsidP="00B35BE8">
      <w:pPr>
        <w:rPr>
          <w:rStyle w:val="AERbody"/>
        </w:rPr>
      </w:pPr>
      <w:r>
        <w:t>In developing this p</w:t>
      </w:r>
      <w:r w:rsidR="00B35BE8">
        <w:t>reliminary decision, in addition to the above steps in the consultation process, we:</w:t>
      </w:r>
    </w:p>
    <w:p w:rsidR="00B35BE8" w:rsidRDefault="00B35BE8" w:rsidP="00B35BE8">
      <w:pPr>
        <w:pStyle w:val="AERbulletlistfirststyle"/>
        <w:rPr>
          <w:rStyle w:val="AERbody"/>
        </w:rPr>
      </w:pPr>
      <w:r w:rsidRPr="00D81B44">
        <w:rPr>
          <w:rStyle w:val="AERbody"/>
        </w:rPr>
        <w:t>publish</w:t>
      </w:r>
      <w:r>
        <w:rPr>
          <w:rStyle w:val="AERbody"/>
        </w:rPr>
        <w:t>ed an issues paper</w:t>
      </w:r>
    </w:p>
    <w:p w:rsidR="00B35BE8" w:rsidRDefault="00B35BE8" w:rsidP="00B35BE8">
      <w:pPr>
        <w:pStyle w:val="AERbulletlistfirststyle"/>
        <w:rPr>
          <w:rStyle w:val="AERbody"/>
        </w:rPr>
      </w:pPr>
      <w:r>
        <w:rPr>
          <w:rStyle w:val="AERbody"/>
        </w:rPr>
        <w:t>published a consumer guide on this process and our assessment approach</w:t>
      </w:r>
    </w:p>
    <w:p w:rsidR="00B35BE8" w:rsidRDefault="00B35BE8" w:rsidP="00B35BE8">
      <w:pPr>
        <w:pStyle w:val="AERbulletlistfirststyle"/>
        <w:rPr>
          <w:rStyle w:val="AERbody"/>
        </w:rPr>
      </w:pPr>
      <w:r>
        <w:rPr>
          <w:rStyle w:val="AERbody"/>
        </w:rPr>
        <w:t>sought advice from the AER's Consumer Challenge Panel</w:t>
      </w:r>
    </w:p>
    <w:p w:rsidR="00B35BE8" w:rsidRDefault="00B35BE8" w:rsidP="00B35BE8">
      <w:pPr>
        <w:pStyle w:val="AERbulletlistfirststyle"/>
        <w:rPr>
          <w:rStyle w:val="AERbody"/>
        </w:rPr>
      </w:pPr>
      <w:r>
        <w:rPr>
          <w:rStyle w:val="AERbody"/>
        </w:rPr>
        <w:t xml:space="preserve">held meetings with the Victorian </w:t>
      </w:r>
      <w:r w:rsidRPr="001D20EF">
        <w:rPr>
          <w:rStyle w:val="AERbody"/>
        </w:rPr>
        <w:t>consultative group</w:t>
      </w:r>
      <w:r>
        <w:rPr>
          <w:rStyle w:val="AERbody"/>
        </w:rPr>
        <w:t>, which includes Victorian consumer representatives, among others</w:t>
      </w:r>
    </w:p>
    <w:p w:rsidR="00B35BE8" w:rsidRDefault="00B35BE8" w:rsidP="00B35BE8">
      <w:pPr>
        <w:pStyle w:val="AERbulletlistfirststyle"/>
        <w:rPr>
          <w:rStyle w:val="AERbody"/>
        </w:rPr>
      </w:pPr>
      <w:r>
        <w:rPr>
          <w:rStyle w:val="AERbody"/>
        </w:rPr>
        <w:t xml:space="preserve">held training sessions on the building block model for members of the Victorian </w:t>
      </w:r>
      <w:r w:rsidRPr="001D20EF">
        <w:rPr>
          <w:rStyle w:val="AERbody"/>
        </w:rPr>
        <w:t>consultative group</w:t>
      </w:r>
      <w:r>
        <w:rPr>
          <w:rStyle w:val="AERbody"/>
        </w:rPr>
        <w:t xml:space="preserve"> and some other stakeholders</w:t>
      </w:r>
    </w:p>
    <w:p w:rsidR="00B35BE8" w:rsidRDefault="00B35BE8" w:rsidP="00B35BE8">
      <w:pPr>
        <w:pStyle w:val="AERbulletlistfirststyle"/>
        <w:rPr>
          <w:rStyle w:val="AERbody"/>
        </w:rPr>
      </w:pPr>
      <w:r>
        <w:rPr>
          <w:rStyle w:val="AERbody"/>
        </w:rPr>
        <w:t xml:space="preserve">held a workshop on demand management with members of the Victorian </w:t>
      </w:r>
      <w:r w:rsidRPr="001D20EF">
        <w:rPr>
          <w:rStyle w:val="AERbody"/>
        </w:rPr>
        <w:t>consultative group</w:t>
      </w:r>
      <w:r>
        <w:rPr>
          <w:rStyle w:val="AERbody"/>
        </w:rPr>
        <w:t xml:space="preserve"> and the distribution businesses</w:t>
      </w:r>
    </w:p>
    <w:p w:rsidR="00B35BE8" w:rsidRDefault="00B35BE8" w:rsidP="00B35BE8">
      <w:pPr>
        <w:pStyle w:val="AERbulletlistfirststyle"/>
        <w:rPr>
          <w:rStyle w:val="AERbody"/>
        </w:rPr>
      </w:pPr>
      <w:r>
        <w:rPr>
          <w:rStyle w:val="AERbody"/>
        </w:rPr>
        <w:t>held a workshop on demand forecasts with AEMO and the distribution businesses</w:t>
      </w:r>
    </w:p>
    <w:p w:rsidR="00B35BE8" w:rsidRDefault="00B35BE8" w:rsidP="00B35BE8">
      <w:pPr>
        <w:pStyle w:val="AERbulletlistfirststyle"/>
        <w:rPr>
          <w:rStyle w:val="AERbody"/>
        </w:rPr>
      </w:pPr>
      <w:r>
        <w:rPr>
          <w:rStyle w:val="AERbody"/>
        </w:rPr>
        <w:lastRenderedPageBreak/>
        <w:t>held meetings with the distribution businesses on various elements of their regulatory proposals</w:t>
      </w:r>
    </w:p>
    <w:p w:rsidR="00B35BE8" w:rsidRDefault="00B35BE8" w:rsidP="00B35BE8">
      <w:pPr>
        <w:pStyle w:val="AERbulletlistfirststyle"/>
        <w:rPr>
          <w:rStyle w:val="AERbody"/>
        </w:rPr>
      </w:pPr>
      <w:r>
        <w:rPr>
          <w:rStyle w:val="AERbody"/>
        </w:rPr>
        <w:t xml:space="preserve">sought </w:t>
      </w:r>
      <w:r w:rsidRPr="00922B98">
        <w:rPr>
          <w:rStyle w:val="AERbody"/>
        </w:rPr>
        <w:t xml:space="preserve">further information </w:t>
      </w:r>
      <w:r>
        <w:rPr>
          <w:rStyle w:val="AERbody"/>
        </w:rPr>
        <w:t xml:space="preserve">from the distribution businesses about the regulatory proposals </w:t>
      </w:r>
      <w:r w:rsidRPr="00922B98">
        <w:rPr>
          <w:rStyle w:val="AERbody"/>
        </w:rPr>
        <w:t xml:space="preserve">when questions </w:t>
      </w:r>
      <w:r>
        <w:rPr>
          <w:rStyle w:val="AERbody"/>
        </w:rPr>
        <w:t xml:space="preserve">arose, </w:t>
      </w:r>
      <w:r w:rsidRPr="00922B98">
        <w:rPr>
          <w:rStyle w:val="AERbody"/>
        </w:rPr>
        <w:t>including through information requests</w:t>
      </w:r>
      <w:r>
        <w:rPr>
          <w:rStyle w:val="AERbody"/>
        </w:rPr>
        <w:t>.</w:t>
      </w:r>
    </w:p>
    <w:p w:rsidR="00DF6C8C" w:rsidRPr="00276DDF" w:rsidRDefault="00DF6C8C" w:rsidP="00DF6C8C">
      <w:bookmarkStart w:id="149" w:name="_Toc431888173"/>
      <w:r>
        <w:t xml:space="preserve">This process builds on the consultation we undertook with a broad range of stakeholders as part of the Better Regulation program. </w:t>
      </w:r>
      <w:r w:rsidRPr="00276DDF">
        <w:t>Following the 2012 changes to the NER,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Pr="00276DDF">
        <w:rPr>
          <w:rStyle w:val="FootnoteReference"/>
        </w:rPr>
        <w:footnoteReference w:id="71"/>
      </w:r>
      <w:r w:rsidRPr="00276DDF">
        <w:t xml:space="preserve"> </w:t>
      </w:r>
    </w:p>
    <w:p w:rsidR="00DF6C8C" w:rsidRPr="00276DDF" w:rsidRDefault="00DF6C8C" w:rsidP="00DF6C8C">
      <w:pPr>
        <w:numPr>
          <w:ilvl w:val="0"/>
          <w:numId w:val="24"/>
        </w:numPr>
      </w:pPr>
      <w:r>
        <w:t xml:space="preserve">This </w:t>
      </w:r>
      <w:r w:rsidRPr="00276DDF">
        <w:t xml:space="preserve">gives us confidence the approaches set out in </w:t>
      </w:r>
      <w:r>
        <w:t>our various g</w:t>
      </w:r>
      <w:r w:rsidRPr="00276DDF">
        <w:t xml:space="preserve">uidelines, which we have applied in this decision, will result in </w:t>
      </w:r>
      <w:r>
        <w:t>outcomes</w:t>
      </w:r>
      <w:r w:rsidRPr="00276DDF">
        <w:t xml:space="preserve"> that will or are likely to contribute to the achievement of the NEO to the greatest degree. Our Better Regulation </w:t>
      </w:r>
      <w:r>
        <w:t>g</w:t>
      </w:r>
      <w:r w:rsidRPr="00276DDF">
        <w:t>uidelines are available on our website</w:t>
      </w:r>
      <w:r w:rsidRPr="00276DDF">
        <w:rPr>
          <w:rStyle w:val="FootnoteReference"/>
        </w:rPr>
        <w:footnoteReference w:id="72"/>
      </w:r>
      <w:r w:rsidRPr="00276DDF">
        <w:t xml:space="preserve"> and include:</w:t>
      </w:r>
    </w:p>
    <w:p w:rsidR="00DF6C8C" w:rsidRPr="00276DDF" w:rsidRDefault="00DF6C8C" w:rsidP="00DF6C8C">
      <w:pPr>
        <w:pStyle w:val="AERbulletlistfirststyle"/>
      </w:pPr>
      <w:r w:rsidRPr="00276DDF">
        <w:t>Expenditure Forecast Assessment Guideline</w:t>
      </w:r>
    </w:p>
    <w:p w:rsidR="00DF6C8C" w:rsidRPr="00276DDF" w:rsidRDefault="00DF6C8C" w:rsidP="00DF6C8C">
      <w:pPr>
        <w:pStyle w:val="AERbulletlistfirststyle"/>
      </w:pPr>
      <w:r w:rsidRPr="00276DDF">
        <w:t>Expenditure Incentives Guideline</w:t>
      </w:r>
    </w:p>
    <w:p w:rsidR="00DF6C8C" w:rsidRPr="00276DDF" w:rsidRDefault="00DF6C8C" w:rsidP="00DF6C8C">
      <w:pPr>
        <w:pStyle w:val="AERbulletlistfirststyle"/>
      </w:pPr>
      <w:r w:rsidRPr="00276DDF">
        <w:t>Rate of Return Guideline</w:t>
      </w:r>
    </w:p>
    <w:p w:rsidR="00DF6C8C" w:rsidRPr="00276DDF" w:rsidRDefault="00DF6C8C" w:rsidP="00DF6C8C">
      <w:pPr>
        <w:pStyle w:val="AERbulletlistfirststyle"/>
      </w:pPr>
      <w:r w:rsidRPr="00276DDF">
        <w:t>Consumer Engagement Guideline for Network Service Providers</w:t>
      </w:r>
    </w:p>
    <w:p w:rsidR="00DF6C8C" w:rsidRPr="00276DDF" w:rsidRDefault="00DF6C8C" w:rsidP="00DF6C8C">
      <w:pPr>
        <w:pStyle w:val="AERbulletlistfirststyle"/>
      </w:pPr>
      <w:r w:rsidRPr="00276DDF">
        <w:t>Shared Assets Guideline</w:t>
      </w:r>
    </w:p>
    <w:p w:rsidR="00DF6C8C" w:rsidRDefault="00DF6C8C" w:rsidP="00DF6C8C">
      <w:pPr>
        <w:pStyle w:val="AERbulletlistfirststyle"/>
      </w:pPr>
      <w:r w:rsidRPr="00276DDF">
        <w:t>Confidentiality Guideline.</w:t>
      </w:r>
    </w:p>
    <w:p w:rsidR="00DF6C8C" w:rsidRPr="004D6C16" w:rsidRDefault="00DF6C8C" w:rsidP="00DF6C8C">
      <w:r w:rsidRPr="004D6C16">
        <w:t xml:space="preserve">The guidelines provide businesses, investors and consumers predictability and transparency </w:t>
      </w:r>
      <w:r w:rsidR="007A15CA">
        <w:t xml:space="preserve">of </w:t>
      </w:r>
      <w:r w:rsidRPr="004D6C16">
        <w:t>our approach to regulation under the new rules.</w:t>
      </w:r>
    </w:p>
    <w:p w:rsidR="00DF6C8C" w:rsidRDefault="00DF6C8C" w:rsidP="00DF6C8C">
      <w:pPr>
        <w:pStyle w:val="Heading2"/>
      </w:pPr>
      <w:bookmarkStart w:id="150" w:name="_Toc433194666"/>
      <w:bookmarkStart w:id="151" w:name="_Toc433786821"/>
      <w:r>
        <w:t>Consumer engagement</w:t>
      </w:r>
      <w:bookmarkEnd w:id="150"/>
      <w:bookmarkEnd w:id="151"/>
    </w:p>
    <w:p w:rsidR="00DF6C8C" w:rsidRDefault="00DF6C8C" w:rsidP="00DF6C8C">
      <w:pPr>
        <w:rPr>
          <w:rStyle w:val="AERbody"/>
        </w:rPr>
      </w:pPr>
      <w:r>
        <w:t>Recent changes to the NER provide further support for consumer involvement in the regulatory process, and enable us to engage more productively with energy consumers and businesses.</w:t>
      </w:r>
      <w:r>
        <w:rPr>
          <w:rStyle w:val="FootnoteReference"/>
        </w:rPr>
        <w:footnoteReference w:id="73"/>
      </w:r>
      <w:r>
        <w:t xml:space="preserve"> </w:t>
      </w:r>
      <w:r>
        <w:rPr>
          <w:rStyle w:val="AERbody"/>
        </w:rPr>
        <w:t>Chapter 6 of the NER was amended to, among other things, require:</w:t>
      </w:r>
    </w:p>
    <w:p w:rsidR="00DF6C8C" w:rsidRPr="00EA2032" w:rsidRDefault="00DF6C8C" w:rsidP="00DF6C8C">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74"/>
      </w:r>
    </w:p>
    <w:p w:rsidR="00DF6C8C" w:rsidRPr="00EA2032" w:rsidRDefault="00DF6C8C" w:rsidP="00DF6C8C">
      <w:pPr>
        <w:pStyle w:val="AERbulletlistfirststyle"/>
        <w:rPr>
          <w:rStyle w:val="AERbody"/>
        </w:rPr>
      </w:pPr>
      <w:r w:rsidRPr="00EA2032">
        <w:rPr>
          <w:rStyle w:val="AERbody"/>
        </w:rPr>
        <w:t>the AER to publish an issues paper after receiving the distributor’s regulatory proposal.</w:t>
      </w:r>
      <w:r w:rsidRPr="00EA2032">
        <w:rPr>
          <w:rStyle w:val="FootnoteReference"/>
        </w:rPr>
        <w:footnoteReference w:id="75"/>
      </w:r>
      <w:r>
        <w:rPr>
          <w:rStyle w:val="AERbody"/>
        </w:rPr>
        <w:t xml:space="preserve"> </w:t>
      </w:r>
      <w:r w:rsidRPr="00EA2032">
        <w:rPr>
          <w:rStyle w:val="AERbody"/>
        </w:rPr>
        <w:t xml:space="preserve">The purpose of the issues paper </w:t>
      </w:r>
      <w:r>
        <w:rPr>
          <w:rStyle w:val="AERbody"/>
        </w:rPr>
        <w:t>is</w:t>
      </w:r>
      <w:r w:rsidRPr="00EA2032">
        <w:rPr>
          <w:rStyle w:val="AERbody"/>
        </w:rPr>
        <w:t xml:space="preserve"> to assist consumer representative </w:t>
      </w:r>
      <w:r w:rsidRPr="00EA2032">
        <w:rPr>
          <w:rStyle w:val="AERbody"/>
        </w:rPr>
        <w:lastRenderedPageBreak/>
        <w:t>groups to focus on the key preliminary issues on which they should engage and comment</w:t>
      </w:r>
      <w:r>
        <w:rPr>
          <w:rStyle w:val="FootnoteReference"/>
        </w:rPr>
        <w:footnoteReference w:id="76"/>
      </w:r>
      <w:r>
        <w:rPr>
          <w:rStyle w:val="AERbody"/>
        </w:rPr>
        <w:t xml:space="preserve"> </w:t>
      </w:r>
    </w:p>
    <w:p w:rsidR="00E732B3" w:rsidRDefault="00E732B3" w:rsidP="00E732B3">
      <w:pPr>
        <w:pStyle w:val="AERbulletlistfirststyle"/>
        <w:rPr>
          <w:rStyle w:val="AERbody"/>
        </w:rPr>
      </w:pPr>
      <w:r>
        <w:rPr>
          <w:rStyle w:val="AERbody"/>
        </w:rPr>
        <w:t>the AER, when determining capex and opex allowances, to have regard to the extent to which the forecast includes expenditure to address the concerns of consumers as identified by the distributor in the course of its engagement with the consumers.</w:t>
      </w:r>
      <w:r>
        <w:rPr>
          <w:rStyle w:val="FootnoteReference"/>
        </w:rPr>
        <w:footnoteReference w:id="77"/>
      </w:r>
    </w:p>
    <w:p w:rsidR="00A11829" w:rsidRDefault="00A11829" w:rsidP="00A11829">
      <w:r>
        <w:t xml:space="preserve">Powercor </w:t>
      </w:r>
      <w:r w:rsidR="00EA0E55">
        <w:t xml:space="preserve">undertook </w:t>
      </w:r>
      <w:r>
        <w:t>its own engagement with consumers in developing its regulatory proposal. For example</w:t>
      </w:r>
      <w:r w:rsidR="00EA0E55">
        <w:t xml:space="preserve">, </w:t>
      </w:r>
      <w:r>
        <w:t>Powercor held forums, focus groups and interviews, and sought feedback on a 'directions and priorities' consultation paper.</w:t>
      </w:r>
      <w:r>
        <w:rPr>
          <w:rStyle w:val="FootnoteReference"/>
        </w:rPr>
        <w:footnoteReference w:id="78"/>
      </w:r>
    </w:p>
    <w:p w:rsidR="00CD15EC" w:rsidRDefault="00CD15EC" w:rsidP="00CD15EC">
      <w:r w:rsidRPr="000D3B6D">
        <w:t xml:space="preserve">Victorian Energy Consumer and User Alliance </w:t>
      </w:r>
      <w:r>
        <w:t>(VECUA) recognised that consumer engagement is a new space for distributors. VECUA provided some perspectives to assist us in our assessment of the distributors’ claims, and the distributors to improve the effectiveness of their ongoing consumer engagement efforts.</w:t>
      </w:r>
      <w:r>
        <w:rPr>
          <w:rStyle w:val="FootnoteReference"/>
        </w:rPr>
        <w:footnoteReference w:id="79"/>
      </w:r>
    </w:p>
    <w:p w:rsidR="00CD15EC" w:rsidRDefault="00CD15EC" w:rsidP="00CD15EC">
      <w:r>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 term interests.</w:t>
      </w:r>
      <w:r>
        <w:rPr>
          <w:rStyle w:val="FootnoteReference"/>
        </w:rPr>
        <w:footnoteReference w:id="80"/>
      </w:r>
    </w:p>
    <w:p w:rsidR="00C63C92" w:rsidRDefault="00C63C92" w:rsidP="00CD15EC">
      <w:r w:rsidRPr="00BC30C4">
        <w:t>Consumer U</w:t>
      </w:r>
      <w:r>
        <w:t>tilities Advocacy Centre (CUAC) submitted that w</w:t>
      </w:r>
      <w:r w:rsidRPr="00921768">
        <w:t xml:space="preserve">hile </w:t>
      </w:r>
      <w:r>
        <w:t>Powercor</w:t>
      </w:r>
      <w:r w:rsidRPr="00921768">
        <w:t xml:space="preserve"> published regular information about </w:t>
      </w:r>
      <w:r>
        <w:t xml:space="preserve">its </w:t>
      </w:r>
      <w:r w:rsidR="00F722FA">
        <w:t>plans</w:t>
      </w:r>
      <w:r w:rsidRPr="00921768">
        <w:t>, CUAC found it difficult to arrange meetings</w:t>
      </w:r>
      <w:r w:rsidR="00A606D2">
        <w:t xml:space="preserve"> with the business</w:t>
      </w:r>
      <w:r w:rsidRPr="00921768">
        <w:t>.</w:t>
      </w:r>
      <w:r>
        <w:rPr>
          <w:rStyle w:val="FootnoteReference"/>
        </w:rPr>
        <w:footnoteReference w:id="81"/>
      </w:r>
    </w:p>
    <w:p w:rsidR="00A11829" w:rsidRDefault="00A11829" w:rsidP="00E732B3">
      <w:r>
        <w:t xml:space="preserve">We consider that Powercor has taken important </w:t>
      </w:r>
      <w:r w:rsidR="00433806">
        <w:t xml:space="preserve">initial </w:t>
      </w:r>
      <w:r>
        <w:t>steps to involving consumers in the regulatory process</w:t>
      </w:r>
      <w:r w:rsidR="00433806">
        <w:t xml:space="preserve">, although </w:t>
      </w:r>
      <w:r w:rsidR="00225165">
        <w:t xml:space="preserve">we note </w:t>
      </w:r>
      <w:r w:rsidR="00433806">
        <w:t>CUAC identified Powercor could be more accessible to consumer representatives</w:t>
      </w:r>
      <w:r>
        <w:t>.</w:t>
      </w:r>
      <w:r w:rsidR="00E13B48">
        <w:rPr>
          <w:rStyle w:val="FootnoteReference"/>
        </w:rPr>
        <w:footnoteReference w:id="82"/>
      </w:r>
      <w:r>
        <w:t xml:space="preserve"> </w:t>
      </w:r>
      <w:r w:rsidR="00DD2A31">
        <w:t>VECUA</w:t>
      </w:r>
      <w:r w:rsidR="00CD15EC">
        <w:t xml:space="preserve"> </w:t>
      </w:r>
      <w:r w:rsidR="00DD2A31">
        <w:t xml:space="preserve">and the Consumer Challenge Panel indicated there are further opportunities for Powercor to improve the way it objectively </w:t>
      </w:r>
      <w:r w:rsidR="00DD2A31">
        <w:lastRenderedPageBreak/>
        <w:t>seeks consumer feedback.</w:t>
      </w:r>
      <w:r w:rsidR="004B5ECE">
        <w:rPr>
          <w:rStyle w:val="FootnoteReference"/>
        </w:rPr>
        <w:footnoteReference w:id="83"/>
      </w:r>
      <w:r w:rsidR="00E41A2C">
        <w:t xml:space="preserve"> </w:t>
      </w:r>
      <w:r>
        <w:rPr>
          <w:rStyle w:val="FootnoteReference"/>
        </w:rPr>
        <w:footnoteReference w:id="84"/>
      </w:r>
      <w:r>
        <w:t xml:space="preserve"> We </w:t>
      </w:r>
      <w:r w:rsidR="00433806">
        <w:t xml:space="preserve">expect </w:t>
      </w:r>
      <w:r>
        <w:t>Powercor to consider these submissions in developing its consumer engagement program</w:t>
      </w:r>
      <w:r w:rsidRPr="00766C30">
        <w:t xml:space="preserve"> going forward</w:t>
      </w:r>
      <w:r>
        <w:t>.</w:t>
      </w:r>
    </w:p>
    <w:p w:rsidR="00EF7689" w:rsidRPr="00D842E7" w:rsidRDefault="00EF7689" w:rsidP="008F5910">
      <w:pPr>
        <w:pStyle w:val="Heading7"/>
      </w:pPr>
      <w:bookmarkStart w:id="152" w:name="_Toc417973164"/>
      <w:bookmarkStart w:id="153" w:name="_Toc430336815"/>
      <w:bookmarkStart w:id="154" w:name="_Toc433786822"/>
      <w:bookmarkStart w:id="155" w:name="_Toc419287686"/>
      <w:bookmarkEnd w:id="149"/>
      <w:bookmarkEnd w:id="145"/>
      <w:bookmarkEnd w:id="146"/>
      <w:r w:rsidRPr="00D842E7">
        <w:lastRenderedPageBreak/>
        <w:t>Constituent decisions</w:t>
      </w:r>
      <w:bookmarkEnd w:id="152"/>
      <w:bookmarkEnd w:id="153"/>
      <w:bookmarkEnd w:id="154"/>
    </w:p>
    <w:p w:rsidR="00EF7689" w:rsidRDefault="00EF7689" w:rsidP="00EF7689">
      <w:pPr>
        <w:numPr>
          <w:ilvl w:val="0"/>
          <w:numId w:val="24"/>
        </w:numPr>
      </w:pPr>
      <w:r>
        <w:t xml:space="preserve">Our </w:t>
      </w:r>
      <w:r w:rsidR="00682606">
        <w:t xml:space="preserve">preliminary </w:t>
      </w:r>
      <w:r>
        <w:t>distribution determination is predicated on the following decisions (constituent decisions):</w:t>
      </w:r>
      <w:r>
        <w:rPr>
          <w:rStyle w:val="FootnoteReference"/>
        </w:rPr>
        <w:footnoteReference w:id="85"/>
      </w:r>
    </w:p>
    <w:tbl>
      <w:tblPr>
        <w:tblStyle w:val="AERtable-text0"/>
        <w:tblW w:w="0" w:type="auto"/>
        <w:tblLook w:val="04A0" w:firstRow="1" w:lastRow="0" w:firstColumn="1" w:lastColumn="0" w:noHBand="0" w:noVBand="1"/>
      </w:tblPr>
      <w:tblGrid>
        <w:gridCol w:w="8693"/>
      </w:tblGrid>
      <w:tr w:rsidR="00EF7689" w:rsidTr="00682606">
        <w:trPr>
          <w:cnfStyle w:val="100000000000" w:firstRow="1" w:lastRow="0" w:firstColumn="0" w:lastColumn="0" w:oddVBand="0" w:evenVBand="0" w:oddHBand="0" w:evenHBand="0" w:firstRowFirstColumn="0" w:firstRowLastColumn="0" w:lastRowFirstColumn="0" w:lastRowLastColumn="0"/>
          <w:tblHeader/>
        </w:trPr>
        <w:tc>
          <w:tcPr>
            <w:tcW w:w="8693" w:type="dxa"/>
          </w:tcPr>
          <w:p w:rsidR="00EF7689" w:rsidRPr="0046153F" w:rsidRDefault="00EF7689" w:rsidP="00EF7689">
            <w:pPr>
              <w:numPr>
                <w:ilvl w:val="0"/>
                <w:numId w:val="24"/>
              </w:numPr>
            </w:pPr>
            <w:r>
              <w:t>Constituent decision</w:t>
            </w:r>
          </w:p>
        </w:tc>
      </w:tr>
      <w:tr w:rsidR="00EF7689" w:rsidRPr="00185712" w:rsidTr="00682606">
        <w:trPr>
          <w:trHeight w:val="2209"/>
        </w:trPr>
        <w:tc>
          <w:tcPr>
            <w:tcW w:w="8693" w:type="dxa"/>
          </w:tcPr>
          <w:p w:rsidR="00EF7689" w:rsidRPr="00185712" w:rsidRDefault="00EF7689" w:rsidP="00D842E7">
            <w:pPr>
              <w:numPr>
                <w:ilvl w:val="0"/>
                <w:numId w:val="24"/>
              </w:numPr>
            </w:pPr>
            <w:r>
              <w:t xml:space="preserve">In accordance with clause 6.12.1(1) of the NER, the following classification of services will apply to </w:t>
            </w:r>
            <w:r w:rsidR="00682606">
              <w:t xml:space="preserve">Powercor </w:t>
            </w:r>
            <w:r>
              <w:t>for the 201</w:t>
            </w:r>
            <w:r w:rsidR="00682606">
              <w:t>6</w:t>
            </w:r>
            <w:r w:rsidRPr="0046153F">
              <w:t>–</w:t>
            </w:r>
            <w:r>
              <w:t xml:space="preserve">20 regulatory control period </w:t>
            </w:r>
            <w:r w:rsidRPr="00185712">
              <w:t>(listed by service group):</w:t>
            </w:r>
          </w:p>
          <w:p w:rsidR="00D842E7" w:rsidRPr="00D842E7" w:rsidRDefault="00D842E7" w:rsidP="00D842E7">
            <w:pPr>
              <w:pStyle w:val="AERbulletlistfirststyle"/>
              <w:rPr>
                <w:rStyle w:val="AERtexthighlight"/>
                <w:shd w:val="clear" w:color="auto" w:fill="auto"/>
              </w:rPr>
            </w:pPr>
            <w:r w:rsidRPr="00D842E7">
              <w:rPr>
                <w:rStyle w:val="AERtexthighlight"/>
                <w:shd w:val="clear" w:color="auto" w:fill="auto"/>
              </w:rPr>
              <w:t>Standard control services include network services, connection services requiring augmentation, customer initiated works (connection service undergrounding or distribution asset reconfiguration)</w:t>
            </w:r>
          </w:p>
          <w:p w:rsidR="00D842E7" w:rsidRPr="00D842E7" w:rsidRDefault="00D842E7" w:rsidP="00D842E7">
            <w:pPr>
              <w:pStyle w:val="AERbulletlistfirststyle"/>
              <w:rPr>
                <w:rStyle w:val="AERtexthighlight"/>
                <w:shd w:val="clear" w:color="auto" w:fill="auto"/>
              </w:rPr>
            </w:pPr>
            <w:r w:rsidRPr="00D842E7">
              <w:rPr>
                <w:rStyle w:val="AERtexthighlight"/>
                <w:shd w:val="clear" w:color="auto" w:fill="auto"/>
              </w:rPr>
              <w:t xml:space="preserve">Alternative control services include routine connections, type 5-6 and smart metering services (regulated service only), operation, repair, replacement and maintenance of public lighting assets, ancillary network services, ancillary connection services, ancillary metering services, solar PV and small generator pre-approval fees, type 7 metering </w:t>
            </w:r>
          </w:p>
          <w:p w:rsidR="00D842E7" w:rsidRPr="00D842E7" w:rsidRDefault="00D842E7" w:rsidP="00D842E7">
            <w:pPr>
              <w:pStyle w:val="AERbulletlistfirststyle"/>
              <w:rPr>
                <w:rStyle w:val="AERtexthighlight"/>
                <w:shd w:val="clear" w:color="auto" w:fill="auto"/>
              </w:rPr>
            </w:pPr>
            <w:r w:rsidRPr="00D842E7">
              <w:rPr>
                <w:rStyle w:val="AERtexthighlight"/>
                <w:shd w:val="clear" w:color="auto" w:fill="auto"/>
              </w:rPr>
              <w:t>Negotiated distribution services include new public lighting services (incl. greenfield sites), alteration and relocation of DNSP public lighting assets, construction of a reserve feeder</w:t>
            </w:r>
          </w:p>
          <w:p w:rsidR="00D842E7" w:rsidRPr="00D842E7" w:rsidRDefault="00D842E7" w:rsidP="00D842E7">
            <w:pPr>
              <w:pStyle w:val="AERbulletlistfirststyle"/>
            </w:pPr>
            <w:r w:rsidRPr="00D842E7">
              <w:rPr>
                <w:rStyle w:val="AERtexthighlight"/>
                <w:shd w:val="clear" w:color="auto" w:fill="auto"/>
              </w:rPr>
              <w:t>Unregulated services include type 1 to 4 metering services (excl. smart metering), type 5-6 and smart metering services (subject to competition), emergency recoverable works</w:t>
            </w:r>
            <w:r w:rsidRPr="00D842E7">
              <w:t>.</w:t>
            </w:r>
          </w:p>
          <w:p w:rsidR="00EF7689" w:rsidRPr="007B3355" w:rsidRDefault="00EF7689" w:rsidP="00D842E7">
            <w:r>
              <w:t xml:space="preserve">Attachment 13 of the </w:t>
            </w:r>
            <w:r w:rsidR="00D842E7">
              <w:t xml:space="preserve">preliminary </w:t>
            </w:r>
            <w:r>
              <w:t xml:space="preserve">decision discusses classification of services. </w:t>
            </w:r>
          </w:p>
        </w:tc>
      </w:tr>
      <w:tr w:rsidR="00EF7689"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EF7689" w:rsidRPr="0046153F" w:rsidRDefault="00EF7689" w:rsidP="00D842E7">
            <w:pPr>
              <w:numPr>
                <w:ilvl w:val="0"/>
                <w:numId w:val="24"/>
              </w:numPr>
            </w:pPr>
            <w:r>
              <w:t>In accordance with clause 6.12.1(2)(i) of the NER, the AER does not</w:t>
            </w:r>
            <w:r w:rsidRPr="0046153F">
              <w:t xml:space="preserve"> approve the annual revenue requirement set out in </w:t>
            </w:r>
            <w:r w:rsidR="00D842E7">
              <w:t>Powercor’s</w:t>
            </w:r>
            <w:r w:rsidR="00D842E7" w:rsidRPr="0046153F">
              <w:t xml:space="preserve"> </w:t>
            </w:r>
            <w:r w:rsidRPr="0046153F">
              <w:t>building block proposal. Our</w:t>
            </w:r>
            <w:r>
              <w:t xml:space="preserve"> </w:t>
            </w:r>
            <w:r w:rsidR="00D842E7">
              <w:t xml:space="preserve">preliminary </w:t>
            </w:r>
            <w:r w:rsidRPr="0046153F">
              <w:t xml:space="preserve">decision on </w:t>
            </w:r>
            <w:r w:rsidR="00D842E7">
              <w:t>Powercor’s</w:t>
            </w:r>
            <w:r w:rsidR="00D842E7" w:rsidRPr="0046153F">
              <w:t xml:space="preserve"> </w:t>
            </w:r>
            <w:r w:rsidRPr="0046153F">
              <w:t>annual revenue requirement for each year of the 201</w:t>
            </w:r>
            <w:r w:rsidR="00D842E7">
              <w:t>6</w:t>
            </w:r>
            <w:r w:rsidRPr="0046153F">
              <w:t>–</w:t>
            </w:r>
            <w:r>
              <w:t xml:space="preserve">20 </w:t>
            </w:r>
            <w:r w:rsidR="00D842E7">
              <w:t xml:space="preserve">regulatory control </w:t>
            </w:r>
            <w:r>
              <w:t>period is set out in a</w:t>
            </w:r>
            <w:r w:rsidRPr="0046153F">
              <w:t>ttachment 1 of the</w:t>
            </w:r>
            <w:r>
              <w:t xml:space="preserve"> </w:t>
            </w:r>
            <w:r w:rsidR="00D842E7">
              <w:t xml:space="preserve">preliminary </w:t>
            </w:r>
            <w:r w:rsidRPr="0046153F">
              <w:t>decision.</w:t>
            </w:r>
          </w:p>
        </w:tc>
      </w:tr>
      <w:tr w:rsidR="00EF7689" w:rsidTr="00682606">
        <w:tc>
          <w:tcPr>
            <w:tcW w:w="8693" w:type="dxa"/>
          </w:tcPr>
          <w:p w:rsidR="00EF7689" w:rsidRPr="007B3355" w:rsidRDefault="00EF7689" w:rsidP="00D842E7">
            <w:r>
              <w:t xml:space="preserve">In accordance with clause 6.12.1(2)(ii) of the NER, </w:t>
            </w:r>
            <w:r w:rsidRPr="007B3355">
              <w:t xml:space="preserve">the AER approves </w:t>
            </w:r>
            <w:r w:rsidR="00D842E7">
              <w:t>Powercor</w:t>
            </w:r>
            <w:r w:rsidR="00D842E7" w:rsidRPr="007B3355">
              <w:t xml:space="preserve">'s </w:t>
            </w:r>
            <w:r w:rsidRPr="007B3355">
              <w:t xml:space="preserve">proposal that the regulatory control period will commence on </w:t>
            </w:r>
            <w:r w:rsidR="00D842E7">
              <w:t>1 January 2016</w:t>
            </w:r>
            <w:r w:rsidRPr="007B3355">
              <w:t xml:space="preserve">. Also in accordance with clause 6.12.1(2)(ii) of the NER, the AER approves </w:t>
            </w:r>
            <w:r w:rsidR="00D842E7">
              <w:t>Powercor</w:t>
            </w:r>
            <w:r w:rsidR="00D842E7" w:rsidRPr="007B3355">
              <w:t xml:space="preserve">'s </w:t>
            </w:r>
            <w:r w:rsidRPr="007B3355">
              <w:t xml:space="preserve">proposal that the length of the regulatory control period will be five years from </w:t>
            </w:r>
            <w:r w:rsidR="00D842E7">
              <w:t>1 January 2016 to 31 December 2020</w:t>
            </w:r>
            <w:r w:rsidRPr="007B3355">
              <w:t xml:space="preserve">. </w:t>
            </w:r>
          </w:p>
        </w:tc>
      </w:tr>
      <w:tr w:rsidR="00EF7689"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EF7689" w:rsidRPr="007B3355" w:rsidRDefault="00EF7689" w:rsidP="000650F1">
            <w:r>
              <w:t xml:space="preserve">In accordance </w:t>
            </w:r>
            <w:r w:rsidRPr="007B3355">
              <w:t xml:space="preserve">with clause 6.12.1(3)(ii) and acting in accordance with clause 6.5.7(c), the AER does not accept </w:t>
            </w:r>
            <w:r w:rsidR="00D842E7">
              <w:t>Powercor’</w:t>
            </w:r>
            <w:r w:rsidR="00D842E7" w:rsidRPr="007B3355">
              <w:t xml:space="preserve">s </w:t>
            </w:r>
            <w:r w:rsidRPr="007B3355">
              <w:t xml:space="preserve">proposed total forecast capital expenditure of </w:t>
            </w:r>
            <w:r w:rsidRPr="007B3355">
              <w:rPr>
                <w:rStyle w:val="AERbodytextChar"/>
                <w:rFonts w:eastAsia="Calibri"/>
              </w:rPr>
              <w:t>$</w:t>
            </w:r>
            <w:r w:rsidR="00300C3A">
              <w:rPr>
                <w:rStyle w:val="AERbodytextChar"/>
                <w:rFonts w:eastAsia="Calibri"/>
              </w:rPr>
              <w:t>2006.</w:t>
            </w:r>
            <w:r w:rsidR="00BE52CF">
              <w:rPr>
                <w:rStyle w:val="AERbodytextChar"/>
                <w:rFonts w:eastAsia="Calibri"/>
              </w:rPr>
              <w:t>3</w:t>
            </w:r>
            <w:r w:rsidRPr="007B3355">
              <w:rPr>
                <w:rStyle w:val="AERbodytextChar"/>
                <w:rFonts w:eastAsia="Calibri"/>
              </w:rPr>
              <w:t xml:space="preserve"> million ($2015). Our substitute estimate of </w:t>
            </w:r>
            <w:r w:rsidR="00D842E7">
              <w:rPr>
                <w:rStyle w:val="AERbodytextChar"/>
                <w:rFonts w:eastAsia="Calibri"/>
              </w:rPr>
              <w:t>Powercor</w:t>
            </w:r>
            <w:r w:rsidR="00D842E7" w:rsidRPr="007B3355">
              <w:rPr>
                <w:rStyle w:val="AERbodytextChar"/>
                <w:rFonts w:eastAsia="Calibri"/>
              </w:rPr>
              <w:t xml:space="preserve">'s </w:t>
            </w:r>
            <w:r w:rsidRPr="007B3355">
              <w:rPr>
                <w:rStyle w:val="AERbodytextChar"/>
                <w:rFonts w:eastAsia="Calibri"/>
              </w:rPr>
              <w:t>total forecast capex for the 201</w:t>
            </w:r>
            <w:r w:rsidR="00D842E7">
              <w:rPr>
                <w:rStyle w:val="AERbodytextChar"/>
                <w:rFonts w:eastAsia="Calibri"/>
              </w:rPr>
              <w:t>6</w:t>
            </w:r>
            <w:r w:rsidRPr="007B3355">
              <w:rPr>
                <w:rStyle w:val="AERbodytextChar"/>
                <w:rFonts w:eastAsia="Calibri"/>
              </w:rPr>
              <w:t>–20 regulatory control period is $</w:t>
            </w:r>
            <w:r w:rsidR="00300C3A">
              <w:rPr>
                <w:rStyle w:val="AERbodytextChar"/>
                <w:rFonts w:eastAsia="Calibri"/>
              </w:rPr>
              <w:t>1610.</w:t>
            </w:r>
            <w:r w:rsidR="00BE52CF">
              <w:rPr>
                <w:rStyle w:val="AERbodytextChar"/>
                <w:rFonts w:eastAsia="Calibri"/>
              </w:rPr>
              <w:t>4</w:t>
            </w:r>
            <w:r w:rsidRPr="007B3355">
              <w:rPr>
                <w:rStyle w:val="AERbodytextChar"/>
                <w:rFonts w:eastAsia="Calibri"/>
              </w:rPr>
              <w:t xml:space="preserve"> million</w:t>
            </w:r>
            <w:r w:rsidRPr="007B3355">
              <w:t xml:space="preserve"> ($2015). This is discussed in attachment 6 of </w:t>
            </w:r>
            <w:r w:rsidR="00D842E7">
              <w:t>the preliminary</w:t>
            </w:r>
            <w:r w:rsidRPr="007B3355">
              <w:t xml:space="preserve"> decision.</w:t>
            </w:r>
          </w:p>
        </w:tc>
      </w:tr>
      <w:tr w:rsidR="008C4D66" w:rsidTr="00682606">
        <w:tc>
          <w:tcPr>
            <w:tcW w:w="8693" w:type="dxa"/>
          </w:tcPr>
          <w:p w:rsidR="008C4D66" w:rsidRPr="007B3355" w:rsidRDefault="008C4D66" w:rsidP="002C68C1">
            <w:r>
              <w:t xml:space="preserve">In accordance with clause 6.12.1(4)(ii) and acting in accordance with clause 6.5.6(d), </w:t>
            </w:r>
            <w:r w:rsidRPr="007B3355">
              <w:t xml:space="preserve">the AER does </w:t>
            </w:r>
            <w:r>
              <w:t xml:space="preserve">not </w:t>
            </w:r>
            <w:r w:rsidRPr="007B3355">
              <w:t xml:space="preserve">accept </w:t>
            </w:r>
            <w:r>
              <w:t>Powercor’s</w:t>
            </w:r>
            <w:r w:rsidRPr="007B3355">
              <w:t xml:space="preserve"> proposed total forecast operating expenditure inclusive of debt raising costs </w:t>
            </w:r>
            <w:r w:rsidR="00EE6D16">
              <w:t xml:space="preserve">and exclusive of DMIA </w:t>
            </w:r>
            <w:r w:rsidRPr="007B3355">
              <w:rPr>
                <w:rStyle w:val="AERbodytextChar"/>
                <w:rFonts w:eastAsia="Calibri"/>
              </w:rPr>
              <w:t>of $</w:t>
            </w:r>
            <w:r w:rsidRPr="0082785C">
              <w:t>1330.7</w:t>
            </w:r>
            <w:r w:rsidRPr="0082785C">
              <w:rPr>
                <w:rStyle w:val="AERbodytextChar"/>
                <w:rFonts w:eastAsia="Calibri"/>
              </w:rPr>
              <w:t xml:space="preserve"> million (</w:t>
            </w:r>
            <w:r w:rsidRPr="0082785C">
              <w:t xml:space="preserve">$2015). Our </w:t>
            </w:r>
            <w:r w:rsidR="00167BC1">
              <w:t xml:space="preserve">substitute </w:t>
            </w:r>
            <w:r w:rsidRPr="0082785C">
              <w:t>estimate of Powercor’s total forecast opex for the 201</w:t>
            </w:r>
            <w:r>
              <w:t>6</w:t>
            </w:r>
            <w:r w:rsidRPr="0082785C">
              <w:t>–20 regulatory control period is $</w:t>
            </w:r>
            <w:r w:rsidR="003D4963" w:rsidRPr="003D4963">
              <w:rPr>
                <w:rStyle w:val="Strong"/>
                <w:b w:val="0"/>
              </w:rPr>
              <w:t>1164.2</w:t>
            </w:r>
            <w:r w:rsidRPr="0082785C">
              <w:t xml:space="preserve"> million</w:t>
            </w:r>
            <w:r w:rsidRPr="00A85D51">
              <w:t xml:space="preserve"> ($20</w:t>
            </w:r>
            <w:r>
              <w:t>1</w:t>
            </w:r>
            <w:r w:rsidRPr="00A85D51">
              <w:t>5).</w:t>
            </w:r>
            <w:r w:rsidRPr="007B3355">
              <w:t xml:space="preserve">This is discussed in attachment 7 of the </w:t>
            </w:r>
            <w:r>
              <w:t>preliminary</w:t>
            </w:r>
            <w:r w:rsidRPr="007B3355">
              <w:t xml:space="preserve"> decision.</w:t>
            </w:r>
          </w:p>
        </w:tc>
      </w:tr>
      <w:tr w:rsidR="008C4D66"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46153F" w:rsidRDefault="008C4D66" w:rsidP="008F6524">
            <w:pPr>
              <w:numPr>
                <w:ilvl w:val="0"/>
                <w:numId w:val="24"/>
              </w:numPr>
            </w:pPr>
            <w:r w:rsidRPr="007A151F">
              <w:t>In accord</w:t>
            </w:r>
            <w:r w:rsidR="00473D7F">
              <w:t xml:space="preserve">ance with clause 6.12.1(4A)(i) </w:t>
            </w:r>
            <w:r w:rsidRPr="007A151F">
              <w:t xml:space="preserve">and (iv) the AER determines that </w:t>
            </w:r>
            <w:r>
              <w:t>Powercor’s</w:t>
            </w:r>
            <w:r w:rsidRPr="007A151F">
              <w:t xml:space="preserve"> proposed '</w:t>
            </w:r>
            <w:r>
              <w:t xml:space="preserve">earth fault current limiting’ and ‘codified areas’ </w:t>
            </w:r>
            <w:r w:rsidRPr="007A151F">
              <w:t>contingent project</w:t>
            </w:r>
            <w:r>
              <w:t>s</w:t>
            </w:r>
            <w:r w:rsidRPr="007A151F">
              <w:t>' are contingent projects. In accordance with clause 6.12.1(4A)(i)  and (iv) the AER determines that Powercor’s proposed '</w:t>
            </w:r>
            <w:r>
              <w:t>privately owned electric lines’</w:t>
            </w:r>
            <w:r w:rsidRPr="007A151F">
              <w:t xml:space="preserve"> contingent project</w:t>
            </w:r>
            <w:r>
              <w:t xml:space="preserve"> is not a</w:t>
            </w:r>
            <w:r w:rsidRPr="007A151F">
              <w:t xml:space="preserve"> contingent project. Our reasons for these conclusions are in attachment 6 of the </w:t>
            </w:r>
            <w:r>
              <w:t xml:space="preserve">preliminary </w:t>
            </w:r>
            <w:r w:rsidRPr="007A151F">
              <w:t xml:space="preserve">decision. </w:t>
            </w:r>
          </w:p>
        </w:tc>
      </w:tr>
      <w:tr w:rsidR="008C4D66" w:rsidTr="00682606">
        <w:tc>
          <w:tcPr>
            <w:tcW w:w="8693" w:type="dxa"/>
          </w:tcPr>
          <w:p w:rsidR="0053206E" w:rsidRDefault="0053206E" w:rsidP="0053206E">
            <w:r>
              <w:t>Powercor included three proposed contingent projects in its regulatory proposal for the 2016–20 regulatory control period.</w:t>
            </w:r>
            <w:r w:rsidR="00F31745">
              <w:t xml:space="preserve"> Therefore:</w:t>
            </w:r>
          </w:p>
          <w:p w:rsidR="00F31745" w:rsidRDefault="00A809E9" w:rsidP="00F31745">
            <w:pPr>
              <w:pStyle w:val="AERbulletlistfirststyle"/>
            </w:pPr>
            <w:r>
              <w:t>I</w:t>
            </w:r>
            <w:r w:rsidR="00F31745">
              <w:t>n accordance with clause 6.12.1(4A)(ii), the AER is satisfied that the capital expenditure of $63 million ($2015) for the 'earth fault current limiting' contingent project of reasonably reflects the capital expenditure criteria, taking into account the capital expenditure factors</w:t>
            </w:r>
            <w:r>
              <w:t>.</w:t>
            </w:r>
          </w:p>
          <w:p w:rsidR="00F31745" w:rsidRDefault="00A809E9" w:rsidP="00F31745">
            <w:pPr>
              <w:pStyle w:val="AERbulletlistfirststyle"/>
            </w:pPr>
            <w:r>
              <w:t>I</w:t>
            </w:r>
            <w:r w:rsidR="00F31745">
              <w:t xml:space="preserve">n accordance with clause 6.12.1(4A)(ii), the AER is satisfied that the capital expenditure of $235 million ($2015) for the 'codified areas' contingent project reasonably reflects the capital expenditure criteria, taking into account the </w:t>
            </w:r>
            <w:r w:rsidR="00F31745">
              <w:lastRenderedPageBreak/>
              <w:t xml:space="preserve">capital expenditure factors. </w:t>
            </w:r>
          </w:p>
          <w:p w:rsidR="0053206E" w:rsidRDefault="00A809E9" w:rsidP="0053206E">
            <w:pPr>
              <w:pStyle w:val="AERbulletlistfirststyle"/>
            </w:pPr>
            <w:r>
              <w:t>I</w:t>
            </w:r>
            <w:r w:rsidR="0053206E">
              <w:t>n accordance with clause 6.12.1(4A)(iii), the AER specifies the trigger event in relation to the 'earth fault current limiting’ contingent project is:</w:t>
            </w:r>
          </w:p>
          <w:p w:rsidR="0053206E" w:rsidRDefault="0053206E" w:rsidP="0053206E">
            <w:pPr>
              <w:pStyle w:val="ListContinue"/>
            </w:pPr>
            <w:r>
              <w:t>The contingent project is subject to the three part trigger:</w:t>
            </w:r>
          </w:p>
          <w:p w:rsidR="0053206E" w:rsidRDefault="0053206E" w:rsidP="0053206E">
            <w:pPr>
              <w:pStyle w:val="ListNumber"/>
              <w:ind w:left="700"/>
            </w:pPr>
            <w:r>
              <w:t xml:space="preserve">Passage by the State of Victoria of a law or regulations or other regulatory instrument that gives effect to recommendation 27 of the Victorian Bushfires Royal Commission, whether in part or in full. </w:t>
            </w:r>
          </w:p>
          <w:p w:rsidR="0053206E" w:rsidRDefault="0053206E" w:rsidP="0053206E">
            <w:pPr>
              <w:pStyle w:val="ListNumber"/>
              <w:ind w:left="700"/>
            </w:pPr>
            <w:r>
              <w:t xml:space="preserve">The formation of capital projects into tranches. All the projects which constitute a tranche must be listed in a regulatory instrument or a bushfire mitigation plan approved by Energy Safe Victoria for completion in the 2016–2020 regulatory control period. </w:t>
            </w:r>
          </w:p>
          <w:p w:rsidR="0053206E" w:rsidRDefault="0053206E" w:rsidP="0053206E">
            <w:pPr>
              <w:pStyle w:val="ListNumber"/>
              <w:ind w:left="700"/>
            </w:pPr>
            <w:r>
              <w:t>Every project incorporated in a tranche must be subject of a detailed design investigation which accurately identifies the scope of works and proposed costings.</w:t>
            </w:r>
          </w:p>
          <w:p w:rsidR="0053206E" w:rsidRDefault="00A809E9" w:rsidP="0053206E">
            <w:pPr>
              <w:pStyle w:val="AERbulletlistfirststyle"/>
            </w:pPr>
            <w:r>
              <w:t>I</w:t>
            </w:r>
            <w:r w:rsidR="0053206E">
              <w:t>n accordance with clause 6.12.1(4A)(iii), the AER specifies the trigger event in relation to the 'codified areas’ contingent project is:</w:t>
            </w:r>
          </w:p>
          <w:p w:rsidR="0053206E" w:rsidRDefault="0053206E" w:rsidP="0053206E">
            <w:pPr>
              <w:pStyle w:val="ListContinue"/>
            </w:pPr>
            <w:r>
              <w:t>The contingent project is subject to the three part trigger:</w:t>
            </w:r>
          </w:p>
          <w:p w:rsidR="0053206E" w:rsidRPr="0053206E" w:rsidRDefault="0053206E" w:rsidP="0053206E">
            <w:pPr>
              <w:pStyle w:val="ListNumber"/>
              <w:numPr>
                <w:ilvl w:val="0"/>
                <w:numId w:val="48"/>
              </w:numPr>
              <w:ind w:left="700"/>
            </w:pPr>
            <w:r w:rsidRPr="0053206E">
              <w:t xml:space="preserve">Passage by the State of Victoria of a law or regulations or other regulatory instrument that gives effect to recommendation 27 of the Victorian Bushfires Royal Commission, whether in part or in full. </w:t>
            </w:r>
          </w:p>
          <w:p w:rsidR="0053206E" w:rsidRDefault="0053206E" w:rsidP="0053206E">
            <w:pPr>
              <w:pStyle w:val="ListNumber"/>
              <w:ind w:left="680" w:hanging="340"/>
            </w:pPr>
            <w:r>
              <w:t xml:space="preserve">The formation of capital projects into tranches. All the projects which constitute a tranche must be listed in a regulatory instrument or a bushfire mitigation plan approved by Energy Safe Victoria for completion in the 2016–2020 regulatory control period. </w:t>
            </w:r>
          </w:p>
          <w:p w:rsidR="0053206E" w:rsidRDefault="0053206E" w:rsidP="0053206E">
            <w:pPr>
              <w:pStyle w:val="ListNumber"/>
              <w:ind w:left="680" w:hanging="340"/>
            </w:pPr>
            <w:r>
              <w:t>Every project incorporated in a tranche must be subject of a detailed design investigation which accurately identifies the scope of works and proposed costings.</w:t>
            </w:r>
          </w:p>
          <w:p w:rsidR="0053206E" w:rsidRPr="0053206E" w:rsidRDefault="00A809E9" w:rsidP="0053206E">
            <w:pPr>
              <w:pStyle w:val="AERbulletlistfirststyle"/>
            </w:pPr>
            <w:r>
              <w:t>I</w:t>
            </w:r>
            <w:r w:rsidR="0053206E">
              <w:t xml:space="preserve">n </w:t>
            </w:r>
            <w:r w:rsidR="0053206E" w:rsidRPr="0053206E">
              <w:t>accordance</w:t>
            </w:r>
            <w:r w:rsidR="0053206E">
              <w:t xml:space="preserve"> with clause 6.12.1(4A)(iv), the AER determines that the proposed ‘privately owned electric lines’ contingent project is not a contingent project because we are not satisfied that the event is probable or will occur at all in the next period.</w:t>
            </w:r>
          </w:p>
        </w:tc>
      </w:tr>
      <w:tr w:rsidR="008C4D66"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473D7F">
            <w:r>
              <w:lastRenderedPageBreak/>
              <w:t>In accordance with clause 6.12.1(5) the AER's decision on the allowed rate o</w:t>
            </w:r>
            <w:r w:rsidRPr="007B3355">
              <w:t xml:space="preserve">f return for the first regulatory year of the regulatory control period in accordance with clause 6.5.2 is not to accept </w:t>
            </w:r>
            <w:r>
              <w:t>Powercor</w:t>
            </w:r>
            <w:r w:rsidRPr="007B3355">
              <w:t xml:space="preserve">'s proposal </w:t>
            </w:r>
            <w:r w:rsidRPr="008F6524">
              <w:t>of 7.20 per cent. Our decision on the allowed rate of return for the first regulatory year of the regulatory control period is 6.02</w:t>
            </w:r>
            <w:r w:rsidRPr="007B3355">
              <w:rPr>
                <w:rStyle w:val="AERbodytextChar"/>
                <w:rFonts w:eastAsia="Calibri"/>
              </w:rPr>
              <w:t xml:space="preserve"> per cent as set out in table 3.1 of attachment 3 </w:t>
            </w:r>
            <w:r w:rsidRPr="007B3355">
              <w:t xml:space="preserve">of </w:t>
            </w:r>
            <w:r>
              <w:t>the preliminary</w:t>
            </w:r>
            <w:r w:rsidRPr="007B3355">
              <w:t xml:space="preserve"> decision. This rate of return will be updated annually because our decision is to apply a trailing average portfolio approach to estimating debt which incorporates annual updating of the allowed return on debt.</w:t>
            </w:r>
          </w:p>
        </w:tc>
      </w:tr>
      <w:tr w:rsidR="008C4D66" w:rsidTr="00682606">
        <w:tc>
          <w:tcPr>
            <w:tcW w:w="8693" w:type="dxa"/>
          </w:tcPr>
          <w:p w:rsidR="008C4D66" w:rsidRPr="007B3355" w:rsidRDefault="008C4D66" w:rsidP="00D842E7">
            <w:r>
              <w:t>In accordance with clause 6.12.1(5A) the AER</w:t>
            </w:r>
            <w:r w:rsidRPr="007B3355">
              <w:t xml:space="preserve">'s decision is that the return on debt is to be estimated using a methodology referred to in clause 6.5.2(i)(2) which is set out in attachment 3 (appendix I) of the </w:t>
            </w:r>
            <w:r>
              <w:t>preliminary</w:t>
            </w:r>
            <w:r w:rsidRPr="007B3355">
              <w:t xml:space="preserve"> decision. </w:t>
            </w:r>
          </w:p>
        </w:tc>
      </w:tr>
      <w:tr w:rsidR="008C4D66"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46153F" w:rsidRDefault="008C4D66" w:rsidP="00DD1AAF">
            <w:pPr>
              <w:numPr>
                <w:ilvl w:val="0"/>
                <w:numId w:val="24"/>
              </w:numPr>
            </w:pPr>
            <w:r>
              <w:t xml:space="preserve">In accordance with </w:t>
            </w:r>
            <w:r w:rsidRPr="008F6524">
              <w:t>clause 6.12.1(5B) the AER's decision on the value of imputation credits as referred to in clause 6.5.3 is to adopt a value of 0.4</w:t>
            </w:r>
            <w:r w:rsidRPr="0046153F">
              <w:t xml:space="preserve">. This </w:t>
            </w:r>
            <w:r>
              <w:t>is set out in a</w:t>
            </w:r>
            <w:r w:rsidRPr="0046153F">
              <w:t xml:space="preserve">ttachment 4 of the </w:t>
            </w:r>
            <w:r>
              <w:t xml:space="preserve">preliminary </w:t>
            </w:r>
            <w:r w:rsidRPr="0046153F">
              <w:t xml:space="preserve">decision. </w:t>
            </w:r>
          </w:p>
        </w:tc>
      </w:tr>
      <w:tr w:rsidR="008C4D66" w:rsidTr="00682606">
        <w:tc>
          <w:tcPr>
            <w:tcW w:w="8693" w:type="dxa"/>
          </w:tcPr>
          <w:p w:rsidR="008C4D66" w:rsidRPr="007B3355" w:rsidRDefault="008C4D66" w:rsidP="00D842E7">
            <w:r>
              <w:t>In accordance with clause 6.12.1(6) the AER's decision on Powercor’</w:t>
            </w:r>
            <w:r w:rsidRPr="007B3355">
              <w:t xml:space="preserve">s regulatory asset base as at 1 </w:t>
            </w:r>
            <w:r>
              <w:t>January 2016</w:t>
            </w:r>
            <w:r w:rsidRPr="007B3355">
              <w:t xml:space="preserve"> in accordance with clause 6.5.1 and schedule 6.</w:t>
            </w:r>
            <w:r w:rsidRPr="007B3355">
              <w:rPr>
                <w:rStyle w:val="AERbodytextChar"/>
                <w:rFonts w:eastAsia="Calibri"/>
              </w:rPr>
              <w:t xml:space="preserve">2 is </w:t>
            </w:r>
            <w:r w:rsidRPr="008F6524">
              <w:t>$3344.4</w:t>
            </w:r>
            <w:r w:rsidRPr="007B3355">
              <w:rPr>
                <w:rStyle w:val="AERbodytextChar"/>
                <w:rFonts w:eastAsia="Calibri"/>
              </w:rPr>
              <w:t xml:space="preserve"> million</w:t>
            </w:r>
            <w:r w:rsidRPr="007B3355">
              <w:t xml:space="preserve">. This is set out in attachment 2 of the </w:t>
            </w:r>
            <w:r>
              <w:t xml:space="preserve">preliminary </w:t>
            </w:r>
            <w:r w:rsidRPr="007B3355">
              <w:t>decision.</w:t>
            </w:r>
          </w:p>
        </w:tc>
      </w:tr>
      <w:tr w:rsidR="008C4D66"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46153F" w:rsidRDefault="008C4D66" w:rsidP="00D842E7">
            <w:pPr>
              <w:numPr>
                <w:ilvl w:val="0"/>
                <w:numId w:val="24"/>
              </w:numPr>
            </w:pPr>
            <w:r>
              <w:t>In accordance with clause 6.12.1(7)</w:t>
            </w:r>
            <w:r w:rsidRPr="0046153F">
              <w:t xml:space="preserve"> the AER does not accept </w:t>
            </w:r>
            <w:r>
              <w:t>Powercor’s</w:t>
            </w:r>
            <w:r w:rsidRPr="0046153F">
              <w:t xml:space="preserve"> proposed corporate income tax </w:t>
            </w:r>
            <w:r w:rsidRPr="007B3355">
              <w:rPr>
                <w:rStyle w:val="AERbodytextChar"/>
                <w:rFonts w:eastAsia="Calibri"/>
              </w:rPr>
              <w:t>of $</w:t>
            </w:r>
            <w:r w:rsidRPr="008F6524">
              <w:t>244.8</w:t>
            </w:r>
            <w:r w:rsidRPr="007B3355">
              <w:rPr>
                <w:rStyle w:val="AERbodytextChar"/>
                <w:rFonts w:eastAsia="Calibri"/>
              </w:rPr>
              <w:t xml:space="preserve"> million ($ nominal). Our decision on </w:t>
            </w:r>
            <w:r>
              <w:rPr>
                <w:rStyle w:val="AERbodytextChar"/>
                <w:rFonts w:eastAsia="Calibri"/>
              </w:rPr>
              <w:t>Powercor</w:t>
            </w:r>
            <w:r w:rsidRPr="007B3355">
              <w:rPr>
                <w:rStyle w:val="AERbodytextChar"/>
                <w:rFonts w:eastAsia="Calibri"/>
              </w:rPr>
              <w:t>'s corporate income tax is $</w:t>
            </w:r>
            <w:r w:rsidRPr="008F6524">
              <w:t>167.</w:t>
            </w:r>
            <w:r w:rsidR="00B123B4">
              <w:t>0</w:t>
            </w:r>
            <w:r w:rsidRPr="007B3355">
              <w:rPr>
                <w:rStyle w:val="AERbodytextChar"/>
                <w:rFonts w:eastAsia="Calibri"/>
              </w:rPr>
              <w:t xml:space="preserve"> million</w:t>
            </w:r>
            <w:r>
              <w:t xml:space="preserve"> ($</w:t>
            </w:r>
            <w:r w:rsidR="00B123B4">
              <w:t> </w:t>
            </w:r>
            <w:r w:rsidRPr="00685D0C">
              <w:t>nominal)</w:t>
            </w:r>
            <w:r w:rsidRPr="0046153F">
              <w:t>.</w:t>
            </w:r>
            <w:r>
              <w:t xml:space="preserve"> </w:t>
            </w:r>
            <w:r w:rsidRPr="0046153F">
              <w:t xml:space="preserve">This is set out in </w:t>
            </w:r>
            <w:r>
              <w:t>a</w:t>
            </w:r>
            <w:r w:rsidRPr="0046153F">
              <w:t xml:space="preserve">ttachment </w:t>
            </w:r>
            <w:r>
              <w:t>8</w:t>
            </w:r>
            <w:r w:rsidRPr="0046153F">
              <w:t xml:space="preserve"> of the</w:t>
            </w:r>
            <w:r>
              <w:t xml:space="preserve"> preliminary </w:t>
            </w:r>
            <w:r w:rsidRPr="0046153F">
              <w:t>decision</w:t>
            </w:r>
            <w:r>
              <w:t>.</w:t>
            </w:r>
          </w:p>
        </w:tc>
      </w:tr>
      <w:tr w:rsidR="008C4D66" w:rsidTr="00682606">
        <w:tc>
          <w:tcPr>
            <w:tcW w:w="8693" w:type="dxa"/>
          </w:tcPr>
          <w:p w:rsidR="008C4D66" w:rsidRPr="007B3355" w:rsidRDefault="008C4D66" w:rsidP="00D842E7">
            <w:r>
              <w:t xml:space="preserve">In accordance with clause 6.12.1(8) the AER's decision </w:t>
            </w:r>
            <w:r w:rsidRPr="007B3355">
              <w:t xml:space="preserve">is not to approve the depreciation schedules submitted by </w:t>
            </w:r>
            <w:r>
              <w:t>Powercor</w:t>
            </w:r>
            <w:r w:rsidRPr="007B3355">
              <w:t xml:space="preserve">. This is set out in attachment 5 of the </w:t>
            </w:r>
            <w:r>
              <w:t xml:space="preserve">preliminary </w:t>
            </w:r>
            <w:r w:rsidRPr="007B3355">
              <w:t>decision.</w:t>
            </w:r>
          </w:p>
        </w:tc>
      </w:tr>
      <w:tr w:rsidR="008C4D66"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682606">
            <w:r>
              <w:t>In accordance with clause 6.12.1(9) the AER</w:t>
            </w:r>
            <w:r w:rsidRPr="007B3355">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8C4D66" w:rsidRPr="007B3355" w:rsidRDefault="008C4D66" w:rsidP="00682606">
            <w:pPr>
              <w:pStyle w:val="AERbulletlistfirststyle"/>
            </w:pPr>
            <w:r w:rsidRPr="00DD74C3">
              <w:t>In accordance with clause 6.12.1(9) of the NER</w:t>
            </w:r>
            <w:r w:rsidRPr="007B3355">
              <w:t xml:space="preserve">, the AER's decision is to apply version 2 of the EBSS to </w:t>
            </w:r>
            <w:r>
              <w:t>Powercor</w:t>
            </w:r>
            <w:r w:rsidRPr="007B3355">
              <w:t xml:space="preserve"> in the 201</w:t>
            </w:r>
            <w:r>
              <w:t>6</w:t>
            </w:r>
            <w:r w:rsidRPr="007B3355">
              <w:t xml:space="preserve">–20 regulatory control period. </w:t>
            </w:r>
            <w:r>
              <w:t>This is set out in attachment 9 of</w:t>
            </w:r>
            <w:r w:rsidRPr="007B3355">
              <w:t xml:space="preserve"> </w:t>
            </w:r>
            <w:r>
              <w:t>the preliminary</w:t>
            </w:r>
            <w:r w:rsidRPr="007B3355">
              <w:t xml:space="preserve"> decision.</w:t>
            </w:r>
          </w:p>
          <w:p w:rsidR="008C4D66" w:rsidRDefault="008C4D66" w:rsidP="00682606">
            <w:pPr>
              <w:pStyle w:val="AERbulletlistfirststyle"/>
            </w:pPr>
            <w:r w:rsidRPr="00DD74C3">
              <w:t>In accordance with clause 6.12.1(9) of the NER</w:t>
            </w:r>
            <w:r w:rsidRPr="007B3355">
              <w:t xml:space="preserve">, we will apply the CESS as set out in version 1 of the Capital Expenditure Incentives Guideline </w:t>
            </w:r>
            <w:r>
              <w:t>to Powercor</w:t>
            </w:r>
            <w:r w:rsidRPr="007B3355">
              <w:t xml:space="preserve"> in the 201</w:t>
            </w:r>
            <w:r>
              <w:t>6</w:t>
            </w:r>
            <w:r w:rsidRPr="007B3355">
              <w:t xml:space="preserve">–20 regulatory control period. CESS is discussed in </w:t>
            </w:r>
            <w:r w:rsidRPr="007B3355">
              <w:lastRenderedPageBreak/>
              <w:t>attachment 10</w:t>
            </w:r>
            <w:r w:rsidR="00DD1AAF">
              <w:t xml:space="preserve"> of the preliminary decision</w:t>
            </w:r>
            <w:r w:rsidRPr="007B3355">
              <w:t>.</w:t>
            </w:r>
          </w:p>
          <w:p w:rsidR="008C4D66" w:rsidRDefault="008C4D66" w:rsidP="00382D67">
            <w:pPr>
              <w:pStyle w:val="AERbulletlistfirststyle"/>
            </w:pPr>
            <w:r>
              <w:t>In accordance with clause 6.12.1(9) of the NER, we will apply our Service Target Performance Incentive Scheme (</w:t>
            </w:r>
            <w:r w:rsidR="00DA25F1">
              <w:t>STPIS) to Powercor for the 2016–</w:t>
            </w:r>
            <w:r>
              <w:t>20 regulatory control period.</w:t>
            </w:r>
            <w:r w:rsidR="00DA25F1">
              <w:t xml:space="preserve"> STPIS is discussed in attachment 11 of the preliminary decision.</w:t>
            </w:r>
          </w:p>
          <w:p w:rsidR="008C4D66" w:rsidRDefault="008C4D66" w:rsidP="008F6524">
            <w:pPr>
              <w:pStyle w:val="AERbulletlistsecondstyle"/>
            </w:pPr>
            <w:r>
              <w:t xml:space="preserve">We will apply the System Average Interruption Duration Index (SAIDI), System Average Interruption Frequency Index (SAIFI) reliability of supply parameters, and momentary average interruption frequency index (MAIFI). We will also apply the customer service telephone answering parameter. We will not apply a guaranteed service level scheme as Powercor must comply with its existing Victorian jurisdictional guaranteed service level scheme. </w:t>
            </w:r>
          </w:p>
          <w:p w:rsidR="008C4D66" w:rsidRDefault="008C4D66" w:rsidP="008F6524">
            <w:pPr>
              <w:pStyle w:val="AERbulletlistsecondstyle"/>
            </w:pPr>
            <w:r>
              <w:t xml:space="preserve">A beta of 2.5 will be used to calculate the major event day boundary. </w:t>
            </w:r>
          </w:p>
          <w:p w:rsidR="008C4D66" w:rsidRDefault="008C4D66" w:rsidP="008F6524">
            <w:pPr>
              <w:pStyle w:val="AERbulletlistsecondstyle"/>
            </w:pPr>
            <w:r>
              <w:t>Our decision on the SAIDI and SAIFI incentive rates and performance targets to</w:t>
            </w:r>
            <w:r w:rsidR="00BD2C94">
              <w:t xml:space="preserve"> apply to Powercor for the 2016–</w:t>
            </w:r>
            <w:r>
              <w:t>20 regulatory control period are set out in tables 11</w:t>
            </w:r>
            <w:r w:rsidR="00BD2C94">
              <w:t>.</w:t>
            </w:r>
            <w:r>
              <w:t>1 and 11</w:t>
            </w:r>
            <w:r w:rsidR="00BD2C94">
              <w:t>.</w:t>
            </w:r>
            <w:r>
              <w:t>2 of attachment 11 of this preliminary decision.</w:t>
            </w:r>
          </w:p>
          <w:p w:rsidR="008C4D66" w:rsidRDefault="008C4D66" w:rsidP="008F6524">
            <w:pPr>
              <w:pStyle w:val="AERbulletlistsecondstyle"/>
            </w:pPr>
            <w:r>
              <w:t xml:space="preserve">Our decision on the customer service incentive rate and performance target are set out in section 11.1 of attachment 11 of this preliminary decision.  </w:t>
            </w:r>
          </w:p>
          <w:p w:rsidR="008C4D66" w:rsidRDefault="008C4D66" w:rsidP="008F6524">
            <w:pPr>
              <w:pStyle w:val="AERbulletlistsecondstyle"/>
            </w:pPr>
            <w:r>
              <w:t>The revenue at risk for Powercor will be capped at ±5.0 per cent. Within this there will be a cap of ±0.5 per cent on the telephone answering parameter for performance.</w:t>
            </w:r>
          </w:p>
          <w:p w:rsidR="008C4D66" w:rsidRDefault="008C4D66" w:rsidP="008F6524">
            <w:pPr>
              <w:pStyle w:val="ListContinue2"/>
            </w:pPr>
            <w:r>
              <w:t>Note: The meaning for year "t" under the price control formula for this determination is different to that in Appendix C of STPIS. Year "t+1" in Appendix C of STPIS is equivalent to year "t" in the price control formula of this decision.</w:t>
            </w:r>
          </w:p>
          <w:p w:rsidR="008C4D66" w:rsidRPr="007B3355" w:rsidRDefault="008C4D66" w:rsidP="008F6524">
            <w:pPr>
              <w:pStyle w:val="AERbulletlistfirststyle"/>
            </w:pPr>
            <w:r>
              <w:t>In accordance with Division 4 of Part 3 to the National Electricity (Victoria) Act 2005 and the NER, the AER will make a final adjustment to close out the ESCV's s-factor s</w:t>
            </w:r>
            <w:r w:rsidR="00BD2C94">
              <w:t>cheme for the 2006–</w:t>
            </w:r>
            <w:r>
              <w:t xml:space="preserve">10 </w:t>
            </w:r>
            <w:r w:rsidR="00BD2C94">
              <w:t xml:space="preserve">regulatory control </w:t>
            </w:r>
            <w:r>
              <w:t>period by including the adjustment amount shown in attachment 11 in the 'revenue adjustments' row of the post-tax revenue model.</w:t>
            </w:r>
          </w:p>
          <w:p w:rsidR="008C4D66" w:rsidRPr="007B3355" w:rsidRDefault="008C4D66" w:rsidP="00F620C4">
            <w:pPr>
              <w:pStyle w:val="AERbulletlistfirststyle"/>
            </w:pPr>
            <w:r>
              <w:t xml:space="preserve">The AER has </w:t>
            </w:r>
            <w:r w:rsidRPr="007B3355">
              <w:t xml:space="preserve">determined to continue Part A of the Demand Management Innovation </w:t>
            </w:r>
            <w:r>
              <w:t>Scheme</w:t>
            </w:r>
            <w:r w:rsidRPr="007B3355">
              <w:t xml:space="preserve"> (DMI</w:t>
            </w:r>
            <w:r>
              <w:t>S</w:t>
            </w:r>
            <w:r w:rsidRPr="007B3355">
              <w:t xml:space="preserve">) for </w:t>
            </w:r>
            <w:r>
              <w:t>Powercor</w:t>
            </w:r>
            <w:r w:rsidRPr="007B3355">
              <w:t xml:space="preserve"> in the 201</w:t>
            </w:r>
            <w:r>
              <w:t>6</w:t>
            </w:r>
            <w:r w:rsidRPr="007B3355">
              <w:t>–20 regulatory control period</w:t>
            </w:r>
            <w:r>
              <w:t xml:space="preserve"> (that is, the DMIA component)</w:t>
            </w:r>
            <w:r w:rsidRPr="007B3355">
              <w:t xml:space="preserve">. DMIS is discussed in attachment 12 of the </w:t>
            </w:r>
            <w:r>
              <w:t xml:space="preserve">preliminary </w:t>
            </w:r>
            <w:r w:rsidRPr="007B3355">
              <w:t>decision.</w:t>
            </w:r>
          </w:p>
        </w:tc>
      </w:tr>
      <w:tr w:rsidR="008C4D66" w:rsidTr="00682606">
        <w:tc>
          <w:tcPr>
            <w:tcW w:w="8693" w:type="dxa"/>
          </w:tcPr>
          <w:p w:rsidR="008C4D66" w:rsidRPr="007B3355" w:rsidRDefault="008C4D66" w:rsidP="00682606">
            <w:r w:rsidRPr="00D20B4A">
              <w:lastRenderedPageBreak/>
              <w:t>In accordance with clause 6.12.1(10) the AER's decision is that all appropriate amounts, values and inputs are as set out in this determination including attachments.</w:t>
            </w:r>
          </w:p>
        </w:tc>
      </w:tr>
      <w:tr w:rsidR="008C4D66" w:rsidRPr="007A08A0"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4E2581">
            <w:r w:rsidRPr="007A08A0">
              <w:t xml:space="preserve">In accordance with clause 6.12.1(11) the AER's decision on the form of control mechanisms </w:t>
            </w:r>
            <w:r w:rsidRPr="007B3355">
              <w:t xml:space="preserve">(including the X factor) for standard control services is a revenue cap. The revenue cap for </w:t>
            </w:r>
            <w:r>
              <w:t xml:space="preserve">Powercor </w:t>
            </w:r>
            <w:r w:rsidRPr="007B3355">
              <w:t xml:space="preserve">for any given regulatory year is the total annual revenue calculated using the formula in </w:t>
            </w:r>
            <w:r w:rsidR="004E2581">
              <w:rPr>
                <w:rStyle w:val="AERbodytextChar"/>
                <w:rFonts w:eastAsia="Calibri"/>
              </w:rPr>
              <w:t>attachment 14</w:t>
            </w:r>
            <w:r w:rsidRPr="007B3355">
              <w:t xml:space="preserve"> plus any adjustment required to move the DUoS under/over account to zero. This is discussed at attachment 14 in </w:t>
            </w:r>
            <w:r>
              <w:t>the preliminary</w:t>
            </w:r>
            <w:r w:rsidRPr="007B3355">
              <w:t xml:space="preserve"> decision.</w:t>
            </w:r>
          </w:p>
        </w:tc>
      </w:tr>
      <w:tr w:rsidR="008C4D66" w:rsidRPr="007A08A0" w:rsidTr="00682606">
        <w:tc>
          <w:tcPr>
            <w:tcW w:w="8693" w:type="dxa"/>
          </w:tcPr>
          <w:p w:rsidR="008C4D66" w:rsidRPr="007B3355" w:rsidRDefault="00A92396" w:rsidP="00D842E7">
            <w:r w:rsidRPr="00A92396">
              <w:t>In accordance with clause 6.12.1(12) the AER's decision on the form of the control mechanism for alternative control services is to apply price caps for all services other than metering, for which a revenue cap will apply. This is discussed in attachment 16 in the preliminary decision.</w:t>
            </w:r>
          </w:p>
        </w:tc>
      </w:tr>
      <w:tr w:rsidR="008C4D66" w:rsidRPr="007A08A0"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D842E7">
            <w:r w:rsidRPr="007A08A0">
              <w:t>In accordance with clause 6.12.1(13)</w:t>
            </w:r>
            <w:r w:rsidRPr="007B3355">
              <w:t xml:space="preserve">, to demonstrate compliance with its distribution determination, the AER's decision is </w:t>
            </w:r>
            <w:r>
              <w:t>Powercor</w:t>
            </w:r>
            <w:r w:rsidRPr="007B3355">
              <w:t xml:space="preserve"> must maintain a DUoS unders and overs account. It must provide information on this account to us in its annual pricing proposal. This is discussed in attachment 14 in </w:t>
            </w:r>
            <w:r>
              <w:t>the preliminary</w:t>
            </w:r>
            <w:r w:rsidRPr="007B3355">
              <w:t xml:space="preserve"> decision.</w:t>
            </w:r>
          </w:p>
        </w:tc>
      </w:tr>
      <w:tr w:rsidR="008C4D66" w:rsidTr="00682606">
        <w:tc>
          <w:tcPr>
            <w:tcW w:w="8693" w:type="dxa"/>
          </w:tcPr>
          <w:p w:rsidR="008C4D66" w:rsidRPr="007B3355" w:rsidRDefault="008C4D66" w:rsidP="00682606">
            <w:r w:rsidRPr="0078506D">
              <w:t>In accordance with clause 6.12.1(14) the AER's decision on the additional pass through event</w:t>
            </w:r>
            <w:r>
              <w:t>s that are to apply is to not</w:t>
            </w:r>
            <w:r w:rsidRPr="0078506D">
              <w:t xml:space="preserve"> accept the nominated pass through events as </w:t>
            </w:r>
            <w:r w:rsidRPr="007B3355">
              <w:t xml:space="preserve">proposed by </w:t>
            </w:r>
            <w:r>
              <w:t>Powercor</w:t>
            </w:r>
            <w:r w:rsidRPr="007B3355">
              <w:t>. The AER also substitutes its own definitions for the following events:</w:t>
            </w:r>
          </w:p>
          <w:p w:rsidR="008C4D66" w:rsidRDefault="008C4D66" w:rsidP="00632A83">
            <w:pPr>
              <w:pStyle w:val="AERbulletlistfirststyle"/>
            </w:pPr>
            <w:r>
              <w:t>insurance event</w:t>
            </w:r>
          </w:p>
          <w:p w:rsidR="008C4D66" w:rsidRDefault="008C4D66" w:rsidP="00632A83">
            <w:pPr>
              <w:pStyle w:val="AERbulletlistfirststyle"/>
            </w:pPr>
            <w:r>
              <w:t>insurer credit risk event</w:t>
            </w:r>
          </w:p>
          <w:p w:rsidR="008C4D66" w:rsidRDefault="008C4D66" w:rsidP="00632A83">
            <w:pPr>
              <w:pStyle w:val="AERbulletlistfirststyle"/>
            </w:pPr>
            <w:r>
              <w:t>natural disaster event</w:t>
            </w:r>
          </w:p>
          <w:p w:rsidR="008C4D66" w:rsidRDefault="008C4D66" w:rsidP="00632A83">
            <w:pPr>
              <w:pStyle w:val="AERbulletlistfirststyle"/>
            </w:pPr>
            <w:r>
              <w:t>terrorism event</w:t>
            </w:r>
          </w:p>
          <w:p w:rsidR="008C4D66" w:rsidRPr="00632A83" w:rsidRDefault="008C4D66" w:rsidP="00632A83">
            <w:pPr>
              <w:pStyle w:val="AERbulletlistfirststyle"/>
            </w:pPr>
            <w:r>
              <w:t>retailer failure event.</w:t>
            </w:r>
          </w:p>
        </w:tc>
      </w:tr>
      <w:tr w:rsidR="008C4D66" w:rsidRPr="007A08A0"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D842E7">
            <w:r w:rsidRPr="007A08A0">
              <w:t>In accordance with clause 6.12.1(15) the AER's decision</w:t>
            </w:r>
            <w:r w:rsidRPr="007B3355">
              <w:t xml:space="preserve"> is to approve </w:t>
            </w:r>
            <w:r>
              <w:t>Powercor’</w:t>
            </w:r>
            <w:r w:rsidRPr="007B3355">
              <w:t xml:space="preserve">s proposed negotiating framework. </w:t>
            </w:r>
            <w:r w:rsidRPr="007B3355">
              <w:lastRenderedPageBreak/>
              <w:t xml:space="preserve">The negotiating framework that is to apply to </w:t>
            </w:r>
            <w:r>
              <w:t>Powercor</w:t>
            </w:r>
            <w:r w:rsidRPr="007B3355">
              <w:t xml:space="preserve"> is set out at attachment 17 of the </w:t>
            </w:r>
            <w:r>
              <w:t xml:space="preserve">preliminary </w:t>
            </w:r>
            <w:r w:rsidRPr="007B3355">
              <w:t xml:space="preserve">decision. </w:t>
            </w:r>
          </w:p>
        </w:tc>
      </w:tr>
      <w:tr w:rsidR="008C4D66" w:rsidRPr="007A08A0" w:rsidTr="00682606">
        <w:tc>
          <w:tcPr>
            <w:tcW w:w="8693" w:type="dxa"/>
          </w:tcPr>
          <w:p w:rsidR="008C4D66" w:rsidRPr="007B3355" w:rsidRDefault="008C4D66" w:rsidP="00D842E7">
            <w:r w:rsidRPr="007A08A0">
              <w:lastRenderedPageBreak/>
              <w:t xml:space="preserve">In accordance with clause 6.12.1(16) the AER's decision </w:t>
            </w:r>
            <w:r w:rsidRPr="007B3355">
              <w:t xml:space="preserve">is to apply the negotiated distribution services criteria published in </w:t>
            </w:r>
            <w:r>
              <w:t>May 2015</w:t>
            </w:r>
            <w:r w:rsidRPr="007B3355">
              <w:t xml:space="preserve"> to </w:t>
            </w:r>
            <w:r>
              <w:t>Powercor</w:t>
            </w:r>
            <w:r w:rsidRPr="007B3355">
              <w:t>. This is set out is at attachment 17of the</w:t>
            </w:r>
            <w:r>
              <w:t xml:space="preserve"> preliminary</w:t>
            </w:r>
            <w:r w:rsidRPr="007B3355">
              <w:t xml:space="preserve"> decision.</w:t>
            </w:r>
          </w:p>
        </w:tc>
      </w:tr>
      <w:tr w:rsidR="008C4D66" w:rsidRPr="007A08A0"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D842E7">
            <w:r w:rsidRPr="00995832">
              <w:t xml:space="preserve">In accordance with clause 6.12.1(17) the </w:t>
            </w:r>
            <w:r w:rsidRPr="007B3355">
              <w:t xml:space="preserve">AER's decision on the procedures for assigning retail customers to tariff classes for </w:t>
            </w:r>
            <w:r>
              <w:t xml:space="preserve">Powercor </w:t>
            </w:r>
            <w:r w:rsidRPr="007B3355">
              <w:t xml:space="preserve">is set out at attachment 14 of the </w:t>
            </w:r>
            <w:r>
              <w:t>preliminary</w:t>
            </w:r>
            <w:r w:rsidRPr="007B3355">
              <w:t xml:space="preserve"> decision. </w:t>
            </w:r>
          </w:p>
        </w:tc>
      </w:tr>
      <w:tr w:rsidR="008C4D66" w:rsidRPr="007A08A0" w:rsidTr="00682606">
        <w:tc>
          <w:tcPr>
            <w:tcW w:w="8693" w:type="dxa"/>
          </w:tcPr>
          <w:p w:rsidR="008C4D66" w:rsidRPr="007B3355" w:rsidRDefault="008C4D66" w:rsidP="00D842E7">
            <w:r w:rsidRPr="00995832">
              <w:t xml:space="preserve">In accordance with clause 6.12.1(18) the AER's decision on regulatory depreciation is that the forecast depreciation approach is to be used to establish the RAB at the commencement of </w:t>
            </w:r>
            <w:r>
              <w:t>Powercor’</w:t>
            </w:r>
            <w:r w:rsidRPr="007B3355">
              <w:t xml:space="preserve">s regulatory control period (1 </w:t>
            </w:r>
            <w:r>
              <w:t>January</w:t>
            </w:r>
            <w:r w:rsidRPr="007B3355">
              <w:t xml:space="preserve"> 202</w:t>
            </w:r>
            <w:r>
              <w:t>1</w:t>
            </w:r>
            <w:r w:rsidRPr="007B3355">
              <w:t xml:space="preserve">). This is discussed in attachment 2 of </w:t>
            </w:r>
            <w:r w:rsidR="008F6524" w:rsidRPr="007B3355">
              <w:t>the</w:t>
            </w:r>
            <w:r w:rsidR="008F6524">
              <w:t xml:space="preserve"> preliminary</w:t>
            </w:r>
            <w:r w:rsidRPr="007B3355">
              <w:t xml:space="preserve"> decision. </w:t>
            </w:r>
          </w:p>
        </w:tc>
      </w:tr>
      <w:tr w:rsidR="008C4D66" w:rsidRPr="007A08A0"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8C4D66" w:rsidP="00D842E7">
            <w:r w:rsidRPr="00995832">
              <w:t xml:space="preserve">In accordance with clause 6.12.1(19) the AER's decision on how </w:t>
            </w:r>
            <w:r>
              <w:t>Powercor</w:t>
            </w:r>
            <w:r w:rsidRPr="007B3355">
              <w:t xml:space="preserve"> is to report to the AER on its recovery of designated pricing proposal charges is to set this out in its annual pricing proposal. The method to account for the under and over recovery of designated pricing proposal charges is discussed in attachment 14 of the </w:t>
            </w:r>
            <w:r>
              <w:t>preliminary</w:t>
            </w:r>
            <w:r w:rsidRPr="007B3355">
              <w:t xml:space="preserve"> decision.</w:t>
            </w:r>
          </w:p>
        </w:tc>
      </w:tr>
      <w:tr w:rsidR="008C4D66" w:rsidRPr="007A08A0" w:rsidTr="00682606">
        <w:tc>
          <w:tcPr>
            <w:tcW w:w="8693" w:type="dxa"/>
          </w:tcPr>
          <w:p w:rsidR="008C4D66" w:rsidRPr="007B3355" w:rsidRDefault="008C4D66" w:rsidP="00D842E7">
            <w:r w:rsidRPr="00995832">
              <w:t>In accordance with clause 6.12.1(20) the AER's decision is</w:t>
            </w:r>
            <w:r w:rsidRPr="007B3355">
              <w:t xml:space="preserve"> we require </w:t>
            </w:r>
            <w:r>
              <w:t>Powercor</w:t>
            </w:r>
            <w:r w:rsidRPr="007B3355">
              <w:t xml:space="preserve"> to maintain a jurisdictional scheme unders and overs account. It must provide information on this account to us in its annual pricing proposal as set out in attachment 14 of the </w:t>
            </w:r>
            <w:r>
              <w:t xml:space="preserve">preliminary </w:t>
            </w:r>
            <w:r w:rsidRPr="007B3355">
              <w:t>decision.</w:t>
            </w:r>
          </w:p>
        </w:tc>
      </w:tr>
      <w:tr w:rsidR="008C4D66" w:rsidTr="00682606">
        <w:trPr>
          <w:cnfStyle w:val="000000010000" w:firstRow="0" w:lastRow="0" w:firstColumn="0" w:lastColumn="0" w:oddVBand="0" w:evenVBand="0" w:oddHBand="0" w:evenHBand="1" w:firstRowFirstColumn="0" w:firstRowLastColumn="0" w:lastRowFirstColumn="0" w:lastRowLastColumn="0"/>
        </w:trPr>
        <w:tc>
          <w:tcPr>
            <w:tcW w:w="8693" w:type="dxa"/>
          </w:tcPr>
          <w:p w:rsidR="008C4D66" w:rsidRPr="007B3355" w:rsidRDefault="00DA3831" w:rsidP="00D842E7">
            <w:r w:rsidRPr="00DA3831">
              <w:t>In accordance with section 16C of the National Electricity (Victoria) Act 2005, the NEL, the NER and the Victorian F-Factor Scheme Order In Council 2011, we will apply the f-factor scheme based on an incentive rate of $25,000 per fire start higher/lower than the</w:t>
            </w:r>
            <w:r w:rsidR="00FE3FED">
              <w:t xml:space="preserve"> f-factor target as set out in a</w:t>
            </w:r>
            <w:r w:rsidR="00870C43">
              <w:t>ttachment 18 of the preliminary decision</w:t>
            </w:r>
            <w:r w:rsidRPr="00DA3831">
              <w:t>.</w:t>
            </w:r>
          </w:p>
        </w:tc>
      </w:tr>
      <w:bookmarkEnd w:id="155"/>
    </w:tbl>
    <w:p w:rsidR="002D1033" w:rsidRDefault="002D1033">
      <w:pPr>
        <w:spacing w:line="240" w:lineRule="auto"/>
        <w:rPr>
          <w:rFonts w:eastAsiaTheme="majorEastAsia" w:cstheme="majorBidi"/>
          <w:b/>
          <w:bCs/>
          <w:color w:val="70635A" w:themeColor="text2"/>
          <w:sz w:val="32"/>
          <w:szCs w:val="26"/>
        </w:rPr>
      </w:pPr>
      <w:r>
        <w:br w:type="page"/>
      </w:r>
    </w:p>
    <w:p w:rsidR="002D1033" w:rsidRDefault="002D1033" w:rsidP="002D1033">
      <w:pPr>
        <w:pStyle w:val="Heading7"/>
      </w:pPr>
      <w:bookmarkStart w:id="156" w:name="_Toc433786823"/>
      <w:r>
        <w:lastRenderedPageBreak/>
        <w:t>List of Submissions</w:t>
      </w:r>
      <w:bookmarkEnd w:id="156"/>
    </w:p>
    <w:p w:rsidR="002D1033" w:rsidRDefault="002D1033" w:rsidP="002D1033">
      <w:r>
        <w:t xml:space="preserve">We received </w:t>
      </w:r>
      <w:r w:rsidR="00A85AFD">
        <w:t xml:space="preserve">29 </w:t>
      </w:r>
      <w:r>
        <w:t>submissions in response to Powercor’s regulatory proposal as listed below:</w:t>
      </w:r>
    </w:p>
    <w:tbl>
      <w:tblPr>
        <w:tblStyle w:val="AERtable-text0"/>
        <w:tblW w:w="0" w:type="auto"/>
        <w:tblLook w:val="04A0" w:firstRow="1" w:lastRow="0" w:firstColumn="1" w:lastColumn="0" w:noHBand="0" w:noVBand="1"/>
      </w:tblPr>
      <w:tblGrid>
        <w:gridCol w:w="534"/>
        <w:gridCol w:w="4394"/>
        <w:gridCol w:w="1417"/>
        <w:gridCol w:w="2348"/>
      </w:tblGrid>
      <w:tr w:rsidR="002D1033" w:rsidTr="00A85AFD">
        <w:trPr>
          <w:cnfStyle w:val="100000000000" w:firstRow="1" w:lastRow="0" w:firstColumn="0" w:lastColumn="0" w:oddVBand="0" w:evenVBand="0" w:oddHBand="0" w:evenHBand="0" w:firstRowFirstColumn="0" w:firstRowLastColumn="0" w:lastRowFirstColumn="0" w:lastRowLastColumn="0"/>
          <w:tblHeader/>
        </w:trPr>
        <w:tc>
          <w:tcPr>
            <w:tcW w:w="534" w:type="dxa"/>
          </w:tcPr>
          <w:p w:rsidR="002D1033" w:rsidRDefault="002D1033" w:rsidP="00A85AFD"/>
        </w:tc>
        <w:tc>
          <w:tcPr>
            <w:tcW w:w="4394" w:type="dxa"/>
          </w:tcPr>
          <w:p w:rsidR="002D1033" w:rsidRPr="00B32B1E" w:rsidRDefault="002D1033" w:rsidP="00A85AFD">
            <w:r>
              <w:t>Submission from</w:t>
            </w:r>
          </w:p>
        </w:tc>
        <w:tc>
          <w:tcPr>
            <w:tcW w:w="1417" w:type="dxa"/>
          </w:tcPr>
          <w:p w:rsidR="002D1033" w:rsidRPr="00B32B1E" w:rsidRDefault="002D1033" w:rsidP="00A85AFD">
            <w:r>
              <w:t>Date received</w:t>
            </w:r>
          </w:p>
        </w:tc>
        <w:tc>
          <w:tcPr>
            <w:tcW w:w="2348" w:type="dxa"/>
          </w:tcPr>
          <w:p w:rsidR="002D1033" w:rsidRPr="00B32B1E" w:rsidRDefault="002D1033" w:rsidP="00A85AFD">
            <w:r>
              <w:t>Submission on</w:t>
            </w:r>
          </w:p>
        </w:tc>
      </w:tr>
      <w:tr w:rsidR="002D1033" w:rsidTr="00A85AFD">
        <w:tc>
          <w:tcPr>
            <w:tcW w:w="534" w:type="dxa"/>
          </w:tcPr>
          <w:p w:rsidR="002D1033" w:rsidRDefault="002D1033" w:rsidP="00A85AFD">
            <w:r>
              <w:t>1</w:t>
            </w:r>
          </w:p>
        </w:tc>
        <w:tc>
          <w:tcPr>
            <w:tcW w:w="4394" w:type="dxa"/>
            <w:vAlign w:val="top"/>
          </w:tcPr>
          <w:p w:rsidR="002D1033" w:rsidRDefault="002D1033" w:rsidP="00A85AFD">
            <w:r>
              <w:t>Bendigo Manufacturing Group</w:t>
            </w:r>
          </w:p>
        </w:tc>
        <w:tc>
          <w:tcPr>
            <w:tcW w:w="1417" w:type="dxa"/>
          </w:tcPr>
          <w:p w:rsidR="002D1033" w:rsidRDefault="002D1033" w:rsidP="00A85AFD">
            <w:r>
              <w:t>13/</w:t>
            </w:r>
            <w:r w:rsidR="00D842E7">
              <w:t>0</w:t>
            </w:r>
            <w:r>
              <w:t>7/2015</w:t>
            </w:r>
          </w:p>
        </w:tc>
        <w:tc>
          <w:tcPr>
            <w:tcW w:w="2348" w:type="dxa"/>
          </w:tcPr>
          <w:p w:rsidR="002D1033"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2</w:t>
            </w:r>
          </w:p>
        </w:tc>
        <w:tc>
          <w:tcPr>
            <w:tcW w:w="4394" w:type="dxa"/>
            <w:vAlign w:val="top"/>
          </w:tcPr>
          <w:p w:rsidR="002D1033" w:rsidRPr="00AB7E11" w:rsidRDefault="002D1033" w:rsidP="00A85AFD">
            <w:r>
              <w:t>Cardinia Shire Council</w:t>
            </w:r>
          </w:p>
        </w:tc>
        <w:tc>
          <w:tcPr>
            <w:tcW w:w="1417" w:type="dxa"/>
          </w:tcPr>
          <w:p w:rsidR="002D1033" w:rsidRPr="00AB7E11" w:rsidRDefault="00D842E7" w:rsidP="00A85AFD">
            <w:r>
              <w:t>0</w:t>
            </w:r>
            <w:r w:rsidR="002D1033">
              <w:t>1/</w:t>
            </w:r>
            <w:r>
              <w:t>0</w:t>
            </w:r>
            <w:r w:rsidR="002D1033">
              <w:t>7/2015</w:t>
            </w:r>
          </w:p>
        </w:tc>
        <w:tc>
          <w:tcPr>
            <w:tcW w:w="2348" w:type="dxa"/>
          </w:tcPr>
          <w:p w:rsidR="002D1033" w:rsidRPr="00AB7E11" w:rsidRDefault="002D1033" w:rsidP="00A85AFD">
            <w:r>
              <w:t>Public Lighting</w:t>
            </w:r>
          </w:p>
        </w:tc>
      </w:tr>
      <w:tr w:rsidR="002D1033" w:rsidTr="00A85AFD">
        <w:tc>
          <w:tcPr>
            <w:tcW w:w="534" w:type="dxa"/>
          </w:tcPr>
          <w:p w:rsidR="002D1033" w:rsidRDefault="002D1033" w:rsidP="00A85AFD">
            <w:r>
              <w:t>3</w:t>
            </w:r>
          </w:p>
        </w:tc>
        <w:tc>
          <w:tcPr>
            <w:tcW w:w="4394" w:type="dxa"/>
            <w:vAlign w:val="top"/>
          </w:tcPr>
          <w:p w:rsidR="002D1033" w:rsidRPr="00AB7E11" w:rsidRDefault="002D1033" w:rsidP="00A85AFD">
            <w:r>
              <w:t>CitiPower Powercor</w:t>
            </w:r>
          </w:p>
        </w:tc>
        <w:tc>
          <w:tcPr>
            <w:tcW w:w="1417" w:type="dxa"/>
          </w:tcPr>
          <w:p w:rsidR="002D1033" w:rsidRPr="00AB7E11" w:rsidRDefault="002D1033" w:rsidP="00A85AFD">
            <w:r>
              <w:t>13/</w:t>
            </w:r>
            <w:r w:rsidR="00D842E7">
              <w:t>0</w:t>
            </w:r>
            <w:r>
              <w:t>7/2015</w:t>
            </w:r>
          </w:p>
        </w:tc>
        <w:tc>
          <w:tcPr>
            <w:tcW w:w="2348" w:type="dxa"/>
          </w:tcPr>
          <w:p w:rsidR="002D1033" w:rsidRPr="00AB7E11"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4</w:t>
            </w:r>
          </w:p>
        </w:tc>
        <w:tc>
          <w:tcPr>
            <w:tcW w:w="4394" w:type="dxa"/>
            <w:vAlign w:val="top"/>
          </w:tcPr>
          <w:p w:rsidR="002D1033" w:rsidRPr="00AB7E11" w:rsidRDefault="002D1033" w:rsidP="00A85AFD">
            <w:r>
              <w:t>Citelum Group</w:t>
            </w:r>
          </w:p>
        </w:tc>
        <w:tc>
          <w:tcPr>
            <w:tcW w:w="1417" w:type="dxa"/>
          </w:tcPr>
          <w:p w:rsidR="002D1033" w:rsidRPr="00AB7E11" w:rsidRDefault="002D1033" w:rsidP="00A85AFD">
            <w:r>
              <w:t>24/</w:t>
            </w:r>
            <w:r w:rsidR="00D842E7">
              <w:t>0</w:t>
            </w:r>
            <w:r>
              <w:t>6/2015</w:t>
            </w:r>
          </w:p>
        </w:tc>
        <w:tc>
          <w:tcPr>
            <w:tcW w:w="2348" w:type="dxa"/>
          </w:tcPr>
          <w:p w:rsidR="002D1033" w:rsidRPr="00AB7E11" w:rsidRDefault="002D1033" w:rsidP="00A85AFD">
            <w:r>
              <w:t>Public Lighting</w:t>
            </w:r>
          </w:p>
        </w:tc>
      </w:tr>
      <w:tr w:rsidR="002D1033" w:rsidTr="00A85AFD">
        <w:tc>
          <w:tcPr>
            <w:tcW w:w="534" w:type="dxa"/>
          </w:tcPr>
          <w:p w:rsidR="002D1033" w:rsidRPr="00AB7E11" w:rsidRDefault="002D1033" w:rsidP="00A85AFD">
            <w:r>
              <w:t>5</w:t>
            </w:r>
          </w:p>
        </w:tc>
        <w:tc>
          <w:tcPr>
            <w:tcW w:w="4394" w:type="dxa"/>
            <w:vAlign w:val="top"/>
          </w:tcPr>
          <w:p w:rsidR="002D1033" w:rsidRPr="00AB7E11" w:rsidRDefault="002D1033" w:rsidP="00A85AFD">
            <w:r>
              <w:t>City of Greater Dandenong</w:t>
            </w:r>
          </w:p>
        </w:tc>
        <w:tc>
          <w:tcPr>
            <w:tcW w:w="1417" w:type="dxa"/>
          </w:tcPr>
          <w:p w:rsidR="002D1033" w:rsidRPr="00AB7E11" w:rsidRDefault="002D1033" w:rsidP="00A85AFD">
            <w:r>
              <w:t>10/</w:t>
            </w:r>
            <w:r w:rsidR="00D842E7">
              <w:t>0</w:t>
            </w:r>
            <w:r>
              <w:t>7/2015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6</w:t>
            </w:r>
          </w:p>
        </w:tc>
        <w:tc>
          <w:tcPr>
            <w:tcW w:w="4394" w:type="dxa"/>
            <w:vAlign w:val="top"/>
          </w:tcPr>
          <w:p w:rsidR="002D1033" w:rsidRPr="00AB7E11" w:rsidRDefault="002D1033" w:rsidP="00A85AFD">
            <w:r>
              <w:t>City of Casey</w:t>
            </w:r>
          </w:p>
        </w:tc>
        <w:tc>
          <w:tcPr>
            <w:tcW w:w="1417" w:type="dxa"/>
          </w:tcPr>
          <w:p w:rsidR="002D1033" w:rsidRPr="00AB7E11" w:rsidRDefault="002D1033" w:rsidP="00A85AFD">
            <w:r>
              <w:t>13/</w:t>
            </w:r>
            <w:r w:rsidR="00D842E7">
              <w:t>0</w:t>
            </w:r>
            <w:r>
              <w:t>7/2015</w:t>
            </w:r>
          </w:p>
        </w:tc>
        <w:tc>
          <w:tcPr>
            <w:tcW w:w="2348" w:type="dxa"/>
          </w:tcPr>
          <w:p w:rsidR="002D1033" w:rsidRPr="00AB7E11" w:rsidRDefault="002D1033" w:rsidP="00A85AFD">
            <w:r>
              <w:t>Public Lighting</w:t>
            </w:r>
          </w:p>
        </w:tc>
      </w:tr>
      <w:tr w:rsidR="002D1033" w:rsidTr="00A85AFD">
        <w:tc>
          <w:tcPr>
            <w:tcW w:w="534" w:type="dxa"/>
          </w:tcPr>
          <w:p w:rsidR="002D1033" w:rsidRPr="00AB7E11" w:rsidRDefault="002D1033" w:rsidP="00A85AFD">
            <w:r>
              <w:t>7</w:t>
            </w:r>
          </w:p>
        </w:tc>
        <w:tc>
          <w:tcPr>
            <w:tcW w:w="4394" w:type="dxa"/>
            <w:vAlign w:val="top"/>
          </w:tcPr>
          <w:p w:rsidR="002D1033" w:rsidRPr="00AB7E11" w:rsidRDefault="002D1033" w:rsidP="00A85AFD">
            <w:r>
              <w:t>City of Greater Bendigo</w:t>
            </w:r>
          </w:p>
        </w:tc>
        <w:tc>
          <w:tcPr>
            <w:tcW w:w="1417" w:type="dxa"/>
          </w:tcPr>
          <w:p w:rsidR="002D1033" w:rsidRPr="00AB7E11" w:rsidRDefault="002D1033" w:rsidP="00A85AFD">
            <w:r>
              <w:t>13/</w:t>
            </w:r>
            <w:r w:rsidR="00D842E7">
              <w:t>0</w:t>
            </w:r>
            <w:r>
              <w:t>7/</w:t>
            </w:r>
            <w:r w:rsidRPr="00AB7E11">
              <w:t>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8</w:t>
            </w:r>
          </w:p>
        </w:tc>
        <w:tc>
          <w:tcPr>
            <w:tcW w:w="4394" w:type="dxa"/>
            <w:vAlign w:val="top"/>
          </w:tcPr>
          <w:p w:rsidR="002D1033" w:rsidRPr="00AB7E11" w:rsidRDefault="002D1033" w:rsidP="00A85AFD">
            <w:r>
              <w:t>City of Greater Geelong</w:t>
            </w:r>
          </w:p>
        </w:tc>
        <w:tc>
          <w:tcPr>
            <w:tcW w:w="1417" w:type="dxa"/>
          </w:tcPr>
          <w:p w:rsidR="002D1033" w:rsidRPr="00AB7E11" w:rsidRDefault="002D1033" w:rsidP="00A85AFD">
            <w:r>
              <w:t>13/</w:t>
            </w:r>
            <w:r w:rsidR="00D842E7">
              <w:t>0</w:t>
            </w:r>
            <w:r>
              <w:t>7/2015</w:t>
            </w:r>
          </w:p>
        </w:tc>
        <w:tc>
          <w:tcPr>
            <w:tcW w:w="2348" w:type="dxa"/>
          </w:tcPr>
          <w:p w:rsidR="002D1033" w:rsidRPr="00AB7E11" w:rsidRDefault="002D1033" w:rsidP="00A85AFD">
            <w:r>
              <w:t>Public Lighting</w:t>
            </w:r>
          </w:p>
        </w:tc>
      </w:tr>
      <w:tr w:rsidR="002D1033" w:rsidTr="00A85AFD">
        <w:tc>
          <w:tcPr>
            <w:tcW w:w="534" w:type="dxa"/>
          </w:tcPr>
          <w:p w:rsidR="002D1033" w:rsidRDefault="002D1033" w:rsidP="00A85AFD">
            <w:r>
              <w:t>9</w:t>
            </w:r>
          </w:p>
        </w:tc>
        <w:tc>
          <w:tcPr>
            <w:tcW w:w="4394" w:type="dxa"/>
            <w:vAlign w:val="top"/>
          </w:tcPr>
          <w:p w:rsidR="002D1033" w:rsidRPr="00AB7E11" w:rsidRDefault="002D1033" w:rsidP="00A85AFD">
            <w:r>
              <w:t>City of Mooney Valley</w:t>
            </w:r>
          </w:p>
        </w:tc>
        <w:tc>
          <w:tcPr>
            <w:tcW w:w="1417" w:type="dxa"/>
          </w:tcPr>
          <w:p w:rsidR="002D1033" w:rsidRPr="00AB7E11" w:rsidRDefault="00D842E7" w:rsidP="00A85AFD">
            <w:r>
              <w:t>0</w:t>
            </w:r>
            <w:r w:rsidR="002D1033">
              <w:t>7</w:t>
            </w:r>
            <w:r w:rsidR="002D1033" w:rsidRPr="00AB7E11">
              <w:t>/</w:t>
            </w:r>
            <w:r>
              <w:t>0</w:t>
            </w:r>
            <w:r w:rsidR="002D1033" w:rsidRPr="00AB7E11">
              <w:t>7/2015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Default="002D1033" w:rsidP="00A85AFD">
            <w:r>
              <w:t>10</w:t>
            </w:r>
          </w:p>
        </w:tc>
        <w:tc>
          <w:tcPr>
            <w:tcW w:w="4394" w:type="dxa"/>
            <w:vAlign w:val="top"/>
          </w:tcPr>
          <w:p w:rsidR="002D1033" w:rsidRPr="00AB7E11" w:rsidRDefault="002D1033" w:rsidP="00A85AFD">
            <w:r>
              <w:t>Consumer Challenge Panel Sub-Panel 3</w:t>
            </w:r>
          </w:p>
        </w:tc>
        <w:tc>
          <w:tcPr>
            <w:tcW w:w="1417" w:type="dxa"/>
          </w:tcPr>
          <w:p w:rsidR="002D1033" w:rsidRPr="00AB7E11" w:rsidRDefault="002D1033" w:rsidP="00A85AFD">
            <w:r>
              <w:t>23/</w:t>
            </w:r>
            <w:r w:rsidR="00D842E7">
              <w:t>0</w:t>
            </w:r>
            <w:r>
              <w:t>5/2015</w:t>
            </w:r>
          </w:p>
        </w:tc>
        <w:tc>
          <w:tcPr>
            <w:tcW w:w="2348" w:type="dxa"/>
          </w:tcPr>
          <w:p w:rsidR="002D1033" w:rsidRPr="00AB7E11" w:rsidRDefault="002D1033" w:rsidP="00A85AFD">
            <w:r>
              <w:t>Regulatory Proposals</w:t>
            </w:r>
          </w:p>
        </w:tc>
      </w:tr>
      <w:tr w:rsidR="002D1033" w:rsidTr="00A85AFD">
        <w:tc>
          <w:tcPr>
            <w:tcW w:w="534" w:type="dxa"/>
          </w:tcPr>
          <w:p w:rsidR="002D1033" w:rsidRPr="00AB7E11" w:rsidRDefault="002D1033" w:rsidP="00A85AFD">
            <w:r>
              <w:t>11</w:t>
            </w:r>
          </w:p>
        </w:tc>
        <w:tc>
          <w:tcPr>
            <w:tcW w:w="4394" w:type="dxa"/>
            <w:vAlign w:val="top"/>
          </w:tcPr>
          <w:p w:rsidR="002D1033" w:rsidRPr="00AB7E11" w:rsidRDefault="002D1033" w:rsidP="00A85AFD">
            <w:r>
              <w:t>Consumer Challenge Panel Sub-Panel 3</w:t>
            </w:r>
          </w:p>
        </w:tc>
        <w:tc>
          <w:tcPr>
            <w:tcW w:w="1417" w:type="dxa"/>
          </w:tcPr>
          <w:p w:rsidR="002D1033" w:rsidRPr="00AB7E11" w:rsidRDefault="00F8634F" w:rsidP="00A85AFD">
            <w:r>
              <w:t>0</w:t>
            </w:r>
            <w:r w:rsidR="002D1033">
              <w:t>5/</w:t>
            </w:r>
            <w:r>
              <w:t>0</w:t>
            </w:r>
            <w:r w:rsidR="002D1033">
              <w:t>8/2015</w:t>
            </w:r>
          </w:p>
        </w:tc>
        <w:tc>
          <w:tcPr>
            <w:tcW w:w="2348" w:type="dxa"/>
          </w:tcPr>
          <w:p w:rsidR="002D1033" w:rsidRPr="00AB7E11"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12</w:t>
            </w:r>
          </w:p>
        </w:tc>
        <w:tc>
          <w:tcPr>
            <w:tcW w:w="4394" w:type="dxa"/>
            <w:vAlign w:val="top"/>
          </w:tcPr>
          <w:p w:rsidR="002D1033" w:rsidRPr="00AB7E11" w:rsidRDefault="002D1033" w:rsidP="00A85AFD">
            <w:r>
              <w:t>Consumer Utilities Advocacy Centre</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c>
          <w:tcPr>
            <w:tcW w:w="534" w:type="dxa"/>
          </w:tcPr>
          <w:p w:rsidR="002D1033" w:rsidRPr="00AB7E11" w:rsidRDefault="002D1033" w:rsidP="00A85AFD">
            <w:r>
              <w:t>13</w:t>
            </w:r>
          </w:p>
        </w:tc>
        <w:tc>
          <w:tcPr>
            <w:tcW w:w="4394" w:type="dxa"/>
            <w:vAlign w:val="top"/>
          </w:tcPr>
          <w:p w:rsidR="002D1033" w:rsidRPr="00AB7E11" w:rsidRDefault="002D1033" w:rsidP="00A85AFD">
            <w:r>
              <w:t xml:space="preserve">Department of </w:t>
            </w:r>
            <w:r w:rsidRPr="00AB7E11">
              <w:t>Economic Development, Jobs, Transport and Resources (Victorian Government)</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14</w:t>
            </w:r>
          </w:p>
        </w:tc>
        <w:tc>
          <w:tcPr>
            <w:tcW w:w="4394" w:type="dxa"/>
            <w:vAlign w:val="top"/>
          </w:tcPr>
          <w:p w:rsidR="002D1033" w:rsidRPr="00AB7E11" w:rsidRDefault="002D1033" w:rsidP="00A85AFD">
            <w:r>
              <w:t>East Gippsland Shire Council</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Public Lighting</w:t>
            </w:r>
          </w:p>
        </w:tc>
      </w:tr>
      <w:tr w:rsidR="002D1033" w:rsidTr="00A85AFD">
        <w:tc>
          <w:tcPr>
            <w:tcW w:w="534" w:type="dxa"/>
          </w:tcPr>
          <w:p w:rsidR="002D1033" w:rsidRPr="00AB7E11" w:rsidRDefault="002D1033" w:rsidP="00A85AFD">
            <w:r>
              <w:t>15</w:t>
            </w:r>
          </w:p>
        </w:tc>
        <w:tc>
          <w:tcPr>
            <w:tcW w:w="4394" w:type="dxa"/>
            <w:vAlign w:val="top"/>
          </w:tcPr>
          <w:p w:rsidR="002D1033" w:rsidRPr="00AB7E11" w:rsidRDefault="002D1033" w:rsidP="00A85AFD">
            <w:r>
              <w:t>Energy Ret</w:t>
            </w:r>
            <w:r w:rsidRPr="00AB7E11">
              <w:t>ailers Association of Australia</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Default="002D1033" w:rsidP="00A85AFD">
            <w:r>
              <w:t>16</w:t>
            </w:r>
          </w:p>
        </w:tc>
        <w:tc>
          <w:tcPr>
            <w:tcW w:w="4394" w:type="dxa"/>
            <w:vAlign w:val="top"/>
          </w:tcPr>
          <w:p w:rsidR="002D1033" w:rsidRPr="00AB7E11" w:rsidRDefault="002D1033" w:rsidP="00A85AFD">
            <w:r>
              <w:t>Ethnic Communities' Council of Victoria</w:t>
            </w:r>
          </w:p>
        </w:tc>
        <w:tc>
          <w:tcPr>
            <w:tcW w:w="1417" w:type="dxa"/>
          </w:tcPr>
          <w:p w:rsidR="002D1033" w:rsidRPr="00AB7E11" w:rsidRDefault="002D1033" w:rsidP="00A85AFD">
            <w:r>
              <w:t>26/</w:t>
            </w:r>
            <w:r w:rsidR="00F8634F">
              <w:t>0</w:t>
            </w:r>
            <w:r>
              <w:t>6/2015</w:t>
            </w:r>
          </w:p>
        </w:tc>
        <w:tc>
          <w:tcPr>
            <w:tcW w:w="2348" w:type="dxa"/>
          </w:tcPr>
          <w:p w:rsidR="002D1033" w:rsidRPr="00AB7E11" w:rsidRDefault="002D1033" w:rsidP="00A85AFD">
            <w:r>
              <w:t>Regulatory Proposals</w:t>
            </w:r>
          </w:p>
        </w:tc>
      </w:tr>
      <w:tr w:rsidR="002D1033" w:rsidTr="00A85AFD">
        <w:tc>
          <w:tcPr>
            <w:tcW w:w="534" w:type="dxa"/>
          </w:tcPr>
          <w:p w:rsidR="002D1033" w:rsidRDefault="002D1033" w:rsidP="00A85AFD">
            <w:r>
              <w:t>17</w:t>
            </w:r>
          </w:p>
        </w:tc>
        <w:tc>
          <w:tcPr>
            <w:tcW w:w="4394" w:type="dxa"/>
            <w:vAlign w:val="top"/>
          </w:tcPr>
          <w:p w:rsidR="002D1033" w:rsidRPr="00AB7E11" w:rsidRDefault="002D1033" w:rsidP="00A85AFD">
            <w:r>
              <w:t>Glen Eira City Council</w:t>
            </w:r>
          </w:p>
        </w:tc>
        <w:tc>
          <w:tcPr>
            <w:tcW w:w="1417" w:type="dxa"/>
          </w:tcPr>
          <w:p w:rsidR="002D1033" w:rsidRPr="00AB7E11" w:rsidRDefault="002D1033" w:rsidP="00A85AFD">
            <w:r>
              <w:t>10/</w:t>
            </w:r>
            <w:r w:rsidR="00F8634F">
              <w:t>0</w:t>
            </w:r>
            <w:r>
              <w:t>7/</w:t>
            </w:r>
            <w:r w:rsidRPr="00AB7E11">
              <w:t>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18</w:t>
            </w:r>
          </w:p>
        </w:tc>
        <w:tc>
          <w:tcPr>
            <w:tcW w:w="4394" w:type="dxa"/>
            <w:vAlign w:val="top"/>
          </w:tcPr>
          <w:p w:rsidR="002D1033" w:rsidRPr="00AB7E11" w:rsidRDefault="002D1033" w:rsidP="00A85AFD">
            <w:r>
              <w:t>Gannawarra Shire Council</w:t>
            </w:r>
          </w:p>
        </w:tc>
        <w:tc>
          <w:tcPr>
            <w:tcW w:w="1417" w:type="dxa"/>
          </w:tcPr>
          <w:p w:rsidR="002D1033" w:rsidRPr="00AB7E11" w:rsidRDefault="002D1033" w:rsidP="00A85AFD">
            <w:r>
              <w:t>16/</w:t>
            </w:r>
            <w:r w:rsidR="00F8634F">
              <w:t>0</w:t>
            </w:r>
            <w:r>
              <w:t>7/2015</w:t>
            </w:r>
          </w:p>
        </w:tc>
        <w:tc>
          <w:tcPr>
            <w:tcW w:w="2348" w:type="dxa"/>
          </w:tcPr>
          <w:p w:rsidR="002D1033" w:rsidRPr="00AB7E11" w:rsidRDefault="002D1033" w:rsidP="00A85AFD">
            <w:r>
              <w:t>Public Lighting</w:t>
            </w:r>
          </w:p>
        </w:tc>
      </w:tr>
      <w:tr w:rsidR="002D1033" w:rsidTr="00A85AFD">
        <w:tc>
          <w:tcPr>
            <w:tcW w:w="534" w:type="dxa"/>
          </w:tcPr>
          <w:p w:rsidR="002D1033" w:rsidRPr="00AB7E11" w:rsidRDefault="002D1033" w:rsidP="00A85AFD">
            <w:r>
              <w:t>19</w:t>
            </w:r>
          </w:p>
        </w:tc>
        <w:tc>
          <w:tcPr>
            <w:tcW w:w="4394" w:type="dxa"/>
            <w:vAlign w:val="top"/>
          </w:tcPr>
          <w:p w:rsidR="002D1033" w:rsidRPr="00AB7E11" w:rsidRDefault="002D1033" w:rsidP="00A85AFD">
            <w:r>
              <w:t>Hume City Council</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Default="002D1033" w:rsidP="00A85AFD">
            <w:r>
              <w:t>20</w:t>
            </w:r>
          </w:p>
        </w:tc>
        <w:tc>
          <w:tcPr>
            <w:tcW w:w="4394" w:type="dxa"/>
            <w:vAlign w:val="top"/>
          </w:tcPr>
          <w:p w:rsidR="002D1033" w:rsidRPr="00AB7E11" w:rsidRDefault="002D1033" w:rsidP="00A85AFD">
            <w:r>
              <w:t>Latrobe City Council</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Public Lighting</w:t>
            </w:r>
          </w:p>
        </w:tc>
      </w:tr>
      <w:tr w:rsidR="002D1033" w:rsidTr="00A85AFD">
        <w:tc>
          <w:tcPr>
            <w:tcW w:w="534" w:type="dxa"/>
          </w:tcPr>
          <w:p w:rsidR="002D1033" w:rsidRDefault="002D1033" w:rsidP="00A85AFD">
            <w:r>
              <w:t>21</w:t>
            </w:r>
          </w:p>
        </w:tc>
        <w:tc>
          <w:tcPr>
            <w:tcW w:w="4394" w:type="dxa"/>
            <w:vAlign w:val="top"/>
          </w:tcPr>
          <w:p w:rsidR="002D1033" w:rsidRPr="00AB7E11" w:rsidRDefault="002D1033" w:rsidP="00A85AFD">
            <w:r>
              <w:t>Indigo Shire Council</w:t>
            </w:r>
          </w:p>
        </w:tc>
        <w:tc>
          <w:tcPr>
            <w:tcW w:w="1417" w:type="dxa"/>
          </w:tcPr>
          <w:p w:rsidR="002D1033" w:rsidRPr="00AB7E11" w:rsidRDefault="002D1033" w:rsidP="00A85AFD">
            <w:r>
              <w:t>23/</w:t>
            </w:r>
            <w:r w:rsidR="00F8634F">
              <w:t>0</w:t>
            </w:r>
            <w:r>
              <w:t>7/2015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Default="002D1033" w:rsidP="00A85AFD">
            <w:r>
              <w:t>22</w:t>
            </w:r>
          </w:p>
        </w:tc>
        <w:tc>
          <w:tcPr>
            <w:tcW w:w="4394" w:type="dxa"/>
            <w:vAlign w:val="top"/>
          </w:tcPr>
          <w:p w:rsidR="002D1033" w:rsidRPr="00AB7E11" w:rsidRDefault="002D1033" w:rsidP="00A85AFD">
            <w:r>
              <w:t>Municipal Association of Victoria</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Public Lighting</w:t>
            </w:r>
          </w:p>
        </w:tc>
      </w:tr>
      <w:tr w:rsidR="002D1033" w:rsidTr="00A85AFD">
        <w:tc>
          <w:tcPr>
            <w:tcW w:w="534" w:type="dxa"/>
          </w:tcPr>
          <w:p w:rsidR="002D1033" w:rsidRPr="00AB7E11" w:rsidRDefault="002D1033" w:rsidP="00A85AFD">
            <w:r>
              <w:t>23</w:t>
            </w:r>
          </w:p>
        </w:tc>
        <w:tc>
          <w:tcPr>
            <w:tcW w:w="4394" w:type="dxa"/>
            <w:vAlign w:val="top"/>
          </w:tcPr>
          <w:p w:rsidR="002D1033" w:rsidRPr="00AB7E11" w:rsidRDefault="002D1033" w:rsidP="00A85AFD">
            <w:r>
              <w:t>Origin Energy</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24</w:t>
            </w:r>
          </w:p>
        </w:tc>
        <w:tc>
          <w:tcPr>
            <w:tcW w:w="4394" w:type="dxa"/>
            <w:vAlign w:val="top"/>
          </w:tcPr>
          <w:p w:rsidR="002D1033" w:rsidRPr="00AB7E11" w:rsidRDefault="002D1033" w:rsidP="00A85AFD">
            <w:r>
              <w:t>Murrindindi Shire C</w:t>
            </w:r>
            <w:r w:rsidRPr="00AB7E11">
              <w:t>ouncil</w:t>
            </w:r>
          </w:p>
        </w:tc>
        <w:tc>
          <w:tcPr>
            <w:tcW w:w="1417" w:type="dxa"/>
          </w:tcPr>
          <w:p w:rsidR="002D1033" w:rsidRPr="00AB7E11" w:rsidRDefault="002D1033" w:rsidP="00A85AFD">
            <w:r>
              <w:t>17/</w:t>
            </w:r>
            <w:r w:rsidR="00F8634F">
              <w:t>0</w:t>
            </w:r>
            <w:r>
              <w:t>7/2015</w:t>
            </w:r>
          </w:p>
        </w:tc>
        <w:tc>
          <w:tcPr>
            <w:tcW w:w="2348" w:type="dxa"/>
          </w:tcPr>
          <w:p w:rsidR="002D1033" w:rsidRPr="00AB7E11" w:rsidRDefault="002D1033" w:rsidP="00A85AFD">
            <w:r>
              <w:t>Public Lighting</w:t>
            </w:r>
          </w:p>
        </w:tc>
      </w:tr>
      <w:tr w:rsidR="002D1033" w:rsidTr="00A85AFD">
        <w:tc>
          <w:tcPr>
            <w:tcW w:w="534" w:type="dxa"/>
          </w:tcPr>
          <w:p w:rsidR="002D1033" w:rsidRDefault="002D1033" w:rsidP="00A85AFD">
            <w:r>
              <w:t>25</w:t>
            </w:r>
          </w:p>
        </w:tc>
        <w:tc>
          <w:tcPr>
            <w:tcW w:w="4394" w:type="dxa"/>
            <w:vAlign w:val="top"/>
          </w:tcPr>
          <w:p w:rsidR="002D1033" w:rsidRPr="00AB7E11" w:rsidRDefault="002D1033" w:rsidP="00A85AFD">
            <w:r>
              <w:t>Vector</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26</w:t>
            </w:r>
          </w:p>
        </w:tc>
        <w:tc>
          <w:tcPr>
            <w:tcW w:w="4394" w:type="dxa"/>
            <w:vAlign w:val="top"/>
          </w:tcPr>
          <w:p w:rsidR="002D1033" w:rsidRPr="00AB7E11" w:rsidRDefault="002D1033" w:rsidP="00A85AFD">
            <w:r>
              <w:t>Victorian Energy Consumer and User Alliance</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c>
          <w:tcPr>
            <w:tcW w:w="534" w:type="dxa"/>
          </w:tcPr>
          <w:p w:rsidR="002D1033" w:rsidRPr="00AB7E11" w:rsidRDefault="002D1033" w:rsidP="00A85AFD">
            <w:r>
              <w:t>27</w:t>
            </w:r>
          </w:p>
        </w:tc>
        <w:tc>
          <w:tcPr>
            <w:tcW w:w="4394" w:type="dxa"/>
            <w:vAlign w:val="top"/>
          </w:tcPr>
          <w:p w:rsidR="002D1033" w:rsidRPr="00AB7E11" w:rsidRDefault="002D1033" w:rsidP="00A85AFD">
            <w:r>
              <w:t>VicR</w:t>
            </w:r>
            <w:r w:rsidRPr="00AB7E11">
              <w:t>oads</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Public Lighting</w:t>
            </w:r>
          </w:p>
        </w:tc>
      </w:tr>
      <w:tr w:rsidR="002D1033" w:rsidTr="00A85AFD">
        <w:trPr>
          <w:cnfStyle w:val="000000010000" w:firstRow="0" w:lastRow="0" w:firstColumn="0" w:lastColumn="0" w:oddVBand="0" w:evenVBand="0" w:oddHBand="0" w:evenHBand="1" w:firstRowFirstColumn="0" w:firstRowLastColumn="0" w:lastRowFirstColumn="0" w:lastRowLastColumn="0"/>
        </w:trPr>
        <w:tc>
          <w:tcPr>
            <w:tcW w:w="534" w:type="dxa"/>
          </w:tcPr>
          <w:p w:rsidR="002D1033" w:rsidRPr="00AB7E11" w:rsidRDefault="002D1033" w:rsidP="00A85AFD">
            <w:r>
              <w:t>28</w:t>
            </w:r>
          </w:p>
        </w:tc>
        <w:tc>
          <w:tcPr>
            <w:tcW w:w="4394" w:type="dxa"/>
            <w:vAlign w:val="top"/>
          </w:tcPr>
          <w:p w:rsidR="002D1033" w:rsidRPr="00AB7E11" w:rsidRDefault="002D1033" w:rsidP="00A85AFD">
            <w:r>
              <w:t>Victorian Greenhouse Alliances</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Regulatory Proposals</w:t>
            </w:r>
          </w:p>
        </w:tc>
      </w:tr>
      <w:tr w:rsidR="002D1033" w:rsidTr="00A85AFD">
        <w:tc>
          <w:tcPr>
            <w:tcW w:w="534" w:type="dxa"/>
          </w:tcPr>
          <w:p w:rsidR="002D1033" w:rsidRPr="00AB7E11" w:rsidRDefault="002D1033" w:rsidP="00A85AFD">
            <w:r>
              <w:lastRenderedPageBreak/>
              <w:t>29</w:t>
            </w:r>
          </w:p>
        </w:tc>
        <w:tc>
          <w:tcPr>
            <w:tcW w:w="4394" w:type="dxa"/>
            <w:vAlign w:val="top"/>
          </w:tcPr>
          <w:p w:rsidR="002D1033" w:rsidRPr="00AB7E11" w:rsidRDefault="002D1033" w:rsidP="00A85AFD">
            <w:r>
              <w:t>Yarra Ranges Council</w:t>
            </w:r>
          </w:p>
        </w:tc>
        <w:tc>
          <w:tcPr>
            <w:tcW w:w="1417" w:type="dxa"/>
          </w:tcPr>
          <w:p w:rsidR="002D1033" w:rsidRPr="00AB7E11" w:rsidRDefault="002D1033" w:rsidP="00A85AFD">
            <w:r>
              <w:t>13/</w:t>
            </w:r>
            <w:r w:rsidR="00F8634F">
              <w:t>0</w:t>
            </w:r>
            <w:r>
              <w:t>7/2015</w:t>
            </w:r>
          </w:p>
        </w:tc>
        <w:tc>
          <w:tcPr>
            <w:tcW w:w="2348" w:type="dxa"/>
          </w:tcPr>
          <w:p w:rsidR="002D1033" w:rsidRPr="00AB7E11" w:rsidRDefault="002D1033" w:rsidP="00A85AFD">
            <w:r>
              <w:t>Public Lighting</w:t>
            </w:r>
          </w:p>
        </w:tc>
      </w:tr>
    </w:tbl>
    <w:p w:rsidR="00086925" w:rsidRPr="00086925" w:rsidRDefault="00086925" w:rsidP="00086925"/>
    <w:p w:rsidR="00474EC7" w:rsidRPr="00474EC7" w:rsidRDefault="00474EC7" w:rsidP="00474EC7"/>
    <w:sectPr w:rsidR="00474EC7" w:rsidRPr="00474EC7" w:rsidSect="008E71F4">
      <w:headerReference w:type="even" r:id="rId24"/>
      <w:footerReference w:type="even" r:id="rId25"/>
      <w:footerReference w:type="default" r:id="rId26"/>
      <w:headerReference w:type="first" r:id="rId27"/>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D3" w:rsidRPr="00290C63" w:rsidRDefault="00CE21D3" w:rsidP="00290C63">
      <w:r>
        <w:separator/>
      </w:r>
    </w:p>
    <w:p w:rsidR="00CE21D3" w:rsidRDefault="00CE21D3"/>
  </w:endnote>
  <w:endnote w:type="continuationSeparator" w:id="0">
    <w:p w:rsidR="00CE21D3" w:rsidRPr="00290C63" w:rsidRDefault="00CE21D3" w:rsidP="00290C63">
      <w:r>
        <w:continuationSeparator/>
      </w:r>
    </w:p>
    <w:p w:rsidR="00CE21D3" w:rsidRDefault="00CE2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D3" w:rsidRDefault="00CE21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CE21D3" w:rsidRDefault="00CE21D3">
    <w:pPr>
      <w:pStyle w:val="Footer"/>
    </w:pPr>
  </w:p>
  <w:p w:rsidR="00CE21D3" w:rsidRDefault="00CE21D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E21D3" w:rsidRPr="00CA52A2" w:rsidRDefault="00CE21D3" w:rsidP="00CA52A2">
        <w:pPr>
          <w:pStyle w:val="Footer"/>
        </w:pPr>
        <w:r w:rsidRPr="00CA52A2">
          <w:t xml:space="preserve"> </w:t>
        </w:r>
        <w:r>
          <w:fldChar w:fldCharType="begin"/>
        </w:r>
        <w:r>
          <w:instrText xml:space="preserve"> PAGE   \* MERGEFORMAT </w:instrText>
        </w:r>
        <w:r>
          <w:fldChar w:fldCharType="separate"/>
        </w:r>
        <w:r w:rsidR="00DA4E4A">
          <w:rPr>
            <w:noProof/>
          </w:rPr>
          <w:t>0</w:t>
        </w:r>
        <w:r>
          <w:rPr>
            <w:noProof/>
          </w:rPr>
          <w:fldChar w:fldCharType="end"/>
        </w:r>
        <w:r w:rsidRPr="00CA52A2">
          <w:t xml:space="preserve">         </w:t>
        </w:r>
        <w:r>
          <w:t xml:space="preserve">Overview </w:t>
        </w:r>
        <w:r w:rsidRPr="00CA52A2">
          <w:t xml:space="preserve">| </w:t>
        </w:r>
        <w:r>
          <w:t>Powercor</w:t>
        </w:r>
        <w:r w:rsidRPr="00CA52A2">
          <w:t xml:space="preserve"> </w:t>
        </w:r>
        <w:r>
          <w:t>preliminary decision 2016</w:t>
        </w:r>
        <w:r w:rsidRPr="00CA52A2">
          <w:t>–</w:t>
        </w:r>
        <w:r>
          <w:t>20</w:t>
        </w:r>
      </w:p>
    </w:sdtContent>
  </w:sdt>
  <w:p w:rsidR="00CE21D3" w:rsidRDefault="00CE21D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D3" w:rsidRPr="00290C63" w:rsidRDefault="00CE21D3" w:rsidP="00290C63">
      <w:r>
        <w:separator/>
      </w:r>
    </w:p>
    <w:p w:rsidR="00CE21D3" w:rsidRDefault="00CE21D3"/>
  </w:footnote>
  <w:footnote w:type="continuationSeparator" w:id="0">
    <w:p w:rsidR="00CE21D3" w:rsidRPr="00290C63" w:rsidRDefault="00CE21D3" w:rsidP="00290C63">
      <w:r>
        <w:continuationSeparator/>
      </w:r>
    </w:p>
    <w:p w:rsidR="00CE21D3" w:rsidRDefault="00CE21D3"/>
  </w:footnote>
  <w:footnote w:id="1">
    <w:p w:rsidR="00CE21D3" w:rsidRDefault="00CE21D3" w:rsidP="00A94BF8">
      <w:pPr>
        <w:pStyle w:val="FootnoteText"/>
      </w:pPr>
      <w:r>
        <w:rPr>
          <w:rStyle w:val="FootnoteReference"/>
        </w:rPr>
        <w:footnoteRef/>
      </w:r>
      <w:r>
        <w:t xml:space="preserve"> </w:t>
      </w:r>
      <w:r>
        <w:tab/>
        <w:t xml:space="preserve">NEL, s. 7. </w:t>
      </w:r>
    </w:p>
  </w:footnote>
  <w:footnote w:id="2">
    <w:p w:rsidR="00CE21D3" w:rsidRDefault="00CE21D3" w:rsidP="00A94BF8">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3">
    <w:p w:rsidR="00CE21D3" w:rsidRDefault="00CE21D3" w:rsidP="00892D94">
      <w:pPr>
        <w:pStyle w:val="FootnoteText"/>
      </w:pPr>
      <w:r>
        <w:rPr>
          <w:rStyle w:val="FootnoteReference"/>
        </w:rPr>
        <w:footnoteRef/>
      </w:r>
      <w:r>
        <w:t xml:space="preserve"> </w:t>
      </w:r>
      <w:r>
        <w:tab/>
        <w:t>Standard control services represent the bulk of a distributor's services, provided to all customers connected to its network. Metering services in Victoria are not classified standard control, so the bill impacts shown here do not incorporate reductions in annual metering charges.</w:t>
      </w:r>
    </w:p>
  </w:footnote>
  <w:footnote w:id="4">
    <w:p w:rsidR="00CE21D3" w:rsidRDefault="00CE21D3" w:rsidP="0037423C">
      <w:pPr>
        <w:pStyle w:val="FootnoteText"/>
      </w:pPr>
      <w:r>
        <w:rPr>
          <w:rStyle w:val="FootnoteReference"/>
        </w:rPr>
        <w:footnoteRef/>
      </w:r>
      <w:r>
        <w:t xml:space="preserve"> </w:t>
      </w:r>
      <w:r>
        <w:tab/>
      </w:r>
      <w:r w:rsidRPr="00DA3756">
        <w:t>For the remaining years of the regulatory control period, we will update the rate of return annually.</w:t>
      </w:r>
    </w:p>
  </w:footnote>
  <w:footnote w:id="5">
    <w:p w:rsidR="00CE21D3" w:rsidRDefault="00CE21D3" w:rsidP="00494F92">
      <w:pPr>
        <w:pStyle w:val="FootnoteText"/>
      </w:pPr>
      <w:r>
        <w:rPr>
          <w:rStyle w:val="FootnoteReference"/>
        </w:rPr>
        <w:footnoteRef/>
      </w:r>
      <w:r>
        <w:t xml:space="preserve"> </w:t>
      </w:r>
      <w:r>
        <w:tab/>
        <w:t>Consumer Challenge Panel</w:t>
      </w:r>
      <w:r w:rsidRPr="00A06D0B">
        <w:t xml:space="preserve"> Sub-Panel 3</w:t>
      </w:r>
      <w:r>
        <w:t xml:space="preserve">, </w:t>
      </w:r>
      <w:r w:rsidRPr="00F007AA">
        <w:rPr>
          <w:rStyle w:val="AERtextitalic"/>
        </w:rPr>
        <w:t>Response to proposals from Victorian electricity distribution network service providers</w:t>
      </w:r>
      <w:r>
        <w:t xml:space="preserve">, August 2015; </w:t>
      </w:r>
      <w:r w:rsidRPr="00B50581">
        <w:t xml:space="preserve">Consumer Utilities Advocacy Centre, </w:t>
      </w:r>
      <w:r w:rsidRPr="00F007AA">
        <w:rPr>
          <w:rStyle w:val="AERtextitalic"/>
        </w:rPr>
        <w:t>Re: Victorian electricity distribution pricing review (EDPR), 2016 to 2020</w:t>
      </w:r>
      <w:r w:rsidRPr="00B50581">
        <w:t>, 13 July 201</w:t>
      </w:r>
      <w:r>
        <w:t>5</w:t>
      </w:r>
      <w:r w:rsidRPr="00B50581">
        <w:t xml:space="preserve">; Victorian Energy Consumer and User Alliance, </w:t>
      </w:r>
      <w:r w:rsidRPr="00F007AA">
        <w:rPr>
          <w:rStyle w:val="AERtextitalic"/>
        </w:rPr>
        <w:t>Submission to the AER, Victorian Distribution Networks’ 2016–20 Revenue Proposals</w:t>
      </w:r>
      <w:r w:rsidRPr="00B50581">
        <w:t>, July 2015</w:t>
      </w:r>
      <w:r>
        <w:t>;</w:t>
      </w:r>
      <w:r w:rsidRPr="00E64BAD">
        <w:t xml:space="preserve"> </w:t>
      </w:r>
      <w:r w:rsidRPr="00B50581">
        <w:t xml:space="preserve">Victorian Department of Economic Development, Jobs, Transport &amp; Resources, </w:t>
      </w:r>
      <w:r w:rsidRPr="00F007AA">
        <w:rPr>
          <w:rStyle w:val="AERtextitalic"/>
        </w:rPr>
        <w:t>Submission to Victorian electricity distribution pricing review 2016 to 2020</w:t>
      </w:r>
      <w:r>
        <w:t xml:space="preserve">, July 2015; </w:t>
      </w:r>
      <w:r w:rsidRPr="00173C38">
        <w:t xml:space="preserve">Energy Retailers Association of Australia, </w:t>
      </w:r>
      <w:r w:rsidRPr="00F007AA">
        <w:rPr>
          <w:rStyle w:val="AERtextitalic"/>
        </w:rPr>
        <w:t>Re: Issues paper – Victorian electricity distribution pricing review 2016-2020</w:t>
      </w:r>
      <w:r>
        <w:t xml:space="preserve">, 13 July 2015; </w:t>
      </w:r>
      <w:r w:rsidRPr="00173C38">
        <w:t xml:space="preserve">Origin Energy, </w:t>
      </w:r>
      <w:r w:rsidRPr="00F007AA">
        <w:rPr>
          <w:rStyle w:val="AERtextitalic"/>
        </w:rPr>
        <w:t>Re: Submission to Victorian Electricity Distributors Regulatory Proposals</w:t>
      </w:r>
      <w:r w:rsidRPr="00173C38">
        <w:t>, 13 July 2015.</w:t>
      </w:r>
    </w:p>
  </w:footnote>
  <w:footnote w:id="6">
    <w:p w:rsidR="00CE21D3" w:rsidRDefault="00CE21D3" w:rsidP="001F1909">
      <w:pPr>
        <w:pStyle w:val="FootnoteText"/>
      </w:pPr>
      <w:r>
        <w:rPr>
          <w:rStyle w:val="FootnoteReference"/>
        </w:rPr>
        <w:footnoteRef/>
      </w:r>
      <w:r>
        <w:t xml:space="preserve"> </w:t>
      </w:r>
      <w:r>
        <w:tab/>
      </w:r>
      <w:r w:rsidRPr="00B50581">
        <w:t xml:space="preserve">Victorian Energy Consumer and User Alliance, </w:t>
      </w:r>
      <w:r w:rsidRPr="00F007AA">
        <w:rPr>
          <w:rStyle w:val="AERtextitalic"/>
        </w:rPr>
        <w:t>Submission to the AER, Victorian Distribution Networks’ 2016–20 Revenue Proposals</w:t>
      </w:r>
      <w:r w:rsidRPr="00B50581">
        <w:t>, July 2015</w:t>
      </w:r>
      <w:r>
        <w:t>, p. 3.</w:t>
      </w:r>
    </w:p>
  </w:footnote>
  <w:footnote w:id="7">
    <w:p w:rsidR="00CE21D3" w:rsidRDefault="00CE21D3">
      <w:pPr>
        <w:pStyle w:val="FootnoteText"/>
      </w:pPr>
      <w:r>
        <w:rPr>
          <w:rStyle w:val="FootnoteReference"/>
        </w:rPr>
        <w:footnoteRef/>
      </w:r>
      <w:r>
        <w:t xml:space="preserve"> </w:t>
      </w:r>
      <w:r>
        <w:tab/>
      </w:r>
      <w:r w:rsidRPr="00945E95">
        <w:t xml:space="preserve">Powercor, </w:t>
      </w:r>
      <w:r w:rsidRPr="00F007AA">
        <w:rPr>
          <w:rStyle w:val="AERtextitalic"/>
        </w:rPr>
        <w:t>Regulatory Proposal 2016–20</w:t>
      </w:r>
      <w:r>
        <w:t>, April 2015, pp. 88-89.</w:t>
      </w:r>
    </w:p>
  </w:footnote>
  <w:footnote w:id="8">
    <w:p w:rsidR="00CE21D3" w:rsidRDefault="00CE21D3" w:rsidP="006A4F0A">
      <w:pPr>
        <w:pStyle w:val="FootnoteText"/>
      </w:pPr>
      <w:r>
        <w:rPr>
          <w:rStyle w:val="FootnoteReference"/>
        </w:rPr>
        <w:footnoteRef/>
      </w:r>
      <w:r>
        <w:t xml:space="preserve"> </w:t>
      </w:r>
      <w:r>
        <w:tab/>
      </w:r>
      <w:r w:rsidRPr="005701FF">
        <w:t xml:space="preserve">AEMO, </w:t>
      </w:r>
      <w:r w:rsidRPr="008F6524">
        <w:rPr>
          <w:rStyle w:val="AERtextitalic"/>
        </w:rPr>
        <w:t>Value of Customer Reliability Review – Final Report</w:t>
      </w:r>
      <w:r w:rsidRPr="005701FF">
        <w:t>, September 2014, p. 1</w:t>
      </w:r>
      <w:r>
        <w:t>.</w:t>
      </w:r>
    </w:p>
  </w:footnote>
  <w:footnote w:id="9">
    <w:p w:rsidR="00CE21D3" w:rsidRDefault="00CE21D3">
      <w:pPr>
        <w:pStyle w:val="FootnoteText"/>
      </w:pPr>
      <w:r>
        <w:rPr>
          <w:rStyle w:val="FootnoteReference"/>
        </w:rPr>
        <w:footnoteRef/>
      </w:r>
      <w:r>
        <w:t xml:space="preserve"> </w:t>
      </w:r>
      <w:r>
        <w:tab/>
      </w:r>
      <w:r w:rsidRPr="006955B9">
        <w:t xml:space="preserve">Powercor, </w:t>
      </w:r>
      <w:r w:rsidRPr="008F6524">
        <w:rPr>
          <w:rStyle w:val="AERtextitalic"/>
        </w:rPr>
        <w:t>2016-2020 Price Reset, Appendix E Capital expenditure</w:t>
      </w:r>
      <w:r w:rsidRPr="006955B9">
        <w:t>, April 2015, p. 68</w:t>
      </w:r>
      <w:r>
        <w:t>.</w:t>
      </w:r>
    </w:p>
  </w:footnote>
  <w:footnote w:id="10">
    <w:p w:rsidR="00CE21D3" w:rsidRDefault="00CE21D3" w:rsidP="006A4F0A">
      <w:pPr>
        <w:pStyle w:val="FootnoteText"/>
      </w:pPr>
      <w:r>
        <w:rPr>
          <w:rStyle w:val="FootnoteReference"/>
        </w:rPr>
        <w:footnoteRef/>
      </w:r>
      <w:r>
        <w:t xml:space="preserve"> </w:t>
      </w:r>
      <w:r>
        <w:tab/>
        <w:t xml:space="preserve">Powercor, </w:t>
      </w:r>
      <w:r w:rsidRPr="008F6524">
        <w:rPr>
          <w:rStyle w:val="AERtextitalic"/>
        </w:rPr>
        <w:t>Regulatory Proposal</w:t>
      </w:r>
      <w:r>
        <w:t>, 30 April 2015, p. 110.</w:t>
      </w:r>
    </w:p>
  </w:footnote>
  <w:footnote w:id="11">
    <w:p w:rsidR="00CE21D3" w:rsidRDefault="00CE21D3" w:rsidP="006A4F0A">
      <w:pPr>
        <w:pStyle w:val="FootnoteText"/>
      </w:pPr>
      <w:r>
        <w:rPr>
          <w:rStyle w:val="FootnoteReference"/>
        </w:rPr>
        <w:footnoteRef/>
      </w:r>
      <w:r>
        <w:t xml:space="preserve"> </w:t>
      </w:r>
      <w:r>
        <w:tab/>
        <w:t xml:space="preserve">Powercor, </w:t>
      </w:r>
      <w:r w:rsidRPr="008F6524">
        <w:rPr>
          <w:rStyle w:val="AERtextitalic"/>
        </w:rPr>
        <w:t>Regulatory Proposal</w:t>
      </w:r>
      <w:r w:rsidRPr="00EA426A">
        <w:t xml:space="preserve">, 30 April 2015, </w:t>
      </w:r>
      <w:r>
        <w:t>p. 112.</w:t>
      </w:r>
    </w:p>
  </w:footnote>
  <w:footnote w:id="12">
    <w:p w:rsidR="00CE21D3" w:rsidRDefault="00CE21D3" w:rsidP="006A4F0A">
      <w:pPr>
        <w:pStyle w:val="FootnoteText"/>
      </w:pPr>
      <w:r>
        <w:rPr>
          <w:rStyle w:val="FootnoteReference"/>
        </w:rPr>
        <w:footnoteRef/>
      </w:r>
      <w:r>
        <w:t xml:space="preserve"> </w:t>
      </w:r>
      <w:r>
        <w:tab/>
        <w:t>Powercor</w:t>
      </w:r>
      <w:r w:rsidRPr="00B9017A">
        <w:t xml:space="preserve">, </w:t>
      </w:r>
      <w:r w:rsidRPr="008F6524">
        <w:rPr>
          <w:rStyle w:val="AERtextitalic"/>
        </w:rPr>
        <w:t>Regulatory Proposal</w:t>
      </w:r>
      <w:r>
        <w:t xml:space="preserve">, </w:t>
      </w:r>
      <w:r w:rsidRPr="00EA426A">
        <w:t xml:space="preserve">30 April 2015, </w:t>
      </w:r>
      <w:r>
        <w:t>pp. 187–190.</w:t>
      </w:r>
    </w:p>
  </w:footnote>
  <w:footnote w:id="13">
    <w:p w:rsidR="00CE21D3" w:rsidRDefault="00CE21D3" w:rsidP="006A4F0A">
      <w:pPr>
        <w:pStyle w:val="FootnoteText"/>
      </w:pPr>
      <w:r>
        <w:rPr>
          <w:rStyle w:val="FootnoteReference"/>
        </w:rPr>
        <w:footnoteRef/>
      </w:r>
      <w:r>
        <w:t xml:space="preserve"> </w:t>
      </w:r>
      <w:r>
        <w:tab/>
      </w:r>
      <w:r w:rsidRPr="001477AE">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14">
    <w:p w:rsidR="00CE21D3" w:rsidRDefault="00CE21D3" w:rsidP="006A4F0A">
      <w:pPr>
        <w:pStyle w:val="FootnoteText"/>
      </w:pPr>
      <w:r>
        <w:rPr>
          <w:rStyle w:val="FootnoteReference"/>
        </w:rPr>
        <w:footnoteRef/>
      </w:r>
      <w:r>
        <w:t xml:space="preserve"> </w:t>
      </w:r>
      <w:r>
        <w:tab/>
        <w:t xml:space="preserve">AER, </w:t>
      </w:r>
      <w:r w:rsidRPr="008F6524">
        <w:rPr>
          <w:rStyle w:val="AERtextitalic"/>
        </w:rPr>
        <w:t>Expenditure Forecast Assessment Guideline</w:t>
      </w:r>
      <w:r>
        <w:t>, November 2013, p. </w:t>
      </w:r>
      <w:r w:rsidRPr="005E1747">
        <w:t>24.</w:t>
      </w:r>
    </w:p>
  </w:footnote>
  <w:footnote w:id="15">
    <w:p w:rsidR="00CE21D3" w:rsidRDefault="00CE21D3" w:rsidP="006A4F0A">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16">
    <w:p w:rsidR="00CE21D3" w:rsidRDefault="00CE21D3" w:rsidP="002F3C7B">
      <w:pPr>
        <w:pStyle w:val="FootnoteText"/>
      </w:pPr>
      <w:r>
        <w:rPr>
          <w:rStyle w:val="FootnoteReference"/>
        </w:rPr>
        <w:footnoteRef/>
      </w:r>
      <w:r>
        <w:t xml:space="preserve"> </w:t>
      </w:r>
      <w:r>
        <w:tab/>
        <w:t>www.aer.gov.au/Better-regulation.</w:t>
      </w:r>
    </w:p>
  </w:footnote>
  <w:footnote w:id="17">
    <w:p w:rsidR="00CE21D3" w:rsidRDefault="00CE21D3" w:rsidP="002F3C7B">
      <w:pPr>
        <w:pStyle w:val="FootnoteText"/>
      </w:pPr>
      <w:r>
        <w:rPr>
          <w:rStyle w:val="FootnoteReference"/>
        </w:rPr>
        <w:footnoteRef/>
      </w:r>
      <w:r>
        <w:t xml:space="preserve"> </w:t>
      </w:r>
      <w:r>
        <w:tab/>
        <w:t>NER, cll. 6.5.1 and S6.2.</w:t>
      </w:r>
    </w:p>
  </w:footnote>
  <w:footnote w:id="18">
    <w:p w:rsidR="00CE21D3" w:rsidRDefault="00CE21D3">
      <w:pPr>
        <w:pStyle w:val="FootnoteText"/>
      </w:pPr>
      <w:r>
        <w:rPr>
          <w:rStyle w:val="FootnoteReference"/>
        </w:rPr>
        <w:footnoteRef/>
      </w:r>
      <w:r>
        <w:t xml:space="preserve"> </w:t>
      </w:r>
      <w:r>
        <w:tab/>
        <w:t>Powercor</w:t>
      </w:r>
      <w:r w:rsidRPr="00445029">
        <w:t xml:space="preserve">, </w:t>
      </w:r>
      <w:r w:rsidRPr="00445029">
        <w:rPr>
          <w:rStyle w:val="AERtextitalic"/>
        </w:rPr>
        <w:t>Regulatory proposal</w:t>
      </w:r>
      <w:r w:rsidRPr="00445029">
        <w:t xml:space="preserve">, </w:t>
      </w:r>
      <w:r>
        <w:t>April 2015</w:t>
      </w:r>
      <w:r w:rsidRPr="00445029">
        <w:t>, p. 148, Table 12.</w:t>
      </w:r>
      <w:r>
        <w:t>1.</w:t>
      </w:r>
    </w:p>
  </w:footnote>
  <w:footnote w:id="19">
    <w:p w:rsidR="00CE21D3" w:rsidRDefault="00CE21D3" w:rsidP="006010D1">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20">
    <w:p w:rsidR="00CE21D3" w:rsidRDefault="00CE21D3" w:rsidP="005C0AA1">
      <w:pPr>
        <w:pStyle w:val="FootnoteText"/>
      </w:pPr>
      <w:r>
        <w:rPr>
          <w:rStyle w:val="FootnoteReference"/>
        </w:rPr>
        <w:footnoteRef/>
      </w:r>
      <w:r>
        <w:t xml:space="preserve"> </w:t>
      </w:r>
      <w:r>
        <w:tab/>
        <w:t>NER, cl. 6.12.1(18); Powercor</w:t>
      </w:r>
      <w:r w:rsidRPr="009E311A">
        <w:t xml:space="preserve">, </w:t>
      </w:r>
      <w:r w:rsidRPr="00DE351E">
        <w:rPr>
          <w:rStyle w:val="AERtextitalic"/>
        </w:rPr>
        <w:t>Regulatory proposal</w:t>
      </w:r>
      <w:r>
        <w:t>, April 2015, p. 193.</w:t>
      </w:r>
    </w:p>
  </w:footnote>
  <w:footnote w:id="21">
    <w:p w:rsidR="00CE21D3" w:rsidRDefault="00CE21D3" w:rsidP="002F3C7B">
      <w:pPr>
        <w:pStyle w:val="FootnoteText"/>
      </w:pPr>
      <w:r>
        <w:rPr>
          <w:rStyle w:val="FootnoteReference"/>
        </w:rPr>
        <w:footnoteRef/>
      </w:r>
      <w:r>
        <w:t xml:space="preserve"> </w:t>
      </w:r>
      <w:r>
        <w:tab/>
        <w:t>NER, cl. 6.5.2(a).</w:t>
      </w:r>
    </w:p>
  </w:footnote>
  <w:footnote w:id="22">
    <w:p w:rsidR="00CE21D3" w:rsidRDefault="00CE21D3" w:rsidP="002F3C7B">
      <w:pPr>
        <w:pStyle w:val="FootnoteText"/>
      </w:pPr>
      <w:r>
        <w:rPr>
          <w:rStyle w:val="FootnoteReference"/>
        </w:rPr>
        <w:footnoteRef/>
      </w:r>
      <w:r>
        <w:t xml:space="preserve"> </w:t>
      </w:r>
      <w:r>
        <w:tab/>
        <w:t>NER, cl. 6.5.2(b).</w:t>
      </w:r>
    </w:p>
  </w:footnote>
  <w:footnote w:id="23">
    <w:p w:rsidR="00CE21D3" w:rsidRDefault="00CE21D3" w:rsidP="002F3C7B">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24">
    <w:p w:rsidR="00CE21D3" w:rsidRDefault="00CE21D3">
      <w:pPr>
        <w:pStyle w:val="FootnoteText"/>
      </w:pPr>
      <w:r>
        <w:rPr>
          <w:rStyle w:val="FootnoteReference"/>
        </w:rPr>
        <w:footnoteRef/>
      </w:r>
      <w:r>
        <w:t xml:space="preserve"> </w:t>
      </w:r>
      <w:r>
        <w:tab/>
        <w:t xml:space="preserve">Powercor, </w:t>
      </w:r>
      <w:r w:rsidRPr="00803B06">
        <w:rPr>
          <w:rStyle w:val="AERtextitalic"/>
        </w:rPr>
        <w:t>Regulatory proposal</w:t>
      </w:r>
      <w:r>
        <w:t>, April 2015, p. 248.</w:t>
      </w:r>
    </w:p>
  </w:footnote>
  <w:footnote w:id="25">
    <w:p w:rsidR="00CE21D3" w:rsidRDefault="00CE21D3" w:rsidP="002F3C7B">
      <w:pPr>
        <w:pStyle w:val="FootnoteText"/>
      </w:pPr>
      <w:r>
        <w:rPr>
          <w:rStyle w:val="FootnoteReference"/>
        </w:rPr>
        <w:footnoteRef/>
      </w:r>
      <w:r>
        <w:t xml:space="preserve"> </w:t>
      </w:r>
      <w:r>
        <w:tab/>
        <w:t xml:space="preserve">NER, cl. 6.5.2(i)(2); Powercor, </w:t>
      </w:r>
      <w:r w:rsidRPr="008F6524">
        <w:rPr>
          <w:rStyle w:val="AERtextitalic"/>
        </w:rPr>
        <w:t>Regulatory proposal</w:t>
      </w:r>
      <w:r>
        <w:t>, April 2015, p. 202.</w:t>
      </w:r>
    </w:p>
  </w:footnote>
  <w:footnote w:id="26">
    <w:p w:rsidR="00CE21D3" w:rsidRDefault="00CE21D3" w:rsidP="002F3C7B">
      <w:pPr>
        <w:pStyle w:val="FootnoteText"/>
      </w:pPr>
      <w:r>
        <w:rPr>
          <w:rStyle w:val="FootnoteReference"/>
        </w:rPr>
        <w:footnoteRef/>
      </w:r>
      <w:r>
        <w:t xml:space="preserve"> </w:t>
      </w:r>
      <w:r>
        <w:tab/>
        <w:t>NER, cl. 6.5.2(b).</w:t>
      </w:r>
    </w:p>
  </w:footnote>
  <w:footnote w:id="27">
    <w:p w:rsidR="00CE21D3" w:rsidRDefault="00CE21D3" w:rsidP="002F3C7B">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8">
    <w:p w:rsidR="00CE21D3" w:rsidRDefault="00CE21D3" w:rsidP="002F3C7B">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9">
    <w:p w:rsidR="00CE21D3" w:rsidRDefault="00CE21D3" w:rsidP="002F3C7B">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30">
    <w:p w:rsidR="00CE21D3" w:rsidRDefault="00CE21D3" w:rsidP="002F3C7B">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2016</w:t>
      </w:r>
      <w:r>
        <w:rPr>
          <w:rFonts w:cs="Arial"/>
        </w:rPr>
        <w:t>−</w:t>
      </w:r>
      <w:r>
        <w:t>20 regulatory control period.</w:t>
      </w:r>
    </w:p>
  </w:footnote>
  <w:footnote w:id="31">
    <w:p w:rsidR="00CE21D3" w:rsidRDefault="00CE21D3" w:rsidP="002F3C7B">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2">
    <w:p w:rsidR="00CE21D3" w:rsidRDefault="00CE21D3" w:rsidP="00A14C7A">
      <w:pPr>
        <w:pStyle w:val="FootnoteText"/>
      </w:pPr>
      <w:r>
        <w:rPr>
          <w:rStyle w:val="FootnoteReference"/>
        </w:rPr>
        <w:footnoteRef/>
      </w:r>
      <w:r>
        <w:t xml:space="preserve"> </w:t>
      </w:r>
      <w:r>
        <w:tab/>
        <w:t xml:space="preserve">Powercor, </w:t>
      </w:r>
      <w:r w:rsidRPr="009A077F">
        <w:rPr>
          <w:rStyle w:val="AERtextitalic"/>
        </w:rPr>
        <w:t>Regulatory proposal</w:t>
      </w:r>
      <w:r>
        <w:t>, April 2015, p. 241.</w:t>
      </w:r>
    </w:p>
  </w:footnote>
  <w:footnote w:id="33">
    <w:p w:rsidR="00CE21D3" w:rsidRDefault="00CE21D3" w:rsidP="00A14C7A">
      <w:pPr>
        <w:pStyle w:val="FootnoteText"/>
      </w:pPr>
      <w:r>
        <w:rPr>
          <w:rStyle w:val="FootnoteReference"/>
        </w:rPr>
        <w:footnoteRef/>
      </w:r>
      <w:r>
        <w:t xml:space="preserve"> </w:t>
      </w:r>
      <w:r>
        <w:tab/>
        <w:t xml:space="preserve">Powercor, </w:t>
      </w:r>
      <w:r w:rsidRPr="009A077F">
        <w:rPr>
          <w:rStyle w:val="AERtextitalic"/>
        </w:rPr>
        <w:t>Regulatory proposal</w:t>
      </w:r>
      <w:r>
        <w:t>, April 2015, p. 233.</w:t>
      </w:r>
    </w:p>
  </w:footnote>
  <w:footnote w:id="34">
    <w:p w:rsidR="00CE21D3" w:rsidRDefault="00CE21D3" w:rsidP="002F3C7B">
      <w:pPr>
        <w:pStyle w:val="FootnoteText"/>
      </w:pPr>
      <w:r>
        <w:rPr>
          <w:rStyle w:val="FootnoteReference"/>
        </w:rPr>
        <w:footnoteRef/>
      </w:r>
      <w:r>
        <w:t xml:space="preserve"> </w:t>
      </w:r>
      <w:r>
        <w:tab/>
        <w:t>NER, cl. 6.5.2(e)(1).</w:t>
      </w:r>
    </w:p>
  </w:footnote>
  <w:footnote w:id="35">
    <w:p w:rsidR="00CE21D3" w:rsidRDefault="00CE21D3" w:rsidP="002F3C7B">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6">
    <w:p w:rsidR="00CE21D3" w:rsidRDefault="00CE21D3" w:rsidP="002F3C7B">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7">
    <w:p w:rsidR="00CE21D3" w:rsidRDefault="00CE21D3" w:rsidP="002F3C7B">
      <w:pPr>
        <w:pStyle w:val="FootnoteText"/>
      </w:pPr>
      <w:r>
        <w:rPr>
          <w:rStyle w:val="FootnoteReference"/>
        </w:rPr>
        <w:footnoteRef/>
      </w:r>
      <w:r>
        <w:t xml:space="preserve"> </w:t>
      </w:r>
      <w:r>
        <w:tab/>
      </w:r>
      <w:r w:rsidRPr="00890E69">
        <w:rPr>
          <w:rStyle w:val="AERtextitalic"/>
        </w:rPr>
        <w:t>Income Tax Assessment Act 1997</w:t>
      </w:r>
      <w:r>
        <w:t>, parts 3–6.</w:t>
      </w:r>
    </w:p>
  </w:footnote>
  <w:footnote w:id="38">
    <w:p w:rsidR="00CE21D3" w:rsidRDefault="00CE21D3" w:rsidP="002F3C7B">
      <w:pPr>
        <w:pStyle w:val="FootnoteText"/>
      </w:pPr>
      <w:r>
        <w:rPr>
          <w:rStyle w:val="FootnoteReference"/>
        </w:rPr>
        <w:footnoteRef/>
      </w:r>
      <w:r>
        <w:t xml:space="preserve"> </w:t>
      </w:r>
      <w:r>
        <w:tab/>
        <w:t>NER, cll. 6.4.3(a)(4), 6.4.3(b)(4), 6.5.3.</w:t>
      </w:r>
    </w:p>
  </w:footnote>
  <w:footnote w:id="39">
    <w:p w:rsidR="00CE21D3" w:rsidRDefault="00CE21D3">
      <w:pPr>
        <w:pStyle w:val="FootnoteText"/>
      </w:pPr>
      <w:r>
        <w:rPr>
          <w:rStyle w:val="FootnoteReference"/>
        </w:rPr>
        <w:footnoteRef/>
      </w:r>
      <w:r>
        <w:t xml:space="preserve"> </w:t>
      </w:r>
      <w:r>
        <w:tab/>
        <w:t xml:space="preserve">Powercor, </w:t>
      </w:r>
      <w:r w:rsidRPr="001D2183">
        <w:rPr>
          <w:rStyle w:val="AERtextitalic"/>
        </w:rPr>
        <w:t>Regulatory proposal</w:t>
      </w:r>
      <w:r>
        <w:t>. April 2015, p. 249.</w:t>
      </w:r>
    </w:p>
  </w:footnote>
  <w:footnote w:id="40">
    <w:p w:rsidR="00CE21D3" w:rsidRDefault="00CE21D3" w:rsidP="002F3C7B">
      <w:pPr>
        <w:pStyle w:val="FootnoteText"/>
      </w:pPr>
      <w:r>
        <w:rPr>
          <w:rStyle w:val="FootnoteReference"/>
        </w:rPr>
        <w:footnoteRef/>
      </w:r>
      <w:r>
        <w:t xml:space="preserve"> </w:t>
      </w:r>
      <w:r>
        <w:tab/>
        <w:t>NER, cl. 6.12.1(8).</w:t>
      </w:r>
    </w:p>
  </w:footnote>
  <w:footnote w:id="41">
    <w:p w:rsidR="00CE21D3" w:rsidRDefault="00CE21D3" w:rsidP="001D2183">
      <w:pPr>
        <w:pStyle w:val="FootnoteText"/>
      </w:pPr>
      <w:r>
        <w:rPr>
          <w:rStyle w:val="FootnoteReference"/>
        </w:rPr>
        <w:footnoteRef/>
      </w:r>
      <w:r>
        <w:t xml:space="preserve"> </w:t>
      </w:r>
      <w:r>
        <w:tab/>
        <w:t>Powercor</w:t>
      </w:r>
      <w:r w:rsidRPr="00F433A3">
        <w:t xml:space="preserve">, </w:t>
      </w:r>
      <w:r w:rsidRPr="00F433A3">
        <w:rPr>
          <w:rStyle w:val="AERtextitalic"/>
        </w:rPr>
        <w:t>Regulatory proposal</w:t>
      </w:r>
      <w:r>
        <w:rPr>
          <w:rStyle w:val="AERtextitalic"/>
        </w:rPr>
        <w:t xml:space="preserve"> 2016–20</w:t>
      </w:r>
      <w:r w:rsidRPr="00F433A3">
        <w:t xml:space="preserve">, </w:t>
      </w:r>
      <w:r>
        <w:t>April 2015</w:t>
      </w:r>
      <w:r w:rsidRPr="00F433A3">
        <w:t>, p</w:t>
      </w:r>
      <w:r>
        <w:t>p. 256.</w:t>
      </w:r>
    </w:p>
  </w:footnote>
  <w:footnote w:id="42">
    <w:p w:rsidR="00CE21D3" w:rsidRDefault="00CE21D3" w:rsidP="001D2183">
      <w:pPr>
        <w:pStyle w:val="FootnoteText"/>
      </w:pPr>
      <w:r>
        <w:rPr>
          <w:rStyle w:val="FootnoteReference"/>
        </w:rPr>
        <w:footnoteRef/>
      </w:r>
      <w:r>
        <w:t xml:space="preserve"> </w:t>
      </w:r>
      <w:r>
        <w:tab/>
        <w:t>NER, cl. 6.5.5(b)(1).</w:t>
      </w:r>
    </w:p>
  </w:footnote>
  <w:footnote w:id="43">
    <w:p w:rsidR="00CE21D3" w:rsidRDefault="00CE21D3" w:rsidP="001D2183">
      <w:pPr>
        <w:pStyle w:val="FootnoteText"/>
      </w:pPr>
      <w:r>
        <w:rPr>
          <w:rStyle w:val="FootnoteReference"/>
        </w:rPr>
        <w:footnoteRef/>
      </w:r>
      <w:r>
        <w:t xml:space="preserve"> </w:t>
      </w:r>
      <w:r>
        <w:tab/>
        <w:t xml:space="preserve">CitiPower and Powercor, </w:t>
      </w:r>
      <w:r w:rsidRPr="002711CC">
        <w:rPr>
          <w:rStyle w:val="AERtextitalic"/>
        </w:rPr>
        <w:t>Submission in response to the issues paper, Depreciation</w:t>
      </w:r>
      <w:r>
        <w:t>, 13 July 2015.</w:t>
      </w:r>
    </w:p>
  </w:footnote>
  <w:footnote w:id="44">
    <w:p w:rsidR="00CE21D3" w:rsidRDefault="00CE21D3" w:rsidP="001D2183">
      <w:pPr>
        <w:pStyle w:val="FootnoteText"/>
      </w:pPr>
      <w:r>
        <w:rPr>
          <w:rStyle w:val="FootnoteReference"/>
        </w:rPr>
        <w:footnoteRef/>
      </w:r>
      <w:r>
        <w:t xml:space="preserve"> </w:t>
      </w:r>
      <w:r>
        <w:tab/>
      </w:r>
      <w:r w:rsidRPr="000D71B4">
        <w:t>NER, cl. 6.5.5(b)(1).</w:t>
      </w:r>
    </w:p>
  </w:footnote>
  <w:footnote w:id="45">
    <w:p w:rsidR="00CE21D3" w:rsidRDefault="00CE21D3" w:rsidP="001D2183">
      <w:pPr>
        <w:pStyle w:val="FootnoteText"/>
      </w:pPr>
      <w:r>
        <w:rPr>
          <w:rStyle w:val="FootnoteReference"/>
        </w:rPr>
        <w:footnoteRef/>
      </w:r>
      <w:r>
        <w:t xml:space="preserve"> </w:t>
      </w:r>
      <w:r>
        <w:tab/>
        <w:t>NER, cl. 6.5.5(a)(1).</w:t>
      </w:r>
    </w:p>
  </w:footnote>
  <w:footnote w:id="46">
    <w:p w:rsidR="00CE21D3" w:rsidRDefault="00CE21D3" w:rsidP="00300C3A">
      <w:pPr>
        <w:pStyle w:val="FootnoteText"/>
      </w:pPr>
      <w:r>
        <w:rPr>
          <w:rStyle w:val="FootnoteReference"/>
        </w:rPr>
        <w:footnoteRef/>
      </w:r>
      <w:r>
        <w:t xml:space="preserve"> </w:t>
      </w:r>
      <w:r>
        <w:tab/>
        <w:t xml:space="preserve">We obtained these figures from Powercor's RIN. Our assessment used information from information subsequently provided by Powercor. </w:t>
      </w:r>
    </w:p>
  </w:footnote>
  <w:footnote w:id="47">
    <w:p w:rsidR="00CE21D3" w:rsidRDefault="00CE21D3">
      <w:pPr>
        <w:pStyle w:val="FootnoteText"/>
      </w:pPr>
      <w:r>
        <w:rPr>
          <w:rStyle w:val="FootnoteReference"/>
        </w:rPr>
        <w:footnoteRef/>
      </w:r>
      <w:r>
        <w:t xml:space="preserve"> </w:t>
      </w:r>
      <w:r>
        <w:tab/>
        <w:t>Excluding overheads.</w:t>
      </w:r>
    </w:p>
  </w:footnote>
  <w:footnote w:id="48">
    <w:p w:rsidR="00CE21D3" w:rsidRDefault="00CE21D3">
      <w:pPr>
        <w:pStyle w:val="FootnoteText"/>
      </w:pPr>
      <w:r>
        <w:rPr>
          <w:rStyle w:val="FootnoteReference"/>
        </w:rPr>
        <w:footnoteRef/>
      </w:r>
      <w:r>
        <w:t xml:space="preserve"> </w:t>
      </w:r>
      <w:r>
        <w:tab/>
        <w:t>Gross capex, including customer contributions.</w:t>
      </w:r>
    </w:p>
  </w:footnote>
  <w:footnote w:id="49">
    <w:p w:rsidR="00CE21D3" w:rsidRDefault="00CE21D3" w:rsidP="002F3C7B">
      <w:pPr>
        <w:pStyle w:val="FootnoteText"/>
      </w:pPr>
      <w:r>
        <w:rPr>
          <w:rStyle w:val="FootnoteReference"/>
        </w:rPr>
        <w:footnoteRef/>
      </w:r>
      <w:r>
        <w:t xml:space="preserve"> </w:t>
      </w:r>
      <w:r>
        <w:tab/>
      </w:r>
      <w:r w:rsidRPr="0046015E">
        <w:t>NER, cl</w:t>
      </w:r>
      <w:r>
        <w:t>.</w:t>
      </w:r>
      <w:r w:rsidRPr="0046015E">
        <w:t xml:space="preserve"> 6.4.3(a)(4).</w:t>
      </w:r>
    </w:p>
  </w:footnote>
  <w:footnote w:id="50">
    <w:p w:rsidR="00CE21D3" w:rsidRDefault="00CE21D3" w:rsidP="002F3C7B">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w:t>
      </w:r>
    </w:p>
  </w:footnote>
  <w:footnote w:id="51">
    <w:p w:rsidR="00CE21D3" w:rsidRDefault="00CE21D3" w:rsidP="002F3C7B">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52">
    <w:p w:rsidR="00CE21D3" w:rsidRDefault="00CE21D3" w:rsidP="00E10957">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53">
    <w:p w:rsidR="00CE21D3" w:rsidRDefault="00CE21D3" w:rsidP="002F3C7B">
      <w:pPr>
        <w:pStyle w:val="FootnoteText"/>
      </w:pPr>
      <w:r>
        <w:rPr>
          <w:rStyle w:val="FootnoteReference"/>
        </w:rPr>
        <w:footnoteRef/>
      </w:r>
      <w:r>
        <w:t xml:space="preserve"> </w:t>
      </w:r>
      <w:r>
        <w:tab/>
        <w:t xml:space="preserve">Powercor, </w:t>
      </w:r>
      <w:r>
        <w:rPr>
          <w:rStyle w:val="AERtextitalic"/>
        </w:rPr>
        <w:t>Regulatory Proposal, 2016-2020</w:t>
      </w:r>
      <w:r>
        <w:t>, April 2015, p. 193.</w:t>
      </w:r>
    </w:p>
  </w:footnote>
  <w:footnote w:id="54">
    <w:p w:rsidR="00CE21D3" w:rsidRDefault="00CE21D3" w:rsidP="00A16B96">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55">
    <w:p w:rsidR="00CE21D3" w:rsidRDefault="00CE21D3" w:rsidP="002F3C7B">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r w:rsidR="00F007AA">
        <w:t>.</w:t>
      </w:r>
    </w:p>
  </w:footnote>
  <w:footnote w:id="56">
    <w:p w:rsidR="00CE21D3" w:rsidRDefault="00CE21D3" w:rsidP="00A16B96">
      <w:pPr>
        <w:pStyle w:val="FootnoteText"/>
      </w:pPr>
      <w:r>
        <w:rPr>
          <w:rStyle w:val="FootnoteReference"/>
        </w:rPr>
        <w:footnoteRef/>
      </w:r>
      <w:r>
        <w:t xml:space="preserve"> </w:t>
      </w:r>
      <w:r>
        <w:tab/>
        <w:t xml:space="preserve">AER, </w:t>
      </w:r>
      <w:r w:rsidRPr="004E129E">
        <w:rPr>
          <w:rStyle w:val="AERtextitalic"/>
        </w:rPr>
        <w:t>Final Framework and Approach for the Victorian Electricity Distributors</w:t>
      </w:r>
      <w:r>
        <w:t>, October 2014, p. 114.</w:t>
      </w:r>
    </w:p>
  </w:footnote>
  <w:footnote w:id="57">
    <w:p w:rsidR="00CE21D3" w:rsidRDefault="00CE21D3" w:rsidP="00FB0330">
      <w:pPr>
        <w:pStyle w:val="FootnoteText"/>
      </w:pPr>
      <w:r>
        <w:rPr>
          <w:rStyle w:val="FootnoteReference"/>
        </w:rPr>
        <w:footnoteRef/>
      </w:r>
      <w:r>
        <w:t xml:space="preserve"> </w:t>
      </w:r>
      <w:r>
        <w:tab/>
        <w:t>NEL, s. 7.</w:t>
      </w:r>
    </w:p>
  </w:footnote>
  <w:footnote w:id="58">
    <w:p w:rsidR="00CE21D3" w:rsidRDefault="00CE21D3" w:rsidP="00FB0330">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CE21D3" w:rsidRDefault="00CE21D3" w:rsidP="00FB0330">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CE21D3" w:rsidRDefault="00CE21D3" w:rsidP="00FB0330">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9">
    <w:p w:rsidR="00CE21D3" w:rsidRDefault="00CE21D3" w:rsidP="00FB0330">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60">
    <w:p w:rsidR="00CE21D3" w:rsidRDefault="00CE21D3" w:rsidP="00FB0330">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61">
    <w:p w:rsidR="00CE21D3" w:rsidRPr="001114AA" w:rsidRDefault="00CE21D3" w:rsidP="00FB0330">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CE21D3" w:rsidRDefault="00CE21D3" w:rsidP="00FB0330">
      <w:pPr>
        <w:pStyle w:val="FootnoteText"/>
      </w:pPr>
      <w:r>
        <w:tab/>
        <w:t>Energy Ministers also accept this view – see Hansard, SA House of Assembly, 26 September 2013 p. 7172.</w:t>
      </w:r>
    </w:p>
    <w:p w:rsidR="00CE21D3" w:rsidRDefault="00CE21D3" w:rsidP="00FB0330">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2">
    <w:p w:rsidR="00CE21D3" w:rsidRDefault="00CE21D3" w:rsidP="00FB0330">
      <w:pPr>
        <w:pStyle w:val="FootnoteText"/>
      </w:pPr>
      <w:r>
        <w:rPr>
          <w:rStyle w:val="FootnoteReference"/>
        </w:rPr>
        <w:footnoteRef/>
      </w:r>
      <w:r>
        <w:t xml:space="preserve"> </w:t>
      </w:r>
      <w:r>
        <w:tab/>
        <w:t>NEL, s. 7A(7).</w:t>
      </w:r>
    </w:p>
  </w:footnote>
  <w:footnote w:id="63">
    <w:p w:rsidR="00CE21D3" w:rsidRDefault="00CE21D3" w:rsidP="00FB0330">
      <w:pPr>
        <w:pStyle w:val="FootnoteText"/>
      </w:pPr>
      <w:r>
        <w:rPr>
          <w:rStyle w:val="FootnoteReference"/>
        </w:rPr>
        <w:footnoteRef/>
      </w:r>
      <w:r>
        <w:t xml:space="preserve"> </w:t>
      </w:r>
      <w:r>
        <w:tab/>
        <w:t>NEL, s. 7A(6).</w:t>
      </w:r>
    </w:p>
  </w:footnote>
  <w:footnote w:id="64">
    <w:p w:rsidR="00CE21D3" w:rsidRDefault="00CE21D3" w:rsidP="00FB0330">
      <w:pPr>
        <w:pStyle w:val="FootnoteText"/>
      </w:pPr>
      <w:r>
        <w:rPr>
          <w:rStyle w:val="FootnoteReference"/>
        </w:rPr>
        <w:footnoteRef/>
      </w:r>
      <w:r>
        <w:t xml:space="preserve"> </w:t>
      </w:r>
      <w:r>
        <w:tab/>
        <w:t>NEL, s. 7A.</w:t>
      </w:r>
    </w:p>
  </w:footnote>
  <w:footnote w:id="65">
    <w:p w:rsidR="00CE21D3" w:rsidRDefault="00CE21D3" w:rsidP="00FB0330">
      <w:pPr>
        <w:pStyle w:val="FootnoteText"/>
      </w:pPr>
      <w:r>
        <w:rPr>
          <w:rStyle w:val="FootnoteReference"/>
        </w:rPr>
        <w:footnoteRef/>
      </w:r>
      <w:r>
        <w:t xml:space="preserve"> </w:t>
      </w:r>
      <w:r>
        <w:tab/>
        <w:t>NEL, s. 16(2).</w:t>
      </w:r>
    </w:p>
  </w:footnote>
  <w:footnote w:id="66">
    <w:p w:rsidR="00CE21D3" w:rsidRDefault="00CE21D3" w:rsidP="00FB0330">
      <w:pPr>
        <w:pStyle w:val="FootnoteText"/>
      </w:pPr>
      <w:r>
        <w:rPr>
          <w:rStyle w:val="FootnoteReference"/>
        </w:rPr>
        <w:footnoteRef/>
      </w:r>
      <w:r>
        <w:t xml:space="preserve"> </w:t>
      </w:r>
      <w:r>
        <w:tab/>
        <w:t xml:space="preserve">Hansard, </w:t>
      </w:r>
      <w:r w:rsidRPr="00F007AA">
        <w:rPr>
          <w:rStyle w:val="AERtextitalic"/>
        </w:rPr>
        <w:t>SA House of Assembly</w:t>
      </w:r>
      <w:r>
        <w:t>, 27 September 2007</w:t>
      </w:r>
      <w:r w:rsidR="00F007AA">
        <w:t>,</w:t>
      </w:r>
      <w:r>
        <w:t xml:space="preserve"> pp. 965. Hansard, </w:t>
      </w:r>
      <w:r w:rsidRPr="00F007AA">
        <w:rPr>
          <w:rStyle w:val="AERtextitalic"/>
        </w:rPr>
        <w:t>SA House of Assembly</w:t>
      </w:r>
      <w:r>
        <w:t>, 26 September 2013, p. 7173.</w:t>
      </w:r>
    </w:p>
  </w:footnote>
  <w:footnote w:id="67">
    <w:p w:rsidR="00CE21D3" w:rsidRDefault="00CE21D3" w:rsidP="00842A93">
      <w:pPr>
        <w:pStyle w:val="FootnoteText"/>
      </w:pPr>
      <w:r>
        <w:rPr>
          <w:rStyle w:val="FootnoteReference"/>
        </w:rPr>
        <w:footnoteRef/>
      </w:r>
      <w:r>
        <w:t xml:space="preserve"> </w:t>
      </w:r>
      <w:r w:rsidRPr="00A34B93">
        <w:t xml:space="preserve"> </w:t>
      </w:r>
      <w:r>
        <w:tab/>
      </w:r>
      <w:r w:rsidRPr="003F64E8">
        <w:t xml:space="preserve">AEMC, </w:t>
      </w:r>
      <w:r w:rsidRPr="00F007AA">
        <w:rPr>
          <w:rStyle w:val="AERtextitalic"/>
        </w:rPr>
        <w:t>Rule Determination, National Electricity Amendment (Economic Regulation of Transmission Services) Rule</w:t>
      </w:r>
      <w:r w:rsidR="00F007AA" w:rsidRPr="00F007AA">
        <w:rPr>
          <w:rStyle w:val="AERtextitalic"/>
        </w:rPr>
        <w:t xml:space="preserve"> 2006 No. 18</w:t>
      </w:r>
      <w:r w:rsidR="00F007AA">
        <w:t>, 16 November 200</w:t>
      </w:r>
      <w:r w:rsidRPr="003F64E8">
        <w:t>6, p. 52.</w:t>
      </w:r>
    </w:p>
  </w:footnote>
  <w:footnote w:id="68">
    <w:p w:rsidR="00CE21D3" w:rsidRDefault="00CE21D3" w:rsidP="00FB0330">
      <w:pPr>
        <w:pStyle w:val="FootnoteText"/>
      </w:pPr>
      <w:r>
        <w:rPr>
          <w:rStyle w:val="FootnoteReference"/>
        </w:rPr>
        <w:footnoteRef/>
      </w:r>
      <w:r>
        <w:t xml:space="preserve"> </w:t>
      </w:r>
      <w:r>
        <w:tab/>
        <w:t>NEL, s. 88.</w:t>
      </w:r>
    </w:p>
    <w:p w:rsidR="00CE21D3" w:rsidRDefault="00CE21D3" w:rsidP="00FB0330">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69">
    <w:p w:rsidR="00CE21D3" w:rsidRDefault="00CE21D3" w:rsidP="00FB0330">
      <w:pPr>
        <w:pStyle w:val="FootnoteText"/>
      </w:pPr>
      <w:r>
        <w:rPr>
          <w:rStyle w:val="FootnoteReference"/>
        </w:rPr>
        <w:footnoteRef/>
      </w:r>
      <w:r>
        <w:t xml:space="preserve"> </w:t>
      </w:r>
      <w:r>
        <w:tab/>
        <w:t>NEL, s. 16(1)(d).</w:t>
      </w:r>
    </w:p>
  </w:footnote>
  <w:footnote w:id="70">
    <w:p w:rsidR="00CE21D3" w:rsidRDefault="00CE21D3" w:rsidP="00FB0330">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71">
    <w:p w:rsidR="00CE21D3" w:rsidRDefault="00CE21D3" w:rsidP="00DF6C8C">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72">
    <w:p w:rsidR="00CE21D3" w:rsidRDefault="00CE21D3" w:rsidP="00DF6C8C">
      <w:pPr>
        <w:pStyle w:val="FootnoteText"/>
      </w:pPr>
      <w:r>
        <w:rPr>
          <w:rStyle w:val="FootnoteReference"/>
        </w:rPr>
        <w:footnoteRef/>
      </w:r>
      <w:r>
        <w:t xml:space="preserve"> </w:t>
      </w:r>
      <w:r>
        <w:tab/>
        <w:t>www.aer.gov.au/Better-regulation-reform-program.</w:t>
      </w:r>
    </w:p>
  </w:footnote>
  <w:footnote w:id="73">
    <w:p w:rsidR="00CE21D3" w:rsidRDefault="00CE21D3" w:rsidP="00DF6C8C">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4">
    <w:p w:rsidR="00CE21D3" w:rsidRDefault="00CE21D3" w:rsidP="00DF6C8C">
      <w:pPr>
        <w:pStyle w:val="FootnoteText"/>
      </w:pPr>
      <w:r>
        <w:rPr>
          <w:rStyle w:val="FootnoteReference"/>
        </w:rPr>
        <w:footnoteRef/>
      </w:r>
      <w:r>
        <w:t xml:space="preserve"> </w:t>
      </w:r>
      <w:r>
        <w:tab/>
      </w:r>
      <w:r w:rsidRPr="001D4E9D">
        <w:t>NER, cl. 6.8.2(c1)(2).</w:t>
      </w:r>
    </w:p>
  </w:footnote>
  <w:footnote w:id="75">
    <w:p w:rsidR="00CE21D3" w:rsidRDefault="00CE21D3" w:rsidP="00DF6C8C">
      <w:pPr>
        <w:pStyle w:val="FootnoteText"/>
      </w:pPr>
      <w:r>
        <w:rPr>
          <w:rStyle w:val="FootnoteReference"/>
        </w:rPr>
        <w:footnoteRef/>
      </w:r>
      <w:r>
        <w:t xml:space="preserve"> </w:t>
      </w:r>
      <w:r>
        <w:tab/>
        <w:t>NER, cl. 6.9.3(b).</w:t>
      </w:r>
    </w:p>
  </w:footnote>
  <w:footnote w:id="76">
    <w:p w:rsidR="00CE21D3" w:rsidRDefault="00CE21D3" w:rsidP="00DF6C8C">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7">
    <w:p w:rsidR="00CE21D3" w:rsidRDefault="00CE21D3" w:rsidP="00E732B3">
      <w:pPr>
        <w:pStyle w:val="FootnoteText"/>
      </w:pPr>
      <w:r>
        <w:rPr>
          <w:rStyle w:val="FootnoteReference"/>
        </w:rPr>
        <w:footnoteRef/>
      </w:r>
      <w:r>
        <w:t xml:space="preserve"> </w:t>
      </w:r>
      <w:r>
        <w:tab/>
        <w:t>NER, cll. 6.5.6(e)(5A) and 6.5.7(e)(5A).</w:t>
      </w:r>
    </w:p>
  </w:footnote>
  <w:footnote w:id="78">
    <w:p w:rsidR="00CE21D3" w:rsidRDefault="00CE21D3" w:rsidP="00A11829">
      <w:pPr>
        <w:pStyle w:val="FootnoteText"/>
      </w:pPr>
      <w:r>
        <w:rPr>
          <w:rStyle w:val="FootnoteReference"/>
        </w:rPr>
        <w:footnoteRef/>
      </w:r>
      <w:r>
        <w:t xml:space="preserve"> </w:t>
      </w:r>
      <w:r>
        <w:tab/>
        <w:t>CitiPower,</w:t>
      </w:r>
      <w:r w:rsidRPr="00B66F0A">
        <w:t xml:space="preserve"> Regulatory Proposal</w:t>
      </w:r>
      <w:r>
        <w:t>, April 2015, p. 58.</w:t>
      </w:r>
    </w:p>
  </w:footnote>
  <w:footnote w:id="79">
    <w:p w:rsidR="00CE21D3" w:rsidRDefault="00CE21D3" w:rsidP="00CD15EC">
      <w:pPr>
        <w:pStyle w:val="FootnoteText"/>
      </w:pPr>
      <w:r>
        <w:rPr>
          <w:rStyle w:val="FootnoteReference"/>
        </w:rPr>
        <w:footnoteRef/>
      </w:r>
      <w:r>
        <w:t xml:space="preserve"> </w:t>
      </w:r>
      <w:r>
        <w:tab/>
      </w:r>
      <w:r w:rsidRPr="00BC30C4">
        <w:t xml:space="preserve">Victorian Energy Consumer and User Alliance, </w:t>
      </w:r>
      <w:r w:rsidRPr="00F007AA">
        <w:rPr>
          <w:rStyle w:val="AERtextitalic"/>
        </w:rPr>
        <w:t>Submission to the AER Victorian Distribution Networks’ 2016–20 Revenue Proposals</w:t>
      </w:r>
      <w:r>
        <w:t>, 13 July 2015, p. 49.</w:t>
      </w:r>
    </w:p>
  </w:footnote>
  <w:footnote w:id="80">
    <w:p w:rsidR="00CE21D3" w:rsidRDefault="00CE21D3" w:rsidP="00CD15EC">
      <w:pPr>
        <w:pStyle w:val="FootnoteText"/>
      </w:pPr>
      <w:r>
        <w:rPr>
          <w:rStyle w:val="FootnoteReference"/>
        </w:rPr>
        <w:footnoteRef/>
      </w:r>
      <w:r>
        <w:t xml:space="preserve"> </w:t>
      </w:r>
      <w:r>
        <w:tab/>
      </w:r>
      <w:r w:rsidRPr="00BC30C4">
        <w:t xml:space="preserve">Victorian Energy Consumer and User Alliance, </w:t>
      </w:r>
      <w:r w:rsidRPr="00F007AA">
        <w:rPr>
          <w:rStyle w:val="AERtextitalic"/>
        </w:rPr>
        <w:t>Submission to the AER Victorian Distribution Networks’ 2016–20 Revenue Proposals</w:t>
      </w:r>
      <w:r>
        <w:t>, 13 July 2015, p. 51.</w:t>
      </w:r>
    </w:p>
  </w:footnote>
  <w:footnote w:id="81">
    <w:p w:rsidR="00CE21D3" w:rsidRDefault="00CE21D3" w:rsidP="00C63C92">
      <w:pPr>
        <w:pStyle w:val="FootnoteText"/>
      </w:pPr>
      <w:r>
        <w:rPr>
          <w:rStyle w:val="FootnoteReference"/>
        </w:rPr>
        <w:footnoteRef/>
      </w:r>
      <w:r>
        <w:t xml:space="preserve"> </w:t>
      </w:r>
      <w:r>
        <w:tab/>
      </w:r>
      <w:r w:rsidRPr="00BC30C4">
        <w:t xml:space="preserve">Consumer Utilities Advocacy Centre, </w:t>
      </w:r>
      <w:r w:rsidRPr="00F007AA">
        <w:rPr>
          <w:rStyle w:val="AERtextitalic"/>
        </w:rPr>
        <w:t>RE Victorian electricity distribution pricing review (EDPR), 2016 to 2020</w:t>
      </w:r>
      <w:r>
        <w:t>, 13 July 2015.</w:t>
      </w:r>
    </w:p>
  </w:footnote>
  <w:footnote w:id="82">
    <w:p w:rsidR="00E13B48" w:rsidRDefault="00E13B48" w:rsidP="00E13B48">
      <w:pPr>
        <w:pStyle w:val="FootnoteText"/>
      </w:pPr>
      <w:r>
        <w:rPr>
          <w:rStyle w:val="FootnoteReference"/>
        </w:rPr>
        <w:footnoteRef/>
      </w:r>
      <w:r>
        <w:t xml:space="preserve"> </w:t>
      </w:r>
      <w:r>
        <w:tab/>
      </w:r>
      <w:r w:rsidRPr="00BC30C4">
        <w:t xml:space="preserve">Consumer Utilities Advocacy Centre, </w:t>
      </w:r>
      <w:r w:rsidRPr="00F007AA">
        <w:rPr>
          <w:rStyle w:val="AERtextitalic"/>
        </w:rPr>
        <w:t>RE Victorian electricity distribution pricing review (EDPR), 2016 to 2020</w:t>
      </w:r>
      <w:r>
        <w:t>, 13 July 2015.</w:t>
      </w:r>
    </w:p>
  </w:footnote>
  <w:footnote w:id="83">
    <w:p w:rsidR="00CE21D3" w:rsidRDefault="00CE21D3" w:rsidP="004B5ECE">
      <w:pPr>
        <w:pStyle w:val="FootnoteText"/>
      </w:pPr>
      <w:r>
        <w:rPr>
          <w:rStyle w:val="FootnoteReference"/>
        </w:rPr>
        <w:footnoteRef/>
      </w:r>
      <w:r>
        <w:t xml:space="preserve"> </w:t>
      </w:r>
      <w:r>
        <w:tab/>
      </w:r>
      <w:r w:rsidRPr="00BC30C4">
        <w:t xml:space="preserve">Victorian Energy Consumer and User Alliance, </w:t>
      </w:r>
      <w:r w:rsidRPr="00F007AA">
        <w:rPr>
          <w:rStyle w:val="AERtextitalic"/>
        </w:rPr>
        <w:t>Submission to the AER Victorian Distribution Networks’ 2016–20 Revenue Proposals</w:t>
      </w:r>
      <w:r>
        <w:t xml:space="preserve">, 13 July 2015, pp. 49–53; </w:t>
      </w:r>
      <w:r w:rsidRPr="00BC30C4">
        <w:t xml:space="preserve">Consumer </w:t>
      </w:r>
      <w:r>
        <w:t>C</w:t>
      </w:r>
      <w:r w:rsidRPr="00BC30C4">
        <w:t xml:space="preserve">hallenge </w:t>
      </w:r>
      <w:r>
        <w:t>Panel –</w:t>
      </w:r>
      <w:r w:rsidRPr="00BC30C4">
        <w:t xml:space="preserve"> Sub panel 3, </w:t>
      </w:r>
      <w:r w:rsidRPr="00F007AA">
        <w:rPr>
          <w:rStyle w:val="AERtextitalic"/>
        </w:rPr>
        <w:t>Response to proposals from Victorian electricity distribution network service providers</w:t>
      </w:r>
      <w:r w:rsidRPr="00BC30C4">
        <w:t>, 5 August 2015, p</w:t>
      </w:r>
      <w:r>
        <w:t>p</w:t>
      </w:r>
      <w:r w:rsidRPr="00BC30C4">
        <w:t xml:space="preserve">. </w:t>
      </w:r>
      <w:r>
        <w:t>4–9</w:t>
      </w:r>
      <w:r w:rsidRPr="00BC30C4">
        <w:t>.</w:t>
      </w:r>
    </w:p>
  </w:footnote>
  <w:footnote w:id="84">
    <w:p w:rsidR="00CE21D3" w:rsidRDefault="00CE21D3" w:rsidP="00A11829">
      <w:pPr>
        <w:pStyle w:val="FootnoteText"/>
      </w:pPr>
      <w:r>
        <w:rPr>
          <w:rStyle w:val="FootnoteReference"/>
        </w:rPr>
        <w:footnoteRef/>
      </w:r>
      <w:r>
        <w:t xml:space="preserve"> </w:t>
      </w:r>
      <w:r>
        <w:tab/>
        <w:t xml:space="preserve">Further, the </w:t>
      </w:r>
      <w:r w:rsidRPr="00BC30C4">
        <w:t>Ethnic Communities’ Council of Victoria submitted that Victorian distribution businesses should engage more with culturally and linguistically diverse consumers—particularly those who may be disadvantaged by ‘price-based mechanisms’ to balance quality and service with o</w:t>
      </w:r>
      <w:r>
        <w:t>perational costs (</w:t>
      </w:r>
      <w:r w:rsidRPr="00BC30C4">
        <w:t>Submission to the Australian Energy Regulator Victoria Electricity Pricing Review, 15 July 2015, p. 6.</w:t>
      </w:r>
      <w:r>
        <w:t xml:space="preserve">). Similarly, </w:t>
      </w:r>
      <w:r w:rsidRPr="00A5236E">
        <w:t xml:space="preserve">CUAC submitted that </w:t>
      </w:r>
      <w:r>
        <w:t>Powercor’s</w:t>
      </w:r>
      <w:r w:rsidRPr="00A5236E">
        <w:t xml:space="preserve"> consideration of how to engage with low-income, vulnerable and culturally and linguistically divers</w:t>
      </w:r>
      <w:r>
        <w:t>e groups was not well developed (</w:t>
      </w:r>
      <w:r w:rsidRPr="00BC30C4">
        <w:t>RE Victorian electricity distribution pricing review (EDPR), 201</w:t>
      </w:r>
      <w:r>
        <w:t>6 to 2020, 13 July 2015).</w:t>
      </w:r>
    </w:p>
  </w:footnote>
  <w:footnote w:id="85">
    <w:p w:rsidR="00CE21D3" w:rsidRDefault="00CE21D3" w:rsidP="00EF7689">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D3" w:rsidRDefault="00451F3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CE21D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D3" w:rsidRDefault="00451F3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C8628C"/>
    <w:multiLevelType w:val="hybridMultilevel"/>
    <w:tmpl w:val="D64472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0D81340"/>
    <w:multiLevelType w:val="multilevel"/>
    <w:tmpl w:val="950A1C52"/>
    <w:numStyleLink w:val="AERHeadings"/>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1C5121"/>
    <w:multiLevelType w:val="multilevel"/>
    <w:tmpl w:val="950A1C52"/>
    <w:numStyleLink w:val="AERHeadings"/>
  </w:abstractNum>
  <w:abstractNum w:abstractNumId="36">
    <w:nsid w:val="79D70DEA"/>
    <w:multiLevelType w:val="multilevel"/>
    <w:tmpl w:val="39D4CB02"/>
    <w:lvl w:ilvl="0">
      <w:start w:val="1"/>
      <w:numFmt w:val="none"/>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Restart w:val="1"/>
      <w:lvlText w:val="(%5)"/>
      <w:lvlJc w:val="left"/>
      <w:pPr>
        <w:tabs>
          <w:tab w:val="num" w:pos="454"/>
        </w:tabs>
        <w:ind w:left="454" w:hanging="454"/>
      </w:pPr>
    </w:lvl>
    <w:lvl w:ilvl="5">
      <w:start w:val="1"/>
      <w:numFmt w:val="lowerLetter"/>
      <w:lvlText w:val="(%6)"/>
      <w:lvlJc w:val="left"/>
      <w:pPr>
        <w:tabs>
          <w:tab w:val="num" w:pos="811"/>
        </w:tabs>
        <w:ind w:left="811" w:hanging="357"/>
      </w:pPr>
    </w:lvl>
    <w:lvl w:ilvl="6">
      <w:start w:val="1"/>
      <w:numFmt w:val="lowerRoman"/>
      <w:lvlText w:val="(%7)"/>
      <w:lvlJc w:val="left"/>
      <w:pPr>
        <w:tabs>
          <w:tab w:val="num" w:pos="1446"/>
        </w:tabs>
        <w:ind w:left="1446" w:hanging="63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3"/>
  </w:num>
  <w:num w:numId="21">
    <w:abstractNumId w:val="28"/>
  </w:num>
  <w:num w:numId="22">
    <w:abstractNumId w:val="26"/>
  </w:num>
  <w:num w:numId="23">
    <w:abstractNumId w:val="19"/>
  </w:num>
  <w:num w:numId="24">
    <w:abstractNumId w:val="27"/>
  </w:num>
  <w:num w:numId="25">
    <w:abstractNumId w:val="29"/>
  </w:num>
  <w:num w:numId="26">
    <w:abstractNumId w:val="20"/>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34"/>
  </w:num>
  <w:num w:numId="33">
    <w:abstractNumId w:val="15"/>
  </w:num>
  <w:num w:numId="34">
    <w:abstractNumId w:val="22"/>
  </w:num>
  <w:num w:numId="35">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6">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7">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8">
    <w:abstractNumId w:val="32"/>
  </w:num>
  <w:num w:numId="39">
    <w:abstractNumId w:val="35"/>
  </w:num>
  <w:num w:numId="40">
    <w:abstractNumId w:val="30"/>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docx"/>
  </w:docVars>
  <w:rsids>
    <w:rsidRoot w:val="00961A4A"/>
    <w:rsid w:val="00006517"/>
    <w:rsid w:val="00010286"/>
    <w:rsid w:val="0001656E"/>
    <w:rsid w:val="000175BC"/>
    <w:rsid w:val="00021202"/>
    <w:rsid w:val="00021C2B"/>
    <w:rsid w:val="0002517F"/>
    <w:rsid w:val="00026495"/>
    <w:rsid w:val="0003285D"/>
    <w:rsid w:val="00034EF4"/>
    <w:rsid w:val="000352D5"/>
    <w:rsid w:val="0003578C"/>
    <w:rsid w:val="000401AF"/>
    <w:rsid w:val="00046C26"/>
    <w:rsid w:val="00050378"/>
    <w:rsid w:val="00052810"/>
    <w:rsid w:val="00063247"/>
    <w:rsid w:val="000650F1"/>
    <w:rsid w:val="0006525C"/>
    <w:rsid w:val="00065FD3"/>
    <w:rsid w:val="00070F9F"/>
    <w:rsid w:val="0007137B"/>
    <w:rsid w:val="000741E3"/>
    <w:rsid w:val="00085663"/>
    <w:rsid w:val="00085EBF"/>
    <w:rsid w:val="00086925"/>
    <w:rsid w:val="00091B15"/>
    <w:rsid w:val="000938F8"/>
    <w:rsid w:val="000A101C"/>
    <w:rsid w:val="000A2618"/>
    <w:rsid w:val="000A2EAB"/>
    <w:rsid w:val="000A3020"/>
    <w:rsid w:val="000A6973"/>
    <w:rsid w:val="000A6C7B"/>
    <w:rsid w:val="000B6F90"/>
    <w:rsid w:val="000C2B40"/>
    <w:rsid w:val="000C3D27"/>
    <w:rsid w:val="000D06C1"/>
    <w:rsid w:val="000D122C"/>
    <w:rsid w:val="000D3016"/>
    <w:rsid w:val="000D7747"/>
    <w:rsid w:val="000E1819"/>
    <w:rsid w:val="000E2AED"/>
    <w:rsid w:val="000E450F"/>
    <w:rsid w:val="000E4821"/>
    <w:rsid w:val="000E6C72"/>
    <w:rsid w:val="000F0B2B"/>
    <w:rsid w:val="000F3E72"/>
    <w:rsid w:val="000F48B1"/>
    <w:rsid w:val="00104934"/>
    <w:rsid w:val="00112D66"/>
    <w:rsid w:val="001156FB"/>
    <w:rsid w:val="00115B1F"/>
    <w:rsid w:val="00116EB2"/>
    <w:rsid w:val="00124609"/>
    <w:rsid w:val="00126A4C"/>
    <w:rsid w:val="00137059"/>
    <w:rsid w:val="00137480"/>
    <w:rsid w:val="00142AA6"/>
    <w:rsid w:val="00142AB6"/>
    <w:rsid w:val="0014573B"/>
    <w:rsid w:val="001573E4"/>
    <w:rsid w:val="00160756"/>
    <w:rsid w:val="00162844"/>
    <w:rsid w:val="00162BC4"/>
    <w:rsid w:val="00167BC1"/>
    <w:rsid w:val="0017232E"/>
    <w:rsid w:val="00174102"/>
    <w:rsid w:val="001754EE"/>
    <w:rsid w:val="00180157"/>
    <w:rsid w:val="00180EDE"/>
    <w:rsid w:val="00181EF2"/>
    <w:rsid w:val="00185CB9"/>
    <w:rsid w:val="00186895"/>
    <w:rsid w:val="00186F77"/>
    <w:rsid w:val="00190C0D"/>
    <w:rsid w:val="001926A4"/>
    <w:rsid w:val="00192AD5"/>
    <w:rsid w:val="00195A94"/>
    <w:rsid w:val="001A41F9"/>
    <w:rsid w:val="001A4EC6"/>
    <w:rsid w:val="001B17E7"/>
    <w:rsid w:val="001B45A0"/>
    <w:rsid w:val="001B5135"/>
    <w:rsid w:val="001B7D00"/>
    <w:rsid w:val="001C6558"/>
    <w:rsid w:val="001C7B5C"/>
    <w:rsid w:val="001D055E"/>
    <w:rsid w:val="001D2183"/>
    <w:rsid w:val="001E1A1C"/>
    <w:rsid w:val="001E6343"/>
    <w:rsid w:val="001E70CF"/>
    <w:rsid w:val="001F05A4"/>
    <w:rsid w:val="001F1909"/>
    <w:rsid w:val="001F492E"/>
    <w:rsid w:val="001F6B67"/>
    <w:rsid w:val="001F6DA3"/>
    <w:rsid w:val="002010BC"/>
    <w:rsid w:val="002016E7"/>
    <w:rsid w:val="00201F98"/>
    <w:rsid w:val="00202E03"/>
    <w:rsid w:val="0020478D"/>
    <w:rsid w:val="0020492C"/>
    <w:rsid w:val="002116B8"/>
    <w:rsid w:val="00220CD1"/>
    <w:rsid w:val="00224DB9"/>
    <w:rsid w:val="00225165"/>
    <w:rsid w:val="00227DCE"/>
    <w:rsid w:val="0023276C"/>
    <w:rsid w:val="00233775"/>
    <w:rsid w:val="00251745"/>
    <w:rsid w:val="002566BD"/>
    <w:rsid w:val="00263AC0"/>
    <w:rsid w:val="00264264"/>
    <w:rsid w:val="002648FE"/>
    <w:rsid w:val="0026772D"/>
    <w:rsid w:val="00273B04"/>
    <w:rsid w:val="00273F56"/>
    <w:rsid w:val="00277533"/>
    <w:rsid w:val="0028371D"/>
    <w:rsid w:val="00286874"/>
    <w:rsid w:val="00290C63"/>
    <w:rsid w:val="00296B65"/>
    <w:rsid w:val="002A7DEF"/>
    <w:rsid w:val="002B1003"/>
    <w:rsid w:val="002B3347"/>
    <w:rsid w:val="002B573C"/>
    <w:rsid w:val="002B6CAA"/>
    <w:rsid w:val="002C0D7D"/>
    <w:rsid w:val="002C202F"/>
    <w:rsid w:val="002C233C"/>
    <w:rsid w:val="002C5AA0"/>
    <w:rsid w:val="002C68C1"/>
    <w:rsid w:val="002C7A3A"/>
    <w:rsid w:val="002D1033"/>
    <w:rsid w:val="002D6B4E"/>
    <w:rsid w:val="002D72E8"/>
    <w:rsid w:val="002E1415"/>
    <w:rsid w:val="002E7093"/>
    <w:rsid w:val="002E7B22"/>
    <w:rsid w:val="002F3C7B"/>
    <w:rsid w:val="002F62AB"/>
    <w:rsid w:val="002F7986"/>
    <w:rsid w:val="00300C3A"/>
    <w:rsid w:val="00301B40"/>
    <w:rsid w:val="00301C5E"/>
    <w:rsid w:val="003029EE"/>
    <w:rsid w:val="0030370B"/>
    <w:rsid w:val="003052EA"/>
    <w:rsid w:val="00305CC8"/>
    <w:rsid w:val="00307F6D"/>
    <w:rsid w:val="00311F10"/>
    <w:rsid w:val="003137EB"/>
    <w:rsid w:val="00313A02"/>
    <w:rsid w:val="003177A2"/>
    <w:rsid w:val="003221C6"/>
    <w:rsid w:val="003271B5"/>
    <w:rsid w:val="00327A1E"/>
    <w:rsid w:val="00331264"/>
    <w:rsid w:val="00333DD0"/>
    <w:rsid w:val="00334C8D"/>
    <w:rsid w:val="00337CE4"/>
    <w:rsid w:val="00343A18"/>
    <w:rsid w:val="00344473"/>
    <w:rsid w:val="00346E30"/>
    <w:rsid w:val="003518B3"/>
    <w:rsid w:val="00372DEA"/>
    <w:rsid w:val="0037423C"/>
    <w:rsid w:val="003744DB"/>
    <w:rsid w:val="003824B5"/>
    <w:rsid w:val="00382D67"/>
    <w:rsid w:val="003846F1"/>
    <w:rsid w:val="003931A7"/>
    <w:rsid w:val="003947D2"/>
    <w:rsid w:val="003A3002"/>
    <w:rsid w:val="003B484F"/>
    <w:rsid w:val="003B7FBA"/>
    <w:rsid w:val="003C0944"/>
    <w:rsid w:val="003D0EB5"/>
    <w:rsid w:val="003D3514"/>
    <w:rsid w:val="003D4963"/>
    <w:rsid w:val="003E33DA"/>
    <w:rsid w:val="003E55B6"/>
    <w:rsid w:val="003E61A8"/>
    <w:rsid w:val="003E671C"/>
    <w:rsid w:val="003F0CB4"/>
    <w:rsid w:val="003F174D"/>
    <w:rsid w:val="003F7442"/>
    <w:rsid w:val="003F7C2C"/>
    <w:rsid w:val="0040094D"/>
    <w:rsid w:val="0040474D"/>
    <w:rsid w:val="00410C4F"/>
    <w:rsid w:val="00415CED"/>
    <w:rsid w:val="00415F31"/>
    <w:rsid w:val="004171D1"/>
    <w:rsid w:val="00423A77"/>
    <w:rsid w:val="00425452"/>
    <w:rsid w:val="00433806"/>
    <w:rsid w:val="00434846"/>
    <w:rsid w:val="00434D13"/>
    <w:rsid w:val="00451F3C"/>
    <w:rsid w:val="004541D7"/>
    <w:rsid w:val="0045777E"/>
    <w:rsid w:val="00473D7F"/>
    <w:rsid w:val="00474EC7"/>
    <w:rsid w:val="00480B4B"/>
    <w:rsid w:val="00484350"/>
    <w:rsid w:val="00485DC4"/>
    <w:rsid w:val="00494F92"/>
    <w:rsid w:val="004969CE"/>
    <w:rsid w:val="00496F7E"/>
    <w:rsid w:val="004A43D1"/>
    <w:rsid w:val="004B4412"/>
    <w:rsid w:val="004B545F"/>
    <w:rsid w:val="004B5ECE"/>
    <w:rsid w:val="004B7759"/>
    <w:rsid w:val="004C1F16"/>
    <w:rsid w:val="004C348C"/>
    <w:rsid w:val="004C5765"/>
    <w:rsid w:val="004C612E"/>
    <w:rsid w:val="004D067D"/>
    <w:rsid w:val="004D55BA"/>
    <w:rsid w:val="004D6F21"/>
    <w:rsid w:val="004E22EC"/>
    <w:rsid w:val="004E2581"/>
    <w:rsid w:val="004E2832"/>
    <w:rsid w:val="004E6CCB"/>
    <w:rsid w:val="004F25B6"/>
    <w:rsid w:val="004F6A0E"/>
    <w:rsid w:val="004F75B8"/>
    <w:rsid w:val="0050188F"/>
    <w:rsid w:val="0051443A"/>
    <w:rsid w:val="00530128"/>
    <w:rsid w:val="00531CED"/>
    <w:rsid w:val="0053206E"/>
    <w:rsid w:val="00532467"/>
    <w:rsid w:val="00535999"/>
    <w:rsid w:val="0053708E"/>
    <w:rsid w:val="00537FD6"/>
    <w:rsid w:val="005505F9"/>
    <w:rsid w:val="00555951"/>
    <w:rsid w:val="005569C0"/>
    <w:rsid w:val="00564A4D"/>
    <w:rsid w:val="0056588A"/>
    <w:rsid w:val="00566DC7"/>
    <w:rsid w:val="00567BA5"/>
    <w:rsid w:val="00571800"/>
    <w:rsid w:val="00571B35"/>
    <w:rsid w:val="00571D57"/>
    <w:rsid w:val="00577A09"/>
    <w:rsid w:val="005829C2"/>
    <w:rsid w:val="00584D8F"/>
    <w:rsid w:val="005861CB"/>
    <w:rsid w:val="00586819"/>
    <w:rsid w:val="00594F1A"/>
    <w:rsid w:val="0059704C"/>
    <w:rsid w:val="005A1D28"/>
    <w:rsid w:val="005A1D4B"/>
    <w:rsid w:val="005A404D"/>
    <w:rsid w:val="005B1E3C"/>
    <w:rsid w:val="005B3FB7"/>
    <w:rsid w:val="005B704A"/>
    <w:rsid w:val="005C0A7F"/>
    <w:rsid w:val="005C0AA1"/>
    <w:rsid w:val="005C26CC"/>
    <w:rsid w:val="005C4C9C"/>
    <w:rsid w:val="005D3D96"/>
    <w:rsid w:val="005D7598"/>
    <w:rsid w:val="005D7BA2"/>
    <w:rsid w:val="005E36C2"/>
    <w:rsid w:val="005E5C9F"/>
    <w:rsid w:val="006007DE"/>
    <w:rsid w:val="006010D1"/>
    <w:rsid w:val="00601638"/>
    <w:rsid w:val="00610EF9"/>
    <w:rsid w:val="00612F4F"/>
    <w:rsid w:val="00615C6B"/>
    <w:rsid w:val="00621DCE"/>
    <w:rsid w:val="00623EDE"/>
    <w:rsid w:val="00626386"/>
    <w:rsid w:val="00631793"/>
    <w:rsid w:val="00632A83"/>
    <w:rsid w:val="00632D6D"/>
    <w:rsid w:val="00640CF4"/>
    <w:rsid w:val="00641121"/>
    <w:rsid w:val="00642C3E"/>
    <w:rsid w:val="00651C3A"/>
    <w:rsid w:val="00651CB2"/>
    <w:rsid w:val="006560CA"/>
    <w:rsid w:val="00660350"/>
    <w:rsid w:val="0066104A"/>
    <w:rsid w:val="006611B1"/>
    <w:rsid w:val="00663DAD"/>
    <w:rsid w:val="00665649"/>
    <w:rsid w:val="006672AA"/>
    <w:rsid w:val="00675E20"/>
    <w:rsid w:val="00676679"/>
    <w:rsid w:val="0068055A"/>
    <w:rsid w:val="00681BA2"/>
    <w:rsid w:val="00682606"/>
    <w:rsid w:val="00683C89"/>
    <w:rsid w:val="00684F98"/>
    <w:rsid w:val="006902EB"/>
    <w:rsid w:val="00691D9A"/>
    <w:rsid w:val="006949C6"/>
    <w:rsid w:val="006955B9"/>
    <w:rsid w:val="00697864"/>
    <w:rsid w:val="006A4F0A"/>
    <w:rsid w:val="006A623B"/>
    <w:rsid w:val="006B0A09"/>
    <w:rsid w:val="006B2395"/>
    <w:rsid w:val="006B45A4"/>
    <w:rsid w:val="006B4CF9"/>
    <w:rsid w:val="006B785B"/>
    <w:rsid w:val="006B7AC8"/>
    <w:rsid w:val="006C1736"/>
    <w:rsid w:val="006C18BD"/>
    <w:rsid w:val="006C4798"/>
    <w:rsid w:val="006C6FD7"/>
    <w:rsid w:val="006D0610"/>
    <w:rsid w:val="006D550F"/>
    <w:rsid w:val="006D6F33"/>
    <w:rsid w:val="006E7151"/>
    <w:rsid w:val="006F1987"/>
    <w:rsid w:val="006F3AD1"/>
    <w:rsid w:val="006F3FC8"/>
    <w:rsid w:val="006F7166"/>
    <w:rsid w:val="0070011E"/>
    <w:rsid w:val="00701CAB"/>
    <w:rsid w:val="00704AD4"/>
    <w:rsid w:val="00707563"/>
    <w:rsid w:val="007078A1"/>
    <w:rsid w:val="00711E84"/>
    <w:rsid w:val="007150AE"/>
    <w:rsid w:val="00720D3F"/>
    <w:rsid w:val="00721B11"/>
    <w:rsid w:val="0072348C"/>
    <w:rsid w:val="00724A37"/>
    <w:rsid w:val="00725014"/>
    <w:rsid w:val="007303C3"/>
    <w:rsid w:val="007414DC"/>
    <w:rsid w:val="00741C46"/>
    <w:rsid w:val="00741E23"/>
    <w:rsid w:val="007429BE"/>
    <w:rsid w:val="00743223"/>
    <w:rsid w:val="00746E01"/>
    <w:rsid w:val="00747EEA"/>
    <w:rsid w:val="00757364"/>
    <w:rsid w:val="00757BDF"/>
    <w:rsid w:val="007609D0"/>
    <w:rsid w:val="00763E5D"/>
    <w:rsid w:val="00767740"/>
    <w:rsid w:val="00774298"/>
    <w:rsid w:val="00777EE6"/>
    <w:rsid w:val="00780CDF"/>
    <w:rsid w:val="00782EEA"/>
    <w:rsid w:val="007952DC"/>
    <w:rsid w:val="00797B60"/>
    <w:rsid w:val="007A151F"/>
    <w:rsid w:val="007A15CA"/>
    <w:rsid w:val="007B186E"/>
    <w:rsid w:val="007B2C72"/>
    <w:rsid w:val="007C1C53"/>
    <w:rsid w:val="007C74BB"/>
    <w:rsid w:val="007C77D8"/>
    <w:rsid w:val="007D1BF3"/>
    <w:rsid w:val="007D456E"/>
    <w:rsid w:val="007E4904"/>
    <w:rsid w:val="007E4CB5"/>
    <w:rsid w:val="007E5DA8"/>
    <w:rsid w:val="007F066B"/>
    <w:rsid w:val="007F213A"/>
    <w:rsid w:val="007F5134"/>
    <w:rsid w:val="007F75C4"/>
    <w:rsid w:val="00800126"/>
    <w:rsid w:val="008033C4"/>
    <w:rsid w:val="00803B06"/>
    <w:rsid w:val="00806755"/>
    <w:rsid w:val="00806C88"/>
    <w:rsid w:val="008101F1"/>
    <w:rsid w:val="0081034E"/>
    <w:rsid w:val="00815C8F"/>
    <w:rsid w:val="00816B3A"/>
    <w:rsid w:val="008221F2"/>
    <w:rsid w:val="00825985"/>
    <w:rsid w:val="008306AF"/>
    <w:rsid w:val="008344F6"/>
    <w:rsid w:val="0083510F"/>
    <w:rsid w:val="008408C5"/>
    <w:rsid w:val="00841D6B"/>
    <w:rsid w:val="00842A93"/>
    <w:rsid w:val="008506E5"/>
    <w:rsid w:val="00851209"/>
    <w:rsid w:val="0085275E"/>
    <w:rsid w:val="0085722A"/>
    <w:rsid w:val="00864B35"/>
    <w:rsid w:val="0087041A"/>
    <w:rsid w:val="00870C43"/>
    <w:rsid w:val="00872F34"/>
    <w:rsid w:val="00882481"/>
    <w:rsid w:val="008837AC"/>
    <w:rsid w:val="008877D5"/>
    <w:rsid w:val="008912EB"/>
    <w:rsid w:val="00892D94"/>
    <w:rsid w:val="008964C5"/>
    <w:rsid w:val="008A587D"/>
    <w:rsid w:val="008A6B48"/>
    <w:rsid w:val="008B35CD"/>
    <w:rsid w:val="008B5FCC"/>
    <w:rsid w:val="008B7544"/>
    <w:rsid w:val="008C08AE"/>
    <w:rsid w:val="008C3374"/>
    <w:rsid w:val="008C4444"/>
    <w:rsid w:val="008C4D66"/>
    <w:rsid w:val="008C5486"/>
    <w:rsid w:val="008C708B"/>
    <w:rsid w:val="008D1661"/>
    <w:rsid w:val="008D20D7"/>
    <w:rsid w:val="008D2E49"/>
    <w:rsid w:val="008D3409"/>
    <w:rsid w:val="008D54A5"/>
    <w:rsid w:val="008D6800"/>
    <w:rsid w:val="008E7031"/>
    <w:rsid w:val="008E71F4"/>
    <w:rsid w:val="008E77DE"/>
    <w:rsid w:val="008F07A3"/>
    <w:rsid w:val="008F34DD"/>
    <w:rsid w:val="008F5910"/>
    <w:rsid w:val="008F6524"/>
    <w:rsid w:val="008F7008"/>
    <w:rsid w:val="009001B6"/>
    <w:rsid w:val="0090039D"/>
    <w:rsid w:val="00900E1B"/>
    <w:rsid w:val="00901C3C"/>
    <w:rsid w:val="0091795F"/>
    <w:rsid w:val="009227A6"/>
    <w:rsid w:val="009233EE"/>
    <w:rsid w:val="00926436"/>
    <w:rsid w:val="009272AD"/>
    <w:rsid w:val="009277DC"/>
    <w:rsid w:val="00945E95"/>
    <w:rsid w:val="009460AA"/>
    <w:rsid w:val="00951978"/>
    <w:rsid w:val="00961A4A"/>
    <w:rsid w:val="009661DE"/>
    <w:rsid w:val="00967931"/>
    <w:rsid w:val="009764ED"/>
    <w:rsid w:val="009809DB"/>
    <w:rsid w:val="00983C25"/>
    <w:rsid w:val="009856B7"/>
    <w:rsid w:val="00985C86"/>
    <w:rsid w:val="00992E28"/>
    <w:rsid w:val="0099349D"/>
    <w:rsid w:val="009A30F5"/>
    <w:rsid w:val="009A5113"/>
    <w:rsid w:val="009A5FC3"/>
    <w:rsid w:val="009B10AC"/>
    <w:rsid w:val="009B6F84"/>
    <w:rsid w:val="009B74B0"/>
    <w:rsid w:val="009C50E6"/>
    <w:rsid w:val="009D3906"/>
    <w:rsid w:val="009D6B46"/>
    <w:rsid w:val="009E6C40"/>
    <w:rsid w:val="009F075C"/>
    <w:rsid w:val="009F3D51"/>
    <w:rsid w:val="009F4940"/>
    <w:rsid w:val="009F5BA1"/>
    <w:rsid w:val="00A02A88"/>
    <w:rsid w:val="00A0562E"/>
    <w:rsid w:val="00A06556"/>
    <w:rsid w:val="00A0726D"/>
    <w:rsid w:val="00A11268"/>
    <w:rsid w:val="00A11829"/>
    <w:rsid w:val="00A132E7"/>
    <w:rsid w:val="00A13795"/>
    <w:rsid w:val="00A14C7A"/>
    <w:rsid w:val="00A16B96"/>
    <w:rsid w:val="00A32FBB"/>
    <w:rsid w:val="00A40503"/>
    <w:rsid w:val="00A408AA"/>
    <w:rsid w:val="00A40AEE"/>
    <w:rsid w:val="00A428EE"/>
    <w:rsid w:val="00A434BA"/>
    <w:rsid w:val="00A4478A"/>
    <w:rsid w:val="00A44852"/>
    <w:rsid w:val="00A4650A"/>
    <w:rsid w:val="00A50502"/>
    <w:rsid w:val="00A51493"/>
    <w:rsid w:val="00A529EF"/>
    <w:rsid w:val="00A545D1"/>
    <w:rsid w:val="00A57D04"/>
    <w:rsid w:val="00A606D2"/>
    <w:rsid w:val="00A60A26"/>
    <w:rsid w:val="00A61598"/>
    <w:rsid w:val="00A64C26"/>
    <w:rsid w:val="00A74E83"/>
    <w:rsid w:val="00A809E9"/>
    <w:rsid w:val="00A82FD4"/>
    <w:rsid w:val="00A84A99"/>
    <w:rsid w:val="00A84F46"/>
    <w:rsid w:val="00A85AFD"/>
    <w:rsid w:val="00A871F4"/>
    <w:rsid w:val="00A9179D"/>
    <w:rsid w:val="00A92396"/>
    <w:rsid w:val="00A937CB"/>
    <w:rsid w:val="00A94BF8"/>
    <w:rsid w:val="00AA5008"/>
    <w:rsid w:val="00AA5F4A"/>
    <w:rsid w:val="00AB4DFB"/>
    <w:rsid w:val="00AC1B2C"/>
    <w:rsid w:val="00AC3264"/>
    <w:rsid w:val="00AE0A56"/>
    <w:rsid w:val="00AE17EF"/>
    <w:rsid w:val="00AE1BF1"/>
    <w:rsid w:val="00AE7EFE"/>
    <w:rsid w:val="00AF0DD2"/>
    <w:rsid w:val="00AF31CD"/>
    <w:rsid w:val="00AF52CA"/>
    <w:rsid w:val="00AF6185"/>
    <w:rsid w:val="00AF690B"/>
    <w:rsid w:val="00B0209D"/>
    <w:rsid w:val="00B0645F"/>
    <w:rsid w:val="00B07CEA"/>
    <w:rsid w:val="00B11852"/>
    <w:rsid w:val="00B123B4"/>
    <w:rsid w:val="00B13048"/>
    <w:rsid w:val="00B16B49"/>
    <w:rsid w:val="00B1716D"/>
    <w:rsid w:val="00B17A1D"/>
    <w:rsid w:val="00B207A0"/>
    <w:rsid w:val="00B20FDF"/>
    <w:rsid w:val="00B32A75"/>
    <w:rsid w:val="00B340F2"/>
    <w:rsid w:val="00B35BE8"/>
    <w:rsid w:val="00B4230A"/>
    <w:rsid w:val="00B449D9"/>
    <w:rsid w:val="00B470AF"/>
    <w:rsid w:val="00B514DD"/>
    <w:rsid w:val="00B51C69"/>
    <w:rsid w:val="00B51F3F"/>
    <w:rsid w:val="00B52066"/>
    <w:rsid w:val="00B52AF0"/>
    <w:rsid w:val="00B556B1"/>
    <w:rsid w:val="00B557D3"/>
    <w:rsid w:val="00B561BD"/>
    <w:rsid w:val="00B56E03"/>
    <w:rsid w:val="00B57C2D"/>
    <w:rsid w:val="00B62330"/>
    <w:rsid w:val="00B6513B"/>
    <w:rsid w:val="00B757A6"/>
    <w:rsid w:val="00B8080B"/>
    <w:rsid w:val="00B82223"/>
    <w:rsid w:val="00B87BA5"/>
    <w:rsid w:val="00B87C39"/>
    <w:rsid w:val="00B9562D"/>
    <w:rsid w:val="00BA4665"/>
    <w:rsid w:val="00BB2FB2"/>
    <w:rsid w:val="00BB3304"/>
    <w:rsid w:val="00BB5ED4"/>
    <w:rsid w:val="00BB7528"/>
    <w:rsid w:val="00BC6281"/>
    <w:rsid w:val="00BC7591"/>
    <w:rsid w:val="00BD0A53"/>
    <w:rsid w:val="00BD2C94"/>
    <w:rsid w:val="00BD310B"/>
    <w:rsid w:val="00BD3446"/>
    <w:rsid w:val="00BE1F1B"/>
    <w:rsid w:val="00BE224D"/>
    <w:rsid w:val="00BE47B5"/>
    <w:rsid w:val="00BE52CF"/>
    <w:rsid w:val="00BF09CE"/>
    <w:rsid w:val="00C04223"/>
    <w:rsid w:val="00C045F0"/>
    <w:rsid w:val="00C0460B"/>
    <w:rsid w:val="00C140BE"/>
    <w:rsid w:val="00C142D4"/>
    <w:rsid w:val="00C25FA6"/>
    <w:rsid w:val="00C30CA1"/>
    <w:rsid w:val="00C42ACA"/>
    <w:rsid w:val="00C538A9"/>
    <w:rsid w:val="00C53B5A"/>
    <w:rsid w:val="00C54F5A"/>
    <w:rsid w:val="00C55355"/>
    <w:rsid w:val="00C569B4"/>
    <w:rsid w:val="00C56A3E"/>
    <w:rsid w:val="00C631DC"/>
    <w:rsid w:val="00C63C92"/>
    <w:rsid w:val="00C64D2A"/>
    <w:rsid w:val="00C67A92"/>
    <w:rsid w:val="00C713ED"/>
    <w:rsid w:val="00C7497E"/>
    <w:rsid w:val="00C76755"/>
    <w:rsid w:val="00C821AF"/>
    <w:rsid w:val="00C84209"/>
    <w:rsid w:val="00C84560"/>
    <w:rsid w:val="00C84F52"/>
    <w:rsid w:val="00C86679"/>
    <w:rsid w:val="00C91B5D"/>
    <w:rsid w:val="00C93080"/>
    <w:rsid w:val="00C97350"/>
    <w:rsid w:val="00C97844"/>
    <w:rsid w:val="00CA43D6"/>
    <w:rsid w:val="00CA489E"/>
    <w:rsid w:val="00CA52A2"/>
    <w:rsid w:val="00CA6910"/>
    <w:rsid w:val="00CB0279"/>
    <w:rsid w:val="00CB1181"/>
    <w:rsid w:val="00CB24D6"/>
    <w:rsid w:val="00CB3B72"/>
    <w:rsid w:val="00CB666B"/>
    <w:rsid w:val="00CC0505"/>
    <w:rsid w:val="00CC1311"/>
    <w:rsid w:val="00CC3E33"/>
    <w:rsid w:val="00CC52BD"/>
    <w:rsid w:val="00CC7F1D"/>
    <w:rsid w:val="00CD15EC"/>
    <w:rsid w:val="00CD64CA"/>
    <w:rsid w:val="00CE21D3"/>
    <w:rsid w:val="00CE484B"/>
    <w:rsid w:val="00CF0DEE"/>
    <w:rsid w:val="00CF31BE"/>
    <w:rsid w:val="00CF6EDE"/>
    <w:rsid w:val="00D006AE"/>
    <w:rsid w:val="00D00D2F"/>
    <w:rsid w:val="00D01CF0"/>
    <w:rsid w:val="00D01EFD"/>
    <w:rsid w:val="00D0442A"/>
    <w:rsid w:val="00D12D42"/>
    <w:rsid w:val="00D1526A"/>
    <w:rsid w:val="00D17683"/>
    <w:rsid w:val="00D2162E"/>
    <w:rsid w:val="00D45694"/>
    <w:rsid w:val="00D4617C"/>
    <w:rsid w:val="00D5207A"/>
    <w:rsid w:val="00D52C56"/>
    <w:rsid w:val="00D61388"/>
    <w:rsid w:val="00D61A54"/>
    <w:rsid w:val="00D62197"/>
    <w:rsid w:val="00D64DEA"/>
    <w:rsid w:val="00D7168E"/>
    <w:rsid w:val="00D71E57"/>
    <w:rsid w:val="00D75AA2"/>
    <w:rsid w:val="00D76BF1"/>
    <w:rsid w:val="00D80893"/>
    <w:rsid w:val="00D82FB5"/>
    <w:rsid w:val="00D842E7"/>
    <w:rsid w:val="00D84854"/>
    <w:rsid w:val="00D848B4"/>
    <w:rsid w:val="00D84D2A"/>
    <w:rsid w:val="00D85557"/>
    <w:rsid w:val="00D92CF1"/>
    <w:rsid w:val="00D92D38"/>
    <w:rsid w:val="00D950F5"/>
    <w:rsid w:val="00D96B34"/>
    <w:rsid w:val="00DA0F6A"/>
    <w:rsid w:val="00DA25F1"/>
    <w:rsid w:val="00DA3831"/>
    <w:rsid w:val="00DA4752"/>
    <w:rsid w:val="00DA4E4A"/>
    <w:rsid w:val="00DA61F3"/>
    <w:rsid w:val="00DA6B93"/>
    <w:rsid w:val="00DA6CC2"/>
    <w:rsid w:val="00DA77C3"/>
    <w:rsid w:val="00DB0F93"/>
    <w:rsid w:val="00DB1A67"/>
    <w:rsid w:val="00DB5074"/>
    <w:rsid w:val="00DB5B21"/>
    <w:rsid w:val="00DC7981"/>
    <w:rsid w:val="00DD1AAF"/>
    <w:rsid w:val="00DD2A31"/>
    <w:rsid w:val="00DD7C42"/>
    <w:rsid w:val="00DE0246"/>
    <w:rsid w:val="00DE1093"/>
    <w:rsid w:val="00DE1FF4"/>
    <w:rsid w:val="00DE2C0B"/>
    <w:rsid w:val="00DE4EFA"/>
    <w:rsid w:val="00DE5520"/>
    <w:rsid w:val="00DE563D"/>
    <w:rsid w:val="00DE5E2E"/>
    <w:rsid w:val="00DE772C"/>
    <w:rsid w:val="00DF312A"/>
    <w:rsid w:val="00DF6C8C"/>
    <w:rsid w:val="00E045F5"/>
    <w:rsid w:val="00E04818"/>
    <w:rsid w:val="00E06442"/>
    <w:rsid w:val="00E06BCF"/>
    <w:rsid w:val="00E1001C"/>
    <w:rsid w:val="00E10957"/>
    <w:rsid w:val="00E12317"/>
    <w:rsid w:val="00E13B48"/>
    <w:rsid w:val="00E23993"/>
    <w:rsid w:val="00E257D6"/>
    <w:rsid w:val="00E25B8C"/>
    <w:rsid w:val="00E30601"/>
    <w:rsid w:val="00E3129D"/>
    <w:rsid w:val="00E3617B"/>
    <w:rsid w:val="00E41A2C"/>
    <w:rsid w:val="00E426BD"/>
    <w:rsid w:val="00E444F2"/>
    <w:rsid w:val="00E51D65"/>
    <w:rsid w:val="00E531B6"/>
    <w:rsid w:val="00E6200B"/>
    <w:rsid w:val="00E65C85"/>
    <w:rsid w:val="00E660CB"/>
    <w:rsid w:val="00E66199"/>
    <w:rsid w:val="00E711C7"/>
    <w:rsid w:val="00E71321"/>
    <w:rsid w:val="00E7248F"/>
    <w:rsid w:val="00E732B3"/>
    <w:rsid w:val="00E755EC"/>
    <w:rsid w:val="00E7624D"/>
    <w:rsid w:val="00E80EC4"/>
    <w:rsid w:val="00EA0E55"/>
    <w:rsid w:val="00EA3D42"/>
    <w:rsid w:val="00EA6B1B"/>
    <w:rsid w:val="00EB554B"/>
    <w:rsid w:val="00EB5BC8"/>
    <w:rsid w:val="00EB606C"/>
    <w:rsid w:val="00EC04F1"/>
    <w:rsid w:val="00ED0EC2"/>
    <w:rsid w:val="00ED2BFB"/>
    <w:rsid w:val="00ED2F9A"/>
    <w:rsid w:val="00ED7323"/>
    <w:rsid w:val="00EE28F3"/>
    <w:rsid w:val="00EE451D"/>
    <w:rsid w:val="00EE50D1"/>
    <w:rsid w:val="00EE6043"/>
    <w:rsid w:val="00EE6D16"/>
    <w:rsid w:val="00EF5110"/>
    <w:rsid w:val="00EF7689"/>
    <w:rsid w:val="00F007AA"/>
    <w:rsid w:val="00F02EF0"/>
    <w:rsid w:val="00F0334E"/>
    <w:rsid w:val="00F04446"/>
    <w:rsid w:val="00F07EF3"/>
    <w:rsid w:val="00F10411"/>
    <w:rsid w:val="00F15882"/>
    <w:rsid w:val="00F163E4"/>
    <w:rsid w:val="00F171E0"/>
    <w:rsid w:val="00F20BD3"/>
    <w:rsid w:val="00F2526A"/>
    <w:rsid w:val="00F31745"/>
    <w:rsid w:val="00F332A1"/>
    <w:rsid w:val="00F34AC5"/>
    <w:rsid w:val="00F373A5"/>
    <w:rsid w:val="00F424EB"/>
    <w:rsid w:val="00F47559"/>
    <w:rsid w:val="00F5304A"/>
    <w:rsid w:val="00F61176"/>
    <w:rsid w:val="00F620C4"/>
    <w:rsid w:val="00F64C7B"/>
    <w:rsid w:val="00F65B25"/>
    <w:rsid w:val="00F676DD"/>
    <w:rsid w:val="00F703B4"/>
    <w:rsid w:val="00F71093"/>
    <w:rsid w:val="00F71667"/>
    <w:rsid w:val="00F722FA"/>
    <w:rsid w:val="00F75625"/>
    <w:rsid w:val="00F756EC"/>
    <w:rsid w:val="00F75A26"/>
    <w:rsid w:val="00F75D5E"/>
    <w:rsid w:val="00F76706"/>
    <w:rsid w:val="00F768C8"/>
    <w:rsid w:val="00F80000"/>
    <w:rsid w:val="00F81B8D"/>
    <w:rsid w:val="00F83FAD"/>
    <w:rsid w:val="00F8634F"/>
    <w:rsid w:val="00F8653A"/>
    <w:rsid w:val="00F91769"/>
    <w:rsid w:val="00F92349"/>
    <w:rsid w:val="00F952A0"/>
    <w:rsid w:val="00F96327"/>
    <w:rsid w:val="00FA1A9C"/>
    <w:rsid w:val="00FA289E"/>
    <w:rsid w:val="00FA3A5D"/>
    <w:rsid w:val="00FA3C7F"/>
    <w:rsid w:val="00FB0330"/>
    <w:rsid w:val="00FB4402"/>
    <w:rsid w:val="00FB60FE"/>
    <w:rsid w:val="00FB74E2"/>
    <w:rsid w:val="00FC71DC"/>
    <w:rsid w:val="00FD2AF2"/>
    <w:rsid w:val="00FD2ED2"/>
    <w:rsid w:val="00FD5614"/>
    <w:rsid w:val="00FD5E78"/>
    <w:rsid w:val="00FD605A"/>
    <w:rsid w:val="00FE0BE1"/>
    <w:rsid w:val="00FE1DE9"/>
    <w:rsid w:val="00FE36AF"/>
    <w:rsid w:val="00FE39C2"/>
    <w:rsid w:val="00FE3C32"/>
    <w:rsid w:val="00FE3FED"/>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tabs>
        <w:tab w:val="clear" w:pos="1021"/>
      </w:tabs>
      <w:spacing w:before="120"/>
      <w:ind w:left="1003" w:hanging="36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uiPriority w:val="99"/>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2F3C7B"/>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2F3C7B"/>
    <w:rPr>
      <w:rFonts w:ascii="Verdana" w:eastAsia="Times New Roman" w:hAnsi="Verdana" w:cs="Times New Roman"/>
      <w:sz w:val="24"/>
      <w:szCs w:val="24"/>
      <w:lang w:eastAsia="en-AU"/>
    </w:rPr>
  </w:style>
  <w:style w:type="paragraph" w:customStyle="1" w:styleId="Bulletpoint">
    <w:name w:val="Bullet point"/>
    <w:basedOn w:val="ListBullet"/>
    <w:qFormat/>
    <w:rsid w:val="00AF6185"/>
    <w:pPr>
      <w:numPr>
        <w:numId w:val="0"/>
      </w:numPr>
      <w:ind w:left="340" w:hanging="34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tabs>
        <w:tab w:val="clear" w:pos="1021"/>
      </w:tabs>
      <w:spacing w:before="120"/>
      <w:ind w:left="1003" w:hanging="36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uiPriority w:val="99"/>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2F3C7B"/>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2F3C7B"/>
    <w:rPr>
      <w:rFonts w:ascii="Verdana" w:eastAsia="Times New Roman" w:hAnsi="Verdana" w:cs="Times New Roman"/>
      <w:sz w:val="24"/>
      <w:szCs w:val="24"/>
      <w:lang w:eastAsia="en-AU"/>
    </w:rPr>
  </w:style>
  <w:style w:type="paragraph" w:customStyle="1" w:styleId="Bulletpoint">
    <w:name w:val="Bullet point"/>
    <w:basedOn w:val="ListBullet"/>
    <w:qFormat/>
    <w:rsid w:val="00AF6185"/>
    <w:pPr>
      <w:numPr>
        <w:numId w:val="0"/>
      </w:numPr>
      <w:ind w:left="340" w:hanging="3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80721">
      <w:bodyDiv w:val="1"/>
      <w:marLeft w:val="0"/>
      <w:marRight w:val="0"/>
      <w:marTop w:val="0"/>
      <w:marBottom w:val="0"/>
      <w:divBdr>
        <w:top w:val="none" w:sz="0" w:space="0" w:color="auto"/>
        <w:left w:val="none" w:sz="0" w:space="0" w:color="auto"/>
        <w:bottom w:val="none" w:sz="0" w:space="0" w:color="auto"/>
        <w:right w:val="none" w:sz="0" w:space="0" w:color="auto"/>
      </w:divBdr>
    </w:div>
    <w:div w:id="55092533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1077739">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0204872">
      <w:bodyDiv w:val="1"/>
      <w:marLeft w:val="0"/>
      <w:marRight w:val="0"/>
      <w:marTop w:val="0"/>
      <w:marBottom w:val="0"/>
      <w:divBdr>
        <w:top w:val="none" w:sz="0" w:space="0" w:color="auto"/>
        <w:left w:val="none" w:sz="0" w:space="0" w:color="auto"/>
        <w:bottom w:val="none" w:sz="0" w:space="0" w:color="auto"/>
        <w:right w:val="none" w:sz="0" w:space="0" w:color="auto"/>
      </w:divBdr>
    </w:div>
    <w:div w:id="1122965014">
      <w:bodyDiv w:val="1"/>
      <w:marLeft w:val="0"/>
      <w:marRight w:val="0"/>
      <w:marTop w:val="0"/>
      <w:marBottom w:val="0"/>
      <w:divBdr>
        <w:top w:val="none" w:sz="0" w:space="0" w:color="auto"/>
        <w:left w:val="none" w:sz="0" w:space="0" w:color="auto"/>
        <w:bottom w:val="none" w:sz="0" w:space="0" w:color="auto"/>
        <w:right w:val="none" w:sz="0" w:space="0" w:color="auto"/>
      </w:divBdr>
    </w:div>
    <w:div w:id="1301837853">
      <w:bodyDiv w:val="1"/>
      <w:marLeft w:val="0"/>
      <w:marRight w:val="0"/>
      <w:marTop w:val="0"/>
      <w:marBottom w:val="0"/>
      <w:divBdr>
        <w:top w:val="none" w:sz="0" w:space="0" w:color="auto"/>
        <w:left w:val="none" w:sz="0" w:space="0" w:color="auto"/>
        <w:bottom w:val="none" w:sz="0" w:space="0" w:color="auto"/>
        <w:right w:val="none" w:sz="0" w:space="0" w:color="auto"/>
      </w:divBdr>
    </w:div>
    <w:div w:id="1358043826">
      <w:bodyDiv w:val="1"/>
      <w:marLeft w:val="0"/>
      <w:marRight w:val="0"/>
      <w:marTop w:val="0"/>
      <w:marBottom w:val="0"/>
      <w:divBdr>
        <w:top w:val="none" w:sz="0" w:space="0" w:color="auto"/>
        <w:left w:val="none" w:sz="0" w:space="0" w:color="auto"/>
        <w:bottom w:val="none" w:sz="0" w:space="0" w:color="auto"/>
        <w:right w:val="none" w:sz="0" w:space="0" w:color="auto"/>
      </w:divBdr>
    </w:div>
    <w:div w:id="1635407738">
      <w:bodyDiv w:val="1"/>
      <w:marLeft w:val="0"/>
      <w:marRight w:val="0"/>
      <w:marTop w:val="0"/>
      <w:marBottom w:val="0"/>
      <w:divBdr>
        <w:top w:val="none" w:sz="0" w:space="0" w:color="auto"/>
        <w:left w:val="none" w:sz="0" w:space="0" w:color="auto"/>
        <w:bottom w:val="none" w:sz="0" w:space="0" w:color="auto"/>
        <w:right w:val="none" w:sz="0" w:space="0" w:color="auto"/>
      </w:divBdr>
    </w:div>
    <w:div w:id="19937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electricity2016@aer.gov.a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hyperlink" Target="mailto:VICElectricity2016@aer.gov.au"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cid:image001.png@01D10813.017E72C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11155707105563"/>
          <c:y val="2.2272866451630759E-2"/>
          <c:w val="0.83276155303047894"/>
          <c:h val="0.72860286043317113"/>
        </c:manualLayout>
      </c:layout>
      <c:barChart>
        <c:barDir val="col"/>
        <c:grouping val="stacked"/>
        <c:varyColors val="0"/>
        <c:ser>
          <c:idx val="0"/>
          <c:order val="0"/>
          <c:tx>
            <c:strRef>
              <c:f>'ERP (4.2)'!$B$4</c:f>
              <c:strCache>
                <c:ptCount val="1"/>
                <c:pt idx="0">
                  <c:v>lower bound</c:v>
                </c:pt>
              </c:strCache>
            </c:strRef>
          </c:tx>
          <c:spPr>
            <a:noFill/>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(4.2)'!$B$5:$B$14</c:f>
              <c:numCache>
                <c:formatCode>_(* #,##0.00_);_(* \(#,##0.00\);_(* "-"??_);_(@_)</c:formatCode>
                <c:ptCount val="10"/>
                <c:pt idx="0">
                  <c:v>6.3904695945945997</c:v>
                </c:pt>
                <c:pt idx="1">
                  <c:v>2.04</c:v>
                </c:pt>
                <c:pt idx="2">
                  <c:v>2.9</c:v>
                </c:pt>
                <c:pt idx="3" formatCode="General">
                  <c:v>0</c:v>
                </c:pt>
                <c:pt idx="4" formatCode="General">
                  <c:v>3.5</c:v>
                </c:pt>
                <c:pt idx="5" formatCode="General">
                  <c:v>3.5999999999999996</c:v>
                </c:pt>
                <c:pt idx="6" formatCode="General">
                  <c:v>3.3</c:v>
                </c:pt>
              </c:numCache>
            </c:numRef>
          </c:val>
        </c:ser>
        <c:ser>
          <c:idx val="1"/>
          <c:order val="1"/>
          <c:tx>
            <c:strRef>
              <c:f>'ERP (4.2)'!$C$4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(4.2)'!$C$5:$C$14</c:f>
              <c:numCache>
                <c:formatCode>_(* #,##0.00_);_(* \(#,##0.00\);_(* "-"??_);_(@_)</c:formatCode>
                <c:ptCount val="10"/>
                <c:pt idx="0">
                  <c:v>0.84952437367277334</c:v>
                </c:pt>
                <c:pt idx="1">
                  <c:v>3.952</c:v>
                </c:pt>
                <c:pt idx="2">
                  <c:v>4.0469999999999988</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(4.2)'!$D$5:$D$14</c:f>
              <c:numCache>
                <c:formatCode>General</c:formatCode>
                <c:ptCount val="10"/>
                <c:pt idx="5">
                  <c:v>0.88857142857142613</c:v>
                </c:pt>
                <c:pt idx="6">
                  <c:v>4.83</c:v>
                </c:pt>
              </c:numCache>
            </c:numRef>
          </c:val>
        </c:ser>
        <c:ser>
          <c:idx val="5"/>
          <c:order val="5"/>
          <c:tx>
            <c:strRef>
              <c:f>'ERP (4.2)'!$G$4</c:f>
              <c:strCache>
                <c:ptCount val="1"/>
              </c:strCache>
            </c:strRef>
          </c:tx>
          <c:spPr>
            <a:solidFill>
              <a:schemeClr val="tx2">
                <a:lumMod val="20000"/>
                <a:lumOff val="80000"/>
              </a:schemeClr>
            </a:solid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(4.2)'!$G$6:$G$13</c:f>
              <c:numCache>
                <c:formatCode>General</c:formatCode>
                <c:ptCount val="8"/>
              </c:numCache>
            </c:numRef>
          </c:val>
        </c:ser>
        <c:dLbls>
          <c:showLegendKey val="0"/>
          <c:showVal val="0"/>
          <c:showCatName val="0"/>
          <c:showSerName val="0"/>
          <c:showPercent val="0"/>
          <c:showBubbleSize val="0"/>
        </c:dLbls>
        <c:gapWidth val="150"/>
        <c:overlap val="100"/>
        <c:axId val="42749952"/>
        <c:axId val="42751488"/>
      </c:barChart>
      <c:lineChart>
        <c:grouping val="standard"/>
        <c:varyColors val="0"/>
        <c:ser>
          <c:idx val="3"/>
          <c:order val="3"/>
          <c:tx>
            <c:strRef>
              <c:f>'ERP (4.2)'!$E$4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(4.2)'!$E$5:$E$14</c:f>
              <c:numCache>
                <c:formatCode>General</c:formatCode>
                <c:ptCount val="10"/>
                <c:pt idx="7">
                  <c:v>2.0806999999999998</c:v>
                </c:pt>
                <c:pt idx="8">
                  <c:v>1.9239601471927008</c:v>
                </c:pt>
                <c:pt idx="9">
                  <c:v>2.5415027992852885</c:v>
                </c:pt>
              </c:numCache>
            </c:numRef>
          </c:val>
          <c:smooth val="0"/>
        </c:ser>
        <c:ser>
          <c:idx val="4"/>
          <c:order val="4"/>
          <c:tx>
            <c:strRef>
              <c:f>'ERP (4.2)'!$F$4</c:f>
              <c:strCache>
                <c:ptCount val="1"/>
                <c:pt idx="0">
                  <c:v>AER point estimate</c:v>
                </c:pt>
              </c:strCache>
            </c:strRef>
          </c:tx>
          <c:spPr>
            <a:ln>
              <a:solidFill>
                <a:schemeClr val="accent3">
                  <a:lumMod val="50000"/>
                </a:schemeClr>
              </a:solidFill>
            </a:ln>
          </c:spPr>
          <c:marker>
            <c:symbol val="none"/>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42749952"/>
        <c:axId val="42751488"/>
      </c:lineChart>
      <c:catAx>
        <c:axId val="42749952"/>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42751488"/>
        <c:crosses val="autoZero"/>
        <c:auto val="1"/>
        <c:lblAlgn val="ctr"/>
        <c:lblOffset val="100"/>
        <c:noMultiLvlLbl val="0"/>
      </c:catAx>
      <c:valAx>
        <c:axId val="42751488"/>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1294594887048513E-2"/>
              <c:y val="0.39664517321963932"/>
            </c:manualLayout>
          </c:layout>
          <c:overlay val="0"/>
        </c:title>
        <c:numFmt formatCode="#,##0.0" sourceLinked="0"/>
        <c:majorTickMark val="out"/>
        <c:minorTickMark val="none"/>
        <c:tickLblPos val="nextTo"/>
        <c:crossAx val="42749952"/>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35334-CD44-4839-84EE-B0F707B8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2921ABEC</Template>
  <TotalTime>0</TotalTime>
  <Pages>64</Pages>
  <Words>18636</Words>
  <Characters>106226</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2015-10-27T23:13:00Z</dcterms:created>
  <dcterms:modified xsi:type="dcterms:W3CDTF">2015-10-27T23:13:00Z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8429474</vt:lpwstr>
  </property>
  <property fmtid="{D5CDD505-2E9C-101B-9397-08002B2CF9AE}" pid="3" name="_MarkAsFinal">
    <vt:bool>true</vt:bool>
  </property>
</Properties>
</file>