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0D3BF24" wp14:editId="3658B0A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5C0A7F" w:rsidP="008F07A3">
          <w:pPr>
            <w:pStyle w:val="ReportSubtitle"/>
          </w:pPr>
          <w:r>
            <w:t>AusNet</w:t>
          </w:r>
          <w:r w:rsidR="0070011E">
            <w:t xml:space="preserve"> </w:t>
          </w:r>
          <w:r w:rsidR="00653F6E">
            <w:t xml:space="preserve">Services </w:t>
          </w:r>
          <w:r w:rsidR="0070011E">
            <w:t>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42282C">
            <w:t>6</w:t>
          </w:r>
          <w:r w:rsidR="00DA4752">
            <w:t xml:space="preserve"> </w:t>
          </w:r>
          <w:r w:rsidR="00415F31">
            <w:rPr>
              <w:rFonts w:cs="Arial"/>
            </w:rPr>
            <w:t>–</w:t>
          </w:r>
          <w:r w:rsidR="00DA4752">
            <w:t xml:space="preserve"> </w:t>
          </w:r>
          <w:r w:rsidR="0042282C">
            <w:t>Alternative control services</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704550"/>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5C0A7F">
        <w:t>AusNet</w:t>
      </w:r>
      <w:r w:rsidR="00653F6E">
        <w:t xml:space="preserve"> Services</w:t>
      </w:r>
      <w:r w:rsidR="005C0A7F">
        <w:t>'</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046E18" w:rsidRDefault="0070011E" w:rsidP="00894019">
      <w:r>
        <w:t>Attach</w:t>
      </w:r>
      <w:r w:rsidR="009A5113">
        <w:t xml:space="preserve">ment 18 - </w:t>
      </w:r>
      <w:r w:rsidR="00046E18">
        <w:t>f-</w:t>
      </w:r>
      <w:r w:rsidR="00046E18" w:rsidRPr="001663B6">
        <w:t xml:space="preserve">factor </w:t>
      </w:r>
      <w:bookmarkStart w:id="5" w:name="_GoBack"/>
      <w:bookmarkEnd w:id="5"/>
      <w:r w:rsidR="00046E18" w:rsidRPr="001663B6">
        <w:t>scheme</w:t>
      </w:r>
    </w:p>
    <w:p w:rsidR="00DE563D" w:rsidRPr="00A72B34" w:rsidRDefault="00DE563D" w:rsidP="00DE772C">
      <w:pPr>
        <w:pStyle w:val="UnnumberedHeading"/>
        <w:numPr>
          <w:ilvl w:val="0"/>
          <w:numId w:val="23"/>
        </w:numPr>
      </w:pPr>
      <w:bookmarkStart w:id="6" w:name="_Toc403144133"/>
      <w:bookmarkStart w:id="7" w:name="_Toc433704551"/>
      <w:r>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E62F6C" w:rsidRDefault="000B3D72">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33704550" w:history="1">
            <w:r w:rsidR="00E62F6C" w:rsidRPr="00F33C46">
              <w:rPr>
                <w:rStyle w:val="Hyperlink"/>
              </w:rPr>
              <w:t>Note</w:t>
            </w:r>
            <w:r w:rsidR="00E62F6C">
              <w:rPr>
                <w:webHidden/>
              </w:rPr>
              <w:tab/>
            </w:r>
            <w:r w:rsidR="00E62F6C">
              <w:rPr>
                <w:webHidden/>
              </w:rPr>
              <w:fldChar w:fldCharType="begin"/>
            </w:r>
            <w:r w:rsidR="00E62F6C">
              <w:rPr>
                <w:webHidden/>
              </w:rPr>
              <w:instrText xml:space="preserve"> PAGEREF _Toc433704550 \h </w:instrText>
            </w:r>
            <w:r w:rsidR="00E62F6C">
              <w:rPr>
                <w:webHidden/>
              </w:rPr>
            </w:r>
            <w:r w:rsidR="00E62F6C">
              <w:rPr>
                <w:webHidden/>
              </w:rPr>
              <w:fldChar w:fldCharType="separate"/>
            </w:r>
            <w:r w:rsidR="009E0EFD">
              <w:rPr>
                <w:webHidden/>
              </w:rPr>
              <w:t>16-2</w:t>
            </w:r>
            <w:r w:rsidR="00E62F6C">
              <w:rPr>
                <w:webHidden/>
              </w:rPr>
              <w:fldChar w:fldCharType="end"/>
            </w:r>
          </w:hyperlink>
        </w:p>
        <w:p w:rsidR="00E62F6C" w:rsidRDefault="00E62F6C">
          <w:pPr>
            <w:pStyle w:val="TOC1"/>
            <w:rPr>
              <w:rFonts w:asciiTheme="minorHAnsi" w:eastAsiaTheme="minorEastAsia" w:hAnsiTheme="minorHAnsi"/>
              <w:b w:val="0"/>
              <w:color w:val="auto"/>
              <w:sz w:val="22"/>
              <w:lang w:val="en-AU" w:eastAsia="en-AU"/>
            </w:rPr>
          </w:pPr>
          <w:hyperlink w:anchor="_Toc433704551" w:history="1">
            <w:r w:rsidRPr="00F33C46">
              <w:rPr>
                <w:rStyle w:val="Hyperlink"/>
              </w:rPr>
              <w:t>Contents</w:t>
            </w:r>
            <w:r>
              <w:rPr>
                <w:webHidden/>
              </w:rPr>
              <w:tab/>
            </w:r>
            <w:r>
              <w:rPr>
                <w:webHidden/>
              </w:rPr>
              <w:fldChar w:fldCharType="begin"/>
            </w:r>
            <w:r>
              <w:rPr>
                <w:webHidden/>
              </w:rPr>
              <w:instrText xml:space="preserve"> PAGEREF _Toc433704551 \h </w:instrText>
            </w:r>
            <w:r>
              <w:rPr>
                <w:webHidden/>
              </w:rPr>
            </w:r>
            <w:r>
              <w:rPr>
                <w:webHidden/>
              </w:rPr>
              <w:fldChar w:fldCharType="separate"/>
            </w:r>
            <w:r w:rsidR="009E0EFD">
              <w:rPr>
                <w:webHidden/>
              </w:rPr>
              <w:t>16-3</w:t>
            </w:r>
            <w:r>
              <w:rPr>
                <w:webHidden/>
              </w:rPr>
              <w:fldChar w:fldCharType="end"/>
            </w:r>
          </w:hyperlink>
        </w:p>
        <w:p w:rsidR="00E62F6C" w:rsidRDefault="00E62F6C">
          <w:pPr>
            <w:pStyle w:val="TOC1"/>
            <w:rPr>
              <w:rFonts w:asciiTheme="minorHAnsi" w:eastAsiaTheme="minorEastAsia" w:hAnsiTheme="minorHAnsi"/>
              <w:b w:val="0"/>
              <w:color w:val="auto"/>
              <w:sz w:val="22"/>
              <w:lang w:val="en-AU" w:eastAsia="en-AU"/>
            </w:rPr>
          </w:pPr>
          <w:hyperlink w:anchor="_Toc433704552" w:history="1">
            <w:r w:rsidRPr="00F33C46">
              <w:rPr>
                <w:rStyle w:val="Hyperlink"/>
              </w:rPr>
              <w:t>Shortened forms</w:t>
            </w:r>
            <w:r>
              <w:rPr>
                <w:webHidden/>
              </w:rPr>
              <w:tab/>
            </w:r>
            <w:r>
              <w:rPr>
                <w:webHidden/>
              </w:rPr>
              <w:fldChar w:fldCharType="begin"/>
            </w:r>
            <w:r>
              <w:rPr>
                <w:webHidden/>
              </w:rPr>
              <w:instrText xml:space="preserve"> PAGEREF _Toc433704552 \h </w:instrText>
            </w:r>
            <w:r>
              <w:rPr>
                <w:webHidden/>
              </w:rPr>
            </w:r>
            <w:r>
              <w:rPr>
                <w:webHidden/>
              </w:rPr>
              <w:fldChar w:fldCharType="separate"/>
            </w:r>
            <w:r w:rsidR="009E0EFD">
              <w:rPr>
                <w:webHidden/>
              </w:rPr>
              <w:t>16-5</w:t>
            </w:r>
            <w:r>
              <w:rPr>
                <w:webHidden/>
              </w:rPr>
              <w:fldChar w:fldCharType="end"/>
            </w:r>
          </w:hyperlink>
        </w:p>
        <w:p w:rsidR="00E62F6C" w:rsidRDefault="00E62F6C">
          <w:pPr>
            <w:pStyle w:val="TOC1"/>
            <w:rPr>
              <w:rFonts w:asciiTheme="minorHAnsi" w:eastAsiaTheme="minorEastAsia" w:hAnsiTheme="minorHAnsi"/>
              <w:b w:val="0"/>
              <w:color w:val="auto"/>
              <w:sz w:val="22"/>
              <w:lang w:val="en-AU" w:eastAsia="en-AU"/>
            </w:rPr>
          </w:pPr>
          <w:hyperlink w:anchor="_Toc433704553" w:history="1">
            <w:r w:rsidRPr="00F33C46">
              <w:rPr>
                <w:rStyle w:val="Hyperlink"/>
              </w:rPr>
              <w:t>16</w:t>
            </w:r>
            <w:r>
              <w:rPr>
                <w:rFonts w:asciiTheme="minorHAnsi" w:eastAsiaTheme="minorEastAsia" w:hAnsiTheme="minorHAnsi"/>
                <w:b w:val="0"/>
                <w:color w:val="auto"/>
                <w:sz w:val="22"/>
                <w:lang w:val="en-AU" w:eastAsia="en-AU"/>
              </w:rPr>
              <w:tab/>
            </w:r>
            <w:r w:rsidRPr="00F33C46">
              <w:rPr>
                <w:rStyle w:val="Hyperlink"/>
              </w:rPr>
              <w:t>Alternative control services</w:t>
            </w:r>
            <w:r>
              <w:rPr>
                <w:webHidden/>
              </w:rPr>
              <w:tab/>
            </w:r>
            <w:r>
              <w:rPr>
                <w:webHidden/>
              </w:rPr>
              <w:fldChar w:fldCharType="begin"/>
            </w:r>
            <w:r>
              <w:rPr>
                <w:webHidden/>
              </w:rPr>
              <w:instrText xml:space="preserve"> PAGEREF _Toc433704553 \h </w:instrText>
            </w:r>
            <w:r>
              <w:rPr>
                <w:webHidden/>
              </w:rPr>
            </w:r>
            <w:r>
              <w:rPr>
                <w:webHidden/>
              </w:rPr>
              <w:fldChar w:fldCharType="separate"/>
            </w:r>
            <w:r w:rsidR="009E0EFD">
              <w:rPr>
                <w:webHidden/>
              </w:rPr>
              <w:t>16-7</w:t>
            </w:r>
            <w:r>
              <w:rPr>
                <w:webHidden/>
              </w:rPr>
              <w:fldChar w:fldCharType="end"/>
            </w:r>
          </w:hyperlink>
        </w:p>
        <w:p w:rsidR="00E62F6C" w:rsidRDefault="00E62F6C">
          <w:pPr>
            <w:pStyle w:val="TOC2"/>
            <w:tabs>
              <w:tab w:val="left" w:pos="1276"/>
            </w:tabs>
            <w:rPr>
              <w:rFonts w:asciiTheme="minorHAnsi" w:eastAsiaTheme="minorEastAsia" w:hAnsiTheme="minorHAnsi"/>
              <w:b w:val="0"/>
              <w:color w:val="auto"/>
              <w:sz w:val="22"/>
              <w:lang w:eastAsia="en-AU"/>
            </w:rPr>
          </w:pPr>
          <w:hyperlink w:anchor="_Toc433704554" w:history="1">
            <w:r w:rsidRPr="00F33C46">
              <w:rPr>
                <w:rStyle w:val="Hyperlink"/>
              </w:rPr>
              <w:t>16.1</w:t>
            </w:r>
            <w:r>
              <w:rPr>
                <w:rFonts w:asciiTheme="minorHAnsi" w:eastAsiaTheme="minorEastAsia" w:hAnsiTheme="minorHAnsi"/>
                <w:b w:val="0"/>
                <w:color w:val="auto"/>
                <w:sz w:val="22"/>
                <w:lang w:eastAsia="en-AU"/>
              </w:rPr>
              <w:tab/>
            </w:r>
            <w:r w:rsidRPr="00F33C46">
              <w:rPr>
                <w:rStyle w:val="Hyperlink"/>
              </w:rPr>
              <w:t>Ancillary network services</w:t>
            </w:r>
            <w:r>
              <w:rPr>
                <w:webHidden/>
              </w:rPr>
              <w:tab/>
            </w:r>
            <w:r>
              <w:rPr>
                <w:webHidden/>
              </w:rPr>
              <w:fldChar w:fldCharType="begin"/>
            </w:r>
            <w:r>
              <w:rPr>
                <w:webHidden/>
              </w:rPr>
              <w:instrText xml:space="preserve"> PAGEREF _Toc433704554 \h </w:instrText>
            </w:r>
            <w:r>
              <w:rPr>
                <w:webHidden/>
              </w:rPr>
            </w:r>
            <w:r>
              <w:rPr>
                <w:webHidden/>
              </w:rPr>
              <w:fldChar w:fldCharType="separate"/>
            </w:r>
            <w:r w:rsidR="009E0EFD">
              <w:rPr>
                <w:webHidden/>
              </w:rPr>
              <w:t>16-7</w:t>
            </w:r>
            <w:r>
              <w:rPr>
                <w:webHidden/>
              </w:rPr>
              <w:fldChar w:fldCharType="end"/>
            </w:r>
          </w:hyperlink>
        </w:p>
        <w:p w:rsidR="00E62F6C" w:rsidRDefault="00E62F6C">
          <w:pPr>
            <w:pStyle w:val="TOC3"/>
            <w:rPr>
              <w:rFonts w:asciiTheme="minorHAnsi" w:eastAsiaTheme="minorEastAsia" w:hAnsiTheme="minorHAnsi"/>
              <w:lang w:eastAsia="en-AU"/>
            </w:rPr>
          </w:pPr>
          <w:hyperlink w:anchor="_Toc433704555" w:history="1">
            <w:r w:rsidRPr="00F33C46">
              <w:rPr>
                <w:rStyle w:val="Hyperlink"/>
              </w:rPr>
              <w:t>16.1.1</w:t>
            </w:r>
            <w:r>
              <w:rPr>
                <w:rFonts w:asciiTheme="minorHAnsi" w:eastAsiaTheme="minorEastAsia" w:hAnsiTheme="minorHAnsi"/>
                <w:lang w:eastAsia="en-AU"/>
              </w:rPr>
              <w:tab/>
            </w:r>
            <w:r w:rsidRPr="00F33C46">
              <w:rPr>
                <w:rStyle w:val="Hyperlink"/>
              </w:rPr>
              <w:t>Preliminary decision</w:t>
            </w:r>
            <w:r>
              <w:rPr>
                <w:webHidden/>
              </w:rPr>
              <w:tab/>
            </w:r>
            <w:r>
              <w:rPr>
                <w:webHidden/>
              </w:rPr>
              <w:fldChar w:fldCharType="begin"/>
            </w:r>
            <w:r>
              <w:rPr>
                <w:webHidden/>
              </w:rPr>
              <w:instrText xml:space="preserve"> PAGEREF _Toc433704555 \h </w:instrText>
            </w:r>
            <w:r>
              <w:rPr>
                <w:webHidden/>
              </w:rPr>
            </w:r>
            <w:r>
              <w:rPr>
                <w:webHidden/>
              </w:rPr>
              <w:fldChar w:fldCharType="separate"/>
            </w:r>
            <w:r w:rsidR="009E0EFD">
              <w:rPr>
                <w:webHidden/>
              </w:rPr>
              <w:t>16-7</w:t>
            </w:r>
            <w:r>
              <w:rPr>
                <w:webHidden/>
              </w:rPr>
              <w:fldChar w:fldCharType="end"/>
            </w:r>
          </w:hyperlink>
        </w:p>
        <w:p w:rsidR="00E62F6C" w:rsidRDefault="00E62F6C">
          <w:pPr>
            <w:pStyle w:val="TOC3"/>
            <w:rPr>
              <w:rFonts w:asciiTheme="minorHAnsi" w:eastAsiaTheme="minorEastAsia" w:hAnsiTheme="minorHAnsi"/>
              <w:lang w:eastAsia="en-AU"/>
            </w:rPr>
          </w:pPr>
          <w:hyperlink w:anchor="_Toc433704556" w:history="1">
            <w:r w:rsidRPr="00F33C46">
              <w:rPr>
                <w:rStyle w:val="Hyperlink"/>
              </w:rPr>
              <w:t>16.1.2</w:t>
            </w:r>
            <w:r>
              <w:rPr>
                <w:rFonts w:asciiTheme="minorHAnsi" w:eastAsiaTheme="minorEastAsia" w:hAnsiTheme="minorHAnsi"/>
                <w:lang w:eastAsia="en-AU"/>
              </w:rPr>
              <w:tab/>
            </w:r>
            <w:r w:rsidRPr="00F33C46">
              <w:rPr>
                <w:rStyle w:val="Hyperlink"/>
              </w:rPr>
              <w:t>AusNet Services' proposal</w:t>
            </w:r>
            <w:r>
              <w:rPr>
                <w:webHidden/>
              </w:rPr>
              <w:tab/>
            </w:r>
            <w:r>
              <w:rPr>
                <w:webHidden/>
              </w:rPr>
              <w:fldChar w:fldCharType="begin"/>
            </w:r>
            <w:r>
              <w:rPr>
                <w:webHidden/>
              </w:rPr>
              <w:instrText xml:space="preserve"> PAGEREF _Toc433704556 \h </w:instrText>
            </w:r>
            <w:r>
              <w:rPr>
                <w:webHidden/>
              </w:rPr>
            </w:r>
            <w:r>
              <w:rPr>
                <w:webHidden/>
              </w:rPr>
              <w:fldChar w:fldCharType="separate"/>
            </w:r>
            <w:r w:rsidR="009E0EFD">
              <w:rPr>
                <w:webHidden/>
              </w:rPr>
              <w:t>16-11</w:t>
            </w:r>
            <w:r>
              <w:rPr>
                <w:webHidden/>
              </w:rPr>
              <w:fldChar w:fldCharType="end"/>
            </w:r>
          </w:hyperlink>
        </w:p>
        <w:p w:rsidR="00E62F6C" w:rsidRDefault="00E62F6C">
          <w:pPr>
            <w:pStyle w:val="TOC3"/>
            <w:rPr>
              <w:rFonts w:asciiTheme="minorHAnsi" w:eastAsiaTheme="minorEastAsia" w:hAnsiTheme="minorHAnsi"/>
              <w:lang w:eastAsia="en-AU"/>
            </w:rPr>
          </w:pPr>
          <w:hyperlink w:anchor="_Toc433704557" w:history="1">
            <w:r w:rsidRPr="00F33C46">
              <w:rPr>
                <w:rStyle w:val="Hyperlink"/>
              </w:rPr>
              <w:t>16.1.3</w:t>
            </w:r>
            <w:r>
              <w:rPr>
                <w:rFonts w:asciiTheme="minorHAnsi" w:eastAsiaTheme="minorEastAsia" w:hAnsiTheme="minorHAnsi"/>
                <w:lang w:eastAsia="en-AU"/>
              </w:rPr>
              <w:tab/>
            </w:r>
            <w:r w:rsidRPr="00F33C46">
              <w:rPr>
                <w:rStyle w:val="Hyperlink"/>
              </w:rPr>
              <w:t>Assessment approach</w:t>
            </w:r>
            <w:r>
              <w:rPr>
                <w:webHidden/>
              </w:rPr>
              <w:tab/>
            </w:r>
            <w:r>
              <w:rPr>
                <w:webHidden/>
              </w:rPr>
              <w:fldChar w:fldCharType="begin"/>
            </w:r>
            <w:r>
              <w:rPr>
                <w:webHidden/>
              </w:rPr>
              <w:instrText xml:space="preserve"> PAGEREF _Toc433704557 \h </w:instrText>
            </w:r>
            <w:r>
              <w:rPr>
                <w:webHidden/>
              </w:rPr>
            </w:r>
            <w:r>
              <w:rPr>
                <w:webHidden/>
              </w:rPr>
              <w:fldChar w:fldCharType="separate"/>
            </w:r>
            <w:r w:rsidR="009E0EFD">
              <w:rPr>
                <w:webHidden/>
              </w:rPr>
              <w:t>16-12</w:t>
            </w:r>
            <w:r>
              <w:rPr>
                <w:webHidden/>
              </w:rPr>
              <w:fldChar w:fldCharType="end"/>
            </w:r>
          </w:hyperlink>
        </w:p>
        <w:p w:rsidR="00E62F6C" w:rsidRDefault="00E62F6C">
          <w:pPr>
            <w:pStyle w:val="TOC3"/>
            <w:rPr>
              <w:rFonts w:asciiTheme="minorHAnsi" w:eastAsiaTheme="minorEastAsia" w:hAnsiTheme="minorHAnsi"/>
              <w:lang w:eastAsia="en-AU"/>
            </w:rPr>
          </w:pPr>
          <w:hyperlink w:anchor="_Toc433704558" w:history="1">
            <w:r w:rsidRPr="00F33C46">
              <w:rPr>
                <w:rStyle w:val="Hyperlink"/>
              </w:rPr>
              <w:t>16.1.4</w:t>
            </w:r>
            <w:r>
              <w:rPr>
                <w:rFonts w:asciiTheme="minorHAnsi" w:eastAsiaTheme="minorEastAsia" w:hAnsiTheme="minorHAnsi"/>
                <w:lang w:eastAsia="en-AU"/>
              </w:rPr>
              <w:tab/>
            </w:r>
            <w:r w:rsidRPr="00F33C46">
              <w:rPr>
                <w:rStyle w:val="Hyperlink"/>
              </w:rPr>
              <w:t>Reasons for preliminary decision</w:t>
            </w:r>
            <w:r>
              <w:rPr>
                <w:webHidden/>
              </w:rPr>
              <w:tab/>
            </w:r>
            <w:r>
              <w:rPr>
                <w:webHidden/>
              </w:rPr>
              <w:fldChar w:fldCharType="begin"/>
            </w:r>
            <w:r>
              <w:rPr>
                <w:webHidden/>
              </w:rPr>
              <w:instrText xml:space="preserve"> PAGEREF _Toc433704558 \h </w:instrText>
            </w:r>
            <w:r>
              <w:rPr>
                <w:webHidden/>
              </w:rPr>
            </w:r>
            <w:r>
              <w:rPr>
                <w:webHidden/>
              </w:rPr>
              <w:fldChar w:fldCharType="separate"/>
            </w:r>
            <w:r w:rsidR="009E0EFD">
              <w:rPr>
                <w:webHidden/>
              </w:rPr>
              <w:t>16-13</w:t>
            </w:r>
            <w:r>
              <w:rPr>
                <w:webHidden/>
              </w:rPr>
              <w:fldChar w:fldCharType="end"/>
            </w:r>
          </w:hyperlink>
        </w:p>
        <w:p w:rsidR="00E62F6C" w:rsidRDefault="00E62F6C">
          <w:pPr>
            <w:pStyle w:val="TOC2"/>
            <w:tabs>
              <w:tab w:val="left" w:pos="1276"/>
            </w:tabs>
            <w:rPr>
              <w:rFonts w:asciiTheme="minorHAnsi" w:eastAsiaTheme="minorEastAsia" w:hAnsiTheme="minorHAnsi"/>
              <w:b w:val="0"/>
              <w:color w:val="auto"/>
              <w:sz w:val="22"/>
              <w:lang w:eastAsia="en-AU"/>
            </w:rPr>
          </w:pPr>
          <w:hyperlink w:anchor="_Toc433704559" w:history="1">
            <w:r w:rsidRPr="00F33C46">
              <w:rPr>
                <w:rStyle w:val="Hyperlink"/>
              </w:rPr>
              <w:t>16.2</w:t>
            </w:r>
            <w:r>
              <w:rPr>
                <w:rFonts w:asciiTheme="minorHAnsi" w:eastAsiaTheme="minorEastAsia" w:hAnsiTheme="minorHAnsi"/>
                <w:b w:val="0"/>
                <w:color w:val="auto"/>
                <w:sz w:val="22"/>
                <w:lang w:eastAsia="en-AU"/>
              </w:rPr>
              <w:tab/>
            </w:r>
            <w:r w:rsidRPr="00F33C46">
              <w:rPr>
                <w:rStyle w:val="Hyperlink"/>
              </w:rPr>
              <w:t>Public Lighting</w:t>
            </w:r>
            <w:r>
              <w:rPr>
                <w:webHidden/>
              </w:rPr>
              <w:tab/>
            </w:r>
            <w:r>
              <w:rPr>
                <w:webHidden/>
              </w:rPr>
              <w:fldChar w:fldCharType="begin"/>
            </w:r>
            <w:r>
              <w:rPr>
                <w:webHidden/>
              </w:rPr>
              <w:instrText xml:space="preserve"> PAGEREF _Toc433704559 \h </w:instrText>
            </w:r>
            <w:r>
              <w:rPr>
                <w:webHidden/>
              </w:rPr>
            </w:r>
            <w:r>
              <w:rPr>
                <w:webHidden/>
              </w:rPr>
              <w:fldChar w:fldCharType="separate"/>
            </w:r>
            <w:r w:rsidR="009E0EFD">
              <w:rPr>
                <w:webHidden/>
              </w:rPr>
              <w:t>16-20</w:t>
            </w:r>
            <w:r>
              <w:rPr>
                <w:webHidden/>
              </w:rPr>
              <w:fldChar w:fldCharType="end"/>
            </w:r>
          </w:hyperlink>
        </w:p>
        <w:p w:rsidR="00E62F6C" w:rsidRDefault="00E62F6C">
          <w:pPr>
            <w:pStyle w:val="TOC3"/>
            <w:rPr>
              <w:rFonts w:asciiTheme="minorHAnsi" w:eastAsiaTheme="minorEastAsia" w:hAnsiTheme="minorHAnsi"/>
              <w:lang w:eastAsia="en-AU"/>
            </w:rPr>
          </w:pPr>
          <w:hyperlink w:anchor="_Toc433704560" w:history="1">
            <w:r w:rsidRPr="00F33C46">
              <w:rPr>
                <w:rStyle w:val="Hyperlink"/>
              </w:rPr>
              <w:t>16.2.1</w:t>
            </w:r>
            <w:r>
              <w:rPr>
                <w:rFonts w:asciiTheme="minorHAnsi" w:eastAsiaTheme="minorEastAsia" w:hAnsiTheme="minorHAnsi"/>
                <w:lang w:eastAsia="en-AU"/>
              </w:rPr>
              <w:tab/>
            </w:r>
            <w:r w:rsidRPr="00F33C46">
              <w:rPr>
                <w:rStyle w:val="Hyperlink"/>
              </w:rPr>
              <w:t>Preliminary decision</w:t>
            </w:r>
            <w:r>
              <w:rPr>
                <w:webHidden/>
              </w:rPr>
              <w:tab/>
            </w:r>
            <w:r>
              <w:rPr>
                <w:webHidden/>
              </w:rPr>
              <w:fldChar w:fldCharType="begin"/>
            </w:r>
            <w:r>
              <w:rPr>
                <w:webHidden/>
              </w:rPr>
              <w:instrText xml:space="preserve"> PAGEREF _Toc433704560 \h </w:instrText>
            </w:r>
            <w:r>
              <w:rPr>
                <w:webHidden/>
              </w:rPr>
            </w:r>
            <w:r>
              <w:rPr>
                <w:webHidden/>
              </w:rPr>
              <w:fldChar w:fldCharType="separate"/>
            </w:r>
            <w:r w:rsidR="009E0EFD">
              <w:rPr>
                <w:webHidden/>
              </w:rPr>
              <w:t>16-20</w:t>
            </w:r>
            <w:r>
              <w:rPr>
                <w:webHidden/>
              </w:rPr>
              <w:fldChar w:fldCharType="end"/>
            </w:r>
          </w:hyperlink>
        </w:p>
        <w:p w:rsidR="00E62F6C" w:rsidRDefault="00E62F6C">
          <w:pPr>
            <w:pStyle w:val="TOC3"/>
            <w:rPr>
              <w:rFonts w:asciiTheme="minorHAnsi" w:eastAsiaTheme="minorEastAsia" w:hAnsiTheme="minorHAnsi"/>
              <w:lang w:eastAsia="en-AU"/>
            </w:rPr>
          </w:pPr>
          <w:hyperlink w:anchor="_Toc433704561" w:history="1">
            <w:r w:rsidRPr="00F33C46">
              <w:rPr>
                <w:rStyle w:val="Hyperlink"/>
              </w:rPr>
              <w:t>16.2.2</w:t>
            </w:r>
            <w:r>
              <w:rPr>
                <w:rFonts w:asciiTheme="minorHAnsi" w:eastAsiaTheme="minorEastAsia" w:hAnsiTheme="minorHAnsi"/>
                <w:lang w:eastAsia="en-AU"/>
              </w:rPr>
              <w:tab/>
            </w:r>
            <w:r w:rsidRPr="00F33C46">
              <w:rPr>
                <w:rStyle w:val="Hyperlink"/>
              </w:rPr>
              <w:t>AusNet Services Proposal</w:t>
            </w:r>
            <w:r>
              <w:rPr>
                <w:webHidden/>
              </w:rPr>
              <w:tab/>
            </w:r>
            <w:r>
              <w:rPr>
                <w:webHidden/>
              </w:rPr>
              <w:fldChar w:fldCharType="begin"/>
            </w:r>
            <w:r>
              <w:rPr>
                <w:webHidden/>
              </w:rPr>
              <w:instrText xml:space="preserve"> PAGEREF _Toc433704561 \h </w:instrText>
            </w:r>
            <w:r>
              <w:rPr>
                <w:webHidden/>
              </w:rPr>
            </w:r>
            <w:r>
              <w:rPr>
                <w:webHidden/>
              </w:rPr>
              <w:fldChar w:fldCharType="separate"/>
            </w:r>
            <w:r w:rsidR="009E0EFD">
              <w:rPr>
                <w:webHidden/>
              </w:rPr>
              <w:t>16-21</w:t>
            </w:r>
            <w:r>
              <w:rPr>
                <w:webHidden/>
              </w:rPr>
              <w:fldChar w:fldCharType="end"/>
            </w:r>
          </w:hyperlink>
        </w:p>
        <w:p w:rsidR="00E62F6C" w:rsidRDefault="00E62F6C">
          <w:pPr>
            <w:pStyle w:val="TOC3"/>
            <w:rPr>
              <w:rFonts w:asciiTheme="minorHAnsi" w:eastAsiaTheme="minorEastAsia" w:hAnsiTheme="minorHAnsi"/>
              <w:lang w:eastAsia="en-AU"/>
            </w:rPr>
          </w:pPr>
          <w:hyperlink w:anchor="_Toc433704562" w:history="1">
            <w:r w:rsidRPr="00F33C46">
              <w:rPr>
                <w:rStyle w:val="Hyperlink"/>
              </w:rPr>
              <w:t>16.2.3</w:t>
            </w:r>
            <w:r>
              <w:rPr>
                <w:rFonts w:asciiTheme="minorHAnsi" w:eastAsiaTheme="minorEastAsia" w:hAnsiTheme="minorHAnsi"/>
                <w:lang w:eastAsia="en-AU"/>
              </w:rPr>
              <w:tab/>
            </w:r>
            <w:r w:rsidRPr="00F33C46">
              <w:rPr>
                <w:rStyle w:val="Hyperlink"/>
              </w:rPr>
              <w:t>AER’s assessment approach</w:t>
            </w:r>
            <w:r>
              <w:rPr>
                <w:webHidden/>
              </w:rPr>
              <w:tab/>
            </w:r>
            <w:r>
              <w:rPr>
                <w:webHidden/>
              </w:rPr>
              <w:fldChar w:fldCharType="begin"/>
            </w:r>
            <w:r>
              <w:rPr>
                <w:webHidden/>
              </w:rPr>
              <w:instrText xml:space="preserve"> PAGEREF _Toc433704562 \h </w:instrText>
            </w:r>
            <w:r>
              <w:rPr>
                <w:webHidden/>
              </w:rPr>
            </w:r>
            <w:r>
              <w:rPr>
                <w:webHidden/>
              </w:rPr>
              <w:fldChar w:fldCharType="separate"/>
            </w:r>
            <w:r w:rsidR="009E0EFD">
              <w:rPr>
                <w:webHidden/>
              </w:rPr>
              <w:t>16-22</w:t>
            </w:r>
            <w:r>
              <w:rPr>
                <w:webHidden/>
              </w:rPr>
              <w:fldChar w:fldCharType="end"/>
            </w:r>
          </w:hyperlink>
        </w:p>
        <w:p w:rsidR="00E62F6C" w:rsidRDefault="00E62F6C">
          <w:pPr>
            <w:pStyle w:val="TOC3"/>
            <w:rPr>
              <w:rFonts w:asciiTheme="minorHAnsi" w:eastAsiaTheme="minorEastAsia" w:hAnsiTheme="minorHAnsi"/>
              <w:lang w:eastAsia="en-AU"/>
            </w:rPr>
          </w:pPr>
          <w:hyperlink w:anchor="_Toc433704563" w:history="1">
            <w:r w:rsidRPr="00F33C46">
              <w:rPr>
                <w:rStyle w:val="Hyperlink"/>
              </w:rPr>
              <w:t>16.2.4</w:t>
            </w:r>
            <w:r>
              <w:rPr>
                <w:rFonts w:asciiTheme="minorHAnsi" w:eastAsiaTheme="minorEastAsia" w:hAnsiTheme="minorHAnsi"/>
                <w:lang w:eastAsia="en-AU"/>
              </w:rPr>
              <w:tab/>
            </w:r>
            <w:r w:rsidRPr="00F33C46">
              <w:rPr>
                <w:rStyle w:val="Hyperlink"/>
              </w:rPr>
              <w:t>Reasons for preliminary decision</w:t>
            </w:r>
            <w:r>
              <w:rPr>
                <w:webHidden/>
              </w:rPr>
              <w:tab/>
            </w:r>
            <w:r>
              <w:rPr>
                <w:webHidden/>
              </w:rPr>
              <w:fldChar w:fldCharType="begin"/>
            </w:r>
            <w:r>
              <w:rPr>
                <w:webHidden/>
              </w:rPr>
              <w:instrText xml:space="preserve"> PAGEREF _Toc433704563 \h </w:instrText>
            </w:r>
            <w:r>
              <w:rPr>
                <w:webHidden/>
              </w:rPr>
            </w:r>
            <w:r>
              <w:rPr>
                <w:webHidden/>
              </w:rPr>
              <w:fldChar w:fldCharType="separate"/>
            </w:r>
            <w:r w:rsidR="009E0EFD">
              <w:rPr>
                <w:webHidden/>
              </w:rPr>
              <w:t>16-23</w:t>
            </w:r>
            <w:r>
              <w:rPr>
                <w:webHidden/>
              </w:rPr>
              <w:fldChar w:fldCharType="end"/>
            </w:r>
          </w:hyperlink>
        </w:p>
        <w:p w:rsidR="00E62F6C" w:rsidRDefault="00E62F6C">
          <w:pPr>
            <w:pStyle w:val="TOC2"/>
            <w:tabs>
              <w:tab w:val="left" w:pos="1276"/>
            </w:tabs>
            <w:rPr>
              <w:rFonts w:asciiTheme="minorHAnsi" w:eastAsiaTheme="minorEastAsia" w:hAnsiTheme="minorHAnsi"/>
              <w:b w:val="0"/>
              <w:color w:val="auto"/>
              <w:sz w:val="22"/>
              <w:lang w:eastAsia="en-AU"/>
            </w:rPr>
          </w:pPr>
          <w:hyperlink w:anchor="_Toc433704564" w:history="1">
            <w:r w:rsidRPr="00F33C46">
              <w:rPr>
                <w:rStyle w:val="Hyperlink"/>
              </w:rPr>
              <w:t>16.3</w:t>
            </w:r>
            <w:r>
              <w:rPr>
                <w:rFonts w:asciiTheme="minorHAnsi" w:eastAsiaTheme="minorEastAsia" w:hAnsiTheme="minorHAnsi"/>
                <w:b w:val="0"/>
                <w:color w:val="auto"/>
                <w:sz w:val="22"/>
                <w:lang w:eastAsia="en-AU"/>
              </w:rPr>
              <w:tab/>
            </w:r>
            <w:r w:rsidRPr="00F33C46">
              <w:rPr>
                <w:rStyle w:val="Hyperlink"/>
              </w:rPr>
              <w:t>Metering</w:t>
            </w:r>
            <w:r>
              <w:rPr>
                <w:webHidden/>
              </w:rPr>
              <w:tab/>
            </w:r>
            <w:r>
              <w:rPr>
                <w:webHidden/>
              </w:rPr>
              <w:fldChar w:fldCharType="begin"/>
            </w:r>
            <w:r>
              <w:rPr>
                <w:webHidden/>
              </w:rPr>
              <w:instrText xml:space="preserve"> PAGEREF _Toc433704564 \h </w:instrText>
            </w:r>
            <w:r>
              <w:rPr>
                <w:webHidden/>
              </w:rPr>
            </w:r>
            <w:r>
              <w:rPr>
                <w:webHidden/>
              </w:rPr>
              <w:fldChar w:fldCharType="separate"/>
            </w:r>
            <w:r w:rsidR="009E0EFD">
              <w:rPr>
                <w:webHidden/>
              </w:rPr>
              <w:t>16-27</w:t>
            </w:r>
            <w:r>
              <w:rPr>
                <w:webHidden/>
              </w:rPr>
              <w:fldChar w:fldCharType="end"/>
            </w:r>
          </w:hyperlink>
        </w:p>
        <w:p w:rsidR="00E62F6C" w:rsidRDefault="00E62F6C">
          <w:pPr>
            <w:pStyle w:val="TOC3"/>
            <w:rPr>
              <w:rFonts w:asciiTheme="minorHAnsi" w:eastAsiaTheme="minorEastAsia" w:hAnsiTheme="minorHAnsi"/>
              <w:lang w:eastAsia="en-AU"/>
            </w:rPr>
          </w:pPr>
          <w:hyperlink w:anchor="_Toc433704565" w:history="1">
            <w:r w:rsidRPr="00F33C46">
              <w:rPr>
                <w:rStyle w:val="Hyperlink"/>
              </w:rPr>
              <w:t>16.3.1</w:t>
            </w:r>
            <w:r>
              <w:rPr>
                <w:rFonts w:asciiTheme="minorHAnsi" w:eastAsiaTheme="minorEastAsia" w:hAnsiTheme="minorHAnsi"/>
                <w:lang w:eastAsia="en-AU"/>
              </w:rPr>
              <w:tab/>
            </w:r>
            <w:r w:rsidRPr="00F33C46">
              <w:rPr>
                <w:rStyle w:val="Hyperlink"/>
              </w:rPr>
              <w:t>Preliminary decision</w:t>
            </w:r>
            <w:r>
              <w:rPr>
                <w:webHidden/>
              </w:rPr>
              <w:tab/>
            </w:r>
            <w:r>
              <w:rPr>
                <w:webHidden/>
              </w:rPr>
              <w:fldChar w:fldCharType="begin"/>
            </w:r>
            <w:r>
              <w:rPr>
                <w:webHidden/>
              </w:rPr>
              <w:instrText xml:space="preserve"> PAGEREF _Toc433704565 \h </w:instrText>
            </w:r>
            <w:r>
              <w:rPr>
                <w:webHidden/>
              </w:rPr>
            </w:r>
            <w:r>
              <w:rPr>
                <w:webHidden/>
              </w:rPr>
              <w:fldChar w:fldCharType="separate"/>
            </w:r>
            <w:r w:rsidR="009E0EFD">
              <w:rPr>
                <w:webHidden/>
              </w:rPr>
              <w:t>16-28</w:t>
            </w:r>
            <w:r>
              <w:rPr>
                <w:webHidden/>
              </w:rPr>
              <w:fldChar w:fldCharType="end"/>
            </w:r>
          </w:hyperlink>
        </w:p>
        <w:p w:rsidR="00E62F6C" w:rsidRDefault="00E62F6C">
          <w:pPr>
            <w:pStyle w:val="TOC3"/>
            <w:rPr>
              <w:rFonts w:asciiTheme="minorHAnsi" w:eastAsiaTheme="minorEastAsia" w:hAnsiTheme="minorHAnsi"/>
              <w:lang w:eastAsia="en-AU"/>
            </w:rPr>
          </w:pPr>
          <w:hyperlink w:anchor="_Toc433704566" w:history="1">
            <w:r w:rsidRPr="00F33C46">
              <w:rPr>
                <w:rStyle w:val="Hyperlink"/>
              </w:rPr>
              <w:t>16.3.2</w:t>
            </w:r>
            <w:r>
              <w:rPr>
                <w:rFonts w:asciiTheme="minorHAnsi" w:eastAsiaTheme="minorEastAsia" w:hAnsiTheme="minorHAnsi"/>
                <w:lang w:eastAsia="en-AU"/>
              </w:rPr>
              <w:tab/>
            </w:r>
            <w:r w:rsidRPr="00F33C46">
              <w:rPr>
                <w:rStyle w:val="Hyperlink"/>
              </w:rPr>
              <w:t>Proposal</w:t>
            </w:r>
            <w:r>
              <w:rPr>
                <w:webHidden/>
              </w:rPr>
              <w:tab/>
            </w:r>
            <w:r>
              <w:rPr>
                <w:webHidden/>
              </w:rPr>
              <w:fldChar w:fldCharType="begin"/>
            </w:r>
            <w:r>
              <w:rPr>
                <w:webHidden/>
              </w:rPr>
              <w:instrText xml:space="preserve"> PAGEREF _Toc433704566 \h </w:instrText>
            </w:r>
            <w:r>
              <w:rPr>
                <w:webHidden/>
              </w:rPr>
            </w:r>
            <w:r>
              <w:rPr>
                <w:webHidden/>
              </w:rPr>
              <w:fldChar w:fldCharType="separate"/>
            </w:r>
            <w:r w:rsidR="009E0EFD">
              <w:rPr>
                <w:webHidden/>
              </w:rPr>
              <w:t>16-33</w:t>
            </w:r>
            <w:r>
              <w:rPr>
                <w:webHidden/>
              </w:rPr>
              <w:fldChar w:fldCharType="end"/>
            </w:r>
          </w:hyperlink>
        </w:p>
        <w:p w:rsidR="00E62F6C" w:rsidRDefault="00E62F6C">
          <w:pPr>
            <w:pStyle w:val="TOC3"/>
            <w:rPr>
              <w:rFonts w:asciiTheme="minorHAnsi" w:eastAsiaTheme="minorEastAsia" w:hAnsiTheme="minorHAnsi"/>
              <w:lang w:eastAsia="en-AU"/>
            </w:rPr>
          </w:pPr>
          <w:hyperlink w:anchor="_Toc433704567" w:history="1">
            <w:r w:rsidRPr="00F33C46">
              <w:rPr>
                <w:rStyle w:val="Hyperlink"/>
              </w:rPr>
              <w:t>16.3.3</w:t>
            </w:r>
            <w:r>
              <w:rPr>
                <w:rFonts w:asciiTheme="minorHAnsi" w:eastAsiaTheme="minorEastAsia" w:hAnsiTheme="minorHAnsi"/>
                <w:lang w:eastAsia="en-AU"/>
              </w:rPr>
              <w:tab/>
            </w:r>
            <w:r w:rsidRPr="00F33C46">
              <w:rPr>
                <w:rStyle w:val="Hyperlink"/>
              </w:rPr>
              <w:t>Assessment approach</w:t>
            </w:r>
            <w:r>
              <w:rPr>
                <w:webHidden/>
              </w:rPr>
              <w:tab/>
            </w:r>
            <w:r>
              <w:rPr>
                <w:webHidden/>
              </w:rPr>
              <w:fldChar w:fldCharType="begin"/>
            </w:r>
            <w:r>
              <w:rPr>
                <w:webHidden/>
              </w:rPr>
              <w:instrText xml:space="preserve"> PAGEREF _Toc433704567 \h </w:instrText>
            </w:r>
            <w:r>
              <w:rPr>
                <w:webHidden/>
              </w:rPr>
            </w:r>
            <w:r>
              <w:rPr>
                <w:webHidden/>
              </w:rPr>
              <w:fldChar w:fldCharType="separate"/>
            </w:r>
            <w:r w:rsidR="009E0EFD">
              <w:rPr>
                <w:webHidden/>
              </w:rPr>
              <w:t>16-36</w:t>
            </w:r>
            <w:r>
              <w:rPr>
                <w:webHidden/>
              </w:rPr>
              <w:fldChar w:fldCharType="end"/>
            </w:r>
          </w:hyperlink>
        </w:p>
        <w:p w:rsidR="00E62F6C" w:rsidRDefault="00E62F6C">
          <w:pPr>
            <w:pStyle w:val="TOC3"/>
            <w:rPr>
              <w:rFonts w:asciiTheme="minorHAnsi" w:eastAsiaTheme="minorEastAsia" w:hAnsiTheme="minorHAnsi"/>
              <w:lang w:eastAsia="en-AU"/>
            </w:rPr>
          </w:pPr>
          <w:hyperlink w:anchor="_Toc433704568" w:history="1">
            <w:r w:rsidRPr="00F33C46">
              <w:rPr>
                <w:rStyle w:val="Hyperlink"/>
              </w:rPr>
              <w:t>16.3.4</w:t>
            </w:r>
            <w:r>
              <w:rPr>
                <w:rFonts w:asciiTheme="minorHAnsi" w:eastAsiaTheme="minorEastAsia" w:hAnsiTheme="minorHAnsi"/>
                <w:lang w:eastAsia="en-AU"/>
              </w:rPr>
              <w:tab/>
            </w:r>
            <w:r w:rsidRPr="00F33C46">
              <w:rPr>
                <w:rStyle w:val="Hyperlink"/>
              </w:rPr>
              <w:t>Reasons for preliminary decision</w:t>
            </w:r>
            <w:r>
              <w:rPr>
                <w:webHidden/>
              </w:rPr>
              <w:tab/>
            </w:r>
            <w:r>
              <w:rPr>
                <w:webHidden/>
              </w:rPr>
              <w:fldChar w:fldCharType="begin"/>
            </w:r>
            <w:r>
              <w:rPr>
                <w:webHidden/>
              </w:rPr>
              <w:instrText xml:space="preserve"> PAGEREF _Toc433704568 \h </w:instrText>
            </w:r>
            <w:r>
              <w:rPr>
                <w:webHidden/>
              </w:rPr>
            </w:r>
            <w:r>
              <w:rPr>
                <w:webHidden/>
              </w:rPr>
              <w:fldChar w:fldCharType="separate"/>
            </w:r>
            <w:r w:rsidR="009E0EFD">
              <w:rPr>
                <w:webHidden/>
              </w:rPr>
              <w:t>16-39</w:t>
            </w:r>
            <w:r>
              <w:rPr>
                <w:webHidden/>
              </w:rPr>
              <w:fldChar w:fldCharType="end"/>
            </w:r>
          </w:hyperlink>
        </w:p>
        <w:p w:rsidR="00E62F6C" w:rsidRDefault="00E62F6C">
          <w:pPr>
            <w:pStyle w:val="TOC1"/>
            <w:rPr>
              <w:rFonts w:asciiTheme="minorHAnsi" w:eastAsiaTheme="minorEastAsia" w:hAnsiTheme="minorHAnsi"/>
              <w:b w:val="0"/>
              <w:color w:val="auto"/>
              <w:sz w:val="22"/>
              <w:lang w:val="en-AU" w:eastAsia="en-AU"/>
            </w:rPr>
          </w:pPr>
          <w:hyperlink w:anchor="_Toc433704569" w:history="1">
            <w:r w:rsidRPr="00F33C46">
              <w:rPr>
                <w:rStyle w:val="Hyperlink"/>
              </w:rPr>
              <w:t>A</w:t>
            </w:r>
            <w:r>
              <w:rPr>
                <w:rFonts w:asciiTheme="minorHAnsi" w:eastAsiaTheme="minorEastAsia" w:hAnsiTheme="minorHAnsi"/>
                <w:b w:val="0"/>
                <w:color w:val="auto"/>
                <w:sz w:val="22"/>
                <w:lang w:val="en-AU" w:eastAsia="en-AU"/>
              </w:rPr>
              <w:tab/>
            </w:r>
            <w:r w:rsidRPr="00F33C46">
              <w:rPr>
                <w:rStyle w:val="Hyperlink"/>
              </w:rPr>
              <w:t>Mesh radio switching costs</w:t>
            </w:r>
            <w:r>
              <w:rPr>
                <w:webHidden/>
              </w:rPr>
              <w:tab/>
            </w:r>
            <w:r>
              <w:rPr>
                <w:webHidden/>
              </w:rPr>
              <w:fldChar w:fldCharType="begin"/>
            </w:r>
            <w:r>
              <w:rPr>
                <w:webHidden/>
              </w:rPr>
              <w:instrText xml:space="preserve"> PAGEREF _Toc433704569 \h </w:instrText>
            </w:r>
            <w:r>
              <w:rPr>
                <w:webHidden/>
              </w:rPr>
            </w:r>
            <w:r>
              <w:rPr>
                <w:webHidden/>
              </w:rPr>
              <w:fldChar w:fldCharType="separate"/>
            </w:r>
            <w:r w:rsidR="009E0EFD">
              <w:rPr>
                <w:webHidden/>
              </w:rPr>
              <w:t>16-49</w:t>
            </w:r>
            <w:r>
              <w:rPr>
                <w:webHidden/>
              </w:rPr>
              <w:fldChar w:fldCharType="end"/>
            </w:r>
          </w:hyperlink>
        </w:p>
        <w:p w:rsidR="00E62F6C" w:rsidRDefault="00E62F6C">
          <w:pPr>
            <w:pStyle w:val="TOC2"/>
            <w:rPr>
              <w:rFonts w:asciiTheme="minorHAnsi" w:eastAsiaTheme="minorEastAsia" w:hAnsiTheme="minorHAnsi"/>
              <w:b w:val="0"/>
              <w:color w:val="auto"/>
              <w:sz w:val="22"/>
              <w:lang w:eastAsia="en-AU"/>
            </w:rPr>
          </w:pPr>
          <w:hyperlink w:anchor="_Toc433704570" w:history="1">
            <w:r w:rsidRPr="00F33C46">
              <w:rPr>
                <w:rStyle w:val="Hyperlink"/>
              </w:rPr>
              <w:t>A.1</w:t>
            </w:r>
            <w:r>
              <w:rPr>
                <w:rFonts w:asciiTheme="minorHAnsi" w:eastAsiaTheme="minorEastAsia" w:hAnsiTheme="minorHAnsi"/>
                <w:b w:val="0"/>
                <w:color w:val="auto"/>
                <w:sz w:val="22"/>
                <w:lang w:eastAsia="en-AU"/>
              </w:rPr>
              <w:tab/>
            </w:r>
            <w:r w:rsidRPr="00F33C46">
              <w:rPr>
                <w:rStyle w:val="Hyperlink"/>
              </w:rPr>
              <w:t>Preliminary decision</w:t>
            </w:r>
            <w:r>
              <w:rPr>
                <w:webHidden/>
              </w:rPr>
              <w:tab/>
            </w:r>
            <w:r>
              <w:rPr>
                <w:webHidden/>
              </w:rPr>
              <w:fldChar w:fldCharType="begin"/>
            </w:r>
            <w:r>
              <w:rPr>
                <w:webHidden/>
              </w:rPr>
              <w:instrText xml:space="preserve"> PAGEREF _Toc433704570 \h </w:instrText>
            </w:r>
            <w:r>
              <w:rPr>
                <w:webHidden/>
              </w:rPr>
            </w:r>
            <w:r>
              <w:rPr>
                <w:webHidden/>
              </w:rPr>
              <w:fldChar w:fldCharType="separate"/>
            </w:r>
            <w:r w:rsidR="009E0EFD">
              <w:rPr>
                <w:webHidden/>
              </w:rPr>
              <w:t>16-49</w:t>
            </w:r>
            <w:r>
              <w:rPr>
                <w:webHidden/>
              </w:rPr>
              <w:fldChar w:fldCharType="end"/>
            </w:r>
          </w:hyperlink>
        </w:p>
        <w:p w:rsidR="00E62F6C" w:rsidRDefault="00E62F6C">
          <w:pPr>
            <w:pStyle w:val="TOC2"/>
            <w:rPr>
              <w:rFonts w:asciiTheme="minorHAnsi" w:eastAsiaTheme="minorEastAsia" w:hAnsiTheme="minorHAnsi"/>
              <w:b w:val="0"/>
              <w:color w:val="auto"/>
              <w:sz w:val="22"/>
              <w:lang w:eastAsia="en-AU"/>
            </w:rPr>
          </w:pPr>
          <w:hyperlink w:anchor="_Toc433704571" w:history="1">
            <w:r w:rsidRPr="00F33C46">
              <w:rPr>
                <w:rStyle w:val="Hyperlink"/>
              </w:rPr>
              <w:t>A.2</w:t>
            </w:r>
            <w:r>
              <w:rPr>
                <w:rFonts w:asciiTheme="minorHAnsi" w:eastAsiaTheme="minorEastAsia" w:hAnsiTheme="minorHAnsi"/>
                <w:b w:val="0"/>
                <w:color w:val="auto"/>
                <w:sz w:val="22"/>
                <w:lang w:eastAsia="en-AU"/>
              </w:rPr>
              <w:tab/>
            </w:r>
            <w:r w:rsidRPr="00F33C46">
              <w:rPr>
                <w:rStyle w:val="Hyperlink"/>
              </w:rPr>
              <w:t>Proposal</w:t>
            </w:r>
            <w:r>
              <w:rPr>
                <w:webHidden/>
              </w:rPr>
              <w:tab/>
            </w:r>
            <w:r>
              <w:rPr>
                <w:webHidden/>
              </w:rPr>
              <w:fldChar w:fldCharType="begin"/>
            </w:r>
            <w:r>
              <w:rPr>
                <w:webHidden/>
              </w:rPr>
              <w:instrText xml:space="preserve"> PAGEREF _Toc433704571 \h </w:instrText>
            </w:r>
            <w:r>
              <w:rPr>
                <w:webHidden/>
              </w:rPr>
            </w:r>
            <w:r>
              <w:rPr>
                <w:webHidden/>
              </w:rPr>
              <w:fldChar w:fldCharType="separate"/>
            </w:r>
            <w:r w:rsidR="009E0EFD">
              <w:rPr>
                <w:webHidden/>
              </w:rPr>
              <w:t>16-49</w:t>
            </w:r>
            <w:r>
              <w:rPr>
                <w:webHidden/>
              </w:rPr>
              <w:fldChar w:fldCharType="end"/>
            </w:r>
          </w:hyperlink>
        </w:p>
        <w:p w:rsidR="00E62F6C" w:rsidRDefault="00E62F6C">
          <w:pPr>
            <w:pStyle w:val="TOC3"/>
            <w:rPr>
              <w:rFonts w:asciiTheme="minorHAnsi" w:eastAsiaTheme="minorEastAsia" w:hAnsiTheme="minorHAnsi"/>
              <w:lang w:eastAsia="en-AU"/>
            </w:rPr>
          </w:pPr>
          <w:hyperlink w:anchor="_Toc433704572" w:history="1">
            <w:r w:rsidRPr="00F33C46">
              <w:rPr>
                <w:rStyle w:val="Hyperlink"/>
              </w:rPr>
              <w:t>A.2.1</w:t>
            </w:r>
            <w:r>
              <w:rPr>
                <w:rFonts w:asciiTheme="minorHAnsi" w:eastAsiaTheme="minorEastAsia" w:hAnsiTheme="minorHAnsi"/>
                <w:lang w:eastAsia="en-AU"/>
              </w:rPr>
              <w:tab/>
            </w:r>
            <w:r w:rsidRPr="00F33C46">
              <w:rPr>
                <w:rStyle w:val="Hyperlink"/>
              </w:rPr>
              <w:t>Strategy</w:t>
            </w:r>
            <w:r>
              <w:rPr>
                <w:webHidden/>
              </w:rPr>
              <w:tab/>
            </w:r>
            <w:r>
              <w:rPr>
                <w:webHidden/>
              </w:rPr>
              <w:fldChar w:fldCharType="begin"/>
            </w:r>
            <w:r>
              <w:rPr>
                <w:webHidden/>
              </w:rPr>
              <w:instrText xml:space="preserve"> PAGEREF _Toc433704572 \h </w:instrText>
            </w:r>
            <w:r>
              <w:rPr>
                <w:webHidden/>
              </w:rPr>
            </w:r>
            <w:r>
              <w:rPr>
                <w:webHidden/>
              </w:rPr>
              <w:fldChar w:fldCharType="separate"/>
            </w:r>
            <w:r w:rsidR="009E0EFD">
              <w:rPr>
                <w:webHidden/>
              </w:rPr>
              <w:t>16-49</w:t>
            </w:r>
            <w:r>
              <w:rPr>
                <w:webHidden/>
              </w:rPr>
              <w:fldChar w:fldCharType="end"/>
            </w:r>
          </w:hyperlink>
        </w:p>
        <w:p w:rsidR="00E62F6C" w:rsidRDefault="00E62F6C">
          <w:pPr>
            <w:pStyle w:val="TOC3"/>
            <w:rPr>
              <w:rFonts w:asciiTheme="minorHAnsi" w:eastAsiaTheme="minorEastAsia" w:hAnsiTheme="minorHAnsi"/>
              <w:lang w:eastAsia="en-AU"/>
            </w:rPr>
          </w:pPr>
          <w:hyperlink w:anchor="_Toc433704573" w:history="1">
            <w:r w:rsidRPr="00F33C46">
              <w:rPr>
                <w:rStyle w:val="Hyperlink"/>
              </w:rPr>
              <w:t>A.2.2</w:t>
            </w:r>
            <w:r>
              <w:rPr>
                <w:rFonts w:asciiTheme="minorHAnsi" w:eastAsiaTheme="minorEastAsia" w:hAnsiTheme="minorHAnsi"/>
                <w:lang w:eastAsia="en-AU"/>
              </w:rPr>
              <w:tab/>
            </w:r>
            <w:r w:rsidRPr="00F33C46">
              <w:rPr>
                <w:rStyle w:val="Hyperlink"/>
              </w:rPr>
              <w:t>Mesh radio switching costs</w:t>
            </w:r>
            <w:r>
              <w:rPr>
                <w:webHidden/>
              </w:rPr>
              <w:tab/>
            </w:r>
            <w:r>
              <w:rPr>
                <w:webHidden/>
              </w:rPr>
              <w:fldChar w:fldCharType="begin"/>
            </w:r>
            <w:r>
              <w:rPr>
                <w:webHidden/>
              </w:rPr>
              <w:instrText xml:space="preserve"> PAGEREF _Toc433704573 \h </w:instrText>
            </w:r>
            <w:r>
              <w:rPr>
                <w:webHidden/>
              </w:rPr>
            </w:r>
            <w:r>
              <w:rPr>
                <w:webHidden/>
              </w:rPr>
              <w:fldChar w:fldCharType="separate"/>
            </w:r>
            <w:r w:rsidR="009E0EFD">
              <w:rPr>
                <w:webHidden/>
              </w:rPr>
              <w:t>16-50</w:t>
            </w:r>
            <w:r>
              <w:rPr>
                <w:webHidden/>
              </w:rPr>
              <w:fldChar w:fldCharType="end"/>
            </w:r>
          </w:hyperlink>
        </w:p>
        <w:p w:rsidR="00E62F6C" w:rsidRDefault="00E62F6C">
          <w:pPr>
            <w:pStyle w:val="TOC2"/>
            <w:rPr>
              <w:rFonts w:asciiTheme="minorHAnsi" w:eastAsiaTheme="minorEastAsia" w:hAnsiTheme="minorHAnsi"/>
              <w:b w:val="0"/>
              <w:color w:val="auto"/>
              <w:sz w:val="22"/>
              <w:lang w:eastAsia="en-AU"/>
            </w:rPr>
          </w:pPr>
          <w:hyperlink w:anchor="_Toc433704574" w:history="1">
            <w:r w:rsidRPr="00F33C46">
              <w:rPr>
                <w:rStyle w:val="Hyperlink"/>
              </w:rPr>
              <w:t>A.3</w:t>
            </w:r>
            <w:r>
              <w:rPr>
                <w:rFonts w:asciiTheme="minorHAnsi" w:eastAsiaTheme="minorEastAsia" w:hAnsiTheme="minorHAnsi"/>
                <w:b w:val="0"/>
                <w:color w:val="auto"/>
                <w:sz w:val="22"/>
                <w:lang w:eastAsia="en-AU"/>
              </w:rPr>
              <w:tab/>
            </w:r>
            <w:r w:rsidRPr="00F33C46">
              <w:rPr>
                <w:rStyle w:val="Hyperlink"/>
              </w:rPr>
              <w:t>Assessment approach</w:t>
            </w:r>
            <w:r>
              <w:rPr>
                <w:webHidden/>
              </w:rPr>
              <w:tab/>
            </w:r>
            <w:r>
              <w:rPr>
                <w:webHidden/>
              </w:rPr>
              <w:fldChar w:fldCharType="begin"/>
            </w:r>
            <w:r>
              <w:rPr>
                <w:webHidden/>
              </w:rPr>
              <w:instrText xml:space="preserve"> PAGEREF _Toc433704574 \h </w:instrText>
            </w:r>
            <w:r>
              <w:rPr>
                <w:webHidden/>
              </w:rPr>
            </w:r>
            <w:r>
              <w:rPr>
                <w:webHidden/>
              </w:rPr>
              <w:fldChar w:fldCharType="separate"/>
            </w:r>
            <w:r w:rsidR="009E0EFD">
              <w:rPr>
                <w:webHidden/>
              </w:rPr>
              <w:t>16-51</w:t>
            </w:r>
            <w:r>
              <w:rPr>
                <w:webHidden/>
              </w:rPr>
              <w:fldChar w:fldCharType="end"/>
            </w:r>
          </w:hyperlink>
        </w:p>
        <w:p w:rsidR="00E62F6C" w:rsidRDefault="00E62F6C">
          <w:pPr>
            <w:pStyle w:val="TOC3"/>
            <w:rPr>
              <w:rFonts w:asciiTheme="minorHAnsi" w:eastAsiaTheme="minorEastAsia" w:hAnsiTheme="minorHAnsi"/>
              <w:lang w:eastAsia="en-AU"/>
            </w:rPr>
          </w:pPr>
          <w:hyperlink w:anchor="_Toc433704575" w:history="1">
            <w:r w:rsidRPr="00F33C46">
              <w:rPr>
                <w:rStyle w:val="Hyperlink"/>
              </w:rPr>
              <w:t>A.3.1</w:t>
            </w:r>
            <w:r>
              <w:rPr>
                <w:rFonts w:asciiTheme="minorHAnsi" w:eastAsiaTheme="minorEastAsia" w:hAnsiTheme="minorHAnsi"/>
                <w:lang w:eastAsia="en-AU"/>
              </w:rPr>
              <w:tab/>
            </w:r>
            <w:r w:rsidRPr="00F33C46">
              <w:rPr>
                <w:rStyle w:val="Hyperlink"/>
              </w:rPr>
              <w:t>The nature and scope of the AER's preliminary decision</w:t>
            </w:r>
            <w:r>
              <w:rPr>
                <w:webHidden/>
              </w:rPr>
              <w:tab/>
            </w:r>
            <w:r>
              <w:rPr>
                <w:webHidden/>
              </w:rPr>
              <w:fldChar w:fldCharType="begin"/>
            </w:r>
            <w:r>
              <w:rPr>
                <w:webHidden/>
              </w:rPr>
              <w:instrText xml:space="preserve"> PAGEREF _Toc433704575 \h </w:instrText>
            </w:r>
            <w:r>
              <w:rPr>
                <w:webHidden/>
              </w:rPr>
            </w:r>
            <w:r>
              <w:rPr>
                <w:webHidden/>
              </w:rPr>
              <w:fldChar w:fldCharType="separate"/>
            </w:r>
            <w:r w:rsidR="009E0EFD">
              <w:rPr>
                <w:webHidden/>
              </w:rPr>
              <w:t>16-51</w:t>
            </w:r>
            <w:r>
              <w:rPr>
                <w:webHidden/>
              </w:rPr>
              <w:fldChar w:fldCharType="end"/>
            </w:r>
          </w:hyperlink>
        </w:p>
        <w:p w:rsidR="00E62F6C" w:rsidRDefault="00E62F6C">
          <w:pPr>
            <w:pStyle w:val="TOC3"/>
            <w:rPr>
              <w:rFonts w:asciiTheme="minorHAnsi" w:eastAsiaTheme="minorEastAsia" w:hAnsiTheme="minorHAnsi"/>
              <w:lang w:eastAsia="en-AU"/>
            </w:rPr>
          </w:pPr>
          <w:hyperlink w:anchor="_Toc433704576" w:history="1">
            <w:r w:rsidRPr="00F33C46">
              <w:rPr>
                <w:rStyle w:val="Hyperlink"/>
              </w:rPr>
              <w:t>A.3.2</w:t>
            </w:r>
            <w:r>
              <w:rPr>
                <w:rFonts w:asciiTheme="minorHAnsi" w:eastAsiaTheme="minorEastAsia" w:hAnsiTheme="minorHAnsi"/>
                <w:lang w:eastAsia="en-AU"/>
              </w:rPr>
              <w:tab/>
            </w:r>
            <w:r w:rsidRPr="00F33C46">
              <w:rPr>
                <w:rStyle w:val="Hyperlink"/>
              </w:rPr>
              <w:t>Regulatory framework</w:t>
            </w:r>
            <w:r>
              <w:rPr>
                <w:webHidden/>
              </w:rPr>
              <w:tab/>
            </w:r>
            <w:r>
              <w:rPr>
                <w:webHidden/>
              </w:rPr>
              <w:fldChar w:fldCharType="begin"/>
            </w:r>
            <w:r>
              <w:rPr>
                <w:webHidden/>
              </w:rPr>
              <w:instrText xml:space="preserve"> PAGEREF _Toc433704576 \h </w:instrText>
            </w:r>
            <w:r>
              <w:rPr>
                <w:webHidden/>
              </w:rPr>
            </w:r>
            <w:r>
              <w:rPr>
                <w:webHidden/>
              </w:rPr>
              <w:fldChar w:fldCharType="separate"/>
            </w:r>
            <w:r w:rsidR="009E0EFD">
              <w:rPr>
                <w:webHidden/>
              </w:rPr>
              <w:t>16-51</w:t>
            </w:r>
            <w:r>
              <w:rPr>
                <w:webHidden/>
              </w:rPr>
              <w:fldChar w:fldCharType="end"/>
            </w:r>
          </w:hyperlink>
        </w:p>
        <w:p w:rsidR="00E62F6C" w:rsidRDefault="00E62F6C">
          <w:pPr>
            <w:pStyle w:val="TOC2"/>
            <w:rPr>
              <w:rFonts w:asciiTheme="minorHAnsi" w:eastAsiaTheme="minorEastAsia" w:hAnsiTheme="minorHAnsi"/>
              <w:b w:val="0"/>
              <w:color w:val="auto"/>
              <w:sz w:val="22"/>
              <w:lang w:eastAsia="en-AU"/>
            </w:rPr>
          </w:pPr>
          <w:hyperlink w:anchor="_Toc433704577" w:history="1">
            <w:r w:rsidRPr="00F33C46">
              <w:rPr>
                <w:rStyle w:val="Hyperlink"/>
              </w:rPr>
              <w:t>A.4</w:t>
            </w:r>
            <w:r>
              <w:rPr>
                <w:rFonts w:asciiTheme="minorHAnsi" w:eastAsiaTheme="minorEastAsia" w:hAnsiTheme="minorHAnsi"/>
                <w:b w:val="0"/>
                <w:color w:val="auto"/>
                <w:sz w:val="22"/>
                <w:lang w:eastAsia="en-AU"/>
              </w:rPr>
              <w:tab/>
            </w:r>
            <w:r w:rsidRPr="00F33C46">
              <w:rPr>
                <w:rStyle w:val="Hyperlink"/>
              </w:rPr>
              <w:t>Background</w:t>
            </w:r>
            <w:r>
              <w:rPr>
                <w:webHidden/>
              </w:rPr>
              <w:tab/>
            </w:r>
            <w:r>
              <w:rPr>
                <w:webHidden/>
              </w:rPr>
              <w:fldChar w:fldCharType="begin"/>
            </w:r>
            <w:r>
              <w:rPr>
                <w:webHidden/>
              </w:rPr>
              <w:instrText xml:space="preserve"> PAGEREF _Toc433704577 \h </w:instrText>
            </w:r>
            <w:r>
              <w:rPr>
                <w:webHidden/>
              </w:rPr>
            </w:r>
            <w:r>
              <w:rPr>
                <w:webHidden/>
              </w:rPr>
              <w:fldChar w:fldCharType="separate"/>
            </w:r>
            <w:r w:rsidR="009E0EFD">
              <w:rPr>
                <w:webHidden/>
              </w:rPr>
              <w:t>16-52</w:t>
            </w:r>
            <w:r>
              <w:rPr>
                <w:webHidden/>
              </w:rPr>
              <w:fldChar w:fldCharType="end"/>
            </w:r>
          </w:hyperlink>
        </w:p>
        <w:p w:rsidR="00E62F6C" w:rsidRDefault="00E62F6C">
          <w:pPr>
            <w:pStyle w:val="TOC3"/>
            <w:rPr>
              <w:rFonts w:asciiTheme="minorHAnsi" w:eastAsiaTheme="minorEastAsia" w:hAnsiTheme="minorHAnsi"/>
              <w:lang w:eastAsia="en-AU"/>
            </w:rPr>
          </w:pPr>
          <w:hyperlink w:anchor="_Toc433704578" w:history="1">
            <w:r w:rsidRPr="00F33C46">
              <w:rPr>
                <w:rStyle w:val="Hyperlink"/>
              </w:rPr>
              <w:t>A.4.1</w:t>
            </w:r>
            <w:r>
              <w:rPr>
                <w:rFonts w:asciiTheme="minorHAnsi" w:eastAsiaTheme="minorEastAsia" w:hAnsiTheme="minorHAnsi"/>
                <w:lang w:eastAsia="en-AU"/>
              </w:rPr>
              <w:tab/>
            </w:r>
            <w:r w:rsidRPr="00F33C46">
              <w:rPr>
                <w:rStyle w:val="Hyperlink"/>
              </w:rPr>
              <w:t>Communications technology</w:t>
            </w:r>
            <w:r>
              <w:rPr>
                <w:webHidden/>
              </w:rPr>
              <w:tab/>
            </w:r>
            <w:r>
              <w:rPr>
                <w:webHidden/>
              </w:rPr>
              <w:fldChar w:fldCharType="begin"/>
            </w:r>
            <w:r>
              <w:rPr>
                <w:webHidden/>
              </w:rPr>
              <w:instrText xml:space="preserve"> PAGEREF _Toc433704578 \h </w:instrText>
            </w:r>
            <w:r>
              <w:rPr>
                <w:webHidden/>
              </w:rPr>
            </w:r>
            <w:r>
              <w:rPr>
                <w:webHidden/>
              </w:rPr>
              <w:fldChar w:fldCharType="separate"/>
            </w:r>
            <w:r w:rsidR="009E0EFD">
              <w:rPr>
                <w:webHidden/>
              </w:rPr>
              <w:t>16-52</w:t>
            </w:r>
            <w:r>
              <w:rPr>
                <w:webHidden/>
              </w:rPr>
              <w:fldChar w:fldCharType="end"/>
            </w:r>
          </w:hyperlink>
        </w:p>
        <w:p w:rsidR="00E62F6C" w:rsidRDefault="00E62F6C">
          <w:pPr>
            <w:pStyle w:val="TOC3"/>
            <w:rPr>
              <w:rFonts w:asciiTheme="minorHAnsi" w:eastAsiaTheme="minorEastAsia" w:hAnsiTheme="minorHAnsi"/>
              <w:lang w:eastAsia="en-AU"/>
            </w:rPr>
          </w:pPr>
          <w:hyperlink w:anchor="_Toc433704579" w:history="1">
            <w:r w:rsidRPr="00F33C46">
              <w:rPr>
                <w:rStyle w:val="Hyperlink"/>
              </w:rPr>
              <w:t>A.4.2</w:t>
            </w:r>
            <w:r>
              <w:rPr>
                <w:rFonts w:asciiTheme="minorHAnsi" w:eastAsiaTheme="minorEastAsia" w:hAnsiTheme="minorHAnsi"/>
                <w:lang w:eastAsia="en-AU"/>
              </w:rPr>
              <w:tab/>
            </w:r>
            <w:r w:rsidRPr="00F33C46">
              <w:rPr>
                <w:rStyle w:val="Hyperlink"/>
              </w:rPr>
              <w:t>Previous decisions and appeals</w:t>
            </w:r>
            <w:r>
              <w:rPr>
                <w:webHidden/>
              </w:rPr>
              <w:tab/>
            </w:r>
            <w:r>
              <w:rPr>
                <w:webHidden/>
              </w:rPr>
              <w:fldChar w:fldCharType="begin"/>
            </w:r>
            <w:r>
              <w:rPr>
                <w:webHidden/>
              </w:rPr>
              <w:instrText xml:space="preserve"> PAGEREF _Toc433704579 \h </w:instrText>
            </w:r>
            <w:r>
              <w:rPr>
                <w:webHidden/>
              </w:rPr>
            </w:r>
            <w:r>
              <w:rPr>
                <w:webHidden/>
              </w:rPr>
              <w:fldChar w:fldCharType="separate"/>
            </w:r>
            <w:r w:rsidR="009E0EFD">
              <w:rPr>
                <w:webHidden/>
              </w:rPr>
              <w:t>16-53</w:t>
            </w:r>
            <w:r>
              <w:rPr>
                <w:webHidden/>
              </w:rPr>
              <w:fldChar w:fldCharType="end"/>
            </w:r>
          </w:hyperlink>
        </w:p>
        <w:p w:rsidR="00E62F6C" w:rsidRDefault="00E62F6C">
          <w:pPr>
            <w:pStyle w:val="TOC2"/>
            <w:rPr>
              <w:rFonts w:asciiTheme="minorHAnsi" w:eastAsiaTheme="minorEastAsia" w:hAnsiTheme="minorHAnsi"/>
              <w:b w:val="0"/>
              <w:color w:val="auto"/>
              <w:sz w:val="22"/>
              <w:lang w:eastAsia="en-AU"/>
            </w:rPr>
          </w:pPr>
          <w:hyperlink w:anchor="_Toc433704580" w:history="1">
            <w:r w:rsidRPr="00F33C46">
              <w:rPr>
                <w:rStyle w:val="Hyperlink"/>
              </w:rPr>
              <w:t>A.5</w:t>
            </w:r>
            <w:r>
              <w:rPr>
                <w:rFonts w:asciiTheme="minorHAnsi" w:eastAsiaTheme="minorEastAsia" w:hAnsiTheme="minorHAnsi"/>
                <w:b w:val="0"/>
                <w:color w:val="auto"/>
                <w:sz w:val="22"/>
                <w:lang w:eastAsia="en-AU"/>
              </w:rPr>
              <w:tab/>
            </w:r>
            <w:r w:rsidRPr="00F33C46">
              <w:rPr>
                <w:rStyle w:val="Hyperlink"/>
              </w:rPr>
              <w:t>Reasons for decision</w:t>
            </w:r>
            <w:r>
              <w:rPr>
                <w:webHidden/>
              </w:rPr>
              <w:tab/>
            </w:r>
            <w:r>
              <w:rPr>
                <w:webHidden/>
              </w:rPr>
              <w:fldChar w:fldCharType="begin"/>
            </w:r>
            <w:r>
              <w:rPr>
                <w:webHidden/>
              </w:rPr>
              <w:instrText xml:space="preserve"> PAGEREF _Toc433704580 \h </w:instrText>
            </w:r>
            <w:r>
              <w:rPr>
                <w:webHidden/>
              </w:rPr>
            </w:r>
            <w:r>
              <w:rPr>
                <w:webHidden/>
              </w:rPr>
              <w:fldChar w:fldCharType="separate"/>
            </w:r>
            <w:r w:rsidR="009E0EFD">
              <w:rPr>
                <w:webHidden/>
              </w:rPr>
              <w:t>16-54</w:t>
            </w:r>
            <w:r>
              <w:rPr>
                <w:webHidden/>
              </w:rPr>
              <w:fldChar w:fldCharType="end"/>
            </w:r>
          </w:hyperlink>
        </w:p>
        <w:p w:rsidR="00E62F6C" w:rsidRDefault="00E62F6C">
          <w:pPr>
            <w:pStyle w:val="TOC3"/>
            <w:rPr>
              <w:rFonts w:asciiTheme="minorHAnsi" w:eastAsiaTheme="minorEastAsia" w:hAnsiTheme="minorHAnsi"/>
              <w:lang w:eastAsia="en-AU"/>
            </w:rPr>
          </w:pPr>
          <w:hyperlink w:anchor="_Toc433704581" w:history="1">
            <w:r w:rsidRPr="00F33C46">
              <w:rPr>
                <w:rStyle w:val="Hyperlink"/>
              </w:rPr>
              <w:t>A.5.1</w:t>
            </w:r>
            <w:r>
              <w:rPr>
                <w:rFonts w:asciiTheme="minorHAnsi" w:eastAsiaTheme="minorEastAsia" w:hAnsiTheme="minorHAnsi"/>
                <w:lang w:eastAsia="en-AU"/>
              </w:rPr>
              <w:tab/>
            </w:r>
            <w:r w:rsidRPr="00F33C46">
              <w:rPr>
                <w:rStyle w:val="Hyperlink"/>
              </w:rPr>
              <w:t>A return commensurate with the regulatory and commercial risks involved</w:t>
            </w:r>
            <w:r>
              <w:rPr>
                <w:webHidden/>
              </w:rPr>
              <w:tab/>
            </w:r>
            <w:r>
              <w:rPr>
                <w:webHidden/>
              </w:rPr>
              <w:fldChar w:fldCharType="begin"/>
            </w:r>
            <w:r>
              <w:rPr>
                <w:webHidden/>
              </w:rPr>
              <w:instrText xml:space="preserve"> PAGEREF _Toc433704581 \h </w:instrText>
            </w:r>
            <w:r>
              <w:rPr>
                <w:webHidden/>
              </w:rPr>
            </w:r>
            <w:r>
              <w:rPr>
                <w:webHidden/>
              </w:rPr>
              <w:fldChar w:fldCharType="separate"/>
            </w:r>
            <w:r w:rsidR="009E0EFD">
              <w:rPr>
                <w:webHidden/>
              </w:rPr>
              <w:t>16-55</w:t>
            </w:r>
            <w:r>
              <w:rPr>
                <w:webHidden/>
              </w:rPr>
              <w:fldChar w:fldCharType="end"/>
            </w:r>
          </w:hyperlink>
        </w:p>
        <w:p w:rsidR="00E62F6C" w:rsidRDefault="00E62F6C">
          <w:pPr>
            <w:pStyle w:val="TOC1"/>
            <w:rPr>
              <w:rFonts w:asciiTheme="minorHAnsi" w:eastAsiaTheme="minorEastAsia" w:hAnsiTheme="minorHAnsi"/>
              <w:b w:val="0"/>
              <w:color w:val="auto"/>
              <w:sz w:val="22"/>
              <w:lang w:val="en-AU" w:eastAsia="en-AU"/>
            </w:rPr>
          </w:pPr>
          <w:hyperlink w:anchor="_Toc433704582" w:history="1">
            <w:r w:rsidRPr="00F33C46">
              <w:rPr>
                <w:rStyle w:val="Hyperlink"/>
              </w:rPr>
              <w:t>B</w:t>
            </w:r>
            <w:r>
              <w:rPr>
                <w:rFonts w:asciiTheme="minorHAnsi" w:eastAsiaTheme="minorEastAsia" w:hAnsiTheme="minorHAnsi"/>
                <w:b w:val="0"/>
                <w:color w:val="auto"/>
                <w:sz w:val="22"/>
                <w:lang w:val="en-AU" w:eastAsia="en-AU"/>
              </w:rPr>
              <w:tab/>
            </w:r>
            <w:r w:rsidRPr="00F33C46">
              <w:rPr>
                <w:rStyle w:val="Hyperlink"/>
              </w:rPr>
              <w:t>Approved prices for ancillary network services</w:t>
            </w:r>
            <w:r>
              <w:rPr>
                <w:webHidden/>
              </w:rPr>
              <w:tab/>
            </w:r>
            <w:r>
              <w:rPr>
                <w:webHidden/>
              </w:rPr>
              <w:fldChar w:fldCharType="begin"/>
            </w:r>
            <w:r>
              <w:rPr>
                <w:webHidden/>
              </w:rPr>
              <w:instrText xml:space="preserve"> PAGEREF _Toc433704582 \h </w:instrText>
            </w:r>
            <w:r>
              <w:rPr>
                <w:webHidden/>
              </w:rPr>
            </w:r>
            <w:r>
              <w:rPr>
                <w:webHidden/>
              </w:rPr>
              <w:fldChar w:fldCharType="separate"/>
            </w:r>
            <w:r w:rsidR="009E0EFD">
              <w:rPr>
                <w:webHidden/>
              </w:rPr>
              <w:t>16-60</w:t>
            </w:r>
            <w:r>
              <w:rPr>
                <w:webHidden/>
              </w:rPr>
              <w:fldChar w:fldCharType="end"/>
            </w:r>
          </w:hyperlink>
        </w:p>
        <w:p w:rsidR="00E62F6C" w:rsidRDefault="00E62F6C">
          <w:pPr>
            <w:pStyle w:val="TOC2"/>
            <w:rPr>
              <w:rFonts w:asciiTheme="minorHAnsi" w:eastAsiaTheme="minorEastAsia" w:hAnsiTheme="minorHAnsi"/>
              <w:b w:val="0"/>
              <w:color w:val="auto"/>
              <w:sz w:val="22"/>
              <w:lang w:eastAsia="en-AU"/>
            </w:rPr>
          </w:pPr>
          <w:hyperlink w:anchor="_Toc433704583" w:history="1">
            <w:r w:rsidRPr="00F33C46">
              <w:rPr>
                <w:rStyle w:val="Hyperlink"/>
              </w:rPr>
              <w:t>B.1</w:t>
            </w:r>
            <w:r>
              <w:rPr>
                <w:rFonts w:asciiTheme="minorHAnsi" w:eastAsiaTheme="minorEastAsia" w:hAnsiTheme="minorHAnsi"/>
                <w:b w:val="0"/>
                <w:color w:val="auto"/>
                <w:sz w:val="22"/>
                <w:lang w:eastAsia="en-AU"/>
              </w:rPr>
              <w:tab/>
            </w:r>
            <w:r w:rsidRPr="00F33C46">
              <w:rPr>
                <w:rStyle w:val="Hyperlink"/>
              </w:rPr>
              <w:t>Ancillary network services</w:t>
            </w:r>
            <w:r>
              <w:rPr>
                <w:webHidden/>
              </w:rPr>
              <w:tab/>
            </w:r>
            <w:r>
              <w:rPr>
                <w:webHidden/>
              </w:rPr>
              <w:fldChar w:fldCharType="begin"/>
            </w:r>
            <w:r>
              <w:rPr>
                <w:webHidden/>
              </w:rPr>
              <w:instrText xml:space="preserve"> PAGEREF _Toc433704583 \h </w:instrText>
            </w:r>
            <w:r>
              <w:rPr>
                <w:webHidden/>
              </w:rPr>
            </w:r>
            <w:r>
              <w:rPr>
                <w:webHidden/>
              </w:rPr>
              <w:fldChar w:fldCharType="separate"/>
            </w:r>
            <w:r w:rsidR="009E0EFD">
              <w:rPr>
                <w:webHidden/>
              </w:rPr>
              <w:t>16-60</w:t>
            </w:r>
            <w:r>
              <w:rPr>
                <w:webHidden/>
              </w:rPr>
              <w:fldChar w:fldCharType="end"/>
            </w:r>
          </w:hyperlink>
        </w:p>
        <w:p w:rsidR="00E62F6C" w:rsidRDefault="00E62F6C">
          <w:pPr>
            <w:pStyle w:val="TOC1"/>
            <w:rPr>
              <w:rFonts w:asciiTheme="minorHAnsi" w:eastAsiaTheme="minorEastAsia" w:hAnsiTheme="minorHAnsi"/>
              <w:b w:val="0"/>
              <w:color w:val="auto"/>
              <w:sz w:val="22"/>
              <w:lang w:val="en-AU" w:eastAsia="en-AU"/>
            </w:rPr>
          </w:pPr>
          <w:hyperlink w:anchor="_Toc433704584" w:history="1">
            <w:r w:rsidRPr="00F33C46">
              <w:rPr>
                <w:rStyle w:val="Hyperlink"/>
              </w:rPr>
              <w:t>C</w:t>
            </w:r>
            <w:r>
              <w:rPr>
                <w:rFonts w:asciiTheme="minorHAnsi" w:eastAsiaTheme="minorEastAsia" w:hAnsiTheme="minorHAnsi"/>
                <w:b w:val="0"/>
                <w:color w:val="auto"/>
                <w:sz w:val="22"/>
                <w:lang w:val="en-AU" w:eastAsia="en-AU"/>
              </w:rPr>
              <w:tab/>
            </w:r>
            <w:r w:rsidRPr="00F33C46">
              <w:rPr>
                <w:rStyle w:val="Hyperlink"/>
              </w:rPr>
              <w:t>Annual metering charges unders and overs account</w:t>
            </w:r>
            <w:r>
              <w:rPr>
                <w:webHidden/>
              </w:rPr>
              <w:tab/>
            </w:r>
            <w:r>
              <w:rPr>
                <w:webHidden/>
              </w:rPr>
              <w:fldChar w:fldCharType="begin"/>
            </w:r>
            <w:r>
              <w:rPr>
                <w:webHidden/>
              </w:rPr>
              <w:instrText xml:space="preserve"> PAGEREF _Toc433704584 \h </w:instrText>
            </w:r>
            <w:r>
              <w:rPr>
                <w:webHidden/>
              </w:rPr>
            </w:r>
            <w:r>
              <w:rPr>
                <w:webHidden/>
              </w:rPr>
              <w:fldChar w:fldCharType="separate"/>
            </w:r>
            <w:r w:rsidR="009E0EFD">
              <w:rPr>
                <w:webHidden/>
              </w:rPr>
              <w:t>16-65</w:t>
            </w:r>
            <w:r>
              <w:rPr>
                <w:webHidden/>
              </w:rPr>
              <w:fldChar w:fldCharType="end"/>
            </w:r>
          </w:hyperlink>
        </w:p>
        <w:p w:rsidR="00DE563D" w:rsidRDefault="000B3D72" w:rsidP="000B3D72">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3704552"/>
      <w:r>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894019"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894019" w:rsidRPr="005C4C9C" w:rsidRDefault="00894019" w:rsidP="005C4C9C">
            <w:pPr>
              <w:numPr>
                <w:ilvl w:val="0"/>
                <w:numId w:val="24"/>
              </w:numPr>
            </w:pPr>
            <w:r>
              <w:t>AMI</w:t>
            </w:r>
          </w:p>
        </w:tc>
        <w:tc>
          <w:tcPr>
            <w:tcW w:w="4344" w:type="dxa"/>
          </w:tcPr>
          <w:p w:rsidR="00894019" w:rsidRPr="005C4C9C" w:rsidRDefault="00894019" w:rsidP="000B3D72">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0F31DA" w:rsidP="0042282C">
      <w:pPr>
        <w:pStyle w:val="Heading1"/>
      </w:pPr>
      <w:bookmarkStart w:id="10" w:name="_Toc433704553"/>
      <w:r>
        <w:t>Alternative control services</w:t>
      </w:r>
      <w:bookmarkEnd w:id="10"/>
    </w:p>
    <w:p w:rsidR="00D33C4E" w:rsidRDefault="00D33C4E" w:rsidP="00EE2417">
      <w:bookmarkStart w:id="11" w:name="_Toc403144136"/>
      <w:bookmarkStart w:id="12" w:name="_Toc417927185"/>
      <w:r w:rsidRPr="00D33C4E">
        <w:t xml:space="preserve">Alternative control services are services provided by distributors to specific customers. They do not form part of the distribution use of system revenue allowance approved by us for each distributor. Rather, distributors recover the costs of providing alternative control services through a selection of prices with most charged on a ‘user pays’ basis. Metering is provided to all electricity customers, but also charged on a per customer basis.  </w:t>
      </w:r>
    </w:p>
    <w:p w:rsidR="009F6DC8" w:rsidRDefault="009F6DC8" w:rsidP="00EE2417">
      <w:r w:rsidRPr="009F6DC8">
        <w:t>In this attachment, we set out our preliminary decision on the prices</w:t>
      </w:r>
      <w:r>
        <w:t xml:space="preserve"> AusNet Services</w:t>
      </w:r>
      <w:r w:rsidRPr="009F6DC8">
        <w:t xml:space="preserve"> is allowed to charge customers for the provision of ancillary network services, public lighting and metering.</w:t>
      </w:r>
    </w:p>
    <w:p w:rsidR="00832FC2" w:rsidRDefault="00832FC2" w:rsidP="00832FC2">
      <w:pPr>
        <w:pStyle w:val="Heading2"/>
      </w:pPr>
      <w:bookmarkStart w:id="13" w:name="_Toc433704554"/>
      <w:bookmarkEnd w:id="11"/>
      <w:bookmarkEnd w:id="12"/>
      <w:r>
        <w:t>Ancillary network services</w:t>
      </w:r>
      <w:bookmarkEnd w:id="13"/>
    </w:p>
    <w:p w:rsidR="009F6DC8" w:rsidRPr="009F6DC8" w:rsidRDefault="009F6DC8" w:rsidP="009F6DC8">
      <w:r w:rsidRPr="009F6DC8">
        <w:t>For the purposes of this preliminary decision, we have referred to the service groups previously identified as 'fee based services' and 'quoted services' collectively as a single group called 'ancillary network services'.</w:t>
      </w:r>
      <w:r w:rsidRPr="009F6DC8">
        <w:rPr>
          <w:rStyle w:val="FootnoteReference"/>
        </w:rPr>
        <w:footnoteReference w:id="1"/>
      </w:r>
    </w:p>
    <w:p w:rsidR="009F6DC8" w:rsidRPr="009F6DC8" w:rsidRDefault="009F6DC8" w:rsidP="009F6DC8">
      <w:r w:rsidRPr="009F6DC8">
        <w:t>Ancillary network services share the common characteristic of being non-routine services provided to individual customers on an as requested basis.</w:t>
      </w:r>
      <w:r w:rsidRPr="009F6DC8">
        <w:rPr>
          <w:rStyle w:val="FootnoteReference"/>
        </w:rPr>
        <w:footnoteReference w:id="2"/>
      </w:r>
      <w:r w:rsidRPr="009F6DC8">
        <w:t xml:space="preserve"> The existing fee based services and quoted services groupings describe the basis on which service prices are determined.</w:t>
      </w:r>
      <w:r w:rsidRPr="009F6DC8">
        <w:rPr>
          <w:rStyle w:val="FootnoteReference"/>
        </w:rPr>
        <w:footnoteReference w:id="3"/>
      </w:r>
    </w:p>
    <w:p w:rsidR="009F6DC8" w:rsidRDefault="009F6DC8" w:rsidP="009F6DC8">
      <w:r w:rsidRPr="009F6DC8">
        <w:t>We classify ancillary network services as direct control services. Having decided to apply a direct control classification, we must further classify ancillary network services as either standard control or alternative control.</w:t>
      </w:r>
      <w:r w:rsidRPr="009F6DC8">
        <w:rPr>
          <w:rStyle w:val="FootnoteReference"/>
        </w:rPr>
        <w:footnoteReference w:id="4"/>
      </w:r>
      <w:r w:rsidRPr="009F6DC8">
        <w:t xml:space="preserve"> We have classified them as alternative control services because they are attributable to individual customers.</w:t>
      </w:r>
      <w:r w:rsidRPr="009F6DC8">
        <w:rPr>
          <w:rStyle w:val="FootnoteReference"/>
        </w:rPr>
        <w:footnoteReference w:id="5"/>
      </w:r>
      <w:r w:rsidRPr="009F6DC8">
        <w:rPr>
          <w:rStyle w:val="FootnoteReference"/>
        </w:rPr>
        <w:t xml:space="preserve"> </w:t>
      </w:r>
    </w:p>
    <w:p w:rsidR="009F6DC8" w:rsidRDefault="009F6DC8" w:rsidP="009F6DC8">
      <w:pPr>
        <w:pStyle w:val="Heading3"/>
      </w:pPr>
      <w:bookmarkStart w:id="14" w:name="_Toc433704555"/>
      <w:r>
        <w:t>Preliminary decision</w:t>
      </w:r>
      <w:bookmarkEnd w:id="14"/>
    </w:p>
    <w:p w:rsidR="00845049" w:rsidRDefault="00C32B71" w:rsidP="0018434E">
      <w:r>
        <w:t>W</w:t>
      </w:r>
      <w:r w:rsidR="002C5123">
        <w:t>e</w:t>
      </w:r>
      <w:r>
        <w:t xml:space="preserve"> generally</w:t>
      </w:r>
      <w:r w:rsidR="002C5123">
        <w:t xml:space="preserve"> </w:t>
      </w:r>
      <w:r w:rsidR="00623426">
        <w:t>do not accept</w:t>
      </w:r>
      <w:r w:rsidR="002C5123">
        <w:t xml:space="preserve"> </w:t>
      </w:r>
      <w:r w:rsidR="0018434E">
        <w:t>AusNet Services'</w:t>
      </w:r>
      <w:r w:rsidR="006B74EE">
        <w:t xml:space="preserve"> proposed</w:t>
      </w:r>
      <w:r w:rsidR="002C5123" w:rsidRPr="002C5123">
        <w:t xml:space="preserve"> prices for ancillary network services.</w:t>
      </w:r>
      <w:r w:rsidR="000E46A4">
        <w:t xml:space="preserve"> </w:t>
      </w:r>
      <w:r w:rsidR="00285C6B">
        <w:t>Specifically, we do</w:t>
      </w:r>
      <w:r w:rsidR="00845049">
        <w:t xml:space="preserve"> not</w:t>
      </w:r>
      <w:r w:rsidR="00843EB6">
        <w:t xml:space="preserve"> accept AusNet Service</w:t>
      </w:r>
      <w:r w:rsidR="00285C6B">
        <w:t>s</w:t>
      </w:r>
      <w:r w:rsidR="00843EB6">
        <w:t>'</w:t>
      </w:r>
      <w:r w:rsidR="00285C6B">
        <w:t xml:space="preserve"> proposed</w:t>
      </w:r>
      <w:r w:rsidR="00FD761E">
        <w:t xml:space="preserve"> first year</w:t>
      </w:r>
      <w:r w:rsidR="00285C6B">
        <w:t xml:space="preserve"> prices that have been derived using its net present value method. We consider the inclusion of forecast labour price growth in this method overstates the </w:t>
      </w:r>
      <w:r w:rsidR="00FD761E">
        <w:t>first year</w:t>
      </w:r>
      <w:r w:rsidR="00285C6B">
        <w:t xml:space="preserve"> price for these services.</w:t>
      </w:r>
      <w:r w:rsidR="00204BC7">
        <w:t xml:space="preserve"> Our preliminary decisio</w:t>
      </w:r>
      <w:r w:rsidR="00B87C20">
        <w:t>n has recalculated these prices</w:t>
      </w:r>
      <w:r w:rsidR="00204BC7">
        <w:t xml:space="preserve"> without net present value adjustments.</w:t>
      </w:r>
      <w:r w:rsidR="00B62A9D">
        <w:t xml:space="preserve"> We have also substituted our preliminary decision labour price growth. Our reasoning is detailed in sections </w:t>
      </w:r>
      <w:r w:rsidR="00B62A9D">
        <w:fldChar w:fldCharType="begin"/>
      </w:r>
      <w:r w:rsidR="00B62A9D">
        <w:instrText xml:space="preserve"> REF _Ref431472474 \r \h </w:instrText>
      </w:r>
      <w:r w:rsidR="00B62A9D">
        <w:fldChar w:fldCharType="separate"/>
      </w:r>
      <w:r w:rsidR="009E0EFD">
        <w:t>16.1.4.1</w:t>
      </w:r>
      <w:r w:rsidR="00B62A9D">
        <w:fldChar w:fldCharType="end"/>
      </w:r>
      <w:r w:rsidR="00B62A9D">
        <w:t xml:space="preserve"> and </w:t>
      </w:r>
      <w:r w:rsidR="00B62A9D">
        <w:fldChar w:fldCharType="begin"/>
      </w:r>
      <w:r w:rsidR="00B62A9D">
        <w:instrText xml:space="preserve"> REF _Ref431472482 \r \h </w:instrText>
      </w:r>
      <w:r w:rsidR="00B62A9D">
        <w:fldChar w:fldCharType="separate"/>
      </w:r>
      <w:r w:rsidR="009E0EFD">
        <w:t>0</w:t>
      </w:r>
      <w:r w:rsidR="00B62A9D">
        <w:fldChar w:fldCharType="end"/>
      </w:r>
      <w:r w:rsidR="00B62A9D">
        <w:t>.</w:t>
      </w:r>
    </w:p>
    <w:p w:rsidR="00285C6B" w:rsidRDefault="00845049" w:rsidP="0018434E">
      <w:r>
        <w:t>We also do not accept the proposed prices for a number of services</w:t>
      </w:r>
      <w:r w:rsidR="00B62A9D">
        <w:t xml:space="preserve"> where</w:t>
      </w:r>
      <w:r>
        <w:t xml:space="preserve"> we consider AusNet Services internal labour rates </w:t>
      </w:r>
      <w:r w:rsidRPr="00845049">
        <w:t>exceed</w:t>
      </w:r>
      <w:r w:rsidR="00A937DD">
        <w:t xml:space="preserve"> our</w:t>
      </w:r>
      <w:r w:rsidRPr="00845049">
        <w:t xml:space="preserve"> maximum</w:t>
      </w:r>
      <w:r w:rsidR="00C32B71">
        <w:t xml:space="preserve"> total</w:t>
      </w:r>
      <w:r w:rsidRPr="00845049">
        <w:t xml:space="preserve"> labour rates which we consider efficient for providing these services.</w:t>
      </w:r>
      <w:r w:rsidR="00FD761E">
        <w:t xml:space="preserve"> We have substituted our maximum</w:t>
      </w:r>
      <w:r w:rsidR="00C32B71">
        <w:t xml:space="preserve"> total</w:t>
      </w:r>
      <w:r w:rsidR="00FD761E">
        <w:t xml:space="preserve"> labour rates for these services.</w:t>
      </w:r>
      <w:r w:rsidR="00B62A9D">
        <w:t xml:space="preserve"> Our reasoning is detailed in section</w:t>
      </w:r>
      <w:r w:rsidR="00C32B71">
        <w:t> </w:t>
      </w:r>
      <w:r w:rsidR="00B62A9D">
        <w:fldChar w:fldCharType="begin"/>
      </w:r>
      <w:r w:rsidR="00B62A9D">
        <w:instrText xml:space="preserve"> REF _Ref431472343 \r \h </w:instrText>
      </w:r>
      <w:r w:rsidR="00B62A9D">
        <w:fldChar w:fldCharType="separate"/>
      </w:r>
      <w:r w:rsidR="009E0EFD">
        <w:t>16.1.4.3</w:t>
      </w:r>
      <w:r w:rsidR="00B62A9D">
        <w:fldChar w:fldCharType="end"/>
      </w:r>
      <w:r w:rsidR="00B62A9D">
        <w:t>.</w:t>
      </w:r>
    </w:p>
    <w:p w:rsidR="00204BC7" w:rsidRDefault="009E6C34" w:rsidP="0018434E">
      <w:r>
        <w:t>However, there are some aspects of AusNet Services' proposal we do accept.</w:t>
      </w:r>
      <w:r w:rsidR="00FA42DB">
        <w:t xml:space="preserve"> </w:t>
      </w:r>
      <w:r w:rsidR="00285C6B">
        <w:t>We accept</w:t>
      </w:r>
      <w:r w:rsidR="00204BC7">
        <w:t>:</w:t>
      </w:r>
    </w:p>
    <w:p w:rsidR="00204BC7" w:rsidRDefault="00FA42DB" w:rsidP="00204BC7">
      <w:pPr>
        <w:pStyle w:val="AERbulletlistfirststyle"/>
      </w:pPr>
      <w:r>
        <w:t xml:space="preserve">the proposed prices for meter equipment tests as these were calculated using a </w:t>
      </w:r>
      <w:r w:rsidR="00845049">
        <w:t>method that did not include net present value adjustments</w:t>
      </w:r>
    </w:p>
    <w:p w:rsidR="009E6C34" w:rsidRDefault="00845049" w:rsidP="00204BC7">
      <w:pPr>
        <w:pStyle w:val="AERbulletlistfirststyle"/>
      </w:pPr>
      <w:r>
        <w:t>AusNet</w:t>
      </w:r>
      <w:r w:rsidR="00204BC7">
        <w:t> Services contractor rates as these are market tested</w:t>
      </w:r>
    </w:p>
    <w:p w:rsidR="00204BC7" w:rsidRDefault="00204BC7" w:rsidP="00204BC7">
      <w:pPr>
        <w:pStyle w:val="AERbulletlistfirststyle"/>
      </w:pPr>
      <w:r>
        <w:t>AusNet Services</w:t>
      </w:r>
      <w:r w:rsidR="00FD761E">
        <w:t xml:space="preserve"> base</w:t>
      </w:r>
      <w:r w:rsidR="00C32B71">
        <w:t xml:space="preserve"> internal</w:t>
      </w:r>
      <w:r>
        <w:t xml:space="preserve"> </w:t>
      </w:r>
      <w:r w:rsidR="00FD761E">
        <w:t>labour rates for the majority of its services.</w:t>
      </w:r>
    </w:p>
    <w:p w:rsidR="0018434E" w:rsidRDefault="0018434E" w:rsidP="0018434E">
      <w:r w:rsidRPr="0018434E">
        <w:t xml:space="preserve">Appendix </w:t>
      </w:r>
      <w:r>
        <w:fldChar w:fldCharType="begin"/>
      </w:r>
      <w:r>
        <w:instrText xml:space="preserve"> REF _Ref430935588 \r \h </w:instrText>
      </w:r>
      <w:r>
        <w:fldChar w:fldCharType="separate"/>
      </w:r>
      <w:r w:rsidR="009E0EFD">
        <w:t>A</w:t>
      </w:r>
      <w:r>
        <w:fldChar w:fldCharType="end"/>
      </w:r>
      <w:r>
        <w:t xml:space="preserve"> </w:t>
      </w:r>
      <w:r w:rsidRPr="0018434E">
        <w:t xml:space="preserve">contains our preliminary decision on the prices </w:t>
      </w:r>
      <w:r>
        <w:t>AusNe</w:t>
      </w:r>
      <w:r w:rsidR="009353F2">
        <w:t>t</w:t>
      </w:r>
      <w:r>
        <w:t xml:space="preserve"> Services</w:t>
      </w:r>
      <w:r w:rsidRPr="0018434E">
        <w:t xml:space="preserve"> can charge for ancillary network services for the first year of the 2016–20 regulatory control </w:t>
      </w:r>
      <w:proofErr w:type="gramStart"/>
      <w:r w:rsidRPr="0018434E">
        <w:t>period</w:t>
      </w:r>
      <w:proofErr w:type="gramEnd"/>
      <w:r w:rsidRPr="0018434E">
        <w:t xml:space="preserve">. </w:t>
      </w:r>
      <w:r>
        <w:fldChar w:fldCharType="begin"/>
      </w:r>
      <w:r>
        <w:instrText xml:space="preserve"> REF _Ref430935729 \h </w:instrText>
      </w:r>
      <w:r>
        <w:fldChar w:fldCharType="separate"/>
      </w:r>
      <w:r w:rsidR="009E0EFD">
        <w:t xml:space="preserve">Table </w:t>
      </w:r>
      <w:r w:rsidR="009E0EFD">
        <w:rPr>
          <w:noProof/>
        </w:rPr>
        <w:t>16</w:t>
      </w:r>
      <w:r w:rsidR="009E0EFD">
        <w:t>.</w:t>
      </w:r>
      <w:r w:rsidR="009E0EFD">
        <w:rPr>
          <w:noProof/>
        </w:rPr>
        <w:t>18</w:t>
      </w:r>
      <w:r>
        <w:fldChar w:fldCharType="end"/>
      </w:r>
      <w:r>
        <w:t xml:space="preserve"> </w:t>
      </w:r>
      <w:r w:rsidRPr="0018434E">
        <w:t xml:space="preserve">sets out approved prices for fee based services and </w:t>
      </w:r>
      <w:r>
        <w:fldChar w:fldCharType="begin"/>
      </w:r>
      <w:r>
        <w:instrText xml:space="preserve"> REF  _Ref430935737 \* Lower \h </w:instrText>
      </w:r>
      <w:r>
        <w:fldChar w:fldCharType="separate"/>
      </w:r>
      <w:r w:rsidR="009E0EFD">
        <w:t xml:space="preserve">table </w:t>
      </w:r>
      <w:r w:rsidR="009E0EFD">
        <w:rPr>
          <w:noProof/>
        </w:rPr>
        <w:t>16</w:t>
      </w:r>
      <w:r w:rsidR="009E0EFD">
        <w:t>.</w:t>
      </w:r>
      <w:r w:rsidR="009E0EFD">
        <w:rPr>
          <w:noProof/>
        </w:rPr>
        <w:t>19</w:t>
      </w:r>
      <w:r>
        <w:fldChar w:fldCharType="end"/>
      </w:r>
      <w:r>
        <w:t xml:space="preserve"> </w:t>
      </w:r>
      <w:r w:rsidRPr="0018434E">
        <w:t xml:space="preserve">sets out the approved labour rates for quoted services. We note these prices are in real 2015 dollar terms and will be escalated into real 2016 dollar terms in </w:t>
      </w:r>
      <w:r w:rsidR="009869F8">
        <w:t>AusNet </w:t>
      </w:r>
      <w:r>
        <w:t>Service</w:t>
      </w:r>
      <w:r w:rsidRPr="0018434E">
        <w:t>s</w:t>
      </w:r>
      <w:r>
        <w:t>'</w:t>
      </w:r>
      <w:r w:rsidRPr="0018434E">
        <w:t xml:space="preserve"> initial pricing proposal.</w:t>
      </w:r>
    </w:p>
    <w:p w:rsidR="00A937DD" w:rsidRPr="00A937DD" w:rsidDel="00F93AF8" w:rsidRDefault="00A937DD" w:rsidP="00A937DD">
      <w:r w:rsidRPr="00A937DD">
        <w:t>We also note the Victorian Department of Economic Development, Jobs, Transport and Resources requested us to ensure that the Victorian distributors charge customers with manually read meters and customers with remote read meters accordingly.</w:t>
      </w:r>
      <w:r w:rsidRPr="001C6565">
        <w:rPr>
          <w:rStyle w:val="AERsuperscript"/>
        </w:rPr>
        <w:footnoteReference w:id="6"/>
      </w:r>
      <w:r w:rsidRPr="00A937DD">
        <w:t xml:space="preserve"> Our preliminary decision is satisfied that wherever required, </w:t>
      </w:r>
      <w:r>
        <w:t>AusNet Services</w:t>
      </w:r>
      <w:r w:rsidRPr="00A937DD">
        <w:t xml:space="preserve"> has developed separate prices for manually read and remotely read metering services. These separate prices are demonstrated in </w:t>
      </w:r>
      <w:r>
        <w:fldChar w:fldCharType="begin"/>
      </w:r>
      <w:r>
        <w:instrText xml:space="preserve"> REF  _Ref430935729 \* Lower \h </w:instrText>
      </w:r>
      <w:r>
        <w:fldChar w:fldCharType="separate"/>
      </w:r>
      <w:r w:rsidR="009E0EFD">
        <w:t xml:space="preserve">table </w:t>
      </w:r>
      <w:r w:rsidR="009E0EFD">
        <w:rPr>
          <w:noProof/>
        </w:rPr>
        <w:t>16</w:t>
      </w:r>
      <w:r w:rsidR="009E0EFD">
        <w:t>.</w:t>
      </w:r>
      <w:r w:rsidR="009E0EFD">
        <w:rPr>
          <w:noProof/>
        </w:rPr>
        <w:t>18</w:t>
      </w:r>
      <w:r>
        <w:fldChar w:fldCharType="end"/>
      </w:r>
      <w:r w:rsidRPr="00A937DD">
        <w:t xml:space="preserve"> and </w:t>
      </w:r>
      <w:r>
        <w:fldChar w:fldCharType="begin"/>
      </w:r>
      <w:r>
        <w:instrText xml:space="preserve"> REF  _Ref430935737 \* Lower \h </w:instrText>
      </w:r>
      <w:r>
        <w:fldChar w:fldCharType="separate"/>
      </w:r>
      <w:r w:rsidR="009E0EFD">
        <w:t xml:space="preserve">table </w:t>
      </w:r>
      <w:r w:rsidR="009E0EFD">
        <w:rPr>
          <w:noProof/>
        </w:rPr>
        <w:t>16</w:t>
      </w:r>
      <w:r w:rsidR="009E0EFD">
        <w:t>.</w:t>
      </w:r>
      <w:r w:rsidR="009E0EFD">
        <w:rPr>
          <w:noProof/>
        </w:rPr>
        <w:t>19</w:t>
      </w:r>
      <w:r>
        <w:fldChar w:fldCharType="end"/>
      </w:r>
      <w:r w:rsidRPr="00A937DD">
        <w:t xml:space="preserve"> in appendix </w:t>
      </w:r>
      <w:r>
        <w:fldChar w:fldCharType="begin"/>
      </w:r>
      <w:r>
        <w:instrText xml:space="preserve"> REF _Ref430935588 \r \h </w:instrText>
      </w:r>
      <w:r>
        <w:fldChar w:fldCharType="separate"/>
      </w:r>
      <w:r w:rsidR="009E0EFD">
        <w:t>A</w:t>
      </w:r>
      <w:r>
        <w:fldChar w:fldCharType="end"/>
      </w:r>
      <w:r w:rsidRPr="00A937DD">
        <w:t>.</w:t>
      </w:r>
    </w:p>
    <w:p w:rsidR="009F6DC8" w:rsidRDefault="0018434E" w:rsidP="0018434E">
      <w:pPr>
        <w:pStyle w:val="HeadingBoldBlue"/>
      </w:pPr>
      <w:r>
        <w:t>Form of control</w:t>
      </w:r>
    </w:p>
    <w:p w:rsidR="0018434E" w:rsidRPr="0018434E" w:rsidRDefault="0018434E" w:rsidP="0018434E">
      <w:r w:rsidRPr="0018434E">
        <w:t>Our preliminary decision applies price caps forms of control to ancillary network services.</w:t>
      </w:r>
      <w:r w:rsidR="00D01896">
        <w:rPr>
          <w:rStyle w:val="FootnoteReference"/>
        </w:rPr>
        <w:footnoteReference w:id="7"/>
      </w:r>
      <w:r w:rsidRPr="0018434E">
        <w:t xml:space="preserve"> </w:t>
      </w:r>
      <w:r w:rsidR="00782242">
        <w:fldChar w:fldCharType="begin"/>
      </w:r>
      <w:r w:rsidR="00782242">
        <w:instrText xml:space="preserve"> REF _Ref430942825 \h </w:instrText>
      </w:r>
      <w:r w:rsidR="00782242">
        <w:fldChar w:fldCharType="separate"/>
      </w:r>
      <w:r w:rsidR="009E0EFD">
        <w:t xml:space="preserve">Figure </w:t>
      </w:r>
      <w:r w:rsidR="009E0EFD">
        <w:rPr>
          <w:noProof/>
        </w:rPr>
        <w:t>16</w:t>
      </w:r>
      <w:r w:rsidR="009E0EFD">
        <w:t>.</w:t>
      </w:r>
      <w:r w:rsidR="009E0EFD">
        <w:rPr>
          <w:noProof/>
        </w:rPr>
        <w:t>1</w:t>
      </w:r>
      <w:r w:rsidR="00782242">
        <w:fldChar w:fldCharType="end"/>
      </w:r>
      <w:r w:rsidR="00782242">
        <w:t xml:space="preserve"> </w:t>
      </w:r>
      <w:r w:rsidRPr="0018434E">
        <w:t>and</w:t>
      </w:r>
      <w:r w:rsidR="00782242">
        <w:t xml:space="preserve"> </w:t>
      </w:r>
      <w:r w:rsidR="00782242">
        <w:fldChar w:fldCharType="begin"/>
      </w:r>
      <w:r w:rsidR="00782242">
        <w:instrText xml:space="preserve"> REF  _Ref430952706 \* Lower \h </w:instrText>
      </w:r>
      <w:r w:rsidR="00782242">
        <w:fldChar w:fldCharType="separate"/>
      </w:r>
      <w:r w:rsidR="009E0EFD">
        <w:t xml:space="preserve">figure </w:t>
      </w:r>
      <w:r w:rsidR="009E0EFD">
        <w:rPr>
          <w:noProof/>
        </w:rPr>
        <w:t>16</w:t>
      </w:r>
      <w:r w:rsidR="009E0EFD">
        <w:t>.</w:t>
      </w:r>
      <w:r w:rsidR="009E0EFD">
        <w:rPr>
          <w:noProof/>
        </w:rPr>
        <w:t>2</w:t>
      </w:r>
      <w:r w:rsidR="00782242">
        <w:fldChar w:fldCharType="end"/>
      </w:r>
      <w:r w:rsidRPr="0018434E">
        <w:t xml:space="preserve"> set out the control mechanism formulae for fee based services and quoted services, respectively. They are consistent with the formulae which </w:t>
      </w:r>
      <w:r>
        <w:t>AusNet Services</w:t>
      </w:r>
      <w:r w:rsidRPr="0018434E">
        <w:t xml:space="preserve"> agreed on in its regulatory proposal.</w:t>
      </w:r>
      <w:r w:rsidR="00C32B71">
        <w:rPr>
          <w:rStyle w:val="FootnoteReference"/>
        </w:rPr>
        <w:footnoteReference w:id="8"/>
      </w:r>
    </w:p>
    <w:p w:rsidR="0018434E" w:rsidRDefault="0018434E" w:rsidP="00C63262">
      <w:pPr>
        <w:pStyle w:val="HeadingBoldBlue"/>
        <w:keepNext/>
      </w:pPr>
      <w:r>
        <w:t>Form of control — fee based services</w:t>
      </w:r>
    </w:p>
    <w:p w:rsidR="001C4D2E" w:rsidRPr="001C4D2E" w:rsidRDefault="001C4D2E" w:rsidP="001C4D2E">
      <w:pPr>
        <w:numPr>
          <w:ilvl w:val="0"/>
          <w:numId w:val="24"/>
        </w:numPr>
      </w:pPr>
      <w:r w:rsidRPr="001C4D2E">
        <w:t>Our preliminary decision applies a price cap form of control to fee based services.</w:t>
      </w:r>
      <w:r w:rsidRPr="00653161">
        <w:rPr>
          <w:rStyle w:val="FootnoteReference"/>
        </w:rPr>
        <w:footnoteReference w:id="9"/>
      </w:r>
      <w:r w:rsidRPr="00653161">
        <w:rPr>
          <w:rStyle w:val="FootnoteReference"/>
        </w:rPr>
        <w:t xml:space="preserve"> </w:t>
      </w:r>
      <w:r w:rsidRPr="001C4D2E">
        <w:t xml:space="preserve">Under this form of control, we approve a schedule of prices for the first year (2016) of the regulatory control period. These approved prices are set out in </w:t>
      </w:r>
      <w:r w:rsidR="00653161">
        <w:fldChar w:fldCharType="begin"/>
      </w:r>
      <w:r w:rsidR="00653161">
        <w:instrText xml:space="preserve"> REF  _Ref430935729 \* Lower \h </w:instrText>
      </w:r>
      <w:r w:rsidR="00653161">
        <w:fldChar w:fldCharType="separate"/>
      </w:r>
      <w:r w:rsidR="009E0EFD">
        <w:t xml:space="preserve">table </w:t>
      </w:r>
      <w:r w:rsidR="009E0EFD">
        <w:rPr>
          <w:noProof/>
        </w:rPr>
        <w:t>16</w:t>
      </w:r>
      <w:r w:rsidR="009E0EFD">
        <w:t>.</w:t>
      </w:r>
      <w:r w:rsidR="009E0EFD">
        <w:rPr>
          <w:noProof/>
        </w:rPr>
        <w:t>18</w:t>
      </w:r>
      <w:r w:rsidR="00653161">
        <w:fldChar w:fldCharType="end"/>
      </w:r>
      <w:r w:rsidRPr="001C4D2E">
        <w:t xml:space="preserve"> of appendix </w:t>
      </w:r>
      <w:r w:rsidR="00653161">
        <w:fldChar w:fldCharType="begin"/>
      </w:r>
      <w:r w:rsidR="00653161">
        <w:instrText xml:space="preserve"> REF _Ref430935588 \r \h </w:instrText>
      </w:r>
      <w:r w:rsidR="00653161">
        <w:fldChar w:fldCharType="separate"/>
      </w:r>
      <w:r w:rsidR="009E0EFD">
        <w:t>A</w:t>
      </w:r>
      <w:r w:rsidR="00653161">
        <w:fldChar w:fldCharType="end"/>
      </w:r>
      <w:r w:rsidRPr="001C4D2E">
        <w:t xml:space="preserve">. From 2017 and for each subsequent year, the year t prices are determined by adjusting the previous year’s prices by the formula set out in </w:t>
      </w:r>
      <w:r w:rsidR="00C1399C">
        <w:fldChar w:fldCharType="begin"/>
      </w:r>
      <w:r w:rsidR="00C1399C">
        <w:instrText xml:space="preserve"> REF  _Ref430942825 \* Lower \h </w:instrText>
      </w:r>
      <w:r w:rsidR="00C1399C">
        <w:fldChar w:fldCharType="separate"/>
      </w:r>
      <w:r w:rsidR="009E0EFD">
        <w:t xml:space="preserve">figure </w:t>
      </w:r>
      <w:r w:rsidR="009E0EFD">
        <w:rPr>
          <w:noProof/>
        </w:rPr>
        <w:t>16</w:t>
      </w:r>
      <w:r w:rsidR="009E0EFD">
        <w:t>.</w:t>
      </w:r>
      <w:r w:rsidR="009E0EFD">
        <w:rPr>
          <w:noProof/>
        </w:rPr>
        <w:t>1</w:t>
      </w:r>
      <w:r w:rsidR="00C1399C">
        <w:fldChar w:fldCharType="end"/>
      </w:r>
      <w:r w:rsidRPr="001C4D2E">
        <w:t>.</w:t>
      </w:r>
      <w:r w:rsidR="00C52A8D">
        <w:t xml:space="preserve"> The X factors applied in this formula adjust for annual </w:t>
      </w:r>
      <w:r w:rsidR="00C52A8D" w:rsidRPr="000E3277">
        <w:t>labour price growth.</w:t>
      </w:r>
    </w:p>
    <w:p w:rsidR="0018434E" w:rsidRPr="0018434E" w:rsidRDefault="001C4D2E" w:rsidP="001C4D2E">
      <w:pPr>
        <w:pStyle w:val="Caption"/>
        <w:rPr>
          <w:rStyle w:val="AERbody"/>
        </w:rPr>
      </w:pPr>
      <w:bookmarkStart w:id="15" w:name="_Ref430942825"/>
      <w:proofErr w:type="gramStart"/>
      <w:r>
        <w:t xml:space="preserve">Figure </w:t>
      </w:r>
      <w:proofErr w:type="gramEnd"/>
      <w:r w:rsidR="00E40187">
        <w:fldChar w:fldCharType="begin"/>
      </w:r>
      <w:r w:rsidR="00E40187">
        <w:instrText xml:space="preserve"> STYLEREF 1 \s </w:instrText>
      </w:r>
      <w:r w:rsidR="00E40187">
        <w:fldChar w:fldCharType="separate"/>
      </w:r>
      <w:r w:rsidR="009E0EFD">
        <w:rPr>
          <w:noProof/>
        </w:rPr>
        <w:t>16</w:t>
      </w:r>
      <w:r w:rsidR="00E40187">
        <w:rPr>
          <w:noProof/>
        </w:rPr>
        <w:fldChar w:fldCharType="end"/>
      </w:r>
      <w:proofErr w:type="gramStart"/>
      <w:r w:rsidR="00FB54C5">
        <w:t>.</w:t>
      </w:r>
      <w:proofErr w:type="gramEnd"/>
      <w:r w:rsidR="00E40187">
        <w:fldChar w:fldCharType="begin"/>
      </w:r>
      <w:r w:rsidR="00E40187">
        <w:instrText xml:space="preserve"> SEQ Figure \* ARABIC \s 1 </w:instrText>
      </w:r>
      <w:r w:rsidR="00E40187">
        <w:fldChar w:fldCharType="separate"/>
      </w:r>
      <w:r w:rsidR="009E0EFD">
        <w:rPr>
          <w:noProof/>
        </w:rPr>
        <w:t>1</w:t>
      </w:r>
      <w:r w:rsidR="00E40187">
        <w:rPr>
          <w:noProof/>
        </w:rPr>
        <w:fldChar w:fldCharType="end"/>
      </w:r>
      <w:bookmarkEnd w:id="15"/>
      <w:r>
        <w:tab/>
        <w:t>Fee based ancillary network services formula</w:t>
      </w:r>
    </w:p>
    <w:p w:rsidR="001C4D2E" w:rsidRPr="001C4D2E" w:rsidRDefault="00782B8C" w:rsidP="001C4D2E">
      <w:pPr>
        <w:numPr>
          <w:ilvl w:val="0"/>
          <w:numId w:val="24"/>
        </w:numPr>
      </w:pPr>
      <w:r w:rsidRPr="00EB750F">
        <w:rPr>
          <w:position w:val="-12"/>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20.1pt" o:ole="">
            <v:imagedata r:id="rId12" o:title=""/>
          </v:shape>
          <o:OLEObject Type="Embed" ProgID="Equation.3" ShapeID="_x0000_i1025" DrawAspect="Content" ObjectID="_1507446636" r:id="rId13"/>
        </w:object>
      </w:r>
      <w:r w:rsidR="00FA11AB">
        <w:tab/>
      </w:r>
      <w:r w:rsidR="00FA11AB">
        <w:tab/>
      </w:r>
      <w:r w:rsidR="00FA11AB">
        <w:tab/>
      </w:r>
      <w:r w:rsidR="00FA11AB">
        <w:tab/>
      </w:r>
      <w:r w:rsidR="00FA11AB">
        <w:tab/>
      </w:r>
      <w:r w:rsidR="00FA11AB">
        <w:tab/>
      </w:r>
      <w:r w:rsidR="00FA11AB">
        <w:tab/>
      </w:r>
      <w:r w:rsidR="00FA11AB">
        <w:tab/>
        <w:t>i=1,...,n and t=</w:t>
      </w:r>
      <w:r w:rsidR="001C4D2E" w:rsidRPr="001C4D2E">
        <w:t>2,3,4</w:t>
      </w:r>
      <w:r w:rsidR="00FA11AB">
        <w:t>,5</w:t>
      </w:r>
    </w:p>
    <w:p w:rsidR="001C4D2E" w:rsidRPr="001C4D2E" w:rsidRDefault="008D0BC9" w:rsidP="001C4D2E">
      <w:pPr>
        <w:numPr>
          <w:ilvl w:val="0"/>
          <w:numId w:val="24"/>
        </w:numPr>
      </w:pPr>
      <w:r w:rsidRPr="008D0BC9">
        <w:rPr>
          <w:position w:val="-12"/>
        </w:rPr>
        <w:object w:dxaOrig="2580" w:dyaOrig="380">
          <v:shape id="_x0000_i1026" type="#_x0000_t75" style="width:128.1pt;height:20.1pt" o:ole="">
            <v:imagedata r:id="rId14" o:title=""/>
          </v:shape>
          <o:OLEObject Type="Embed" ProgID="Equation.3" ShapeID="_x0000_i1026" DrawAspect="Content" ObjectID="_1507446637" r:id="rId15"/>
        </w:object>
      </w:r>
    </w:p>
    <w:p w:rsidR="001C4D2E" w:rsidRPr="001C4D2E" w:rsidRDefault="001C4D2E" w:rsidP="001C4D2E">
      <w:pPr>
        <w:numPr>
          <w:ilvl w:val="0"/>
          <w:numId w:val="24"/>
        </w:numPr>
      </w:pPr>
      <w:r w:rsidRPr="001C4D2E">
        <w:t>Where:</w:t>
      </w:r>
    </w:p>
    <w:p w:rsidR="001C4D2E" w:rsidRPr="001C4D2E" w:rsidRDefault="008D0BC9" w:rsidP="001C4D2E">
      <w:pPr>
        <w:numPr>
          <w:ilvl w:val="0"/>
          <w:numId w:val="24"/>
        </w:numPr>
      </w:pPr>
      <w:r w:rsidRPr="001C4D2E">
        <w:rPr>
          <w:position w:val="-12"/>
        </w:rPr>
        <w:object w:dxaOrig="279" w:dyaOrig="380">
          <v:shape id="_x0000_i1027" type="#_x0000_t75" style="width:11.7pt;height:20.1pt" o:ole="">
            <v:imagedata r:id="rId16" o:title=""/>
          </v:shape>
          <o:OLEObject Type="Embed" ProgID="Equation.3" ShapeID="_x0000_i1027" DrawAspect="Content" ObjectID="_1507446638" r:id="rId17"/>
        </w:object>
      </w:r>
      <w:r w:rsidR="001C4D2E">
        <w:tab/>
      </w:r>
      <w:r w:rsidR="00653161">
        <w:tab/>
      </w:r>
      <w:r w:rsidR="001C4D2E" w:rsidRPr="001C4D2E">
        <w:t>is the cap on the price of service i in year t</w:t>
      </w:r>
    </w:p>
    <w:p w:rsidR="001C4D2E" w:rsidRPr="001C4D2E" w:rsidRDefault="008D0BC9" w:rsidP="001C4D2E">
      <w:pPr>
        <w:numPr>
          <w:ilvl w:val="0"/>
          <w:numId w:val="24"/>
        </w:numPr>
      </w:pPr>
      <w:r w:rsidRPr="001C4D2E">
        <w:rPr>
          <w:position w:val="-12"/>
        </w:rPr>
        <w:object w:dxaOrig="279" w:dyaOrig="380">
          <v:shape id="_x0000_i1028" type="#_x0000_t75" style="width:11.7pt;height:20.1pt" o:ole="">
            <v:imagedata r:id="rId18" o:title=""/>
          </v:shape>
          <o:OLEObject Type="Embed" ProgID="Equation.3" ShapeID="_x0000_i1028" DrawAspect="Content" ObjectID="_1507446639" r:id="rId19"/>
        </w:object>
      </w:r>
      <w:r w:rsidR="001C4D2E">
        <w:tab/>
      </w:r>
      <w:r w:rsidR="00653161">
        <w:tab/>
      </w:r>
      <w:proofErr w:type="gramStart"/>
      <w:r w:rsidR="001C4D2E" w:rsidRPr="001C4D2E">
        <w:t>is</w:t>
      </w:r>
      <w:proofErr w:type="gramEnd"/>
      <w:r w:rsidR="001C4D2E" w:rsidRPr="001C4D2E">
        <w:t xml:space="preserve"> the price of service i in year t.</w:t>
      </w:r>
    </w:p>
    <w:p w:rsidR="001C4D2E" w:rsidRPr="001C4D2E" w:rsidRDefault="001C4D2E" w:rsidP="001C4D2E">
      <w:pPr>
        <w:numPr>
          <w:ilvl w:val="0"/>
          <w:numId w:val="24"/>
        </w:numPr>
      </w:pPr>
      <w:r w:rsidRPr="001C4D2E">
        <w:rPr>
          <w:position w:val="-12"/>
        </w:rPr>
        <w:object w:dxaOrig="560" w:dyaOrig="380">
          <v:shape id="_x0000_i1029" type="#_x0000_t75" style="width:29.3pt;height:20.1pt" o:ole="">
            <v:imagedata r:id="rId20" o:title=""/>
          </v:shape>
          <o:OLEObject Type="Embed" ProgID="Equation.3" ShapeID="_x0000_i1029" DrawAspect="Content" ObjectID="_1507446640" r:id="rId21"/>
        </w:object>
      </w:r>
      <w:r w:rsidRPr="001C4D2E">
        <w:t xml:space="preserve"> </w:t>
      </w:r>
      <w:r w:rsidR="00653161">
        <w:tab/>
      </w:r>
      <w:r w:rsidRPr="001C4D2E">
        <w:t>is the annual percentage change in the ABS consumer price index (CPI) All Groups, Weighted Average of Eight Capital Cities</w:t>
      </w:r>
      <w:r w:rsidR="00EB750F">
        <w:rPr>
          <w:rStyle w:val="FootnoteReference"/>
        </w:rPr>
        <w:footnoteReference w:id="10"/>
      </w:r>
      <w:r w:rsidRPr="001C4D2E">
        <w:t xml:space="preserve"> from the June quarter in year t–2 to the June quarter in year t–1, calcul</w:t>
      </w:r>
      <w:r w:rsidR="004A5B62">
        <w:t>ated using the following method:</w:t>
      </w:r>
    </w:p>
    <w:p w:rsidR="001C4D2E" w:rsidRPr="001C4D2E" w:rsidRDefault="001C4D2E" w:rsidP="001C4D2E">
      <w:pPr>
        <w:pStyle w:val="ListContinue"/>
      </w:pPr>
      <w:r w:rsidRPr="001C4D2E">
        <w:t>The ABS CPI All Groups, Weighted Average of Eight Capital Cities for the June quarter in regulatory year t–1</w:t>
      </w:r>
    </w:p>
    <w:p w:rsidR="001C4D2E" w:rsidRPr="001C4D2E" w:rsidRDefault="001C4D2E" w:rsidP="001C4D2E">
      <w:pPr>
        <w:pStyle w:val="ListContinue"/>
      </w:pPr>
      <w:r w:rsidRPr="001C4D2E">
        <w:t>divided by</w:t>
      </w:r>
    </w:p>
    <w:p w:rsidR="001C4D2E" w:rsidRPr="001C4D2E" w:rsidRDefault="001C4D2E" w:rsidP="001C4D2E">
      <w:pPr>
        <w:pStyle w:val="ListContinue"/>
      </w:pPr>
      <w:r w:rsidRPr="001C4D2E">
        <w:t>The ABS CPI All Groups, Weighted Average of Eight Capital Cities for the June quarter in regulatory year t–2</w:t>
      </w:r>
    </w:p>
    <w:p w:rsidR="001C4D2E" w:rsidRPr="001C4D2E" w:rsidRDefault="001C4D2E" w:rsidP="001C4D2E">
      <w:pPr>
        <w:pStyle w:val="ListContinue"/>
      </w:pPr>
      <w:proofErr w:type="gramStart"/>
      <w:r w:rsidRPr="001C4D2E">
        <w:t>minus</w:t>
      </w:r>
      <w:proofErr w:type="gramEnd"/>
      <w:r w:rsidRPr="001C4D2E">
        <w:t xml:space="preserve"> one.</w:t>
      </w:r>
    </w:p>
    <w:p w:rsidR="001C4D2E" w:rsidRPr="001C4D2E" w:rsidRDefault="001C4D2E" w:rsidP="001C4D2E">
      <w:pPr>
        <w:numPr>
          <w:ilvl w:val="0"/>
          <w:numId w:val="24"/>
        </w:numPr>
      </w:pPr>
      <w:r w:rsidRPr="001C4D2E">
        <w:t>For example, for the 2017 year, t–2 is the June quarter 2015 and t–1 is the June quarter 2016 and in the 2018 year, t–2 is the June quarter 2016 and t–1 is the June quarter 2017 and so on.</w:t>
      </w:r>
    </w:p>
    <w:p w:rsidR="001C4D2E" w:rsidRDefault="00782B8C" w:rsidP="001C4D2E">
      <w:pPr>
        <w:numPr>
          <w:ilvl w:val="0"/>
          <w:numId w:val="24"/>
        </w:numPr>
      </w:pPr>
      <w:r w:rsidRPr="00EB750F">
        <w:rPr>
          <w:position w:val="-12"/>
        </w:rPr>
        <w:object w:dxaOrig="340" w:dyaOrig="380">
          <v:shape id="_x0000_i1030" type="#_x0000_t75" style="width:20.1pt;height:20.1pt" o:ole="">
            <v:imagedata r:id="rId22" o:title=""/>
          </v:shape>
          <o:OLEObject Type="Embed" ProgID="Equation.3" ShapeID="_x0000_i1030" DrawAspect="Content" ObjectID="_1507446641" r:id="rId23"/>
        </w:object>
      </w:r>
      <w:r w:rsidR="00F2184E">
        <w:tab/>
      </w:r>
      <w:proofErr w:type="gramStart"/>
      <w:r w:rsidR="001C4D2E" w:rsidRPr="001C4D2E">
        <w:t>is</w:t>
      </w:r>
      <w:proofErr w:type="gramEnd"/>
      <w:r w:rsidR="001C4D2E" w:rsidRPr="001C4D2E">
        <w:t xml:space="preserve"> the X</w:t>
      </w:r>
      <w:r w:rsidR="00F2184E">
        <w:t> </w:t>
      </w:r>
      <w:r w:rsidR="001C4D2E" w:rsidRPr="001C4D2E">
        <w:t xml:space="preserve">factor for service i in year t, </w:t>
      </w:r>
      <w:r w:rsidR="00653161">
        <w:t xml:space="preserve">as set out in </w:t>
      </w:r>
      <w:r w:rsidR="00653161">
        <w:fldChar w:fldCharType="begin"/>
      </w:r>
      <w:r w:rsidR="00653161">
        <w:instrText xml:space="preserve"> REF  _Ref430936816 \* Lower \h </w:instrText>
      </w:r>
      <w:r w:rsidR="00653161">
        <w:fldChar w:fldCharType="separate"/>
      </w:r>
      <w:r w:rsidR="009E0EFD">
        <w:t xml:space="preserve">table </w:t>
      </w:r>
      <w:r w:rsidR="009E0EFD">
        <w:rPr>
          <w:noProof/>
        </w:rPr>
        <w:t>16</w:t>
      </w:r>
      <w:r w:rsidR="009E0EFD">
        <w:t>.</w:t>
      </w:r>
      <w:r w:rsidR="009E0EFD">
        <w:rPr>
          <w:noProof/>
        </w:rPr>
        <w:t>1</w:t>
      </w:r>
      <w:r w:rsidR="00653161">
        <w:fldChar w:fldCharType="end"/>
      </w:r>
      <w:r w:rsidR="00653161">
        <w:t>.</w:t>
      </w:r>
      <w:r w:rsidR="00653161">
        <w:rPr>
          <w:rStyle w:val="FootnoteReference"/>
        </w:rPr>
        <w:footnoteReference w:id="11"/>
      </w:r>
    </w:p>
    <w:p w:rsidR="001C4D2E" w:rsidRDefault="001C4D2E" w:rsidP="001C4D2E">
      <w:pPr>
        <w:pStyle w:val="Caption"/>
      </w:pPr>
      <w:bookmarkStart w:id="16" w:name="_Ref430936816"/>
      <w:proofErr w:type="gramStart"/>
      <w:r>
        <w:t xml:space="preserve">Table </w:t>
      </w:r>
      <w:proofErr w:type="gramEnd"/>
      <w:r w:rsidR="006A670B">
        <w:fldChar w:fldCharType="begin"/>
      </w:r>
      <w:r w:rsidR="006A670B">
        <w:instrText xml:space="preserve"> STYLEREF 1 \s </w:instrText>
      </w:r>
      <w:r w:rsidR="006A670B">
        <w:fldChar w:fldCharType="separate"/>
      </w:r>
      <w:r w:rsidR="009E0EFD">
        <w:rPr>
          <w:noProof/>
        </w:rPr>
        <w:t>16</w:t>
      </w:r>
      <w:r w:rsidR="006A670B">
        <w:fldChar w:fldCharType="end"/>
      </w:r>
      <w:proofErr w:type="gramStart"/>
      <w:r w:rsidR="006A670B">
        <w:t>.</w:t>
      </w:r>
      <w:proofErr w:type="gramEnd"/>
      <w:r w:rsidR="006A670B">
        <w:fldChar w:fldCharType="begin"/>
      </w:r>
      <w:r w:rsidR="006A670B">
        <w:instrText xml:space="preserve"> SEQ Table \* ARABIC \s 1 </w:instrText>
      </w:r>
      <w:r w:rsidR="006A670B">
        <w:fldChar w:fldCharType="separate"/>
      </w:r>
      <w:r w:rsidR="009E0EFD">
        <w:rPr>
          <w:noProof/>
        </w:rPr>
        <w:t>1</w:t>
      </w:r>
      <w:r w:rsidR="006A670B">
        <w:fldChar w:fldCharType="end"/>
      </w:r>
      <w:bookmarkEnd w:id="16"/>
      <w:r>
        <w:t xml:space="preserve"> AER preliminary decision on X factors for each year of the 2016–20 regulatory control period (per cent)</w:t>
      </w:r>
    </w:p>
    <w:tbl>
      <w:tblPr>
        <w:tblStyle w:val="AERtable-numbers"/>
        <w:tblW w:w="0" w:type="auto"/>
        <w:tblLook w:val="04A0" w:firstRow="1" w:lastRow="0" w:firstColumn="1" w:lastColumn="0" w:noHBand="0" w:noVBand="1"/>
      </w:tblPr>
      <w:tblGrid>
        <w:gridCol w:w="1738"/>
        <w:gridCol w:w="1738"/>
        <w:gridCol w:w="1739"/>
        <w:gridCol w:w="1739"/>
        <w:gridCol w:w="1739"/>
      </w:tblGrid>
      <w:tr w:rsidR="001C4D2E" w:rsidTr="001C4D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1C4D2E" w:rsidRDefault="001C4D2E" w:rsidP="001C4D2E"/>
        </w:tc>
        <w:tc>
          <w:tcPr>
            <w:tcW w:w="1738" w:type="dxa"/>
          </w:tcPr>
          <w:p w:rsidR="001C4D2E" w:rsidRDefault="001C4D2E" w:rsidP="001C4D2E">
            <w:pPr>
              <w:cnfStyle w:val="100000000000" w:firstRow="1" w:lastRow="0" w:firstColumn="0" w:lastColumn="0" w:oddVBand="0" w:evenVBand="0" w:oddHBand="0" w:evenHBand="0" w:firstRowFirstColumn="0" w:firstRowLastColumn="0" w:lastRowFirstColumn="0" w:lastRowLastColumn="0"/>
            </w:pPr>
            <w:r>
              <w:t>2017</w:t>
            </w:r>
          </w:p>
        </w:tc>
        <w:tc>
          <w:tcPr>
            <w:tcW w:w="1739" w:type="dxa"/>
          </w:tcPr>
          <w:p w:rsidR="001C4D2E" w:rsidRDefault="001C4D2E" w:rsidP="001C4D2E">
            <w:pPr>
              <w:cnfStyle w:val="100000000000" w:firstRow="1" w:lastRow="0" w:firstColumn="0" w:lastColumn="0" w:oddVBand="0" w:evenVBand="0" w:oddHBand="0" w:evenHBand="0" w:firstRowFirstColumn="0" w:firstRowLastColumn="0" w:lastRowFirstColumn="0" w:lastRowLastColumn="0"/>
            </w:pPr>
            <w:r>
              <w:t>2018</w:t>
            </w:r>
          </w:p>
        </w:tc>
        <w:tc>
          <w:tcPr>
            <w:tcW w:w="1739" w:type="dxa"/>
          </w:tcPr>
          <w:p w:rsidR="001C4D2E" w:rsidRDefault="001C4D2E" w:rsidP="001C4D2E">
            <w:pPr>
              <w:cnfStyle w:val="100000000000" w:firstRow="1" w:lastRow="0" w:firstColumn="0" w:lastColumn="0" w:oddVBand="0" w:evenVBand="0" w:oddHBand="0" w:evenHBand="0" w:firstRowFirstColumn="0" w:firstRowLastColumn="0" w:lastRowFirstColumn="0" w:lastRowLastColumn="0"/>
            </w:pPr>
            <w:r>
              <w:t>2019</w:t>
            </w:r>
          </w:p>
        </w:tc>
        <w:tc>
          <w:tcPr>
            <w:tcW w:w="1739" w:type="dxa"/>
          </w:tcPr>
          <w:p w:rsidR="001C4D2E" w:rsidRDefault="001C4D2E" w:rsidP="001C4D2E">
            <w:pPr>
              <w:cnfStyle w:val="100000000000" w:firstRow="1" w:lastRow="0" w:firstColumn="0" w:lastColumn="0" w:oddVBand="0" w:evenVBand="0" w:oddHBand="0" w:evenHBand="0" w:firstRowFirstColumn="0" w:firstRowLastColumn="0" w:lastRowFirstColumn="0" w:lastRowLastColumn="0"/>
            </w:pPr>
            <w:r>
              <w:t>2020</w:t>
            </w:r>
          </w:p>
        </w:tc>
      </w:tr>
      <w:tr w:rsidR="001C4D2E" w:rsidTr="001C4D2E">
        <w:tc>
          <w:tcPr>
            <w:cnfStyle w:val="001000000000" w:firstRow="0" w:lastRow="0" w:firstColumn="1" w:lastColumn="0" w:oddVBand="0" w:evenVBand="0" w:oddHBand="0" w:evenHBand="0" w:firstRowFirstColumn="0" w:firstRowLastColumn="0" w:lastRowFirstColumn="0" w:lastRowLastColumn="0"/>
            <w:tcW w:w="1738" w:type="dxa"/>
          </w:tcPr>
          <w:p w:rsidR="001C4D2E" w:rsidRDefault="001C4D2E" w:rsidP="001C4D2E">
            <w:r>
              <w:t>X factor</w:t>
            </w:r>
          </w:p>
        </w:tc>
        <w:tc>
          <w:tcPr>
            <w:tcW w:w="1738" w:type="dxa"/>
          </w:tcPr>
          <w:p w:rsidR="001C4D2E" w:rsidRDefault="001C4D2E" w:rsidP="001C4D2E">
            <w:pPr>
              <w:cnfStyle w:val="000000000000" w:firstRow="0" w:lastRow="0" w:firstColumn="0" w:lastColumn="0" w:oddVBand="0" w:evenVBand="0" w:oddHBand="0" w:evenHBand="0" w:firstRowFirstColumn="0" w:firstRowLastColumn="0" w:lastRowFirstColumn="0" w:lastRowLastColumn="0"/>
            </w:pPr>
            <w:r>
              <w:t>–0.80</w:t>
            </w:r>
          </w:p>
        </w:tc>
        <w:tc>
          <w:tcPr>
            <w:tcW w:w="1739" w:type="dxa"/>
          </w:tcPr>
          <w:p w:rsidR="001C4D2E" w:rsidRDefault="001C4D2E" w:rsidP="001C4D2E">
            <w:pPr>
              <w:cnfStyle w:val="000000000000" w:firstRow="0" w:lastRow="0" w:firstColumn="0" w:lastColumn="0" w:oddVBand="0" w:evenVBand="0" w:oddHBand="0" w:evenHBand="0" w:firstRowFirstColumn="0" w:firstRowLastColumn="0" w:lastRowFirstColumn="0" w:lastRowLastColumn="0"/>
            </w:pPr>
            <w:r>
              <w:t>–1.28</w:t>
            </w:r>
          </w:p>
        </w:tc>
        <w:tc>
          <w:tcPr>
            <w:tcW w:w="1739" w:type="dxa"/>
          </w:tcPr>
          <w:p w:rsidR="001C4D2E" w:rsidRDefault="001C4D2E" w:rsidP="001C4D2E">
            <w:pPr>
              <w:cnfStyle w:val="000000000000" w:firstRow="0" w:lastRow="0" w:firstColumn="0" w:lastColumn="0" w:oddVBand="0" w:evenVBand="0" w:oddHBand="0" w:evenHBand="0" w:firstRowFirstColumn="0" w:firstRowLastColumn="0" w:lastRowFirstColumn="0" w:lastRowLastColumn="0"/>
            </w:pPr>
            <w:r>
              <w:t>–1.48</w:t>
            </w:r>
          </w:p>
        </w:tc>
        <w:tc>
          <w:tcPr>
            <w:tcW w:w="1739" w:type="dxa"/>
          </w:tcPr>
          <w:p w:rsidR="001C4D2E" w:rsidRDefault="001C4D2E" w:rsidP="001C4D2E">
            <w:pPr>
              <w:cnfStyle w:val="000000000000" w:firstRow="0" w:lastRow="0" w:firstColumn="0" w:lastColumn="0" w:oddVBand="0" w:evenVBand="0" w:oddHBand="0" w:evenHBand="0" w:firstRowFirstColumn="0" w:firstRowLastColumn="0" w:lastRowFirstColumn="0" w:lastRowLastColumn="0"/>
            </w:pPr>
            <w:r>
              <w:t>–1.37</w:t>
            </w:r>
          </w:p>
        </w:tc>
      </w:tr>
    </w:tbl>
    <w:p w:rsidR="001C4D2E" w:rsidRPr="004D48E1" w:rsidRDefault="001C4D2E" w:rsidP="001C4D2E">
      <w:pPr>
        <w:pStyle w:val="AERtablesource"/>
        <w:rPr>
          <w:rStyle w:val="CommentReference"/>
        </w:rPr>
      </w:pPr>
      <w:r w:rsidRPr="004D48E1">
        <w:rPr>
          <w:rStyle w:val="CommentReference"/>
        </w:rPr>
        <w:t xml:space="preserve">Source: </w:t>
      </w:r>
      <w:r w:rsidRPr="004D48E1">
        <w:rPr>
          <w:rStyle w:val="CommentReference"/>
        </w:rPr>
        <w:tab/>
        <w:t>AER analysis.</w:t>
      </w:r>
    </w:p>
    <w:p w:rsidR="001C4D2E" w:rsidRPr="001C4D2E" w:rsidRDefault="001C4D2E" w:rsidP="001C4D2E">
      <w:pPr>
        <w:pStyle w:val="AERtablesource"/>
      </w:pPr>
      <w:r w:rsidRPr="004D48E1">
        <w:rPr>
          <w:rStyle w:val="CommentReference"/>
        </w:rPr>
        <w:t>Note:</w:t>
      </w:r>
      <w:r w:rsidRPr="004D48E1">
        <w:rPr>
          <w:rStyle w:val="CommentReference"/>
        </w:rPr>
        <w:tab/>
      </w:r>
      <w:r w:rsidR="00653161" w:rsidRPr="00653161">
        <w:rPr>
          <w:rStyle w:val="CommentReference"/>
        </w:rPr>
        <w:t>To be clear, the labour price growth is positive for each year of the regulatory control period. However, in operating as de facto X factors in the price caps, positive labour price growth is presented as a negative value.</w:t>
      </w:r>
    </w:p>
    <w:p w:rsidR="001C4D2E" w:rsidRDefault="001C4D2E" w:rsidP="001C4D2E">
      <w:pPr>
        <w:pStyle w:val="HeadingBoldBlue"/>
      </w:pPr>
      <w:r>
        <w:t>Form of control — quoted services</w:t>
      </w:r>
    </w:p>
    <w:p w:rsidR="001C4D2E" w:rsidRPr="001C4D2E" w:rsidRDefault="001C4D2E" w:rsidP="001C4D2E">
      <w:r w:rsidRPr="001C4D2E">
        <w:t>Our preliminary decision applies a formula to determine the cost build-up of services that are priced on a ‘quoted’ basis.</w:t>
      </w:r>
      <w:r w:rsidRPr="001C4D2E">
        <w:rPr>
          <w:rStyle w:val="FootnoteReference"/>
        </w:rPr>
        <w:footnoteReference w:id="12"/>
      </w:r>
      <w:r w:rsidRPr="001C4D2E">
        <w:t xml:space="preserve"> </w:t>
      </w:r>
      <w:r w:rsidR="00F2184E">
        <w:fldChar w:fldCharType="begin"/>
      </w:r>
      <w:r w:rsidR="00F2184E">
        <w:instrText xml:space="preserve"> REF _Ref430952706 \h </w:instrText>
      </w:r>
      <w:r w:rsidR="00F2184E">
        <w:fldChar w:fldCharType="separate"/>
      </w:r>
      <w:r w:rsidR="009E0EFD">
        <w:t xml:space="preserve">Figure </w:t>
      </w:r>
      <w:r w:rsidR="009E0EFD">
        <w:rPr>
          <w:noProof/>
        </w:rPr>
        <w:t>16</w:t>
      </w:r>
      <w:r w:rsidR="009E0EFD">
        <w:t>.</w:t>
      </w:r>
      <w:r w:rsidR="009E0EFD">
        <w:rPr>
          <w:noProof/>
        </w:rPr>
        <w:t>2</w:t>
      </w:r>
      <w:r w:rsidR="00F2184E">
        <w:fldChar w:fldCharType="end"/>
      </w:r>
      <w:r w:rsidR="00F2184E">
        <w:t xml:space="preserve"> sets out the price cap formula and </w:t>
      </w:r>
      <w:r w:rsidR="00F2184E">
        <w:fldChar w:fldCharType="begin"/>
      </w:r>
      <w:r w:rsidR="00F2184E">
        <w:instrText xml:space="preserve"> REF  _Ref430935737 \* Lower \h </w:instrText>
      </w:r>
      <w:r w:rsidR="00F2184E">
        <w:fldChar w:fldCharType="separate"/>
      </w:r>
      <w:r w:rsidR="009E0EFD">
        <w:t xml:space="preserve">table </w:t>
      </w:r>
      <w:r w:rsidR="009E0EFD">
        <w:rPr>
          <w:noProof/>
        </w:rPr>
        <w:t>16</w:t>
      </w:r>
      <w:r w:rsidR="009E0EFD">
        <w:t>.</w:t>
      </w:r>
      <w:r w:rsidR="009E0EFD">
        <w:rPr>
          <w:noProof/>
        </w:rPr>
        <w:t>19</w:t>
      </w:r>
      <w:r w:rsidR="00F2184E">
        <w:fldChar w:fldCharType="end"/>
      </w:r>
      <w:r w:rsidRPr="001C4D2E">
        <w:t xml:space="preserve"> in appendix </w:t>
      </w:r>
      <w:r w:rsidR="00F2184E">
        <w:fldChar w:fldCharType="begin"/>
      </w:r>
      <w:r w:rsidR="00F2184E">
        <w:instrText xml:space="preserve"> REF _Ref430935588 \r \h </w:instrText>
      </w:r>
      <w:r w:rsidR="00F2184E">
        <w:fldChar w:fldCharType="separate"/>
      </w:r>
      <w:proofErr w:type="gramStart"/>
      <w:r w:rsidR="009E0EFD">
        <w:t>A</w:t>
      </w:r>
      <w:proofErr w:type="gramEnd"/>
      <w:r w:rsidR="00F2184E">
        <w:fldChar w:fldCharType="end"/>
      </w:r>
      <w:r w:rsidR="00F2184E">
        <w:t xml:space="preserve"> </w:t>
      </w:r>
      <w:r w:rsidRPr="001C4D2E">
        <w:t>sets out the approved 2016 labour rates for quoted services.</w:t>
      </w:r>
    </w:p>
    <w:p w:rsidR="001C4D2E" w:rsidRDefault="001C4D2E" w:rsidP="001C4D2E">
      <w:pPr>
        <w:pStyle w:val="Caption"/>
      </w:pPr>
      <w:bookmarkStart w:id="17" w:name="_Ref430952706"/>
      <w:proofErr w:type="gramStart"/>
      <w:r>
        <w:t xml:space="preserve">Figure </w:t>
      </w:r>
      <w:proofErr w:type="gramEnd"/>
      <w:r w:rsidR="00E40187">
        <w:fldChar w:fldCharType="begin"/>
      </w:r>
      <w:r w:rsidR="00E40187">
        <w:instrText xml:space="preserve"> STYLEREF 1 \s </w:instrText>
      </w:r>
      <w:r w:rsidR="00E40187">
        <w:fldChar w:fldCharType="separate"/>
      </w:r>
      <w:r w:rsidR="009E0EFD">
        <w:rPr>
          <w:noProof/>
        </w:rPr>
        <w:t>16</w:t>
      </w:r>
      <w:r w:rsidR="00E40187">
        <w:rPr>
          <w:noProof/>
        </w:rPr>
        <w:fldChar w:fldCharType="end"/>
      </w:r>
      <w:proofErr w:type="gramStart"/>
      <w:r w:rsidR="00FB54C5">
        <w:t>.</w:t>
      </w:r>
      <w:proofErr w:type="gramEnd"/>
      <w:r w:rsidR="00E40187">
        <w:fldChar w:fldCharType="begin"/>
      </w:r>
      <w:r w:rsidR="00E40187">
        <w:instrText xml:space="preserve"> SEQ Figure \* ARABIC \s 1 </w:instrText>
      </w:r>
      <w:r w:rsidR="00E40187">
        <w:fldChar w:fldCharType="separate"/>
      </w:r>
      <w:r w:rsidR="009E0EFD">
        <w:rPr>
          <w:noProof/>
        </w:rPr>
        <w:t>2</w:t>
      </w:r>
      <w:r w:rsidR="00E40187">
        <w:rPr>
          <w:noProof/>
        </w:rPr>
        <w:fldChar w:fldCharType="end"/>
      </w:r>
      <w:bookmarkEnd w:id="17"/>
      <w:r>
        <w:t xml:space="preserve"> </w:t>
      </w:r>
      <w:r w:rsidR="00231C7E">
        <w:tab/>
      </w:r>
      <w:r w:rsidR="00231C7E">
        <w:tab/>
      </w:r>
      <w:r>
        <w:t>Quoted services formula</w:t>
      </w:r>
    </w:p>
    <w:p w:rsidR="001C4D2E" w:rsidRPr="001C4D2E" w:rsidRDefault="001C4D2E" w:rsidP="001C4D2E">
      <m:oMathPara>
        <m:oMathParaPr>
          <m:jc m:val="left"/>
        </m:oMathParaPr>
        <m:oMath>
          <m:r>
            <w:rPr>
              <w:rFonts w:ascii="Cambria Math" w:hAnsi="Cambria Math"/>
            </w:rPr>
            <m:t>Price=Labour+Contractor Services+Materials</m:t>
          </m:r>
        </m:oMath>
      </m:oMathPara>
    </w:p>
    <w:p w:rsidR="001C4D2E" w:rsidRPr="001C4D2E" w:rsidRDefault="001C4D2E" w:rsidP="001C4D2E">
      <w:r w:rsidRPr="001C4D2E">
        <w:t>Where:</w:t>
      </w:r>
    </w:p>
    <w:p w:rsidR="001C4D2E" w:rsidRPr="001C4D2E" w:rsidRDefault="001C4D2E" w:rsidP="001C4D2E">
      <m:oMath>
        <m:r>
          <w:rPr>
            <w:rFonts w:ascii="Cambria Math" w:hAnsi="Cambria Math"/>
          </w:rPr>
          <m:t>Labour</m:t>
        </m:r>
      </m:oMath>
      <w:r w:rsidRPr="001C4D2E">
        <w:t xml:space="preserve"> </w:t>
      </w:r>
      <w:proofErr w:type="gramStart"/>
      <w:r w:rsidRPr="001C4D2E">
        <w:t>consists</w:t>
      </w:r>
      <w:proofErr w:type="gramEnd"/>
      <w:r w:rsidRPr="001C4D2E">
        <w:t xml:space="preserve"> of all labour costs directly incurred in the provision of the service which may include labour on-costs, fleet on-costs and overheads. Labour is escalated annually by </w:t>
      </w:r>
      <w:r w:rsidR="001E5B28" w:rsidRPr="001C4D2E">
        <w:t>(1+∆CPI</w:t>
      </w:r>
      <w:r w:rsidR="001E5B28" w:rsidRPr="00EB750F">
        <w:rPr>
          <w:rStyle w:val="AERsubscript"/>
        </w:rPr>
        <w:t>t</w:t>
      </w:r>
      <w:proofErr w:type="gramStart"/>
      <w:r w:rsidR="001E5B28" w:rsidRPr="001C4D2E">
        <w:t>)</w:t>
      </w:r>
      <w:r w:rsidRPr="001C4D2E">
        <w:t>(</w:t>
      </w:r>
      <w:proofErr w:type="gramEnd"/>
      <w:r w:rsidRPr="001C4D2E">
        <w:t>1</w:t>
      </w:r>
      <w:r w:rsidR="00485B76">
        <w:t>–</w:t>
      </w:r>
      <w:r w:rsidRPr="001C4D2E">
        <w:t>X</w:t>
      </w:r>
      <w:r w:rsidRPr="00EB750F">
        <w:rPr>
          <w:rStyle w:val="AERsubscript"/>
        </w:rPr>
        <w:t>t</w:t>
      </w:r>
      <w:r w:rsidRPr="001C4D2E">
        <w:t>)</w:t>
      </w:r>
      <w:r w:rsidR="001E5B28">
        <w:t>,</w:t>
      </w:r>
      <w:r w:rsidRPr="001C4D2E">
        <w:t xml:space="preserve"> where:</w:t>
      </w:r>
    </w:p>
    <w:p w:rsidR="001C4D2E" w:rsidRPr="001C4D2E" w:rsidRDefault="001C4D2E" w:rsidP="001C4D2E">
      <w:pPr>
        <w:pStyle w:val="ListContinue"/>
      </w:pPr>
      <w:r w:rsidRPr="001C4D2E">
        <w:object w:dxaOrig="560" w:dyaOrig="380">
          <v:shape id="_x0000_i1031" type="#_x0000_t75" style="width:29.3pt;height:18.4pt" o:ole="">
            <v:imagedata r:id="rId24" o:title=""/>
          </v:shape>
          <o:OLEObject Type="Embed" ProgID="Equation.3" ShapeID="_x0000_i1031" DrawAspect="Content" ObjectID="_1507446642" r:id="rId25"/>
        </w:object>
      </w:r>
      <w:r w:rsidRPr="001C4D2E">
        <w:t>is the annual percentage change in the ABS CPI All Groups, Weighted Average of Eight Capital Cities</w:t>
      </w:r>
      <w:r w:rsidRPr="001C4D2E">
        <w:footnoteReference w:id="13"/>
      </w:r>
      <w:r w:rsidRPr="001C4D2E">
        <w:t xml:space="preserve"> from the June quarter in year t–2 to the June quarter in year t–1, calculated using the following method:</w:t>
      </w:r>
    </w:p>
    <w:p w:rsidR="001C4D2E" w:rsidRPr="001C4D2E" w:rsidRDefault="001C4D2E" w:rsidP="001C4D2E">
      <w:pPr>
        <w:pStyle w:val="ListContinue2"/>
      </w:pPr>
      <w:r w:rsidRPr="001C4D2E">
        <w:t>The ABS CPI All Groups, Weighted Average of Eight Capital Cities for the June quarter in regulatory year t–1</w:t>
      </w:r>
    </w:p>
    <w:p w:rsidR="001C4D2E" w:rsidRPr="001C4D2E" w:rsidRDefault="001C4D2E" w:rsidP="001C4D2E">
      <w:pPr>
        <w:pStyle w:val="ListContinue2"/>
      </w:pPr>
      <w:r w:rsidRPr="001C4D2E">
        <w:t>divided by</w:t>
      </w:r>
    </w:p>
    <w:p w:rsidR="001C4D2E" w:rsidRPr="001C4D2E" w:rsidRDefault="001C4D2E" w:rsidP="001C4D2E">
      <w:pPr>
        <w:pStyle w:val="ListContinue2"/>
      </w:pPr>
      <w:r w:rsidRPr="001C4D2E">
        <w:t>The ABS CPI All Groups, Weighted Average of Eight Capital Cities for the June quarter in regulatory year t–2</w:t>
      </w:r>
    </w:p>
    <w:p w:rsidR="001C4D2E" w:rsidRDefault="001C4D2E" w:rsidP="001C4D2E">
      <w:pPr>
        <w:pStyle w:val="ListContinue2"/>
      </w:pPr>
      <w:proofErr w:type="gramStart"/>
      <w:r w:rsidRPr="001C4D2E">
        <w:t>minus</w:t>
      </w:r>
      <w:proofErr w:type="gramEnd"/>
      <w:r w:rsidRPr="001C4D2E">
        <w:t xml:space="preserve"> one.</w:t>
      </w:r>
    </w:p>
    <w:p w:rsidR="001E5B28" w:rsidRPr="001C4D2E" w:rsidRDefault="001E5B28" w:rsidP="001E5B28">
      <w:pPr>
        <w:pStyle w:val="ListContinue"/>
      </w:pPr>
      <w:r w:rsidRPr="001C4D2E">
        <w:t>For example, for the 2017 year, t–2 is the June quarter 2015 and t–1 is the June quarter 2016 and in the 2018 year, t–2 is the June quarter 2016 and t–1 is the June quarter 2017 and so on.</w:t>
      </w:r>
    </w:p>
    <w:p w:rsidR="001E5B28" w:rsidRPr="001C4D2E" w:rsidRDefault="00354CAA" w:rsidP="001E5B28">
      <w:pPr>
        <w:pStyle w:val="ListContinue"/>
      </w:pPr>
      <w:r w:rsidRPr="00354CAA">
        <w:rPr>
          <w:position w:val="-12"/>
        </w:rPr>
        <w:object w:dxaOrig="340" w:dyaOrig="380">
          <v:shape id="_x0000_i1032" type="#_x0000_t75" style="width:18.4pt;height:18.4pt" o:ole="">
            <v:imagedata r:id="rId26" o:title=""/>
          </v:shape>
          <o:OLEObject Type="Embed" ProgID="Equation.3" ShapeID="_x0000_i1032" DrawAspect="Content" ObjectID="_1507446643" r:id="rId27"/>
        </w:object>
      </w:r>
      <w:r w:rsidR="001E5B28" w:rsidRPr="001C4D2E">
        <w:t xml:space="preserve"> </w:t>
      </w:r>
      <w:proofErr w:type="gramStart"/>
      <w:r w:rsidR="001E5B28" w:rsidRPr="001C4D2E">
        <w:t>is</w:t>
      </w:r>
      <w:proofErr w:type="gramEnd"/>
      <w:r w:rsidR="001E5B28" w:rsidRPr="001C4D2E">
        <w:t xml:space="preserve"> the X factor for service i in year t, as set out in </w:t>
      </w:r>
      <w:r w:rsidR="001E5B28">
        <w:fldChar w:fldCharType="begin"/>
      </w:r>
      <w:r w:rsidR="001E5B28">
        <w:instrText xml:space="preserve"> REF  _Ref430936816 \* Lower \h </w:instrText>
      </w:r>
      <w:r w:rsidR="001E5B28">
        <w:fldChar w:fldCharType="separate"/>
      </w:r>
      <w:r w:rsidR="009E0EFD">
        <w:t xml:space="preserve">table </w:t>
      </w:r>
      <w:r w:rsidR="009E0EFD">
        <w:rPr>
          <w:noProof/>
        </w:rPr>
        <w:t>16</w:t>
      </w:r>
      <w:r w:rsidR="009E0EFD">
        <w:t>.</w:t>
      </w:r>
      <w:r w:rsidR="009E0EFD">
        <w:rPr>
          <w:noProof/>
        </w:rPr>
        <w:t>1</w:t>
      </w:r>
      <w:r w:rsidR="001E5B28">
        <w:fldChar w:fldCharType="end"/>
      </w:r>
      <w:r w:rsidR="001E5B28">
        <w:t>.</w:t>
      </w:r>
      <w:r w:rsidR="00C52A8D">
        <w:rPr>
          <w:rStyle w:val="FootnoteReference"/>
        </w:rPr>
        <w:footnoteReference w:id="14"/>
      </w:r>
    </w:p>
    <w:p w:rsidR="001C4D2E" w:rsidRPr="001C4D2E" w:rsidRDefault="001C4D2E" w:rsidP="001C4D2E">
      <m:oMath>
        <m:r>
          <w:rPr>
            <w:rFonts w:ascii="Cambria Math" w:hAnsi="Cambria Math"/>
          </w:rPr>
          <m:t xml:space="preserve">Contractor Services </m:t>
        </m:r>
      </m:oMath>
      <w:r w:rsidRPr="001C4D2E">
        <w:tab/>
      </w:r>
      <w:proofErr w:type="gramStart"/>
      <w:r w:rsidRPr="001C4D2E">
        <w:t>reflect</w:t>
      </w:r>
      <w:proofErr w:type="gramEnd"/>
      <w:r w:rsidRPr="001C4D2E">
        <w:t xml:space="preserve"> all costs associated with the use of external labour including overheads and any direct costs incurred. The contracted services charge applies the rates under existing contractual arrangements. Direct costs incurred are passed on to the customer.</w:t>
      </w:r>
    </w:p>
    <w:p w:rsidR="001C4D2E" w:rsidRDefault="001C4D2E" w:rsidP="001C4D2E">
      <m:oMath>
        <m:r>
          <w:rPr>
            <w:rFonts w:ascii="Cambria Math" w:hAnsi="Cambria Math"/>
          </w:rPr>
          <m:t>Materials</m:t>
        </m:r>
      </m:oMath>
      <w:r w:rsidRPr="001C4D2E">
        <w:tab/>
      </w:r>
      <w:proofErr w:type="gramStart"/>
      <w:r w:rsidRPr="001C4D2E">
        <w:t>reflect</w:t>
      </w:r>
      <w:proofErr w:type="gramEnd"/>
      <w:r w:rsidRPr="001C4D2E">
        <w:t xml:space="preserve"> the cost of materials directly incurred in the provision of the service, material storage and logistics on-costs and overheads.</w:t>
      </w:r>
    </w:p>
    <w:p w:rsidR="001C4D2E" w:rsidRPr="001C4D2E" w:rsidRDefault="002C5243" w:rsidP="002C5243">
      <w:pPr>
        <w:pStyle w:val="Heading3"/>
      </w:pPr>
      <w:bookmarkStart w:id="18" w:name="_Ref431551048"/>
      <w:bookmarkStart w:id="19" w:name="_Toc433704556"/>
      <w:r>
        <w:t>AusNet Services' proposal</w:t>
      </w:r>
      <w:bookmarkEnd w:id="18"/>
      <w:bookmarkEnd w:id="19"/>
    </w:p>
    <w:p w:rsidR="009869F8" w:rsidRDefault="00EB750F" w:rsidP="00BE65D4">
      <w:r>
        <w:t>AusNet Services</w:t>
      </w:r>
      <w:r w:rsidR="00BE65D4" w:rsidRPr="00BE65D4">
        <w:t xml:space="preserve"> </w:t>
      </w:r>
      <w:r>
        <w:t>proposed</w:t>
      </w:r>
      <w:r w:rsidR="00BE65D4" w:rsidRPr="00BE65D4">
        <w:t xml:space="preserve"> a method</w:t>
      </w:r>
      <w:r w:rsidR="00E60945">
        <w:t xml:space="preserve"> largely based</w:t>
      </w:r>
      <w:r w:rsidR="001B7AB7">
        <w:t xml:space="preserve"> on</w:t>
      </w:r>
      <w:r w:rsidR="00E60945">
        <w:t xml:space="preserve"> its</w:t>
      </w:r>
      <w:r>
        <w:t xml:space="preserve"> contractor costs</w:t>
      </w:r>
      <w:r w:rsidR="00BE65D4" w:rsidRPr="00BE65D4">
        <w:t xml:space="preserve"> to establish initial prices (or base prices) for fee based ancillary network services in the first year of the 2016–20 regulatory control </w:t>
      </w:r>
      <w:proofErr w:type="gramStart"/>
      <w:r w:rsidR="00BE65D4" w:rsidRPr="00BE65D4">
        <w:t>period</w:t>
      </w:r>
      <w:proofErr w:type="gramEnd"/>
      <w:r w:rsidR="00BE65D4" w:rsidRPr="00BE65D4">
        <w:t>.</w:t>
      </w:r>
      <w:r w:rsidR="00BE65D4" w:rsidRPr="00BE65D4">
        <w:rPr>
          <w:rStyle w:val="FootnoteReference"/>
        </w:rPr>
        <w:footnoteReference w:id="15"/>
      </w:r>
      <w:r>
        <w:t xml:space="preserve"> </w:t>
      </w:r>
      <w:r w:rsidR="001B7AB7">
        <w:t>This method</w:t>
      </w:r>
      <w:r w:rsidR="009869F8">
        <w:t xml:space="preserve"> starts by</w:t>
      </w:r>
      <w:r w:rsidR="001B7AB7">
        <w:t xml:space="preserve"> </w:t>
      </w:r>
      <w:r w:rsidR="009869F8">
        <w:t>applying</w:t>
      </w:r>
      <w:r w:rsidR="00951C45">
        <w:t xml:space="preserve"> </w:t>
      </w:r>
      <w:r w:rsidR="001B7AB7">
        <w:t>AusNet</w:t>
      </w:r>
      <w:r w:rsidR="009869F8">
        <w:t> </w:t>
      </w:r>
      <w:r w:rsidR="001B7AB7">
        <w:t>Services' contractor costs in the distributors' central region where it outsources the provision of its services</w:t>
      </w:r>
      <w:r w:rsidR="00951C45">
        <w:t xml:space="preserve">. </w:t>
      </w:r>
      <w:r w:rsidR="00FD4C2C">
        <w:t xml:space="preserve">The method </w:t>
      </w:r>
      <w:r w:rsidR="00B9362D">
        <w:t>then</w:t>
      </w:r>
      <w:r w:rsidR="001B7AB7">
        <w:t xml:space="preserve"> scales these</w:t>
      </w:r>
      <w:r w:rsidR="00B56944">
        <w:t xml:space="preserve"> contractor</w:t>
      </w:r>
      <w:r w:rsidR="00B9362D">
        <w:t xml:space="preserve"> costs</w:t>
      </w:r>
      <w:r w:rsidR="001B7AB7">
        <w:t xml:space="preserve"> to the other regions of its network where AusNet Services</w:t>
      </w:r>
      <w:r w:rsidR="00B9362D">
        <w:t xml:space="preserve"> is responsible for the provision of these services.</w:t>
      </w:r>
    </w:p>
    <w:p w:rsidR="00BE65D4" w:rsidRPr="00BE65D4" w:rsidRDefault="00EB750F" w:rsidP="00BE65D4">
      <w:r>
        <w:t>For its quoted services, AusNet</w:t>
      </w:r>
      <w:r w:rsidR="00B9362D">
        <w:t> </w:t>
      </w:r>
      <w:r>
        <w:t>Services</w:t>
      </w:r>
      <w:r w:rsidR="00BE65D4" w:rsidRPr="00BE65D4">
        <w:t xml:space="preserve"> proposed total labour rates based on</w:t>
      </w:r>
      <w:r w:rsidR="009869F8">
        <w:t xml:space="preserve"> historic </w:t>
      </w:r>
      <w:r w:rsidR="00BE65D4" w:rsidRPr="00BE65D4">
        <w:t>labour r</w:t>
      </w:r>
      <w:r w:rsidR="009869F8">
        <w:t>ates adjusted for escalation</w:t>
      </w:r>
      <w:r w:rsidR="00BE65D4" w:rsidRPr="00BE65D4">
        <w:t>.</w:t>
      </w:r>
      <w:r w:rsidR="00BE65D4" w:rsidRPr="00B562A4">
        <w:rPr>
          <w:rStyle w:val="FootnoteReference"/>
        </w:rPr>
        <w:footnoteReference w:id="16"/>
      </w:r>
    </w:p>
    <w:p w:rsidR="00BE65D4" w:rsidRPr="00BE65D4" w:rsidRDefault="002E0E5A" w:rsidP="00BE65D4">
      <w:r>
        <w:t>AusNet Services</w:t>
      </w:r>
      <w:r w:rsidR="00BE65D4" w:rsidRPr="00BE65D4">
        <w:t xml:space="preserve"> assumed the price caps will operate in the following way for fee based services:</w:t>
      </w:r>
      <w:r w:rsidR="002F183A">
        <w:rPr>
          <w:rStyle w:val="FootnoteReference"/>
        </w:rPr>
        <w:footnoteReference w:id="17"/>
      </w:r>
    </w:p>
    <w:p w:rsidR="00BE65D4" w:rsidRPr="00BE65D4" w:rsidRDefault="00BE65D4" w:rsidP="002E0E5A">
      <w:pPr>
        <w:pStyle w:val="AERbulletlistfirststyle"/>
      </w:pPr>
      <w:r w:rsidRPr="00BE65D4">
        <w:t>The initial price (or base price) will be set for each service in the first year of the regulatory control period.</w:t>
      </w:r>
    </w:p>
    <w:p w:rsidR="00BE65D4" w:rsidRPr="00BE65D4" w:rsidRDefault="00BE65D4" w:rsidP="002E0E5A">
      <w:pPr>
        <w:pStyle w:val="AERbulletlistfirststyle"/>
      </w:pPr>
      <w:r w:rsidRPr="00BE65D4">
        <w:t>From year two onwards of the regulatory control period, services will be subject to the price caps using the controls provided in the</w:t>
      </w:r>
      <w:r w:rsidR="00B56944">
        <w:t xml:space="preserve"> price cap</w:t>
      </w:r>
      <w:r w:rsidRPr="00BE65D4">
        <w:t xml:space="preserve"> formula in</w:t>
      </w:r>
      <w:r w:rsidR="00FD4C2C">
        <w:t xml:space="preserve"> </w:t>
      </w:r>
      <w:r w:rsidR="00FD4C2C">
        <w:fldChar w:fldCharType="begin"/>
      </w:r>
      <w:r w:rsidR="00FD4C2C">
        <w:instrText xml:space="preserve"> REF  _Ref430942825 \* Lower \h </w:instrText>
      </w:r>
      <w:r w:rsidR="00FD4C2C">
        <w:fldChar w:fldCharType="separate"/>
      </w:r>
      <w:r w:rsidR="009E0EFD">
        <w:t xml:space="preserve">figure </w:t>
      </w:r>
      <w:r w:rsidR="009E0EFD">
        <w:rPr>
          <w:noProof/>
        </w:rPr>
        <w:t>16</w:t>
      </w:r>
      <w:r w:rsidR="009E0EFD">
        <w:t>.</w:t>
      </w:r>
      <w:r w:rsidR="009E0EFD">
        <w:rPr>
          <w:noProof/>
        </w:rPr>
        <w:t>1</w:t>
      </w:r>
      <w:r w:rsidR="00FD4C2C">
        <w:fldChar w:fldCharType="end"/>
      </w:r>
      <w:r w:rsidRPr="00BE65D4">
        <w:t>.</w:t>
      </w:r>
    </w:p>
    <w:p w:rsidR="00BE65D4" w:rsidRPr="00BE65D4" w:rsidRDefault="00BE65D4" w:rsidP="002E0E5A">
      <w:pPr>
        <w:pStyle w:val="AERbulletlistfirststyle"/>
      </w:pPr>
      <w:r w:rsidRPr="00BE65D4">
        <w:t>The price cap formula allows pri</w:t>
      </w:r>
      <w:r w:rsidR="002F183A">
        <w:t xml:space="preserve">ces to be annually adjusted for </w:t>
      </w:r>
      <w:r w:rsidRPr="00BE65D4">
        <w:t>inflation</w:t>
      </w:r>
      <w:r w:rsidR="002F183A">
        <w:t>.</w:t>
      </w:r>
    </w:p>
    <w:p w:rsidR="00BE65D4" w:rsidRPr="00BE65D4" w:rsidRDefault="00BE65D4" w:rsidP="00BE65D4">
      <w:r w:rsidRPr="00BE65D4">
        <w:t>The result of the above essentially limits the annual movement in prices to an annual adjustment or escalation. This is primarily driven by changes in CPI and other changes to underlying cost drivers for different services.</w:t>
      </w:r>
    </w:p>
    <w:p w:rsidR="00894019" w:rsidRDefault="00894019">
      <w:pPr>
        <w:spacing w:line="240" w:lineRule="auto"/>
        <w:rPr>
          <w:rFonts w:eastAsiaTheme="majorEastAsia" w:cstheme="majorBidi"/>
          <w:b/>
          <w:bCs/>
          <w:color w:val="70635A" w:themeColor="text2"/>
          <w:sz w:val="28"/>
        </w:rPr>
      </w:pPr>
      <w:bookmarkStart w:id="20" w:name="_Ref431485923"/>
      <w:r>
        <w:br w:type="page"/>
      </w:r>
    </w:p>
    <w:p w:rsidR="002C5243" w:rsidRDefault="002C5243" w:rsidP="002C5243">
      <w:pPr>
        <w:pStyle w:val="Heading3"/>
      </w:pPr>
      <w:bookmarkStart w:id="21" w:name="_Toc433704557"/>
      <w:r>
        <w:t>Assessment approach</w:t>
      </w:r>
      <w:bookmarkEnd w:id="20"/>
      <w:bookmarkEnd w:id="21"/>
    </w:p>
    <w:p w:rsidR="002C5243" w:rsidRPr="00C31DC4" w:rsidRDefault="002C5243" w:rsidP="002C5243">
      <w:r w:rsidRPr="00C31DC4">
        <w:t>We have focused on the key inputs in determining prices for ancillary network services. We considered:</w:t>
      </w:r>
    </w:p>
    <w:p w:rsidR="002C5243" w:rsidRPr="00C31DC4" w:rsidRDefault="00237E2E" w:rsidP="002C5243">
      <w:pPr>
        <w:pStyle w:val="AERbulletlistfirststyle"/>
      </w:pPr>
      <w:r>
        <w:t>AusNet Service</w:t>
      </w:r>
      <w:r w:rsidR="002C5243" w:rsidRPr="00C31DC4">
        <w:t>s</w:t>
      </w:r>
      <w:r>
        <w:t>'</w:t>
      </w:r>
      <w:r w:rsidR="002C5243" w:rsidRPr="00C31DC4">
        <w:t xml:space="preserve"> regulatory proposal</w:t>
      </w:r>
      <w:r w:rsidR="002C5243" w:rsidRPr="00C31DC4">
        <w:rPr>
          <w:rStyle w:val="FootnoteReference"/>
        </w:rPr>
        <w:footnoteReference w:id="18"/>
      </w:r>
      <w:r w:rsidR="002C5243" w:rsidRPr="00C31DC4">
        <w:t xml:space="preserve"> </w:t>
      </w:r>
    </w:p>
    <w:p w:rsidR="002C5243" w:rsidRPr="00C31DC4" w:rsidRDefault="002C5243" w:rsidP="002C5243">
      <w:pPr>
        <w:pStyle w:val="AERbulletlistfirststyle"/>
      </w:pPr>
      <w:proofErr w:type="gramStart"/>
      <w:r>
        <w:t>m</w:t>
      </w:r>
      <w:r w:rsidRPr="00C31DC4">
        <w:t>aximum</w:t>
      </w:r>
      <w:proofErr w:type="gramEnd"/>
      <w:r w:rsidRPr="00C31DC4">
        <w:t xml:space="preserve"> total labour rates we developed</w:t>
      </w:r>
      <w:r>
        <w:t xml:space="preserve"> for Victoria</w:t>
      </w:r>
      <w:r w:rsidRPr="00C31DC4">
        <w:t xml:space="preserve">. </w:t>
      </w:r>
      <w:r>
        <w:t>O</w:t>
      </w:r>
      <w:r w:rsidRPr="00C31DC4">
        <w:t xml:space="preserve">ur findings </w:t>
      </w:r>
      <w:r>
        <w:t xml:space="preserve">are </w:t>
      </w:r>
      <w:r w:rsidR="00DE23C4">
        <w:t>informed by</w:t>
      </w:r>
      <w:r w:rsidRPr="00C31DC4">
        <w:t xml:space="preserve"> our consultant, Marsden Jacob</w:t>
      </w:r>
      <w:r>
        <w:t xml:space="preserve"> Associates', </w:t>
      </w:r>
      <w:r w:rsidRPr="00C31DC4">
        <w:t>analysis</w:t>
      </w:r>
      <w:r w:rsidRPr="00C31DC4">
        <w:rPr>
          <w:rStyle w:val="FootnoteReference"/>
        </w:rPr>
        <w:footnoteReference w:id="19"/>
      </w:r>
    </w:p>
    <w:p w:rsidR="002C5243" w:rsidRDefault="002C5243" w:rsidP="002C5243">
      <w:pPr>
        <w:pStyle w:val="AERbulletlistfirststyle"/>
      </w:pPr>
      <w:proofErr w:type="gramStart"/>
      <w:r w:rsidRPr="00112A2D">
        <w:t>labour</w:t>
      </w:r>
      <w:proofErr w:type="gramEnd"/>
      <w:r w:rsidRPr="00112A2D">
        <w:t xml:space="preserve"> is the key input in determining an efficient level of </w:t>
      </w:r>
      <w:r>
        <w:t>prices</w:t>
      </w:r>
      <w:r w:rsidRPr="00112A2D">
        <w:t xml:space="preserve"> for ancillary network services. </w:t>
      </w:r>
      <w:r>
        <w:t>Therefore, w</w:t>
      </w:r>
      <w:r w:rsidRPr="00112A2D">
        <w:t xml:space="preserve">e focused on comparing </w:t>
      </w:r>
      <w:r w:rsidR="00854B7F">
        <w:t>AusNet Service</w:t>
      </w:r>
      <w:r w:rsidRPr="00112A2D">
        <w:t>s</w:t>
      </w:r>
      <w:r w:rsidR="00854B7F">
        <w:t>'</w:t>
      </w:r>
      <w:r w:rsidRPr="00112A2D">
        <w:t xml:space="preserve"> proposed total labour rates against maximum total labour rates that we developed. In this preliminary decision 'total labour rates' comprise raw labour rates, on-costs and overheads</w:t>
      </w:r>
    </w:p>
    <w:p w:rsidR="002C5243" w:rsidRDefault="002C5243" w:rsidP="002C5243">
      <w:pPr>
        <w:pStyle w:val="AERbulletlistfirststyle"/>
      </w:pPr>
      <w:proofErr w:type="gramStart"/>
      <w:r>
        <w:t>the</w:t>
      </w:r>
      <w:proofErr w:type="gramEnd"/>
      <w:r>
        <w:t xml:space="preserve"> times taken to perform the service, as this is another key input into the final price</w:t>
      </w:r>
      <w:r w:rsidR="009869F8">
        <w:t>.</w:t>
      </w:r>
    </w:p>
    <w:p w:rsidR="002C5243" w:rsidRDefault="002C5243" w:rsidP="002C5243">
      <w:r>
        <w:t xml:space="preserve">We note that </w:t>
      </w:r>
      <w:r w:rsidR="009869F8">
        <w:t xml:space="preserve">AusNet Service </w:t>
      </w:r>
      <w:r>
        <w:t>also used contractors in delivering some of its ancillary network services. In assessing these contractor rates we considered:</w:t>
      </w:r>
    </w:p>
    <w:p w:rsidR="002C5243" w:rsidRDefault="002C5243" w:rsidP="002C5243">
      <w:pPr>
        <w:pStyle w:val="AERbulletlistfirststyle"/>
      </w:pPr>
      <w:r>
        <w:t>the competitiveness of the process in securing the contractor</w:t>
      </w:r>
    </w:p>
    <w:p w:rsidR="002C5243" w:rsidRDefault="002C5243" w:rsidP="002C5243">
      <w:pPr>
        <w:pStyle w:val="AERbulletlistfirststyle"/>
      </w:pPr>
      <w:r>
        <w:t>our maximum total labour rates</w:t>
      </w:r>
    </w:p>
    <w:p w:rsidR="002C5243" w:rsidRDefault="002C5243" w:rsidP="002C5243">
      <w:pPr>
        <w:pStyle w:val="AERbulletlistfirststyle"/>
      </w:pPr>
      <w:r>
        <w:t>contractor rates we have previously approved</w:t>
      </w:r>
    </w:p>
    <w:p w:rsidR="002C5243" w:rsidRPr="00112A2D" w:rsidRDefault="002C5243" w:rsidP="002C5243">
      <w:pPr>
        <w:pStyle w:val="AERbulletlistfirststyle"/>
      </w:pPr>
      <w:proofErr w:type="gramStart"/>
      <w:r>
        <w:t>contractor</w:t>
      </w:r>
      <w:proofErr w:type="gramEnd"/>
      <w:r>
        <w:t xml:space="preserve"> rates used by other Victorian distributors.</w:t>
      </w:r>
    </w:p>
    <w:p w:rsidR="002C5243" w:rsidRPr="00C31DC4" w:rsidRDefault="002C5243" w:rsidP="002C5243">
      <w:r w:rsidRPr="00C31DC4">
        <w:t>Our preliminary decision maximum total labour rates apply the following labour components to arrive at a maximum total labour rate (for particular labour types)</w:t>
      </w:r>
      <w:r w:rsidR="0033284E">
        <w:t>:</w:t>
      </w:r>
      <w:r w:rsidRPr="00C31DC4">
        <w:t xml:space="preserve"> </w:t>
      </w:r>
    </w:p>
    <w:p w:rsidR="002C5243" w:rsidRPr="00C31DC4" w:rsidRDefault="002C5243" w:rsidP="002C5243">
      <w:pPr>
        <w:pStyle w:val="AERbulletlistfirststyle"/>
      </w:pPr>
      <w:r w:rsidRPr="00C31DC4">
        <w:t>a maximum raw labour rate</w:t>
      </w:r>
    </w:p>
    <w:p w:rsidR="002C5243" w:rsidRPr="00C31DC4" w:rsidRDefault="002C5243" w:rsidP="002C5243">
      <w:pPr>
        <w:pStyle w:val="AERbulletlistfirststyle"/>
      </w:pPr>
      <w:r w:rsidRPr="00C31DC4">
        <w:t>a maximum on-cost rate</w:t>
      </w:r>
    </w:p>
    <w:p w:rsidR="002C5243" w:rsidRPr="00C31DC4" w:rsidRDefault="002C5243" w:rsidP="002C5243">
      <w:pPr>
        <w:pStyle w:val="AERbulletlistfirststyle"/>
      </w:pPr>
      <w:proofErr w:type="gramStart"/>
      <w:r w:rsidRPr="00C31DC4">
        <w:t>a</w:t>
      </w:r>
      <w:proofErr w:type="gramEnd"/>
      <w:r w:rsidRPr="00C31DC4">
        <w:t xml:space="preserve"> maximum overhead rate</w:t>
      </w:r>
      <w:r>
        <w:t>.</w:t>
      </w:r>
    </w:p>
    <w:p w:rsidR="002C5243" w:rsidRDefault="002C5243" w:rsidP="002C5243">
      <w:r w:rsidRPr="00C31DC4">
        <w:t xml:space="preserve">As we explain in more detail in section </w:t>
      </w:r>
      <w:r>
        <w:fldChar w:fldCharType="begin"/>
      </w:r>
      <w:r>
        <w:instrText xml:space="preserve"> REF _Ref430936976 \r \h </w:instrText>
      </w:r>
      <w:r>
        <w:fldChar w:fldCharType="separate"/>
      </w:r>
      <w:r w:rsidR="009E0EFD">
        <w:t>16.1.4</w:t>
      </w:r>
      <w:r>
        <w:fldChar w:fldCharType="end"/>
      </w:r>
      <w:r w:rsidRPr="00C31DC4">
        <w:t xml:space="preserve">, we obtained maximum rates for each of these components. We applied these maximum (component) rates to derive maximum total labour rates. </w:t>
      </w:r>
      <w:r>
        <w:t>We consider that using our maximum</w:t>
      </w:r>
      <w:r w:rsidR="00DE23C4">
        <w:t xml:space="preserve"> total</w:t>
      </w:r>
      <w:r>
        <w:t xml:space="preserve"> labour rates to determine appropriate prices for services will provide </w:t>
      </w:r>
      <w:r w:rsidR="00B56944">
        <w:t>AusNet Services</w:t>
      </w:r>
      <w:r>
        <w:t xml:space="preserve"> with a reasonable opportunity to recover at least the efficient costs it incurs in providing these services. It will promote the efficient provision of electricity services and allow a return commensurate with the regulatory and commercial risks involved for the provision of those services.</w:t>
      </w:r>
      <w:r>
        <w:rPr>
          <w:rStyle w:val="FootnoteReference"/>
        </w:rPr>
        <w:footnoteReference w:id="20"/>
      </w:r>
    </w:p>
    <w:p w:rsidR="002C5243" w:rsidRPr="00C31DC4" w:rsidRDefault="002C5243" w:rsidP="002C5243">
      <w:r w:rsidRPr="00C31DC4">
        <w:t xml:space="preserve">Where </w:t>
      </w:r>
      <w:r>
        <w:t>a distributor’s</w:t>
      </w:r>
      <w:r w:rsidRPr="00C31DC4">
        <w:t xml:space="preserve"> proposed total labour rates exceed our maximum total labour rates—which we consider </w:t>
      </w:r>
      <w:r>
        <w:t>are efficient</w:t>
      </w:r>
      <w:r w:rsidRPr="00C31DC4">
        <w:t>—we applied our maximum total labour rates to determine ancillary network service charges.</w:t>
      </w:r>
    </w:p>
    <w:p w:rsidR="002C5243" w:rsidRDefault="002C5243" w:rsidP="002C5243">
      <w:r w:rsidRPr="00C31DC4">
        <w:t>As a fu</w:t>
      </w:r>
      <w:r>
        <w:t xml:space="preserve">rther check of our analysis, we have benchmarked </w:t>
      </w:r>
      <w:r w:rsidRPr="00C31DC4">
        <w:t xml:space="preserve">components of </w:t>
      </w:r>
      <w:r>
        <w:t>the Victorian distributors</w:t>
      </w:r>
      <w:r w:rsidRPr="00C31DC4">
        <w:t xml:space="preserve">' proposed labour costs </w:t>
      </w:r>
      <w:r>
        <w:t>against one another</w:t>
      </w:r>
      <w:r w:rsidRPr="00C31DC4">
        <w:t xml:space="preserve">. </w:t>
      </w:r>
      <w:r>
        <w:t xml:space="preserve"> </w:t>
      </w:r>
    </w:p>
    <w:p w:rsidR="002C5243" w:rsidRDefault="002C5243" w:rsidP="002C5243">
      <w:pPr>
        <w:pStyle w:val="Heading3"/>
      </w:pPr>
      <w:bookmarkStart w:id="22" w:name="_Ref430936976"/>
      <w:bookmarkStart w:id="23" w:name="_Toc433704558"/>
      <w:r>
        <w:t>Reasons for preliminary decision</w:t>
      </w:r>
      <w:bookmarkEnd w:id="22"/>
      <w:bookmarkEnd w:id="23"/>
    </w:p>
    <w:p w:rsidR="00B62A9D" w:rsidRDefault="00B62A9D" w:rsidP="005E5049">
      <w:pPr>
        <w:pStyle w:val="Heading4"/>
      </w:pPr>
      <w:bookmarkStart w:id="24" w:name="_Ref431472474"/>
      <w:r>
        <w:t>Net present value adjustments in</w:t>
      </w:r>
      <w:r w:rsidR="0050704B">
        <w:t xml:space="preserve"> AusNet Services</w:t>
      </w:r>
      <w:r>
        <w:t xml:space="preserve"> method to</w:t>
      </w:r>
      <w:bookmarkEnd w:id="24"/>
      <w:r>
        <w:t xml:space="preserve"> </w:t>
      </w:r>
      <w:r w:rsidR="00183335">
        <w:t>derive first year prices</w:t>
      </w:r>
    </w:p>
    <w:p w:rsidR="00906911" w:rsidRDefault="00B62A9D" w:rsidP="00B62A9D">
      <w:r>
        <w:t>We do</w:t>
      </w:r>
      <w:r w:rsidR="00645656">
        <w:t xml:space="preserve"> not accept AusNet Services'</w:t>
      </w:r>
      <w:r w:rsidR="00095606">
        <w:t xml:space="preserve"> application of</w:t>
      </w:r>
      <w:r w:rsidR="000A2A64">
        <w:t xml:space="preserve"> net present value adjustments in its cost build</w:t>
      </w:r>
      <w:r w:rsidR="000A2A64">
        <w:noBreakHyphen/>
        <w:t>up method</w:t>
      </w:r>
      <w:r w:rsidR="00183335">
        <w:t xml:space="preserve"> </w:t>
      </w:r>
      <w:r w:rsidR="000A2A64">
        <w:t xml:space="preserve">to establish </w:t>
      </w:r>
      <w:r w:rsidR="00183335">
        <w:t xml:space="preserve">its proposed </w:t>
      </w:r>
      <w:r w:rsidR="000A2A64">
        <w:t>first year prices for ancillary network services.</w:t>
      </w:r>
      <w:r w:rsidR="005A3870">
        <w:t xml:space="preserve"> W</w:t>
      </w:r>
      <w:r w:rsidR="00183335">
        <w:t>e consider the inclusion of futur</w:t>
      </w:r>
      <w:r w:rsidR="009F538C">
        <w:t xml:space="preserve">e labour price growth in this method overstates the first </w:t>
      </w:r>
      <w:r w:rsidR="00E96FB3">
        <w:t>year prices</w:t>
      </w:r>
      <w:r w:rsidR="0050704B">
        <w:t xml:space="preserve"> as provision for future labour price growth is already accounted for in the price caps for these services (see the X factors in </w:t>
      </w:r>
      <w:r w:rsidR="0050704B">
        <w:fldChar w:fldCharType="begin"/>
      </w:r>
      <w:r w:rsidR="0050704B">
        <w:instrText xml:space="preserve"> REF  _Ref430942825 \* Lower \h </w:instrText>
      </w:r>
      <w:r w:rsidR="0050704B">
        <w:fldChar w:fldCharType="separate"/>
      </w:r>
      <w:r w:rsidR="009E0EFD">
        <w:t xml:space="preserve">figure </w:t>
      </w:r>
      <w:r w:rsidR="009E0EFD">
        <w:rPr>
          <w:noProof/>
        </w:rPr>
        <w:t>16</w:t>
      </w:r>
      <w:r w:rsidR="009E0EFD">
        <w:t>.</w:t>
      </w:r>
      <w:r w:rsidR="009E0EFD">
        <w:rPr>
          <w:noProof/>
        </w:rPr>
        <w:t>1</w:t>
      </w:r>
      <w:r w:rsidR="0050704B">
        <w:fldChar w:fldCharType="end"/>
      </w:r>
      <w:r w:rsidR="0050704B">
        <w:t xml:space="preserve"> and </w:t>
      </w:r>
      <w:r w:rsidR="0050704B">
        <w:fldChar w:fldCharType="begin"/>
      </w:r>
      <w:r w:rsidR="0050704B">
        <w:instrText xml:space="preserve"> REF  _Ref430952706 \* Lower \h </w:instrText>
      </w:r>
      <w:r w:rsidR="0050704B">
        <w:fldChar w:fldCharType="separate"/>
      </w:r>
      <w:r w:rsidR="009E0EFD">
        <w:t xml:space="preserve">figure </w:t>
      </w:r>
      <w:r w:rsidR="009E0EFD">
        <w:rPr>
          <w:noProof/>
        </w:rPr>
        <w:t>16</w:t>
      </w:r>
      <w:r w:rsidR="009E0EFD">
        <w:t>.</w:t>
      </w:r>
      <w:r w:rsidR="009E0EFD">
        <w:rPr>
          <w:noProof/>
        </w:rPr>
        <w:t>2</w:t>
      </w:r>
      <w:r w:rsidR="0050704B">
        <w:fldChar w:fldCharType="end"/>
      </w:r>
      <w:r w:rsidR="0050704B">
        <w:t>).</w:t>
      </w:r>
    </w:p>
    <w:p w:rsidR="00490CCE" w:rsidRDefault="00170512" w:rsidP="00B62A9D">
      <w:r>
        <w:t>In calculating its ancillary network services</w:t>
      </w:r>
      <w:r w:rsidR="00490CCE">
        <w:t xml:space="preserve"> prices, </w:t>
      </w:r>
      <w:r w:rsidR="0050704B">
        <w:t xml:space="preserve">AusNet Service's </w:t>
      </w:r>
      <w:r w:rsidR="00490CCE">
        <w:t>method has first applied a build</w:t>
      </w:r>
      <w:r w:rsidR="00490CCE">
        <w:noBreakHyphen/>
        <w:t xml:space="preserve">up of costs based on current rates. Then it has established prices for each year of the 2016–20 regulatory control </w:t>
      </w:r>
      <w:proofErr w:type="gramStart"/>
      <w:r w:rsidR="00490CCE">
        <w:t>period</w:t>
      </w:r>
      <w:proofErr w:type="gramEnd"/>
      <w:r w:rsidR="00490CCE">
        <w:t xml:space="preserve"> by a</w:t>
      </w:r>
      <w:r w:rsidR="0040156D">
        <w:t>djusting the</w:t>
      </w:r>
      <w:r>
        <w:t xml:space="preserve"> base prices </w:t>
      </w:r>
      <w:r w:rsidR="0040156D">
        <w:t>for</w:t>
      </w:r>
      <w:r w:rsidR="00490CCE">
        <w:t xml:space="preserve"> annual labour and material price growth. Then to establish the first year price, it has applied a net present value adjustment to </w:t>
      </w:r>
      <w:r>
        <w:t>the prices over the regulatory control period</w:t>
      </w:r>
      <w:r w:rsidR="00490CCE">
        <w:t xml:space="preserve"> using its proposed weighted average cost of capital as the discount rate.</w:t>
      </w:r>
    </w:p>
    <w:p w:rsidR="0044257A" w:rsidRDefault="005A3870" w:rsidP="00905EF8">
      <w:r>
        <w:t xml:space="preserve">As noted by AusNet Services, this method means the first year prices include </w:t>
      </w:r>
      <w:r w:rsidR="00905EF8">
        <w:t>elements of future labour price growth.</w:t>
      </w:r>
      <w:r w:rsidR="00095606">
        <w:rPr>
          <w:rStyle w:val="FootnoteReference"/>
        </w:rPr>
        <w:footnoteReference w:id="21"/>
      </w:r>
      <w:r w:rsidR="00905EF8">
        <w:t xml:space="preserve"> However, we</w:t>
      </w:r>
      <w:r w:rsidR="000248CC">
        <w:t xml:space="preserve"> note</w:t>
      </w:r>
      <w:r w:rsidR="008B2E8B">
        <w:t xml:space="preserve"> there is no need to in</w:t>
      </w:r>
      <w:r w:rsidR="00905EF8">
        <w:t>clude future labour price growth in the first year price</w:t>
      </w:r>
      <w:r w:rsidR="008B2E8B">
        <w:t xml:space="preserve"> as it </w:t>
      </w:r>
      <w:r w:rsidR="00905EF8">
        <w:t>will be</w:t>
      </w:r>
      <w:r w:rsidR="008B2E8B">
        <w:t xml:space="preserve"> accounted for</w:t>
      </w:r>
      <w:r w:rsidR="004A5B62">
        <w:t xml:space="preserve"> annually</w:t>
      </w:r>
      <w:r w:rsidR="008B2E8B">
        <w:t xml:space="preserve"> through the X factors in the price caps. </w:t>
      </w:r>
      <w:r w:rsidR="00905EF8">
        <w:t>We note AusNet Services may have undertaken this approach as our final F&amp;A did not explicitly state how future labour price growth would be accounted for.</w:t>
      </w:r>
      <w:r w:rsidR="00905EF8">
        <w:rPr>
          <w:rStyle w:val="FootnoteReference"/>
        </w:rPr>
        <w:footnoteReference w:id="22"/>
      </w:r>
      <w:r w:rsidR="00905EF8">
        <w:t xml:space="preserve"> </w:t>
      </w:r>
      <w:r w:rsidR="008B2E8B">
        <w:t>Therefore, we consider a more reliable approach is to establish the first year prices using the first step in AusNet Services' method</w:t>
      </w:r>
      <w:r w:rsidR="00095606">
        <w:t xml:space="preserve"> (build</w:t>
      </w:r>
      <w:r w:rsidR="00095606">
        <w:noBreakHyphen/>
        <w:t xml:space="preserve">up of costs) which does not include future labour price growth. The </w:t>
      </w:r>
      <w:r w:rsidR="008B2E8B">
        <w:t>price cap</w:t>
      </w:r>
      <w:r w:rsidR="00095606">
        <w:t>s will</w:t>
      </w:r>
      <w:r w:rsidR="000248CC">
        <w:t xml:space="preserve"> adjust for annual labour price growth as intended.</w:t>
      </w:r>
    </w:p>
    <w:p w:rsidR="00645656" w:rsidRDefault="00F77053" w:rsidP="00B62A9D">
      <w:r w:rsidRPr="00B62A9D">
        <w:t>Our preliminary decision has recalculated these prices using</w:t>
      </w:r>
      <w:r w:rsidR="000248CC">
        <w:t xml:space="preserve"> the first step in</w:t>
      </w:r>
      <w:r w:rsidRPr="00B62A9D">
        <w:t xml:space="preserve"> AustNet</w:t>
      </w:r>
      <w:r w:rsidR="000248CC">
        <w:t> </w:t>
      </w:r>
      <w:r w:rsidRPr="00B62A9D">
        <w:t>Services method</w:t>
      </w:r>
      <w:r w:rsidR="000248CC">
        <w:t>; that is</w:t>
      </w:r>
      <w:r w:rsidRPr="00B62A9D">
        <w:t xml:space="preserve"> without the net present value adjustments.</w:t>
      </w:r>
      <w:r>
        <w:t xml:space="preserve"> </w:t>
      </w:r>
      <w:r w:rsidR="00645656">
        <w:t xml:space="preserve">The preliminary decision approved prices are set out in </w:t>
      </w:r>
      <w:r w:rsidR="00645656">
        <w:fldChar w:fldCharType="begin"/>
      </w:r>
      <w:r w:rsidR="00645656">
        <w:instrText xml:space="preserve"> REF  _Ref430935729 \* Lower \h </w:instrText>
      </w:r>
      <w:r w:rsidR="00645656">
        <w:fldChar w:fldCharType="separate"/>
      </w:r>
      <w:r w:rsidR="009E0EFD">
        <w:t xml:space="preserve">table </w:t>
      </w:r>
      <w:r w:rsidR="009E0EFD">
        <w:rPr>
          <w:noProof/>
        </w:rPr>
        <w:t>16</w:t>
      </w:r>
      <w:r w:rsidR="009E0EFD">
        <w:t>.</w:t>
      </w:r>
      <w:r w:rsidR="009E0EFD">
        <w:rPr>
          <w:noProof/>
        </w:rPr>
        <w:t>18</w:t>
      </w:r>
      <w:r w:rsidR="00645656">
        <w:fldChar w:fldCharType="end"/>
      </w:r>
      <w:r w:rsidR="00645656">
        <w:t xml:space="preserve"> in appendix </w:t>
      </w:r>
      <w:r w:rsidR="00645656">
        <w:fldChar w:fldCharType="begin"/>
      </w:r>
      <w:r w:rsidR="00645656">
        <w:instrText xml:space="preserve"> REF _Ref430935588 \r \h </w:instrText>
      </w:r>
      <w:r w:rsidR="00645656">
        <w:fldChar w:fldCharType="separate"/>
      </w:r>
      <w:r w:rsidR="009E0EFD">
        <w:t>A</w:t>
      </w:r>
      <w:r w:rsidR="00645656">
        <w:fldChar w:fldCharType="end"/>
      </w:r>
      <w:r w:rsidR="00645656">
        <w:t>.</w:t>
      </w:r>
    </w:p>
    <w:p w:rsidR="00894019" w:rsidRDefault="00894019">
      <w:pPr>
        <w:spacing w:line="240" w:lineRule="auto"/>
        <w:rPr>
          <w:rFonts w:eastAsiaTheme="majorEastAsia" w:cstheme="majorBidi"/>
          <w:b/>
          <w:bCs/>
          <w:iCs/>
          <w:color w:val="51626F"/>
          <w:sz w:val="24"/>
        </w:rPr>
      </w:pPr>
      <w:bookmarkStart w:id="25" w:name="_Ref431472482"/>
      <w:r>
        <w:br w:type="page"/>
      </w:r>
    </w:p>
    <w:p w:rsidR="00B62A9D" w:rsidRPr="00B62A9D" w:rsidRDefault="00B62A9D" w:rsidP="00B62A9D">
      <w:pPr>
        <w:pStyle w:val="Heading4"/>
      </w:pPr>
      <w:r w:rsidRPr="00B62A9D">
        <w:t>Labour price growth</w:t>
      </w:r>
      <w:bookmarkEnd w:id="25"/>
    </w:p>
    <w:p w:rsidR="00B62A9D" w:rsidRPr="00B62A9D" w:rsidRDefault="00B62A9D" w:rsidP="00B62A9D">
      <w:r w:rsidRPr="005E5049">
        <w:t>We</w:t>
      </w:r>
      <w:r w:rsidR="00645656">
        <w:t xml:space="preserve"> also</w:t>
      </w:r>
      <w:r w:rsidRPr="005E5049">
        <w:t xml:space="preserve"> do not accept the</w:t>
      </w:r>
      <w:r w:rsidR="00F100A3">
        <w:t xml:space="preserve"> proposed</w:t>
      </w:r>
      <w:r w:rsidRPr="005E5049">
        <w:t xml:space="preserve"> labour </w:t>
      </w:r>
      <w:r>
        <w:t>price growth</w:t>
      </w:r>
      <w:r w:rsidRPr="005E5049">
        <w:t xml:space="preserve"> applied by </w:t>
      </w:r>
      <w:r>
        <w:t xml:space="preserve">AusNet Services </w:t>
      </w:r>
      <w:r w:rsidRPr="005E5049">
        <w:t>in its</w:t>
      </w:r>
      <w:r w:rsidR="00EC2011">
        <w:t xml:space="preserve"> cost build</w:t>
      </w:r>
      <w:r w:rsidR="00EC2011">
        <w:noBreakHyphen/>
        <w:t>up</w:t>
      </w:r>
      <w:r w:rsidRPr="005E5049">
        <w:t xml:space="preserve"> method </w:t>
      </w:r>
      <w:r w:rsidR="00EC2011">
        <w:t>for</w:t>
      </w:r>
      <w:r w:rsidRPr="005E5049">
        <w:t xml:space="preserve"> ancillary network services. </w:t>
      </w:r>
      <w:r w:rsidR="000A2A64">
        <w:t>Consequently w</w:t>
      </w:r>
      <w:r w:rsidRPr="005E5049">
        <w:t xml:space="preserve">e have substituted in our preliminary decision </w:t>
      </w:r>
      <w:r w:rsidR="007816E3">
        <w:t xml:space="preserve">labour price growth </w:t>
      </w:r>
      <w:r w:rsidR="00EC2011">
        <w:t xml:space="preserve">which is set out in </w:t>
      </w:r>
      <w:r w:rsidR="00EC2011">
        <w:fldChar w:fldCharType="begin"/>
      </w:r>
      <w:r w:rsidR="00EC2011">
        <w:instrText xml:space="preserve"> REF  _Ref430936816 \* Lower \h </w:instrText>
      </w:r>
      <w:r w:rsidR="00EC2011">
        <w:fldChar w:fldCharType="separate"/>
      </w:r>
      <w:r w:rsidR="009E0EFD">
        <w:t xml:space="preserve">table </w:t>
      </w:r>
      <w:r w:rsidR="009E0EFD">
        <w:rPr>
          <w:noProof/>
        </w:rPr>
        <w:t>16</w:t>
      </w:r>
      <w:r w:rsidR="009E0EFD">
        <w:t>.</w:t>
      </w:r>
      <w:r w:rsidR="009E0EFD">
        <w:rPr>
          <w:noProof/>
        </w:rPr>
        <w:t>1</w:t>
      </w:r>
      <w:r w:rsidR="00EC2011">
        <w:fldChar w:fldCharType="end"/>
      </w:r>
      <w:r w:rsidR="00EC2011">
        <w:t xml:space="preserve">. </w:t>
      </w:r>
      <w:r w:rsidR="007816E3">
        <w:t xml:space="preserve">Our preliminary decision on labour price growth is </w:t>
      </w:r>
      <w:r w:rsidR="000A2A64">
        <w:t>discussed in attachment </w:t>
      </w:r>
      <w:r w:rsidRPr="005E5049">
        <w:t>7 — operating expenditure.</w:t>
      </w:r>
    </w:p>
    <w:p w:rsidR="009F6DC8" w:rsidRDefault="005E5049" w:rsidP="005E5049">
      <w:pPr>
        <w:pStyle w:val="Heading4"/>
      </w:pPr>
      <w:bookmarkStart w:id="26" w:name="_Ref431472343"/>
      <w:r>
        <w:t>Maximum total labour rates</w:t>
      </w:r>
      <w:bookmarkEnd w:id="26"/>
    </w:p>
    <w:p w:rsidR="00905EF8" w:rsidRDefault="000C65C4" w:rsidP="00905EF8">
      <w:r>
        <w:t>In general,</w:t>
      </w:r>
      <w:r w:rsidR="0069115C">
        <w:t xml:space="preserve"> w</w:t>
      </w:r>
      <w:r w:rsidR="00F100A3">
        <w:t xml:space="preserve">e accept </w:t>
      </w:r>
      <w:r w:rsidR="0069115C">
        <w:t>AusNet Services</w:t>
      </w:r>
      <w:r w:rsidR="00F3541D">
        <w:t>'</w:t>
      </w:r>
      <w:r w:rsidR="0069115C">
        <w:t xml:space="preserve"> proposed</w:t>
      </w:r>
      <w:r w:rsidR="00C87DEA">
        <w:t xml:space="preserve"> </w:t>
      </w:r>
      <w:r w:rsidR="00905EF8">
        <w:t>internal</w:t>
      </w:r>
      <w:r w:rsidR="0069115C">
        <w:t xml:space="preserve"> total labour rates</w:t>
      </w:r>
      <w:r w:rsidR="00AA1F92">
        <w:t xml:space="preserve"> used to develop its</w:t>
      </w:r>
      <w:r w:rsidR="00C87DEA">
        <w:t xml:space="preserve"> fee based services</w:t>
      </w:r>
      <w:r w:rsidR="0069115C">
        <w:t xml:space="preserve">. </w:t>
      </w:r>
      <w:r w:rsidR="00095606">
        <w:t xml:space="preserve">However, </w:t>
      </w:r>
      <w:r w:rsidR="0069115C">
        <w:t xml:space="preserve">we do not accept </w:t>
      </w:r>
      <w:r w:rsidR="00AA1F92">
        <w:t xml:space="preserve">the </w:t>
      </w:r>
      <w:r w:rsidR="00E073CE">
        <w:t>internal labour rates</w:t>
      </w:r>
      <w:r w:rsidR="00AA1F92">
        <w:t xml:space="preserve"> applied</w:t>
      </w:r>
      <w:r w:rsidR="00A937DD">
        <w:t xml:space="preserve"> in the cost build</w:t>
      </w:r>
      <w:r w:rsidR="00A937DD">
        <w:noBreakHyphen/>
        <w:t>up</w:t>
      </w:r>
      <w:r w:rsidR="00C87DEA">
        <w:t xml:space="preserve"> for three of its services as they exceed </w:t>
      </w:r>
      <w:r w:rsidR="0069115C">
        <w:t xml:space="preserve">our maximum total labour rates which </w:t>
      </w:r>
      <w:r w:rsidR="00C87DEA">
        <w:t xml:space="preserve">we consider are efficient. </w:t>
      </w:r>
      <w:r w:rsidR="00762830">
        <w:t>Our preliminary decision has substituted our maximum total labour rates for these inputs in AusNet Services' build</w:t>
      </w:r>
      <w:r w:rsidR="00762830">
        <w:noBreakHyphen/>
        <w:t>up method to establish first year prices for fee based services.</w:t>
      </w:r>
    </w:p>
    <w:p w:rsidR="00905EF8" w:rsidRDefault="00C87DEA" w:rsidP="005E5049">
      <w:r>
        <w:t>We also do not accept AusNet Services</w:t>
      </w:r>
      <w:r w:rsidR="00F3541D">
        <w:t>'</w:t>
      </w:r>
      <w:r w:rsidR="00C84824">
        <w:t xml:space="preserve"> proposed</w:t>
      </w:r>
      <w:r>
        <w:t xml:space="preserve"> quoted services labour rates</w:t>
      </w:r>
      <w:r w:rsidR="00C84824">
        <w:t xml:space="preserve"> as they include the net present value adjustments discussed above.</w:t>
      </w:r>
      <w:r w:rsidR="00762830">
        <w:t xml:space="preserve"> Our preliminary decision has applied AusNet Services base year labour rates</w:t>
      </w:r>
      <w:r w:rsidR="00C84824">
        <w:t xml:space="preserve"> </w:t>
      </w:r>
      <w:r w:rsidR="000C65C4">
        <w:t>escalated into real 2015 dollar terms</w:t>
      </w:r>
      <w:r w:rsidR="00905EF8">
        <w:t xml:space="preserve"> which</w:t>
      </w:r>
      <w:r w:rsidR="000C65C4">
        <w:t xml:space="preserve"> do not exceed our maximum total labour rates. </w:t>
      </w:r>
      <w:r w:rsidR="005E5049" w:rsidRPr="005E5049">
        <w:t xml:space="preserve">The approved labour rates for quoted services are set out in </w:t>
      </w:r>
      <w:r w:rsidR="000C65C4">
        <w:fldChar w:fldCharType="begin"/>
      </w:r>
      <w:r w:rsidR="000C65C4">
        <w:instrText xml:space="preserve"> REF  _Ref430935737 \* Lower \h </w:instrText>
      </w:r>
      <w:r w:rsidR="000C65C4">
        <w:fldChar w:fldCharType="separate"/>
      </w:r>
      <w:r w:rsidR="009E0EFD">
        <w:t xml:space="preserve">table </w:t>
      </w:r>
      <w:r w:rsidR="009E0EFD">
        <w:rPr>
          <w:noProof/>
        </w:rPr>
        <w:t>16</w:t>
      </w:r>
      <w:r w:rsidR="009E0EFD">
        <w:t>.</w:t>
      </w:r>
      <w:r w:rsidR="009E0EFD">
        <w:rPr>
          <w:noProof/>
        </w:rPr>
        <w:t>19</w:t>
      </w:r>
      <w:r w:rsidR="000C65C4">
        <w:fldChar w:fldCharType="end"/>
      </w:r>
      <w:r w:rsidR="005E5049" w:rsidRPr="005E5049">
        <w:t xml:space="preserve"> in appendix </w:t>
      </w:r>
      <w:r w:rsidR="000C65C4">
        <w:fldChar w:fldCharType="begin"/>
      </w:r>
      <w:r w:rsidR="000C65C4">
        <w:instrText xml:space="preserve"> REF _Ref430935588 \r \h </w:instrText>
      </w:r>
      <w:r w:rsidR="000C65C4">
        <w:fldChar w:fldCharType="separate"/>
      </w:r>
      <w:r w:rsidR="009E0EFD">
        <w:t>A</w:t>
      </w:r>
      <w:r w:rsidR="000C65C4">
        <w:fldChar w:fldCharType="end"/>
      </w:r>
      <w:r w:rsidR="005E5049" w:rsidRPr="005E5049">
        <w:t>.</w:t>
      </w:r>
    </w:p>
    <w:p w:rsidR="005E5049" w:rsidRDefault="005E5049" w:rsidP="005E5049">
      <w:r w:rsidRPr="005E5049">
        <w:t xml:space="preserve">We also note </w:t>
      </w:r>
      <w:r w:rsidR="005E28F8">
        <w:t xml:space="preserve">AusNet Services </w:t>
      </w:r>
      <w:r w:rsidRPr="005E5049">
        <w:t xml:space="preserve">engages contractors to deliver some of its ancillary network services. Our assessment on </w:t>
      </w:r>
      <w:r w:rsidR="005E28F8">
        <w:t>AusNet Service</w:t>
      </w:r>
      <w:r w:rsidRPr="005E5049">
        <w:t>s</w:t>
      </w:r>
      <w:r w:rsidR="005E28F8">
        <w:t>'</w:t>
      </w:r>
      <w:r w:rsidRPr="005E5049">
        <w:t xml:space="preserve"> contractors is discussed in section </w:t>
      </w:r>
      <w:r w:rsidR="005E28F8">
        <w:fldChar w:fldCharType="begin"/>
      </w:r>
      <w:r w:rsidR="005E28F8">
        <w:instrText xml:space="preserve"> REF _Ref430954026 \r \h </w:instrText>
      </w:r>
      <w:r w:rsidR="005E28F8">
        <w:fldChar w:fldCharType="separate"/>
      </w:r>
      <w:r w:rsidR="009E0EFD">
        <w:t>16.1.4.4</w:t>
      </w:r>
      <w:r w:rsidR="005E28F8">
        <w:fldChar w:fldCharType="end"/>
      </w:r>
      <w:r w:rsidRPr="005E5049">
        <w:t>.</w:t>
      </w:r>
    </w:p>
    <w:p w:rsidR="005E5049" w:rsidRPr="005E5049" w:rsidRDefault="005E5049" w:rsidP="005E5049">
      <w:r w:rsidRPr="005E5049">
        <w:t>As we set out in section </w:t>
      </w:r>
      <w:r w:rsidR="000C65C4">
        <w:fldChar w:fldCharType="begin"/>
      </w:r>
      <w:r w:rsidR="000C65C4">
        <w:instrText xml:space="preserve"> REF _Ref431485923 \r \h </w:instrText>
      </w:r>
      <w:r w:rsidR="000C65C4">
        <w:fldChar w:fldCharType="separate"/>
      </w:r>
      <w:r w:rsidR="009E0EFD">
        <w:t>0</w:t>
      </w:r>
      <w:r w:rsidR="000C65C4">
        <w:fldChar w:fldCharType="end"/>
      </w:r>
      <w:r w:rsidRPr="005E5049">
        <w:t xml:space="preserve">, we compared </w:t>
      </w:r>
      <w:r w:rsidR="000C65C4">
        <w:t>AusNet Service</w:t>
      </w:r>
      <w:r w:rsidRPr="005E5049">
        <w:t>s</w:t>
      </w:r>
      <w:r w:rsidR="00F3541D">
        <w:t>'</w:t>
      </w:r>
      <w:r w:rsidRPr="005E5049">
        <w:t xml:space="preserve"> internal total labour rates against our developed maximum (rather than, for example, average) total labour rates. As labour is the major input in determining prices for ancillary network services, we consider it prudent to use maximum total labour rates as an input to assess prices for ancillary network services. Maximum total labour rates act as 'ceilings' on the rates we consider </w:t>
      </w:r>
      <w:r w:rsidR="000C65C4">
        <w:t xml:space="preserve">AusNet Services </w:t>
      </w:r>
      <w:r w:rsidRPr="005E5049">
        <w:t>should pay for the various labour types. Where a distributor reveals rates lower than the maximum total labour rates, we consider those lower rates should be the inputs for deriving ancillary network services prices.</w:t>
      </w:r>
    </w:p>
    <w:p w:rsidR="005E5049" w:rsidRPr="005E5049" w:rsidRDefault="005E5049" w:rsidP="005E5049">
      <w:r w:rsidRPr="005E5049">
        <w:t>We note the Victorian distributors used different names and descriptions for different labour categories. However, we found that the types of labour used to deliver ancillary network services broadly fell into one of five categories:</w:t>
      </w:r>
    </w:p>
    <w:p w:rsidR="005E5049" w:rsidRPr="005E5049" w:rsidRDefault="005E5049" w:rsidP="002E0E5A">
      <w:pPr>
        <w:pStyle w:val="AERbulletlistfirststyle"/>
      </w:pPr>
      <w:r w:rsidRPr="005E5049">
        <w:t>Administration</w:t>
      </w:r>
    </w:p>
    <w:p w:rsidR="005E5049" w:rsidRPr="005E5049" w:rsidRDefault="005E5049" w:rsidP="002E0E5A">
      <w:pPr>
        <w:pStyle w:val="AERbulletlistfirststyle"/>
      </w:pPr>
      <w:r w:rsidRPr="005E5049">
        <w:t>Technical services</w:t>
      </w:r>
    </w:p>
    <w:p w:rsidR="005E5049" w:rsidRPr="005E5049" w:rsidRDefault="005E5049" w:rsidP="002E0E5A">
      <w:pPr>
        <w:pStyle w:val="AERbulletlistfirststyle"/>
      </w:pPr>
      <w:r w:rsidRPr="005E5049">
        <w:t>Engineers</w:t>
      </w:r>
    </w:p>
    <w:p w:rsidR="005E5049" w:rsidRPr="005E5049" w:rsidRDefault="005E5049" w:rsidP="002E0E5A">
      <w:pPr>
        <w:pStyle w:val="AERbulletlistfirststyle"/>
      </w:pPr>
      <w:r w:rsidRPr="005E5049">
        <w:t>Field workers, and</w:t>
      </w:r>
    </w:p>
    <w:p w:rsidR="005E5049" w:rsidRPr="005E5049" w:rsidRDefault="005E5049" w:rsidP="002E0E5A">
      <w:pPr>
        <w:pStyle w:val="AERbulletlistfirststyle"/>
      </w:pPr>
      <w:r w:rsidRPr="005E5049">
        <w:t>Senior engineers.</w:t>
      </w:r>
    </w:p>
    <w:p w:rsidR="005E5049" w:rsidRDefault="005E5049" w:rsidP="00676A56">
      <w:r w:rsidRPr="005E5049">
        <w:t>We note</w:t>
      </w:r>
      <w:r w:rsidR="00D22397">
        <w:t xml:space="preserve"> that </w:t>
      </w:r>
      <w:r w:rsidR="00F941B2">
        <w:t>AusNet Services</w:t>
      </w:r>
      <w:r w:rsidR="00D22397">
        <w:t>'</w:t>
      </w:r>
      <w:r w:rsidR="00F941B2">
        <w:t xml:space="preserve"> proposed internal labour rates have been derived by </w:t>
      </w:r>
      <w:r w:rsidR="00D22397">
        <w:t xml:space="preserve">either </w:t>
      </w:r>
      <w:r w:rsidR="00F941B2">
        <w:t xml:space="preserve">scaling its </w:t>
      </w:r>
      <w:r w:rsidR="00D22397">
        <w:t>contractor rates or from escalating historical rates.</w:t>
      </w:r>
      <w:r w:rsidR="00D22397">
        <w:rPr>
          <w:rStyle w:val="FootnoteReference"/>
        </w:rPr>
        <w:footnoteReference w:id="23"/>
      </w:r>
      <w:r w:rsidR="00D22397">
        <w:t xml:space="preserve"> </w:t>
      </w:r>
      <w:r w:rsidR="002859E1">
        <w:t xml:space="preserve">By applying these alternative methods, AusNet Services has over </w:t>
      </w:r>
      <w:r w:rsidR="00676A56">
        <w:t>2</w:t>
      </w:r>
      <w:r w:rsidR="002859E1">
        <w:t xml:space="preserve">0 different internal labour rates. </w:t>
      </w:r>
      <w:r w:rsidR="002A46ED">
        <w:t xml:space="preserve">As </w:t>
      </w:r>
      <w:r w:rsidR="009D2762">
        <w:t>most</w:t>
      </w:r>
      <w:r w:rsidR="002A46ED">
        <w:t xml:space="preserve"> of these rates reflect its contractor rates which are confidential, we are unable to publish them.</w:t>
      </w:r>
      <w:r w:rsidR="009D2762">
        <w:t xml:space="preserve"> </w:t>
      </w:r>
      <w:r w:rsidR="002A46ED">
        <w:t xml:space="preserve">However, </w:t>
      </w:r>
      <w:r w:rsidR="009D2762">
        <w:t xml:space="preserve">for transparency </w:t>
      </w:r>
      <w:r w:rsidR="00676A56">
        <w:fldChar w:fldCharType="begin"/>
      </w:r>
      <w:r w:rsidR="00676A56">
        <w:instrText xml:space="preserve"> REF  _Ref430952223 \* Lower \h </w:instrText>
      </w:r>
      <w:r w:rsidR="00676A56">
        <w:fldChar w:fldCharType="separate"/>
      </w:r>
      <w:r w:rsidR="009E0EFD">
        <w:t xml:space="preserve">table </w:t>
      </w:r>
      <w:r w:rsidR="009E0EFD">
        <w:rPr>
          <w:noProof/>
        </w:rPr>
        <w:t>16</w:t>
      </w:r>
      <w:r w:rsidR="009E0EFD">
        <w:t>.</w:t>
      </w:r>
      <w:r w:rsidR="009E0EFD">
        <w:rPr>
          <w:noProof/>
        </w:rPr>
        <w:t>2</w:t>
      </w:r>
      <w:r w:rsidR="00676A56">
        <w:fldChar w:fldCharType="end"/>
      </w:r>
      <w:r w:rsidRPr="005E5049">
        <w:t xml:space="preserve"> shows the maximum total labour rates we developed for our assessment of </w:t>
      </w:r>
      <w:r w:rsidR="00762830">
        <w:t>AusNet Services</w:t>
      </w:r>
      <w:r w:rsidRPr="005E5049">
        <w:t>' labour types.</w:t>
      </w:r>
    </w:p>
    <w:p w:rsidR="005E5049" w:rsidRPr="005E5049" w:rsidRDefault="005E5049" w:rsidP="005E5049">
      <w:r w:rsidRPr="005E5049">
        <w:t>In developing our maximum total labour rates, we assessed raw labour rates, on-costs and overheads separately and derived maximum rates for each component (discussed below). We then applied these maximum rates to produce the maximum total labour rates. It was this maximum rate that was important in our deliberations. The components that make up that maximum were of less relevance and individually did not form the basis of our reasoning.</w:t>
      </w:r>
    </w:p>
    <w:p w:rsidR="002E0E5A" w:rsidRDefault="005E5049" w:rsidP="005E5049">
      <w:r w:rsidRPr="005E5049">
        <w:t xml:space="preserve">We used these maximum total labour rates to determine whether </w:t>
      </w:r>
      <w:r w:rsidR="0035131B">
        <w:t>AusNet Service</w:t>
      </w:r>
      <w:r w:rsidRPr="005E5049">
        <w:t>s</w:t>
      </w:r>
      <w:r w:rsidR="000D6212">
        <w:t>'</w:t>
      </w:r>
      <w:r w:rsidRPr="005E5049">
        <w:t xml:space="preserve"> proposed prices for ancillary network services reflect the underlying cost of an efficient labour rate. We consider this to be a prudent approach. It provides the distribution business with a reasonable opportunity to recover at least its efficient costs. We consider prices based on labour rates higher than the maximum total labour rates would be inefficient.</w:t>
      </w:r>
    </w:p>
    <w:p w:rsidR="005E5049" w:rsidRPr="005E5049" w:rsidRDefault="002E0E5A" w:rsidP="002E0E5A">
      <w:pPr>
        <w:pStyle w:val="Caption"/>
      </w:pPr>
      <w:bookmarkStart w:id="27" w:name="_Ref430952223"/>
      <w:proofErr w:type="gramStart"/>
      <w:r>
        <w:t xml:space="preserve">Table </w:t>
      </w:r>
      <w:proofErr w:type="gramEnd"/>
      <w:r w:rsidR="006A670B">
        <w:fldChar w:fldCharType="begin"/>
      </w:r>
      <w:r w:rsidR="006A670B">
        <w:instrText xml:space="preserve"> STYLEREF 1 \s </w:instrText>
      </w:r>
      <w:r w:rsidR="006A670B">
        <w:fldChar w:fldCharType="separate"/>
      </w:r>
      <w:r w:rsidR="009E0EFD">
        <w:rPr>
          <w:noProof/>
        </w:rPr>
        <w:t>16</w:t>
      </w:r>
      <w:r w:rsidR="006A670B">
        <w:fldChar w:fldCharType="end"/>
      </w:r>
      <w:proofErr w:type="gramStart"/>
      <w:r w:rsidR="006A670B">
        <w:t>.</w:t>
      </w:r>
      <w:proofErr w:type="gramEnd"/>
      <w:r w:rsidR="006A670B">
        <w:fldChar w:fldCharType="begin"/>
      </w:r>
      <w:r w:rsidR="006A670B">
        <w:instrText xml:space="preserve"> SEQ Table \* ARABIC \s 1 </w:instrText>
      </w:r>
      <w:r w:rsidR="006A670B">
        <w:fldChar w:fldCharType="separate"/>
      </w:r>
      <w:r w:rsidR="009E0EFD">
        <w:rPr>
          <w:noProof/>
        </w:rPr>
        <w:t>2</w:t>
      </w:r>
      <w:r w:rsidR="006A670B">
        <w:fldChar w:fldCharType="end"/>
      </w:r>
      <w:bookmarkEnd w:id="27"/>
      <w:r>
        <w:tab/>
        <w:t>Maximum allowed total labour rates</w:t>
      </w:r>
      <w:r w:rsidR="005E5049" w:rsidRPr="005E5049">
        <w:t xml:space="preserve"> </w:t>
      </w:r>
    </w:p>
    <w:tbl>
      <w:tblPr>
        <w:tblStyle w:val="AERtable-numbers"/>
        <w:tblW w:w="0" w:type="auto"/>
        <w:tblLook w:val="04A0" w:firstRow="1" w:lastRow="0" w:firstColumn="1" w:lastColumn="0" w:noHBand="0" w:noVBand="1"/>
      </w:tblPr>
      <w:tblGrid>
        <w:gridCol w:w="4346"/>
        <w:gridCol w:w="4347"/>
      </w:tblGrid>
      <w:tr w:rsidR="005E5049" w:rsidRPr="005E5049" w:rsidTr="002E0E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5E5049" w:rsidRPr="005E5049" w:rsidRDefault="002A46ED" w:rsidP="005E5049">
            <w:r>
              <w:t>AER</w:t>
            </w:r>
            <w:r w:rsidR="005E5049" w:rsidRPr="005E5049">
              <w:t xml:space="preserve"> labour category</w:t>
            </w:r>
          </w:p>
        </w:tc>
        <w:tc>
          <w:tcPr>
            <w:tcW w:w="4347" w:type="dxa"/>
          </w:tcPr>
          <w:p w:rsidR="005E5049" w:rsidRPr="005E5049" w:rsidRDefault="005E5049" w:rsidP="005E5049">
            <w:pPr>
              <w:cnfStyle w:val="100000000000" w:firstRow="1" w:lastRow="0" w:firstColumn="0" w:lastColumn="0" w:oddVBand="0" w:evenVBand="0" w:oddHBand="0" w:evenHBand="0" w:firstRowFirstColumn="0" w:firstRowLastColumn="0" w:lastRowFirstColumn="0" w:lastRowLastColumn="0"/>
            </w:pPr>
            <w:r w:rsidRPr="005E5049">
              <w:t>AER maximum total labour rates ($2014)</w:t>
            </w:r>
          </w:p>
        </w:tc>
      </w:tr>
      <w:tr w:rsidR="002E0E5A" w:rsidRPr="005E5049" w:rsidTr="002E0E5A">
        <w:tc>
          <w:tcPr>
            <w:cnfStyle w:val="001000000000" w:firstRow="0" w:lastRow="0" w:firstColumn="1" w:lastColumn="0" w:oddVBand="0" w:evenVBand="0" w:oddHBand="0" w:evenHBand="0" w:firstRowFirstColumn="0" w:firstRowLastColumn="0" w:lastRowFirstColumn="0" w:lastRowLastColumn="0"/>
            <w:tcW w:w="4346" w:type="dxa"/>
          </w:tcPr>
          <w:p w:rsidR="002E0E5A" w:rsidRPr="005E5049" w:rsidRDefault="002A46ED" w:rsidP="005E5049">
            <w:r>
              <w:t>Administration</w:t>
            </w:r>
          </w:p>
        </w:tc>
        <w:tc>
          <w:tcPr>
            <w:tcW w:w="4347" w:type="dxa"/>
          </w:tcPr>
          <w:p w:rsidR="002E0E5A" w:rsidRPr="005E5049" w:rsidRDefault="002A46ED" w:rsidP="005E5049">
            <w:pPr>
              <w:cnfStyle w:val="000000000000" w:firstRow="0" w:lastRow="0" w:firstColumn="0" w:lastColumn="0" w:oddVBand="0" w:evenVBand="0" w:oddHBand="0" w:evenHBand="0" w:firstRowFirstColumn="0" w:firstRowLastColumn="0" w:lastRowFirstColumn="0" w:lastRowLastColumn="0"/>
            </w:pPr>
            <w:r>
              <w:t>91.88</w:t>
            </w:r>
          </w:p>
        </w:tc>
      </w:tr>
      <w:tr w:rsidR="002E0E5A" w:rsidRPr="005E5049" w:rsidTr="002E0E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2E0E5A" w:rsidRPr="005E5049" w:rsidRDefault="002A46ED" w:rsidP="005E5049">
            <w:r>
              <w:t>Technical</w:t>
            </w:r>
          </w:p>
        </w:tc>
        <w:tc>
          <w:tcPr>
            <w:tcW w:w="4347" w:type="dxa"/>
          </w:tcPr>
          <w:p w:rsidR="002E0E5A" w:rsidRPr="005E5049" w:rsidRDefault="002A46ED" w:rsidP="005E5049">
            <w:pPr>
              <w:cnfStyle w:val="000000010000" w:firstRow="0" w:lastRow="0" w:firstColumn="0" w:lastColumn="0" w:oddVBand="0" w:evenVBand="0" w:oddHBand="0" w:evenHBand="1" w:firstRowFirstColumn="0" w:firstRowLastColumn="0" w:lastRowFirstColumn="0" w:lastRowLastColumn="0"/>
            </w:pPr>
            <w:r>
              <w:t>160.79</w:t>
            </w:r>
          </w:p>
        </w:tc>
      </w:tr>
      <w:tr w:rsidR="002E0E5A" w:rsidRPr="005E5049" w:rsidTr="002E0E5A">
        <w:tc>
          <w:tcPr>
            <w:cnfStyle w:val="001000000000" w:firstRow="0" w:lastRow="0" w:firstColumn="1" w:lastColumn="0" w:oddVBand="0" w:evenVBand="0" w:oddHBand="0" w:evenHBand="0" w:firstRowFirstColumn="0" w:firstRowLastColumn="0" w:lastRowFirstColumn="0" w:lastRowLastColumn="0"/>
            <w:tcW w:w="4346" w:type="dxa"/>
          </w:tcPr>
          <w:p w:rsidR="002E0E5A" w:rsidRPr="005E5049" w:rsidRDefault="002A46ED" w:rsidP="005E5049">
            <w:r>
              <w:t>Engineer</w:t>
            </w:r>
          </w:p>
        </w:tc>
        <w:tc>
          <w:tcPr>
            <w:tcW w:w="4347" w:type="dxa"/>
          </w:tcPr>
          <w:p w:rsidR="002E0E5A" w:rsidRPr="005E5049" w:rsidRDefault="002A46ED" w:rsidP="005E5049">
            <w:pPr>
              <w:cnfStyle w:val="000000000000" w:firstRow="0" w:lastRow="0" w:firstColumn="0" w:lastColumn="0" w:oddVBand="0" w:evenVBand="0" w:oddHBand="0" w:evenHBand="0" w:firstRowFirstColumn="0" w:firstRowLastColumn="0" w:lastRowFirstColumn="0" w:lastRowLastColumn="0"/>
            </w:pPr>
            <w:r>
              <w:t>172.28</w:t>
            </w:r>
          </w:p>
        </w:tc>
      </w:tr>
      <w:tr w:rsidR="005E5049" w:rsidRPr="005E5049" w:rsidTr="002E0E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5E5049" w:rsidRPr="005E5049" w:rsidRDefault="002A46ED" w:rsidP="005E5049">
            <w:r>
              <w:t>Field worker</w:t>
            </w:r>
          </w:p>
        </w:tc>
        <w:tc>
          <w:tcPr>
            <w:tcW w:w="4347" w:type="dxa"/>
          </w:tcPr>
          <w:p w:rsidR="005E5049" w:rsidRPr="005E5049" w:rsidRDefault="002A46ED" w:rsidP="005E5049">
            <w:pPr>
              <w:cnfStyle w:val="000000010000" w:firstRow="0" w:lastRow="0" w:firstColumn="0" w:lastColumn="0" w:oddVBand="0" w:evenVBand="0" w:oddHBand="0" w:evenHBand="1" w:firstRowFirstColumn="0" w:firstRowLastColumn="0" w:lastRowFirstColumn="0" w:lastRowLastColumn="0"/>
            </w:pPr>
            <w:r>
              <w:t>160.79</w:t>
            </w:r>
          </w:p>
        </w:tc>
      </w:tr>
      <w:tr w:rsidR="005E5049" w:rsidRPr="005E5049" w:rsidTr="002E0E5A">
        <w:tc>
          <w:tcPr>
            <w:cnfStyle w:val="001000000000" w:firstRow="0" w:lastRow="0" w:firstColumn="1" w:lastColumn="0" w:oddVBand="0" w:evenVBand="0" w:oddHBand="0" w:evenHBand="0" w:firstRowFirstColumn="0" w:firstRowLastColumn="0" w:lastRowFirstColumn="0" w:lastRowLastColumn="0"/>
            <w:tcW w:w="4346" w:type="dxa"/>
          </w:tcPr>
          <w:p w:rsidR="005E5049" w:rsidRPr="005E5049" w:rsidRDefault="002A46ED" w:rsidP="005E5049">
            <w:r>
              <w:t>Senior engineer</w:t>
            </w:r>
          </w:p>
        </w:tc>
        <w:tc>
          <w:tcPr>
            <w:tcW w:w="4347" w:type="dxa"/>
          </w:tcPr>
          <w:p w:rsidR="005E5049" w:rsidRPr="005E5049" w:rsidRDefault="002A46ED" w:rsidP="005E5049">
            <w:pPr>
              <w:cnfStyle w:val="000000000000" w:firstRow="0" w:lastRow="0" w:firstColumn="0" w:lastColumn="0" w:oddVBand="0" w:evenVBand="0" w:oddHBand="0" w:evenHBand="0" w:firstRowFirstColumn="0" w:firstRowLastColumn="0" w:lastRowFirstColumn="0" w:lastRowLastColumn="0"/>
            </w:pPr>
            <w:r>
              <w:t>229.70</w:t>
            </w:r>
          </w:p>
        </w:tc>
      </w:tr>
    </w:tbl>
    <w:p w:rsidR="005E5049" w:rsidRPr="005E5049" w:rsidRDefault="005E5049" w:rsidP="002E0E5A">
      <w:pPr>
        <w:pStyle w:val="AERtablesource"/>
      </w:pPr>
      <w:r w:rsidRPr="005E5049">
        <w:t>Source:</w:t>
      </w:r>
      <w:r w:rsidRPr="005E5049">
        <w:tab/>
        <w:t>AER analysis.</w:t>
      </w:r>
    </w:p>
    <w:p w:rsidR="005E5049" w:rsidRPr="001C6565" w:rsidRDefault="005E5049" w:rsidP="001C6565">
      <w:pPr>
        <w:pStyle w:val="HeadingBoldItalic"/>
        <w:rPr>
          <w:rStyle w:val="AERtextorange"/>
          <w:color w:val="51626F"/>
        </w:rPr>
      </w:pPr>
      <w:bookmarkStart w:id="28" w:name="_Ref415684078"/>
      <w:bookmarkStart w:id="29" w:name="_Toc416346927"/>
      <w:r w:rsidRPr="001C6565">
        <w:rPr>
          <w:rStyle w:val="AERtextorange"/>
          <w:color w:val="51626F"/>
        </w:rPr>
        <w:t>Raw labour rates</w:t>
      </w:r>
      <w:bookmarkEnd w:id="28"/>
      <w:bookmarkEnd w:id="29"/>
    </w:p>
    <w:p w:rsidR="005E5049" w:rsidRPr="005E5049" w:rsidRDefault="005E5049" w:rsidP="005E5049">
      <w:r w:rsidRPr="005E5049">
        <w:t>In developing maximum raw labour rates (that is, excluding on-costs and overheads), we examined Hays 2014 salary data. The Hays 2014 salary reports draw on information from 2,500 companies across Australia and New Zealand. Relevant distributors in the Hays data who gave permission to be named were ActewAGL, Jemena and CitiPower.</w:t>
      </w:r>
      <w:r w:rsidRPr="002E0E5A">
        <w:rPr>
          <w:rStyle w:val="FootnoteReference"/>
        </w:rPr>
        <w:footnoteReference w:id="24"/>
      </w:r>
      <w:r w:rsidRPr="005E5049">
        <w:t xml:space="preserve"> The Hays rates draw from a wide pool of labour which the Victorian distributors would likely have access to. We therefore consider these rates provide a good representation of the competitive market rate for appropriate categories of labour. </w:t>
      </w:r>
    </w:p>
    <w:p w:rsidR="005E5049" w:rsidRPr="005E5049" w:rsidRDefault="005E5049" w:rsidP="005E5049">
      <w:r w:rsidRPr="005E5049">
        <w:t>We reviewed salary information from all Australian cities. However, we only used Victorian salary data to develop our maximum raw labour rates.</w:t>
      </w:r>
      <w:r w:rsidRPr="002E0E5A">
        <w:rPr>
          <w:rStyle w:val="FootnoteReference"/>
        </w:rPr>
        <w:footnoteReference w:id="25"/>
      </w:r>
    </w:p>
    <w:p w:rsidR="005E5049" w:rsidRPr="005E5049" w:rsidRDefault="005E5049" w:rsidP="005E5049">
      <w:r w:rsidRPr="005E5049">
        <w:t>For illustrative purposes, we also looked at raw labour rates (across the five benchmark labour categories) for Sydney and Auckland. Labour rates in each category did not vary significantly across these locations. The differences observed probably captured differences between locations including economic conditions, labour laws, and population. For these reasons, we</w:t>
      </w:r>
      <w:r w:rsidRPr="005E5049" w:rsidDel="003C0255">
        <w:t xml:space="preserve"> </w:t>
      </w:r>
      <w:r w:rsidRPr="005E5049">
        <w:t>consider that the Victorian rates alone were acceptable to develop maximum labour rates for ancillary network service charges for the Victorian distributors.</w:t>
      </w:r>
    </w:p>
    <w:p w:rsidR="005E5049" w:rsidRPr="005E5049" w:rsidRDefault="005E5049" w:rsidP="005E5049">
      <w:r w:rsidRPr="005E5049">
        <w:t>To calculate the maximum raw labour rates, we used job titles from Hays’ energy specific salary guide.</w:t>
      </w:r>
      <w:r w:rsidRPr="002E0E5A">
        <w:rPr>
          <w:rStyle w:val="FootnoteReference"/>
        </w:rPr>
        <w:footnoteReference w:id="26"/>
      </w:r>
      <w:r w:rsidRPr="005E5049">
        <w:t xml:space="preserve"> We supplemented this with data from the Hays office support salary guide.</w:t>
      </w:r>
      <w:r w:rsidRPr="002E0E5A">
        <w:rPr>
          <w:rStyle w:val="FootnoteReference"/>
        </w:rPr>
        <w:footnoteReference w:id="27"/>
      </w:r>
      <w:r w:rsidRPr="005E5049">
        <w:t xml:space="preserve"> This ensured that the ‘administration’ category was sufficiently covered. </w:t>
      </w:r>
    </w:p>
    <w:p w:rsidR="009A6A41" w:rsidRPr="005E5049" w:rsidRDefault="005E5049" w:rsidP="009A6A41">
      <w:r w:rsidRPr="005E5049">
        <w:t xml:space="preserve">We analysed 66 different job titles and used 36 of these to develop maximum raw labour rates for the five labour categories. </w:t>
      </w:r>
      <w:r w:rsidR="00FC5503">
        <w:fldChar w:fldCharType="begin"/>
      </w:r>
      <w:r w:rsidR="00FC5503">
        <w:instrText xml:space="preserve"> REF _Ref430952088 \h </w:instrText>
      </w:r>
      <w:r w:rsidR="00FC5503">
        <w:fldChar w:fldCharType="separate"/>
      </w:r>
      <w:r w:rsidR="009E0EFD">
        <w:t xml:space="preserve">Table </w:t>
      </w:r>
      <w:r w:rsidR="009E0EFD">
        <w:rPr>
          <w:noProof/>
        </w:rPr>
        <w:t>16</w:t>
      </w:r>
      <w:r w:rsidR="009E0EFD">
        <w:t>.</w:t>
      </w:r>
      <w:r w:rsidR="009E0EFD">
        <w:rPr>
          <w:noProof/>
        </w:rPr>
        <w:t>3</w:t>
      </w:r>
      <w:r w:rsidR="00FC5503">
        <w:fldChar w:fldCharType="end"/>
      </w:r>
      <w:r w:rsidR="00FC5503">
        <w:t xml:space="preserve"> </w:t>
      </w:r>
      <w:r w:rsidRPr="005E5049">
        <w:t>shows the job titles we used to develop maximum labour rates for each of the five labour categories. These 36 labour job titles involved tasks which clearly fell into either the 'administration', 'technical specialist', 'engineer', 'field worker', or 'senior engineer' labour categories. We excluded job titles that were not relevant to electricity distributors such as 'wind farm engineer'.</w:t>
      </w:r>
    </w:p>
    <w:p w:rsidR="002E0E5A" w:rsidRPr="005E5049" w:rsidRDefault="002E0E5A" w:rsidP="002E0E5A">
      <w:pPr>
        <w:pStyle w:val="Caption"/>
      </w:pPr>
      <w:bookmarkStart w:id="30" w:name="_Ref430952088"/>
      <w:proofErr w:type="gramStart"/>
      <w:r>
        <w:t xml:space="preserve">Table </w:t>
      </w:r>
      <w:proofErr w:type="gramEnd"/>
      <w:r w:rsidR="006A670B">
        <w:fldChar w:fldCharType="begin"/>
      </w:r>
      <w:r w:rsidR="006A670B">
        <w:instrText xml:space="preserve"> STYLEREF 1 \s </w:instrText>
      </w:r>
      <w:r w:rsidR="006A670B">
        <w:fldChar w:fldCharType="separate"/>
      </w:r>
      <w:r w:rsidR="009E0EFD">
        <w:rPr>
          <w:noProof/>
        </w:rPr>
        <w:t>16</w:t>
      </w:r>
      <w:r w:rsidR="006A670B">
        <w:fldChar w:fldCharType="end"/>
      </w:r>
      <w:proofErr w:type="gramStart"/>
      <w:r w:rsidR="006A670B">
        <w:t>.</w:t>
      </w:r>
      <w:proofErr w:type="gramEnd"/>
      <w:r w:rsidR="006A670B">
        <w:fldChar w:fldCharType="begin"/>
      </w:r>
      <w:r w:rsidR="006A670B">
        <w:instrText xml:space="preserve"> SEQ Table \* ARABIC \s 1 </w:instrText>
      </w:r>
      <w:r w:rsidR="006A670B">
        <w:fldChar w:fldCharType="separate"/>
      </w:r>
      <w:r w:rsidR="009E0EFD">
        <w:rPr>
          <w:noProof/>
        </w:rPr>
        <w:t>3</w:t>
      </w:r>
      <w:r w:rsidR="006A670B">
        <w:fldChar w:fldCharType="end"/>
      </w:r>
      <w:bookmarkEnd w:id="30"/>
      <w:r>
        <w:t xml:space="preserve"> Job titles we used to develop maximum labour rates</w:t>
      </w:r>
    </w:p>
    <w:tbl>
      <w:tblPr>
        <w:tblStyle w:val="AERtable-text0"/>
        <w:tblW w:w="0" w:type="auto"/>
        <w:tblLook w:val="04A0" w:firstRow="1" w:lastRow="0" w:firstColumn="1" w:lastColumn="0" w:noHBand="0" w:noVBand="1"/>
      </w:tblPr>
      <w:tblGrid>
        <w:gridCol w:w="4346"/>
        <w:gridCol w:w="4347"/>
      </w:tblGrid>
      <w:tr w:rsidR="005E5049" w:rsidRPr="005E5049" w:rsidTr="001C6565">
        <w:trPr>
          <w:cnfStyle w:val="100000000000" w:firstRow="1" w:lastRow="0" w:firstColumn="0" w:lastColumn="0" w:oddVBand="0" w:evenVBand="0" w:oddHBand="0" w:evenHBand="0" w:firstRowFirstColumn="0" w:firstRowLastColumn="0" w:lastRowFirstColumn="0" w:lastRowLastColumn="0"/>
          <w:tblHeader/>
        </w:trPr>
        <w:tc>
          <w:tcPr>
            <w:tcW w:w="4346" w:type="dxa"/>
          </w:tcPr>
          <w:p w:rsidR="005E5049" w:rsidRPr="005E5049" w:rsidRDefault="005E5049" w:rsidP="005E5049">
            <w:r w:rsidRPr="005E5049">
              <w:t>Labour category</w:t>
            </w:r>
          </w:p>
        </w:tc>
        <w:tc>
          <w:tcPr>
            <w:tcW w:w="4347" w:type="dxa"/>
          </w:tcPr>
          <w:p w:rsidR="005E5049" w:rsidRPr="005E5049" w:rsidRDefault="005E5049" w:rsidP="005E5049">
            <w:r w:rsidRPr="005E5049">
              <w:t>Job title</w:t>
            </w:r>
          </w:p>
        </w:tc>
      </w:tr>
      <w:tr w:rsidR="005E5049" w:rsidRPr="005E5049" w:rsidTr="005E5049">
        <w:tc>
          <w:tcPr>
            <w:tcW w:w="4346" w:type="dxa"/>
            <w:vMerge w:val="restart"/>
          </w:tcPr>
          <w:p w:rsidR="005E5049" w:rsidRPr="005E5049" w:rsidRDefault="005E5049" w:rsidP="005E5049">
            <w:r w:rsidRPr="005E5049">
              <w:t>Admin</w:t>
            </w:r>
            <w:r w:rsidR="002A46ED">
              <w:t>istration</w:t>
            </w:r>
          </w:p>
        </w:tc>
        <w:tc>
          <w:tcPr>
            <w:tcW w:w="4347" w:type="dxa"/>
          </w:tcPr>
          <w:p w:rsidR="005E5049" w:rsidRPr="005E5049" w:rsidRDefault="005E5049" w:rsidP="005E5049">
            <w:r w:rsidRPr="005E5049">
              <w:t>Project secretary / Administrator</w:t>
            </w:r>
          </w:p>
        </w:tc>
      </w:tr>
      <w:tr w:rsidR="005E5049" w:rsidRPr="005E5049" w:rsidTr="005E5049">
        <w:trPr>
          <w:cnfStyle w:val="000000010000" w:firstRow="0" w:lastRow="0" w:firstColumn="0" w:lastColumn="0" w:oddVBand="0" w:evenVBand="0" w:oddHBand="0" w:evenHBand="1" w:firstRowFirstColumn="0" w:firstRowLastColumn="0" w:lastRowFirstColumn="0" w:lastRowLastColumn="0"/>
        </w:trPr>
        <w:tc>
          <w:tcPr>
            <w:tcW w:w="4346" w:type="dxa"/>
            <w:vMerge/>
          </w:tcPr>
          <w:p w:rsidR="005E5049" w:rsidRPr="005E5049" w:rsidRDefault="005E5049" w:rsidP="005E5049"/>
        </w:tc>
        <w:tc>
          <w:tcPr>
            <w:tcW w:w="4347" w:type="dxa"/>
          </w:tcPr>
          <w:p w:rsidR="005E5049" w:rsidRPr="005E5049" w:rsidRDefault="005E5049" w:rsidP="005E5049">
            <w:r w:rsidRPr="005E5049">
              <w:t>Client liaison (residential)</w:t>
            </w:r>
          </w:p>
        </w:tc>
      </w:tr>
      <w:tr w:rsidR="005E5049" w:rsidRPr="005E5049" w:rsidTr="005E5049">
        <w:tc>
          <w:tcPr>
            <w:tcW w:w="4346" w:type="dxa"/>
            <w:vMerge/>
          </w:tcPr>
          <w:p w:rsidR="005E5049" w:rsidRPr="005E5049" w:rsidRDefault="005E5049" w:rsidP="005E5049"/>
        </w:tc>
        <w:tc>
          <w:tcPr>
            <w:tcW w:w="4347" w:type="dxa"/>
          </w:tcPr>
          <w:p w:rsidR="005E5049" w:rsidRPr="005E5049" w:rsidRDefault="005E5049" w:rsidP="005E5049">
            <w:r w:rsidRPr="005E5049">
              <w:t>Data entry operator</w:t>
            </w:r>
          </w:p>
        </w:tc>
      </w:tr>
      <w:tr w:rsidR="005E5049" w:rsidRPr="005E5049" w:rsidTr="005E5049">
        <w:trPr>
          <w:cnfStyle w:val="000000010000" w:firstRow="0" w:lastRow="0" w:firstColumn="0" w:lastColumn="0" w:oddVBand="0" w:evenVBand="0" w:oddHBand="0" w:evenHBand="1" w:firstRowFirstColumn="0" w:firstRowLastColumn="0" w:lastRowFirstColumn="0" w:lastRowLastColumn="0"/>
        </w:trPr>
        <w:tc>
          <w:tcPr>
            <w:tcW w:w="4346" w:type="dxa"/>
            <w:vMerge/>
          </w:tcPr>
          <w:p w:rsidR="005E5049" w:rsidRPr="005E5049" w:rsidRDefault="005E5049" w:rsidP="005E5049"/>
        </w:tc>
        <w:tc>
          <w:tcPr>
            <w:tcW w:w="4347" w:type="dxa"/>
          </w:tcPr>
          <w:p w:rsidR="005E5049" w:rsidRPr="005E5049" w:rsidRDefault="005E5049" w:rsidP="005E5049">
            <w:r w:rsidRPr="005E5049">
              <w:t>Records officer</w:t>
            </w:r>
          </w:p>
        </w:tc>
      </w:tr>
      <w:tr w:rsidR="005E5049" w:rsidRPr="005E5049" w:rsidTr="005E5049">
        <w:tc>
          <w:tcPr>
            <w:tcW w:w="4346" w:type="dxa"/>
            <w:vMerge/>
          </w:tcPr>
          <w:p w:rsidR="005E5049" w:rsidRPr="005E5049" w:rsidRDefault="005E5049" w:rsidP="005E5049"/>
        </w:tc>
        <w:tc>
          <w:tcPr>
            <w:tcW w:w="4347" w:type="dxa"/>
          </w:tcPr>
          <w:p w:rsidR="005E5049" w:rsidRPr="005E5049" w:rsidRDefault="005E5049" w:rsidP="005E5049">
            <w:r w:rsidRPr="005E5049">
              <w:t>Administration assistant (12+ months experience)</w:t>
            </w:r>
          </w:p>
        </w:tc>
      </w:tr>
      <w:tr w:rsidR="005E5049" w:rsidRPr="005E5049" w:rsidTr="005E5049">
        <w:trPr>
          <w:cnfStyle w:val="000000010000" w:firstRow="0" w:lastRow="0" w:firstColumn="0" w:lastColumn="0" w:oddVBand="0" w:evenVBand="0" w:oddHBand="0" w:evenHBand="1" w:firstRowFirstColumn="0" w:firstRowLastColumn="0" w:lastRowFirstColumn="0" w:lastRowLastColumn="0"/>
        </w:trPr>
        <w:tc>
          <w:tcPr>
            <w:tcW w:w="4346" w:type="dxa"/>
            <w:vMerge/>
          </w:tcPr>
          <w:p w:rsidR="005E5049" w:rsidRPr="005E5049" w:rsidRDefault="005E5049" w:rsidP="005E5049"/>
        </w:tc>
        <w:tc>
          <w:tcPr>
            <w:tcW w:w="4347" w:type="dxa"/>
          </w:tcPr>
          <w:p w:rsidR="005E5049" w:rsidRPr="005E5049" w:rsidRDefault="005E5049" w:rsidP="005E5049">
            <w:r w:rsidRPr="005E5049">
              <w:t>Project administration assistant (3+ years experience)</w:t>
            </w:r>
          </w:p>
        </w:tc>
      </w:tr>
      <w:tr w:rsidR="005E5049" w:rsidRPr="005E5049" w:rsidTr="005E5049">
        <w:tc>
          <w:tcPr>
            <w:tcW w:w="4346" w:type="dxa"/>
            <w:vMerge/>
          </w:tcPr>
          <w:p w:rsidR="005E5049" w:rsidRPr="005E5049" w:rsidRDefault="005E5049" w:rsidP="005E5049"/>
        </w:tc>
        <w:tc>
          <w:tcPr>
            <w:tcW w:w="4347" w:type="dxa"/>
          </w:tcPr>
          <w:p w:rsidR="005E5049" w:rsidRPr="005E5049" w:rsidRDefault="005E5049" w:rsidP="005E5049">
            <w:r w:rsidRPr="005E5049">
              <w:t>Project coordinator</w:t>
            </w:r>
          </w:p>
        </w:tc>
      </w:tr>
      <w:tr w:rsidR="005E5049" w:rsidRPr="005E5049" w:rsidTr="005E5049">
        <w:trPr>
          <w:cnfStyle w:val="000000010000" w:firstRow="0" w:lastRow="0" w:firstColumn="0" w:lastColumn="0" w:oddVBand="0" w:evenVBand="0" w:oddHBand="0" w:evenHBand="1" w:firstRowFirstColumn="0" w:firstRowLastColumn="0" w:lastRowFirstColumn="0" w:lastRowLastColumn="0"/>
        </w:trPr>
        <w:tc>
          <w:tcPr>
            <w:tcW w:w="4346" w:type="dxa"/>
            <w:vMerge w:val="restart"/>
          </w:tcPr>
          <w:p w:rsidR="005E5049" w:rsidRPr="005E5049" w:rsidRDefault="005E5049" w:rsidP="005E5049">
            <w:r w:rsidRPr="005E5049">
              <w:t>Technical specialist</w:t>
            </w:r>
          </w:p>
        </w:tc>
        <w:tc>
          <w:tcPr>
            <w:tcW w:w="4347" w:type="dxa"/>
          </w:tcPr>
          <w:p w:rsidR="005E5049" w:rsidRPr="005E5049" w:rsidRDefault="005E5049" w:rsidP="005E5049">
            <w:r w:rsidRPr="005E5049">
              <w:t>Technician</w:t>
            </w:r>
          </w:p>
        </w:tc>
      </w:tr>
      <w:tr w:rsidR="005E5049" w:rsidRPr="005E5049" w:rsidTr="005E5049">
        <w:tc>
          <w:tcPr>
            <w:tcW w:w="4346" w:type="dxa"/>
            <w:vMerge/>
          </w:tcPr>
          <w:p w:rsidR="005E5049" w:rsidRPr="005E5049" w:rsidRDefault="005E5049" w:rsidP="005E5049"/>
        </w:tc>
        <w:tc>
          <w:tcPr>
            <w:tcW w:w="4347" w:type="dxa"/>
          </w:tcPr>
          <w:p w:rsidR="005E5049" w:rsidRPr="005E5049" w:rsidRDefault="005E5049" w:rsidP="005E5049">
            <w:r w:rsidRPr="005E5049">
              <w:t>Control room operator</w:t>
            </w:r>
          </w:p>
        </w:tc>
      </w:tr>
      <w:tr w:rsidR="005E5049" w:rsidRPr="005E5049" w:rsidTr="005E5049">
        <w:trPr>
          <w:cnfStyle w:val="000000010000" w:firstRow="0" w:lastRow="0" w:firstColumn="0" w:lastColumn="0" w:oddVBand="0" w:evenVBand="0" w:oddHBand="0" w:evenHBand="1" w:firstRowFirstColumn="0" w:firstRowLastColumn="0" w:lastRowFirstColumn="0" w:lastRowLastColumn="0"/>
        </w:trPr>
        <w:tc>
          <w:tcPr>
            <w:tcW w:w="4346" w:type="dxa"/>
            <w:vMerge/>
          </w:tcPr>
          <w:p w:rsidR="005E5049" w:rsidRPr="005E5049" w:rsidRDefault="005E5049" w:rsidP="005E5049"/>
        </w:tc>
        <w:tc>
          <w:tcPr>
            <w:tcW w:w="4347" w:type="dxa"/>
          </w:tcPr>
          <w:p w:rsidR="005E5049" w:rsidRPr="005E5049" w:rsidRDefault="005E5049" w:rsidP="005E5049">
            <w:r w:rsidRPr="005E5049">
              <w:t>Control room manager</w:t>
            </w:r>
          </w:p>
        </w:tc>
      </w:tr>
      <w:tr w:rsidR="005E5049" w:rsidRPr="005E5049" w:rsidTr="005E5049">
        <w:tc>
          <w:tcPr>
            <w:tcW w:w="4346" w:type="dxa"/>
            <w:vMerge/>
          </w:tcPr>
          <w:p w:rsidR="005E5049" w:rsidRPr="005E5049" w:rsidRDefault="005E5049" w:rsidP="005E5049"/>
        </w:tc>
        <w:tc>
          <w:tcPr>
            <w:tcW w:w="4347" w:type="dxa"/>
          </w:tcPr>
          <w:p w:rsidR="005E5049" w:rsidRPr="005E5049" w:rsidRDefault="005E5049" w:rsidP="005E5049">
            <w:r w:rsidRPr="005E5049">
              <w:t>E&amp;I technician</w:t>
            </w:r>
          </w:p>
        </w:tc>
      </w:tr>
      <w:tr w:rsidR="005E5049" w:rsidRPr="005E5049" w:rsidTr="005E5049">
        <w:trPr>
          <w:cnfStyle w:val="000000010000" w:firstRow="0" w:lastRow="0" w:firstColumn="0" w:lastColumn="0" w:oddVBand="0" w:evenVBand="0" w:oddHBand="0" w:evenHBand="1" w:firstRowFirstColumn="0" w:firstRowLastColumn="0" w:lastRowFirstColumn="0" w:lastRowLastColumn="0"/>
        </w:trPr>
        <w:tc>
          <w:tcPr>
            <w:tcW w:w="4346" w:type="dxa"/>
            <w:vMerge/>
          </w:tcPr>
          <w:p w:rsidR="005E5049" w:rsidRPr="005E5049" w:rsidRDefault="005E5049" w:rsidP="005E5049"/>
        </w:tc>
        <w:tc>
          <w:tcPr>
            <w:tcW w:w="4347" w:type="dxa"/>
          </w:tcPr>
          <w:p w:rsidR="005E5049" w:rsidRPr="005E5049" w:rsidRDefault="005E5049" w:rsidP="005E5049">
            <w:r w:rsidRPr="005E5049">
              <w:t>Protection technician</w:t>
            </w:r>
          </w:p>
        </w:tc>
      </w:tr>
      <w:tr w:rsidR="005E5049" w:rsidRPr="005E5049" w:rsidTr="005E5049">
        <w:tc>
          <w:tcPr>
            <w:tcW w:w="4346" w:type="dxa"/>
            <w:vMerge/>
          </w:tcPr>
          <w:p w:rsidR="005E5049" w:rsidRPr="005E5049" w:rsidRDefault="005E5049" w:rsidP="005E5049"/>
        </w:tc>
        <w:tc>
          <w:tcPr>
            <w:tcW w:w="4347" w:type="dxa"/>
          </w:tcPr>
          <w:p w:rsidR="005E5049" w:rsidRPr="005E5049" w:rsidRDefault="005E5049" w:rsidP="005E5049">
            <w:r w:rsidRPr="005E5049">
              <w:t>Generator technician</w:t>
            </w:r>
          </w:p>
        </w:tc>
      </w:tr>
      <w:tr w:rsidR="005E5049" w:rsidRPr="005E5049" w:rsidTr="005E5049">
        <w:trPr>
          <w:cnfStyle w:val="000000010000" w:firstRow="0" w:lastRow="0" w:firstColumn="0" w:lastColumn="0" w:oddVBand="0" w:evenVBand="0" w:oddHBand="0" w:evenHBand="1" w:firstRowFirstColumn="0" w:firstRowLastColumn="0" w:lastRowFirstColumn="0" w:lastRowLastColumn="0"/>
        </w:trPr>
        <w:tc>
          <w:tcPr>
            <w:tcW w:w="4346" w:type="dxa"/>
            <w:vMerge/>
          </w:tcPr>
          <w:p w:rsidR="005E5049" w:rsidRPr="005E5049" w:rsidRDefault="005E5049" w:rsidP="005E5049"/>
        </w:tc>
        <w:tc>
          <w:tcPr>
            <w:tcW w:w="4347" w:type="dxa"/>
          </w:tcPr>
          <w:p w:rsidR="005E5049" w:rsidRPr="005E5049" w:rsidRDefault="005E5049" w:rsidP="005E5049">
            <w:r w:rsidRPr="005E5049">
              <w:t>Operator / manager</w:t>
            </w:r>
          </w:p>
        </w:tc>
      </w:tr>
      <w:tr w:rsidR="005E5049" w:rsidRPr="005E5049" w:rsidTr="005E5049">
        <w:tc>
          <w:tcPr>
            <w:tcW w:w="4346" w:type="dxa"/>
            <w:vMerge/>
          </w:tcPr>
          <w:p w:rsidR="005E5049" w:rsidRPr="005E5049" w:rsidRDefault="005E5049" w:rsidP="005E5049"/>
        </w:tc>
        <w:tc>
          <w:tcPr>
            <w:tcW w:w="4347" w:type="dxa"/>
          </w:tcPr>
          <w:p w:rsidR="005E5049" w:rsidRPr="005E5049" w:rsidRDefault="005E5049" w:rsidP="005E5049">
            <w:r w:rsidRPr="005E5049">
              <w:t>Site engineer</w:t>
            </w:r>
          </w:p>
        </w:tc>
      </w:tr>
      <w:tr w:rsidR="005E5049" w:rsidRPr="005E5049" w:rsidTr="005E5049">
        <w:trPr>
          <w:cnfStyle w:val="000000010000" w:firstRow="0" w:lastRow="0" w:firstColumn="0" w:lastColumn="0" w:oddVBand="0" w:evenVBand="0" w:oddHBand="0" w:evenHBand="1" w:firstRowFirstColumn="0" w:firstRowLastColumn="0" w:lastRowFirstColumn="0" w:lastRowLastColumn="0"/>
        </w:trPr>
        <w:tc>
          <w:tcPr>
            <w:tcW w:w="4346" w:type="dxa"/>
            <w:vMerge/>
          </w:tcPr>
          <w:p w:rsidR="005E5049" w:rsidRPr="005E5049" w:rsidRDefault="005E5049" w:rsidP="005E5049"/>
        </w:tc>
        <w:tc>
          <w:tcPr>
            <w:tcW w:w="4347" w:type="dxa"/>
          </w:tcPr>
          <w:p w:rsidR="005E5049" w:rsidRPr="005E5049" w:rsidRDefault="005E5049" w:rsidP="005E5049">
            <w:r w:rsidRPr="005E5049">
              <w:t>Planner / scheduler</w:t>
            </w:r>
          </w:p>
        </w:tc>
      </w:tr>
      <w:tr w:rsidR="005E5049" w:rsidRPr="005E5049" w:rsidTr="005E5049">
        <w:tc>
          <w:tcPr>
            <w:tcW w:w="4346" w:type="dxa"/>
            <w:vMerge/>
          </w:tcPr>
          <w:p w:rsidR="005E5049" w:rsidRPr="005E5049" w:rsidRDefault="005E5049" w:rsidP="005E5049"/>
        </w:tc>
        <w:tc>
          <w:tcPr>
            <w:tcW w:w="4347" w:type="dxa"/>
          </w:tcPr>
          <w:p w:rsidR="005E5049" w:rsidRPr="005E5049" w:rsidRDefault="005E5049" w:rsidP="005E5049">
            <w:r w:rsidRPr="005E5049">
              <w:t>OHS supervisor</w:t>
            </w:r>
          </w:p>
        </w:tc>
      </w:tr>
      <w:tr w:rsidR="005E5049" w:rsidRPr="005E5049" w:rsidTr="005E5049">
        <w:trPr>
          <w:cnfStyle w:val="000000010000" w:firstRow="0" w:lastRow="0" w:firstColumn="0" w:lastColumn="0" w:oddVBand="0" w:evenVBand="0" w:oddHBand="0" w:evenHBand="1" w:firstRowFirstColumn="0" w:firstRowLastColumn="0" w:lastRowFirstColumn="0" w:lastRowLastColumn="0"/>
        </w:trPr>
        <w:tc>
          <w:tcPr>
            <w:tcW w:w="4346" w:type="dxa"/>
            <w:vMerge/>
          </w:tcPr>
          <w:p w:rsidR="005E5049" w:rsidRPr="005E5049" w:rsidRDefault="005E5049" w:rsidP="005E5049"/>
        </w:tc>
        <w:tc>
          <w:tcPr>
            <w:tcW w:w="4347" w:type="dxa"/>
          </w:tcPr>
          <w:p w:rsidR="005E5049" w:rsidRPr="005E5049" w:rsidRDefault="005E5049" w:rsidP="005E5049">
            <w:r w:rsidRPr="005E5049">
              <w:t>OHS manager</w:t>
            </w:r>
          </w:p>
        </w:tc>
      </w:tr>
      <w:tr w:rsidR="005E5049" w:rsidRPr="005E5049" w:rsidTr="005E5049">
        <w:tc>
          <w:tcPr>
            <w:tcW w:w="4346" w:type="dxa"/>
            <w:vMerge w:val="restart"/>
          </w:tcPr>
          <w:p w:rsidR="005E5049" w:rsidRPr="005E5049" w:rsidRDefault="005E5049" w:rsidP="005E5049">
            <w:r w:rsidRPr="005E5049">
              <w:t>Engineer</w:t>
            </w:r>
          </w:p>
        </w:tc>
        <w:tc>
          <w:tcPr>
            <w:tcW w:w="4347" w:type="dxa"/>
          </w:tcPr>
          <w:p w:rsidR="005E5049" w:rsidRPr="005E5049" w:rsidRDefault="005E5049" w:rsidP="005E5049">
            <w:r w:rsidRPr="005E5049">
              <w:t>Design engineer</w:t>
            </w:r>
          </w:p>
        </w:tc>
      </w:tr>
      <w:tr w:rsidR="005E5049" w:rsidRPr="005E5049" w:rsidTr="005E5049">
        <w:trPr>
          <w:cnfStyle w:val="000000010000" w:firstRow="0" w:lastRow="0" w:firstColumn="0" w:lastColumn="0" w:oddVBand="0" w:evenVBand="0" w:oddHBand="0" w:evenHBand="1" w:firstRowFirstColumn="0" w:firstRowLastColumn="0" w:lastRowFirstColumn="0" w:lastRowLastColumn="0"/>
        </w:trPr>
        <w:tc>
          <w:tcPr>
            <w:tcW w:w="4346" w:type="dxa"/>
            <w:vMerge/>
          </w:tcPr>
          <w:p w:rsidR="005E5049" w:rsidRPr="005E5049" w:rsidRDefault="005E5049" w:rsidP="005E5049"/>
        </w:tc>
        <w:tc>
          <w:tcPr>
            <w:tcW w:w="4347" w:type="dxa"/>
          </w:tcPr>
          <w:p w:rsidR="005E5049" w:rsidRPr="005E5049" w:rsidRDefault="005E5049" w:rsidP="005E5049">
            <w:r w:rsidRPr="005E5049">
              <w:t>Project engineer (EPCM)</w:t>
            </w:r>
          </w:p>
        </w:tc>
      </w:tr>
      <w:tr w:rsidR="005E5049" w:rsidRPr="005E5049" w:rsidTr="005E5049">
        <w:tc>
          <w:tcPr>
            <w:tcW w:w="4346" w:type="dxa"/>
            <w:vMerge/>
          </w:tcPr>
          <w:p w:rsidR="005E5049" w:rsidRPr="005E5049" w:rsidRDefault="005E5049" w:rsidP="005E5049"/>
        </w:tc>
        <w:tc>
          <w:tcPr>
            <w:tcW w:w="4347" w:type="dxa"/>
          </w:tcPr>
          <w:p w:rsidR="005E5049" w:rsidRPr="005E5049" w:rsidRDefault="005E5049" w:rsidP="005E5049">
            <w:r w:rsidRPr="005E5049">
              <w:t>Power systems engineer</w:t>
            </w:r>
          </w:p>
        </w:tc>
      </w:tr>
      <w:tr w:rsidR="005E5049" w:rsidRPr="005E5049" w:rsidTr="005E5049">
        <w:trPr>
          <w:cnfStyle w:val="000000010000" w:firstRow="0" w:lastRow="0" w:firstColumn="0" w:lastColumn="0" w:oddVBand="0" w:evenVBand="0" w:oddHBand="0" w:evenHBand="1" w:firstRowFirstColumn="0" w:firstRowLastColumn="0" w:lastRowFirstColumn="0" w:lastRowLastColumn="0"/>
        </w:trPr>
        <w:tc>
          <w:tcPr>
            <w:tcW w:w="4346" w:type="dxa"/>
            <w:vMerge/>
          </w:tcPr>
          <w:p w:rsidR="005E5049" w:rsidRPr="005E5049" w:rsidRDefault="005E5049" w:rsidP="005E5049"/>
        </w:tc>
        <w:tc>
          <w:tcPr>
            <w:tcW w:w="4347" w:type="dxa"/>
          </w:tcPr>
          <w:p w:rsidR="005E5049" w:rsidRPr="005E5049" w:rsidRDefault="005E5049" w:rsidP="005E5049">
            <w:r w:rsidRPr="005E5049">
              <w:t>Protection engineer</w:t>
            </w:r>
          </w:p>
        </w:tc>
      </w:tr>
      <w:tr w:rsidR="005E5049" w:rsidRPr="005E5049" w:rsidTr="005E5049">
        <w:tc>
          <w:tcPr>
            <w:tcW w:w="4346" w:type="dxa"/>
            <w:vMerge/>
          </w:tcPr>
          <w:p w:rsidR="005E5049" w:rsidRPr="005E5049" w:rsidRDefault="005E5049" w:rsidP="005E5049"/>
        </w:tc>
        <w:tc>
          <w:tcPr>
            <w:tcW w:w="4347" w:type="dxa"/>
          </w:tcPr>
          <w:p w:rsidR="005E5049" w:rsidRPr="005E5049" w:rsidRDefault="005E5049" w:rsidP="005E5049">
            <w:r w:rsidRPr="005E5049">
              <w:t>Transmission line design engineer</w:t>
            </w:r>
          </w:p>
        </w:tc>
      </w:tr>
      <w:tr w:rsidR="005E5049" w:rsidRPr="005E5049" w:rsidTr="005E5049">
        <w:trPr>
          <w:cnfStyle w:val="000000010000" w:firstRow="0" w:lastRow="0" w:firstColumn="0" w:lastColumn="0" w:oddVBand="0" w:evenVBand="0" w:oddHBand="0" w:evenHBand="1" w:firstRowFirstColumn="0" w:firstRowLastColumn="0" w:lastRowFirstColumn="0" w:lastRowLastColumn="0"/>
        </w:trPr>
        <w:tc>
          <w:tcPr>
            <w:tcW w:w="4346" w:type="dxa"/>
            <w:vMerge/>
          </w:tcPr>
          <w:p w:rsidR="005E5049" w:rsidRPr="005E5049" w:rsidRDefault="005E5049" w:rsidP="005E5049"/>
        </w:tc>
        <w:tc>
          <w:tcPr>
            <w:tcW w:w="4347" w:type="dxa"/>
          </w:tcPr>
          <w:p w:rsidR="005E5049" w:rsidRPr="005E5049" w:rsidRDefault="005E5049" w:rsidP="005E5049">
            <w:r w:rsidRPr="005E5049">
              <w:t>Asset engineer (3 to 7 years)</w:t>
            </w:r>
          </w:p>
        </w:tc>
      </w:tr>
      <w:tr w:rsidR="005E5049" w:rsidRPr="005E5049" w:rsidTr="005E5049">
        <w:tc>
          <w:tcPr>
            <w:tcW w:w="4346" w:type="dxa"/>
            <w:vMerge/>
          </w:tcPr>
          <w:p w:rsidR="005E5049" w:rsidRPr="005E5049" w:rsidRDefault="005E5049" w:rsidP="005E5049"/>
        </w:tc>
        <w:tc>
          <w:tcPr>
            <w:tcW w:w="4347" w:type="dxa"/>
          </w:tcPr>
          <w:p w:rsidR="005E5049" w:rsidRPr="005E5049" w:rsidRDefault="005E5049" w:rsidP="005E5049">
            <w:r w:rsidRPr="005E5049">
              <w:t>Project engineer</w:t>
            </w:r>
          </w:p>
        </w:tc>
      </w:tr>
      <w:tr w:rsidR="005E5049" w:rsidRPr="005E5049" w:rsidTr="005E5049">
        <w:trPr>
          <w:cnfStyle w:val="000000010000" w:firstRow="0" w:lastRow="0" w:firstColumn="0" w:lastColumn="0" w:oddVBand="0" w:evenVBand="0" w:oddHBand="0" w:evenHBand="1" w:firstRowFirstColumn="0" w:firstRowLastColumn="0" w:lastRowFirstColumn="0" w:lastRowLastColumn="0"/>
        </w:trPr>
        <w:tc>
          <w:tcPr>
            <w:tcW w:w="4346" w:type="dxa"/>
            <w:vMerge w:val="restart"/>
          </w:tcPr>
          <w:p w:rsidR="005E5049" w:rsidRPr="005E5049" w:rsidRDefault="005E5049" w:rsidP="005E5049">
            <w:r w:rsidRPr="005E5049">
              <w:t>Field worker</w:t>
            </w:r>
          </w:p>
        </w:tc>
        <w:tc>
          <w:tcPr>
            <w:tcW w:w="4347" w:type="dxa"/>
          </w:tcPr>
          <w:p w:rsidR="005E5049" w:rsidRPr="005E5049" w:rsidRDefault="005E5049" w:rsidP="005E5049">
            <w:r w:rsidRPr="005E5049">
              <w:t>Leading hand</w:t>
            </w:r>
          </w:p>
        </w:tc>
      </w:tr>
      <w:tr w:rsidR="005E5049" w:rsidRPr="005E5049" w:rsidTr="005E5049">
        <w:tc>
          <w:tcPr>
            <w:tcW w:w="4346" w:type="dxa"/>
            <w:vMerge/>
          </w:tcPr>
          <w:p w:rsidR="005E5049" w:rsidRPr="005E5049" w:rsidRDefault="005E5049" w:rsidP="005E5049"/>
        </w:tc>
        <w:tc>
          <w:tcPr>
            <w:tcW w:w="4347" w:type="dxa"/>
          </w:tcPr>
          <w:p w:rsidR="005E5049" w:rsidRPr="005E5049" w:rsidRDefault="005E5049" w:rsidP="005E5049">
            <w:r w:rsidRPr="005E5049">
              <w:t>Electrician</w:t>
            </w:r>
          </w:p>
        </w:tc>
      </w:tr>
      <w:tr w:rsidR="005E5049" w:rsidRPr="005E5049" w:rsidTr="005E5049">
        <w:trPr>
          <w:cnfStyle w:val="000000010000" w:firstRow="0" w:lastRow="0" w:firstColumn="0" w:lastColumn="0" w:oddVBand="0" w:evenVBand="0" w:oddHBand="0" w:evenHBand="1" w:firstRowFirstColumn="0" w:firstRowLastColumn="0" w:lastRowFirstColumn="0" w:lastRowLastColumn="0"/>
        </w:trPr>
        <w:tc>
          <w:tcPr>
            <w:tcW w:w="4346" w:type="dxa"/>
            <w:vMerge/>
          </w:tcPr>
          <w:p w:rsidR="005E5049" w:rsidRPr="005E5049" w:rsidRDefault="005E5049" w:rsidP="005E5049"/>
        </w:tc>
        <w:tc>
          <w:tcPr>
            <w:tcW w:w="4347" w:type="dxa"/>
          </w:tcPr>
          <w:p w:rsidR="005E5049" w:rsidRPr="005E5049" w:rsidRDefault="005E5049" w:rsidP="005E5049">
            <w:r w:rsidRPr="005E5049">
              <w:t>Mechanical fitter</w:t>
            </w:r>
          </w:p>
        </w:tc>
      </w:tr>
      <w:tr w:rsidR="005E5049" w:rsidRPr="005E5049" w:rsidTr="005E5049">
        <w:tc>
          <w:tcPr>
            <w:tcW w:w="4346" w:type="dxa"/>
            <w:vMerge/>
          </w:tcPr>
          <w:p w:rsidR="005E5049" w:rsidRPr="005E5049" w:rsidRDefault="005E5049" w:rsidP="005E5049"/>
        </w:tc>
        <w:tc>
          <w:tcPr>
            <w:tcW w:w="4347" w:type="dxa"/>
          </w:tcPr>
          <w:p w:rsidR="005E5049" w:rsidRPr="005E5049" w:rsidRDefault="005E5049" w:rsidP="005E5049">
            <w:r w:rsidRPr="005E5049">
              <w:t>Line worker</w:t>
            </w:r>
          </w:p>
        </w:tc>
      </w:tr>
      <w:tr w:rsidR="005E5049" w:rsidRPr="005E5049" w:rsidTr="005E5049">
        <w:trPr>
          <w:cnfStyle w:val="000000010000" w:firstRow="0" w:lastRow="0" w:firstColumn="0" w:lastColumn="0" w:oddVBand="0" w:evenVBand="0" w:oddHBand="0" w:evenHBand="1" w:firstRowFirstColumn="0" w:firstRowLastColumn="0" w:lastRowFirstColumn="0" w:lastRowLastColumn="0"/>
        </w:trPr>
        <w:tc>
          <w:tcPr>
            <w:tcW w:w="4346" w:type="dxa"/>
            <w:vMerge/>
          </w:tcPr>
          <w:p w:rsidR="005E5049" w:rsidRPr="005E5049" w:rsidRDefault="005E5049" w:rsidP="005E5049"/>
        </w:tc>
        <w:tc>
          <w:tcPr>
            <w:tcW w:w="4347" w:type="dxa"/>
          </w:tcPr>
          <w:p w:rsidR="005E5049" w:rsidRPr="005E5049" w:rsidRDefault="005E5049" w:rsidP="005E5049">
            <w:r w:rsidRPr="005E5049">
              <w:t>G&amp;B linesworker</w:t>
            </w:r>
          </w:p>
        </w:tc>
      </w:tr>
      <w:tr w:rsidR="005E5049" w:rsidRPr="005E5049" w:rsidTr="005E5049">
        <w:tc>
          <w:tcPr>
            <w:tcW w:w="4346" w:type="dxa"/>
            <w:vMerge/>
          </w:tcPr>
          <w:p w:rsidR="005E5049" w:rsidRPr="005E5049" w:rsidRDefault="005E5049" w:rsidP="005E5049"/>
        </w:tc>
        <w:tc>
          <w:tcPr>
            <w:tcW w:w="4347" w:type="dxa"/>
          </w:tcPr>
          <w:p w:rsidR="005E5049" w:rsidRPr="005E5049" w:rsidRDefault="005E5049" w:rsidP="005E5049">
            <w:r w:rsidRPr="005E5049">
              <w:t>Cable jointer</w:t>
            </w:r>
          </w:p>
        </w:tc>
      </w:tr>
      <w:tr w:rsidR="005E5049" w:rsidRPr="005E5049" w:rsidTr="005E5049">
        <w:trPr>
          <w:cnfStyle w:val="000000010000" w:firstRow="0" w:lastRow="0" w:firstColumn="0" w:lastColumn="0" w:oddVBand="0" w:evenVBand="0" w:oddHBand="0" w:evenHBand="1" w:firstRowFirstColumn="0" w:firstRowLastColumn="0" w:lastRowFirstColumn="0" w:lastRowLastColumn="0"/>
        </w:trPr>
        <w:tc>
          <w:tcPr>
            <w:tcW w:w="4346" w:type="dxa"/>
            <w:vMerge/>
          </w:tcPr>
          <w:p w:rsidR="005E5049" w:rsidRPr="005E5049" w:rsidRDefault="005E5049" w:rsidP="005E5049"/>
        </w:tc>
        <w:tc>
          <w:tcPr>
            <w:tcW w:w="4347" w:type="dxa"/>
          </w:tcPr>
          <w:p w:rsidR="005E5049" w:rsidRPr="005E5049" w:rsidRDefault="005E5049" w:rsidP="005E5049">
            <w:r w:rsidRPr="005E5049">
              <w:t>Cable layer</w:t>
            </w:r>
          </w:p>
        </w:tc>
      </w:tr>
      <w:tr w:rsidR="005E5049" w:rsidRPr="005E5049" w:rsidTr="005E5049">
        <w:tc>
          <w:tcPr>
            <w:tcW w:w="4346" w:type="dxa"/>
            <w:vMerge w:val="restart"/>
          </w:tcPr>
          <w:p w:rsidR="005E5049" w:rsidRPr="005E5049" w:rsidRDefault="005E5049" w:rsidP="005E5049">
            <w:r w:rsidRPr="005E5049">
              <w:t>Senior engineer</w:t>
            </w:r>
          </w:p>
        </w:tc>
        <w:tc>
          <w:tcPr>
            <w:tcW w:w="4347" w:type="dxa"/>
          </w:tcPr>
          <w:p w:rsidR="005E5049" w:rsidRPr="005E5049" w:rsidRDefault="005E5049" w:rsidP="005E5049">
            <w:r w:rsidRPr="005E5049">
              <w:t>Senior design engineer</w:t>
            </w:r>
          </w:p>
        </w:tc>
      </w:tr>
      <w:tr w:rsidR="005E5049" w:rsidRPr="005E5049" w:rsidTr="005E5049">
        <w:trPr>
          <w:cnfStyle w:val="000000010000" w:firstRow="0" w:lastRow="0" w:firstColumn="0" w:lastColumn="0" w:oddVBand="0" w:evenVBand="0" w:oddHBand="0" w:evenHBand="1" w:firstRowFirstColumn="0" w:firstRowLastColumn="0" w:lastRowFirstColumn="0" w:lastRowLastColumn="0"/>
        </w:trPr>
        <w:tc>
          <w:tcPr>
            <w:tcW w:w="4346" w:type="dxa"/>
            <w:vMerge/>
          </w:tcPr>
          <w:p w:rsidR="005E5049" w:rsidRPr="005E5049" w:rsidRDefault="005E5049" w:rsidP="005E5049"/>
        </w:tc>
        <w:tc>
          <w:tcPr>
            <w:tcW w:w="4347" w:type="dxa"/>
          </w:tcPr>
          <w:p w:rsidR="005E5049" w:rsidRPr="005E5049" w:rsidRDefault="005E5049" w:rsidP="005E5049">
            <w:r w:rsidRPr="005E5049">
              <w:t>Principal design engineer</w:t>
            </w:r>
          </w:p>
        </w:tc>
      </w:tr>
      <w:tr w:rsidR="005E5049" w:rsidRPr="005E5049" w:rsidTr="005E5049">
        <w:tc>
          <w:tcPr>
            <w:tcW w:w="4346" w:type="dxa"/>
            <w:vMerge/>
          </w:tcPr>
          <w:p w:rsidR="005E5049" w:rsidRPr="005E5049" w:rsidRDefault="005E5049" w:rsidP="005E5049"/>
        </w:tc>
        <w:tc>
          <w:tcPr>
            <w:tcW w:w="4347" w:type="dxa"/>
          </w:tcPr>
          <w:p w:rsidR="005E5049" w:rsidRPr="005E5049" w:rsidRDefault="005E5049" w:rsidP="005E5049">
            <w:r w:rsidRPr="005E5049">
              <w:t>Senior project engineer (EPCM)</w:t>
            </w:r>
          </w:p>
        </w:tc>
      </w:tr>
      <w:tr w:rsidR="005E5049" w:rsidRPr="005E5049" w:rsidTr="005E5049">
        <w:trPr>
          <w:cnfStyle w:val="000000010000" w:firstRow="0" w:lastRow="0" w:firstColumn="0" w:lastColumn="0" w:oddVBand="0" w:evenVBand="0" w:oddHBand="0" w:evenHBand="1" w:firstRowFirstColumn="0" w:firstRowLastColumn="0" w:lastRowFirstColumn="0" w:lastRowLastColumn="0"/>
        </w:trPr>
        <w:tc>
          <w:tcPr>
            <w:tcW w:w="4346" w:type="dxa"/>
            <w:vMerge/>
          </w:tcPr>
          <w:p w:rsidR="005E5049" w:rsidRPr="005E5049" w:rsidRDefault="005E5049" w:rsidP="005E5049"/>
        </w:tc>
        <w:tc>
          <w:tcPr>
            <w:tcW w:w="4347" w:type="dxa"/>
          </w:tcPr>
          <w:p w:rsidR="005E5049" w:rsidRPr="005E5049" w:rsidRDefault="002E0E5A" w:rsidP="005E5049">
            <w:r>
              <w:t>Commissioning e</w:t>
            </w:r>
            <w:r w:rsidR="005E5049" w:rsidRPr="005E5049">
              <w:t>ngineer</w:t>
            </w:r>
          </w:p>
        </w:tc>
      </w:tr>
    </w:tbl>
    <w:p w:rsidR="005E5049" w:rsidRPr="005E5049" w:rsidRDefault="005E5049" w:rsidP="002E0E5A">
      <w:pPr>
        <w:pStyle w:val="AERtablesource"/>
      </w:pPr>
      <w:r w:rsidRPr="005E5049">
        <w:t>Source:</w:t>
      </w:r>
      <w:r w:rsidRPr="005E5049">
        <w:tab/>
        <w:t>Marsden Jacob analysis.</w:t>
      </w:r>
    </w:p>
    <w:p w:rsidR="005E5049" w:rsidRPr="005E5049" w:rsidRDefault="005E5049" w:rsidP="005E5049">
      <w:r w:rsidRPr="005E5049">
        <w:t>We considered the range of data provided for each labour category across the various job titles. In doing this, we derived salary ranges for each labour category by:</w:t>
      </w:r>
    </w:p>
    <w:p w:rsidR="005E5049" w:rsidRPr="005E5049" w:rsidRDefault="005E5049" w:rsidP="005F4EB2">
      <w:pPr>
        <w:pStyle w:val="AERbulletlistfirststyle"/>
      </w:pPr>
      <w:r w:rsidRPr="005E5049">
        <w:t>identifying the lowest salary from all job titles in the labour category</w:t>
      </w:r>
    </w:p>
    <w:p w:rsidR="005E5049" w:rsidRPr="005E5049" w:rsidRDefault="005E5049" w:rsidP="005F4EB2">
      <w:pPr>
        <w:pStyle w:val="AERbulletlistfirststyle"/>
      </w:pPr>
      <w:proofErr w:type="gramStart"/>
      <w:r w:rsidRPr="005E5049">
        <w:t>identifying</w:t>
      </w:r>
      <w:proofErr w:type="gramEnd"/>
      <w:r w:rsidRPr="005E5049">
        <w:t xml:space="preserve"> the highest salary from all job titles in the labour category.</w:t>
      </w:r>
    </w:p>
    <w:p w:rsidR="005E5049" w:rsidRPr="005E5049" w:rsidRDefault="005E5049" w:rsidP="005E5049">
      <w:r w:rsidRPr="005E5049">
        <w:t xml:space="preserve">We consider this range represents the full pool of labour (and raw labour rates) that </w:t>
      </w:r>
      <w:r w:rsidR="005F4EB2">
        <w:t>AusNet Services</w:t>
      </w:r>
      <w:r w:rsidRPr="005E5049">
        <w:t xml:space="preserve"> would have access to in a competitive market. We consider that the maximum raw labour rate for each labour category should be used to develop its maximum total labour rate. We consider this to be a prudent approach. It provides the distribution business with a reasonable opportunity to recover at least its efficient costs, while promoting the efficient provision of services.</w:t>
      </w:r>
    </w:p>
    <w:p w:rsidR="005E5049" w:rsidRPr="005E5049" w:rsidRDefault="005F4EB2" w:rsidP="005F4EB2">
      <w:pPr>
        <w:pStyle w:val="Caption"/>
      </w:pPr>
      <w:proofErr w:type="gramStart"/>
      <w:r>
        <w:t xml:space="preserve">Table </w:t>
      </w:r>
      <w:proofErr w:type="gramEnd"/>
      <w:r w:rsidR="006A670B">
        <w:fldChar w:fldCharType="begin"/>
      </w:r>
      <w:r w:rsidR="006A670B">
        <w:instrText xml:space="preserve"> STYLEREF 1 \s </w:instrText>
      </w:r>
      <w:r w:rsidR="006A670B">
        <w:fldChar w:fldCharType="separate"/>
      </w:r>
      <w:r w:rsidR="009E0EFD">
        <w:rPr>
          <w:noProof/>
        </w:rPr>
        <w:t>16</w:t>
      </w:r>
      <w:r w:rsidR="006A670B">
        <w:fldChar w:fldCharType="end"/>
      </w:r>
      <w:proofErr w:type="gramStart"/>
      <w:r w:rsidR="006A670B">
        <w:t>.</w:t>
      </w:r>
      <w:proofErr w:type="gramEnd"/>
      <w:r w:rsidR="006A670B">
        <w:fldChar w:fldCharType="begin"/>
      </w:r>
      <w:r w:rsidR="006A670B">
        <w:instrText xml:space="preserve"> SEQ Table \* ARABIC \s 1 </w:instrText>
      </w:r>
      <w:r w:rsidR="006A670B">
        <w:fldChar w:fldCharType="separate"/>
      </w:r>
      <w:r w:rsidR="009E0EFD">
        <w:rPr>
          <w:noProof/>
        </w:rPr>
        <w:t>4</w:t>
      </w:r>
      <w:r w:rsidR="006A670B">
        <w:fldChar w:fldCharType="end"/>
      </w:r>
      <w:r>
        <w:t xml:space="preserve"> </w:t>
      </w:r>
      <w:r w:rsidR="00F17713">
        <w:tab/>
      </w:r>
      <w:r>
        <w:t>AER maximum raw labour rates</w:t>
      </w:r>
    </w:p>
    <w:tbl>
      <w:tblPr>
        <w:tblStyle w:val="AERtable-numbers"/>
        <w:tblW w:w="0" w:type="auto"/>
        <w:tblLook w:val="04A0" w:firstRow="1" w:lastRow="0" w:firstColumn="1" w:lastColumn="0" w:noHBand="0" w:noVBand="1"/>
      </w:tblPr>
      <w:tblGrid>
        <w:gridCol w:w="4346"/>
        <w:gridCol w:w="4347"/>
      </w:tblGrid>
      <w:tr w:rsidR="005E5049" w:rsidRPr="005E5049" w:rsidTr="002E0E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5E5049" w:rsidRPr="005E5049" w:rsidRDefault="005E5049" w:rsidP="005E5049">
            <w:r w:rsidRPr="005E5049">
              <w:t>Labour category</w:t>
            </w:r>
          </w:p>
        </w:tc>
        <w:tc>
          <w:tcPr>
            <w:tcW w:w="4347" w:type="dxa"/>
          </w:tcPr>
          <w:p w:rsidR="005E5049" w:rsidRPr="005E5049" w:rsidRDefault="005E5049" w:rsidP="005E5049">
            <w:pPr>
              <w:cnfStyle w:val="100000000000" w:firstRow="1" w:lastRow="0" w:firstColumn="0" w:lastColumn="0" w:oddVBand="0" w:evenVBand="0" w:oddHBand="0" w:evenHBand="0" w:firstRowFirstColumn="0" w:firstRowLastColumn="0" w:lastRowFirstColumn="0" w:lastRowLastColumn="0"/>
            </w:pPr>
            <w:r w:rsidRPr="005E5049">
              <w:t>AER maximum raw labour rates ($2014)</w:t>
            </w:r>
          </w:p>
        </w:tc>
      </w:tr>
      <w:tr w:rsidR="00A56E3B" w:rsidRPr="005E5049" w:rsidTr="002E0E5A">
        <w:tc>
          <w:tcPr>
            <w:cnfStyle w:val="001000000000" w:firstRow="0" w:lastRow="0" w:firstColumn="1" w:lastColumn="0" w:oddVBand="0" w:evenVBand="0" w:oddHBand="0" w:evenHBand="0" w:firstRowFirstColumn="0" w:firstRowLastColumn="0" w:lastRowFirstColumn="0" w:lastRowLastColumn="0"/>
            <w:tcW w:w="4346" w:type="dxa"/>
          </w:tcPr>
          <w:p w:rsidR="00A56E3B" w:rsidRPr="00A56E3B" w:rsidRDefault="00A56E3B" w:rsidP="00A56E3B">
            <w:r>
              <w:t>Administration</w:t>
            </w:r>
          </w:p>
        </w:tc>
        <w:tc>
          <w:tcPr>
            <w:tcW w:w="4347" w:type="dxa"/>
          </w:tcPr>
          <w:p w:rsidR="00A56E3B" w:rsidRPr="005E5049" w:rsidRDefault="00C54042" w:rsidP="00A56E3B">
            <w:pPr>
              <w:cnfStyle w:val="000000000000" w:firstRow="0" w:lastRow="0" w:firstColumn="0" w:lastColumn="0" w:oddVBand="0" w:evenVBand="0" w:oddHBand="0" w:evenHBand="0" w:firstRowFirstColumn="0" w:firstRowLastColumn="0" w:lastRowFirstColumn="0" w:lastRowLastColumn="0"/>
            </w:pPr>
            <w:r>
              <w:t>38.46</w:t>
            </w:r>
          </w:p>
        </w:tc>
      </w:tr>
      <w:tr w:rsidR="00A56E3B" w:rsidRPr="005E5049" w:rsidTr="002E0E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A56E3B" w:rsidRPr="00A56E3B" w:rsidRDefault="00A56E3B" w:rsidP="00A56E3B">
            <w:r>
              <w:t>Technical</w:t>
            </w:r>
          </w:p>
        </w:tc>
        <w:tc>
          <w:tcPr>
            <w:tcW w:w="4347" w:type="dxa"/>
          </w:tcPr>
          <w:p w:rsidR="00A56E3B" w:rsidRPr="005E5049" w:rsidRDefault="00C54042" w:rsidP="00A56E3B">
            <w:pPr>
              <w:cnfStyle w:val="000000010000" w:firstRow="0" w:lastRow="0" w:firstColumn="0" w:lastColumn="0" w:oddVBand="0" w:evenVBand="0" w:oddHBand="0" w:evenHBand="1" w:firstRowFirstColumn="0" w:firstRowLastColumn="0" w:lastRowFirstColumn="0" w:lastRowLastColumn="0"/>
            </w:pPr>
            <w:r>
              <w:t>67.31</w:t>
            </w:r>
          </w:p>
        </w:tc>
      </w:tr>
      <w:tr w:rsidR="00A56E3B" w:rsidRPr="005E5049" w:rsidTr="002E0E5A">
        <w:tc>
          <w:tcPr>
            <w:cnfStyle w:val="001000000000" w:firstRow="0" w:lastRow="0" w:firstColumn="1" w:lastColumn="0" w:oddVBand="0" w:evenVBand="0" w:oddHBand="0" w:evenHBand="0" w:firstRowFirstColumn="0" w:firstRowLastColumn="0" w:lastRowFirstColumn="0" w:lastRowLastColumn="0"/>
            <w:tcW w:w="4346" w:type="dxa"/>
          </w:tcPr>
          <w:p w:rsidR="00A56E3B" w:rsidRPr="00A56E3B" w:rsidRDefault="00A56E3B" w:rsidP="00A56E3B">
            <w:r>
              <w:t>Engineer</w:t>
            </w:r>
          </w:p>
        </w:tc>
        <w:tc>
          <w:tcPr>
            <w:tcW w:w="4347" w:type="dxa"/>
          </w:tcPr>
          <w:p w:rsidR="00A56E3B" w:rsidRPr="005E5049" w:rsidRDefault="00C54042" w:rsidP="00A56E3B">
            <w:pPr>
              <w:cnfStyle w:val="000000000000" w:firstRow="0" w:lastRow="0" w:firstColumn="0" w:lastColumn="0" w:oddVBand="0" w:evenVBand="0" w:oddHBand="0" w:evenHBand="0" w:firstRowFirstColumn="0" w:firstRowLastColumn="0" w:lastRowFirstColumn="0" w:lastRowLastColumn="0"/>
            </w:pPr>
            <w:r>
              <w:t>72.12</w:t>
            </w:r>
          </w:p>
        </w:tc>
      </w:tr>
      <w:tr w:rsidR="00A56E3B" w:rsidRPr="005E5049" w:rsidTr="002E0E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A56E3B" w:rsidRPr="00A56E3B" w:rsidRDefault="00A56E3B" w:rsidP="00A56E3B">
            <w:r>
              <w:t>F</w:t>
            </w:r>
            <w:r w:rsidRPr="00A56E3B">
              <w:t>ield worker</w:t>
            </w:r>
          </w:p>
        </w:tc>
        <w:tc>
          <w:tcPr>
            <w:tcW w:w="4347" w:type="dxa"/>
          </w:tcPr>
          <w:p w:rsidR="00A56E3B" w:rsidRPr="005E5049" w:rsidRDefault="00C54042" w:rsidP="00A56E3B">
            <w:pPr>
              <w:cnfStyle w:val="000000010000" w:firstRow="0" w:lastRow="0" w:firstColumn="0" w:lastColumn="0" w:oddVBand="0" w:evenVBand="0" w:oddHBand="0" w:evenHBand="1" w:firstRowFirstColumn="0" w:firstRowLastColumn="0" w:lastRowFirstColumn="0" w:lastRowLastColumn="0"/>
            </w:pPr>
            <w:r>
              <w:t>67.31</w:t>
            </w:r>
          </w:p>
        </w:tc>
      </w:tr>
      <w:tr w:rsidR="00A56E3B" w:rsidRPr="005E5049" w:rsidTr="002E0E5A">
        <w:tc>
          <w:tcPr>
            <w:cnfStyle w:val="001000000000" w:firstRow="0" w:lastRow="0" w:firstColumn="1" w:lastColumn="0" w:oddVBand="0" w:evenVBand="0" w:oddHBand="0" w:evenHBand="0" w:firstRowFirstColumn="0" w:firstRowLastColumn="0" w:lastRowFirstColumn="0" w:lastRowLastColumn="0"/>
            <w:tcW w:w="4346" w:type="dxa"/>
          </w:tcPr>
          <w:p w:rsidR="00A56E3B" w:rsidRPr="00A56E3B" w:rsidRDefault="00A56E3B" w:rsidP="00A56E3B">
            <w:r>
              <w:t>S</w:t>
            </w:r>
            <w:r w:rsidRPr="00A56E3B">
              <w:t>enior engineer</w:t>
            </w:r>
          </w:p>
        </w:tc>
        <w:tc>
          <w:tcPr>
            <w:tcW w:w="4347" w:type="dxa"/>
          </w:tcPr>
          <w:p w:rsidR="00A56E3B" w:rsidRPr="005E5049" w:rsidRDefault="00C54042" w:rsidP="00A56E3B">
            <w:pPr>
              <w:cnfStyle w:val="000000000000" w:firstRow="0" w:lastRow="0" w:firstColumn="0" w:lastColumn="0" w:oddVBand="0" w:evenVBand="0" w:oddHBand="0" w:evenHBand="0" w:firstRowFirstColumn="0" w:firstRowLastColumn="0" w:lastRowFirstColumn="0" w:lastRowLastColumn="0"/>
            </w:pPr>
            <w:r>
              <w:t>96.15</w:t>
            </w:r>
          </w:p>
        </w:tc>
      </w:tr>
    </w:tbl>
    <w:p w:rsidR="005E5049" w:rsidRPr="005E5049" w:rsidRDefault="005E5049" w:rsidP="005F4EB2">
      <w:pPr>
        <w:pStyle w:val="AERtablesource"/>
      </w:pPr>
      <w:r w:rsidRPr="005E5049">
        <w:t>Source:</w:t>
      </w:r>
      <w:r w:rsidRPr="005E5049">
        <w:tab/>
        <w:t>AER analysis.</w:t>
      </w:r>
    </w:p>
    <w:p w:rsidR="005E5049" w:rsidRPr="001C6565" w:rsidRDefault="005E5049" w:rsidP="001C6565">
      <w:pPr>
        <w:pStyle w:val="HeadingBoldItalic"/>
        <w:rPr>
          <w:rStyle w:val="AERtextorange"/>
          <w:color w:val="51626F"/>
        </w:rPr>
      </w:pPr>
      <w:bookmarkStart w:id="31" w:name="_Ref430597024"/>
      <w:r w:rsidRPr="001C6565">
        <w:rPr>
          <w:rStyle w:val="AERtextorange"/>
          <w:color w:val="51626F"/>
        </w:rPr>
        <w:t>On-costs</w:t>
      </w:r>
      <w:bookmarkEnd w:id="31"/>
    </w:p>
    <w:p w:rsidR="005E5049" w:rsidRPr="005E5049" w:rsidRDefault="005E5049" w:rsidP="005E5049">
      <w:r w:rsidRPr="005E5049">
        <w:t xml:space="preserve">We consider that a maximum on-cost rate of </w:t>
      </w:r>
      <w:r w:rsidR="0000698D">
        <w:t>44.78</w:t>
      </w:r>
      <w:r w:rsidRPr="005E5049">
        <w:t xml:space="preserve"> per cent should apply to the Victorian distributors. We calculated this maximum on-cost rate by developing a 'bottom up' estimate of on-costs for the Victorian distributors, with reference to the following factors:</w:t>
      </w:r>
    </w:p>
    <w:p w:rsidR="005E5049" w:rsidRPr="005E5049" w:rsidRDefault="005E5049" w:rsidP="005F4EB2">
      <w:pPr>
        <w:pStyle w:val="AERbulletlistfirststyle"/>
      </w:pPr>
      <w:r w:rsidRPr="005E5049">
        <w:t>the superannuation levels included in each distributor's enterprise bargaining agreement</w:t>
      </w:r>
    </w:p>
    <w:p w:rsidR="005E5049" w:rsidRPr="005E5049" w:rsidRDefault="005E5049" w:rsidP="005F4EB2">
      <w:pPr>
        <w:pStyle w:val="AERbulletlistfirststyle"/>
      </w:pPr>
      <w:r w:rsidRPr="005E5049">
        <w:t>a conservative estimate of workers compensation premium</w:t>
      </w:r>
    </w:p>
    <w:p w:rsidR="005E5049" w:rsidRPr="005E5049" w:rsidRDefault="005E5049" w:rsidP="005F4EB2">
      <w:pPr>
        <w:pStyle w:val="AERbulletlistfirststyle"/>
      </w:pPr>
      <w:r w:rsidRPr="005E5049">
        <w:t>standard payroll tax rates in Victoria</w:t>
      </w:r>
    </w:p>
    <w:p w:rsidR="005E5049" w:rsidRPr="005E5049" w:rsidRDefault="005E5049" w:rsidP="005F4EB2">
      <w:pPr>
        <w:pStyle w:val="AERbulletlistfirststyle"/>
      </w:pPr>
      <w:proofErr w:type="gramStart"/>
      <w:r w:rsidRPr="005E5049">
        <w:t>annual</w:t>
      </w:r>
      <w:proofErr w:type="gramEnd"/>
      <w:r w:rsidRPr="005E5049">
        <w:t xml:space="preserve"> leave loading of 17.5 per cent loading on four weeks annual leave, which equates to 1.35 per cent of total salary.</w:t>
      </w:r>
    </w:p>
    <w:p w:rsidR="005E5049" w:rsidRPr="005E5049" w:rsidRDefault="005E5049" w:rsidP="005F4EB2">
      <w:pPr>
        <w:pStyle w:val="AERbulletlistfirststyle"/>
      </w:pPr>
      <w:proofErr w:type="gramStart"/>
      <w:r w:rsidRPr="005E5049">
        <w:t>a</w:t>
      </w:r>
      <w:proofErr w:type="gramEnd"/>
      <w:r w:rsidRPr="005E5049">
        <w:t xml:space="preserve"> conservative long service leave allowance based on three months leave for every ten years of service, equating to 2.5 per cent per year.</w:t>
      </w:r>
    </w:p>
    <w:p w:rsidR="005E5049" w:rsidRPr="005E5049" w:rsidRDefault="005E5049" w:rsidP="005F4EB2">
      <w:pPr>
        <w:pStyle w:val="AERbulletlistfirststyle"/>
      </w:pPr>
      <w:proofErr w:type="gramStart"/>
      <w:r w:rsidRPr="005E5049">
        <w:t>an</w:t>
      </w:r>
      <w:proofErr w:type="gramEnd"/>
      <w:r w:rsidRPr="005E5049">
        <w:t xml:space="preserve"> assumed rate of 18.18 per cent standard leave (including annual leave, sick leave, and public holidays) for all businesses.</w:t>
      </w:r>
    </w:p>
    <w:p w:rsidR="0000698D" w:rsidRDefault="005E5049" w:rsidP="005F4EB2">
      <w:pPr>
        <w:pStyle w:val="AERbulletlistfirststyle"/>
      </w:pPr>
      <w:r w:rsidRPr="005E5049">
        <w:t>Victorian State Payroll Tax.</w:t>
      </w:r>
      <w:r w:rsidRPr="005F4EB2">
        <w:rPr>
          <w:rStyle w:val="FootnoteReference"/>
        </w:rPr>
        <w:footnoteReference w:id="28"/>
      </w:r>
      <w:r w:rsidRPr="005F4EB2">
        <w:rPr>
          <w:rStyle w:val="FootnoteReference"/>
        </w:rPr>
        <w:t xml:space="preserve"> </w:t>
      </w:r>
    </w:p>
    <w:p w:rsidR="005E5049" w:rsidRPr="005E5049" w:rsidRDefault="005E5049" w:rsidP="0000698D">
      <w:r w:rsidRPr="005E5049">
        <w:t>We used this maximum on-cost rate of 4</w:t>
      </w:r>
      <w:r w:rsidR="0000698D">
        <w:t>3.78</w:t>
      </w:r>
      <w:r w:rsidRPr="005E5049">
        <w:t xml:space="preserve"> per cent in deriving our maximum total labour rates. It provides the distribution business with a reasonable opportunity to recover at least its efficient costs.</w:t>
      </w:r>
    </w:p>
    <w:p w:rsidR="005E5049" w:rsidRDefault="0000698D" w:rsidP="005E5049">
      <w:r>
        <w:fldChar w:fldCharType="begin"/>
      </w:r>
      <w:r>
        <w:instrText xml:space="preserve"> REF _Ref431488661 \h </w:instrText>
      </w:r>
      <w:r>
        <w:fldChar w:fldCharType="separate"/>
      </w:r>
      <w:r w:rsidR="009E0EFD">
        <w:t xml:space="preserve">Table </w:t>
      </w:r>
      <w:r w:rsidR="009E0EFD">
        <w:rPr>
          <w:noProof/>
        </w:rPr>
        <w:t>16</w:t>
      </w:r>
      <w:r w:rsidR="009E0EFD">
        <w:t>.</w:t>
      </w:r>
      <w:r w:rsidR="009E0EFD">
        <w:rPr>
          <w:noProof/>
        </w:rPr>
        <w:t>5</w:t>
      </w:r>
      <w:r>
        <w:fldChar w:fldCharType="end"/>
      </w:r>
      <w:r>
        <w:t xml:space="preserve"> </w:t>
      </w:r>
      <w:r w:rsidR="005E5049" w:rsidRPr="005E5049">
        <w:t>shows our maximum on-cost rate and the breakdown of that on-cost rate.</w:t>
      </w:r>
    </w:p>
    <w:p w:rsidR="005F4EB2" w:rsidRDefault="005F4EB2" w:rsidP="005F4EB2">
      <w:pPr>
        <w:pStyle w:val="Caption"/>
      </w:pPr>
      <w:bookmarkStart w:id="32" w:name="_Ref431488661"/>
      <w:proofErr w:type="gramStart"/>
      <w:r>
        <w:t xml:space="preserve">Table </w:t>
      </w:r>
      <w:proofErr w:type="gramEnd"/>
      <w:r w:rsidR="006A670B">
        <w:fldChar w:fldCharType="begin"/>
      </w:r>
      <w:r w:rsidR="006A670B">
        <w:instrText xml:space="preserve"> STYLEREF 1 \s </w:instrText>
      </w:r>
      <w:r w:rsidR="006A670B">
        <w:fldChar w:fldCharType="separate"/>
      </w:r>
      <w:r w:rsidR="009E0EFD">
        <w:rPr>
          <w:noProof/>
        </w:rPr>
        <w:t>16</w:t>
      </w:r>
      <w:r w:rsidR="006A670B">
        <w:fldChar w:fldCharType="end"/>
      </w:r>
      <w:proofErr w:type="gramStart"/>
      <w:r w:rsidR="006A670B">
        <w:t>.</w:t>
      </w:r>
      <w:proofErr w:type="gramEnd"/>
      <w:r w:rsidR="006A670B">
        <w:fldChar w:fldCharType="begin"/>
      </w:r>
      <w:r w:rsidR="006A670B">
        <w:instrText xml:space="preserve"> SEQ Table \* ARABIC \s 1 </w:instrText>
      </w:r>
      <w:r w:rsidR="006A670B">
        <w:fldChar w:fldCharType="separate"/>
      </w:r>
      <w:r w:rsidR="009E0EFD">
        <w:rPr>
          <w:noProof/>
        </w:rPr>
        <w:t>5</w:t>
      </w:r>
      <w:r w:rsidR="006A670B">
        <w:fldChar w:fldCharType="end"/>
      </w:r>
      <w:bookmarkEnd w:id="32"/>
      <w:r>
        <w:t xml:space="preserve"> On</w:t>
      </w:r>
      <w:r>
        <w:noBreakHyphen/>
        <w:t>cost rate breakdown and maximum, per cent</w:t>
      </w:r>
    </w:p>
    <w:tbl>
      <w:tblPr>
        <w:tblStyle w:val="AERtable-numbers"/>
        <w:tblW w:w="0" w:type="auto"/>
        <w:tblLook w:val="04A0" w:firstRow="1" w:lastRow="0" w:firstColumn="1" w:lastColumn="0" w:noHBand="0" w:noVBand="1"/>
      </w:tblPr>
      <w:tblGrid>
        <w:gridCol w:w="2528"/>
        <w:gridCol w:w="6085"/>
      </w:tblGrid>
      <w:tr w:rsidR="005E5049" w:rsidRPr="005E5049" w:rsidTr="002E0E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5E5049" w:rsidRPr="005E5049" w:rsidRDefault="005E5049" w:rsidP="005E5049">
            <w:r w:rsidRPr="005E5049">
              <w:t>On-cost rate component</w:t>
            </w:r>
          </w:p>
        </w:tc>
        <w:tc>
          <w:tcPr>
            <w:tcW w:w="6085" w:type="dxa"/>
          </w:tcPr>
          <w:p w:rsidR="005E5049" w:rsidRPr="005E5049" w:rsidRDefault="005E5049" w:rsidP="005E5049">
            <w:pPr>
              <w:cnfStyle w:val="100000000000" w:firstRow="1" w:lastRow="0" w:firstColumn="0" w:lastColumn="0" w:oddVBand="0" w:evenVBand="0" w:oddHBand="0" w:evenHBand="0" w:firstRowFirstColumn="0" w:firstRowLastColumn="0" w:lastRowFirstColumn="0" w:lastRowLastColumn="0"/>
            </w:pPr>
            <w:r w:rsidRPr="005E5049">
              <w:t>Maximum rates</w:t>
            </w:r>
          </w:p>
        </w:tc>
      </w:tr>
      <w:tr w:rsidR="005E5049" w:rsidRPr="005E5049" w:rsidTr="002E0E5A">
        <w:tc>
          <w:tcPr>
            <w:cnfStyle w:val="001000000000" w:firstRow="0" w:lastRow="0" w:firstColumn="1" w:lastColumn="0" w:oddVBand="0" w:evenVBand="0" w:oddHBand="0" w:evenHBand="0" w:firstRowFirstColumn="0" w:firstRowLastColumn="0" w:lastRowFirstColumn="0" w:lastRowLastColumn="0"/>
            <w:tcW w:w="2528" w:type="dxa"/>
          </w:tcPr>
          <w:p w:rsidR="005E5049" w:rsidRPr="005E5049" w:rsidRDefault="005F4EB2" w:rsidP="005E5049">
            <w:r>
              <w:t>Standard l</w:t>
            </w:r>
            <w:r w:rsidR="005E5049" w:rsidRPr="005E5049">
              <w:t>eave</w:t>
            </w:r>
          </w:p>
        </w:tc>
        <w:tc>
          <w:tcPr>
            <w:tcW w:w="6085" w:type="dxa"/>
          </w:tcPr>
          <w:p w:rsidR="005E5049" w:rsidRPr="005E5049" w:rsidRDefault="005E5049" w:rsidP="005E5049">
            <w:pPr>
              <w:cnfStyle w:val="000000000000" w:firstRow="0" w:lastRow="0" w:firstColumn="0" w:lastColumn="0" w:oddVBand="0" w:evenVBand="0" w:oddHBand="0" w:evenHBand="0" w:firstRowFirstColumn="0" w:firstRowLastColumn="0" w:lastRowFirstColumn="0" w:lastRowLastColumn="0"/>
            </w:pPr>
            <w:r w:rsidRPr="005E5049">
              <w:t>18.18</w:t>
            </w:r>
          </w:p>
        </w:tc>
      </w:tr>
      <w:tr w:rsidR="005E5049" w:rsidRPr="005E5049" w:rsidTr="002E0E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5E5049" w:rsidRPr="005E5049" w:rsidRDefault="005E5049" w:rsidP="005E5049">
            <w:r w:rsidRPr="005E5049">
              <w:t>Superannuation</w:t>
            </w:r>
          </w:p>
        </w:tc>
        <w:tc>
          <w:tcPr>
            <w:tcW w:w="6085" w:type="dxa"/>
          </w:tcPr>
          <w:p w:rsidR="005E5049" w:rsidRPr="005E5049" w:rsidRDefault="00A214AD" w:rsidP="005E5049">
            <w:pPr>
              <w:cnfStyle w:val="000000010000" w:firstRow="0" w:lastRow="0" w:firstColumn="0" w:lastColumn="0" w:oddVBand="0" w:evenVBand="0" w:oddHBand="0" w:evenHBand="1" w:firstRowFirstColumn="0" w:firstRowLastColumn="0" w:lastRowFirstColumn="0" w:lastRowLastColumn="0"/>
            </w:pPr>
            <w:r>
              <w:t>10</w:t>
            </w:r>
            <w:r w:rsidR="005E5049" w:rsidRPr="005E5049">
              <w:t>.00</w:t>
            </w:r>
          </w:p>
        </w:tc>
      </w:tr>
      <w:tr w:rsidR="005E5049" w:rsidRPr="005E5049" w:rsidTr="002E0E5A">
        <w:tc>
          <w:tcPr>
            <w:cnfStyle w:val="001000000000" w:firstRow="0" w:lastRow="0" w:firstColumn="1" w:lastColumn="0" w:oddVBand="0" w:evenVBand="0" w:oddHBand="0" w:evenHBand="0" w:firstRowFirstColumn="0" w:firstRowLastColumn="0" w:lastRowFirstColumn="0" w:lastRowLastColumn="0"/>
            <w:tcW w:w="2528" w:type="dxa"/>
          </w:tcPr>
          <w:p w:rsidR="005E5049" w:rsidRPr="005E5049" w:rsidRDefault="005F4EB2" w:rsidP="005E5049">
            <w:r>
              <w:t>Workers c</w:t>
            </w:r>
            <w:r w:rsidR="005E5049" w:rsidRPr="005E5049">
              <w:t>ompensation</w:t>
            </w:r>
          </w:p>
        </w:tc>
        <w:tc>
          <w:tcPr>
            <w:tcW w:w="6085" w:type="dxa"/>
          </w:tcPr>
          <w:p w:rsidR="005E5049" w:rsidRPr="005E5049" w:rsidRDefault="005E5049" w:rsidP="005E5049">
            <w:pPr>
              <w:cnfStyle w:val="000000000000" w:firstRow="0" w:lastRow="0" w:firstColumn="0" w:lastColumn="0" w:oddVBand="0" w:evenVBand="0" w:oddHBand="0" w:evenHBand="0" w:firstRowFirstColumn="0" w:firstRowLastColumn="0" w:lastRowFirstColumn="0" w:lastRowLastColumn="0"/>
            </w:pPr>
            <w:r w:rsidRPr="005E5049">
              <w:t>2.25</w:t>
            </w:r>
          </w:p>
        </w:tc>
      </w:tr>
      <w:tr w:rsidR="005E5049" w:rsidRPr="005E5049" w:rsidTr="002E0E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5E5049" w:rsidRPr="005E5049" w:rsidRDefault="005F4EB2" w:rsidP="005E5049">
            <w:r>
              <w:t>Payroll t</w:t>
            </w:r>
            <w:r w:rsidR="005E5049" w:rsidRPr="005E5049">
              <w:t>ax</w:t>
            </w:r>
          </w:p>
        </w:tc>
        <w:tc>
          <w:tcPr>
            <w:tcW w:w="6085" w:type="dxa"/>
          </w:tcPr>
          <w:p w:rsidR="005E5049" w:rsidRPr="005E5049" w:rsidRDefault="005E5049" w:rsidP="005E5049">
            <w:pPr>
              <w:cnfStyle w:val="000000010000" w:firstRow="0" w:lastRow="0" w:firstColumn="0" w:lastColumn="0" w:oddVBand="0" w:evenVBand="0" w:oddHBand="0" w:evenHBand="1" w:firstRowFirstColumn="0" w:firstRowLastColumn="0" w:lastRowFirstColumn="0" w:lastRowLastColumn="0"/>
            </w:pPr>
            <w:r w:rsidRPr="005E5049">
              <w:t>4.85</w:t>
            </w:r>
          </w:p>
        </w:tc>
      </w:tr>
      <w:tr w:rsidR="005E5049" w:rsidRPr="005E5049" w:rsidTr="002E0E5A">
        <w:tc>
          <w:tcPr>
            <w:cnfStyle w:val="001000000000" w:firstRow="0" w:lastRow="0" w:firstColumn="1" w:lastColumn="0" w:oddVBand="0" w:evenVBand="0" w:oddHBand="0" w:evenHBand="0" w:firstRowFirstColumn="0" w:firstRowLastColumn="0" w:lastRowFirstColumn="0" w:lastRowLastColumn="0"/>
            <w:tcW w:w="2528" w:type="dxa"/>
          </w:tcPr>
          <w:p w:rsidR="005E5049" w:rsidRPr="005E5049" w:rsidRDefault="005F4EB2" w:rsidP="005E5049">
            <w:r>
              <w:t>Annual leave l</w:t>
            </w:r>
            <w:r w:rsidR="005E5049" w:rsidRPr="005E5049">
              <w:t>oading</w:t>
            </w:r>
          </w:p>
        </w:tc>
        <w:tc>
          <w:tcPr>
            <w:tcW w:w="6085" w:type="dxa"/>
          </w:tcPr>
          <w:p w:rsidR="005E5049" w:rsidRPr="005E5049" w:rsidRDefault="005E5049" w:rsidP="005E5049">
            <w:pPr>
              <w:cnfStyle w:val="000000000000" w:firstRow="0" w:lastRow="0" w:firstColumn="0" w:lastColumn="0" w:oddVBand="0" w:evenVBand="0" w:oddHBand="0" w:evenHBand="0" w:firstRowFirstColumn="0" w:firstRowLastColumn="0" w:lastRowFirstColumn="0" w:lastRowLastColumn="0"/>
            </w:pPr>
            <w:r w:rsidRPr="005E5049">
              <w:t>1.35</w:t>
            </w:r>
          </w:p>
        </w:tc>
      </w:tr>
      <w:tr w:rsidR="005E5049" w:rsidRPr="005E5049" w:rsidTr="002E0E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tcPr>
          <w:p w:rsidR="005E5049" w:rsidRPr="005E5049" w:rsidRDefault="005F4EB2" w:rsidP="005E5049">
            <w:r>
              <w:t>Long service leave a</w:t>
            </w:r>
            <w:r w:rsidR="005E5049" w:rsidRPr="005E5049">
              <w:t>llowance</w:t>
            </w:r>
          </w:p>
        </w:tc>
        <w:tc>
          <w:tcPr>
            <w:tcW w:w="6085" w:type="dxa"/>
          </w:tcPr>
          <w:p w:rsidR="005E5049" w:rsidRPr="005E5049" w:rsidRDefault="005E5049" w:rsidP="005E5049">
            <w:pPr>
              <w:cnfStyle w:val="000000010000" w:firstRow="0" w:lastRow="0" w:firstColumn="0" w:lastColumn="0" w:oddVBand="0" w:evenVBand="0" w:oddHBand="0" w:evenHBand="1" w:firstRowFirstColumn="0" w:firstRowLastColumn="0" w:lastRowFirstColumn="0" w:lastRowLastColumn="0"/>
            </w:pPr>
            <w:r w:rsidRPr="005E5049">
              <w:t>2.5</w:t>
            </w:r>
          </w:p>
        </w:tc>
      </w:tr>
      <w:tr w:rsidR="005E5049" w:rsidRPr="005E5049" w:rsidTr="002E0E5A">
        <w:tc>
          <w:tcPr>
            <w:cnfStyle w:val="001000000000" w:firstRow="0" w:lastRow="0" w:firstColumn="1" w:lastColumn="0" w:oddVBand="0" w:evenVBand="0" w:oddHBand="0" w:evenHBand="0" w:firstRowFirstColumn="0" w:firstRowLastColumn="0" w:lastRowFirstColumn="0" w:lastRowLastColumn="0"/>
            <w:tcW w:w="2528" w:type="dxa"/>
          </w:tcPr>
          <w:p w:rsidR="005E5049" w:rsidRPr="005E5049" w:rsidRDefault="005E5049" w:rsidP="005E5049">
            <w:r w:rsidRPr="005E5049">
              <w:t>Total on-cost rate</w:t>
            </w:r>
          </w:p>
        </w:tc>
        <w:tc>
          <w:tcPr>
            <w:tcW w:w="6085" w:type="dxa"/>
          </w:tcPr>
          <w:p w:rsidR="005E5049" w:rsidRPr="005E5049" w:rsidRDefault="00A214AD" w:rsidP="00A214AD">
            <w:pPr>
              <w:cnfStyle w:val="000000000000" w:firstRow="0" w:lastRow="0" w:firstColumn="0" w:lastColumn="0" w:oddVBand="0" w:evenVBand="0" w:oddHBand="0" w:evenHBand="0" w:firstRowFirstColumn="0" w:firstRowLastColumn="0" w:lastRowFirstColumn="0" w:lastRowLastColumn="0"/>
            </w:pPr>
            <w:r>
              <w:t>44</w:t>
            </w:r>
            <w:r w:rsidR="005E5049" w:rsidRPr="005E5049">
              <w:t>.</w:t>
            </w:r>
            <w:r>
              <w:t>78</w:t>
            </w:r>
          </w:p>
        </w:tc>
      </w:tr>
    </w:tbl>
    <w:p w:rsidR="005E5049" w:rsidRPr="005E5049" w:rsidRDefault="005E5049" w:rsidP="005F4EB2">
      <w:pPr>
        <w:pStyle w:val="AERtablesource"/>
      </w:pPr>
      <w:bookmarkStart w:id="33" w:name="_Ref415684097"/>
      <w:bookmarkStart w:id="34" w:name="_Toc416346929"/>
      <w:r w:rsidRPr="005E5049">
        <w:t xml:space="preserve">Source: </w:t>
      </w:r>
      <w:r w:rsidRPr="005E5049">
        <w:tab/>
        <w:t>AER analysis.</w:t>
      </w:r>
    </w:p>
    <w:p w:rsidR="005E5049" w:rsidRPr="001C6565" w:rsidRDefault="005E5049" w:rsidP="001C6565">
      <w:pPr>
        <w:pStyle w:val="HeadingBoldItalic"/>
        <w:rPr>
          <w:rStyle w:val="AERtextorange"/>
          <w:color w:val="51626F"/>
        </w:rPr>
      </w:pPr>
      <w:bookmarkStart w:id="35" w:name="_Ref430597041"/>
      <w:r w:rsidRPr="001C6565">
        <w:rPr>
          <w:rStyle w:val="AERtextorange"/>
          <w:color w:val="51626F"/>
        </w:rPr>
        <w:t>Overheads</w:t>
      </w:r>
      <w:bookmarkEnd w:id="33"/>
      <w:bookmarkEnd w:id="34"/>
      <w:bookmarkEnd w:id="35"/>
    </w:p>
    <w:p w:rsidR="005E5049" w:rsidRPr="005E5049" w:rsidRDefault="00DE23C4" w:rsidP="005E5049">
      <w:r>
        <w:t>Our determination of</w:t>
      </w:r>
      <w:r w:rsidR="005E5049" w:rsidRPr="005E5049">
        <w:t xml:space="preserve"> the maximum overhead rate</w:t>
      </w:r>
      <w:r w:rsidR="00AA531F">
        <w:t xml:space="preserve"> is</w:t>
      </w:r>
      <w:r w:rsidR="005E5049" w:rsidRPr="005E5049">
        <w:t xml:space="preserve"> </w:t>
      </w:r>
      <w:r w:rsidR="00AA531F">
        <w:t>informed by the</w:t>
      </w:r>
      <w:r w:rsidR="005E5049" w:rsidRPr="005E5049">
        <w:t xml:space="preserve"> Marsden Jacob</w:t>
      </w:r>
      <w:r>
        <w:t xml:space="preserve"> Associate</w:t>
      </w:r>
      <w:r w:rsidR="005E5049" w:rsidRPr="005E5049">
        <w:t>s</w:t>
      </w:r>
      <w:r w:rsidR="00AA531F">
        <w:t>'</w:t>
      </w:r>
      <w:r w:rsidR="005E5049" w:rsidRPr="005E5049">
        <w:t xml:space="preserve"> report which assessed alternative control services for NSW and ACT distributors. Marsden Jacob</w:t>
      </w:r>
      <w:r>
        <w:t xml:space="preserve"> Associates</w:t>
      </w:r>
      <w:r w:rsidR="005E5049" w:rsidRPr="005E5049">
        <w:t xml:space="preserve"> recommended a 65 per cent overhead rate maximum in its report.</w:t>
      </w:r>
      <w:r w:rsidR="005E5049" w:rsidRPr="005F4EB2">
        <w:rPr>
          <w:rStyle w:val="FootnoteReference"/>
        </w:rPr>
        <w:footnoteReference w:id="29"/>
      </w:r>
      <w:r w:rsidR="005E5049" w:rsidRPr="005F4EB2">
        <w:rPr>
          <w:rStyle w:val="FootnoteReference"/>
        </w:rPr>
        <w:t xml:space="preserve"> </w:t>
      </w:r>
      <w:r w:rsidR="00274D98">
        <w:t>We consider 65 per cent is a conservative estimate for the Victorian distributors which have historically applied an overhead rate of less than 65 per cent to its ancillary network services. Therefore, w</w:t>
      </w:r>
      <w:r w:rsidR="005E5049" w:rsidRPr="005E5049">
        <w:t>e consider that an overhead rate maximum of 65 per cent should apply to all Victorian distributors as it provides the distribution business with a reasonable opportunity to recover at least its efficient costs.</w:t>
      </w:r>
    </w:p>
    <w:p w:rsidR="005E5049" w:rsidRDefault="005E5049" w:rsidP="005E5049">
      <w:pPr>
        <w:pStyle w:val="Heading4"/>
      </w:pPr>
      <w:bookmarkStart w:id="36" w:name="_Ref430954026"/>
      <w:r>
        <w:t>Contractor rates</w:t>
      </w:r>
      <w:bookmarkEnd w:id="36"/>
    </w:p>
    <w:p w:rsidR="005E5049" w:rsidRPr="005E5049" w:rsidRDefault="005E5049" w:rsidP="005E5049">
      <w:r w:rsidRPr="005E5049">
        <w:t xml:space="preserve">We accept the contractor rates </w:t>
      </w:r>
      <w:r>
        <w:t xml:space="preserve">AusNet Services </w:t>
      </w:r>
      <w:r w:rsidRPr="005E5049">
        <w:t>applied in delivering some of its ancillary network services. In assessing these contractor rates we considered:</w:t>
      </w:r>
    </w:p>
    <w:p w:rsidR="005F4EB2" w:rsidRDefault="005F4EB2" w:rsidP="005F4EB2">
      <w:pPr>
        <w:pStyle w:val="AERbulletlistfirststyle"/>
      </w:pPr>
      <w:r w:rsidRPr="005F4EB2">
        <w:t>the competitiveness of the process in securing the contractor</w:t>
      </w:r>
    </w:p>
    <w:p w:rsidR="005E5049" w:rsidRPr="005E5049" w:rsidRDefault="005E5049" w:rsidP="005E5049">
      <w:pPr>
        <w:pStyle w:val="AERbulletlistfirststyle"/>
      </w:pPr>
      <w:r w:rsidRPr="005E5049">
        <w:t>our maximum total labour rates</w:t>
      </w:r>
    </w:p>
    <w:p w:rsidR="005E5049" w:rsidRPr="005E5049" w:rsidRDefault="005E5049" w:rsidP="005E5049">
      <w:pPr>
        <w:pStyle w:val="AERbulletlistfirststyle"/>
      </w:pPr>
      <w:r w:rsidRPr="005E5049">
        <w:t>contractor rates we have previously applied</w:t>
      </w:r>
    </w:p>
    <w:p w:rsidR="005E5049" w:rsidRPr="005E5049" w:rsidRDefault="005E5049" w:rsidP="005E5049">
      <w:pPr>
        <w:pStyle w:val="AERbulletlistfirststyle"/>
      </w:pPr>
      <w:proofErr w:type="gramStart"/>
      <w:r w:rsidRPr="005E5049">
        <w:t>contractor</w:t>
      </w:r>
      <w:proofErr w:type="gramEnd"/>
      <w:r w:rsidRPr="005E5049">
        <w:t xml:space="preserve"> rates used by other Victorian distributors.</w:t>
      </w:r>
    </w:p>
    <w:p w:rsidR="005E5049" w:rsidRDefault="005E5049" w:rsidP="005E5049">
      <w:r w:rsidRPr="005E5049">
        <w:t xml:space="preserve">Our assessment showed </w:t>
      </w:r>
      <w:r>
        <w:t>AusNet Services</w:t>
      </w:r>
      <w:r w:rsidRPr="005E5049">
        <w:t xml:space="preserve"> </w:t>
      </w:r>
      <w:r>
        <w:t>contracts were entered into through a competitive process</w:t>
      </w:r>
      <w:r w:rsidR="00285C6B">
        <w:t xml:space="preserve"> and th</w:t>
      </w:r>
      <w:r w:rsidR="005F4EB2">
        <w:t>erefore the</w:t>
      </w:r>
      <w:r w:rsidR="00285C6B">
        <w:t>se</w:t>
      </w:r>
      <w:r w:rsidR="005F4EB2">
        <w:t xml:space="preserve"> rates represent competitive market rates.</w:t>
      </w:r>
      <w:r>
        <w:t xml:space="preserve"> In most instances the</w:t>
      </w:r>
      <w:r w:rsidR="005F4EB2">
        <w:t xml:space="preserve"> contractor</w:t>
      </w:r>
      <w:r w:rsidRPr="005E5049">
        <w:t xml:space="preserve"> rates were less than our maximum total labour rates. Therefore, we consider the contractor rates to be efficient.</w:t>
      </w:r>
    </w:p>
    <w:p w:rsidR="005E5049" w:rsidRDefault="005E5049" w:rsidP="005E5049">
      <w:pPr>
        <w:pStyle w:val="Heading4"/>
      </w:pPr>
      <w:r>
        <w:t>Consumer price index escalation</w:t>
      </w:r>
    </w:p>
    <w:p w:rsidR="005E5049" w:rsidRPr="005E5049" w:rsidRDefault="005E5049" w:rsidP="005E5049">
      <w:r w:rsidRPr="005E5049">
        <w:t xml:space="preserve">We also note in demonstrating compliance with the price caps over the 2016–20 regulatory control </w:t>
      </w:r>
      <w:proofErr w:type="gramStart"/>
      <w:r w:rsidRPr="005E5049">
        <w:t>period</w:t>
      </w:r>
      <w:proofErr w:type="gramEnd"/>
      <w:r w:rsidRPr="005E5049">
        <w:t xml:space="preserve">, </w:t>
      </w:r>
      <w:r>
        <w:t xml:space="preserve">AusNet Services </w:t>
      </w:r>
      <w:r w:rsidRPr="005E5049">
        <w:t>will need to apply annual CPI escalation based on the percentage changes in the ABS June quarter index. This is a change in escalation approach from that applied in the 2011–15 regulatory control period which was based on percentage changes in the ABS September quarter index. The change in timing of the escalation is due to distributors being required to submit their annual pricing proposals a month earlier than they were previously required to do so.</w:t>
      </w:r>
      <w:r w:rsidRPr="005E5049">
        <w:rPr>
          <w:rStyle w:val="FootnoteReference"/>
        </w:rPr>
        <w:footnoteReference w:id="30"/>
      </w:r>
    </w:p>
    <w:p w:rsidR="002D5673" w:rsidRDefault="005E5049" w:rsidP="002D5673">
      <w:r w:rsidRPr="005E5049">
        <w:t>We note that there will be an overlapping issue of the September quarter CPI when the transition to the June quarter CPI occurs (this will occur in the distributors 2017 annual pricing proposals). This is because the CPI for</w:t>
      </w:r>
      <w:r w:rsidR="00E31024">
        <w:t xml:space="preserve"> the</w:t>
      </w:r>
      <w:r w:rsidRPr="005E5049">
        <w:t xml:space="preserve"> September quarter 2015 will be reflected in both 2016 and 2017 prices. However, we consider this is only a transitional issue and will not have a material impact on the </w:t>
      </w:r>
      <w:r>
        <w:t>AusNet Service</w:t>
      </w:r>
      <w:r w:rsidRPr="005E5049">
        <w:t>s</w:t>
      </w:r>
      <w:r>
        <w:t>'</w:t>
      </w:r>
      <w:r w:rsidRPr="005E5049">
        <w:t xml:space="preserve"> prices or revenue.</w:t>
      </w:r>
    </w:p>
    <w:p w:rsidR="009D0199" w:rsidRDefault="009D0199" w:rsidP="009D0199">
      <w:pPr>
        <w:pStyle w:val="Heading2"/>
      </w:pPr>
      <w:bookmarkStart w:id="37" w:name="_Toc433704559"/>
      <w:r>
        <w:t>Public Lighting</w:t>
      </w:r>
      <w:bookmarkEnd w:id="37"/>
    </w:p>
    <w:p w:rsidR="00902495" w:rsidRDefault="0052316E" w:rsidP="0052316E">
      <w:pPr>
        <w:pStyle w:val="Heading3"/>
      </w:pPr>
      <w:bookmarkStart w:id="38" w:name="_Toc433704560"/>
      <w:r w:rsidRPr="0052316E">
        <w:t>Preliminary decision</w:t>
      </w:r>
      <w:bookmarkEnd w:id="38"/>
    </w:p>
    <w:p w:rsidR="00902495" w:rsidRPr="00902495" w:rsidRDefault="00902495" w:rsidP="00902495">
      <w:r w:rsidRPr="00902495">
        <w:t>We do not approve proposed public lighting charges because we have determined;</w:t>
      </w:r>
    </w:p>
    <w:p w:rsidR="00902495" w:rsidRDefault="00902495" w:rsidP="00902495">
      <w:pPr>
        <w:pStyle w:val="AERbulletlistfirststyle"/>
      </w:pPr>
      <w:r w:rsidRPr="00902495">
        <w:tab/>
        <w:t xml:space="preserve">a real pre-tax WACC of </w:t>
      </w:r>
      <w:r w:rsidR="00AB205D">
        <w:t>4.</w:t>
      </w:r>
      <w:r w:rsidR="00031AEE">
        <w:t>1</w:t>
      </w:r>
      <w:r w:rsidR="00F601EE">
        <w:t>1</w:t>
      </w:r>
      <w:r w:rsidRPr="00902495">
        <w:t xml:space="preserve"> per cent instead of the proposed </w:t>
      </w:r>
      <w:r w:rsidR="00D72505">
        <w:t>7</w:t>
      </w:r>
      <w:r w:rsidR="00914D18">
        <w:t>.</w:t>
      </w:r>
      <w:r w:rsidR="00D72505">
        <w:t>70</w:t>
      </w:r>
      <w:r w:rsidRPr="00902495">
        <w:t xml:space="preserve"> per cent</w:t>
      </w:r>
    </w:p>
    <w:p w:rsidR="00902495" w:rsidRPr="00597B3C" w:rsidRDefault="00597B3C" w:rsidP="00597B3C">
      <w:pPr>
        <w:pStyle w:val="AERbulletlistfirststyle"/>
      </w:pPr>
      <w:r w:rsidRPr="00597B3C">
        <w:rPr>
          <w:rStyle w:val="AERtexthighlight"/>
          <w:shd w:val="clear" w:color="auto" w:fill="auto"/>
        </w:rPr>
        <w:t>amendment of the public lighting model to include the LED 18W, CF 32W, CF 42 W, Metal Halide (70W, 100W, 150W, 700W) and Mercury Vapour 700W as regulated lights</w:t>
      </w:r>
    </w:p>
    <w:p w:rsidR="00902495" w:rsidRDefault="00902495" w:rsidP="00902495">
      <w:r w:rsidRPr="00902495">
        <w:t xml:space="preserve">In all other respects we have approved </w:t>
      </w:r>
      <w:r w:rsidR="007D5C23">
        <w:t>the</w:t>
      </w:r>
      <w:r w:rsidRPr="00902495">
        <w:t xml:space="preserve"> proposal.</w:t>
      </w:r>
    </w:p>
    <w:p w:rsidR="007003AE" w:rsidRDefault="007003AE" w:rsidP="00902495">
      <w:r w:rsidRPr="00963590">
        <w:t xml:space="preserve">Classification of the Victorian </w:t>
      </w:r>
      <w:r w:rsidR="00DE2B40">
        <w:t>distributors</w:t>
      </w:r>
      <w:r w:rsidRPr="00963590">
        <w:t xml:space="preserve"> public lighting services and the reasons for departing from the classification of all dedicated public lighting services as </w:t>
      </w:r>
      <w:r>
        <w:t xml:space="preserve">a </w:t>
      </w:r>
      <w:r w:rsidRPr="00963590">
        <w:t>negotiated service</w:t>
      </w:r>
      <w:r>
        <w:t>, is discussed in this section and further</w:t>
      </w:r>
      <w:r w:rsidRPr="00963590">
        <w:t xml:space="preserve"> set out in </w:t>
      </w:r>
      <w:r w:rsidR="00C56F04">
        <w:t>attachment 13 — Classification of Services.</w:t>
      </w:r>
    </w:p>
    <w:p w:rsidR="00894019" w:rsidRDefault="00894019">
      <w:pPr>
        <w:spacing w:line="240" w:lineRule="auto"/>
        <w:rPr>
          <w:rFonts w:eastAsiaTheme="majorEastAsia" w:cstheme="majorBidi"/>
          <w:b/>
          <w:bCs/>
          <w:color w:val="70635A" w:themeColor="text2"/>
          <w:sz w:val="28"/>
        </w:rPr>
      </w:pPr>
      <w:r>
        <w:br w:type="page"/>
      </w:r>
    </w:p>
    <w:p w:rsidR="002F45AB" w:rsidRPr="002F45AB" w:rsidRDefault="002F45AB" w:rsidP="002F45AB">
      <w:pPr>
        <w:pStyle w:val="HeadingBoldBlue"/>
      </w:pPr>
      <w:r w:rsidRPr="002F45AB">
        <w:t>Form of Control</w:t>
      </w:r>
    </w:p>
    <w:p w:rsidR="002F45AB" w:rsidRPr="002F45AB" w:rsidRDefault="002F45AB" w:rsidP="002F45AB">
      <w:r w:rsidRPr="002F45AB">
        <w:t xml:space="preserve">We are applying caps on the prices of individual services consistent with the current regulatory arrangements in Victoria. </w:t>
      </w:r>
    </w:p>
    <w:p w:rsidR="002F45AB" w:rsidRPr="002F45AB" w:rsidRDefault="002F45AB" w:rsidP="002F45AB">
      <w:r w:rsidRPr="002F45AB">
        <w:t>Although the public lighting service is subject to an alternative control classification the control mechanism is implemented through a public lighting model under a building block approach.</w:t>
      </w:r>
    </w:p>
    <w:p w:rsidR="002F45AB" w:rsidRPr="00902495" w:rsidRDefault="002F45AB" w:rsidP="00902495">
      <w:r w:rsidRPr="002F45AB">
        <w:t>Compliance with the control mechanism is to be demonstrated by the Victorian distributors through the annual pricing proposal, by updating the forecast CPI for the actual CPI each year.</w:t>
      </w:r>
    </w:p>
    <w:p w:rsidR="009D0199" w:rsidRPr="0052316E" w:rsidRDefault="002F45AB" w:rsidP="0052316E">
      <w:pPr>
        <w:pStyle w:val="Heading3"/>
      </w:pPr>
      <w:bookmarkStart w:id="39" w:name="_Toc433704561"/>
      <w:r>
        <w:t xml:space="preserve">AusNet Services </w:t>
      </w:r>
      <w:r w:rsidR="009D0199" w:rsidRPr="0052316E">
        <w:t>Proposal</w:t>
      </w:r>
      <w:bookmarkEnd w:id="39"/>
    </w:p>
    <w:p w:rsidR="001A5FB9" w:rsidRPr="001A5FB9" w:rsidRDefault="00541312" w:rsidP="001A5FB9">
      <w:r>
        <w:t>AusNet Services has used the AER’s Public Lighting model to determine the fee based charges to apply to public lighting assets.</w:t>
      </w:r>
      <w:r w:rsidR="00502BA9">
        <w:rPr>
          <w:rStyle w:val="FootnoteReference"/>
        </w:rPr>
        <w:footnoteReference w:id="31"/>
      </w:r>
      <w:r w:rsidR="001A5FB9" w:rsidRPr="001A5FB9">
        <w:t xml:space="preserve"> </w:t>
      </w:r>
    </w:p>
    <w:p w:rsidR="001A5FB9" w:rsidRDefault="00541312" w:rsidP="00EE2417">
      <w:r>
        <w:t xml:space="preserve">AusNet Services has separate pricing structures for the Central Region and for the North and East Regions. These price structures take account of the higher costs associated with the provision of the services in these regions due to the higher costs of servicing lights in lower light density areas and greater distances travelled by contractors and service agents. </w:t>
      </w:r>
    </w:p>
    <w:p w:rsidR="001A5FB9" w:rsidRDefault="007653A5" w:rsidP="00EE2417">
      <w:r>
        <w:fldChar w:fldCharType="begin"/>
      </w:r>
      <w:r>
        <w:instrText xml:space="preserve"> REF _Ref431282951 \h </w:instrText>
      </w:r>
      <w:r>
        <w:fldChar w:fldCharType="separate"/>
      </w:r>
      <w:r w:rsidR="009E0EFD">
        <w:t xml:space="preserve">Table </w:t>
      </w:r>
      <w:r w:rsidR="009E0EFD">
        <w:rPr>
          <w:noProof/>
        </w:rPr>
        <w:t>16</w:t>
      </w:r>
      <w:r w:rsidR="009E0EFD">
        <w:t>.</w:t>
      </w:r>
      <w:r w:rsidR="009E0EFD">
        <w:rPr>
          <w:noProof/>
        </w:rPr>
        <w:t>6</w:t>
      </w:r>
      <w:r>
        <w:fldChar w:fldCharType="end"/>
      </w:r>
      <w:r>
        <w:t xml:space="preserve"> </w:t>
      </w:r>
      <w:r w:rsidR="00541312">
        <w:t>sets out the</w:t>
      </w:r>
      <w:r>
        <w:t xml:space="preserve"> proposed opex</w:t>
      </w:r>
      <w:r w:rsidR="00541312">
        <w:t xml:space="preserve"> prices for the regulatory </w:t>
      </w:r>
      <w:r w:rsidR="00894019">
        <w:t xml:space="preserve">control </w:t>
      </w:r>
      <w:r w:rsidR="00541312">
        <w:t>period.</w:t>
      </w:r>
    </w:p>
    <w:tbl>
      <w:tblPr>
        <w:tblW w:w="9148" w:type="dxa"/>
        <w:tblBorders>
          <w:top w:val="nil"/>
          <w:left w:val="nil"/>
          <w:bottom w:val="nil"/>
          <w:right w:val="nil"/>
        </w:tblBorders>
        <w:tblLayout w:type="fixed"/>
        <w:tblLook w:val="0000" w:firstRow="0" w:lastRow="0" w:firstColumn="0" w:lastColumn="0" w:noHBand="0" w:noVBand="0"/>
      </w:tblPr>
      <w:tblGrid>
        <w:gridCol w:w="9148"/>
      </w:tblGrid>
      <w:tr w:rsidR="006A3E89" w:rsidRPr="00541312" w:rsidTr="009A0A6A">
        <w:trPr>
          <w:trHeight w:val="103"/>
        </w:trPr>
        <w:tc>
          <w:tcPr>
            <w:tcW w:w="9148" w:type="dxa"/>
          </w:tcPr>
          <w:p w:rsidR="006A3E89" w:rsidRPr="00541312" w:rsidRDefault="006A3E89" w:rsidP="0043097E">
            <w:pPr>
              <w:pStyle w:val="Caption"/>
            </w:pPr>
            <w:bookmarkStart w:id="40" w:name="_Ref431282951"/>
            <w:r>
              <w:t xml:space="preserve">Table </w:t>
            </w:r>
            <w:fldSimple w:instr=" STYLEREF 1 \s ">
              <w:r w:rsidR="009E0EFD">
                <w:rPr>
                  <w:noProof/>
                </w:rPr>
                <w:t>16</w:t>
              </w:r>
            </w:fldSimple>
            <w:r w:rsidR="006A670B">
              <w:t>.</w:t>
            </w:r>
            <w:fldSimple w:instr=" SEQ Table \* ARABIC \s 1 ">
              <w:r w:rsidR="009E0EFD">
                <w:rPr>
                  <w:noProof/>
                </w:rPr>
                <w:t>6</w:t>
              </w:r>
            </w:fldSimple>
            <w:bookmarkEnd w:id="40"/>
            <w:r w:rsidRPr="00840BA0">
              <w:t xml:space="preserve"> </w:t>
            </w:r>
            <w:r>
              <w:t>Proposed</w:t>
            </w:r>
            <w:r w:rsidRPr="00541312">
              <w:t xml:space="preserve"> Operation, Maintenance Fee Based </w:t>
            </w:r>
            <w:r w:rsidR="00D11645">
              <w:t>($ nominal)</w:t>
            </w:r>
          </w:p>
        </w:tc>
      </w:tr>
    </w:tbl>
    <w:tbl>
      <w:tblPr>
        <w:tblStyle w:val="AERtable-numbers"/>
        <w:tblW w:w="0" w:type="auto"/>
        <w:tblLook w:val="04A0" w:firstRow="1" w:lastRow="0" w:firstColumn="1" w:lastColumn="0" w:noHBand="0" w:noVBand="1"/>
      </w:tblPr>
      <w:tblGrid>
        <w:gridCol w:w="3003"/>
        <w:gridCol w:w="1138"/>
        <w:gridCol w:w="1138"/>
        <w:gridCol w:w="1138"/>
        <w:gridCol w:w="1138"/>
        <w:gridCol w:w="1138"/>
      </w:tblGrid>
      <w:tr w:rsidR="00802792" w:rsidTr="001C65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3" w:type="dxa"/>
          </w:tcPr>
          <w:p w:rsidR="00802792" w:rsidRPr="00802792" w:rsidRDefault="00802792" w:rsidP="00802792"/>
        </w:tc>
        <w:tc>
          <w:tcPr>
            <w:tcW w:w="1138" w:type="dxa"/>
          </w:tcPr>
          <w:p w:rsidR="00802792" w:rsidRPr="00802792" w:rsidRDefault="00802792" w:rsidP="00802792">
            <w:pPr>
              <w:cnfStyle w:val="100000000000" w:firstRow="1" w:lastRow="0" w:firstColumn="0" w:lastColumn="0" w:oddVBand="0" w:evenVBand="0" w:oddHBand="0" w:evenHBand="0" w:firstRowFirstColumn="0" w:firstRowLastColumn="0" w:lastRowFirstColumn="0" w:lastRowLastColumn="0"/>
            </w:pPr>
            <w:r>
              <w:t>2016</w:t>
            </w:r>
          </w:p>
        </w:tc>
        <w:tc>
          <w:tcPr>
            <w:tcW w:w="1138" w:type="dxa"/>
          </w:tcPr>
          <w:p w:rsidR="00802792" w:rsidRPr="00802792" w:rsidRDefault="00802792" w:rsidP="00802792">
            <w:pPr>
              <w:cnfStyle w:val="100000000000" w:firstRow="1" w:lastRow="0" w:firstColumn="0" w:lastColumn="0" w:oddVBand="0" w:evenVBand="0" w:oddHBand="0" w:evenHBand="0" w:firstRowFirstColumn="0" w:firstRowLastColumn="0" w:lastRowFirstColumn="0" w:lastRowLastColumn="0"/>
            </w:pPr>
            <w:r>
              <w:t>2017</w:t>
            </w:r>
          </w:p>
        </w:tc>
        <w:tc>
          <w:tcPr>
            <w:tcW w:w="1138" w:type="dxa"/>
          </w:tcPr>
          <w:p w:rsidR="00802792" w:rsidRPr="00802792" w:rsidRDefault="00802792" w:rsidP="00802792">
            <w:pPr>
              <w:cnfStyle w:val="100000000000" w:firstRow="1" w:lastRow="0" w:firstColumn="0" w:lastColumn="0" w:oddVBand="0" w:evenVBand="0" w:oddHBand="0" w:evenHBand="0" w:firstRowFirstColumn="0" w:firstRowLastColumn="0" w:lastRowFirstColumn="0" w:lastRowLastColumn="0"/>
            </w:pPr>
            <w:r>
              <w:t>2018</w:t>
            </w:r>
          </w:p>
        </w:tc>
        <w:tc>
          <w:tcPr>
            <w:tcW w:w="1138" w:type="dxa"/>
          </w:tcPr>
          <w:p w:rsidR="00802792" w:rsidRPr="00802792" w:rsidRDefault="00802792" w:rsidP="00802792">
            <w:pPr>
              <w:cnfStyle w:val="100000000000" w:firstRow="1" w:lastRow="0" w:firstColumn="0" w:lastColumn="0" w:oddVBand="0" w:evenVBand="0" w:oddHBand="0" w:evenHBand="0" w:firstRowFirstColumn="0" w:firstRowLastColumn="0" w:lastRowFirstColumn="0" w:lastRowLastColumn="0"/>
            </w:pPr>
            <w:r>
              <w:t>2019</w:t>
            </w:r>
          </w:p>
        </w:tc>
        <w:tc>
          <w:tcPr>
            <w:tcW w:w="1138" w:type="dxa"/>
          </w:tcPr>
          <w:p w:rsidR="00802792" w:rsidRPr="00802792" w:rsidRDefault="00802792" w:rsidP="00802792">
            <w:pPr>
              <w:cnfStyle w:val="100000000000" w:firstRow="1" w:lastRow="0" w:firstColumn="0" w:lastColumn="0" w:oddVBand="0" w:evenVBand="0" w:oddHBand="0" w:evenHBand="0" w:firstRowFirstColumn="0" w:firstRowLastColumn="0" w:lastRowFirstColumn="0" w:lastRowLastColumn="0"/>
            </w:pPr>
            <w:r>
              <w:t>2020</w:t>
            </w:r>
          </w:p>
        </w:tc>
      </w:tr>
      <w:tr w:rsidR="00802792" w:rsidRPr="00962095" w:rsidTr="009A0A6A">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802792" w:rsidRPr="00802792" w:rsidRDefault="00802792" w:rsidP="00802792">
            <w:r w:rsidRPr="00395374">
              <w:rPr>
                <w:rStyle w:val="AERtextboldunderline"/>
              </w:rPr>
              <w:t>Central</w:t>
            </w:r>
          </w:p>
        </w:tc>
        <w:tc>
          <w:tcPr>
            <w:tcW w:w="0" w:type="auto"/>
          </w:tcPr>
          <w:p w:rsidR="00802792" w:rsidRPr="00802792" w:rsidRDefault="00802792" w:rsidP="00802792">
            <w:pPr>
              <w:cnfStyle w:val="000000000000" w:firstRow="0" w:lastRow="0" w:firstColumn="0" w:lastColumn="0" w:oddVBand="0" w:evenVBand="0" w:oddHBand="0" w:evenHBand="0" w:firstRowFirstColumn="0" w:firstRowLastColumn="0" w:lastRowFirstColumn="0" w:lastRowLastColumn="0"/>
            </w:pPr>
          </w:p>
        </w:tc>
        <w:tc>
          <w:tcPr>
            <w:tcW w:w="0" w:type="auto"/>
          </w:tcPr>
          <w:p w:rsidR="00802792" w:rsidRPr="00802792" w:rsidRDefault="00802792" w:rsidP="00802792">
            <w:pPr>
              <w:cnfStyle w:val="000000000000" w:firstRow="0" w:lastRow="0" w:firstColumn="0" w:lastColumn="0" w:oddVBand="0" w:evenVBand="0" w:oddHBand="0" w:evenHBand="0" w:firstRowFirstColumn="0" w:firstRowLastColumn="0" w:lastRowFirstColumn="0" w:lastRowLastColumn="0"/>
            </w:pPr>
          </w:p>
        </w:tc>
        <w:tc>
          <w:tcPr>
            <w:tcW w:w="0" w:type="auto"/>
          </w:tcPr>
          <w:p w:rsidR="00802792" w:rsidRPr="00802792" w:rsidRDefault="00802792" w:rsidP="00802792">
            <w:pPr>
              <w:cnfStyle w:val="000000000000" w:firstRow="0" w:lastRow="0" w:firstColumn="0" w:lastColumn="0" w:oddVBand="0" w:evenVBand="0" w:oddHBand="0" w:evenHBand="0" w:firstRowFirstColumn="0" w:firstRowLastColumn="0" w:lastRowFirstColumn="0" w:lastRowLastColumn="0"/>
            </w:pPr>
          </w:p>
        </w:tc>
        <w:tc>
          <w:tcPr>
            <w:tcW w:w="0" w:type="auto"/>
          </w:tcPr>
          <w:p w:rsidR="00802792" w:rsidRPr="00802792" w:rsidRDefault="00802792" w:rsidP="00802792">
            <w:pPr>
              <w:cnfStyle w:val="000000000000" w:firstRow="0" w:lastRow="0" w:firstColumn="0" w:lastColumn="0" w:oddVBand="0" w:evenVBand="0" w:oddHBand="0" w:evenHBand="0" w:firstRowFirstColumn="0" w:firstRowLastColumn="0" w:lastRowFirstColumn="0" w:lastRowLastColumn="0"/>
            </w:pPr>
          </w:p>
        </w:tc>
        <w:tc>
          <w:tcPr>
            <w:tcW w:w="0" w:type="auto"/>
          </w:tcPr>
          <w:p w:rsidR="00802792" w:rsidRPr="00802792" w:rsidRDefault="00802792" w:rsidP="00802792">
            <w:pPr>
              <w:cnfStyle w:val="000000000000" w:firstRow="0" w:lastRow="0" w:firstColumn="0" w:lastColumn="0" w:oddVBand="0" w:evenVBand="0" w:oddHBand="0" w:evenHBand="0" w:firstRowFirstColumn="0" w:firstRowLastColumn="0" w:lastRowFirstColumn="0" w:lastRowLastColumn="0"/>
            </w:pPr>
          </w:p>
        </w:tc>
      </w:tr>
      <w:tr w:rsidR="0043097E" w:rsidRPr="00962095" w:rsidTr="001F67F2">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vAlign w:val="top"/>
          </w:tcPr>
          <w:p w:rsidR="0043097E" w:rsidRPr="0043097E" w:rsidRDefault="0043097E" w:rsidP="0043097E">
            <w:pPr>
              <w:pStyle w:val="Tabletext"/>
            </w:pPr>
            <w:r w:rsidRPr="0043097E">
              <w:t xml:space="preserve">Mercury Vapour 80W </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43.71</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46.97</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50.22</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53.44</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56.61</w:t>
            </w:r>
          </w:p>
        </w:tc>
      </w:tr>
      <w:tr w:rsidR="0043097E" w:rsidRPr="00962095" w:rsidTr="001F67F2">
        <w:trPr>
          <w:trHeight w:val="103"/>
        </w:trPr>
        <w:tc>
          <w:tcPr>
            <w:cnfStyle w:val="001000000000" w:firstRow="0" w:lastRow="0" w:firstColumn="1" w:lastColumn="0" w:oddVBand="0" w:evenVBand="0" w:oddHBand="0" w:evenHBand="0" w:firstRowFirstColumn="0" w:firstRowLastColumn="0" w:lastRowFirstColumn="0" w:lastRowLastColumn="0"/>
            <w:tcW w:w="0" w:type="auto"/>
            <w:vAlign w:val="top"/>
          </w:tcPr>
          <w:p w:rsidR="0043097E" w:rsidRPr="0043097E" w:rsidRDefault="0043097E" w:rsidP="0043097E">
            <w:pPr>
              <w:pStyle w:val="Tabletext"/>
            </w:pPr>
            <w:r w:rsidRPr="0043097E">
              <w:t xml:space="preserve">HP Sodium 150W </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100.31</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105.19</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110.09</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115.00</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119.87</w:t>
            </w:r>
          </w:p>
        </w:tc>
      </w:tr>
      <w:tr w:rsidR="0043097E" w:rsidRPr="00962095" w:rsidTr="001F67F2">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0" w:type="auto"/>
            <w:vAlign w:val="top"/>
          </w:tcPr>
          <w:p w:rsidR="0043097E" w:rsidRPr="0043097E" w:rsidRDefault="0043097E" w:rsidP="0043097E">
            <w:pPr>
              <w:pStyle w:val="Tabletext"/>
            </w:pPr>
            <w:r w:rsidRPr="0043097E">
              <w:t xml:space="preserve">HP Sodium 250W </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101.25</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106.18</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111.13</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116.08</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121.00</w:t>
            </w:r>
          </w:p>
        </w:tc>
      </w:tr>
      <w:tr w:rsidR="0043097E" w:rsidRPr="00962095" w:rsidTr="001F67F2">
        <w:trPr>
          <w:trHeight w:val="230"/>
        </w:trPr>
        <w:tc>
          <w:tcPr>
            <w:cnfStyle w:val="001000000000" w:firstRow="0" w:lastRow="0" w:firstColumn="1" w:lastColumn="0" w:oddVBand="0" w:evenVBand="0" w:oddHBand="0" w:evenHBand="0" w:firstRowFirstColumn="0" w:firstRowLastColumn="0" w:lastRowFirstColumn="0" w:lastRowLastColumn="0"/>
            <w:tcW w:w="0" w:type="auto"/>
            <w:vAlign w:val="top"/>
          </w:tcPr>
          <w:p w:rsidR="0043097E" w:rsidRPr="0043097E" w:rsidRDefault="0043097E" w:rsidP="0043097E">
            <w:pPr>
              <w:pStyle w:val="Tabletext"/>
            </w:pPr>
            <w:r w:rsidRPr="0043097E">
              <w:t xml:space="preserve">Mercury Vapour 50W </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66.88</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71.86</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76.83</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81.76</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86.61</w:t>
            </w:r>
          </w:p>
        </w:tc>
      </w:tr>
      <w:tr w:rsidR="0043097E" w:rsidRPr="00962095" w:rsidTr="001F67F2">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vAlign w:val="top"/>
          </w:tcPr>
          <w:p w:rsidR="0043097E" w:rsidRPr="0043097E" w:rsidRDefault="0043097E" w:rsidP="0043097E">
            <w:pPr>
              <w:pStyle w:val="Tabletext"/>
            </w:pPr>
            <w:r w:rsidRPr="0043097E">
              <w:t xml:space="preserve">Mercury Vapour 125W </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64.26</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69.04</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73.82</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78.55</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83.21</w:t>
            </w:r>
          </w:p>
        </w:tc>
      </w:tr>
      <w:tr w:rsidR="0043097E" w:rsidRPr="00962095" w:rsidTr="001F67F2">
        <w:trPr>
          <w:trHeight w:val="230"/>
        </w:trPr>
        <w:tc>
          <w:tcPr>
            <w:cnfStyle w:val="001000000000" w:firstRow="0" w:lastRow="0" w:firstColumn="1" w:lastColumn="0" w:oddVBand="0" w:evenVBand="0" w:oddHBand="0" w:evenHBand="0" w:firstRowFirstColumn="0" w:firstRowLastColumn="0" w:lastRowFirstColumn="0" w:lastRowLastColumn="0"/>
            <w:tcW w:w="0" w:type="auto"/>
            <w:vAlign w:val="top"/>
          </w:tcPr>
          <w:p w:rsidR="0043097E" w:rsidRPr="0043097E" w:rsidRDefault="0043097E" w:rsidP="0043097E">
            <w:pPr>
              <w:pStyle w:val="Tabletext"/>
            </w:pPr>
            <w:r w:rsidRPr="0043097E">
              <w:t xml:space="preserve">Mercury Vapour 250W </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106.31</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111.49</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116.69</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121.89</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127.05</w:t>
            </w:r>
          </w:p>
        </w:tc>
      </w:tr>
      <w:tr w:rsidR="0043097E" w:rsidRPr="00962095" w:rsidTr="001F67F2">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vAlign w:val="top"/>
          </w:tcPr>
          <w:p w:rsidR="0043097E" w:rsidRPr="0043097E" w:rsidRDefault="0043097E" w:rsidP="0043097E">
            <w:pPr>
              <w:pStyle w:val="Tabletext"/>
            </w:pPr>
            <w:r w:rsidRPr="0043097E">
              <w:t xml:space="preserve">Mercury Vapour 400W </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110.36</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115.73</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121.13</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126.53</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131.89</w:t>
            </w:r>
          </w:p>
        </w:tc>
      </w:tr>
      <w:tr w:rsidR="0043097E" w:rsidRPr="00962095" w:rsidTr="001F67F2">
        <w:trPr>
          <w:trHeight w:val="230"/>
        </w:trPr>
        <w:tc>
          <w:tcPr>
            <w:cnfStyle w:val="001000000000" w:firstRow="0" w:lastRow="0" w:firstColumn="1" w:lastColumn="0" w:oddVBand="0" w:evenVBand="0" w:oddHBand="0" w:evenHBand="0" w:firstRowFirstColumn="0" w:firstRowLastColumn="0" w:lastRowFirstColumn="0" w:lastRowLastColumn="0"/>
            <w:tcW w:w="0" w:type="auto"/>
            <w:vAlign w:val="top"/>
          </w:tcPr>
          <w:p w:rsidR="0043097E" w:rsidRPr="0043097E" w:rsidRDefault="0043097E" w:rsidP="0043097E">
            <w:pPr>
              <w:pStyle w:val="Tabletext"/>
            </w:pPr>
            <w:r w:rsidRPr="0043097E">
              <w:t xml:space="preserve">HP Sodium 100W </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107.33</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112.55</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117.80</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123.05</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128.27</w:t>
            </w:r>
          </w:p>
        </w:tc>
      </w:tr>
      <w:tr w:rsidR="0043097E" w:rsidRPr="00962095" w:rsidTr="001F67F2">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vAlign w:val="top"/>
          </w:tcPr>
          <w:p w:rsidR="0043097E" w:rsidRPr="0043097E" w:rsidRDefault="0043097E" w:rsidP="0043097E">
            <w:pPr>
              <w:pStyle w:val="Tabletext"/>
            </w:pPr>
            <w:r w:rsidRPr="0043097E">
              <w:t xml:space="preserve">HP Sodium 400W </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143.78</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150.77</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157.81</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164.84</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171.82</w:t>
            </w:r>
          </w:p>
        </w:tc>
      </w:tr>
      <w:tr w:rsidR="0043097E" w:rsidRPr="00962095" w:rsidTr="001F67F2">
        <w:trPr>
          <w:trHeight w:val="230"/>
        </w:trPr>
        <w:tc>
          <w:tcPr>
            <w:cnfStyle w:val="001000000000" w:firstRow="0" w:lastRow="0" w:firstColumn="1" w:lastColumn="0" w:oddVBand="0" w:evenVBand="0" w:oddHBand="0" w:evenHBand="0" w:firstRowFirstColumn="0" w:firstRowLastColumn="0" w:lastRowFirstColumn="0" w:lastRowLastColumn="0"/>
            <w:tcW w:w="0" w:type="auto"/>
            <w:vAlign w:val="top"/>
          </w:tcPr>
          <w:p w:rsidR="0043097E" w:rsidRPr="0043097E" w:rsidRDefault="0043097E" w:rsidP="0043097E">
            <w:pPr>
              <w:pStyle w:val="Tabletext"/>
            </w:pPr>
            <w:r w:rsidRPr="0043097E">
              <w:t xml:space="preserve">T5 2X14W </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48.92</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49.02</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49.79</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50.95</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52.35</w:t>
            </w:r>
          </w:p>
        </w:tc>
      </w:tr>
      <w:tr w:rsidR="0043097E" w:rsidRPr="00962095" w:rsidTr="001F67F2">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vAlign w:val="top"/>
          </w:tcPr>
          <w:p w:rsidR="0043097E" w:rsidRPr="0043097E" w:rsidRDefault="0043097E" w:rsidP="0043097E">
            <w:pPr>
              <w:pStyle w:val="Tabletext"/>
            </w:pPr>
            <w:r w:rsidRPr="0043097E">
              <w:t xml:space="preserve">T5 2X24W </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53.53</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53.49</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54.20</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55.34</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56.75</w:t>
            </w:r>
          </w:p>
        </w:tc>
      </w:tr>
      <w:tr w:rsidR="0043097E" w:rsidRPr="00962095" w:rsidTr="001F67F2">
        <w:trPr>
          <w:trHeight w:val="230"/>
        </w:trPr>
        <w:tc>
          <w:tcPr>
            <w:cnfStyle w:val="001000000000" w:firstRow="0" w:lastRow="0" w:firstColumn="1" w:lastColumn="0" w:oddVBand="0" w:evenVBand="0" w:oddHBand="0" w:evenHBand="0" w:firstRowFirstColumn="0" w:firstRowLastColumn="0" w:lastRowFirstColumn="0" w:lastRowLastColumn="0"/>
            <w:tcW w:w="0" w:type="auto"/>
            <w:vAlign w:val="top"/>
          </w:tcPr>
          <w:p w:rsidR="0043097E" w:rsidRPr="0043097E" w:rsidRDefault="0043097E" w:rsidP="0043097E">
            <w:pPr>
              <w:pStyle w:val="Tabletext"/>
              <w:rPr>
                <w:rStyle w:val="AERtextboldunderline"/>
              </w:rPr>
            </w:pPr>
            <w:r w:rsidRPr="0043097E">
              <w:rPr>
                <w:rStyle w:val="AERtextboldunderline"/>
              </w:rPr>
              <w:t xml:space="preserve">North &amp; East </w:t>
            </w:r>
          </w:p>
        </w:tc>
        <w:tc>
          <w:tcPr>
            <w:tcW w:w="0" w:type="auto"/>
          </w:tcPr>
          <w:p w:rsidR="0043097E" w:rsidRPr="0043097E" w:rsidRDefault="0043097E">
            <w:pPr>
              <w:cnfStyle w:val="000000000000" w:firstRow="0" w:lastRow="0" w:firstColumn="0" w:lastColumn="0" w:oddVBand="0" w:evenVBand="0" w:oddHBand="0" w:evenHBand="0" w:firstRowFirstColumn="0" w:firstRowLastColumn="0" w:lastRowFirstColumn="0" w:lastRowLastColumn="0"/>
            </w:pP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p>
        </w:tc>
      </w:tr>
      <w:tr w:rsidR="0043097E" w:rsidRPr="00962095" w:rsidTr="001F67F2">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vAlign w:val="top"/>
          </w:tcPr>
          <w:p w:rsidR="0043097E" w:rsidRPr="0043097E" w:rsidRDefault="0043097E" w:rsidP="0043097E">
            <w:pPr>
              <w:pStyle w:val="Tabletext"/>
            </w:pPr>
            <w:r w:rsidRPr="0043097E">
              <w:t xml:space="preserve">Mercury Vapour 80W </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49.43</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53.07</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56.72</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60.35</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63.94</w:t>
            </w:r>
          </w:p>
        </w:tc>
      </w:tr>
      <w:tr w:rsidR="0043097E" w:rsidRPr="00962095" w:rsidTr="001F67F2">
        <w:trPr>
          <w:trHeight w:val="230"/>
        </w:trPr>
        <w:tc>
          <w:tcPr>
            <w:cnfStyle w:val="001000000000" w:firstRow="0" w:lastRow="0" w:firstColumn="1" w:lastColumn="0" w:oddVBand="0" w:evenVBand="0" w:oddHBand="0" w:evenHBand="0" w:firstRowFirstColumn="0" w:firstRowLastColumn="0" w:lastRowFirstColumn="0" w:lastRowLastColumn="0"/>
            <w:tcW w:w="0" w:type="auto"/>
            <w:vAlign w:val="top"/>
          </w:tcPr>
          <w:p w:rsidR="0043097E" w:rsidRPr="0043097E" w:rsidRDefault="0043097E" w:rsidP="0043097E">
            <w:pPr>
              <w:pStyle w:val="Tabletext"/>
            </w:pPr>
            <w:r w:rsidRPr="0043097E">
              <w:t xml:space="preserve">HP Sodium 150W </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113.93</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119.39</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124.89</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130.41</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135.91</w:t>
            </w:r>
          </w:p>
        </w:tc>
      </w:tr>
      <w:tr w:rsidR="0043097E" w:rsidRPr="00962095" w:rsidTr="001F67F2">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vAlign w:val="top"/>
          </w:tcPr>
          <w:p w:rsidR="0043097E" w:rsidRPr="0043097E" w:rsidRDefault="0043097E" w:rsidP="0043097E">
            <w:pPr>
              <w:pStyle w:val="Tabletext"/>
            </w:pPr>
            <w:r w:rsidRPr="0043097E">
              <w:t xml:space="preserve">HP Sodium 250W </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112.69</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118.13</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123.61</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129.10</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134.58</w:t>
            </w:r>
          </w:p>
        </w:tc>
      </w:tr>
      <w:tr w:rsidR="0043097E" w:rsidRPr="00962095" w:rsidTr="001F67F2">
        <w:trPr>
          <w:trHeight w:val="230"/>
        </w:trPr>
        <w:tc>
          <w:tcPr>
            <w:cnfStyle w:val="001000000000" w:firstRow="0" w:lastRow="0" w:firstColumn="1" w:lastColumn="0" w:oddVBand="0" w:evenVBand="0" w:oddHBand="0" w:evenHBand="0" w:firstRowFirstColumn="0" w:firstRowLastColumn="0" w:lastRowFirstColumn="0" w:lastRowLastColumn="0"/>
            <w:tcW w:w="0" w:type="auto"/>
            <w:vAlign w:val="top"/>
          </w:tcPr>
          <w:p w:rsidR="0043097E" w:rsidRPr="0043097E" w:rsidRDefault="0043097E" w:rsidP="0043097E">
            <w:pPr>
              <w:pStyle w:val="Tabletext"/>
            </w:pPr>
            <w:r w:rsidRPr="0043097E">
              <w:t xml:space="preserve">Mercury Vapour 50W </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73.16</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78.54</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83.94</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89.32</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94.63</w:t>
            </w:r>
          </w:p>
        </w:tc>
      </w:tr>
      <w:tr w:rsidR="0043097E" w:rsidRPr="00962095" w:rsidTr="001F67F2">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vAlign w:val="top"/>
          </w:tcPr>
          <w:p w:rsidR="0043097E" w:rsidRPr="0043097E" w:rsidRDefault="0043097E" w:rsidP="0043097E">
            <w:pPr>
              <w:pStyle w:val="Tabletext"/>
            </w:pPr>
            <w:r w:rsidRPr="0043097E">
              <w:t xml:space="preserve">Mercury Vapour 125W </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73.16</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78.54</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83.94</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89.32</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94.63</w:t>
            </w:r>
          </w:p>
        </w:tc>
      </w:tr>
      <w:tr w:rsidR="0043097E" w:rsidRPr="00962095" w:rsidTr="001F67F2">
        <w:trPr>
          <w:trHeight w:val="230"/>
        </w:trPr>
        <w:tc>
          <w:tcPr>
            <w:cnfStyle w:val="001000000000" w:firstRow="0" w:lastRow="0" w:firstColumn="1" w:lastColumn="0" w:oddVBand="0" w:evenVBand="0" w:oddHBand="0" w:evenHBand="0" w:firstRowFirstColumn="0" w:firstRowLastColumn="0" w:lastRowFirstColumn="0" w:lastRowLastColumn="0"/>
            <w:tcW w:w="0" w:type="auto"/>
            <w:vAlign w:val="top"/>
          </w:tcPr>
          <w:p w:rsidR="0043097E" w:rsidRPr="0043097E" w:rsidRDefault="0043097E" w:rsidP="0043097E">
            <w:pPr>
              <w:pStyle w:val="Tabletext"/>
            </w:pPr>
            <w:r w:rsidRPr="0043097E">
              <w:t xml:space="preserve">Mercury Vapour 250W </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117.20</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122.85</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128.55</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134.27</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139.96</w:t>
            </w:r>
          </w:p>
        </w:tc>
      </w:tr>
      <w:tr w:rsidR="0043097E" w:rsidRPr="00962095" w:rsidTr="001F67F2">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vAlign w:val="top"/>
          </w:tcPr>
          <w:p w:rsidR="0043097E" w:rsidRPr="0043097E" w:rsidRDefault="0043097E" w:rsidP="0043097E">
            <w:pPr>
              <w:pStyle w:val="Tabletext"/>
            </w:pPr>
            <w:r w:rsidRPr="0043097E">
              <w:t xml:space="preserve">Mercury Vapour 400W </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120.58</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126.40</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132.26</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138.14</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144.00</w:t>
            </w:r>
          </w:p>
        </w:tc>
      </w:tr>
      <w:tr w:rsidR="0043097E" w:rsidRPr="00962095" w:rsidTr="001F67F2">
        <w:trPr>
          <w:trHeight w:val="230"/>
        </w:trPr>
        <w:tc>
          <w:tcPr>
            <w:cnfStyle w:val="001000000000" w:firstRow="0" w:lastRow="0" w:firstColumn="1" w:lastColumn="0" w:oddVBand="0" w:evenVBand="0" w:oddHBand="0" w:evenHBand="0" w:firstRowFirstColumn="0" w:firstRowLastColumn="0" w:lastRowFirstColumn="0" w:lastRowLastColumn="0"/>
            <w:tcW w:w="0" w:type="auto"/>
            <w:vAlign w:val="top"/>
          </w:tcPr>
          <w:p w:rsidR="0043097E" w:rsidRPr="0043097E" w:rsidRDefault="0043097E" w:rsidP="0043097E">
            <w:pPr>
              <w:pStyle w:val="Tabletext"/>
            </w:pPr>
            <w:r w:rsidRPr="0043097E">
              <w:t xml:space="preserve">HP Sodium 100W </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121.90</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127.74</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133.63</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139.54</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145.43</w:t>
            </w:r>
          </w:p>
        </w:tc>
      </w:tr>
      <w:tr w:rsidR="0043097E" w:rsidRPr="00962095" w:rsidTr="001F67F2">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vAlign w:val="top"/>
          </w:tcPr>
          <w:p w:rsidR="0043097E" w:rsidRPr="0043097E" w:rsidRDefault="0043097E" w:rsidP="0043097E">
            <w:pPr>
              <w:pStyle w:val="Tabletext"/>
            </w:pPr>
            <w:r w:rsidRPr="0043097E">
              <w:t xml:space="preserve">HP Sodium 400W </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160.03</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167.74</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175.52</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183.33</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191.10</w:t>
            </w:r>
          </w:p>
        </w:tc>
      </w:tr>
      <w:tr w:rsidR="0043097E" w:rsidRPr="00962095" w:rsidTr="001F67F2">
        <w:trPr>
          <w:trHeight w:val="230"/>
        </w:trPr>
        <w:tc>
          <w:tcPr>
            <w:cnfStyle w:val="001000000000" w:firstRow="0" w:lastRow="0" w:firstColumn="1" w:lastColumn="0" w:oddVBand="0" w:evenVBand="0" w:oddHBand="0" w:evenHBand="0" w:firstRowFirstColumn="0" w:firstRowLastColumn="0" w:lastRowFirstColumn="0" w:lastRowLastColumn="0"/>
            <w:tcW w:w="0" w:type="auto"/>
            <w:vAlign w:val="top"/>
          </w:tcPr>
          <w:p w:rsidR="0043097E" w:rsidRPr="0043097E" w:rsidRDefault="0043097E" w:rsidP="0043097E">
            <w:pPr>
              <w:pStyle w:val="Tabletext"/>
            </w:pPr>
            <w:r w:rsidRPr="0043097E">
              <w:t xml:space="preserve">T5 2X14W </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54.53</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54.91</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55.99</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57.47</w:t>
            </w:r>
          </w:p>
        </w:tc>
        <w:tc>
          <w:tcPr>
            <w:tcW w:w="0" w:type="auto"/>
          </w:tcPr>
          <w:p w:rsidR="0043097E" w:rsidRPr="0043097E" w:rsidRDefault="0043097E" w:rsidP="0043097E">
            <w:pPr>
              <w:cnfStyle w:val="000000000000" w:firstRow="0" w:lastRow="0" w:firstColumn="0" w:lastColumn="0" w:oddVBand="0" w:evenVBand="0" w:oddHBand="0" w:evenHBand="0" w:firstRowFirstColumn="0" w:firstRowLastColumn="0" w:lastRowFirstColumn="0" w:lastRowLastColumn="0"/>
            </w:pPr>
            <w:r w:rsidRPr="0043097E">
              <w:t>59.20</w:t>
            </w:r>
          </w:p>
        </w:tc>
      </w:tr>
      <w:tr w:rsidR="0043097E" w:rsidRPr="00962095" w:rsidTr="001F67F2">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vAlign w:val="top"/>
          </w:tcPr>
          <w:p w:rsidR="0043097E" w:rsidRPr="0043097E" w:rsidRDefault="0043097E" w:rsidP="0043097E">
            <w:pPr>
              <w:pStyle w:val="Tabletext"/>
            </w:pPr>
            <w:r w:rsidRPr="0043097E">
              <w:t xml:space="preserve">T5 2X24W </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59.25</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59.50</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60.51</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61.98</w:t>
            </w:r>
          </w:p>
        </w:tc>
        <w:tc>
          <w:tcPr>
            <w:tcW w:w="0" w:type="auto"/>
          </w:tcPr>
          <w:p w:rsidR="0043097E" w:rsidRPr="0043097E" w:rsidRDefault="0043097E" w:rsidP="0043097E">
            <w:pPr>
              <w:cnfStyle w:val="000000010000" w:firstRow="0" w:lastRow="0" w:firstColumn="0" w:lastColumn="0" w:oddVBand="0" w:evenVBand="0" w:oddHBand="0" w:evenHBand="1" w:firstRowFirstColumn="0" w:firstRowLastColumn="0" w:lastRowFirstColumn="0" w:lastRowLastColumn="0"/>
            </w:pPr>
            <w:r w:rsidRPr="0043097E">
              <w:t>63.72</w:t>
            </w:r>
          </w:p>
        </w:tc>
      </w:tr>
    </w:tbl>
    <w:p w:rsidR="009D0199" w:rsidRDefault="00B93B0E" w:rsidP="007653A5">
      <w:pPr>
        <w:pStyle w:val="AERtablesource"/>
      </w:pPr>
      <w:r>
        <w:t>Source:</w:t>
      </w:r>
      <w:r w:rsidR="0042069C">
        <w:t xml:space="preserve"> </w:t>
      </w:r>
      <w:r w:rsidR="00766784" w:rsidRPr="00766784">
        <w:t>AusNet</w:t>
      </w:r>
      <w:r w:rsidR="00E2589C">
        <w:t xml:space="preserve"> Services</w:t>
      </w:r>
      <w:r w:rsidR="00766784" w:rsidRPr="00766784">
        <w:t xml:space="preserve">, </w:t>
      </w:r>
      <w:r w:rsidR="00894019" w:rsidRPr="001C6565">
        <w:rPr>
          <w:rStyle w:val="Emphasis"/>
        </w:rPr>
        <w:t>R</w:t>
      </w:r>
      <w:r w:rsidR="00766784" w:rsidRPr="001C6565">
        <w:rPr>
          <w:rStyle w:val="Emphasis"/>
        </w:rPr>
        <w:t xml:space="preserve">egulatory </w:t>
      </w:r>
      <w:r w:rsidR="00894019" w:rsidRPr="001C6565">
        <w:rPr>
          <w:rStyle w:val="Emphasis"/>
        </w:rPr>
        <w:t>P</w:t>
      </w:r>
      <w:r w:rsidR="00766784" w:rsidRPr="001C6565">
        <w:rPr>
          <w:rStyle w:val="Emphasis"/>
        </w:rPr>
        <w:t>roposal</w:t>
      </w:r>
      <w:r w:rsidR="00F10ED5">
        <w:rPr>
          <w:rStyle w:val="Emphasis"/>
        </w:rPr>
        <w:t xml:space="preserve"> </w:t>
      </w:r>
      <w:r w:rsidR="00F10ED5">
        <w:rPr>
          <w:rStyle w:val="AERtextitalic"/>
        </w:rPr>
        <w:t>2016–20</w:t>
      </w:r>
      <w:r w:rsidR="00766784" w:rsidRPr="00766784">
        <w:t>,</w:t>
      </w:r>
      <w:r w:rsidR="00894019">
        <w:t xml:space="preserve"> April 2015, </w:t>
      </w:r>
      <w:r w:rsidR="00766784" w:rsidRPr="00766784">
        <w:t>p.</w:t>
      </w:r>
      <w:r w:rsidR="00AC5C4B">
        <w:t xml:space="preserve"> 425</w:t>
      </w:r>
      <w:r w:rsidR="00894019">
        <w:t>.</w:t>
      </w:r>
    </w:p>
    <w:p w:rsidR="008757A6" w:rsidRDefault="008757A6" w:rsidP="008757A6">
      <w:pPr>
        <w:pStyle w:val="Heading3"/>
      </w:pPr>
      <w:bookmarkStart w:id="41" w:name="_Toc430866010"/>
      <w:bookmarkStart w:id="42" w:name="_Toc433704562"/>
      <w:r w:rsidRPr="0074565D">
        <w:t>AER’s assessment approach</w:t>
      </w:r>
      <w:bookmarkEnd w:id="41"/>
      <w:bookmarkEnd w:id="42"/>
    </w:p>
    <w:p w:rsidR="005E11E4" w:rsidRDefault="005E11E4" w:rsidP="005E11E4">
      <w:r>
        <w:t>We assess the distributor</w:t>
      </w:r>
      <w:r w:rsidR="001E50FA">
        <w:t>'</w:t>
      </w:r>
      <w:r>
        <w:t>s public lighting proposals by analysing the assumptions used in the build-up of proposed costs and benchmarking these costs and assumptions amongst distributors and against independent data and information. This approach is consistent with the assessment approach</w:t>
      </w:r>
      <w:r w:rsidRPr="00F81300">
        <w:t xml:space="preserve"> used in </w:t>
      </w:r>
      <w:r>
        <w:t>the New South Wales and Queensland public lighting determinations</w:t>
      </w:r>
      <w:r w:rsidRPr="00F81300">
        <w:t>.</w:t>
      </w:r>
    </w:p>
    <w:p w:rsidR="008757A6" w:rsidRPr="008757A6" w:rsidRDefault="003E67D9" w:rsidP="008757A6">
      <w:r>
        <w:t>Our primary assessment approach is to benchmark inputs and costs of Victorian distributors against their peers. We have also done this based on the inputs decided in the 2011-15 determination and included in the modelling. In this way we achieve consistency with the approach we adopted for the 2011 determination and by the State regulator before that</w:t>
      </w:r>
      <w:r w:rsidR="008757A6" w:rsidRPr="008757A6">
        <w:t>.</w:t>
      </w:r>
      <w:r w:rsidR="008757A6">
        <w:rPr>
          <w:rStyle w:val="FootnoteReference"/>
        </w:rPr>
        <w:footnoteReference w:id="32"/>
      </w:r>
      <w:r w:rsidR="008757A6" w:rsidRPr="008757A6">
        <w:t xml:space="preserve"> </w:t>
      </w:r>
    </w:p>
    <w:p w:rsidR="008757A6" w:rsidRDefault="003E67D9" w:rsidP="008757A6">
      <w:r>
        <w:t xml:space="preserve">This approach seeks to achieve consistency in assumptions and costs across distributors; nonetheless public lighting prices will always vary somewhat amongst the five Victorian distributors because of </w:t>
      </w:r>
      <w:r w:rsidRPr="003E67D9">
        <w:t xml:space="preserve">each distributor’s particular circumstances (size of asset base, geographic patch to cover, </w:t>
      </w:r>
      <w:proofErr w:type="gramStart"/>
      <w:r w:rsidRPr="003E67D9">
        <w:t>mix</w:t>
      </w:r>
      <w:proofErr w:type="gramEnd"/>
      <w:r w:rsidRPr="003E67D9">
        <w:t xml:space="preserve"> of luminaire types, among others)</w:t>
      </w:r>
      <w:r w:rsidR="008757A6" w:rsidRPr="008757A6">
        <w:t>. We have previously explained this in prior public lighting determinations.</w:t>
      </w:r>
      <w:r w:rsidR="008757A6">
        <w:rPr>
          <w:rStyle w:val="FootnoteReference"/>
        </w:rPr>
        <w:footnoteReference w:id="33"/>
      </w:r>
    </w:p>
    <w:p w:rsidR="0052316E" w:rsidRPr="0052316E" w:rsidRDefault="0052316E" w:rsidP="0052316E">
      <w:pPr>
        <w:pStyle w:val="Heading3"/>
      </w:pPr>
      <w:bookmarkStart w:id="43" w:name="_Toc433704563"/>
      <w:r w:rsidRPr="0052316E">
        <w:t>Reasons for preliminary decision</w:t>
      </w:r>
      <w:bookmarkEnd w:id="43"/>
      <w:r w:rsidRPr="0052316E">
        <w:t xml:space="preserve"> </w:t>
      </w:r>
    </w:p>
    <w:p w:rsidR="00712B84" w:rsidRDefault="00712B84" w:rsidP="00EE2417">
      <w:r w:rsidRPr="00712B84">
        <w:t>In our preliminary decision for public lighting, we have adopted the same estimate of WACC as for standard control services. The reasons for the real pre-tax WACC are discussed in attachment 3 — Rate of return.</w:t>
      </w:r>
    </w:p>
    <w:p w:rsidR="007D5C23" w:rsidRDefault="00AC5C4B" w:rsidP="00EE2417">
      <w:r>
        <w:t xml:space="preserve">Consistent with the other distributors we have </w:t>
      </w:r>
      <w:r w:rsidRPr="00AC5C4B">
        <w:t>amend</w:t>
      </w:r>
      <w:r>
        <w:t>ed</w:t>
      </w:r>
      <w:r w:rsidRPr="00AC5C4B">
        <w:t xml:space="preserve"> the public lighting model to include the LED 18W, CF 32W, CF 42 W, Metal Halide (70W, 100W, 150W, 700W) and Mercury Vapour 700W as regulated lights</w:t>
      </w:r>
      <w:r>
        <w:t>. This will enable shared costs to be spread across the whole population of lights.</w:t>
      </w:r>
    </w:p>
    <w:p w:rsidR="00971483" w:rsidRPr="00971483" w:rsidRDefault="00971483" w:rsidP="00971483">
      <w:r w:rsidRPr="00971483">
        <w:t>We accept the proposed Geographical Information System (GIS) costs. Without a GIS system, the Victorian distributors will not be able to track lights within their network. This system is necessary to meet the minimum requirements set out in clauses 2.3.1, 5.1 and 5.2 of the Victorian Public Lighting Code 2005 (the Code), regarding provision of public lighting data to customers.</w:t>
      </w:r>
      <w:r w:rsidRPr="00971483">
        <w:rPr>
          <w:rStyle w:val="AERsuperscript"/>
        </w:rPr>
        <w:footnoteReference w:id="34"/>
      </w:r>
    </w:p>
    <w:p w:rsidR="00971483" w:rsidRPr="00971483" w:rsidRDefault="00971483" w:rsidP="00971483">
      <w:r w:rsidRPr="00971483">
        <w:t>We have considered the Streetlight Group of Councils (SLG's) claims that GIS costs are a one-off for the establishment of these systems and should not continue to be paid by customers.</w:t>
      </w:r>
      <w:r w:rsidRPr="00971483">
        <w:rPr>
          <w:rStyle w:val="AERsuperscript"/>
        </w:rPr>
        <w:footnoteReference w:id="35"/>
      </w:r>
      <w:r w:rsidRPr="00971483">
        <w:t xml:space="preserve"> GIS services costs were included for distributors to establish the spatial location of assets and to provide web based access to public lighting customers back in 2004. However, GIS component costs are required for the ongoing maintenance of the Victorian distributor’s public lighting data and are ongoing. Accordingly, we maintain the position established in our 2011 determination to allow an annual GIS component cost.</w:t>
      </w:r>
    </w:p>
    <w:p w:rsidR="00971483" w:rsidRPr="00971483" w:rsidRDefault="00971483" w:rsidP="00971483">
      <w:r w:rsidRPr="00971483" w:rsidDel="00C70744">
        <w:t>We disagree with</w:t>
      </w:r>
      <w:r w:rsidRPr="00971483">
        <w:t xml:space="preserve"> SLG's contention that the network use of system charges for unmetered supplies recovers GIS costs. Rather, that charge recovers the costs of energy consumption emitted by the public lighting luminaire only. It does not recover GIS costs which are instead recovered as part of the annual operating, maintenance and replacement charges set out in this section.</w:t>
      </w:r>
    </w:p>
    <w:p w:rsidR="00971483" w:rsidRPr="00971483" w:rsidRDefault="00971483" w:rsidP="00971483">
      <w:r w:rsidRPr="00971483">
        <w:t xml:space="preserve">We consider the GIS system cost of $113,443 and complaints handling costs of $34,033 (updated from the benchmark costs set in the 2011 determination) are prudent and efficient. </w:t>
      </w:r>
    </w:p>
    <w:p w:rsidR="00165462" w:rsidRPr="00165462" w:rsidRDefault="00165462" w:rsidP="009F3BEA">
      <w:r>
        <w:rPr>
          <w:rStyle w:val="AERbody"/>
        </w:rPr>
        <w:t xml:space="preserve">We have made amendments to the </w:t>
      </w:r>
      <w:r w:rsidRPr="00165462">
        <w:rPr>
          <w:rStyle w:val="AERbody"/>
        </w:rPr>
        <w:t>proposed public lighting model, including</w:t>
      </w:r>
      <w:r w:rsidRPr="00165462">
        <w:t>:</w:t>
      </w:r>
    </w:p>
    <w:p w:rsidR="00DE7B2B" w:rsidRPr="00DE7B2B" w:rsidRDefault="00DE7B2B" w:rsidP="00DE7B2B">
      <w:pPr>
        <w:pStyle w:val="AERbulletlistfirststyle"/>
      </w:pPr>
      <w:r w:rsidRPr="00DE7B2B">
        <w:t>Material premium in poles &amp; brackets capex</w:t>
      </w:r>
    </w:p>
    <w:p w:rsidR="00DE7B2B" w:rsidRDefault="00DE7B2B" w:rsidP="00DE7B2B">
      <w:pPr>
        <w:pStyle w:val="AERbulletlistsecondstyle"/>
      </w:pPr>
      <w:r w:rsidRPr="00DE7B2B">
        <w:t xml:space="preserve">Jemena have included this in their model </w:t>
      </w:r>
      <w:r>
        <w:t xml:space="preserve">and we have accepted it </w:t>
      </w:r>
      <w:r w:rsidRPr="00DE7B2B">
        <w:t xml:space="preserve">and include it in all </w:t>
      </w:r>
      <w:r w:rsidR="007A4B62">
        <w:t>distributors'</w:t>
      </w:r>
      <w:r w:rsidRPr="00DE7B2B">
        <w:t xml:space="preserve"> models.</w:t>
      </w:r>
    </w:p>
    <w:p w:rsidR="00D71555" w:rsidRDefault="00D71555" w:rsidP="00D71555">
      <w:pPr>
        <w:pStyle w:val="AERbulletlistfirststyle"/>
      </w:pPr>
      <w:r w:rsidRPr="00D71555">
        <w:t>Price factors for new lights agreed with AusNet</w:t>
      </w:r>
      <w:r w:rsidR="007A4B62">
        <w:t xml:space="preserve"> Services,</w:t>
      </w:r>
      <w:r w:rsidRPr="00D71555">
        <w:t xml:space="preserve"> based on 2015 prices</w:t>
      </w:r>
    </w:p>
    <w:p w:rsidR="007A4B62" w:rsidRPr="007A4B62" w:rsidRDefault="007A4B62" w:rsidP="007A4B62">
      <w:pPr>
        <w:pStyle w:val="AERbulletlistfirststyle"/>
      </w:pPr>
      <w:r w:rsidRPr="007A4B62">
        <w:t>LED 18W</w:t>
      </w:r>
      <w:r w:rsidRPr="007A4B62">
        <w:tab/>
      </w:r>
    </w:p>
    <w:p w:rsidR="007A4B62" w:rsidRPr="007A4B62" w:rsidRDefault="007A4B62" w:rsidP="007A4B62">
      <w:pPr>
        <w:pStyle w:val="AERbulletlistsecondstyle"/>
      </w:pPr>
      <w:r w:rsidRPr="007A4B62">
        <w:t xml:space="preserve">Introduce code for AusNet </w:t>
      </w:r>
      <w:r>
        <w:t xml:space="preserve">Services </w:t>
      </w:r>
      <w:r w:rsidRPr="007A4B62">
        <w:t>as per C</w:t>
      </w:r>
      <w:r>
        <w:t>itiPower</w:t>
      </w:r>
      <w:r w:rsidRPr="007A4B62">
        <w:t xml:space="preserve"> </w:t>
      </w:r>
      <w:r>
        <w:t>and</w:t>
      </w:r>
      <w:r w:rsidRPr="007A4B62">
        <w:t xml:space="preserve"> P</w:t>
      </w:r>
      <w:r>
        <w:t>owercor</w:t>
      </w:r>
      <w:r w:rsidRPr="007A4B62">
        <w:tab/>
      </w:r>
    </w:p>
    <w:p w:rsidR="007A4B62" w:rsidRPr="00D71555" w:rsidRDefault="007A4B62" w:rsidP="007A4B62">
      <w:pPr>
        <w:pStyle w:val="AERbulletlistsecondstyle"/>
      </w:pPr>
      <w:r w:rsidRPr="007A4B62">
        <w:t>AusNet</w:t>
      </w:r>
      <w:r>
        <w:t xml:space="preserve"> Services</w:t>
      </w:r>
      <w:r w:rsidRPr="007A4B62">
        <w:t xml:space="preserve"> provided the inputs for the </w:t>
      </w:r>
      <w:r>
        <w:t>opex</w:t>
      </w:r>
      <w:r w:rsidRPr="007A4B62">
        <w:t xml:space="preserve"> cost build up and the code that they used to arrive at 2014 prices</w:t>
      </w:r>
    </w:p>
    <w:p w:rsidR="00D71555" w:rsidRPr="00D71555" w:rsidRDefault="00D71555" w:rsidP="00D71555">
      <w:pPr>
        <w:pStyle w:val="AERbulletlistfirststyle"/>
      </w:pPr>
      <w:r w:rsidRPr="00D71555">
        <w:t>Volume discrepancies with Annual RIN actual data</w:t>
      </w:r>
    </w:p>
    <w:p w:rsidR="007653A5" w:rsidRDefault="00D71555" w:rsidP="00D71555">
      <w:pPr>
        <w:pStyle w:val="AERbulletlistsecondstyle"/>
      </w:pPr>
      <w:r w:rsidRPr="00D71555">
        <w:t xml:space="preserve">AusNet </w:t>
      </w:r>
      <w:r w:rsidR="004B2583">
        <w:t xml:space="preserve">Services </w:t>
      </w:r>
      <w:r w:rsidRPr="00D71555">
        <w:t>provided revised volumes which reconciled to Annual RIN actual data</w:t>
      </w:r>
    </w:p>
    <w:p w:rsidR="007003AE" w:rsidRPr="007003AE" w:rsidRDefault="007003AE" w:rsidP="007003AE">
      <w:r w:rsidRPr="007003AE">
        <w:t>Preliminary decision prices have also been split out into the replacement (capex) and opex components in the public lighting decision model as requested by stakeholders.</w:t>
      </w:r>
      <w:r w:rsidR="0026470B">
        <w:rPr>
          <w:rStyle w:val="FootnoteReference"/>
        </w:rPr>
        <w:footnoteReference w:id="36"/>
      </w:r>
      <w:r w:rsidRPr="007003AE">
        <w:t xml:space="preserve"> </w:t>
      </w:r>
    </w:p>
    <w:p w:rsidR="00381D6B" w:rsidRPr="000906A8" w:rsidRDefault="00381D6B" w:rsidP="00381D6B">
      <w:r w:rsidRPr="000906A8">
        <w:t xml:space="preserve">Preliminary decision prices for each light type are set out in </w:t>
      </w:r>
      <w:r w:rsidR="007653A5">
        <w:fldChar w:fldCharType="begin"/>
      </w:r>
      <w:r w:rsidR="007653A5">
        <w:instrText xml:space="preserve"> REF _Ref431283001 \h </w:instrText>
      </w:r>
      <w:r w:rsidR="007653A5">
        <w:fldChar w:fldCharType="separate"/>
      </w:r>
      <w:r w:rsidR="009E0EFD" w:rsidRPr="007653A5">
        <w:t xml:space="preserve">Table </w:t>
      </w:r>
      <w:r w:rsidR="009E0EFD">
        <w:rPr>
          <w:noProof/>
        </w:rPr>
        <w:t>16</w:t>
      </w:r>
      <w:r w:rsidR="009E0EFD">
        <w:t>.</w:t>
      </w:r>
      <w:r w:rsidR="009E0EFD">
        <w:rPr>
          <w:noProof/>
        </w:rPr>
        <w:t>7</w:t>
      </w:r>
      <w:r w:rsidR="007653A5">
        <w:fldChar w:fldCharType="end"/>
      </w:r>
      <w:r w:rsidR="007653A5">
        <w:t>.</w:t>
      </w:r>
    </w:p>
    <w:tbl>
      <w:tblPr>
        <w:tblW w:w="9148" w:type="dxa"/>
        <w:tblBorders>
          <w:top w:val="nil"/>
          <w:left w:val="nil"/>
          <w:bottom w:val="nil"/>
          <w:right w:val="nil"/>
        </w:tblBorders>
        <w:tblLayout w:type="fixed"/>
        <w:tblLook w:val="0000" w:firstRow="0" w:lastRow="0" w:firstColumn="0" w:lastColumn="0" w:noHBand="0" w:noVBand="0"/>
      </w:tblPr>
      <w:tblGrid>
        <w:gridCol w:w="9148"/>
      </w:tblGrid>
      <w:tr w:rsidR="007D5C23" w:rsidRPr="007653A5" w:rsidTr="00D32877">
        <w:trPr>
          <w:trHeight w:val="103"/>
        </w:trPr>
        <w:tc>
          <w:tcPr>
            <w:tcW w:w="9148" w:type="dxa"/>
          </w:tcPr>
          <w:p w:rsidR="007D5C23" w:rsidRPr="007653A5" w:rsidRDefault="007D5C23" w:rsidP="007653A5">
            <w:pPr>
              <w:pStyle w:val="Caption"/>
            </w:pPr>
            <w:bookmarkStart w:id="44" w:name="_Ref431283001"/>
            <w:r w:rsidRPr="007653A5">
              <w:t xml:space="preserve">Table </w:t>
            </w:r>
            <w:fldSimple w:instr=" STYLEREF 1 \s ">
              <w:r w:rsidR="009E0EFD">
                <w:rPr>
                  <w:noProof/>
                </w:rPr>
                <w:t>16</w:t>
              </w:r>
            </w:fldSimple>
            <w:r w:rsidR="006A670B">
              <w:t>.</w:t>
            </w:r>
            <w:fldSimple w:instr=" SEQ Table \* ARABIC \s 1 ">
              <w:r w:rsidR="009E0EFD">
                <w:rPr>
                  <w:noProof/>
                </w:rPr>
                <w:t>7</w:t>
              </w:r>
            </w:fldSimple>
            <w:bookmarkEnd w:id="44"/>
            <w:r w:rsidRPr="007653A5">
              <w:t xml:space="preserve"> Public Lighting Charges($ nominal)</w:t>
            </w:r>
          </w:p>
        </w:tc>
      </w:tr>
    </w:tbl>
    <w:tbl>
      <w:tblPr>
        <w:tblStyle w:val="AERtable-numbers"/>
        <w:tblW w:w="0" w:type="auto"/>
        <w:tblLook w:val="04A0" w:firstRow="1" w:lastRow="0" w:firstColumn="1" w:lastColumn="0" w:noHBand="0" w:noVBand="1"/>
      </w:tblPr>
      <w:tblGrid>
        <w:gridCol w:w="3466"/>
        <w:gridCol w:w="707"/>
        <w:gridCol w:w="1130"/>
        <w:gridCol w:w="1130"/>
        <w:gridCol w:w="1130"/>
        <w:gridCol w:w="1130"/>
      </w:tblGrid>
      <w:tr w:rsidR="007D5C23" w:rsidTr="001C65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66" w:type="dxa"/>
          </w:tcPr>
          <w:p w:rsidR="007D5C23" w:rsidRPr="00802792" w:rsidRDefault="007D5C23" w:rsidP="007D5C23"/>
        </w:tc>
        <w:tc>
          <w:tcPr>
            <w:tcW w:w="707" w:type="dxa"/>
          </w:tcPr>
          <w:p w:rsidR="007D5C23" w:rsidRPr="007D5C23" w:rsidRDefault="007D5C23" w:rsidP="007D5C23">
            <w:pPr>
              <w:cnfStyle w:val="100000000000" w:firstRow="1" w:lastRow="0" w:firstColumn="0" w:lastColumn="0" w:oddVBand="0" w:evenVBand="0" w:oddHBand="0" w:evenHBand="0" w:firstRowFirstColumn="0" w:firstRowLastColumn="0" w:lastRowFirstColumn="0" w:lastRowLastColumn="0"/>
            </w:pPr>
            <w:r>
              <w:t>2016</w:t>
            </w:r>
          </w:p>
        </w:tc>
        <w:tc>
          <w:tcPr>
            <w:tcW w:w="1130" w:type="dxa"/>
          </w:tcPr>
          <w:p w:rsidR="007D5C23" w:rsidRPr="007D5C23" w:rsidRDefault="007D5C23" w:rsidP="007D5C23">
            <w:pPr>
              <w:cnfStyle w:val="100000000000" w:firstRow="1" w:lastRow="0" w:firstColumn="0" w:lastColumn="0" w:oddVBand="0" w:evenVBand="0" w:oddHBand="0" w:evenHBand="0" w:firstRowFirstColumn="0" w:firstRowLastColumn="0" w:lastRowFirstColumn="0" w:lastRowLastColumn="0"/>
            </w:pPr>
            <w:r>
              <w:t>2017</w:t>
            </w:r>
          </w:p>
        </w:tc>
        <w:tc>
          <w:tcPr>
            <w:tcW w:w="1130" w:type="dxa"/>
          </w:tcPr>
          <w:p w:rsidR="007D5C23" w:rsidRPr="007D5C23" w:rsidRDefault="007D5C23" w:rsidP="007D5C23">
            <w:pPr>
              <w:cnfStyle w:val="100000000000" w:firstRow="1" w:lastRow="0" w:firstColumn="0" w:lastColumn="0" w:oddVBand="0" w:evenVBand="0" w:oddHBand="0" w:evenHBand="0" w:firstRowFirstColumn="0" w:firstRowLastColumn="0" w:lastRowFirstColumn="0" w:lastRowLastColumn="0"/>
            </w:pPr>
            <w:r>
              <w:t>2018</w:t>
            </w:r>
          </w:p>
        </w:tc>
        <w:tc>
          <w:tcPr>
            <w:tcW w:w="1130" w:type="dxa"/>
          </w:tcPr>
          <w:p w:rsidR="007D5C23" w:rsidRPr="007D5C23" w:rsidRDefault="007D5C23" w:rsidP="007D5C23">
            <w:pPr>
              <w:cnfStyle w:val="100000000000" w:firstRow="1" w:lastRow="0" w:firstColumn="0" w:lastColumn="0" w:oddVBand="0" w:evenVBand="0" w:oddHBand="0" w:evenHBand="0" w:firstRowFirstColumn="0" w:firstRowLastColumn="0" w:lastRowFirstColumn="0" w:lastRowLastColumn="0"/>
            </w:pPr>
            <w:r>
              <w:t>2019</w:t>
            </w:r>
          </w:p>
        </w:tc>
        <w:tc>
          <w:tcPr>
            <w:tcW w:w="1130" w:type="dxa"/>
          </w:tcPr>
          <w:p w:rsidR="007D5C23" w:rsidRPr="007D5C23" w:rsidRDefault="007D5C23" w:rsidP="007D5C23">
            <w:pPr>
              <w:cnfStyle w:val="100000000000" w:firstRow="1" w:lastRow="0" w:firstColumn="0" w:lastColumn="0" w:oddVBand="0" w:evenVBand="0" w:oddHBand="0" w:evenHBand="0" w:firstRowFirstColumn="0" w:firstRowLastColumn="0" w:lastRowFirstColumn="0" w:lastRowLastColumn="0"/>
            </w:pPr>
            <w:r>
              <w:t>2020</w:t>
            </w:r>
          </w:p>
        </w:tc>
      </w:tr>
      <w:tr w:rsidR="00F601EE" w:rsidRPr="00962095" w:rsidTr="00354CAA">
        <w:trPr>
          <w:trHeight w:val="230"/>
        </w:trPr>
        <w:tc>
          <w:tcPr>
            <w:cnfStyle w:val="001000000000" w:firstRow="0" w:lastRow="0" w:firstColumn="1" w:lastColumn="0" w:oddVBand="0" w:evenVBand="0" w:oddHBand="0" w:evenHBand="0" w:firstRowFirstColumn="0" w:firstRowLastColumn="0" w:lastRowFirstColumn="0" w:lastRowLastColumn="0"/>
            <w:tcW w:w="3466" w:type="dxa"/>
          </w:tcPr>
          <w:p w:rsidR="00F601EE" w:rsidRPr="002F3489" w:rsidRDefault="00F601EE" w:rsidP="00F601EE">
            <w:pPr>
              <w:rPr>
                <w:rStyle w:val="AERtextboldunderline"/>
              </w:rPr>
            </w:pPr>
            <w:r w:rsidRPr="002F3489">
              <w:rPr>
                <w:rStyle w:val="AERtextboldunderline"/>
              </w:rPr>
              <w:t>Central</w:t>
            </w:r>
          </w:p>
        </w:tc>
        <w:tc>
          <w:tcPr>
            <w:tcW w:w="707" w:type="dxa"/>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p>
        </w:tc>
      </w:tr>
      <w:tr w:rsidR="00F601EE" w:rsidRPr="00962095" w:rsidTr="00354CAA">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 xml:space="preserve">Mercury Vapour 80W </w:t>
            </w:r>
          </w:p>
        </w:tc>
        <w:tc>
          <w:tcPr>
            <w:tcW w:w="707" w:type="dxa"/>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37.51</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39.65</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41.78</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43.89</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45.98</w:t>
            </w:r>
          </w:p>
        </w:tc>
      </w:tr>
      <w:tr w:rsidR="00F601EE" w:rsidRPr="00962095" w:rsidTr="00D87DF8">
        <w:trPr>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 xml:space="preserve">HP Sodium 150W </w:t>
            </w:r>
          </w:p>
        </w:tc>
        <w:tc>
          <w:tcPr>
            <w:tcW w:w="707" w:type="dxa"/>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93.75</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97.46</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101.20</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104.95</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108.70</w:t>
            </w:r>
          </w:p>
        </w:tc>
      </w:tr>
      <w:tr w:rsidR="00F601EE" w:rsidRPr="00962095" w:rsidTr="00D87DF8">
        <w:trPr>
          <w:cnfStyle w:val="000000010000" w:firstRow="0" w:lastRow="0" w:firstColumn="0" w:lastColumn="0" w:oddVBand="0" w:evenVBand="0" w:oddHBand="0" w:evenHBand="1"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 xml:space="preserve">HP Sodium 250W </w:t>
            </w:r>
          </w:p>
        </w:tc>
        <w:tc>
          <w:tcPr>
            <w:tcW w:w="707" w:type="dxa"/>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94.67</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98.42</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102.20</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106.00</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109.79</w:t>
            </w:r>
          </w:p>
        </w:tc>
      </w:tr>
      <w:tr w:rsidR="00F601EE" w:rsidRPr="00962095" w:rsidTr="00D87DF8">
        <w:trPr>
          <w:trHeight w:val="231"/>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 xml:space="preserve">Mercury Vapour 50W </w:t>
            </w:r>
          </w:p>
        </w:tc>
        <w:tc>
          <w:tcPr>
            <w:tcW w:w="707" w:type="dxa"/>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57.40</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60.67</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63.93</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67.16</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70.34</w:t>
            </w:r>
          </w:p>
        </w:tc>
      </w:tr>
      <w:tr w:rsidR="00F601EE" w:rsidRPr="00962095" w:rsidTr="00D87DF8">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 xml:space="preserve">Mercury Vapour 125W </w:t>
            </w:r>
          </w:p>
        </w:tc>
        <w:tc>
          <w:tcPr>
            <w:tcW w:w="707" w:type="dxa"/>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55.15</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58.29</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61.42</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64.52</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67.59</w:t>
            </w:r>
          </w:p>
        </w:tc>
      </w:tr>
      <w:tr w:rsidR="00F601EE" w:rsidRPr="00962095" w:rsidTr="00D87DF8">
        <w:trPr>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 xml:space="preserve">Mercury Vapour 250W </w:t>
            </w:r>
          </w:p>
        </w:tc>
        <w:tc>
          <w:tcPr>
            <w:tcW w:w="707" w:type="dxa"/>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99.40</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103.34</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107.31</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111.30</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115.28</w:t>
            </w:r>
          </w:p>
        </w:tc>
      </w:tr>
      <w:tr w:rsidR="00F601EE" w:rsidRPr="00962095" w:rsidTr="00D87DF8">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 xml:space="preserve">Mercury Vapour 400W </w:t>
            </w:r>
          </w:p>
        </w:tc>
        <w:tc>
          <w:tcPr>
            <w:tcW w:w="707" w:type="dxa"/>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103.19</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107.28</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111.40</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115.53</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119.67</w:t>
            </w:r>
          </w:p>
        </w:tc>
      </w:tr>
      <w:tr w:rsidR="00F601EE" w:rsidRPr="00962095" w:rsidTr="00D87DF8">
        <w:trPr>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 xml:space="preserve">HP Sodium 100W </w:t>
            </w:r>
          </w:p>
        </w:tc>
        <w:tc>
          <w:tcPr>
            <w:tcW w:w="707" w:type="dxa"/>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100.31</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104.29</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108.28</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112.30</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116.31</w:t>
            </w:r>
          </w:p>
        </w:tc>
      </w:tr>
      <w:tr w:rsidR="00F601EE" w:rsidRPr="00962095" w:rsidTr="00D87DF8">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 xml:space="preserve">HP Sodium 400W </w:t>
            </w:r>
          </w:p>
        </w:tc>
        <w:tc>
          <w:tcPr>
            <w:tcW w:w="707" w:type="dxa"/>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134.43</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139.76</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145.13</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150.51</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155.90</w:t>
            </w:r>
          </w:p>
        </w:tc>
      </w:tr>
      <w:tr w:rsidR="00F601EE" w:rsidRPr="00962095" w:rsidTr="00D87DF8">
        <w:trPr>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rPr>
                <w:rStyle w:val="AERtextboldunderline"/>
                <w:b w:val="0"/>
                <w:u w:val="none"/>
              </w:rPr>
            </w:pPr>
            <w:r w:rsidRPr="00F601EE">
              <w:rPr>
                <w:rStyle w:val="AERtextboldunderline"/>
                <w:b w:val="0"/>
                <w:u w:val="none"/>
              </w:rPr>
              <w:t>Metal Halide 70W</w:t>
            </w:r>
          </w:p>
        </w:tc>
        <w:tc>
          <w:tcPr>
            <w:tcW w:w="707" w:type="dxa"/>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163.75</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173.09</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182.38</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191.60</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200.69</w:t>
            </w:r>
          </w:p>
        </w:tc>
      </w:tr>
      <w:tr w:rsidR="00F601EE" w:rsidRPr="00962095" w:rsidTr="00D87DF8">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Metal Halide 100W</w:t>
            </w:r>
          </w:p>
        </w:tc>
        <w:tc>
          <w:tcPr>
            <w:tcW w:w="707" w:type="dxa"/>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223.85</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232.71</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241.63</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250.59</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259.54</w:t>
            </w:r>
          </w:p>
        </w:tc>
      </w:tr>
      <w:tr w:rsidR="00F601EE" w:rsidRPr="00962095" w:rsidTr="00D87DF8">
        <w:trPr>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Metal Halide 150W</w:t>
            </w:r>
          </w:p>
        </w:tc>
        <w:tc>
          <w:tcPr>
            <w:tcW w:w="707" w:type="dxa"/>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254.31</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264.38</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274.51</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284.69</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294.86</w:t>
            </w:r>
          </w:p>
        </w:tc>
      </w:tr>
      <w:tr w:rsidR="00F601EE" w:rsidRPr="00962095" w:rsidTr="00D87DF8">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HP Sodium 50W</w:t>
            </w:r>
          </w:p>
        </w:tc>
        <w:tc>
          <w:tcPr>
            <w:tcW w:w="707" w:type="dxa"/>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41.56</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43.21</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44.87</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46.53</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48.19</w:t>
            </w:r>
          </w:p>
        </w:tc>
      </w:tr>
      <w:tr w:rsidR="00F601EE" w:rsidRPr="00962095" w:rsidTr="00D87DF8">
        <w:trPr>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 xml:space="preserve">T5 2X14W </w:t>
            </w:r>
          </w:p>
        </w:tc>
        <w:tc>
          <w:tcPr>
            <w:tcW w:w="707" w:type="dxa"/>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35.02</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35.17</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35.70</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36.42</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37.27</w:t>
            </w:r>
          </w:p>
        </w:tc>
      </w:tr>
      <w:tr w:rsidR="00F601EE" w:rsidRPr="00962095" w:rsidTr="00D87DF8">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 xml:space="preserve">T5 2X24W </w:t>
            </w:r>
          </w:p>
        </w:tc>
        <w:tc>
          <w:tcPr>
            <w:tcW w:w="707" w:type="dxa"/>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41.42</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41.61</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42.22</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43.06</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44.03</w:t>
            </w:r>
          </w:p>
        </w:tc>
      </w:tr>
      <w:tr w:rsidR="00F601EE" w:rsidRPr="00962095" w:rsidTr="00D87DF8">
        <w:trPr>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LED 18W</w:t>
            </w:r>
          </w:p>
        </w:tc>
        <w:tc>
          <w:tcPr>
            <w:tcW w:w="707" w:type="dxa"/>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18.02</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17.18</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16.90</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16.91</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17.09</w:t>
            </w:r>
          </w:p>
        </w:tc>
      </w:tr>
      <w:tr w:rsidR="00F601EE" w:rsidRPr="00962095" w:rsidTr="00D87DF8">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CF 32W</w:t>
            </w:r>
          </w:p>
        </w:tc>
        <w:tc>
          <w:tcPr>
            <w:tcW w:w="707" w:type="dxa"/>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31.08</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31.21</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31.68</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32.33</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33.08</w:t>
            </w:r>
          </w:p>
        </w:tc>
      </w:tr>
      <w:tr w:rsidR="00F601EE" w:rsidRPr="00962095" w:rsidTr="00D87DF8">
        <w:trPr>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rPr>
                <w:rStyle w:val="AERtextboldunderline"/>
                <w:b w:val="0"/>
                <w:u w:val="none"/>
              </w:rPr>
            </w:pPr>
            <w:r w:rsidRPr="00F601EE">
              <w:rPr>
                <w:rStyle w:val="AERtextboldunderline"/>
                <w:b w:val="0"/>
                <w:u w:val="none"/>
              </w:rPr>
              <w:t>CF 42W</w:t>
            </w:r>
          </w:p>
        </w:tc>
        <w:tc>
          <w:tcPr>
            <w:tcW w:w="707" w:type="dxa"/>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31.08</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31.21</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31.68</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32.33</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33.08</w:t>
            </w:r>
          </w:p>
        </w:tc>
      </w:tr>
      <w:tr w:rsidR="00F601EE" w:rsidRPr="00962095" w:rsidTr="00D87DF8">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rPr>
                <w:rStyle w:val="AERtextboldunderline"/>
              </w:rPr>
            </w:pPr>
            <w:r w:rsidRPr="00F601EE">
              <w:rPr>
                <w:rStyle w:val="AERtextboldunderline"/>
              </w:rPr>
              <w:t xml:space="preserve">North &amp; East </w:t>
            </w:r>
          </w:p>
        </w:tc>
        <w:tc>
          <w:tcPr>
            <w:tcW w:w="707" w:type="dxa"/>
            <w:vAlign w:val="top"/>
          </w:tcPr>
          <w:p w:rsidR="00F601EE" w:rsidRPr="00F601EE" w:rsidRDefault="00F601EE" w:rsidP="00F601EE">
            <w:pPr>
              <w:pStyle w:val="Tabletext"/>
              <w:cnfStyle w:val="000000010000" w:firstRow="0" w:lastRow="0" w:firstColumn="0" w:lastColumn="0" w:oddVBand="0" w:evenVBand="0" w:oddHBand="0" w:evenHBand="1" w:firstRowFirstColumn="0" w:firstRowLastColumn="0" w:lastRowFirstColumn="0" w:lastRowLastColumn="0"/>
            </w:pPr>
          </w:p>
        </w:tc>
        <w:tc>
          <w:tcPr>
            <w:tcW w:w="0" w:type="auto"/>
            <w:vAlign w:val="top"/>
          </w:tcPr>
          <w:p w:rsidR="00F601EE" w:rsidRPr="00F601EE" w:rsidRDefault="00F601EE" w:rsidP="00F601EE">
            <w:pPr>
              <w:pStyle w:val="Tabletext"/>
              <w:cnfStyle w:val="000000010000" w:firstRow="0" w:lastRow="0" w:firstColumn="0" w:lastColumn="0" w:oddVBand="0" w:evenVBand="0" w:oddHBand="0" w:evenHBand="1" w:firstRowFirstColumn="0" w:firstRowLastColumn="0" w:lastRowFirstColumn="0" w:lastRowLastColumn="0"/>
            </w:pPr>
          </w:p>
        </w:tc>
        <w:tc>
          <w:tcPr>
            <w:tcW w:w="0" w:type="auto"/>
            <w:vAlign w:val="top"/>
          </w:tcPr>
          <w:p w:rsidR="00F601EE" w:rsidRPr="00F601EE" w:rsidRDefault="00F601EE" w:rsidP="00F601EE">
            <w:pPr>
              <w:pStyle w:val="Tabletext"/>
              <w:cnfStyle w:val="000000010000" w:firstRow="0" w:lastRow="0" w:firstColumn="0" w:lastColumn="0" w:oddVBand="0" w:evenVBand="0" w:oddHBand="0" w:evenHBand="1" w:firstRowFirstColumn="0" w:firstRowLastColumn="0" w:lastRowFirstColumn="0" w:lastRowLastColumn="0"/>
            </w:pPr>
          </w:p>
        </w:tc>
        <w:tc>
          <w:tcPr>
            <w:tcW w:w="0" w:type="auto"/>
            <w:vAlign w:val="top"/>
          </w:tcPr>
          <w:p w:rsidR="00F601EE" w:rsidRPr="00F601EE" w:rsidRDefault="00F601EE" w:rsidP="00F601EE">
            <w:pPr>
              <w:pStyle w:val="Tabletext"/>
              <w:cnfStyle w:val="000000010000" w:firstRow="0" w:lastRow="0" w:firstColumn="0" w:lastColumn="0" w:oddVBand="0" w:evenVBand="0" w:oddHBand="0" w:evenHBand="1" w:firstRowFirstColumn="0" w:firstRowLastColumn="0" w:lastRowFirstColumn="0" w:lastRowLastColumn="0"/>
            </w:pPr>
          </w:p>
        </w:tc>
        <w:tc>
          <w:tcPr>
            <w:tcW w:w="0" w:type="auto"/>
            <w:vAlign w:val="top"/>
          </w:tcPr>
          <w:p w:rsidR="00F601EE" w:rsidRPr="00F601EE" w:rsidRDefault="00F601EE" w:rsidP="00F601EE">
            <w:pPr>
              <w:pStyle w:val="Tabletext"/>
              <w:cnfStyle w:val="000000010000" w:firstRow="0" w:lastRow="0" w:firstColumn="0" w:lastColumn="0" w:oddVBand="0" w:evenVBand="0" w:oddHBand="0" w:evenHBand="1" w:firstRowFirstColumn="0" w:firstRowLastColumn="0" w:lastRowFirstColumn="0" w:lastRowLastColumn="0"/>
            </w:pPr>
          </w:p>
        </w:tc>
      </w:tr>
      <w:tr w:rsidR="00F601EE" w:rsidRPr="00962095" w:rsidTr="002D5673">
        <w:trPr>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 xml:space="preserve">Mercury Vapour 80W </w:t>
            </w:r>
          </w:p>
        </w:tc>
        <w:tc>
          <w:tcPr>
            <w:tcW w:w="707" w:type="dxa"/>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42.83</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45.20</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47.56</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49.91</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52.22</w:t>
            </w:r>
          </w:p>
        </w:tc>
      </w:tr>
      <w:tr w:rsidR="00F601EE" w:rsidRPr="00962095" w:rsidTr="002D5673">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 xml:space="preserve">HP Sodium 150W </w:t>
            </w:r>
          </w:p>
        </w:tc>
        <w:tc>
          <w:tcPr>
            <w:tcW w:w="707" w:type="dxa"/>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106.98</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111.12</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115.28</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119.46</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123.65</w:t>
            </w:r>
          </w:p>
        </w:tc>
      </w:tr>
      <w:tr w:rsidR="00F601EE" w:rsidRPr="00962095" w:rsidTr="002D5673">
        <w:trPr>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 xml:space="preserve">HP Sodium 250W </w:t>
            </w:r>
          </w:p>
        </w:tc>
        <w:tc>
          <w:tcPr>
            <w:tcW w:w="707" w:type="dxa"/>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105.74</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109.86</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114.00</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118.15</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122.32</w:t>
            </w:r>
          </w:p>
        </w:tc>
      </w:tr>
      <w:tr w:rsidR="00F601EE" w:rsidRPr="00962095" w:rsidTr="002D5673">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 xml:space="preserve">Mercury Vapour 50W </w:t>
            </w:r>
          </w:p>
        </w:tc>
        <w:tc>
          <w:tcPr>
            <w:tcW w:w="707" w:type="dxa"/>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63.39</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66.90</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70.39</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73.86</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77.29</w:t>
            </w:r>
          </w:p>
        </w:tc>
      </w:tr>
      <w:tr w:rsidR="00F601EE" w:rsidRPr="00962095" w:rsidTr="002D5673">
        <w:trPr>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 xml:space="preserve">Mercury Vapour 125W </w:t>
            </w:r>
          </w:p>
        </w:tc>
        <w:tc>
          <w:tcPr>
            <w:tcW w:w="707" w:type="dxa"/>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63.39</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66.90</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70.39</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73.86</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77.29</w:t>
            </w:r>
          </w:p>
        </w:tc>
      </w:tr>
      <w:tr w:rsidR="00F601EE" w:rsidRPr="00962095" w:rsidTr="002D5673">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 xml:space="preserve">Mercury Vapour 250W </w:t>
            </w:r>
          </w:p>
        </w:tc>
        <w:tc>
          <w:tcPr>
            <w:tcW w:w="707" w:type="dxa"/>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109.97</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114.25</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118.56</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122.88</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127.21</w:t>
            </w:r>
          </w:p>
        </w:tc>
      </w:tr>
      <w:tr w:rsidR="00F601EE" w:rsidRPr="00962095" w:rsidTr="002D5673">
        <w:trPr>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 xml:space="preserve">Mercury Vapour 400W </w:t>
            </w:r>
          </w:p>
        </w:tc>
        <w:tc>
          <w:tcPr>
            <w:tcW w:w="707" w:type="dxa"/>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113.15</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117.55</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121.98</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126.43</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130.88</w:t>
            </w:r>
          </w:p>
        </w:tc>
      </w:tr>
      <w:tr w:rsidR="00F601EE" w:rsidRPr="00962095" w:rsidTr="002D5673">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 xml:space="preserve">HP Sodium 100W </w:t>
            </w:r>
          </w:p>
        </w:tc>
        <w:tc>
          <w:tcPr>
            <w:tcW w:w="707" w:type="dxa"/>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114.47</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118.89</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123.35</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127.83</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132.31</w:t>
            </w:r>
          </w:p>
        </w:tc>
      </w:tr>
      <w:tr w:rsidR="00F601EE" w:rsidRPr="00962095" w:rsidTr="002D5673">
        <w:trPr>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 xml:space="preserve">HP Sodium 400W </w:t>
            </w:r>
          </w:p>
        </w:tc>
        <w:tc>
          <w:tcPr>
            <w:tcW w:w="707" w:type="dxa"/>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150.16</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156.00</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161.87</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167.78</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173.69</w:t>
            </w:r>
          </w:p>
        </w:tc>
      </w:tr>
      <w:tr w:rsidR="00F601EE" w:rsidRPr="00962095" w:rsidTr="002D5673">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Metal Halide 70W</w:t>
            </w:r>
          </w:p>
        </w:tc>
        <w:tc>
          <w:tcPr>
            <w:tcW w:w="707" w:type="dxa"/>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162.95</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171.96</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180.94</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189.86</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198.67</w:t>
            </w:r>
          </w:p>
        </w:tc>
      </w:tr>
      <w:tr w:rsidR="00F601EE" w:rsidRPr="00962095" w:rsidTr="002D5673">
        <w:trPr>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Metal Halide 100W</w:t>
            </w:r>
          </w:p>
        </w:tc>
        <w:tc>
          <w:tcPr>
            <w:tcW w:w="707" w:type="dxa"/>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226.59</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235.35</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244.17</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253.03</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261.90</w:t>
            </w:r>
          </w:p>
        </w:tc>
      </w:tr>
      <w:tr w:rsidR="00F601EE" w:rsidRPr="00962095" w:rsidTr="002D5673">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Metal Halide 150W</w:t>
            </w:r>
          </w:p>
        </w:tc>
        <w:tc>
          <w:tcPr>
            <w:tcW w:w="707" w:type="dxa"/>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257.43</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267.38</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277.40</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287.47</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297.54</w:t>
            </w:r>
          </w:p>
        </w:tc>
      </w:tr>
      <w:tr w:rsidR="00F601EE" w:rsidRPr="00962095" w:rsidTr="002D5673">
        <w:trPr>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HP Sodium 50W</w:t>
            </w:r>
          </w:p>
        </w:tc>
        <w:tc>
          <w:tcPr>
            <w:tcW w:w="707" w:type="dxa"/>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48.65</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50.53</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52.42</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54.32</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56.23</w:t>
            </w:r>
          </w:p>
        </w:tc>
      </w:tr>
      <w:tr w:rsidR="00F601EE" w:rsidRPr="007D5C23" w:rsidTr="002D5673">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 xml:space="preserve">T5 2X14W </w:t>
            </w:r>
          </w:p>
        </w:tc>
        <w:tc>
          <w:tcPr>
            <w:tcW w:w="707" w:type="dxa"/>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39.70</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39.98</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40.65</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41.51</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42.49</w:t>
            </w:r>
          </w:p>
        </w:tc>
      </w:tr>
      <w:tr w:rsidR="00F601EE" w:rsidRPr="00962095" w:rsidTr="002D5673">
        <w:trPr>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 xml:space="preserve">T5 2X24W </w:t>
            </w:r>
          </w:p>
        </w:tc>
        <w:tc>
          <w:tcPr>
            <w:tcW w:w="707" w:type="dxa"/>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46.88</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47.22</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47.99</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48.99</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50.12</w:t>
            </w:r>
          </w:p>
        </w:tc>
      </w:tr>
      <w:tr w:rsidR="00F601EE" w:rsidRPr="00962095" w:rsidTr="002D5673">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LED 18W</w:t>
            </w:r>
          </w:p>
        </w:tc>
        <w:tc>
          <w:tcPr>
            <w:tcW w:w="707" w:type="dxa"/>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18.41</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17.59</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17.34</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17.38</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17.57</w:t>
            </w:r>
          </w:p>
        </w:tc>
      </w:tr>
      <w:tr w:rsidR="00F601EE" w:rsidRPr="00962095" w:rsidTr="002D5673">
        <w:trPr>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F601EE" w:rsidRDefault="00F601EE" w:rsidP="00F601EE">
            <w:pPr>
              <w:pStyle w:val="Tabletext"/>
            </w:pPr>
            <w:r w:rsidRPr="00F601EE">
              <w:t>CF 32W</w:t>
            </w:r>
          </w:p>
        </w:tc>
        <w:tc>
          <w:tcPr>
            <w:tcW w:w="707" w:type="dxa"/>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35.33</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35.58</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36.17</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36.94</w:t>
            </w:r>
          </w:p>
        </w:tc>
        <w:tc>
          <w:tcPr>
            <w:tcW w:w="0" w:type="auto"/>
            <w:vAlign w:val="bottom"/>
          </w:tcPr>
          <w:p w:rsidR="00F601EE" w:rsidRPr="00F601EE" w:rsidRDefault="00F601EE" w:rsidP="00F601EE">
            <w:pPr>
              <w:cnfStyle w:val="000000000000" w:firstRow="0" w:lastRow="0" w:firstColumn="0" w:lastColumn="0" w:oddVBand="0" w:evenVBand="0" w:oddHBand="0" w:evenHBand="0" w:firstRowFirstColumn="0" w:firstRowLastColumn="0" w:lastRowFirstColumn="0" w:lastRowLastColumn="0"/>
            </w:pPr>
            <w:r w:rsidRPr="00F601EE">
              <w:t>37.81</w:t>
            </w:r>
          </w:p>
        </w:tc>
      </w:tr>
      <w:tr w:rsidR="00F601EE" w:rsidRPr="00962095" w:rsidTr="002D5673">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vAlign w:val="top"/>
          </w:tcPr>
          <w:p w:rsidR="00F601EE" w:rsidRPr="00184699" w:rsidRDefault="00F601EE" w:rsidP="00184699">
            <w:pPr>
              <w:pStyle w:val="Tabletext"/>
              <w:rPr>
                <w:rStyle w:val="Strong"/>
                <w:b w:val="0"/>
                <w:bCs w:val="0"/>
              </w:rPr>
            </w:pPr>
            <w:r w:rsidRPr="00184699">
              <w:rPr>
                <w:rStyle w:val="Strong"/>
                <w:b w:val="0"/>
                <w:bCs w:val="0"/>
              </w:rPr>
              <w:t>CF 42W</w:t>
            </w:r>
          </w:p>
        </w:tc>
        <w:tc>
          <w:tcPr>
            <w:tcW w:w="707" w:type="dxa"/>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35.33</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35.58</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36.17</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36.94</w:t>
            </w:r>
          </w:p>
        </w:tc>
        <w:tc>
          <w:tcPr>
            <w:tcW w:w="0" w:type="auto"/>
            <w:vAlign w:val="bottom"/>
          </w:tcPr>
          <w:p w:rsidR="00F601EE" w:rsidRPr="00F601EE" w:rsidRDefault="00F601EE" w:rsidP="00F601EE">
            <w:pPr>
              <w:cnfStyle w:val="000000010000" w:firstRow="0" w:lastRow="0" w:firstColumn="0" w:lastColumn="0" w:oddVBand="0" w:evenVBand="0" w:oddHBand="0" w:evenHBand="1" w:firstRowFirstColumn="0" w:firstRowLastColumn="0" w:lastRowFirstColumn="0" w:lastRowLastColumn="0"/>
            </w:pPr>
            <w:r w:rsidRPr="00F601EE">
              <w:t>37.81</w:t>
            </w:r>
          </w:p>
        </w:tc>
      </w:tr>
    </w:tbl>
    <w:p w:rsidR="00FD0617" w:rsidRPr="00FD0617" w:rsidRDefault="00FD0617" w:rsidP="00BF62B8">
      <w:pPr>
        <w:pStyle w:val="AERtablesource"/>
      </w:pPr>
      <w:r>
        <w:t xml:space="preserve">Source: </w:t>
      </w:r>
      <w:r w:rsidR="00A03B76">
        <w:tab/>
      </w:r>
      <w:r>
        <w:t xml:space="preserve">AER analysis. </w:t>
      </w:r>
    </w:p>
    <w:p w:rsidR="00BF62B8" w:rsidRPr="001C6565" w:rsidRDefault="00BF62B8" w:rsidP="001C6565">
      <w:pPr>
        <w:pStyle w:val="HeadingBoldItalic"/>
        <w:rPr>
          <w:rStyle w:val="AERtextorange"/>
          <w:color w:val="51626F"/>
        </w:rPr>
      </w:pPr>
      <w:r w:rsidRPr="001C6565">
        <w:rPr>
          <w:rStyle w:val="AERtextorange"/>
          <w:color w:val="51626F"/>
        </w:rPr>
        <w:t>Victorian Public Lighting Framework</w:t>
      </w:r>
    </w:p>
    <w:p w:rsidR="00BF62B8" w:rsidRDefault="00BF62B8" w:rsidP="00BF62B8">
      <w:r>
        <w:t>The framework for public lighting in Victoria is set out in the Victorian Public Lighting Code 2005 (the Code).</w:t>
      </w:r>
    </w:p>
    <w:p w:rsidR="00BF62B8" w:rsidRDefault="00BF62B8" w:rsidP="00BF62B8">
      <w:r>
        <w:t>Distributor’s licences’ stipulate that the terms and conditions for providing public lighting services must be consistent with the Code. Importantly, the Code only extends to the provision by distributors of the ongoing operation, maintenance and replacement of public lighting assets that they own (clause 1.3).</w:t>
      </w:r>
    </w:p>
    <w:p w:rsidR="00BF62B8" w:rsidRDefault="00BF62B8" w:rsidP="00BF62B8">
      <w:r>
        <w:t>The explanatory note in clause 3 of the Code states that the distributor and the public lighting customer may agree that after the construction and commissioning of the assets, ownership of the assets will transfer to the distributor. Where such an agreement is made, the assets become subject to the applicable provisions of the Code. If no agreement is reached, asset ownership remains with the public lighting customer and are not subject to regulation under the Code.</w:t>
      </w:r>
    </w:p>
    <w:p w:rsidR="00BF62B8" w:rsidRDefault="00971483" w:rsidP="00BF62B8">
      <w:r>
        <w:t>Our decision on public lighting charges is made in accordance with the Code and as such, we are only determining the charges to be levied by distributors for assets that they own</w:t>
      </w:r>
      <w:r w:rsidR="00BF62B8">
        <w:t>.</w:t>
      </w:r>
    </w:p>
    <w:p w:rsidR="00BF62B8" w:rsidRPr="001C6565" w:rsidRDefault="00BF62B8" w:rsidP="001C6565">
      <w:pPr>
        <w:pStyle w:val="HeadingBoldItalic"/>
        <w:rPr>
          <w:rStyle w:val="AERtextorange"/>
          <w:color w:val="51626F"/>
        </w:rPr>
      </w:pPr>
      <w:r w:rsidRPr="001C6565">
        <w:rPr>
          <w:rStyle w:val="AERtextorange"/>
          <w:color w:val="51626F"/>
        </w:rPr>
        <w:t>Service Standards</w:t>
      </w:r>
    </w:p>
    <w:p w:rsidR="00BF62B8" w:rsidRDefault="00BF62B8" w:rsidP="00BF62B8">
      <w:r>
        <w:t>The Code sets out minimum levels of service from distribution businesses and protections for Councils for Public Lighting in Victoria.</w:t>
      </w:r>
    </w:p>
    <w:p w:rsidR="00BF62B8" w:rsidRPr="00731319" w:rsidRDefault="00BF62B8" w:rsidP="00BF62B8">
      <w:pPr>
        <w:rPr>
          <w:rStyle w:val="AERbody"/>
        </w:rPr>
      </w:pPr>
      <w:r w:rsidRPr="00731319">
        <w:rPr>
          <w:rStyle w:val="AERbody"/>
        </w:rPr>
        <w:t xml:space="preserve">In relation to service standards we consider that there is a trade-off between the prices paid by </w:t>
      </w:r>
      <w:r w:rsidR="001E50FA">
        <w:rPr>
          <w:rStyle w:val="AERbody"/>
        </w:rPr>
        <w:t>C</w:t>
      </w:r>
      <w:r w:rsidRPr="00731319">
        <w:rPr>
          <w:rStyle w:val="AERbody"/>
        </w:rPr>
        <w:t xml:space="preserve">ouncils and the service provided by distribution businesses. </w:t>
      </w:r>
    </w:p>
    <w:p w:rsidR="00BF62B8" w:rsidRPr="00731319" w:rsidRDefault="00BF62B8" w:rsidP="00BF62B8">
      <w:pPr>
        <w:rPr>
          <w:rStyle w:val="AERbody"/>
        </w:rPr>
      </w:pPr>
      <w:r w:rsidRPr="00731319">
        <w:rPr>
          <w:rStyle w:val="AERbody"/>
        </w:rPr>
        <w:t xml:space="preserve">We see our role as setting a minimum level of protection. </w:t>
      </w:r>
      <w:r>
        <w:rPr>
          <w:rStyle w:val="AERbody"/>
        </w:rPr>
        <w:t>C</w:t>
      </w:r>
      <w:r w:rsidRPr="00731319">
        <w:rPr>
          <w:rStyle w:val="AERbody"/>
        </w:rPr>
        <w:t xml:space="preserve">ouncils </w:t>
      </w:r>
      <w:r>
        <w:rPr>
          <w:rStyle w:val="AERbody"/>
        </w:rPr>
        <w:t>can seek to n</w:t>
      </w:r>
      <w:r w:rsidRPr="00731319">
        <w:rPr>
          <w:rStyle w:val="AERbody"/>
        </w:rPr>
        <w:t>egotiat</w:t>
      </w:r>
      <w:r>
        <w:rPr>
          <w:rStyle w:val="AERbody"/>
        </w:rPr>
        <w:t>e</w:t>
      </w:r>
      <w:r w:rsidRPr="00731319">
        <w:rPr>
          <w:rStyle w:val="AERbody"/>
        </w:rPr>
        <w:t xml:space="preserve"> </w:t>
      </w:r>
      <w:r>
        <w:rPr>
          <w:rStyle w:val="AERbody"/>
        </w:rPr>
        <w:t xml:space="preserve">with </w:t>
      </w:r>
      <w:r w:rsidRPr="00731319">
        <w:rPr>
          <w:rStyle w:val="AERbody"/>
        </w:rPr>
        <w:t xml:space="preserve">distributors </w:t>
      </w:r>
      <w:r>
        <w:rPr>
          <w:rStyle w:val="AERbody"/>
        </w:rPr>
        <w:t>to</w:t>
      </w:r>
      <w:r w:rsidRPr="00731319">
        <w:rPr>
          <w:rStyle w:val="AERbody"/>
        </w:rPr>
        <w:t xml:space="preserve"> secure lower prices than those set by our determination but the Code mandates minimum service</w:t>
      </w:r>
      <w:r>
        <w:rPr>
          <w:rStyle w:val="AERbody"/>
        </w:rPr>
        <w:t xml:space="preserve"> standards</w:t>
      </w:r>
      <w:r w:rsidRPr="00731319">
        <w:rPr>
          <w:rStyle w:val="AERbody"/>
        </w:rPr>
        <w:t>. Regulated charges are</w:t>
      </w:r>
      <w:r>
        <w:rPr>
          <w:rStyle w:val="AERbody"/>
        </w:rPr>
        <w:t xml:space="preserve"> set</w:t>
      </w:r>
      <w:r w:rsidRPr="00731319">
        <w:rPr>
          <w:rStyle w:val="AERbody"/>
        </w:rPr>
        <w:t xml:space="preserve"> for these minimums. Council</w:t>
      </w:r>
      <w:r>
        <w:rPr>
          <w:rStyle w:val="AERbody"/>
        </w:rPr>
        <w:t>s</w:t>
      </w:r>
      <w:r w:rsidRPr="00731319">
        <w:rPr>
          <w:rStyle w:val="AERbody"/>
        </w:rPr>
        <w:t xml:space="preserve"> can </w:t>
      </w:r>
      <w:r>
        <w:rPr>
          <w:rStyle w:val="AERbody"/>
        </w:rPr>
        <w:t>negotiate for</w:t>
      </w:r>
      <w:r w:rsidRPr="00731319">
        <w:rPr>
          <w:rStyle w:val="AERbody"/>
        </w:rPr>
        <w:t xml:space="preserve"> superior service but </w:t>
      </w:r>
      <w:r>
        <w:rPr>
          <w:rStyle w:val="AERbody"/>
        </w:rPr>
        <w:t xml:space="preserve">the </w:t>
      </w:r>
      <w:r w:rsidRPr="00731319">
        <w:rPr>
          <w:rStyle w:val="AERbody"/>
        </w:rPr>
        <w:t>trade</w:t>
      </w:r>
      <w:r>
        <w:rPr>
          <w:rStyle w:val="AERbody"/>
        </w:rPr>
        <w:t>-</w:t>
      </w:r>
      <w:r w:rsidRPr="00731319">
        <w:rPr>
          <w:rStyle w:val="AERbody"/>
        </w:rPr>
        <w:t>off is</w:t>
      </w:r>
      <w:r>
        <w:rPr>
          <w:rStyle w:val="AERbody"/>
        </w:rPr>
        <w:t xml:space="preserve"> likely to be</w:t>
      </w:r>
      <w:r w:rsidRPr="00731319">
        <w:rPr>
          <w:rStyle w:val="AERbody"/>
        </w:rPr>
        <w:t xml:space="preserve"> higher charges</w:t>
      </w:r>
      <w:r w:rsidRPr="00731319">
        <w:t xml:space="preserve"> </w:t>
      </w:r>
      <w:r>
        <w:t>for a customised service</w:t>
      </w:r>
      <w:r w:rsidRPr="00731319">
        <w:rPr>
          <w:rStyle w:val="AERbody"/>
        </w:rPr>
        <w:t>.</w:t>
      </w:r>
    </w:p>
    <w:p w:rsidR="00BF62B8" w:rsidRPr="001C6565" w:rsidRDefault="00BF62B8" w:rsidP="001C6565">
      <w:pPr>
        <w:pStyle w:val="HeadingBoldItalic"/>
        <w:rPr>
          <w:rStyle w:val="AERtextorange"/>
          <w:color w:val="51626F"/>
        </w:rPr>
      </w:pPr>
      <w:r w:rsidRPr="001C6565">
        <w:rPr>
          <w:rStyle w:val="AERtextorange"/>
          <w:color w:val="51626F"/>
        </w:rPr>
        <w:t>Classification of Public Lighting</w:t>
      </w:r>
    </w:p>
    <w:p w:rsidR="00BF62B8" w:rsidRDefault="00BF62B8" w:rsidP="00BF62B8">
      <w:r>
        <w:t>In the framework and approach we classified dedicated public lights as a negotiated service in response to submissions we received from stakeholders during the framework and approach. A dedicated public light is a light that sits on a dedicated public lighting pole, not shared with electricity distribution assets.</w:t>
      </w:r>
    </w:p>
    <w:p w:rsidR="00BF62B8" w:rsidRDefault="00BF62B8" w:rsidP="00BF62B8">
      <w:r>
        <w:t xml:space="preserve">However we departed from this classification in response to the submissions we received on distributor’s proposals, arguing against classifying dedicated public lights as a negotiated service. </w:t>
      </w:r>
    </w:p>
    <w:p w:rsidR="00BF62B8" w:rsidRDefault="00BF62B8" w:rsidP="00BF62B8">
      <w:r w:rsidRPr="00963590">
        <w:t xml:space="preserve">Classification of the Victorian DNSPs’ public lighting services and the reasons for departing from the classification of all dedicated public lighting services as negotiated services </w:t>
      </w:r>
      <w:r>
        <w:t>are</w:t>
      </w:r>
      <w:r w:rsidRPr="00963590">
        <w:t xml:space="preserve"> set out in </w:t>
      </w:r>
      <w:r>
        <w:t>attachment 13 — Classification of Services.</w:t>
      </w:r>
    </w:p>
    <w:p w:rsidR="00BF62B8" w:rsidRDefault="00971483" w:rsidP="00BF62B8">
      <w:r>
        <w:t xml:space="preserve">We however remain open towards considering a move towards a negotiated classification for public lighting in the 2021-25 regulatory control </w:t>
      </w:r>
      <w:proofErr w:type="gramStart"/>
      <w:r>
        <w:t>period</w:t>
      </w:r>
      <w:proofErr w:type="gramEnd"/>
      <w:r>
        <w:t xml:space="preserve"> if there is a desire from stakeholders for such a change and other appropriate amendments are made to relevant jurisdictional requirements</w:t>
      </w:r>
      <w:r w:rsidR="00BF62B8">
        <w:t>.</w:t>
      </w:r>
    </w:p>
    <w:p w:rsidR="00202D11" w:rsidRPr="00EE2417" w:rsidRDefault="00BF62B8" w:rsidP="00BF62B8">
      <w:r>
        <w:t>Councils and other stakeholders that want such a change, should use the time before the 2021-25 regulatory control period to consider all of the issues that might be involved, seek to engage with all of the stakeholders involved and submit their proposal with a workable framework for public lighting to become a negotiated service.</w:t>
      </w:r>
    </w:p>
    <w:p w:rsidR="009A5113" w:rsidRDefault="00EE2417" w:rsidP="009A5113">
      <w:pPr>
        <w:pStyle w:val="Heading2"/>
      </w:pPr>
      <w:bookmarkStart w:id="45" w:name="_Toc433704564"/>
      <w:r>
        <w:t>Metering</w:t>
      </w:r>
      <w:bookmarkEnd w:id="45"/>
    </w:p>
    <w:p w:rsidR="00F64DEC" w:rsidRDefault="00F64DEC" w:rsidP="00F64DEC">
      <w:pPr>
        <w:numPr>
          <w:ilvl w:val="0"/>
          <w:numId w:val="24"/>
        </w:numPr>
        <w:rPr>
          <w:rStyle w:val="AERbody"/>
        </w:rPr>
      </w:pPr>
      <w:r>
        <w:rPr>
          <w:rStyle w:val="AERbody"/>
        </w:rPr>
        <w:t xml:space="preserve">We are responsible for the economic regulation of the regulated metering services provided by the Victorian distribution businesses. </w:t>
      </w:r>
    </w:p>
    <w:p w:rsidR="00F64DEC" w:rsidRDefault="00F64DEC" w:rsidP="00F64DEC">
      <w:pPr>
        <w:pStyle w:val="ListParagraph"/>
        <w:numPr>
          <w:ilvl w:val="0"/>
          <w:numId w:val="24"/>
        </w:numPr>
      </w:pPr>
      <w:r w:rsidRPr="008D2BAF">
        <w:t>Type 1–4 (advanced) meters for large customers are competitively provided in Victoria and are therefore unregulated. We regulate all other metering in Victoria</w:t>
      </w:r>
      <w:r>
        <w:t>.</w:t>
      </w:r>
    </w:p>
    <w:p w:rsidR="00F64DEC" w:rsidRDefault="00F64DEC" w:rsidP="00F64DEC">
      <w:pPr>
        <w:numPr>
          <w:ilvl w:val="0"/>
          <w:numId w:val="24"/>
        </w:numPr>
        <w:rPr>
          <w:rStyle w:val="AERbody"/>
        </w:rPr>
      </w:pPr>
      <w:r>
        <w:rPr>
          <w:rStyle w:val="AERbody"/>
        </w:rPr>
        <w:t xml:space="preserve">Since 2009, there has been a derogation in Victoria which has meant that the scope of our regulation has been set under the Advanced Metering Infrastructure Cost Recovery Order-in-Council (the Order) made by the Victorian Government. The Order mandated distributors </w:t>
      </w:r>
      <w:r>
        <w:t xml:space="preserve">install advanced remotely read interval meters together with appropriate communications and information technology systems for all small electricity customers in Victoria. </w:t>
      </w:r>
      <w:r>
        <w:rPr>
          <w:rStyle w:val="AERbody"/>
        </w:rPr>
        <w:t xml:space="preserve"> </w:t>
      </w:r>
    </w:p>
    <w:p w:rsidR="00F64DEC" w:rsidRDefault="00F64DEC" w:rsidP="00F64DEC">
      <w:pPr>
        <w:numPr>
          <w:ilvl w:val="0"/>
          <w:numId w:val="24"/>
        </w:numPr>
        <w:rPr>
          <w:rStyle w:val="AERbody"/>
        </w:rPr>
      </w:pPr>
      <w:r w:rsidRPr="008D2BAF">
        <w:t>Our Framework and Approach Paper (F&amp;A) introduced the term 'smart meters' to refer to the advanced</w:t>
      </w:r>
      <w:r>
        <w:t xml:space="preserve"> remotely read interval</w:t>
      </w:r>
      <w:r w:rsidRPr="008D2BAF">
        <w:t xml:space="preserve"> meters installed </w:t>
      </w:r>
      <w:r w:rsidRPr="008D2BAF">
        <w:rPr>
          <w:rStyle w:val="AERbody"/>
        </w:rPr>
        <w:t>under the derogation.</w:t>
      </w:r>
      <w:r w:rsidRPr="008D2BAF">
        <w:rPr>
          <w:rStyle w:val="FootnoteReference"/>
        </w:rPr>
        <w:footnoteReference w:id="37"/>
      </w:r>
      <w:r w:rsidRPr="008D2BAF">
        <w:rPr>
          <w:rStyle w:val="AERbody"/>
        </w:rPr>
        <w:t xml:space="preserve"> </w:t>
      </w:r>
      <w:r>
        <w:rPr>
          <w:rStyle w:val="AERbody"/>
        </w:rPr>
        <w:t xml:space="preserve">From 2009 to 2015, the Order directed the AER to set budgets and charges for the AMI rollout under a prescribed regime instead of the NER. </w:t>
      </w:r>
    </w:p>
    <w:p w:rsidR="00F64DEC" w:rsidRDefault="00F64DEC" w:rsidP="00F64DEC">
      <w:pPr>
        <w:numPr>
          <w:ilvl w:val="0"/>
          <w:numId w:val="24"/>
        </w:numPr>
        <w:rPr>
          <w:rStyle w:val="AERbody"/>
        </w:rPr>
      </w:pPr>
      <w:r w:rsidRPr="00BB24AD">
        <w:t>The rollout of smart meters in Victoria is now effectively complete with almost 2.8 million meters installed across the state.</w:t>
      </w:r>
      <w:r>
        <w:rPr>
          <w:rStyle w:val="FootnoteReference"/>
        </w:rPr>
        <w:footnoteReference w:id="38"/>
      </w:r>
      <w:r>
        <w:t xml:space="preserve"> As a result</w:t>
      </w:r>
      <w:r>
        <w:rPr>
          <w:rStyle w:val="AERbody"/>
        </w:rPr>
        <w:t>, metering in Victoria is entering a "business-as-usual" phase in the 2016</w:t>
      </w:r>
      <w:r w:rsidR="00F10ED5">
        <w:rPr>
          <w:rStyle w:val="AERbody"/>
        </w:rPr>
        <w:t>–</w:t>
      </w:r>
      <w:r>
        <w:rPr>
          <w:rStyle w:val="AERbody"/>
        </w:rPr>
        <w:t xml:space="preserve">20 regulatory </w:t>
      </w:r>
      <w:r w:rsidR="00DF33B3">
        <w:rPr>
          <w:rStyle w:val="AERbody"/>
        </w:rPr>
        <w:t xml:space="preserve">control </w:t>
      </w:r>
      <w:r>
        <w:rPr>
          <w:rStyle w:val="AERbody"/>
        </w:rPr>
        <w:t xml:space="preserve">period. To facilitate this transition, metering services will now be </w:t>
      </w:r>
      <w:r w:rsidRPr="002E5086">
        <w:rPr>
          <w:rStyle w:val="AERbody"/>
        </w:rPr>
        <w:t xml:space="preserve">regulated </w:t>
      </w:r>
      <w:r>
        <w:rPr>
          <w:rStyle w:val="AERbody"/>
        </w:rPr>
        <w:t>under</w:t>
      </w:r>
      <w:r w:rsidRPr="002E5086">
        <w:rPr>
          <w:rStyle w:val="AERbody"/>
        </w:rPr>
        <w:t xml:space="preserve"> the NEL and NER, subject to certain modifications set out in the</w:t>
      </w:r>
      <w:r>
        <w:rPr>
          <w:rStyle w:val="AERbody"/>
        </w:rPr>
        <w:t xml:space="preserve"> Order</w:t>
      </w:r>
      <w:r w:rsidRPr="002E5086">
        <w:rPr>
          <w:rStyle w:val="AERbody"/>
        </w:rPr>
        <w:t xml:space="preserve">. </w:t>
      </w:r>
    </w:p>
    <w:p w:rsidR="00F64DEC" w:rsidRDefault="00F64DEC" w:rsidP="00F64DEC">
      <w:pPr>
        <w:pStyle w:val="ListParagraph"/>
        <w:numPr>
          <w:ilvl w:val="0"/>
          <w:numId w:val="24"/>
        </w:numPr>
        <w:rPr>
          <w:rStyle w:val="AERbody"/>
        </w:rPr>
      </w:pPr>
      <w:r>
        <w:rPr>
          <w:rStyle w:val="AERbody"/>
        </w:rPr>
        <w:t xml:space="preserve">The </w:t>
      </w:r>
      <w:r w:rsidRPr="0039380F">
        <w:rPr>
          <w:rStyle w:val="AERbody"/>
        </w:rPr>
        <w:t xml:space="preserve">AEMC's expanding competition in metering </w:t>
      </w:r>
      <w:r>
        <w:rPr>
          <w:rStyle w:val="AERbody"/>
        </w:rPr>
        <w:t xml:space="preserve">final </w:t>
      </w:r>
      <w:r w:rsidRPr="0039380F">
        <w:rPr>
          <w:rStyle w:val="AERbody"/>
        </w:rPr>
        <w:t>rule change</w:t>
      </w:r>
      <w:r>
        <w:rPr>
          <w:rStyle w:val="AERbody"/>
        </w:rPr>
        <w:t xml:space="preserve"> will be published in November 2015.</w:t>
      </w:r>
      <w:r>
        <w:rPr>
          <w:rStyle w:val="FootnoteReference"/>
        </w:rPr>
        <w:footnoteReference w:id="39"/>
      </w:r>
      <w:r>
        <w:rPr>
          <w:rStyle w:val="AERbody"/>
        </w:rPr>
        <w:t xml:space="preserve"> As such, some of the details have yet to be confirmed. For jurisdictions that are part of the national metering framework, the new rules are expected to take effect from 1 December 2017.</w:t>
      </w:r>
      <w:r w:rsidRPr="00C42FA1">
        <w:rPr>
          <w:rStyle w:val="FootnoteReference"/>
        </w:rPr>
        <w:t xml:space="preserve"> </w:t>
      </w:r>
      <w:r w:rsidRPr="00C42FA1">
        <w:rPr>
          <w:rStyle w:val="FootnoteReference"/>
        </w:rPr>
        <w:footnoteReference w:id="40"/>
      </w:r>
      <w:r>
        <w:t xml:space="preserve"> </w:t>
      </w:r>
      <w:r>
        <w:rPr>
          <w:rStyle w:val="AERbody"/>
        </w:rPr>
        <w:t>It is not clear at this stage the extent to which the Victorian Government will adopt the national framework.</w:t>
      </w:r>
    </w:p>
    <w:p w:rsidR="00F64DEC" w:rsidRDefault="00F64DEC" w:rsidP="00F64DEC">
      <w:pPr>
        <w:rPr>
          <w:rStyle w:val="AERbody"/>
        </w:rPr>
      </w:pPr>
      <w:r w:rsidRPr="00C42FA1">
        <w:t xml:space="preserve">We make this </w:t>
      </w:r>
      <w:r>
        <w:t>p</w:t>
      </w:r>
      <w:r w:rsidRPr="00C42FA1">
        <w:t xml:space="preserve">reliminary </w:t>
      </w:r>
      <w:r>
        <w:t>d</w:t>
      </w:r>
      <w:r w:rsidRPr="00C42FA1">
        <w:t>ecision taking into account the</w:t>
      </w:r>
      <w:r>
        <w:t xml:space="preserve"> current</w:t>
      </w:r>
      <w:r w:rsidRPr="00C42FA1">
        <w:t xml:space="preserve"> jurisdiction</w:t>
      </w:r>
      <w:r>
        <w:t>al</w:t>
      </w:r>
      <w:r w:rsidRPr="00C42FA1">
        <w:t xml:space="preserve"> context. This </w:t>
      </w:r>
      <w:r>
        <w:t>p</w:t>
      </w:r>
      <w:r w:rsidRPr="00C42FA1">
        <w:t xml:space="preserve">reliminary </w:t>
      </w:r>
      <w:r>
        <w:t>d</w:t>
      </w:r>
      <w:r w:rsidRPr="00C42FA1">
        <w:t>ecision focuses on facilitating smooth transition from the Order</w:t>
      </w:r>
      <w:r>
        <w:t xml:space="preserve"> to the NER</w:t>
      </w:r>
      <w:r w:rsidRPr="00C42FA1">
        <w:t>, noting the national context for introducing competition to metering</w:t>
      </w:r>
      <w:r>
        <w:rPr>
          <w:rStyle w:val="AERbody"/>
        </w:rPr>
        <w:t>. We have maintained many of the same elements currently in the Order: a revenue cap and recovering the capital for new and upgraded meters as part of the annual charge. However, the Order requires us to set restoration and exit fees in accordance with the Order and also provides additional factors we may have regard to when determining 2016-20 metering service charges.</w:t>
      </w:r>
    </w:p>
    <w:p w:rsidR="00F64DEC" w:rsidRDefault="00F64DEC" w:rsidP="00F64DEC">
      <w:pPr>
        <w:rPr>
          <w:rStyle w:val="AERbody"/>
        </w:rPr>
      </w:pPr>
      <w:r>
        <w:rPr>
          <w:rStyle w:val="AERbody"/>
        </w:rPr>
        <w:t>In this section of the alternative control services chapter, we explain our decision on 'default' metering services that are common to regulated metering customers:</w:t>
      </w:r>
    </w:p>
    <w:p w:rsidR="00F64DEC" w:rsidRDefault="00F64DEC" w:rsidP="00F64DEC">
      <w:pPr>
        <w:pStyle w:val="AERbulletlistfirststyle"/>
        <w:rPr>
          <w:rStyle w:val="AERbody"/>
        </w:rPr>
      </w:pPr>
      <w:r>
        <w:rPr>
          <w:rStyle w:val="AERbody"/>
        </w:rPr>
        <w:t>Type 5–6 and smart metering services (regulated service only), referred to as annual metering charges (revenue cap)</w:t>
      </w:r>
    </w:p>
    <w:p w:rsidR="00F64DEC" w:rsidRDefault="00F64DEC" w:rsidP="00F64DEC">
      <w:pPr>
        <w:pStyle w:val="AERbulletlistfirststyle"/>
        <w:rPr>
          <w:rStyle w:val="AERbody"/>
        </w:rPr>
      </w:pPr>
      <w:r>
        <w:rPr>
          <w:rStyle w:val="AERbody"/>
        </w:rPr>
        <w:t>Type 5–6 and smart metering exit fees (individual price caps)</w:t>
      </w:r>
    </w:p>
    <w:p w:rsidR="00F64DEC" w:rsidRDefault="00F64DEC" w:rsidP="00F64DEC">
      <w:pPr>
        <w:pStyle w:val="AERbulletlistfirststyle"/>
      </w:pPr>
      <w:r>
        <w:rPr>
          <w:rStyle w:val="AERbody"/>
        </w:rPr>
        <w:t>Type 7 metering charges (individual price caps)</w:t>
      </w:r>
    </w:p>
    <w:p w:rsidR="00F64DEC" w:rsidRPr="00F64DEC" w:rsidRDefault="00F64DEC" w:rsidP="00DF33B3">
      <w:pPr>
        <w:pStyle w:val="AERbulletlistfirststyle"/>
        <w:numPr>
          <w:ilvl w:val="0"/>
          <w:numId w:val="0"/>
        </w:numPr>
      </w:pPr>
      <w:r w:rsidRPr="0039376F">
        <w:t>AusNet Services have chosen not to propose a meter restoration fee.</w:t>
      </w:r>
      <w:r w:rsidRPr="00F64DEC">
        <w:rPr>
          <w:rStyle w:val="FootnoteReference"/>
        </w:rPr>
        <w:footnoteReference w:id="41"/>
      </w:r>
    </w:p>
    <w:p w:rsidR="00F64DEC" w:rsidRPr="00F64DEC" w:rsidRDefault="00F64DEC" w:rsidP="00F64DEC">
      <w:r>
        <w:rPr>
          <w:rStyle w:val="AERbody"/>
        </w:rPr>
        <w:t xml:space="preserve">Our determination on ancillary metering services (specifically requested services) is set out in the ancillary network services section of this chapter. </w:t>
      </w:r>
    </w:p>
    <w:p w:rsidR="00FB54C5" w:rsidRDefault="00FB54C5" w:rsidP="00FB54C5">
      <w:pPr>
        <w:pStyle w:val="Heading3"/>
      </w:pPr>
      <w:bookmarkStart w:id="46" w:name="_Toc433704565"/>
      <w:r>
        <w:t>Preliminary decision</w:t>
      </w:r>
      <w:bookmarkEnd w:id="46"/>
    </w:p>
    <w:p w:rsidR="00F64DEC" w:rsidRDefault="00F64DEC" w:rsidP="00F64DEC">
      <w:pPr>
        <w:pStyle w:val="Heading4"/>
      </w:pPr>
      <w:r>
        <w:t>Cost allocation</w:t>
      </w:r>
    </w:p>
    <w:p w:rsidR="00F64DEC" w:rsidRDefault="00F64DEC" w:rsidP="00F64DEC">
      <w:r>
        <w:t xml:space="preserve">Our preliminary decision is that all metering costs should be recovered through alternative control services. We have not accepted AusNet Services' proposal that some forecast metering opex and capex and existing AMI IT/communication assets be recovered through standard control service charges. </w:t>
      </w:r>
    </w:p>
    <w:p w:rsidR="00F64DEC" w:rsidRDefault="00F64DEC" w:rsidP="00F64DEC">
      <w:r>
        <w:t>As a result, our preliminary decision:</w:t>
      </w:r>
    </w:p>
    <w:p w:rsidR="00F64DEC" w:rsidRDefault="00F64DEC" w:rsidP="00F64DEC">
      <w:pPr>
        <w:pStyle w:val="AERbulletlistfirststyle"/>
      </w:pPr>
      <w:r>
        <w:t>reallocates $86.0 million in metering opex which AusNet Services included in its standard control services proposal, to alternative control metering services</w:t>
      </w:r>
    </w:p>
    <w:p w:rsidR="00F64DEC" w:rsidRDefault="00F64DEC" w:rsidP="00F64DEC">
      <w:pPr>
        <w:pStyle w:val="AERbulletlistfirststyle"/>
      </w:pPr>
      <w:proofErr w:type="gramStart"/>
      <w:r>
        <w:t>reallocates</w:t>
      </w:r>
      <w:proofErr w:type="gramEnd"/>
      <w:r>
        <w:t xml:space="preserve"> $10.0 million in metering communications infrastructure capex which AusNet Services included in its standard control services proposal, to alternative control metering services.</w:t>
      </w:r>
      <w:r w:rsidRPr="001E5D36">
        <w:rPr>
          <w:rStyle w:val="AERsuperscript"/>
        </w:rPr>
        <w:footnoteReference w:id="42"/>
      </w:r>
      <w:r w:rsidRPr="001E5D36">
        <w:rPr>
          <w:rStyle w:val="AERsuperscript"/>
        </w:rPr>
        <w:t xml:space="preserve"> </w:t>
      </w:r>
      <w:r w:rsidRPr="00F806F4">
        <w:rPr>
          <w:rStyle w:val="AERtexthighlight"/>
        </w:rPr>
        <w:t xml:space="preserve"> </w:t>
      </w:r>
      <w:r>
        <w:t xml:space="preserve"> </w:t>
      </w:r>
    </w:p>
    <w:p w:rsidR="00F64DEC" w:rsidRDefault="00F64DEC" w:rsidP="00F64DEC">
      <w:pPr>
        <w:pStyle w:val="AERbulletlistfirststyle"/>
      </w:pPr>
      <w:proofErr w:type="gramStart"/>
      <w:r>
        <w:t>reallocates</w:t>
      </w:r>
      <w:proofErr w:type="gramEnd"/>
      <w:r>
        <w:t xml:space="preserve"> $75.3 million in AMI communications/IT assets from standard control RAB to the alternative control services metering RAB. </w:t>
      </w:r>
    </w:p>
    <w:p w:rsidR="00F64DEC" w:rsidRDefault="00F64DEC" w:rsidP="00F64DEC">
      <w:pPr>
        <w:pStyle w:val="Heading4"/>
      </w:pPr>
      <w:bookmarkStart w:id="47" w:name="_Ref433271138"/>
      <w:r>
        <w:t>Annual metering charges</w:t>
      </w:r>
      <w:bookmarkEnd w:id="47"/>
    </w:p>
    <w:p w:rsidR="00F64DEC" w:rsidRDefault="00F64DEC" w:rsidP="00F64DEC">
      <w:r>
        <w:t>Our preliminary decision accepts a total revenue requirement of $</w:t>
      </w:r>
      <w:r w:rsidR="001E41D4" w:rsidRPr="001E41D4">
        <w:t xml:space="preserve">442.5 </w:t>
      </w:r>
      <w:r>
        <w:t xml:space="preserve">million ($ nominal) over the 2016–20 regulatory control period for </w:t>
      </w:r>
      <w:r w:rsidR="00270EBC">
        <w:t>metering services. It includes the following building blocks</w:t>
      </w:r>
      <w:r>
        <w:t>:</w:t>
      </w:r>
    </w:p>
    <w:p w:rsidR="00F64DEC" w:rsidRDefault="00270EBC" w:rsidP="00F64DEC">
      <w:pPr>
        <w:pStyle w:val="AERbulletlistfirststyle"/>
      </w:pPr>
      <w:proofErr w:type="gramStart"/>
      <w:r>
        <w:t>forecast</w:t>
      </w:r>
      <w:proofErr w:type="gramEnd"/>
      <w:r>
        <w:t xml:space="preserve"> capex of $52.</w:t>
      </w:r>
      <w:r w:rsidR="001E41D4">
        <w:t>5</w:t>
      </w:r>
      <w:r>
        <w:t xml:space="preserve"> million ($2015)</w:t>
      </w:r>
      <w:r w:rsidR="00F64DEC">
        <w:t xml:space="preserve">. </w:t>
      </w:r>
      <w:r>
        <w:t xml:space="preserve">We do not accept </w:t>
      </w:r>
      <w:r w:rsidR="00F64DEC">
        <w:t>AusNet Services' proposal that customers should bear the forecast mesh radio switching costs of $</w:t>
      </w:r>
      <w:r>
        <w:t>100.7 million</w:t>
      </w:r>
      <w:r w:rsidR="00F64DEC">
        <w:t xml:space="preserve"> </w:t>
      </w:r>
      <w:r w:rsidR="00482FC3">
        <w:t>($2015)</w:t>
      </w:r>
      <w:r>
        <w:t>.</w:t>
      </w:r>
    </w:p>
    <w:p w:rsidR="00F64DEC" w:rsidRPr="00F64DEC" w:rsidRDefault="00270EBC" w:rsidP="00F64DEC">
      <w:pPr>
        <w:pStyle w:val="AERbulletlistfirststyle"/>
        <w:rPr>
          <w:rStyle w:val="AERtexthighlight"/>
        </w:rPr>
      </w:pPr>
      <w:r>
        <w:t xml:space="preserve">Forecast opex of </w:t>
      </w:r>
      <w:r w:rsidR="00F64DEC">
        <w:t>$139.7 million ($2015)</w:t>
      </w:r>
    </w:p>
    <w:p w:rsidR="00270EBC" w:rsidRDefault="00270EBC" w:rsidP="00F64DEC">
      <w:pPr>
        <w:pStyle w:val="AERbulletlistfirststyle"/>
      </w:pPr>
      <w:r>
        <w:t>an</w:t>
      </w:r>
      <w:r w:rsidR="00F64DEC">
        <w:t xml:space="preserve"> opening metering regulatory asset base as at 1 January 2016 of $</w:t>
      </w:r>
      <w:r w:rsidR="00F64DEC" w:rsidRPr="00855D14">
        <w:rPr>
          <w:rStyle w:val="AERbody"/>
        </w:rPr>
        <w:t>380.4</w:t>
      </w:r>
      <w:r w:rsidR="00F64DEC">
        <w:t xml:space="preserve"> million ($nominal) </w:t>
      </w:r>
    </w:p>
    <w:p w:rsidR="00F64DEC" w:rsidRDefault="00482FC3" w:rsidP="00F64DEC">
      <w:pPr>
        <w:pStyle w:val="AERbulletlistfirststyle"/>
      </w:pPr>
      <w:r>
        <w:t>with respect to depreciation, accept standard asset lives of 15 years for metering assets and 7 years for communications, IT and other metering</w:t>
      </w:r>
      <w:r w:rsidR="00F64DEC">
        <w:t xml:space="preserve"> </w:t>
      </w:r>
    </w:p>
    <w:p w:rsidR="00F64DEC" w:rsidRDefault="00482FC3" w:rsidP="00F64DEC">
      <w:pPr>
        <w:pStyle w:val="AERbulletlistfirststyle"/>
      </w:pPr>
      <w:r>
        <w:t xml:space="preserve"> </w:t>
      </w:r>
      <w:proofErr w:type="gramStart"/>
      <w:r w:rsidR="00F64DEC">
        <w:t>the</w:t>
      </w:r>
      <w:proofErr w:type="gramEnd"/>
      <w:r w:rsidR="00F64DEC">
        <w:t xml:space="preserve"> same WACC and gamma values for standard control network services. We will also annually adjust for the return on debt.</w:t>
      </w:r>
    </w:p>
    <w:p w:rsidR="00F64DEC" w:rsidRPr="00F64DEC" w:rsidRDefault="00F64DEC" w:rsidP="00482FC3">
      <w:pPr>
        <w:pStyle w:val="AERbulletlistfirststyle"/>
        <w:numPr>
          <w:ilvl w:val="0"/>
          <w:numId w:val="0"/>
        </w:numPr>
      </w:pPr>
      <w:r>
        <w:t xml:space="preserve">The above </w:t>
      </w:r>
      <w:r w:rsidRPr="00F64DEC">
        <w:t xml:space="preserve">building blocks result in the following approved revenue requirement for metering shown in </w:t>
      </w:r>
      <w:r w:rsidRPr="00F64DEC">
        <w:fldChar w:fldCharType="begin"/>
      </w:r>
      <w:r w:rsidRPr="00F64DEC">
        <w:instrText xml:space="preserve"> REF _Ref433176291 \h </w:instrText>
      </w:r>
      <w:r w:rsidRPr="00F64DEC">
        <w:fldChar w:fldCharType="separate"/>
      </w:r>
      <w:r w:rsidR="009E0EFD">
        <w:t xml:space="preserve">Table </w:t>
      </w:r>
      <w:r w:rsidR="009E0EFD">
        <w:rPr>
          <w:noProof/>
        </w:rPr>
        <w:t>16</w:t>
      </w:r>
      <w:r w:rsidR="009E0EFD">
        <w:t>.</w:t>
      </w:r>
      <w:r w:rsidR="009E0EFD">
        <w:rPr>
          <w:noProof/>
        </w:rPr>
        <w:t>8</w:t>
      </w:r>
      <w:r w:rsidRPr="00F64DEC">
        <w:fldChar w:fldCharType="end"/>
      </w:r>
      <w:r w:rsidRPr="00F64DEC">
        <w:t>.</w:t>
      </w:r>
    </w:p>
    <w:p w:rsidR="00F64DEC" w:rsidRDefault="00F64DEC" w:rsidP="00F64DEC">
      <w:pPr>
        <w:pStyle w:val="Caption"/>
      </w:pPr>
      <w:bookmarkStart w:id="48" w:name="_Ref433176291"/>
      <w:proofErr w:type="gramStart"/>
      <w:r>
        <w:t xml:space="preserve">Table </w:t>
      </w:r>
      <w:proofErr w:type="gramEnd"/>
      <w:r w:rsidR="006A670B">
        <w:fldChar w:fldCharType="begin"/>
      </w:r>
      <w:r w:rsidR="006A670B">
        <w:instrText xml:space="preserve"> STYLEREF 1 \s </w:instrText>
      </w:r>
      <w:r w:rsidR="006A670B">
        <w:fldChar w:fldCharType="separate"/>
      </w:r>
      <w:r w:rsidR="009E0EFD">
        <w:rPr>
          <w:noProof/>
        </w:rPr>
        <w:t>16</w:t>
      </w:r>
      <w:r w:rsidR="006A670B">
        <w:fldChar w:fldCharType="end"/>
      </w:r>
      <w:proofErr w:type="gramStart"/>
      <w:r w:rsidR="006A670B">
        <w:t>.</w:t>
      </w:r>
      <w:proofErr w:type="gramEnd"/>
      <w:r w:rsidR="006A670B">
        <w:fldChar w:fldCharType="begin"/>
      </w:r>
      <w:r w:rsidR="006A670B">
        <w:instrText xml:space="preserve"> SEQ Table \* ARABIC \s 1 </w:instrText>
      </w:r>
      <w:r w:rsidR="006A670B">
        <w:fldChar w:fldCharType="separate"/>
      </w:r>
      <w:r w:rsidR="009E0EFD">
        <w:rPr>
          <w:noProof/>
        </w:rPr>
        <w:t>8</w:t>
      </w:r>
      <w:r w:rsidR="006A670B">
        <w:fldChar w:fldCharType="end"/>
      </w:r>
      <w:bookmarkEnd w:id="48"/>
      <w:r>
        <w:t xml:space="preserve"> – Preliminary decision – metering annual revenue requirement</w:t>
      </w:r>
    </w:p>
    <w:tbl>
      <w:tblPr>
        <w:tblStyle w:val="AERtable-numbers"/>
        <w:tblW w:w="0" w:type="auto"/>
        <w:tblLook w:val="04A0" w:firstRow="1" w:lastRow="0" w:firstColumn="1" w:lastColumn="0" w:noHBand="0" w:noVBand="1"/>
      </w:tblPr>
      <w:tblGrid>
        <w:gridCol w:w="1361"/>
        <w:gridCol w:w="1122"/>
        <w:gridCol w:w="1242"/>
        <w:gridCol w:w="1242"/>
        <w:gridCol w:w="1242"/>
        <w:gridCol w:w="1242"/>
        <w:gridCol w:w="1242"/>
      </w:tblGrid>
      <w:tr w:rsidR="00F64DEC" w:rsidTr="00F64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rsidR="00F64DEC" w:rsidRDefault="00F64DEC" w:rsidP="00270EBC">
            <w:pPr>
              <w:pStyle w:val="AERbulletlistfirststyle"/>
              <w:numPr>
                <w:ilvl w:val="0"/>
                <w:numId w:val="0"/>
              </w:numPr>
              <w:ind w:left="357"/>
            </w:pPr>
          </w:p>
        </w:tc>
        <w:tc>
          <w:tcPr>
            <w:tcW w:w="1122" w:type="dxa"/>
          </w:tcPr>
          <w:p w:rsidR="00F64DEC" w:rsidRPr="00F64DEC" w:rsidRDefault="00F64DEC" w:rsidP="00270EBC">
            <w:pPr>
              <w:pStyle w:val="AERbulletlistfirststyle"/>
              <w:numPr>
                <w:ilvl w:val="0"/>
                <w:numId w:val="0"/>
              </w:numPr>
              <w:ind w:left="357"/>
              <w:jc w:val="center"/>
              <w:cnfStyle w:val="100000000000" w:firstRow="1" w:lastRow="0" w:firstColumn="0" w:lastColumn="0" w:oddVBand="0" w:evenVBand="0" w:oddHBand="0" w:evenHBand="0" w:firstRowFirstColumn="0" w:firstRowLastColumn="0" w:lastRowFirstColumn="0" w:lastRowLastColumn="0"/>
            </w:pPr>
            <w:r>
              <w:t>2015</w:t>
            </w:r>
          </w:p>
        </w:tc>
        <w:tc>
          <w:tcPr>
            <w:tcW w:w="1242" w:type="dxa"/>
          </w:tcPr>
          <w:p w:rsidR="00F64DEC" w:rsidRPr="00F64DEC" w:rsidRDefault="00F64DEC" w:rsidP="00270EBC">
            <w:pPr>
              <w:pStyle w:val="AERbulletlistfirststyle"/>
              <w:numPr>
                <w:ilvl w:val="0"/>
                <w:numId w:val="0"/>
              </w:numPr>
              <w:ind w:left="357"/>
              <w:jc w:val="center"/>
              <w:cnfStyle w:val="100000000000" w:firstRow="1" w:lastRow="0" w:firstColumn="0" w:lastColumn="0" w:oddVBand="0" w:evenVBand="0" w:oddHBand="0" w:evenHBand="0" w:firstRowFirstColumn="0" w:firstRowLastColumn="0" w:lastRowFirstColumn="0" w:lastRowLastColumn="0"/>
            </w:pPr>
            <w:r>
              <w:t>2016</w:t>
            </w:r>
          </w:p>
        </w:tc>
        <w:tc>
          <w:tcPr>
            <w:tcW w:w="1242" w:type="dxa"/>
          </w:tcPr>
          <w:p w:rsidR="00F64DEC" w:rsidRPr="00F64DEC" w:rsidRDefault="00F64DEC" w:rsidP="00270EBC">
            <w:pPr>
              <w:pStyle w:val="AERbulletlistfirststyle"/>
              <w:numPr>
                <w:ilvl w:val="0"/>
                <w:numId w:val="0"/>
              </w:numPr>
              <w:ind w:left="357"/>
              <w:jc w:val="center"/>
              <w:cnfStyle w:val="100000000000" w:firstRow="1" w:lastRow="0" w:firstColumn="0" w:lastColumn="0" w:oddVBand="0" w:evenVBand="0" w:oddHBand="0" w:evenHBand="0" w:firstRowFirstColumn="0" w:firstRowLastColumn="0" w:lastRowFirstColumn="0" w:lastRowLastColumn="0"/>
            </w:pPr>
            <w:r>
              <w:t>2017</w:t>
            </w:r>
          </w:p>
        </w:tc>
        <w:tc>
          <w:tcPr>
            <w:tcW w:w="1242" w:type="dxa"/>
          </w:tcPr>
          <w:p w:rsidR="00F64DEC" w:rsidRPr="00F64DEC" w:rsidRDefault="00F64DEC" w:rsidP="00270EBC">
            <w:pPr>
              <w:pStyle w:val="AERbulletlistfirststyle"/>
              <w:numPr>
                <w:ilvl w:val="0"/>
                <w:numId w:val="0"/>
              </w:numPr>
              <w:ind w:left="357"/>
              <w:jc w:val="center"/>
              <w:cnfStyle w:val="100000000000" w:firstRow="1" w:lastRow="0" w:firstColumn="0" w:lastColumn="0" w:oddVBand="0" w:evenVBand="0" w:oddHBand="0" w:evenHBand="0" w:firstRowFirstColumn="0" w:firstRowLastColumn="0" w:lastRowFirstColumn="0" w:lastRowLastColumn="0"/>
            </w:pPr>
            <w:r>
              <w:t>2018</w:t>
            </w:r>
          </w:p>
        </w:tc>
        <w:tc>
          <w:tcPr>
            <w:tcW w:w="1242" w:type="dxa"/>
          </w:tcPr>
          <w:p w:rsidR="00F64DEC" w:rsidRPr="00F64DEC" w:rsidRDefault="00F64DEC" w:rsidP="00270EBC">
            <w:pPr>
              <w:pStyle w:val="AERbulletlistfirststyle"/>
              <w:numPr>
                <w:ilvl w:val="0"/>
                <w:numId w:val="0"/>
              </w:numPr>
              <w:ind w:left="357"/>
              <w:jc w:val="center"/>
              <w:cnfStyle w:val="100000000000" w:firstRow="1" w:lastRow="0" w:firstColumn="0" w:lastColumn="0" w:oddVBand="0" w:evenVBand="0" w:oddHBand="0" w:evenHBand="0" w:firstRowFirstColumn="0" w:firstRowLastColumn="0" w:lastRowFirstColumn="0" w:lastRowLastColumn="0"/>
            </w:pPr>
            <w:r>
              <w:t>2019</w:t>
            </w:r>
          </w:p>
        </w:tc>
        <w:tc>
          <w:tcPr>
            <w:tcW w:w="1242" w:type="dxa"/>
          </w:tcPr>
          <w:p w:rsidR="00F64DEC" w:rsidRPr="00F64DEC" w:rsidRDefault="00F64DEC" w:rsidP="00270EBC">
            <w:pPr>
              <w:pStyle w:val="AERbulletlistfirststyle"/>
              <w:numPr>
                <w:ilvl w:val="0"/>
                <w:numId w:val="0"/>
              </w:numPr>
              <w:ind w:left="357"/>
              <w:jc w:val="center"/>
              <w:cnfStyle w:val="100000000000" w:firstRow="1" w:lastRow="0" w:firstColumn="0" w:lastColumn="0" w:oddVBand="0" w:evenVBand="0" w:oddHBand="0" w:evenHBand="0" w:firstRowFirstColumn="0" w:firstRowLastColumn="0" w:lastRowFirstColumn="0" w:lastRowLastColumn="0"/>
            </w:pPr>
            <w:r>
              <w:t>2020</w:t>
            </w:r>
          </w:p>
        </w:tc>
      </w:tr>
      <w:tr w:rsidR="001E41D4" w:rsidTr="00F64DEC">
        <w:tc>
          <w:tcPr>
            <w:cnfStyle w:val="001000000000" w:firstRow="0" w:lastRow="0" w:firstColumn="1" w:lastColumn="0" w:oddVBand="0" w:evenVBand="0" w:oddHBand="0" w:evenHBand="0" w:firstRowFirstColumn="0" w:firstRowLastColumn="0" w:lastRowFirstColumn="0" w:lastRowLastColumn="0"/>
            <w:tcW w:w="1361" w:type="dxa"/>
          </w:tcPr>
          <w:p w:rsidR="001E41D4" w:rsidRPr="001E41D4" w:rsidRDefault="001E41D4" w:rsidP="001E41D4">
            <w:r w:rsidRPr="001E41D4">
              <w:t>Depreciation</w:t>
            </w:r>
          </w:p>
        </w:tc>
        <w:tc>
          <w:tcPr>
            <w:tcW w:w="1122" w:type="dxa"/>
          </w:tcPr>
          <w:p w:rsidR="001E41D4" w:rsidRPr="001E41D4" w:rsidRDefault="001E41D4" w:rsidP="001E41D4">
            <w:pPr>
              <w:cnfStyle w:val="000000000000" w:firstRow="0" w:lastRow="0" w:firstColumn="0" w:lastColumn="0" w:oddVBand="0" w:evenVBand="0" w:oddHBand="0" w:evenHBand="0" w:firstRowFirstColumn="0" w:firstRowLastColumn="0" w:lastRowFirstColumn="0" w:lastRowLastColumn="0"/>
            </w:pPr>
          </w:p>
        </w:tc>
        <w:tc>
          <w:tcPr>
            <w:tcW w:w="1242" w:type="dxa"/>
            <w:vAlign w:val="bottom"/>
          </w:tcPr>
          <w:p w:rsidR="001E41D4" w:rsidRPr="001E41D4" w:rsidRDefault="001E41D4">
            <w:pPr>
              <w:cnfStyle w:val="000000000000" w:firstRow="0" w:lastRow="0" w:firstColumn="0" w:lastColumn="0" w:oddVBand="0" w:evenVBand="0" w:oddHBand="0" w:evenHBand="0" w:firstRowFirstColumn="0" w:firstRowLastColumn="0" w:lastRowFirstColumn="0" w:lastRowLastColumn="0"/>
            </w:pPr>
            <w:r w:rsidRPr="001E41D4">
              <w:t xml:space="preserve">          40.7 </w:t>
            </w:r>
          </w:p>
        </w:tc>
        <w:tc>
          <w:tcPr>
            <w:tcW w:w="1242" w:type="dxa"/>
            <w:vAlign w:val="bottom"/>
          </w:tcPr>
          <w:p w:rsidR="001E41D4" w:rsidRPr="001E41D4" w:rsidRDefault="001E41D4">
            <w:pPr>
              <w:cnfStyle w:val="000000000000" w:firstRow="0" w:lastRow="0" w:firstColumn="0" w:lastColumn="0" w:oddVBand="0" w:evenVBand="0" w:oddHBand="0" w:evenHBand="0" w:firstRowFirstColumn="0" w:firstRowLastColumn="0" w:lastRowFirstColumn="0" w:lastRowLastColumn="0"/>
            </w:pPr>
            <w:r w:rsidRPr="001E41D4">
              <w:t xml:space="preserve">          44.0 </w:t>
            </w:r>
          </w:p>
        </w:tc>
        <w:tc>
          <w:tcPr>
            <w:tcW w:w="1242" w:type="dxa"/>
            <w:vAlign w:val="bottom"/>
          </w:tcPr>
          <w:p w:rsidR="001E41D4" w:rsidRPr="001E41D4" w:rsidRDefault="001E41D4">
            <w:pPr>
              <w:cnfStyle w:val="000000000000" w:firstRow="0" w:lastRow="0" w:firstColumn="0" w:lastColumn="0" w:oddVBand="0" w:evenVBand="0" w:oddHBand="0" w:evenHBand="0" w:firstRowFirstColumn="0" w:firstRowLastColumn="0" w:lastRowFirstColumn="0" w:lastRowLastColumn="0"/>
            </w:pPr>
            <w:r w:rsidRPr="001E41D4">
              <w:t xml:space="preserve">          46.9 </w:t>
            </w:r>
          </w:p>
        </w:tc>
        <w:tc>
          <w:tcPr>
            <w:tcW w:w="1242" w:type="dxa"/>
            <w:vAlign w:val="bottom"/>
          </w:tcPr>
          <w:p w:rsidR="001E41D4" w:rsidRPr="001E41D4" w:rsidRDefault="001E41D4">
            <w:pPr>
              <w:cnfStyle w:val="000000000000" w:firstRow="0" w:lastRow="0" w:firstColumn="0" w:lastColumn="0" w:oddVBand="0" w:evenVBand="0" w:oddHBand="0" w:evenHBand="0" w:firstRowFirstColumn="0" w:firstRowLastColumn="0" w:lastRowFirstColumn="0" w:lastRowLastColumn="0"/>
            </w:pPr>
            <w:r w:rsidRPr="001E41D4">
              <w:t xml:space="preserve">          36.2 </w:t>
            </w:r>
          </w:p>
        </w:tc>
        <w:tc>
          <w:tcPr>
            <w:tcW w:w="1242" w:type="dxa"/>
            <w:vAlign w:val="bottom"/>
          </w:tcPr>
          <w:p w:rsidR="001E41D4" w:rsidRPr="001E41D4" w:rsidRDefault="001E41D4">
            <w:pPr>
              <w:cnfStyle w:val="000000000000" w:firstRow="0" w:lastRow="0" w:firstColumn="0" w:lastColumn="0" w:oddVBand="0" w:evenVBand="0" w:oddHBand="0" w:evenHBand="0" w:firstRowFirstColumn="0" w:firstRowLastColumn="0" w:lastRowFirstColumn="0" w:lastRowLastColumn="0"/>
            </w:pPr>
            <w:r w:rsidRPr="001E41D4">
              <w:t xml:space="preserve">          25.9 </w:t>
            </w:r>
          </w:p>
        </w:tc>
      </w:tr>
      <w:tr w:rsidR="001E41D4" w:rsidTr="00F64D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rsidR="001E41D4" w:rsidRPr="001E41D4" w:rsidRDefault="001E41D4" w:rsidP="001E41D4">
            <w:r w:rsidRPr="001E41D4">
              <w:t>Return on capital</w:t>
            </w:r>
          </w:p>
        </w:tc>
        <w:tc>
          <w:tcPr>
            <w:tcW w:w="1122" w:type="dxa"/>
          </w:tcPr>
          <w:p w:rsidR="001E41D4" w:rsidRPr="001E41D4" w:rsidRDefault="001E41D4" w:rsidP="001E41D4">
            <w:pPr>
              <w:cnfStyle w:val="000000010000" w:firstRow="0" w:lastRow="0" w:firstColumn="0" w:lastColumn="0" w:oddVBand="0" w:evenVBand="0" w:oddHBand="0" w:evenHBand="1" w:firstRowFirstColumn="0" w:firstRowLastColumn="0" w:lastRowFirstColumn="0" w:lastRowLastColumn="0"/>
            </w:pPr>
          </w:p>
        </w:tc>
        <w:tc>
          <w:tcPr>
            <w:tcW w:w="1242" w:type="dxa"/>
            <w:vAlign w:val="bottom"/>
          </w:tcPr>
          <w:p w:rsidR="001E41D4" w:rsidRPr="001E41D4" w:rsidRDefault="001E41D4">
            <w:pPr>
              <w:cnfStyle w:val="000000010000" w:firstRow="0" w:lastRow="0" w:firstColumn="0" w:lastColumn="0" w:oddVBand="0" w:evenVBand="0" w:oddHBand="0" w:evenHBand="1" w:firstRowFirstColumn="0" w:firstRowLastColumn="0" w:lastRowFirstColumn="0" w:lastRowLastColumn="0"/>
            </w:pPr>
            <w:r w:rsidRPr="001E41D4">
              <w:t xml:space="preserve">          23.2 </w:t>
            </w:r>
          </w:p>
        </w:tc>
        <w:tc>
          <w:tcPr>
            <w:tcW w:w="1242" w:type="dxa"/>
            <w:vAlign w:val="bottom"/>
          </w:tcPr>
          <w:p w:rsidR="001E41D4" w:rsidRPr="001E41D4" w:rsidRDefault="001E41D4">
            <w:pPr>
              <w:cnfStyle w:val="000000010000" w:firstRow="0" w:lastRow="0" w:firstColumn="0" w:lastColumn="0" w:oddVBand="0" w:evenVBand="0" w:oddHBand="0" w:evenHBand="1" w:firstRowFirstColumn="0" w:firstRowLastColumn="0" w:lastRowFirstColumn="0" w:lastRowLastColumn="0"/>
            </w:pPr>
            <w:r w:rsidRPr="001E41D4">
              <w:t xml:space="preserve">          21.6 </w:t>
            </w:r>
          </w:p>
        </w:tc>
        <w:tc>
          <w:tcPr>
            <w:tcW w:w="1242" w:type="dxa"/>
            <w:vAlign w:val="bottom"/>
          </w:tcPr>
          <w:p w:rsidR="001E41D4" w:rsidRPr="001E41D4" w:rsidRDefault="001E41D4">
            <w:pPr>
              <w:cnfStyle w:val="000000010000" w:firstRow="0" w:lastRow="0" w:firstColumn="0" w:lastColumn="0" w:oddVBand="0" w:evenVBand="0" w:oddHBand="0" w:evenHBand="1" w:firstRowFirstColumn="0" w:firstRowLastColumn="0" w:lastRowFirstColumn="0" w:lastRowLastColumn="0"/>
            </w:pPr>
            <w:r w:rsidRPr="001E41D4">
              <w:t xml:space="preserve">          19.5 </w:t>
            </w:r>
          </w:p>
        </w:tc>
        <w:tc>
          <w:tcPr>
            <w:tcW w:w="1242" w:type="dxa"/>
            <w:vAlign w:val="bottom"/>
          </w:tcPr>
          <w:p w:rsidR="001E41D4" w:rsidRPr="001E41D4" w:rsidRDefault="001E41D4">
            <w:pPr>
              <w:cnfStyle w:val="000000010000" w:firstRow="0" w:lastRow="0" w:firstColumn="0" w:lastColumn="0" w:oddVBand="0" w:evenVBand="0" w:oddHBand="0" w:evenHBand="1" w:firstRowFirstColumn="0" w:firstRowLastColumn="0" w:lastRowFirstColumn="0" w:lastRowLastColumn="0"/>
            </w:pPr>
            <w:r w:rsidRPr="001E41D4">
              <w:t xml:space="preserve">          17.3 </w:t>
            </w:r>
          </w:p>
        </w:tc>
        <w:tc>
          <w:tcPr>
            <w:tcW w:w="1242" w:type="dxa"/>
            <w:vAlign w:val="bottom"/>
          </w:tcPr>
          <w:p w:rsidR="001E41D4" w:rsidRPr="001E41D4" w:rsidRDefault="001E41D4">
            <w:pPr>
              <w:cnfStyle w:val="000000010000" w:firstRow="0" w:lastRow="0" w:firstColumn="0" w:lastColumn="0" w:oddVBand="0" w:evenVBand="0" w:oddHBand="0" w:evenHBand="1" w:firstRowFirstColumn="0" w:firstRowLastColumn="0" w:lastRowFirstColumn="0" w:lastRowLastColumn="0"/>
            </w:pPr>
            <w:r w:rsidRPr="001E41D4">
              <w:t xml:space="preserve">          15.8 </w:t>
            </w:r>
          </w:p>
        </w:tc>
      </w:tr>
      <w:tr w:rsidR="001E41D4" w:rsidTr="00F64DEC">
        <w:tc>
          <w:tcPr>
            <w:cnfStyle w:val="001000000000" w:firstRow="0" w:lastRow="0" w:firstColumn="1" w:lastColumn="0" w:oddVBand="0" w:evenVBand="0" w:oddHBand="0" w:evenHBand="0" w:firstRowFirstColumn="0" w:firstRowLastColumn="0" w:lastRowFirstColumn="0" w:lastRowLastColumn="0"/>
            <w:tcW w:w="1361" w:type="dxa"/>
          </w:tcPr>
          <w:p w:rsidR="001E41D4" w:rsidRPr="001E41D4" w:rsidRDefault="001E41D4" w:rsidP="001E41D4">
            <w:r w:rsidRPr="001E41D4">
              <w:t>Opex</w:t>
            </w:r>
            <w:r w:rsidRPr="001E41D4">
              <w:rPr>
                <w:rStyle w:val="AERsuperscript"/>
              </w:rPr>
              <w:t>a</w:t>
            </w:r>
          </w:p>
        </w:tc>
        <w:tc>
          <w:tcPr>
            <w:tcW w:w="1122" w:type="dxa"/>
          </w:tcPr>
          <w:p w:rsidR="001E41D4" w:rsidRPr="001E41D4" w:rsidRDefault="001E41D4" w:rsidP="001E41D4">
            <w:pPr>
              <w:cnfStyle w:val="000000000000" w:firstRow="0" w:lastRow="0" w:firstColumn="0" w:lastColumn="0" w:oddVBand="0" w:evenVBand="0" w:oddHBand="0" w:evenHBand="0" w:firstRowFirstColumn="0" w:firstRowLastColumn="0" w:lastRowFirstColumn="0" w:lastRowLastColumn="0"/>
            </w:pPr>
          </w:p>
        </w:tc>
        <w:tc>
          <w:tcPr>
            <w:tcW w:w="1242" w:type="dxa"/>
            <w:vAlign w:val="bottom"/>
          </w:tcPr>
          <w:p w:rsidR="001E41D4" w:rsidRPr="001E41D4" w:rsidRDefault="001E41D4">
            <w:pPr>
              <w:cnfStyle w:val="000000000000" w:firstRow="0" w:lastRow="0" w:firstColumn="0" w:lastColumn="0" w:oddVBand="0" w:evenVBand="0" w:oddHBand="0" w:evenHBand="0" w:firstRowFirstColumn="0" w:firstRowLastColumn="0" w:lastRowFirstColumn="0" w:lastRowLastColumn="0"/>
            </w:pPr>
            <w:r w:rsidRPr="001E41D4">
              <w:t xml:space="preserve">          28.8 </w:t>
            </w:r>
          </w:p>
        </w:tc>
        <w:tc>
          <w:tcPr>
            <w:tcW w:w="1242" w:type="dxa"/>
            <w:vAlign w:val="bottom"/>
          </w:tcPr>
          <w:p w:rsidR="001E41D4" w:rsidRPr="001E41D4" w:rsidRDefault="001E41D4">
            <w:pPr>
              <w:cnfStyle w:val="000000000000" w:firstRow="0" w:lastRow="0" w:firstColumn="0" w:lastColumn="0" w:oddVBand="0" w:evenVBand="0" w:oddHBand="0" w:evenHBand="0" w:firstRowFirstColumn="0" w:firstRowLastColumn="0" w:lastRowFirstColumn="0" w:lastRowLastColumn="0"/>
            </w:pPr>
            <w:r w:rsidRPr="001E41D4">
              <w:t xml:space="preserve">          29.5 </w:t>
            </w:r>
          </w:p>
        </w:tc>
        <w:tc>
          <w:tcPr>
            <w:tcW w:w="1242" w:type="dxa"/>
            <w:vAlign w:val="bottom"/>
          </w:tcPr>
          <w:p w:rsidR="001E41D4" w:rsidRPr="001E41D4" w:rsidRDefault="001E41D4">
            <w:pPr>
              <w:cnfStyle w:val="000000000000" w:firstRow="0" w:lastRow="0" w:firstColumn="0" w:lastColumn="0" w:oddVBand="0" w:evenVBand="0" w:oddHBand="0" w:evenHBand="0" w:firstRowFirstColumn="0" w:firstRowLastColumn="0" w:lastRowFirstColumn="0" w:lastRowLastColumn="0"/>
            </w:pPr>
            <w:r w:rsidRPr="001E41D4">
              <w:t xml:space="preserve">          30.2 </w:t>
            </w:r>
          </w:p>
        </w:tc>
        <w:tc>
          <w:tcPr>
            <w:tcW w:w="1242" w:type="dxa"/>
            <w:vAlign w:val="bottom"/>
          </w:tcPr>
          <w:p w:rsidR="001E41D4" w:rsidRPr="001E41D4" w:rsidRDefault="001E41D4">
            <w:pPr>
              <w:cnfStyle w:val="000000000000" w:firstRow="0" w:lastRow="0" w:firstColumn="0" w:lastColumn="0" w:oddVBand="0" w:evenVBand="0" w:oddHBand="0" w:evenHBand="0" w:firstRowFirstColumn="0" w:firstRowLastColumn="0" w:lastRowFirstColumn="0" w:lastRowLastColumn="0"/>
            </w:pPr>
            <w:r w:rsidRPr="001E41D4">
              <w:t xml:space="preserve">          31.0 </w:t>
            </w:r>
          </w:p>
        </w:tc>
        <w:tc>
          <w:tcPr>
            <w:tcW w:w="1242" w:type="dxa"/>
            <w:vAlign w:val="bottom"/>
          </w:tcPr>
          <w:p w:rsidR="001E41D4" w:rsidRPr="001E41D4" w:rsidRDefault="001E41D4">
            <w:pPr>
              <w:cnfStyle w:val="000000000000" w:firstRow="0" w:lastRow="0" w:firstColumn="0" w:lastColumn="0" w:oddVBand="0" w:evenVBand="0" w:oddHBand="0" w:evenHBand="0" w:firstRowFirstColumn="0" w:firstRowLastColumn="0" w:lastRowFirstColumn="0" w:lastRowLastColumn="0"/>
            </w:pPr>
            <w:r w:rsidRPr="001E41D4">
              <w:t xml:space="preserve">          31.7 </w:t>
            </w:r>
          </w:p>
        </w:tc>
      </w:tr>
      <w:tr w:rsidR="001E41D4" w:rsidTr="00F64D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rsidR="001E41D4" w:rsidRPr="001E41D4" w:rsidRDefault="001E41D4" w:rsidP="001E41D4">
            <w:r w:rsidRPr="001E41D4">
              <w:t>Tax</w:t>
            </w:r>
          </w:p>
        </w:tc>
        <w:tc>
          <w:tcPr>
            <w:tcW w:w="1122" w:type="dxa"/>
          </w:tcPr>
          <w:p w:rsidR="001E41D4" w:rsidRPr="001E41D4" w:rsidRDefault="001E41D4" w:rsidP="001E41D4">
            <w:pPr>
              <w:cnfStyle w:val="000000010000" w:firstRow="0" w:lastRow="0" w:firstColumn="0" w:lastColumn="0" w:oddVBand="0" w:evenVBand="0" w:oddHBand="0" w:evenHBand="1" w:firstRowFirstColumn="0" w:firstRowLastColumn="0" w:lastRowFirstColumn="0" w:lastRowLastColumn="0"/>
            </w:pPr>
          </w:p>
        </w:tc>
        <w:tc>
          <w:tcPr>
            <w:tcW w:w="1242" w:type="dxa"/>
            <w:vAlign w:val="bottom"/>
          </w:tcPr>
          <w:p w:rsidR="001E41D4" w:rsidRPr="001E41D4" w:rsidRDefault="001E41D4">
            <w:pPr>
              <w:cnfStyle w:val="000000010000" w:firstRow="0" w:lastRow="0" w:firstColumn="0" w:lastColumn="0" w:oddVBand="0" w:evenVBand="0" w:oddHBand="0" w:evenHBand="1" w:firstRowFirstColumn="0" w:firstRowLastColumn="0" w:lastRowFirstColumn="0" w:lastRowLastColumn="0"/>
            </w:pPr>
            <w:r w:rsidRPr="001E41D4">
              <w:t xml:space="preserve">               -   </w:t>
            </w:r>
          </w:p>
        </w:tc>
        <w:tc>
          <w:tcPr>
            <w:tcW w:w="1242" w:type="dxa"/>
            <w:vAlign w:val="bottom"/>
          </w:tcPr>
          <w:p w:rsidR="001E41D4" w:rsidRPr="001E41D4" w:rsidRDefault="001E41D4">
            <w:pPr>
              <w:cnfStyle w:val="000000010000" w:firstRow="0" w:lastRow="0" w:firstColumn="0" w:lastColumn="0" w:oddVBand="0" w:evenVBand="0" w:oddHBand="0" w:evenHBand="1" w:firstRowFirstColumn="0" w:firstRowLastColumn="0" w:lastRowFirstColumn="0" w:lastRowLastColumn="0"/>
            </w:pPr>
            <w:r w:rsidRPr="001E41D4">
              <w:t xml:space="preserve">               -   </w:t>
            </w:r>
          </w:p>
        </w:tc>
        <w:tc>
          <w:tcPr>
            <w:tcW w:w="1242" w:type="dxa"/>
            <w:vAlign w:val="bottom"/>
          </w:tcPr>
          <w:p w:rsidR="001E41D4" w:rsidRPr="001E41D4" w:rsidRDefault="001E41D4">
            <w:pPr>
              <w:cnfStyle w:val="000000010000" w:firstRow="0" w:lastRow="0" w:firstColumn="0" w:lastColumn="0" w:oddVBand="0" w:evenVBand="0" w:oddHBand="0" w:evenHBand="1" w:firstRowFirstColumn="0" w:firstRowLastColumn="0" w:lastRowFirstColumn="0" w:lastRowLastColumn="0"/>
            </w:pPr>
            <w:r w:rsidRPr="001E41D4">
              <w:t xml:space="preserve">               -   </w:t>
            </w:r>
          </w:p>
        </w:tc>
        <w:tc>
          <w:tcPr>
            <w:tcW w:w="1242" w:type="dxa"/>
            <w:vAlign w:val="bottom"/>
          </w:tcPr>
          <w:p w:rsidR="001E41D4" w:rsidRPr="001E41D4" w:rsidRDefault="001E41D4">
            <w:pPr>
              <w:cnfStyle w:val="000000010000" w:firstRow="0" w:lastRow="0" w:firstColumn="0" w:lastColumn="0" w:oddVBand="0" w:evenVBand="0" w:oddHBand="0" w:evenHBand="1" w:firstRowFirstColumn="0" w:firstRowLastColumn="0" w:lastRowFirstColumn="0" w:lastRowLastColumn="0"/>
            </w:pPr>
            <w:r w:rsidRPr="001E41D4">
              <w:t xml:space="preserve">               -   </w:t>
            </w:r>
          </w:p>
        </w:tc>
        <w:tc>
          <w:tcPr>
            <w:tcW w:w="1242" w:type="dxa"/>
            <w:vAlign w:val="bottom"/>
          </w:tcPr>
          <w:p w:rsidR="001E41D4" w:rsidRPr="001E41D4" w:rsidRDefault="001E41D4">
            <w:pPr>
              <w:cnfStyle w:val="000000010000" w:firstRow="0" w:lastRow="0" w:firstColumn="0" w:lastColumn="0" w:oddVBand="0" w:evenVBand="0" w:oddHBand="0" w:evenHBand="1" w:firstRowFirstColumn="0" w:firstRowLastColumn="0" w:lastRowFirstColumn="0" w:lastRowLastColumn="0"/>
            </w:pPr>
            <w:r w:rsidRPr="001E41D4">
              <w:t xml:space="preserve">               -   </w:t>
            </w:r>
          </w:p>
        </w:tc>
      </w:tr>
      <w:tr w:rsidR="001E41D4" w:rsidTr="00F64DEC">
        <w:tc>
          <w:tcPr>
            <w:cnfStyle w:val="001000000000" w:firstRow="0" w:lastRow="0" w:firstColumn="1" w:lastColumn="0" w:oddVBand="0" w:evenVBand="0" w:oddHBand="0" w:evenHBand="0" w:firstRowFirstColumn="0" w:firstRowLastColumn="0" w:lastRowFirstColumn="0" w:lastRowLastColumn="0"/>
            <w:tcW w:w="1361" w:type="dxa"/>
          </w:tcPr>
          <w:p w:rsidR="001E41D4" w:rsidRPr="001E41D4" w:rsidRDefault="001E41D4" w:rsidP="001E41D4">
            <w:r w:rsidRPr="001E41D4">
              <w:t>Unsmoothed revenue requirement</w:t>
            </w:r>
          </w:p>
        </w:tc>
        <w:tc>
          <w:tcPr>
            <w:tcW w:w="1122" w:type="dxa"/>
          </w:tcPr>
          <w:p w:rsidR="001E41D4" w:rsidRPr="001E41D4" w:rsidRDefault="001E41D4" w:rsidP="001E41D4">
            <w:pPr>
              <w:cnfStyle w:val="000000000000" w:firstRow="0" w:lastRow="0" w:firstColumn="0" w:lastColumn="0" w:oddVBand="0" w:evenVBand="0" w:oddHBand="0" w:evenHBand="0" w:firstRowFirstColumn="0" w:firstRowLastColumn="0" w:lastRowFirstColumn="0" w:lastRowLastColumn="0"/>
            </w:pPr>
          </w:p>
        </w:tc>
        <w:tc>
          <w:tcPr>
            <w:tcW w:w="1242" w:type="dxa"/>
            <w:vAlign w:val="bottom"/>
          </w:tcPr>
          <w:p w:rsidR="001E41D4" w:rsidRPr="001E41D4" w:rsidRDefault="001E41D4">
            <w:pPr>
              <w:cnfStyle w:val="000000000000" w:firstRow="0" w:lastRow="0" w:firstColumn="0" w:lastColumn="0" w:oddVBand="0" w:evenVBand="0" w:oddHBand="0" w:evenHBand="0" w:firstRowFirstColumn="0" w:firstRowLastColumn="0" w:lastRowFirstColumn="0" w:lastRowLastColumn="0"/>
            </w:pPr>
            <w:r w:rsidRPr="001E41D4">
              <w:t xml:space="preserve">          92.8 </w:t>
            </w:r>
          </w:p>
        </w:tc>
        <w:tc>
          <w:tcPr>
            <w:tcW w:w="1242" w:type="dxa"/>
            <w:vAlign w:val="bottom"/>
          </w:tcPr>
          <w:p w:rsidR="001E41D4" w:rsidRPr="001E41D4" w:rsidRDefault="001E41D4">
            <w:pPr>
              <w:cnfStyle w:val="000000000000" w:firstRow="0" w:lastRow="0" w:firstColumn="0" w:lastColumn="0" w:oddVBand="0" w:evenVBand="0" w:oddHBand="0" w:evenHBand="0" w:firstRowFirstColumn="0" w:firstRowLastColumn="0" w:lastRowFirstColumn="0" w:lastRowLastColumn="0"/>
            </w:pPr>
            <w:r w:rsidRPr="001E41D4">
              <w:t xml:space="preserve">          95.1 </w:t>
            </w:r>
          </w:p>
        </w:tc>
        <w:tc>
          <w:tcPr>
            <w:tcW w:w="1242" w:type="dxa"/>
            <w:vAlign w:val="bottom"/>
          </w:tcPr>
          <w:p w:rsidR="001E41D4" w:rsidRPr="001E41D4" w:rsidRDefault="001E41D4">
            <w:pPr>
              <w:cnfStyle w:val="000000000000" w:firstRow="0" w:lastRow="0" w:firstColumn="0" w:lastColumn="0" w:oddVBand="0" w:evenVBand="0" w:oddHBand="0" w:evenHBand="0" w:firstRowFirstColumn="0" w:firstRowLastColumn="0" w:lastRowFirstColumn="0" w:lastRowLastColumn="0"/>
            </w:pPr>
            <w:r w:rsidRPr="001E41D4">
              <w:t xml:space="preserve">          96.7 </w:t>
            </w:r>
          </w:p>
        </w:tc>
        <w:tc>
          <w:tcPr>
            <w:tcW w:w="1242" w:type="dxa"/>
            <w:vAlign w:val="bottom"/>
          </w:tcPr>
          <w:p w:rsidR="001E41D4" w:rsidRPr="001E41D4" w:rsidRDefault="001E41D4">
            <w:pPr>
              <w:cnfStyle w:val="000000000000" w:firstRow="0" w:lastRow="0" w:firstColumn="0" w:lastColumn="0" w:oddVBand="0" w:evenVBand="0" w:oddHBand="0" w:evenHBand="0" w:firstRowFirstColumn="0" w:firstRowLastColumn="0" w:lastRowFirstColumn="0" w:lastRowLastColumn="0"/>
            </w:pPr>
            <w:r w:rsidRPr="001E41D4">
              <w:t xml:space="preserve">          84.6 </w:t>
            </w:r>
          </w:p>
        </w:tc>
        <w:tc>
          <w:tcPr>
            <w:tcW w:w="1242" w:type="dxa"/>
            <w:vAlign w:val="bottom"/>
          </w:tcPr>
          <w:p w:rsidR="001E41D4" w:rsidRPr="001E41D4" w:rsidRDefault="001E41D4">
            <w:pPr>
              <w:cnfStyle w:val="000000000000" w:firstRow="0" w:lastRow="0" w:firstColumn="0" w:lastColumn="0" w:oddVBand="0" w:evenVBand="0" w:oddHBand="0" w:evenHBand="0" w:firstRowFirstColumn="0" w:firstRowLastColumn="0" w:lastRowFirstColumn="0" w:lastRowLastColumn="0"/>
            </w:pPr>
            <w:r w:rsidRPr="001E41D4">
              <w:t xml:space="preserve">          73.4 </w:t>
            </w:r>
          </w:p>
        </w:tc>
      </w:tr>
      <w:tr w:rsidR="001E41D4" w:rsidTr="00F64D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rsidR="001E41D4" w:rsidRPr="001E41D4" w:rsidRDefault="001E41D4" w:rsidP="001E41D4">
            <w:r w:rsidRPr="001E41D4">
              <w:t>X factor (%)</w:t>
            </w:r>
            <w:r w:rsidRPr="001E41D4">
              <w:rPr>
                <w:rStyle w:val="AERsuperscript"/>
              </w:rPr>
              <w:t>b</w:t>
            </w:r>
          </w:p>
        </w:tc>
        <w:tc>
          <w:tcPr>
            <w:tcW w:w="1122" w:type="dxa"/>
          </w:tcPr>
          <w:p w:rsidR="001E41D4" w:rsidRPr="001E41D4" w:rsidRDefault="001E41D4" w:rsidP="001E41D4">
            <w:pPr>
              <w:cnfStyle w:val="000000010000" w:firstRow="0" w:lastRow="0" w:firstColumn="0" w:lastColumn="0" w:oddVBand="0" w:evenVBand="0" w:oddHBand="0" w:evenHBand="1" w:firstRowFirstColumn="0" w:firstRowLastColumn="0" w:lastRowFirstColumn="0" w:lastRowLastColumn="0"/>
            </w:pPr>
          </w:p>
        </w:tc>
        <w:tc>
          <w:tcPr>
            <w:tcW w:w="1242" w:type="dxa"/>
            <w:vAlign w:val="bottom"/>
          </w:tcPr>
          <w:p w:rsidR="001E41D4" w:rsidRPr="001E41D4" w:rsidRDefault="001E41D4" w:rsidP="001E41D4">
            <w:pPr>
              <w:cnfStyle w:val="000000010000" w:firstRow="0" w:lastRow="0" w:firstColumn="0" w:lastColumn="0" w:oddVBand="0" w:evenVBand="0" w:oddHBand="0" w:evenHBand="1" w:firstRowFirstColumn="0" w:firstRowLastColumn="0" w:lastRowFirstColumn="0" w:lastRowLastColumn="0"/>
            </w:pPr>
            <w:r w:rsidRPr="001E41D4">
              <w:t>43.46</w:t>
            </w:r>
          </w:p>
        </w:tc>
        <w:tc>
          <w:tcPr>
            <w:tcW w:w="1242" w:type="dxa"/>
            <w:vAlign w:val="bottom"/>
          </w:tcPr>
          <w:p w:rsidR="001E41D4" w:rsidRPr="001E41D4" w:rsidRDefault="001E41D4" w:rsidP="001E41D4">
            <w:pPr>
              <w:cnfStyle w:val="000000010000" w:firstRow="0" w:lastRow="0" w:firstColumn="0" w:lastColumn="0" w:oddVBand="0" w:evenVBand="0" w:oddHBand="0" w:evenHBand="1" w:firstRowFirstColumn="0" w:firstRowLastColumn="0" w:lastRowFirstColumn="0" w:lastRowLastColumn="0"/>
            </w:pPr>
            <w:r w:rsidRPr="001E41D4">
              <w:t>4.54</w:t>
            </w:r>
          </w:p>
        </w:tc>
        <w:tc>
          <w:tcPr>
            <w:tcW w:w="1242" w:type="dxa"/>
            <w:vAlign w:val="bottom"/>
          </w:tcPr>
          <w:p w:rsidR="001E41D4" w:rsidRPr="001E41D4" w:rsidRDefault="001E41D4" w:rsidP="001E41D4">
            <w:pPr>
              <w:cnfStyle w:val="000000010000" w:firstRow="0" w:lastRow="0" w:firstColumn="0" w:lastColumn="0" w:oddVBand="0" w:evenVBand="0" w:oddHBand="0" w:evenHBand="1" w:firstRowFirstColumn="0" w:firstRowLastColumn="0" w:lastRowFirstColumn="0" w:lastRowLastColumn="0"/>
            </w:pPr>
            <w:r w:rsidRPr="001E41D4">
              <w:t>4.54</w:t>
            </w:r>
          </w:p>
        </w:tc>
        <w:tc>
          <w:tcPr>
            <w:tcW w:w="1242" w:type="dxa"/>
            <w:vAlign w:val="bottom"/>
          </w:tcPr>
          <w:p w:rsidR="001E41D4" w:rsidRPr="001E41D4" w:rsidRDefault="001E41D4" w:rsidP="001E41D4">
            <w:pPr>
              <w:cnfStyle w:val="000000010000" w:firstRow="0" w:lastRow="0" w:firstColumn="0" w:lastColumn="0" w:oddVBand="0" w:evenVBand="0" w:oddHBand="0" w:evenHBand="1" w:firstRowFirstColumn="0" w:firstRowLastColumn="0" w:lastRowFirstColumn="0" w:lastRowLastColumn="0"/>
            </w:pPr>
            <w:r w:rsidRPr="001E41D4">
              <w:t>4.54</w:t>
            </w:r>
          </w:p>
        </w:tc>
        <w:tc>
          <w:tcPr>
            <w:tcW w:w="1242" w:type="dxa"/>
            <w:vAlign w:val="bottom"/>
          </w:tcPr>
          <w:p w:rsidR="001E41D4" w:rsidRPr="001E41D4" w:rsidRDefault="001E41D4" w:rsidP="001E41D4">
            <w:pPr>
              <w:cnfStyle w:val="000000010000" w:firstRow="0" w:lastRow="0" w:firstColumn="0" w:lastColumn="0" w:oddVBand="0" w:evenVBand="0" w:oddHBand="0" w:evenHBand="1" w:firstRowFirstColumn="0" w:firstRowLastColumn="0" w:lastRowFirstColumn="0" w:lastRowLastColumn="0"/>
            </w:pPr>
            <w:r w:rsidRPr="001E41D4">
              <w:t>4.54</w:t>
            </w:r>
          </w:p>
        </w:tc>
      </w:tr>
      <w:tr w:rsidR="001E41D4" w:rsidTr="00F64DEC">
        <w:tc>
          <w:tcPr>
            <w:cnfStyle w:val="001000000000" w:firstRow="0" w:lastRow="0" w:firstColumn="1" w:lastColumn="0" w:oddVBand="0" w:evenVBand="0" w:oddHBand="0" w:evenHBand="0" w:firstRowFirstColumn="0" w:firstRowLastColumn="0" w:lastRowFirstColumn="0" w:lastRowLastColumn="0"/>
            <w:tcW w:w="1361" w:type="dxa"/>
          </w:tcPr>
          <w:p w:rsidR="001E41D4" w:rsidRPr="001E41D4" w:rsidRDefault="001E41D4" w:rsidP="001E41D4">
            <w:r w:rsidRPr="001E41D4">
              <w:t>Smoothed revenue requirement</w:t>
            </w:r>
          </w:p>
        </w:tc>
        <w:tc>
          <w:tcPr>
            <w:tcW w:w="1122" w:type="dxa"/>
            <w:vAlign w:val="bottom"/>
          </w:tcPr>
          <w:p w:rsidR="001E41D4" w:rsidRPr="001E41D4" w:rsidRDefault="001E41D4" w:rsidP="001E41D4">
            <w:pPr>
              <w:cnfStyle w:val="000000000000" w:firstRow="0" w:lastRow="0" w:firstColumn="0" w:lastColumn="0" w:oddVBand="0" w:evenVBand="0" w:oddHBand="0" w:evenHBand="0" w:firstRowFirstColumn="0" w:firstRowLastColumn="0" w:lastRowFirstColumn="0" w:lastRowLastColumn="0"/>
            </w:pPr>
            <w:r w:rsidRPr="001E41D4">
              <w:t xml:space="preserve">             160.0 </w:t>
            </w:r>
          </w:p>
        </w:tc>
        <w:tc>
          <w:tcPr>
            <w:tcW w:w="1242" w:type="dxa"/>
            <w:vAlign w:val="bottom"/>
          </w:tcPr>
          <w:p w:rsidR="001E41D4" w:rsidRPr="001E41D4" w:rsidRDefault="001E41D4">
            <w:pPr>
              <w:cnfStyle w:val="000000000000" w:firstRow="0" w:lastRow="0" w:firstColumn="0" w:lastColumn="0" w:oddVBand="0" w:evenVBand="0" w:oddHBand="0" w:evenHBand="0" w:firstRowFirstColumn="0" w:firstRowLastColumn="0" w:lastRowFirstColumn="0" w:lastRowLastColumn="0"/>
            </w:pPr>
            <w:r w:rsidRPr="001E41D4">
              <w:t xml:space="preserve">          92.8 </w:t>
            </w:r>
          </w:p>
        </w:tc>
        <w:tc>
          <w:tcPr>
            <w:tcW w:w="1242" w:type="dxa"/>
            <w:vAlign w:val="bottom"/>
          </w:tcPr>
          <w:p w:rsidR="001E41D4" w:rsidRPr="001E41D4" w:rsidRDefault="001E41D4">
            <w:pPr>
              <w:cnfStyle w:val="000000000000" w:firstRow="0" w:lastRow="0" w:firstColumn="0" w:lastColumn="0" w:oddVBand="0" w:evenVBand="0" w:oddHBand="0" w:evenHBand="0" w:firstRowFirstColumn="0" w:firstRowLastColumn="0" w:lastRowFirstColumn="0" w:lastRowLastColumn="0"/>
            </w:pPr>
            <w:r w:rsidRPr="001E41D4">
              <w:t xml:space="preserve">          90.8 </w:t>
            </w:r>
          </w:p>
        </w:tc>
        <w:tc>
          <w:tcPr>
            <w:tcW w:w="1242" w:type="dxa"/>
            <w:vAlign w:val="bottom"/>
          </w:tcPr>
          <w:p w:rsidR="001E41D4" w:rsidRPr="001E41D4" w:rsidRDefault="001E41D4">
            <w:pPr>
              <w:cnfStyle w:val="000000000000" w:firstRow="0" w:lastRow="0" w:firstColumn="0" w:lastColumn="0" w:oddVBand="0" w:evenVBand="0" w:oddHBand="0" w:evenHBand="0" w:firstRowFirstColumn="0" w:firstRowLastColumn="0" w:lastRowFirstColumn="0" w:lastRowLastColumn="0"/>
            </w:pPr>
            <w:r w:rsidRPr="001E41D4">
              <w:t xml:space="preserve">          88.8 </w:t>
            </w:r>
          </w:p>
        </w:tc>
        <w:tc>
          <w:tcPr>
            <w:tcW w:w="1242" w:type="dxa"/>
            <w:vAlign w:val="bottom"/>
          </w:tcPr>
          <w:p w:rsidR="001E41D4" w:rsidRPr="001E41D4" w:rsidRDefault="001E41D4">
            <w:pPr>
              <w:cnfStyle w:val="000000000000" w:firstRow="0" w:lastRow="0" w:firstColumn="0" w:lastColumn="0" w:oddVBand="0" w:evenVBand="0" w:oddHBand="0" w:evenHBand="0" w:firstRowFirstColumn="0" w:firstRowLastColumn="0" w:lastRowFirstColumn="0" w:lastRowLastColumn="0"/>
            </w:pPr>
            <w:r w:rsidRPr="001E41D4">
              <w:t xml:space="preserve">          86.9 </w:t>
            </w:r>
          </w:p>
        </w:tc>
        <w:tc>
          <w:tcPr>
            <w:tcW w:w="1242" w:type="dxa"/>
            <w:vAlign w:val="bottom"/>
          </w:tcPr>
          <w:p w:rsidR="001E41D4" w:rsidRPr="001E41D4" w:rsidRDefault="001E41D4">
            <w:pPr>
              <w:cnfStyle w:val="000000000000" w:firstRow="0" w:lastRow="0" w:firstColumn="0" w:lastColumn="0" w:oddVBand="0" w:evenVBand="0" w:oddHBand="0" w:evenHBand="0" w:firstRowFirstColumn="0" w:firstRowLastColumn="0" w:lastRowFirstColumn="0" w:lastRowLastColumn="0"/>
            </w:pPr>
            <w:r w:rsidRPr="001E41D4">
              <w:t xml:space="preserve">          85.0 </w:t>
            </w:r>
          </w:p>
        </w:tc>
      </w:tr>
    </w:tbl>
    <w:p w:rsidR="00F64DEC" w:rsidRDefault="00F64DEC" w:rsidP="00F64DEC">
      <w:pPr>
        <w:pStyle w:val="AERtablesource"/>
      </w:pPr>
      <w:r w:rsidRPr="006F5FBE">
        <w:t>Source:</w:t>
      </w:r>
      <w:r w:rsidRPr="006F5FBE">
        <w:tab/>
      </w:r>
      <w:r>
        <w:t>AER analysis</w:t>
      </w:r>
      <w:r w:rsidR="00894019">
        <w:t>.</w:t>
      </w:r>
    </w:p>
    <w:p w:rsidR="00F64DEC" w:rsidRPr="00E74114" w:rsidRDefault="00F64DEC" w:rsidP="00F64DEC">
      <w:pPr>
        <w:pStyle w:val="AERtablesource"/>
      </w:pPr>
      <w:r w:rsidRPr="00E74114">
        <w:t xml:space="preserve"> (a)</w:t>
      </w:r>
      <w:r w:rsidRPr="00E74114">
        <w:tab/>
        <w:t>Operating expenditure includes debt raising costs.</w:t>
      </w:r>
    </w:p>
    <w:p w:rsidR="00F64DEC" w:rsidRDefault="00F64DEC" w:rsidP="00F64DEC">
      <w:pPr>
        <w:pStyle w:val="AERtablesource"/>
      </w:pPr>
      <w:r w:rsidRPr="00E74114">
        <w:t xml:space="preserve"> (</w:t>
      </w:r>
      <w:r>
        <w:t>b</w:t>
      </w:r>
      <w:r w:rsidRPr="00E74114">
        <w:t>)</w:t>
      </w:r>
      <w:r w:rsidRPr="00E74114">
        <w:tab/>
        <w:t>The X factor from 2017 to 2020 will be revised to reflect the annual return on debt update. Under the CPI–X framework, the X factor measures the real rate of change in annual expected revenue from one year to the next. A negative X factor represents a real increase in revenue. Conversely, a positive X factor represents a real decrease in revenue.</w:t>
      </w:r>
    </w:p>
    <w:p w:rsidR="00F64DEC" w:rsidRDefault="00F64DEC" w:rsidP="00F64DEC">
      <w:r>
        <w:t>Our preliminary decision on the approved revenue requirement will result in metering prices decreasing over the 2016</w:t>
      </w:r>
      <w:r w:rsidR="009403E7">
        <w:t>–</w:t>
      </w:r>
      <w:r>
        <w:t xml:space="preserve">20 regulatory control period. As metering services is subject to a revenue cap, we have not set prices in this preliminary decision. Actual metering prices will be approved during the annual pricing process. </w:t>
      </w:r>
    </w:p>
    <w:p w:rsidR="00894019" w:rsidRDefault="00F64DEC" w:rsidP="001C6565">
      <w:pPr>
        <w:rPr>
          <w:rFonts w:eastAsiaTheme="majorEastAsia" w:cstheme="majorBidi"/>
          <w:b/>
          <w:bCs/>
          <w:iCs/>
          <w:color w:val="51626F"/>
          <w:sz w:val="24"/>
        </w:rPr>
      </w:pPr>
      <w:r>
        <w:t xml:space="preserve">Broadly, however, we expect the price path to follow the X factors included in the table above. That is, a large decrease in 2016 followed by more modest decreases in the following years of the regulatory </w:t>
      </w:r>
      <w:r w:rsidR="00DF33B3">
        <w:t xml:space="preserve">control </w:t>
      </w:r>
      <w:r>
        <w:t xml:space="preserve">period. </w:t>
      </w:r>
      <w:r w:rsidR="00894019">
        <w:br w:type="page"/>
      </w:r>
    </w:p>
    <w:p w:rsidR="00FB54C5" w:rsidRDefault="00FB54C5" w:rsidP="00FB54C5">
      <w:pPr>
        <w:pStyle w:val="Heading4"/>
      </w:pPr>
      <w:r>
        <w:t>Form of control for annual metering charges</w:t>
      </w:r>
    </w:p>
    <w:p w:rsidR="00FB54C5" w:rsidRPr="00FB54C5" w:rsidRDefault="00FB54C5" w:rsidP="00FB54C5">
      <w:r w:rsidRPr="00FB54C5">
        <w:t>Our preliminary decision applies a revenue cap form of control to annual metering charges.</w:t>
      </w:r>
      <w:r w:rsidRPr="00FB54C5">
        <w:rPr>
          <w:rStyle w:val="FootnoteReference"/>
        </w:rPr>
        <w:footnoteReference w:id="43"/>
      </w:r>
      <w:r w:rsidRPr="00FB54C5">
        <w:t xml:space="preserve"> Under this form of control, annual metering charges revenues are capped for each year of the 2016–20 regulatory control </w:t>
      </w:r>
      <w:proofErr w:type="gramStart"/>
      <w:r w:rsidRPr="00FB54C5">
        <w:t>period</w:t>
      </w:r>
      <w:proofErr w:type="gramEnd"/>
      <w:r w:rsidRPr="00FB54C5">
        <w:t xml:space="preserve">. </w:t>
      </w:r>
      <w:r>
        <w:fldChar w:fldCharType="begin"/>
      </w:r>
      <w:r>
        <w:instrText xml:space="preserve"> REF _Ref433110287 \h </w:instrText>
      </w:r>
      <w:r>
        <w:fldChar w:fldCharType="separate"/>
      </w:r>
      <w:r w:rsidR="009E0EFD">
        <w:t xml:space="preserve">Figure </w:t>
      </w:r>
      <w:r w:rsidR="009E0EFD">
        <w:rPr>
          <w:noProof/>
        </w:rPr>
        <w:t>16</w:t>
      </w:r>
      <w:r w:rsidR="009E0EFD">
        <w:t>.</w:t>
      </w:r>
      <w:r w:rsidR="009E0EFD">
        <w:rPr>
          <w:noProof/>
        </w:rPr>
        <w:t>3</w:t>
      </w:r>
      <w:r>
        <w:fldChar w:fldCharType="end"/>
      </w:r>
      <w:r w:rsidRPr="00FB54C5">
        <w:t xml:space="preserve"> contains the annual metering charges revenue cap formula.</w:t>
      </w:r>
    </w:p>
    <w:p w:rsidR="00FB54C5" w:rsidRPr="00FB54C5" w:rsidRDefault="00FB54C5" w:rsidP="00FB54C5">
      <w:r w:rsidRPr="00FB54C5">
        <w:t xml:space="preserve">Under a revenue cap, </w:t>
      </w:r>
      <w:r>
        <w:t>AusNet Services</w:t>
      </w:r>
      <w:r w:rsidRPr="00FB54C5">
        <w:t>’ annual metering charges revenue will be adjusted annually to clear (or true</w:t>
      </w:r>
      <w:r w:rsidRPr="00FB54C5">
        <w:noBreakHyphen/>
        <w:t>up) any under or over recovery of actual revenue collected. With these arrangements, there is a two year lag between the year in which the under or over recovery of revenue occurs and the year in which adjustments are made to ‘clear’ the under or over recovery. To account for this lag our method includes net present value adjustments. These adjustments are calculated in the unders and over account detailed in appendix</w:t>
      </w:r>
      <w:r>
        <w:t xml:space="preserve"> </w:t>
      </w:r>
      <w:r>
        <w:fldChar w:fldCharType="begin"/>
      </w:r>
      <w:r>
        <w:instrText xml:space="preserve"> REF _Ref433110209 \r \h </w:instrText>
      </w:r>
      <w:r>
        <w:fldChar w:fldCharType="separate"/>
      </w:r>
      <w:r w:rsidR="009E0EFD">
        <w:t>C</w:t>
      </w:r>
      <w:r>
        <w:fldChar w:fldCharType="end"/>
      </w:r>
      <w:r>
        <w:t xml:space="preserve"> </w:t>
      </w:r>
      <w:r w:rsidRPr="00FB54C5">
        <w:t>and applied to the forthcoming annual metering charges revenue through the B factor detailed in</w:t>
      </w:r>
      <w:r>
        <w:t xml:space="preserve"> </w:t>
      </w:r>
      <w:r>
        <w:fldChar w:fldCharType="begin"/>
      </w:r>
      <w:r>
        <w:instrText xml:space="preserve"> REF  _Ref433110287 \* Lower \h </w:instrText>
      </w:r>
      <w:r>
        <w:fldChar w:fldCharType="separate"/>
      </w:r>
      <w:r w:rsidR="009E0EFD">
        <w:t xml:space="preserve">figure </w:t>
      </w:r>
      <w:r w:rsidR="009E0EFD">
        <w:rPr>
          <w:noProof/>
        </w:rPr>
        <w:t>16</w:t>
      </w:r>
      <w:r w:rsidR="009E0EFD">
        <w:t>.</w:t>
      </w:r>
      <w:r w:rsidR="009E0EFD">
        <w:rPr>
          <w:noProof/>
        </w:rPr>
        <w:t>3</w:t>
      </w:r>
      <w:r>
        <w:fldChar w:fldCharType="end"/>
      </w:r>
      <w:r w:rsidRPr="00FB54C5">
        <w:t>.</w:t>
      </w:r>
    </w:p>
    <w:p w:rsidR="00FB54C5" w:rsidRPr="00FB54C5" w:rsidRDefault="00FB54C5" w:rsidP="00FB54C5">
      <w:r w:rsidRPr="00FB54C5">
        <w:t>Our final F&amp;A stated the revenue cap for any given regulatory year is the maximum allowable revenue for annual metering charges. However, we consider the use of maximum allowable revenue might be confused with maximum allowed revenue which is a defined term in the NER relating to transmission services. To avoid confusion, this preliminary decision uses 'total annual revenue for metering' (or TARM) for clarity.</w:t>
      </w:r>
    </w:p>
    <w:p w:rsidR="00FB54C5" w:rsidRDefault="00FB54C5" w:rsidP="00FB54C5">
      <w:r w:rsidRPr="00FB54C5">
        <w:t>For each year after the first year of a regulatory control period, side constraints will apply. Consistent with the application of side constraints for standard control services, the permissible percentage increase will be the greater of CPI–X plus 2 per cent or CPI plus 2 per cent. The side constraint formula is set out in</w:t>
      </w:r>
      <w:r>
        <w:t xml:space="preserve"> </w:t>
      </w:r>
      <w:r>
        <w:fldChar w:fldCharType="begin"/>
      </w:r>
      <w:r>
        <w:instrText xml:space="preserve"> REF  _Ref433110421 \* Lower \h </w:instrText>
      </w:r>
      <w:r>
        <w:fldChar w:fldCharType="separate"/>
      </w:r>
      <w:r w:rsidR="009E0EFD">
        <w:t xml:space="preserve">figure </w:t>
      </w:r>
      <w:r w:rsidR="009E0EFD">
        <w:rPr>
          <w:noProof/>
        </w:rPr>
        <w:t>16</w:t>
      </w:r>
      <w:r w:rsidR="009E0EFD">
        <w:t>.</w:t>
      </w:r>
      <w:r w:rsidR="009E0EFD">
        <w:rPr>
          <w:noProof/>
        </w:rPr>
        <w:t>4</w:t>
      </w:r>
      <w:r>
        <w:fldChar w:fldCharType="end"/>
      </w:r>
      <w:r w:rsidRPr="00FB54C5">
        <w:t>.</w:t>
      </w:r>
    </w:p>
    <w:p w:rsidR="00FB54C5" w:rsidRDefault="00FB54C5" w:rsidP="00FB54C5">
      <w:pPr>
        <w:pStyle w:val="Caption"/>
      </w:pPr>
      <w:bookmarkStart w:id="49" w:name="_Ref433110287"/>
      <w:bookmarkStart w:id="50" w:name="_Ref433110388"/>
      <w:proofErr w:type="gramStart"/>
      <w:r>
        <w:t xml:space="preserve">Figure </w:t>
      </w:r>
      <w:proofErr w:type="gramEnd"/>
      <w:r w:rsidR="00E40187">
        <w:fldChar w:fldCharType="begin"/>
      </w:r>
      <w:r w:rsidR="00E40187">
        <w:instrText xml:space="preserve"> STYLEREF 1 \s </w:instrText>
      </w:r>
      <w:r w:rsidR="00E40187">
        <w:fldChar w:fldCharType="separate"/>
      </w:r>
      <w:r w:rsidR="009E0EFD">
        <w:rPr>
          <w:noProof/>
        </w:rPr>
        <w:t>16</w:t>
      </w:r>
      <w:r w:rsidR="00E40187">
        <w:rPr>
          <w:noProof/>
        </w:rPr>
        <w:fldChar w:fldCharType="end"/>
      </w:r>
      <w:proofErr w:type="gramStart"/>
      <w:r>
        <w:t>.</w:t>
      </w:r>
      <w:proofErr w:type="gramEnd"/>
      <w:r w:rsidR="00E40187">
        <w:fldChar w:fldCharType="begin"/>
      </w:r>
      <w:r w:rsidR="00E40187">
        <w:instrText xml:space="preserve"> SEQ Figure \* ARABIC \s 1 </w:instrText>
      </w:r>
      <w:r w:rsidR="00E40187">
        <w:fldChar w:fldCharType="separate"/>
      </w:r>
      <w:r w:rsidR="009E0EFD">
        <w:rPr>
          <w:noProof/>
        </w:rPr>
        <w:t>3</w:t>
      </w:r>
      <w:r w:rsidR="00E40187">
        <w:rPr>
          <w:noProof/>
        </w:rPr>
        <w:fldChar w:fldCharType="end"/>
      </w:r>
      <w:bookmarkEnd w:id="49"/>
      <w:r>
        <w:t xml:space="preserve"> Annual metering charges revenue cap formula</w:t>
      </w:r>
      <w:bookmarkEnd w:id="50"/>
    </w:p>
    <w:p w:rsidR="00FB54C5" w:rsidRPr="00FB54C5" w:rsidRDefault="00FB54C5" w:rsidP="00FB54C5">
      <w:pPr>
        <w:pStyle w:val="ListNumber"/>
      </w:pPr>
      <w:r w:rsidRPr="00FB54C5">
        <w:rPr>
          <w:position w:val="-30"/>
        </w:rPr>
        <w:object w:dxaOrig="2200" w:dyaOrig="700">
          <v:shape id="_x0000_i1033" type="#_x0000_t75" style="width:111.35pt;height:38.5pt" o:ole="">
            <v:imagedata r:id="rId28" o:title=""/>
          </v:shape>
          <o:OLEObject Type="Embed" ProgID="Equation.3" ShapeID="_x0000_i1033" DrawAspect="Content" ObjectID="_1507446644" r:id="rId29"/>
        </w:object>
      </w:r>
      <w:r w:rsidRPr="00FB54C5">
        <w:tab/>
      </w:r>
      <w:r w:rsidRPr="00FB54C5">
        <w:tab/>
      </w:r>
      <w:r w:rsidRPr="00FB54C5">
        <w:tab/>
      </w:r>
      <w:r w:rsidRPr="00FB54C5">
        <w:tab/>
      </w:r>
      <w:r w:rsidRPr="00FB54C5">
        <w:tab/>
      </w:r>
      <w:r w:rsidRPr="00FB54C5">
        <w:tab/>
      </w:r>
      <w:r w:rsidRPr="00FB54C5">
        <w:tab/>
      </w:r>
      <w:r w:rsidRPr="00FB54C5">
        <w:tab/>
        <w:t>i=1,..,n and j=1,..,m and t=1,..,5</w:t>
      </w:r>
    </w:p>
    <w:p w:rsidR="00FB54C5" w:rsidRPr="00FB54C5" w:rsidRDefault="00FB54C5" w:rsidP="00FB54C5">
      <w:pPr>
        <w:pStyle w:val="ListNumber"/>
      </w:pPr>
      <w:r w:rsidRPr="00FB54C5">
        <w:rPr>
          <w:position w:val="-12"/>
        </w:rPr>
        <w:object w:dxaOrig="2240" w:dyaOrig="360">
          <v:shape id="_x0000_i1034" type="#_x0000_t75" style="width:112.2pt;height:18.4pt" o:ole="">
            <v:imagedata r:id="rId30" o:title=""/>
          </v:shape>
          <o:OLEObject Type="Embed" ProgID="Equation.3" ShapeID="_x0000_i1034" DrawAspect="Content" ObjectID="_1507446645" r:id="rId31"/>
        </w:object>
      </w:r>
      <w:r w:rsidRPr="00FB54C5">
        <w:tab/>
      </w:r>
      <w:r w:rsidRPr="00FB54C5">
        <w:tab/>
      </w:r>
      <w:r w:rsidRPr="00FB54C5">
        <w:tab/>
      </w:r>
      <w:r w:rsidRPr="00FB54C5">
        <w:tab/>
      </w:r>
      <w:r w:rsidRPr="00FB54C5">
        <w:tab/>
      </w:r>
      <w:r w:rsidRPr="00FB54C5">
        <w:tab/>
      </w:r>
      <w:r w:rsidRPr="00FB54C5">
        <w:tab/>
      </w:r>
      <w:r w:rsidRPr="00FB54C5">
        <w:tab/>
        <w:t>t = 1,2,…,5</w:t>
      </w:r>
    </w:p>
    <w:p w:rsidR="00FB54C5" w:rsidRPr="00FB54C5" w:rsidRDefault="00FB54C5" w:rsidP="00FB54C5">
      <w:pPr>
        <w:pStyle w:val="ListNumber"/>
      </w:pPr>
      <w:r w:rsidRPr="00FB54C5">
        <w:rPr>
          <w:position w:val="-12"/>
        </w:rPr>
        <w:object w:dxaOrig="3019" w:dyaOrig="360">
          <v:shape id="_x0000_i1035" type="#_x0000_t75" style="width:150.7pt;height:18.4pt" o:ole="">
            <v:imagedata r:id="rId32" o:title=""/>
          </v:shape>
          <o:OLEObject Type="Embed" ProgID="Equation.3" ShapeID="_x0000_i1035" DrawAspect="Content" ObjectID="_1507446646" r:id="rId33"/>
        </w:object>
      </w:r>
      <w:r w:rsidRPr="00FB54C5">
        <w:tab/>
      </w:r>
      <w:r w:rsidRPr="00FB54C5">
        <w:tab/>
      </w:r>
      <w:r w:rsidRPr="00FB54C5">
        <w:tab/>
      </w:r>
      <w:r w:rsidRPr="00FB54C5">
        <w:tab/>
      </w:r>
      <w:r w:rsidRPr="00FB54C5">
        <w:tab/>
        <w:t>t = 1,2,…,5</w:t>
      </w:r>
    </w:p>
    <w:p w:rsidR="00FB54C5" w:rsidRPr="00FB54C5" w:rsidRDefault="00FB54C5" w:rsidP="00FB54C5">
      <w:proofErr w:type="gramStart"/>
      <w:r w:rsidRPr="00FB54C5">
        <w:t>where</w:t>
      </w:r>
      <w:proofErr w:type="gramEnd"/>
      <w:r w:rsidRPr="00FB54C5">
        <w:t>;</w:t>
      </w:r>
    </w:p>
    <w:p w:rsidR="00FB54C5" w:rsidRPr="00FB54C5" w:rsidRDefault="00FB54C5" w:rsidP="00FB54C5">
      <w:r w:rsidRPr="00FB54C5">
        <w:object w:dxaOrig="780" w:dyaOrig="360">
          <v:shape id="_x0000_i1036" type="#_x0000_t75" style="width:41pt;height:18.4pt" o:ole="">
            <v:imagedata r:id="rId34" o:title=""/>
          </v:shape>
          <o:OLEObject Type="Embed" ProgID="Equation.3" ShapeID="_x0000_i1036" DrawAspect="Content" ObjectID="_1507446647" r:id="rId35"/>
        </w:object>
      </w:r>
      <w:r w:rsidRPr="00FB54C5">
        <w:t xml:space="preserve"> </w:t>
      </w:r>
      <w:r w:rsidRPr="00FB54C5">
        <w:tab/>
      </w:r>
      <w:proofErr w:type="gramStart"/>
      <w:r w:rsidRPr="00FB54C5">
        <w:t>is</w:t>
      </w:r>
      <w:proofErr w:type="gramEnd"/>
      <w:r w:rsidRPr="00FB54C5">
        <w:t xml:space="preserve"> the total annual revenue for annual metering charges in year t.</w:t>
      </w:r>
    </w:p>
    <w:p w:rsidR="00FB54C5" w:rsidRPr="00FB54C5" w:rsidRDefault="00FB54C5" w:rsidP="00FB54C5">
      <w:r w:rsidRPr="00FB54C5">
        <w:object w:dxaOrig="340" w:dyaOrig="380">
          <v:shape id="_x0000_i1037" type="#_x0000_t75" style="width:15.9pt;height:18.4pt" o:ole="">
            <v:imagedata r:id="rId36" o:title=""/>
          </v:shape>
          <o:OLEObject Type="Embed" ProgID="Equation.3" ShapeID="_x0000_i1037" DrawAspect="Content" ObjectID="_1507446648" r:id="rId37"/>
        </w:object>
      </w:r>
      <w:r w:rsidRPr="00FB54C5">
        <w:tab/>
      </w:r>
      <w:r w:rsidRPr="00FB54C5">
        <w:tab/>
      </w:r>
      <w:r w:rsidRPr="00FB54C5">
        <w:tab/>
      </w:r>
      <w:proofErr w:type="gramStart"/>
      <w:r w:rsidRPr="00FB54C5">
        <w:t>is</w:t>
      </w:r>
      <w:proofErr w:type="gramEnd"/>
      <w:r w:rsidRPr="00FB54C5">
        <w:t xml:space="preserve"> the price of component 'j' of metering service 'i' in year t.</w:t>
      </w:r>
    </w:p>
    <w:p w:rsidR="00FB54C5" w:rsidRPr="00FB54C5" w:rsidRDefault="00FB54C5" w:rsidP="00FB54C5">
      <w:r w:rsidRPr="00FB54C5">
        <w:object w:dxaOrig="300" w:dyaOrig="380">
          <v:shape id="_x0000_i1038" type="#_x0000_t75" style="width:15.05pt;height:18.4pt" o:ole="">
            <v:imagedata r:id="rId38" o:title=""/>
          </v:shape>
          <o:OLEObject Type="Embed" ProgID="Equation.3" ShapeID="_x0000_i1038" DrawAspect="Content" ObjectID="_1507446649" r:id="rId39"/>
        </w:object>
      </w:r>
      <w:r w:rsidRPr="00FB54C5">
        <w:tab/>
      </w:r>
      <w:r w:rsidRPr="00FB54C5">
        <w:tab/>
      </w:r>
      <w:r w:rsidRPr="00FB54C5">
        <w:tab/>
      </w:r>
      <w:proofErr w:type="gramStart"/>
      <w:r w:rsidRPr="00FB54C5">
        <w:t>is</w:t>
      </w:r>
      <w:proofErr w:type="gramEnd"/>
      <w:r w:rsidRPr="00FB54C5">
        <w:t xml:space="preserve"> the forecast quantity of component 'j' of metering service 'i' in year t.</w:t>
      </w:r>
    </w:p>
    <w:p w:rsidR="00FB54C5" w:rsidRPr="00FB54C5" w:rsidRDefault="00FB54C5" w:rsidP="00FB54C5">
      <w:r w:rsidRPr="00FB54C5">
        <w:object w:dxaOrig="480" w:dyaOrig="380">
          <v:shape id="_x0000_i1039" type="#_x0000_t75" style="width:24.3pt;height:20.1pt" o:ole="">
            <v:imagedata r:id="rId40" o:title=""/>
          </v:shape>
          <o:OLEObject Type="Embed" ProgID="Equation.3" ShapeID="_x0000_i1039" DrawAspect="Content" ObjectID="_1507446650" r:id="rId41"/>
        </w:object>
      </w:r>
      <w:r w:rsidRPr="00FB54C5">
        <w:tab/>
      </w:r>
      <w:r w:rsidRPr="00FB54C5">
        <w:tab/>
      </w:r>
      <w:proofErr w:type="gramStart"/>
      <w:r w:rsidRPr="00FB54C5">
        <w:t>is</w:t>
      </w:r>
      <w:proofErr w:type="gramEnd"/>
      <w:r w:rsidRPr="00FB54C5">
        <w:t xml:space="preserve"> the annual revenue requirement for year t. When year t is the first year of the 2016–20 regulatory control </w:t>
      </w:r>
      <w:proofErr w:type="gramStart"/>
      <w:r w:rsidRPr="00FB54C5">
        <w:t>period</w:t>
      </w:r>
      <w:proofErr w:type="gramEnd"/>
      <w:r w:rsidRPr="00FB54C5">
        <w:t xml:space="preserve">, </w:t>
      </w:r>
      <w:r w:rsidRPr="00FB54C5">
        <w:rPr>
          <w:position w:val="-12"/>
        </w:rPr>
        <w:object w:dxaOrig="480" w:dyaOrig="380">
          <v:shape id="_x0000_i1040" type="#_x0000_t75" style="width:24.3pt;height:20.1pt" o:ole="">
            <v:imagedata r:id="rId42" o:title=""/>
          </v:shape>
          <o:OLEObject Type="Embed" ProgID="Equation.3" ShapeID="_x0000_i1040" DrawAspect="Content" ObjectID="_1507446651" r:id="rId43"/>
        </w:object>
      </w:r>
      <w:r w:rsidRPr="00FB54C5">
        <w:t xml:space="preserve"> is the annual revenue requirement in the annual metering charges Post Tax Revenue Model (PTRM) for year t.</w:t>
      </w:r>
    </w:p>
    <w:p w:rsidR="00FB54C5" w:rsidRPr="00FB54C5" w:rsidRDefault="00FB54C5" w:rsidP="00FB54C5">
      <w:r w:rsidRPr="00FB54C5">
        <w:object w:dxaOrig="240" w:dyaOrig="360">
          <v:shape id="_x0000_i1041" type="#_x0000_t75" style="width:12.55pt;height:18.4pt" o:ole="">
            <v:imagedata r:id="rId44" o:title=""/>
          </v:shape>
          <o:OLEObject Type="Embed" ProgID="Equation.3" ShapeID="_x0000_i1041" DrawAspect="Content" ObjectID="_1507446652" r:id="rId45"/>
        </w:object>
      </w:r>
      <w:r w:rsidRPr="00FB54C5">
        <w:tab/>
      </w:r>
      <w:r w:rsidRPr="00FB54C5">
        <w:tab/>
      </w:r>
      <w:r w:rsidRPr="00FB54C5">
        <w:tab/>
      </w:r>
      <w:proofErr w:type="gramStart"/>
      <w:r w:rsidRPr="00FB54C5">
        <w:t>is</w:t>
      </w:r>
      <w:proofErr w:type="gramEnd"/>
      <w:r w:rsidRPr="00FB54C5">
        <w:t xml:space="preserve"> equal to zero for all years except 2017 and is a once off adjustment to 2017 charges for the unders and overs recoveries relating to Advanced Metering Infrastructure actual revenues and actual costs incurred in 2014 and 2015.</w:t>
      </w:r>
    </w:p>
    <w:p w:rsidR="00FB54C5" w:rsidRPr="00FB54C5" w:rsidRDefault="00FB54C5" w:rsidP="00FB54C5">
      <w:r w:rsidRPr="00FB54C5">
        <w:rPr>
          <w:position w:val="-12"/>
        </w:rPr>
        <w:object w:dxaOrig="279" w:dyaOrig="360">
          <v:shape id="_x0000_i1042" type="#_x0000_t75" style="width:14.25pt;height:18.4pt" o:ole="">
            <v:imagedata r:id="rId46" o:title=""/>
          </v:shape>
          <o:OLEObject Type="Embed" ProgID="Equation.3" ShapeID="_x0000_i1042" DrawAspect="Content" ObjectID="_1507446653" r:id="rId47"/>
        </w:object>
      </w:r>
      <w:r w:rsidRPr="00FB54C5">
        <w:tab/>
      </w:r>
      <w:r w:rsidRPr="00FB54C5">
        <w:tab/>
      </w:r>
      <w:r w:rsidRPr="00FB54C5">
        <w:tab/>
      </w:r>
      <w:proofErr w:type="gramStart"/>
      <w:r w:rsidRPr="00FB54C5">
        <w:t>is</w:t>
      </w:r>
      <w:proofErr w:type="gramEnd"/>
      <w:r w:rsidRPr="00FB54C5">
        <w:t xml:space="preserve"> the sum of annual adjustment factors in year t as calculated in the unders and overs account in appendix</w:t>
      </w:r>
      <w:r>
        <w:t xml:space="preserve"> </w:t>
      </w:r>
      <w:r>
        <w:fldChar w:fldCharType="begin"/>
      </w:r>
      <w:r>
        <w:instrText xml:space="preserve"> REF _Ref433110209 \r \h </w:instrText>
      </w:r>
      <w:r>
        <w:fldChar w:fldCharType="separate"/>
      </w:r>
      <w:r w:rsidR="009E0EFD">
        <w:t>C</w:t>
      </w:r>
      <w:r>
        <w:fldChar w:fldCharType="end"/>
      </w:r>
      <w:r w:rsidRPr="00FB54C5">
        <w:t>.</w:t>
      </w:r>
    </w:p>
    <w:p w:rsidR="00FB54C5" w:rsidRPr="00FB54C5" w:rsidRDefault="00FB54C5" w:rsidP="00FB54C5">
      <w:r w:rsidRPr="00FB54C5">
        <w:rPr>
          <w:position w:val="-12"/>
        </w:rPr>
        <w:object w:dxaOrig="560" w:dyaOrig="380">
          <v:shape id="_x0000_i1043" type="#_x0000_t75" style="width:26.8pt;height:20.1pt" o:ole="">
            <v:imagedata r:id="rId48" o:title=""/>
          </v:shape>
          <o:OLEObject Type="Embed" ProgID="Equation.3" ShapeID="_x0000_i1043" DrawAspect="Content" ObjectID="_1507446654" r:id="rId49"/>
        </w:object>
      </w:r>
      <w:r w:rsidRPr="00FB54C5">
        <w:tab/>
      </w:r>
      <w:r w:rsidRPr="00FB54C5">
        <w:tab/>
      </w:r>
      <w:proofErr w:type="gramStart"/>
      <w:r w:rsidRPr="00FB54C5">
        <w:t>is</w:t>
      </w:r>
      <w:proofErr w:type="gramEnd"/>
      <w:r w:rsidRPr="00FB54C5">
        <w:t xml:space="preserve"> the annual revenue requirement for year t–1.</w:t>
      </w:r>
    </w:p>
    <w:p w:rsidR="00FB54C5" w:rsidRPr="00FB54C5" w:rsidRDefault="00FB54C5" w:rsidP="00FB54C5">
      <w:r w:rsidRPr="00FB54C5">
        <w:rPr>
          <w:position w:val="-12"/>
        </w:rPr>
        <w:object w:dxaOrig="720" w:dyaOrig="380">
          <v:shape id="_x0000_i1044" type="#_x0000_t75" style="width:38.5pt;height:18.4pt" o:ole="">
            <v:imagedata r:id="rId50" o:title=""/>
          </v:shape>
          <o:OLEObject Type="Embed" ProgID="Equation.3" ShapeID="_x0000_i1044" DrawAspect="Content" ObjectID="_1507446655" r:id="rId51"/>
        </w:object>
      </w:r>
      <w:r w:rsidRPr="00FB54C5">
        <w:t xml:space="preserve"> </w:t>
      </w:r>
      <w:r w:rsidRPr="00FB54C5">
        <w:tab/>
      </w:r>
      <w:proofErr w:type="gramStart"/>
      <w:r w:rsidRPr="00FB54C5">
        <w:t>is</w:t>
      </w:r>
      <w:proofErr w:type="gramEnd"/>
      <w:r w:rsidRPr="00FB54C5">
        <w:t xml:space="preserve"> the annual percentage change in the ABS CPI All Groups, Weighted Average of Eight Capital Cities</w:t>
      </w:r>
      <w:r w:rsidRPr="00FB54C5">
        <w:rPr>
          <w:rStyle w:val="FootnoteReference"/>
        </w:rPr>
        <w:footnoteReference w:id="44"/>
      </w:r>
      <w:r w:rsidRPr="00FB54C5">
        <w:t xml:space="preserve"> from the June quarter in year t–2 to the June quarter in year t–1, calculated using the following method:</w:t>
      </w:r>
    </w:p>
    <w:p w:rsidR="00FB54C5" w:rsidRPr="00FB54C5" w:rsidRDefault="00FB54C5" w:rsidP="00FB54C5">
      <w:pPr>
        <w:pStyle w:val="ListContinue"/>
      </w:pPr>
      <w:r w:rsidRPr="00FB54C5">
        <w:t>The ABS CPI All Groups, Weighted Average of Eight Capital Cities for the June quarter in regulatory year t–1</w:t>
      </w:r>
    </w:p>
    <w:p w:rsidR="00FB54C5" w:rsidRPr="00FB54C5" w:rsidRDefault="00FB54C5" w:rsidP="00FB54C5">
      <w:pPr>
        <w:pStyle w:val="ListContinue"/>
      </w:pPr>
      <w:r w:rsidRPr="00FB54C5">
        <w:t>divided by</w:t>
      </w:r>
    </w:p>
    <w:p w:rsidR="00FB54C5" w:rsidRPr="00FB54C5" w:rsidRDefault="00FB54C5" w:rsidP="00FB54C5">
      <w:pPr>
        <w:pStyle w:val="ListContinue"/>
      </w:pPr>
      <w:r w:rsidRPr="00FB54C5">
        <w:t>The ABS CPI All Groups, Weighted Average of Eight Capital Cities for the June quarter in regulatory year t–2</w:t>
      </w:r>
    </w:p>
    <w:p w:rsidR="00FB54C5" w:rsidRPr="00FB54C5" w:rsidRDefault="00FB54C5" w:rsidP="00FB54C5">
      <w:pPr>
        <w:pStyle w:val="ListContinue"/>
      </w:pPr>
      <w:proofErr w:type="gramStart"/>
      <w:r w:rsidRPr="00FB54C5">
        <w:t>minus</w:t>
      </w:r>
      <w:proofErr w:type="gramEnd"/>
      <w:r w:rsidRPr="00FB54C5">
        <w:t xml:space="preserve"> one.</w:t>
      </w:r>
    </w:p>
    <w:p w:rsidR="00FB54C5" w:rsidRPr="00FB54C5" w:rsidRDefault="00FB54C5" w:rsidP="00FB54C5">
      <w:r w:rsidRPr="00FB54C5">
        <w:t>For example, for the 2017 regulatory year, t–2 is June quarter 2015 and t–1 is June quarter 2016 and for the 2018 regulatory year, t–2 is June quarter 2016 and t–1 is June quarter 2017 and so on.</w:t>
      </w:r>
    </w:p>
    <w:p w:rsidR="00FB54C5" w:rsidRPr="00FB54C5" w:rsidRDefault="00FB54C5" w:rsidP="00FB54C5">
      <w:r w:rsidRPr="00FB54C5">
        <w:object w:dxaOrig="360" w:dyaOrig="380">
          <v:shape id="_x0000_i1045" type="#_x0000_t75" style="width:18.4pt;height:18.4pt" o:ole="">
            <v:imagedata r:id="rId52" o:title=""/>
          </v:shape>
          <o:OLEObject Type="Embed" ProgID="Equation.3" ShapeID="_x0000_i1045" DrawAspect="Content" ObjectID="_1507446656" r:id="rId53"/>
        </w:object>
      </w:r>
      <w:r w:rsidRPr="00FB54C5">
        <w:t xml:space="preserve"> </w:t>
      </w:r>
      <w:r w:rsidRPr="00FB54C5">
        <w:tab/>
      </w:r>
      <w:r w:rsidRPr="00FB54C5">
        <w:tab/>
      </w:r>
      <w:proofErr w:type="gramStart"/>
      <w:r w:rsidRPr="00FB54C5">
        <w:t>is</w:t>
      </w:r>
      <w:proofErr w:type="gramEnd"/>
      <w:r w:rsidRPr="00FB54C5">
        <w:t xml:space="preserve"> the X factor for each year of the 2016–20 regulatory control period as determined in the annual metering charges PTRM.</w:t>
      </w:r>
    </w:p>
    <w:p w:rsidR="00FB54C5" w:rsidRDefault="00FB54C5" w:rsidP="00FB54C5">
      <w:pPr>
        <w:pStyle w:val="Caption"/>
      </w:pPr>
      <w:bookmarkStart w:id="51" w:name="_Ref433110421"/>
      <w:proofErr w:type="gramStart"/>
      <w:r>
        <w:t xml:space="preserve">Figure </w:t>
      </w:r>
      <w:proofErr w:type="gramEnd"/>
      <w:r w:rsidR="00E40187">
        <w:fldChar w:fldCharType="begin"/>
      </w:r>
      <w:r w:rsidR="00E40187">
        <w:instrText xml:space="preserve"> STYLEREF 1 \s </w:instrText>
      </w:r>
      <w:r w:rsidR="00E40187">
        <w:fldChar w:fldCharType="separate"/>
      </w:r>
      <w:r w:rsidR="009E0EFD">
        <w:rPr>
          <w:noProof/>
        </w:rPr>
        <w:t>16</w:t>
      </w:r>
      <w:r w:rsidR="00E40187">
        <w:rPr>
          <w:noProof/>
        </w:rPr>
        <w:fldChar w:fldCharType="end"/>
      </w:r>
      <w:proofErr w:type="gramStart"/>
      <w:r>
        <w:t>.</w:t>
      </w:r>
      <w:proofErr w:type="gramEnd"/>
      <w:r w:rsidR="00E40187">
        <w:fldChar w:fldCharType="begin"/>
      </w:r>
      <w:r w:rsidR="00E40187">
        <w:instrText xml:space="preserve"> SEQ Figure \* ARABIC \s 1 </w:instrText>
      </w:r>
      <w:r w:rsidR="00E40187">
        <w:fldChar w:fldCharType="separate"/>
      </w:r>
      <w:r w:rsidR="009E0EFD">
        <w:rPr>
          <w:noProof/>
        </w:rPr>
        <w:t>4</w:t>
      </w:r>
      <w:r w:rsidR="00E40187">
        <w:rPr>
          <w:noProof/>
        </w:rPr>
        <w:fldChar w:fldCharType="end"/>
      </w:r>
      <w:bookmarkEnd w:id="51"/>
      <w:r>
        <w:tab/>
        <w:t>Side constraints</w:t>
      </w:r>
    </w:p>
    <w:p w:rsidR="00FB54C5" w:rsidRPr="00FB54C5" w:rsidRDefault="00FB54C5" w:rsidP="00FB54C5">
      <w:r w:rsidRPr="00FB54C5">
        <w:object w:dxaOrig="4340" w:dyaOrig="380">
          <v:shape id="_x0000_i1046" type="#_x0000_t75" style="width:215.15pt;height:18.4pt" o:ole="">
            <v:imagedata r:id="rId54" o:title=""/>
          </v:shape>
          <o:OLEObject Type="Embed" ProgID="Equation.3" ShapeID="_x0000_i1046" DrawAspect="Content" ObjectID="_1507446657" r:id="rId55"/>
        </w:object>
      </w:r>
    </w:p>
    <w:p w:rsidR="00FB54C5" w:rsidRPr="00FB54C5" w:rsidRDefault="00FB54C5" w:rsidP="00FB54C5">
      <w:proofErr w:type="gramStart"/>
      <w:r w:rsidRPr="00FB54C5">
        <w:t>where</w:t>
      </w:r>
      <w:proofErr w:type="gramEnd"/>
      <w:r w:rsidRPr="00FB54C5">
        <w:t>:</w:t>
      </w:r>
    </w:p>
    <w:p w:rsidR="00FB54C5" w:rsidRPr="00FB54C5" w:rsidRDefault="00FB54C5" w:rsidP="00FB54C5">
      <w:r w:rsidRPr="00FB54C5">
        <w:rPr>
          <w:position w:val="-12"/>
        </w:rPr>
        <w:object w:dxaOrig="279" w:dyaOrig="380">
          <v:shape id="_x0000_i1047" type="#_x0000_t75" style="width:14.25pt;height:18.4pt" o:ole="">
            <v:imagedata r:id="rId56" o:title=""/>
          </v:shape>
          <o:OLEObject Type="Embed" ProgID="Equation.3" ShapeID="_x0000_i1047" DrawAspect="Content" ObjectID="_1507446658" r:id="rId57"/>
        </w:object>
      </w:r>
      <w:r w:rsidRPr="00FB54C5">
        <w:tab/>
      </w:r>
      <w:r w:rsidRPr="00FB54C5">
        <w:tab/>
      </w:r>
      <w:r w:rsidRPr="00FB54C5">
        <w:tab/>
      </w:r>
      <w:proofErr w:type="gramStart"/>
      <w:r w:rsidRPr="00FB54C5">
        <w:t>is</w:t>
      </w:r>
      <w:proofErr w:type="gramEnd"/>
      <w:r w:rsidRPr="00FB54C5">
        <w:t xml:space="preserve"> the price of annual metering charges service 'i' in year t.</w:t>
      </w:r>
    </w:p>
    <w:p w:rsidR="00FB54C5" w:rsidRPr="00FB54C5" w:rsidRDefault="00FB54C5" w:rsidP="00FB54C5">
      <w:r w:rsidRPr="00FB54C5">
        <w:rPr>
          <w:position w:val="-12"/>
        </w:rPr>
        <w:object w:dxaOrig="400" w:dyaOrig="380">
          <v:shape id="_x0000_i1048" type="#_x0000_t75" style="width:20.1pt;height:18.4pt" o:ole="">
            <v:imagedata r:id="rId58" o:title=""/>
          </v:shape>
          <o:OLEObject Type="Embed" ProgID="Equation.3" ShapeID="_x0000_i1048" DrawAspect="Content" ObjectID="_1507446659" r:id="rId59"/>
        </w:object>
      </w:r>
      <w:r w:rsidRPr="00FB54C5">
        <w:tab/>
      </w:r>
      <w:r w:rsidRPr="00FB54C5">
        <w:tab/>
      </w:r>
      <w:proofErr w:type="gramStart"/>
      <w:r w:rsidRPr="00FB54C5">
        <w:t>is</w:t>
      </w:r>
      <w:proofErr w:type="gramEnd"/>
      <w:r w:rsidRPr="00FB54C5">
        <w:t xml:space="preserve"> the price of annual metering charges service 'i' in year t–1.</w:t>
      </w:r>
    </w:p>
    <w:p w:rsidR="00FB54C5" w:rsidRPr="00FB54C5" w:rsidRDefault="00FB54C5" w:rsidP="00FB54C5">
      <w:r w:rsidRPr="00FB54C5">
        <w:rPr>
          <w:position w:val="-12"/>
        </w:rPr>
        <w:object w:dxaOrig="720" w:dyaOrig="380">
          <v:shape id="_x0000_i1049" type="#_x0000_t75" style="width:38.5pt;height:18.4pt" o:ole="">
            <v:imagedata r:id="rId60" o:title=""/>
          </v:shape>
          <o:OLEObject Type="Embed" ProgID="Equation.3" ShapeID="_x0000_i1049" DrawAspect="Content" ObjectID="_1507446660" r:id="rId61"/>
        </w:object>
      </w:r>
      <w:r w:rsidRPr="00FB54C5">
        <w:t xml:space="preserve"> </w:t>
      </w:r>
      <w:r w:rsidRPr="00FB54C5">
        <w:tab/>
      </w:r>
      <w:proofErr w:type="gramStart"/>
      <w:r w:rsidRPr="00FB54C5">
        <w:t>is</w:t>
      </w:r>
      <w:proofErr w:type="gramEnd"/>
      <w:r w:rsidRPr="00FB54C5">
        <w:t xml:space="preserve"> the annual percentage change in the ABS CPI All Groups, Weighted Average of Eight Capital Cities</w:t>
      </w:r>
      <w:r w:rsidRPr="00FB54C5">
        <w:rPr>
          <w:rStyle w:val="FootnoteReference"/>
        </w:rPr>
        <w:footnoteReference w:id="45"/>
      </w:r>
      <w:r w:rsidRPr="00FB54C5">
        <w:t xml:space="preserve"> from the June quarter in year t–2 to the June quarter in year t–1, calculated using the following method:</w:t>
      </w:r>
    </w:p>
    <w:p w:rsidR="00FB54C5" w:rsidRPr="00FB54C5" w:rsidRDefault="00FB54C5" w:rsidP="00FB54C5">
      <w:pPr>
        <w:pStyle w:val="ListContinue"/>
      </w:pPr>
      <w:r w:rsidRPr="00FB54C5">
        <w:t>The ABS CPI All Groups, Weighted Average of Eight Capital Cities for the June quarter in regulatory year t–1</w:t>
      </w:r>
    </w:p>
    <w:p w:rsidR="00FB54C5" w:rsidRPr="00FB54C5" w:rsidRDefault="00FB54C5" w:rsidP="00FB54C5">
      <w:pPr>
        <w:pStyle w:val="ListContinue"/>
      </w:pPr>
      <w:r w:rsidRPr="00FB54C5">
        <w:t>divided by</w:t>
      </w:r>
    </w:p>
    <w:p w:rsidR="00FB54C5" w:rsidRPr="00FB54C5" w:rsidRDefault="00FB54C5" w:rsidP="00FB54C5">
      <w:pPr>
        <w:pStyle w:val="ListContinue"/>
      </w:pPr>
      <w:r w:rsidRPr="00FB54C5">
        <w:t>The ABS CPI All Groups, Weighted Average of Eight Capital Cities for the June quarter in regulatory year t–2</w:t>
      </w:r>
    </w:p>
    <w:p w:rsidR="00FB54C5" w:rsidRPr="00FB54C5" w:rsidRDefault="00FB54C5" w:rsidP="00FB54C5">
      <w:pPr>
        <w:pStyle w:val="ListContinue"/>
      </w:pPr>
      <w:proofErr w:type="gramStart"/>
      <w:r w:rsidRPr="00FB54C5">
        <w:t>minus</w:t>
      </w:r>
      <w:proofErr w:type="gramEnd"/>
      <w:r w:rsidRPr="00FB54C5">
        <w:t xml:space="preserve"> one.</w:t>
      </w:r>
    </w:p>
    <w:p w:rsidR="00FB54C5" w:rsidRPr="00FB54C5" w:rsidRDefault="00FB54C5" w:rsidP="00FB54C5">
      <w:r w:rsidRPr="00FB54C5">
        <w:t>For example, for the 2017 regulatory year, t–2 is June quarter 2015 and t–1 is June quarter 2016 and for the 2018 regulatory year, t–2 is June quarter 2016 and t–1 is June quarter 2017 and so on.</w:t>
      </w:r>
    </w:p>
    <w:p w:rsidR="00FB54C5" w:rsidRPr="00FB54C5" w:rsidRDefault="00FB54C5" w:rsidP="00FB54C5">
      <w:r w:rsidRPr="00FB54C5">
        <w:rPr>
          <w:position w:val="-12"/>
        </w:rPr>
        <w:object w:dxaOrig="360" w:dyaOrig="380">
          <v:shape id="_x0000_i1050" type="#_x0000_t75" style="width:18.4pt;height:18.4pt" o:ole="">
            <v:imagedata r:id="rId62" o:title=""/>
          </v:shape>
          <o:OLEObject Type="Embed" ProgID="Equation.3" ShapeID="_x0000_i1050" DrawAspect="Content" ObjectID="_1507446661" r:id="rId63"/>
        </w:object>
      </w:r>
      <w:r w:rsidRPr="00FB54C5">
        <w:t xml:space="preserve"> </w:t>
      </w:r>
      <w:r w:rsidRPr="00FB54C5">
        <w:tab/>
      </w:r>
      <w:r w:rsidRPr="00FB54C5">
        <w:tab/>
      </w:r>
      <w:proofErr w:type="gramStart"/>
      <w:r w:rsidRPr="00FB54C5">
        <w:t>is</w:t>
      </w:r>
      <w:proofErr w:type="gramEnd"/>
      <w:r w:rsidRPr="00FB54C5">
        <w:t xml:space="preserve"> the X factor for each year of the 2016–20 regulatory control period as determined in the annual metering charges PTRM.</w:t>
      </w:r>
    </w:p>
    <w:p w:rsidR="00FB54C5" w:rsidRPr="00FB54C5" w:rsidRDefault="00FB54C5" w:rsidP="00FB54C5">
      <w:r w:rsidRPr="00FB54C5">
        <w:rPr>
          <w:position w:val="-12"/>
        </w:rPr>
        <w:object w:dxaOrig="260" w:dyaOrig="380">
          <v:shape id="_x0000_i1051" type="#_x0000_t75" style="width:14.25pt;height:20.1pt" o:ole="">
            <v:imagedata r:id="rId64" o:title=""/>
          </v:shape>
          <o:OLEObject Type="Embed" ProgID="Equation.3" ShapeID="_x0000_i1051" DrawAspect="Content" ObjectID="_1507446662" r:id="rId65"/>
        </w:object>
      </w:r>
      <w:r w:rsidRPr="00FB54C5">
        <w:tab/>
      </w:r>
      <w:r w:rsidRPr="00FB54C5">
        <w:tab/>
      </w:r>
      <w:r w:rsidRPr="00FB54C5">
        <w:tab/>
      </w:r>
      <w:proofErr w:type="gramStart"/>
      <w:r w:rsidRPr="00FB54C5">
        <w:t>is</w:t>
      </w:r>
      <w:proofErr w:type="gramEnd"/>
      <w:r w:rsidRPr="00FB54C5">
        <w:t xml:space="preserve"> the annual percentage change for the unders and overs recoveries relating to Advanced Metering Infrastructure actual revenues and actual costs incurred in 2014 and 2015. It is equal to zero for all years except 2017 and is a once off adjustment to 2017 charges.</w:t>
      </w:r>
    </w:p>
    <w:p w:rsidR="00FB54C5" w:rsidRPr="00FB54C5" w:rsidRDefault="00FB54C5" w:rsidP="00FB54C5">
      <w:r w:rsidRPr="00FB54C5">
        <w:rPr>
          <w:position w:val="-12"/>
        </w:rPr>
        <w:object w:dxaOrig="279" w:dyaOrig="380">
          <v:shape id="_x0000_i1052" type="#_x0000_t75" style="width:14.25pt;height:20.1pt" o:ole="">
            <v:imagedata r:id="rId66" o:title=""/>
          </v:shape>
          <o:OLEObject Type="Embed" ProgID="Equation.3" ShapeID="_x0000_i1052" DrawAspect="Content" ObjectID="_1507446663" r:id="rId67"/>
        </w:object>
      </w:r>
      <w:r w:rsidRPr="00FB54C5">
        <w:tab/>
      </w:r>
      <w:r w:rsidRPr="00FB54C5">
        <w:tab/>
      </w:r>
      <w:r w:rsidRPr="00FB54C5">
        <w:tab/>
      </w:r>
      <w:proofErr w:type="gramStart"/>
      <w:r w:rsidRPr="00FB54C5">
        <w:t>is</w:t>
      </w:r>
      <w:proofErr w:type="gramEnd"/>
      <w:r w:rsidRPr="00FB54C5">
        <w:t xml:space="preserve"> the annual percentage change from the sum of annual adjustment factors in year t as calculated in the unders and overs account in appendix</w:t>
      </w:r>
      <w:r>
        <w:t xml:space="preserve"> </w:t>
      </w:r>
      <w:r>
        <w:fldChar w:fldCharType="begin"/>
      </w:r>
      <w:r>
        <w:instrText xml:space="preserve"> REF _Ref433110209 \r \h </w:instrText>
      </w:r>
      <w:r>
        <w:fldChar w:fldCharType="separate"/>
      </w:r>
      <w:r w:rsidR="009E0EFD">
        <w:t>C</w:t>
      </w:r>
      <w:r>
        <w:fldChar w:fldCharType="end"/>
      </w:r>
      <w:r>
        <w:t>.</w:t>
      </w:r>
    </w:p>
    <w:p w:rsidR="00FB54C5" w:rsidRDefault="00FB54C5" w:rsidP="00FB54C5">
      <w:r w:rsidRPr="00FB54C5">
        <w:t>With the exception of the CPI and the X factor,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 t).</w:t>
      </w:r>
    </w:p>
    <w:p w:rsidR="00F64DEC" w:rsidRDefault="00F64DEC" w:rsidP="00F64DEC">
      <w:pPr>
        <w:pStyle w:val="Heading4"/>
      </w:pPr>
      <w:bookmarkStart w:id="52" w:name="_Ref433271107"/>
      <w:r>
        <w:t>Meter exit fee</w:t>
      </w:r>
      <w:bookmarkEnd w:id="52"/>
    </w:p>
    <w:p w:rsidR="00F64DEC" w:rsidRPr="00CF7572" w:rsidRDefault="00F64DEC" w:rsidP="00F64DEC">
      <w:r w:rsidRPr="00CF7572">
        <w:t>We are required to s</w:t>
      </w:r>
      <w:r>
        <w:t>pecify an exit fee for AusNet Services</w:t>
      </w:r>
      <w:r w:rsidRPr="00CF7572">
        <w:t>.</w:t>
      </w:r>
      <w:r w:rsidRPr="00CF7572">
        <w:rPr>
          <w:rStyle w:val="AERsuperscript"/>
        </w:rPr>
        <w:footnoteReference w:id="46"/>
      </w:r>
      <w:r w:rsidRPr="00CF7572">
        <w:rPr>
          <w:rStyle w:val="AERsuperscript"/>
        </w:rPr>
        <w:t xml:space="preserve"> </w:t>
      </w:r>
    </w:p>
    <w:p w:rsidR="00F64DEC" w:rsidRDefault="00F64DEC" w:rsidP="00F64DEC">
      <w:r>
        <w:t xml:space="preserve">The </w:t>
      </w:r>
      <w:r w:rsidRPr="008A667C">
        <w:t>exit fees</w:t>
      </w:r>
      <w:r>
        <w:t xml:space="preserve"> we have accepted in this preliminary decision are set out in </w:t>
      </w:r>
      <w:r>
        <w:fldChar w:fldCharType="begin"/>
      </w:r>
      <w:r>
        <w:instrText xml:space="preserve"> REF _Ref432579702 \h </w:instrText>
      </w:r>
      <w:r>
        <w:fldChar w:fldCharType="separate"/>
      </w:r>
      <w:r w:rsidR="009E0EFD">
        <w:t xml:space="preserve">Table </w:t>
      </w:r>
      <w:r w:rsidR="009E0EFD">
        <w:rPr>
          <w:noProof/>
        </w:rPr>
        <w:t>16</w:t>
      </w:r>
      <w:r w:rsidR="009E0EFD">
        <w:t>.</w:t>
      </w:r>
      <w:r w:rsidR="009E0EFD">
        <w:rPr>
          <w:noProof/>
        </w:rPr>
        <w:t>9</w:t>
      </w:r>
      <w:r>
        <w:fldChar w:fldCharType="end"/>
      </w:r>
      <w:r>
        <w:t>.</w:t>
      </w:r>
    </w:p>
    <w:p w:rsidR="00F64DEC" w:rsidRPr="00F670DA" w:rsidRDefault="00F64DEC" w:rsidP="00F64DEC">
      <w:pPr>
        <w:pStyle w:val="Caption"/>
      </w:pPr>
      <w:bookmarkStart w:id="53" w:name="_Ref432579702"/>
      <w:proofErr w:type="gramStart"/>
      <w:r>
        <w:t xml:space="preserve">Table </w:t>
      </w:r>
      <w:proofErr w:type="gramEnd"/>
      <w:r w:rsidR="006A670B">
        <w:fldChar w:fldCharType="begin"/>
      </w:r>
      <w:r w:rsidR="006A670B">
        <w:instrText xml:space="preserve"> STYLEREF 1 \s </w:instrText>
      </w:r>
      <w:r w:rsidR="006A670B">
        <w:fldChar w:fldCharType="separate"/>
      </w:r>
      <w:r w:rsidR="009E0EFD">
        <w:rPr>
          <w:noProof/>
        </w:rPr>
        <w:t>16</w:t>
      </w:r>
      <w:r w:rsidR="006A670B">
        <w:fldChar w:fldCharType="end"/>
      </w:r>
      <w:proofErr w:type="gramStart"/>
      <w:r w:rsidR="006A670B">
        <w:t>.</w:t>
      </w:r>
      <w:proofErr w:type="gramEnd"/>
      <w:r w:rsidR="006A670B">
        <w:fldChar w:fldCharType="begin"/>
      </w:r>
      <w:r w:rsidR="006A670B">
        <w:instrText xml:space="preserve"> SEQ Table \* ARABIC \s 1 </w:instrText>
      </w:r>
      <w:r w:rsidR="006A670B">
        <w:fldChar w:fldCharType="separate"/>
      </w:r>
      <w:r w:rsidR="009E0EFD">
        <w:rPr>
          <w:noProof/>
        </w:rPr>
        <w:t>9</w:t>
      </w:r>
      <w:r w:rsidR="006A670B">
        <w:fldChar w:fldCharType="end"/>
      </w:r>
      <w:bookmarkEnd w:id="53"/>
      <w:r>
        <w:t xml:space="preserve">—AusNet Services </w:t>
      </w:r>
      <w:r w:rsidRPr="00F670DA">
        <w:t xml:space="preserve">preliminary determination meter exit fees ($ nominal) </w:t>
      </w:r>
    </w:p>
    <w:tbl>
      <w:tblPr>
        <w:tblStyle w:val="AERtable-numbers"/>
        <w:tblW w:w="0" w:type="auto"/>
        <w:tblLook w:val="04A0" w:firstRow="1" w:lastRow="0" w:firstColumn="1" w:lastColumn="0" w:noHBand="0" w:noVBand="1"/>
      </w:tblPr>
      <w:tblGrid>
        <w:gridCol w:w="3078"/>
        <w:gridCol w:w="1127"/>
        <w:gridCol w:w="1122"/>
        <w:gridCol w:w="1122"/>
        <w:gridCol w:w="1122"/>
        <w:gridCol w:w="1122"/>
      </w:tblGrid>
      <w:tr w:rsidR="00F64DEC" w:rsidTr="00F64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Pr>
          <w:p w:rsidR="00F64DEC" w:rsidRPr="00F64DEC" w:rsidRDefault="00F64DEC" w:rsidP="00F64DEC">
            <w:r>
              <w:t>Meter type</w:t>
            </w:r>
          </w:p>
        </w:tc>
        <w:tc>
          <w:tcPr>
            <w:tcW w:w="1127" w:type="dxa"/>
          </w:tcPr>
          <w:p w:rsidR="00F64DEC" w:rsidRPr="00F64DEC" w:rsidRDefault="00F64DEC" w:rsidP="00F64DEC">
            <w:pPr>
              <w:cnfStyle w:val="100000000000" w:firstRow="1" w:lastRow="0" w:firstColumn="0" w:lastColumn="0" w:oddVBand="0" w:evenVBand="0" w:oddHBand="0" w:evenHBand="0" w:firstRowFirstColumn="0" w:firstRowLastColumn="0" w:lastRowFirstColumn="0" w:lastRowLastColumn="0"/>
            </w:pPr>
            <w:r>
              <w:t>2016</w:t>
            </w:r>
          </w:p>
        </w:tc>
        <w:tc>
          <w:tcPr>
            <w:tcW w:w="1122" w:type="dxa"/>
          </w:tcPr>
          <w:p w:rsidR="00F64DEC" w:rsidRPr="00F64DEC" w:rsidRDefault="00F64DEC" w:rsidP="00F64DEC">
            <w:pPr>
              <w:cnfStyle w:val="100000000000" w:firstRow="1" w:lastRow="0" w:firstColumn="0" w:lastColumn="0" w:oddVBand="0" w:evenVBand="0" w:oddHBand="0" w:evenHBand="0" w:firstRowFirstColumn="0" w:firstRowLastColumn="0" w:lastRowFirstColumn="0" w:lastRowLastColumn="0"/>
            </w:pPr>
            <w:r>
              <w:t>2017</w:t>
            </w:r>
          </w:p>
        </w:tc>
        <w:tc>
          <w:tcPr>
            <w:tcW w:w="1122" w:type="dxa"/>
          </w:tcPr>
          <w:p w:rsidR="00F64DEC" w:rsidRPr="00F64DEC" w:rsidRDefault="00F64DEC" w:rsidP="00F64DEC">
            <w:pPr>
              <w:cnfStyle w:val="100000000000" w:firstRow="1" w:lastRow="0" w:firstColumn="0" w:lastColumn="0" w:oddVBand="0" w:evenVBand="0" w:oddHBand="0" w:evenHBand="0" w:firstRowFirstColumn="0" w:firstRowLastColumn="0" w:lastRowFirstColumn="0" w:lastRowLastColumn="0"/>
            </w:pPr>
            <w:r>
              <w:t>2018</w:t>
            </w:r>
          </w:p>
        </w:tc>
        <w:tc>
          <w:tcPr>
            <w:tcW w:w="1122" w:type="dxa"/>
          </w:tcPr>
          <w:p w:rsidR="00F64DEC" w:rsidRPr="00F64DEC" w:rsidRDefault="00F64DEC" w:rsidP="00F64DEC">
            <w:pPr>
              <w:cnfStyle w:val="100000000000" w:firstRow="1" w:lastRow="0" w:firstColumn="0" w:lastColumn="0" w:oddVBand="0" w:evenVBand="0" w:oddHBand="0" w:evenHBand="0" w:firstRowFirstColumn="0" w:firstRowLastColumn="0" w:lastRowFirstColumn="0" w:lastRowLastColumn="0"/>
            </w:pPr>
            <w:r>
              <w:t>2019</w:t>
            </w:r>
          </w:p>
        </w:tc>
        <w:tc>
          <w:tcPr>
            <w:tcW w:w="1122" w:type="dxa"/>
          </w:tcPr>
          <w:p w:rsidR="00F64DEC" w:rsidRPr="00F64DEC" w:rsidRDefault="00F64DEC" w:rsidP="00F64DEC">
            <w:pPr>
              <w:cnfStyle w:val="100000000000" w:firstRow="1" w:lastRow="0" w:firstColumn="0" w:lastColumn="0" w:oddVBand="0" w:evenVBand="0" w:oddHBand="0" w:evenHBand="0" w:firstRowFirstColumn="0" w:firstRowLastColumn="0" w:lastRowFirstColumn="0" w:lastRowLastColumn="0"/>
            </w:pPr>
            <w:r>
              <w:t>2020</w:t>
            </w:r>
          </w:p>
        </w:tc>
      </w:tr>
      <w:tr w:rsidR="00C94354" w:rsidRPr="00962095" w:rsidTr="00F64DEC">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C94354" w:rsidRPr="00C94354" w:rsidRDefault="00C94354" w:rsidP="00C94354">
            <w:r w:rsidRPr="00C94354">
              <w:t xml:space="preserve">Single phase single element </w:t>
            </w:r>
          </w:p>
        </w:tc>
        <w:tc>
          <w:tcPr>
            <w:tcW w:w="0" w:type="auto"/>
            <w:vAlign w:val="bottom"/>
          </w:tcPr>
          <w:p w:rsidR="00C94354" w:rsidRPr="00C94354" w:rsidRDefault="00C94354" w:rsidP="00C94354">
            <w:pPr>
              <w:cnfStyle w:val="000000000000" w:firstRow="0" w:lastRow="0" w:firstColumn="0" w:lastColumn="0" w:oddVBand="0" w:evenVBand="0" w:oddHBand="0" w:evenHBand="0" w:firstRowFirstColumn="0" w:firstRowLastColumn="0" w:lastRowFirstColumn="0" w:lastRowLastColumn="0"/>
            </w:pPr>
            <w:r w:rsidRPr="00C94354">
              <w:t>475.66</w:t>
            </w:r>
          </w:p>
        </w:tc>
        <w:tc>
          <w:tcPr>
            <w:tcW w:w="0" w:type="auto"/>
            <w:vAlign w:val="bottom"/>
          </w:tcPr>
          <w:p w:rsidR="00C94354" w:rsidRPr="00C94354" w:rsidRDefault="00C94354" w:rsidP="00C94354">
            <w:pPr>
              <w:cnfStyle w:val="000000000000" w:firstRow="0" w:lastRow="0" w:firstColumn="0" w:lastColumn="0" w:oddVBand="0" w:evenVBand="0" w:oddHBand="0" w:evenHBand="0" w:firstRowFirstColumn="0" w:firstRowLastColumn="0" w:lastRowFirstColumn="0" w:lastRowLastColumn="0"/>
            </w:pPr>
            <w:r w:rsidRPr="00C94354">
              <w:t>428.61</w:t>
            </w:r>
          </w:p>
        </w:tc>
        <w:tc>
          <w:tcPr>
            <w:tcW w:w="0" w:type="auto"/>
            <w:vAlign w:val="bottom"/>
          </w:tcPr>
          <w:p w:rsidR="00C94354" w:rsidRPr="00C94354" w:rsidRDefault="00C94354" w:rsidP="00C94354">
            <w:pPr>
              <w:cnfStyle w:val="000000000000" w:firstRow="0" w:lastRow="0" w:firstColumn="0" w:lastColumn="0" w:oddVBand="0" w:evenVBand="0" w:oddHBand="0" w:evenHBand="0" w:firstRowFirstColumn="0" w:firstRowLastColumn="0" w:lastRowFirstColumn="0" w:lastRowLastColumn="0"/>
            </w:pPr>
            <w:r w:rsidRPr="00C94354">
              <w:t>378.20</w:t>
            </w:r>
          </w:p>
        </w:tc>
        <w:tc>
          <w:tcPr>
            <w:tcW w:w="0" w:type="auto"/>
            <w:vAlign w:val="bottom"/>
          </w:tcPr>
          <w:p w:rsidR="00C94354" w:rsidRPr="00C94354" w:rsidRDefault="00C94354" w:rsidP="00C94354">
            <w:pPr>
              <w:cnfStyle w:val="000000000000" w:firstRow="0" w:lastRow="0" w:firstColumn="0" w:lastColumn="0" w:oddVBand="0" w:evenVBand="0" w:oddHBand="0" w:evenHBand="0" w:firstRowFirstColumn="0" w:firstRowLastColumn="0" w:lastRowFirstColumn="0" w:lastRowLastColumn="0"/>
            </w:pPr>
            <w:r w:rsidRPr="00C94354">
              <w:t>335.56</w:t>
            </w:r>
          </w:p>
        </w:tc>
        <w:tc>
          <w:tcPr>
            <w:tcW w:w="0" w:type="auto"/>
            <w:vAlign w:val="bottom"/>
          </w:tcPr>
          <w:p w:rsidR="00C94354" w:rsidRPr="00C94354" w:rsidRDefault="00C94354" w:rsidP="00C94354">
            <w:pPr>
              <w:cnfStyle w:val="000000000000" w:firstRow="0" w:lastRow="0" w:firstColumn="0" w:lastColumn="0" w:oddVBand="0" w:evenVBand="0" w:oddHBand="0" w:evenHBand="0" w:firstRowFirstColumn="0" w:firstRowLastColumn="0" w:lastRowFirstColumn="0" w:lastRowLastColumn="0"/>
            </w:pPr>
            <w:r w:rsidRPr="00C94354">
              <w:t>307.84</w:t>
            </w:r>
          </w:p>
        </w:tc>
      </w:tr>
      <w:tr w:rsidR="00C94354" w:rsidRPr="00962095" w:rsidTr="00F64DEC">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C94354" w:rsidRPr="00C94354" w:rsidRDefault="00C94354" w:rsidP="00C94354">
            <w:r w:rsidRPr="00C94354">
              <w:t xml:space="preserve">Single phase two element with contactor </w:t>
            </w:r>
          </w:p>
        </w:tc>
        <w:tc>
          <w:tcPr>
            <w:tcW w:w="0" w:type="auto"/>
            <w:vAlign w:val="bottom"/>
          </w:tcPr>
          <w:p w:rsidR="00C94354" w:rsidRPr="00C94354" w:rsidRDefault="00C94354" w:rsidP="00C94354">
            <w:pPr>
              <w:cnfStyle w:val="000000010000" w:firstRow="0" w:lastRow="0" w:firstColumn="0" w:lastColumn="0" w:oddVBand="0" w:evenVBand="0" w:oddHBand="0" w:evenHBand="1" w:firstRowFirstColumn="0" w:firstRowLastColumn="0" w:lastRowFirstColumn="0" w:lastRowLastColumn="0"/>
            </w:pPr>
            <w:r w:rsidRPr="00C94354">
              <w:t>523.46</w:t>
            </w:r>
          </w:p>
        </w:tc>
        <w:tc>
          <w:tcPr>
            <w:tcW w:w="0" w:type="auto"/>
            <w:vAlign w:val="bottom"/>
          </w:tcPr>
          <w:p w:rsidR="00C94354" w:rsidRPr="00C94354" w:rsidRDefault="00C94354" w:rsidP="00C94354">
            <w:pPr>
              <w:cnfStyle w:val="000000010000" w:firstRow="0" w:lastRow="0" w:firstColumn="0" w:lastColumn="0" w:oddVBand="0" w:evenVBand="0" w:oddHBand="0" w:evenHBand="1" w:firstRowFirstColumn="0" w:firstRowLastColumn="0" w:lastRowFirstColumn="0" w:lastRowLastColumn="0"/>
            </w:pPr>
            <w:r w:rsidRPr="00C94354">
              <w:t>463.38</w:t>
            </w:r>
          </w:p>
        </w:tc>
        <w:tc>
          <w:tcPr>
            <w:tcW w:w="0" w:type="auto"/>
            <w:vAlign w:val="bottom"/>
          </w:tcPr>
          <w:p w:rsidR="00C94354" w:rsidRPr="00C94354" w:rsidRDefault="00C94354" w:rsidP="00C94354">
            <w:pPr>
              <w:cnfStyle w:val="000000010000" w:firstRow="0" w:lastRow="0" w:firstColumn="0" w:lastColumn="0" w:oddVBand="0" w:evenVBand="0" w:oddHBand="0" w:evenHBand="1" w:firstRowFirstColumn="0" w:firstRowLastColumn="0" w:lastRowFirstColumn="0" w:lastRowLastColumn="0"/>
            </w:pPr>
            <w:r w:rsidRPr="00C94354">
              <w:t>399.53</w:t>
            </w:r>
          </w:p>
        </w:tc>
        <w:tc>
          <w:tcPr>
            <w:tcW w:w="0" w:type="auto"/>
            <w:vAlign w:val="bottom"/>
          </w:tcPr>
          <w:p w:rsidR="00C94354" w:rsidRPr="00C94354" w:rsidRDefault="00C94354" w:rsidP="00C94354">
            <w:pPr>
              <w:cnfStyle w:val="000000010000" w:firstRow="0" w:lastRow="0" w:firstColumn="0" w:lastColumn="0" w:oddVBand="0" w:evenVBand="0" w:oddHBand="0" w:evenHBand="1" w:firstRowFirstColumn="0" w:firstRowLastColumn="0" w:lastRowFirstColumn="0" w:lastRowLastColumn="0"/>
            </w:pPr>
            <w:r w:rsidRPr="00C94354">
              <w:t>343.53</w:t>
            </w:r>
          </w:p>
        </w:tc>
        <w:tc>
          <w:tcPr>
            <w:tcW w:w="0" w:type="auto"/>
            <w:vAlign w:val="bottom"/>
          </w:tcPr>
          <w:p w:rsidR="00C94354" w:rsidRPr="00C94354" w:rsidRDefault="00C94354" w:rsidP="00C94354">
            <w:pPr>
              <w:cnfStyle w:val="000000010000" w:firstRow="0" w:lastRow="0" w:firstColumn="0" w:lastColumn="0" w:oddVBand="0" w:evenVBand="0" w:oddHBand="0" w:evenHBand="1" w:firstRowFirstColumn="0" w:firstRowLastColumn="0" w:lastRowFirstColumn="0" w:lastRowLastColumn="0"/>
            </w:pPr>
            <w:r w:rsidRPr="00C94354">
              <w:t>302.54</w:t>
            </w:r>
          </w:p>
        </w:tc>
      </w:tr>
      <w:tr w:rsidR="00C94354" w:rsidRPr="00962095" w:rsidTr="00F64DEC">
        <w:trPr>
          <w:trHeight w:val="103"/>
        </w:trPr>
        <w:tc>
          <w:tcPr>
            <w:cnfStyle w:val="001000000000" w:firstRow="0" w:lastRow="0" w:firstColumn="1" w:lastColumn="0" w:oddVBand="0" w:evenVBand="0" w:oddHBand="0" w:evenHBand="0" w:firstRowFirstColumn="0" w:firstRowLastColumn="0" w:lastRowFirstColumn="0" w:lastRowLastColumn="0"/>
            <w:tcW w:w="0" w:type="auto"/>
          </w:tcPr>
          <w:p w:rsidR="00C94354" w:rsidRPr="00C94354" w:rsidRDefault="00C94354" w:rsidP="00C94354">
            <w:r w:rsidRPr="00C94354">
              <w:t xml:space="preserve">Multiphase </w:t>
            </w:r>
          </w:p>
        </w:tc>
        <w:tc>
          <w:tcPr>
            <w:tcW w:w="0" w:type="auto"/>
            <w:vAlign w:val="bottom"/>
          </w:tcPr>
          <w:p w:rsidR="00C94354" w:rsidRPr="00C94354" w:rsidRDefault="00C94354" w:rsidP="00C94354">
            <w:pPr>
              <w:cnfStyle w:val="000000000000" w:firstRow="0" w:lastRow="0" w:firstColumn="0" w:lastColumn="0" w:oddVBand="0" w:evenVBand="0" w:oddHBand="0" w:evenHBand="0" w:firstRowFirstColumn="0" w:firstRowLastColumn="0" w:lastRowFirstColumn="0" w:lastRowLastColumn="0"/>
            </w:pPr>
            <w:r w:rsidRPr="00C94354">
              <w:t>573.26</w:t>
            </w:r>
          </w:p>
        </w:tc>
        <w:tc>
          <w:tcPr>
            <w:tcW w:w="0" w:type="auto"/>
            <w:vAlign w:val="bottom"/>
          </w:tcPr>
          <w:p w:rsidR="00C94354" w:rsidRPr="00C94354" w:rsidRDefault="00C94354" w:rsidP="00C94354">
            <w:pPr>
              <w:cnfStyle w:val="000000000000" w:firstRow="0" w:lastRow="0" w:firstColumn="0" w:lastColumn="0" w:oddVBand="0" w:evenVBand="0" w:oddHBand="0" w:evenHBand="0" w:firstRowFirstColumn="0" w:firstRowLastColumn="0" w:lastRowFirstColumn="0" w:lastRowLastColumn="0"/>
            </w:pPr>
            <w:r w:rsidRPr="00C94354">
              <w:t>511.03</w:t>
            </w:r>
          </w:p>
        </w:tc>
        <w:tc>
          <w:tcPr>
            <w:tcW w:w="0" w:type="auto"/>
            <w:vAlign w:val="bottom"/>
          </w:tcPr>
          <w:p w:rsidR="00C94354" w:rsidRPr="00C94354" w:rsidRDefault="00C94354" w:rsidP="00C94354">
            <w:pPr>
              <w:cnfStyle w:val="000000000000" w:firstRow="0" w:lastRow="0" w:firstColumn="0" w:lastColumn="0" w:oddVBand="0" w:evenVBand="0" w:oddHBand="0" w:evenHBand="0" w:firstRowFirstColumn="0" w:firstRowLastColumn="0" w:lastRowFirstColumn="0" w:lastRowLastColumn="0"/>
            </w:pPr>
            <w:r w:rsidRPr="00C94354">
              <w:t>438.86</w:t>
            </w:r>
          </w:p>
        </w:tc>
        <w:tc>
          <w:tcPr>
            <w:tcW w:w="0" w:type="auto"/>
            <w:vAlign w:val="bottom"/>
          </w:tcPr>
          <w:p w:rsidR="00C94354" w:rsidRPr="00C94354" w:rsidRDefault="00C94354" w:rsidP="00C94354">
            <w:pPr>
              <w:cnfStyle w:val="000000000000" w:firstRow="0" w:lastRow="0" w:firstColumn="0" w:lastColumn="0" w:oddVBand="0" w:evenVBand="0" w:oddHBand="0" w:evenHBand="0" w:firstRowFirstColumn="0" w:firstRowLastColumn="0" w:lastRowFirstColumn="0" w:lastRowLastColumn="0"/>
            </w:pPr>
            <w:r w:rsidRPr="00C94354">
              <w:t>368.34</w:t>
            </w:r>
          </w:p>
        </w:tc>
        <w:tc>
          <w:tcPr>
            <w:tcW w:w="0" w:type="auto"/>
            <w:vAlign w:val="bottom"/>
          </w:tcPr>
          <w:p w:rsidR="00C94354" w:rsidRPr="00C94354" w:rsidRDefault="00C94354" w:rsidP="00C94354">
            <w:pPr>
              <w:cnfStyle w:val="000000000000" w:firstRow="0" w:lastRow="0" w:firstColumn="0" w:lastColumn="0" w:oddVBand="0" w:evenVBand="0" w:oddHBand="0" w:evenHBand="0" w:firstRowFirstColumn="0" w:firstRowLastColumn="0" w:lastRowFirstColumn="0" w:lastRowLastColumn="0"/>
            </w:pPr>
            <w:r w:rsidRPr="00C94354">
              <w:t>306.64</w:t>
            </w:r>
          </w:p>
        </w:tc>
      </w:tr>
      <w:tr w:rsidR="00C94354" w:rsidRPr="00962095" w:rsidTr="00F64DEC">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0" w:type="auto"/>
          </w:tcPr>
          <w:p w:rsidR="00C94354" w:rsidRPr="00C94354" w:rsidRDefault="00C94354" w:rsidP="00C94354">
            <w:r w:rsidRPr="00C94354">
              <w:t xml:space="preserve">Multiphase with contactor </w:t>
            </w:r>
          </w:p>
        </w:tc>
        <w:tc>
          <w:tcPr>
            <w:tcW w:w="0" w:type="auto"/>
            <w:vAlign w:val="bottom"/>
          </w:tcPr>
          <w:p w:rsidR="00C94354" w:rsidRPr="00C94354" w:rsidRDefault="00C94354" w:rsidP="00C94354">
            <w:pPr>
              <w:cnfStyle w:val="000000010000" w:firstRow="0" w:lastRow="0" w:firstColumn="0" w:lastColumn="0" w:oddVBand="0" w:evenVBand="0" w:oddHBand="0" w:evenHBand="1" w:firstRowFirstColumn="0" w:firstRowLastColumn="0" w:lastRowFirstColumn="0" w:lastRowLastColumn="0"/>
            </w:pPr>
            <w:r w:rsidRPr="00C94354">
              <w:t>572.42</w:t>
            </w:r>
          </w:p>
        </w:tc>
        <w:tc>
          <w:tcPr>
            <w:tcW w:w="0" w:type="auto"/>
            <w:vAlign w:val="bottom"/>
          </w:tcPr>
          <w:p w:rsidR="00C94354" w:rsidRPr="00C94354" w:rsidRDefault="00C94354" w:rsidP="00C94354">
            <w:pPr>
              <w:cnfStyle w:val="000000010000" w:firstRow="0" w:lastRow="0" w:firstColumn="0" w:lastColumn="0" w:oddVBand="0" w:evenVBand="0" w:oddHBand="0" w:evenHBand="1" w:firstRowFirstColumn="0" w:firstRowLastColumn="0" w:lastRowFirstColumn="0" w:lastRowLastColumn="0"/>
            </w:pPr>
            <w:r w:rsidRPr="00C94354">
              <w:t>528.78</w:t>
            </w:r>
          </w:p>
        </w:tc>
        <w:tc>
          <w:tcPr>
            <w:tcW w:w="0" w:type="auto"/>
            <w:vAlign w:val="bottom"/>
          </w:tcPr>
          <w:p w:rsidR="00C94354" w:rsidRPr="00C94354" w:rsidRDefault="00C94354" w:rsidP="00C94354">
            <w:pPr>
              <w:cnfStyle w:val="000000010000" w:firstRow="0" w:lastRow="0" w:firstColumn="0" w:lastColumn="0" w:oddVBand="0" w:evenVBand="0" w:oddHBand="0" w:evenHBand="1" w:firstRowFirstColumn="0" w:firstRowLastColumn="0" w:lastRowFirstColumn="0" w:lastRowLastColumn="0"/>
            </w:pPr>
            <w:r w:rsidRPr="00C94354">
              <w:t>480.43</w:t>
            </w:r>
          </w:p>
        </w:tc>
        <w:tc>
          <w:tcPr>
            <w:tcW w:w="0" w:type="auto"/>
            <w:vAlign w:val="bottom"/>
          </w:tcPr>
          <w:p w:rsidR="00C94354" w:rsidRPr="00C94354" w:rsidRDefault="00C94354" w:rsidP="00C94354">
            <w:pPr>
              <w:cnfStyle w:val="000000010000" w:firstRow="0" w:lastRow="0" w:firstColumn="0" w:lastColumn="0" w:oddVBand="0" w:evenVBand="0" w:oddHBand="0" w:evenHBand="1" w:firstRowFirstColumn="0" w:firstRowLastColumn="0" w:lastRowFirstColumn="0" w:lastRowLastColumn="0"/>
            </w:pPr>
            <w:r w:rsidRPr="00C94354">
              <w:t>439.09</w:t>
            </w:r>
          </w:p>
        </w:tc>
        <w:tc>
          <w:tcPr>
            <w:tcW w:w="0" w:type="auto"/>
            <w:vAlign w:val="bottom"/>
          </w:tcPr>
          <w:p w:rsidR="00C94354" w:rsidRPr="00C94354" w:rsidRDefault="00C94354" w:rsidP="00C94354">
            <w:pPr>
              <w:cnfStyle w:val="000000010000" w:firstRow="0" w:lastRow="0" w:firstColumn="0" w:lastColumn="0" w:oddVBand="0" w:evenVBand="0" w:oddHBand="0" w:evenHBand="1" w:firstRowFirstColumn="0" w:firstRowLastColumn="0" w:lastRowFirstColumn="0" w:lastRowLastColumn="0"/>
            </w:pPr>
            <w:r w:rsidRPr="00C94354">
              <w:t>412.05</w:t>
            </w:r>
          </w:p>
        </w:tc>
      </w:tr>
      <w:tr w:rsidR="00C94354" w:rsidRPr="00962095" w:rsidTr="00F64DEC">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C94354" w:rsidRPr="00C94354" w:rsidRDefault="00C94354" w:rsidP="00C94354">
            <w:r w:rsidRPr="00C94354">
              <w:t xml:space="preserve">Multiphase CT connected </w:t>
            </w:r>
          </w:p>
        </w:tc>
        <w:tc>
          <w:tcPr>
            <w:tcW w:w="0" w:type="auto"/>
            <w:vAlign w:val="bottom"/>
          </w:tcPr>
          <w:p w:rsidR="00C94354" w:rsidRPr="00C94354" w:rsidRDefault="00C94354" w:rsidP="00C94354">
            <w:pPr>
              <w:cnfStyle w:val="000000000000" w:firstRow="0" w:lastRow="0" w:firstColumn="0" w:lastColumn="0" w:oddVBand="0" w:evenVBand="0" w:oddHBand="0" w:evenHBand="0" w:firstRowFirstColumn="0" w:firstRowLastColumn="0" w:lastRowFirstColumn="0" w:lastRowLastColumn="0"/>
            </w:pPr>
            <w:r w:rsidRPr="00C94354">
              <w:t>642.49</w:t>
            </w:r>
          </w:p>
        </w:tc>
        <w:tc>
          <w:tcPr>
            <w:tcW w:w="0" w:type="auto"/>
            <w:vAlign w:val="bottom"/>
          </w:tcPr>
          <w:p w:rsidR="00C94354" w:rsidRPr="00C94354" w:rsidRDefault="00C94354" w:rsidP="00C94354">
            <w:pPr>
              <w:cnfStyle w:val="000000000000" w:firstRow="0" w:lastRow="0" w:firstColumn="0" w:lastColumn="0" w:oddVBand="0" w:evenVBand="0" w:oddHBand="0" w:evenHBand="0" w:firstRowFirstColumn="0" w:firstRowLastColumn="0" w:lastRowFirstColumn="0" w:lastRowLastColumn="0"/>
            </w:pPr>
            <w:r w:rsidRPr="00C94354">
              <w:t>607.47</w:t>
            </w:r>
          </w:p>
        </w:tc>
        <w:tc>
          <w:tcPr>
            <w:tcW w:w="0" w:type="auto"/>
            <w:vAlign w:val="bottom"/>
          </w:tcPr>
          <w:p w:rsidR="00C94354" w:rsidRPr="00C94354" w:rsidRDefault="00C94354" w:rsidP="00C94354">
            <w:pPr>
              <w:cnfStyle w:val="000000000000" w:firstRow="0" w:lastRow="0" w:firstColumn="0" w:lastColumn="0" w:oddVBand="0" w:evenVBand="0" w:oddHBand="0" w:evenHBand="0" w:firstRowFirstColumn="0" w:firstRowLastColumn="0" w:lastRowFirstColumn="0" w:lastRowLastColumn="0"/>
            </w:pPr>
            <w:r w:rsidRPr="00C94354">
              <w:t>566.23</w:t>
            </w:r>
          </w:p>
        </w:tc>
        <w:tc>
          <w:tcPr>
            <w:tcW w:w="0" w:type="auto"/>
            <w:vAlign w:val="bottom"/>
          </w:tcPr>
          <w:p w:rsidR="00C94354" w:rsidRPr="00C94354" w:rsidRDefault="00C94354" w:rsidP="00C94354">
            <w:pPr>
              <w:cnfStyle w:val="000000000000" w:firstRow="0" w:lastRow="0" w:firstColumn="0" w:lastColumn="0" w:oddVBand="0" w:evenVBand="0" w:oddHBand="0" w:evenHBand="0" w:firstRowFirstColumn="0" w:firstRowLastColumn="0" w:lastRowFirstColumn="0" w:lastRowLastColumn="0"/>
            </w:pPr>
            <w:r w:rsidRPr="00C94354">
              <w:t>530.30</w:t>
            </w:r>
          </w:p>
        </w:tc>
        <w:tc>
          <w:tcPr>
            <w:tcW w:w="0" w:type="auto"/>
            <w:vAlign w:val="bottom"/>
          </w:tcPr>
          <w:p w:rsidR="00C94354" w:rsidRPr="00C94354" w:rsidRDefault="00C94354" w:rsidP="00C94354">
            <w:pPr>
              <w:cnfStyle w:val="000000000000" w:firstRow="0" w:lastRow="0" w:firstColumn="0" w:lastColumn="0" w:oddVBand="0" w:evenVBand="0" w:oddHBand="0" w:evenHBand="0" w:firstRowFirstColumn="0" w:firstRowLastColumn="0" w:lastRowFirstColumn="0" w:lastRowLastColumn="0"/>
            </w:pPr>
            <w:r w:rsidRPr="00C94354">
              <w:t>507.17</w:t>
            </w:r>
          </w:p>
        </w:tc>
      </w:tr>
    </w:tbl>
    <w:p w:rsidR="00F64DEC" w:rsidRDefault="00F64DEC" w:rsidP="00F64DEC">
      <w:pPr>
        <w:pStyle w:val="Source"/>
      </w:pPr>
      <w:r>
        <w:t xml:space="preserve">Source: </w:t>
      </w:r>
      <w:r w:rsidR="000B3D72">
        <w:tab/>
      </w:r>
      <w:r>
        <w:t>AER analysis.</w:t>
      </w:r>
    </w:p>
    <w:p w:rsidR="00F64DEC" w:rsidRDefault="00F64DEC" w:rsidP="00F64DEC">
      <w:pPr>
        <w:pStyle w:val="Heading4"/>
      </w:pPr>
      <w:bookmarkStart w:id="54" w:name="_Ref433271090"/>
      <w:r>
        <w:t>Type 7 metering services</w:t>
      </w:r>
      <w:bookmarkEnd w:id="54"/>
    </w:p>
    <w:p w:rsidR="00F64DEC" w:rsidRDefault="00F64DEC" w:rsidP="00F64DEC">
      <w:r>
        <w:t>AusNet Services provides Type 7 metering services to public lighting customers.</w:t>
      </w:r>
    </w:p>
    <w:p w:rsidR="00F64DEC" w:rsidRDefault="00F64DEC" w:rsidP="00F64DEC">
      <w:r w:rsidRPr="00590C71">
        <w:t xml:space="preserve">Our preliminary determination is to accept AusNet Services’ </w:t>
      </w:r>
      <w:r>
        <w:t xml:space="preserve">proposal for two separate type 7 metering charges consisting of a charge per national meter identifier and a charge per street light. We also accept AusNet Service' proposal that type 7 metering charges will be adjusted by CPI in each year of the 2016–20 regulatory control period. Our approved type 7 metering charges are set out in </w:t>
      </w:r>
      <w:r>
        <w:fldChar w:fldCharType="begin"/>
      </w:r>
      <w:r>
        <w:instrText xml:space="preserve"> REF _Ref433123539 \h </w:instrText>
      </w:r>
      <w:r>
        <w:fldChar w:fldCharType="separate"/>
      </w:r>
      <w:r w:rsidR="009E0EFD">
        <w:t xml:space="preserve">Table </w:t>
      </w:r>
      <w:r w:rsidR="009E0EFD">
        <w:rPr>
          <w:noProof/>
        </w:rPr>
        <w:t>16</w:t>
      </w:r>
      <w:r w:rsidR="009E0EFD">
        <w:t>.</w:t>
      </w:r>
      <w:r w:rsidR="009E0EFD">
        <w:rPr>
          <w:noProof/>
        </w:rPr>
        <w:t>10</w:t>
      </w:r>
      <w:r>
        <w:fldChar w:fldCharType="end"/>
      </w:r>
      <w:r>
        <w:t>.</w:t>
      </w:r>
    </w:p>
    <w:p w:rsidR="00F64DEC" w:rsidRDefault="00F64DEC" w:rsidP="00F64DEC">
      <w:pPr>
        <w:pStyle w:val="Caption"/>
      </w:pPr>
      <w:bookmarkStart w:id="55" w:name="_Ref433123539"/>
      <w:proofErr w:type="gramStart"/>
      <w:r>
        <w:t xml:space="preserve">Table </w:t>
      </w:r>
      <w:proofErr w:type="gramEnd"/>
      <w:r w:rsidR="006A670B">
        <w:fldChar w:fldCharType="begin"/>
      </w:r>
      <w:r w:rsidR="006A670B">
        <w:instrText xml:space="preserve"> STYLEREF 1 \s </w:instrText>
      </w:r>
      <w:r w:rsidR="006A670B">
        <w:fldChar w:fldCharType="separate"/>
      </w:r>
      <w:r w:rsidR="009E0EFD">
        <w:rPr>
          <w:noProof/>
        </w:rPr>
        <w:t>16</w:t>
      </w:r>
      <w:r w:rsidR="006A670B">
        <w:fldChar w:fldCharType="end"/>
      </w:r>
      <w:proofErr w:type="gramStart"/>
      <w:r w:rsidR="006A670B">
        <w:t>.</w:t>
      </w:r>
      <w:proofErr w:type="gramEnd"/>
      <w:r w:rsidR="006A670B">
        <w:fldChar w:fldCharType="begin"/>
      </w:r>
      <w:r w:rsidR="006A670B">
        <w:instrText xml:space="preserve"> SEQ Table \* ARABIC \s 1 </w:instrText>
      </w:r>
      <w:r w:rsidR="006A670B">
        <w:fldChar w:fldCharType="separate"/>
      </w:r>
      <w:r w:rsidR="009E0EFD">
        <w:rPr>
          <w:noProof/>
        </w:rPr>
        <w:t>10</w:t>
      </w:r>
      <w:r w:rsidR="006A670B">
        <w:fldChar w:fldCharType="end"/>
      </w:r>
      <w:bookmarkEnd w:id="55"/>
      <w:r>
        <w:t>—</w:t>
      </w:r>
      <w:r w:rsidRPr="008A667C">
        <w:t xml:space="preserve"> </w:t>
      </w:r>
      <w:r>
        <w:t xml:space="preserve">AusNet Services </w:t>
      </w:r>
      <w:r w:rsidRPr="00F670DA">
        <w:t xml:space="preserve">preliminary determination </w:t>
      </w:r>
      <w:r>
        <w:t>Type 7 metering charges ($nominal)</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F64DEC" w:rsidTr="00F64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F64DEC" w:rsidRPr="00F64DEC" w:rsidRDefault="00F64DEC" w:rsidP="00F64DEC">
            <w:r>
              <w:t>Category</w:t>
            </w:r>
          </w:p>
        </w:tc>
        <w:tc>
          <w:tcPr>
            <w:tcW w:w="1449" w:type="dxa"/>
          </w:tcPr>
          <w:p w:rsidR="00F64DEC" w:rsidRPr="00F64DEC" w:rsidRDefault="00F64DEC" w:rsidP="00F64DEC">
            <w:pPr>
              <w:cnfStyle w:val="100000000000" w:firstRow="1" w:lastRow="0" w:firstColumn="0" w:lastColumn="0" w:oddVBand="0" w:evenVBand="0" w:oddHBand="0" w:evenHBand="0" w:firstRowFirstColumn="0" w:firstRowLastColumn="0" w:lastRowFirstColumn="0" w:lastRowLastColumn="0"/>
            </w:pPr>
            <w:r>
              <w:t>2016</w:t>
            </w:r>
          </w:p>
        </w:tc>
        <w:tc>
          <w:tcPr>
            <w:tcW w:w="1449" w:type="dxa"/>
          </w:tcPr>
          <w:p w:rsidR="00F64DEC" w:rsidRPr="00F64DEC" w:rsidRDefault="00F64DEC" w:rsidP="00F64DEC">
            <w:pPr>
              <w:cnfStyle w:val="100000000000" w:firstRow="1" w:lastRow="0" w:firstColumn="0" w:lastColumn="0" w:oddVBand="0" w:evenVBand="0" w:oddHBand="0" w:evenHBand="0" w:firstRowFirstColumn="0" w:firstRowLastColumn="0" w:lastRowFirstColumn="0" w:lastRowLastColumn="0"/>
            </w:pPr>
            <w:r>
              <w:t>2017</w:t>
            </w:r>
          </w:p>
        </w:tc>
        <w:tc>
          <w:tcPr>
            <w:tcW w:w="1449" w:type="dxa"/>
          </w:tcPr>
          <w:p w:rsidR="00F64DEC" w:rsidRPr="00F64DEC" w:rsidRDefault="00F64DEC" w:rsidP="00F64DEC">
            <w:pPr>
              <w:cnfStyle w:val="100000000000" w:firstRow="1" w:lastRow="0" w:firstColumn="0" w:lastColumn="0" w:oddVBand="0" w:evenVBand="0" w:oddHBand="0" w:evenHBand="0" w:firstRowFirstColumn="0" w:firstRowLastColumn="0" w:lastRowFirstColumn="0" w:lastRowLastColumn="0"/>
            </w:pPr>
            <w:r>
              <w:t>2018</w:t>
            </w:r>
          </w:p>
        </w:tc>
        <w:tc>
          <w:tcPr>
            <w:tcW w:w="1449" w:type="dxa"/>
          </w:tcPr>
          <w:p w:rsidR="00F64DEC" w:rsidRPr="00F64DEC" w:rsidRDefault="00F64DEC" w:rsidP="00F64DEC">
            <w:pPr>
              <w:cnfStyle w:val="100000000000" w:firstRow="1" w:lastRow="0" w:firstColumn="0" w:lastColumn="0" w:oddVBand="0" w:evenVBand="0" w:oddHBand="0" w:evenHBand="0" w:firstRowFirstColumn="0" w:firstRowLastColumn="0" w:lastRowFirstColumn="0" w:lastRowLastColumn="0"/>
            </w:pPr>
            <w:r>
              <w:t>2019</w:t>
            </w:r>
          </w:p>
        </w:tc>
        <w:tc>
          <w:tcPr>
            <w:tcW w:w="1449" w:type="dxa"/>
          </w:tcPr>
          <w:p w:rsidR="00F64DEC" w:rsidRPr="00F64DEC" w:rsidRDefault="00F64DEC" w:rsidP="00F64DEC">
            <w:pPr>
              <w:cnfStyle w:val="100000000000" w:firstRow="1" w:lastRow="0" w:firstColumn="0" w:lastColumn="0" w:oddVBand="0" w:evenVBand="0" w:oddHBand="0" w:evenHBand="0" w:firstRowFirstColumn="0" w:firstRowLastColumn="0" w:lastRowFirstColumn="0" w:lastRowLastColumn="0"/>
            </w:pPr>
            <w:r>
              <w:t>2020</w:t>
            </w:r>
          </w:p>
        </w:tc>
      </w:tr>
      <w:tr w:rsidR="00F64DEC" w:rsidTr="00F64DEC">
        <w:tc>
          <w:tcPr>
            <w:cnfStyle w:val="001000000000" w:firstRow="0" w:lastRow="0" w:firstColumn="1" w:lastColumn="0" w:oddVBand="0" w:evenVBand="0" w:oddHBand="0" w:evenHBand="0" w:firstRowFirstColumn="0" w:firstRowLastColumn="0" w:lastRowFirstColumn="0" w:lastRowLastColumn="0"/>
            <w:tcW w:w="1448" w:type="dxa"/>
          </w:tcPr>
          <w:p w:rsidR="00F64DEC" w:rsidRPr="00F64DEC" w:rsidRDefault="00F64DEC" w:rsidP="00F64DEC">
            <w:r>
              <w:t>Per NMI</w:t>
            </w:r>
            <w:r w:rsidRPr="00F64DEC">
              <w:t xml:space="preserve"> </w:t>
            </w:r>
          </w:p>
        </w:tc>
        <w:tc>
          <w:tcPr>
            <w:tcW w:w="1449" w:type="dxa"/>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t>308.00</w:t>
            </w:r>
          </w:p>
        </w:tc>
        <w:tc>
          <w:tcPr>
            <w:tcW w:w="1449" w:type="dxa"/>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t>316.00</w:t>
            </w:r>
          </w:p>
        </w:tc>
        <w:tc>
          <w:tcPr>
            <w:tcW w:w="1449" w:type="dxa"/>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t>324.00</w:t>
            </w:r>
          </w:p>
        </w:tc>
        <w:tc>
          <w:tcPr>
            <w:tcW w:w="1449" w:type="dxa"/>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t>332.00</w:t>
            </w:r>
          </w:p>
        </w:tc>
        <w:tc>
          <w:tcPr>
            <w:tcW w:w="1449" w:type="dxa"/>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t>340.00</w:t>
            </w:r>
          </w:p>
        </w:tc>
      </w:tr>
      <w:tr w:rsidR="00F64DEC" w:rsidTr="00F64D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F64DEC" w:rsidRPr="00F64DEC" w:rsidRDefault="00F64DEC" w:rsidP="00F64DEC">
            <w:r>
              <w:t>Per Light</w:t>
            </w:r>
            <w:r w:rsidRPr="00F64DEC">
              <w:t xml:space="preserve"> </w:t>
            </w:r>
          </w:p>
        </w:tc>
        <w:tc>
          <w:tcPr>
            <w:tcW w:w="1449" w:type="dxa"/>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t>1.6</w:t>
            </w:r>
            <w:r w:rsidR="00DF33B3">
              <w:t>1</w:t>
            </w:r>
          </w:p>
        </w:tc>
        <w:tc>
          <w:tcPr>
            <w:tcW w:w="1449" w:type="dxa"/>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t>1.6</w:t>
            </w:r>
            <w:r w:rsidR="00DF33B3">
              <w:t>5</w:t>
            </w:r>
          </w:p>
        </w:tc>
        <w:tc>
          <w:tcPr>
            <w:tcW w:w="1449" w:type="dxa"/>
          </w:tcPr>
          <w:p w:rsidR="00F64DEC" w:rsidRPr="00F64DEC" w:rsidRDefault="00DF33B3" w:rsidP="00F64DEC">
            <w:pPr>
              <w:cnfStyle w:val="000000010000" w:firstRow="0" w:lastRow="0" w:firstColumn="0" w:lastColumn="0" w:oddVBand="0" w:evenVBand="0" w:oddHBand="0" w:evenHBand="1" w:firstRowFirstColumn="0" w:firstRowLastColumn="0" w:lastRowFirstColumn="0" w:lastRowLastColumn="0"/>
            </w:pPr>
            <w:r>
              <w:t>1.6</w:t>
            </w:r>
            <w:r w:rsidR="00F64DEC">
              <w:t>9</w:t>
            </w:r>
          </w:p>
        </w:tc>
        <w:tc>
          <w:tcPr>
            <w:tcW w:w="1449" w:type="dxa"/>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t>1.73</w:t>
            </w:r>
          </w:p>
        </w:tc>
        <w:tc>
          <w:tcPr>
            <w:tcW w:w="1449" w:type="dxa"/>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t>1.7</w:t>
            </w:r>
            <w:r w:rsidR="00DF33B3">
              <w:t>8</w:t>
            </w:r>
          </w:p>
        </w:tc>
      </w:tr>
    </w:tbl>
    <w:p w:rsidR="00F64DEC" w:rsidRPr="008516EC" w:rsidRDefault="00F64DEC" w:rsidP="00F64DEC">
      <w:pPr>
        <w:pStyle w:val="AERtablesource"/>
      </w:pPr>
      <w:r>
        <w:t>Source:</w:t>
      </w:r>
      <w:r>
        <w:tab/>
      </w:r>
      <w:r w:rsidR="00270EBC">
        <w:t>AER analysis</w:t>
      </w:r>
      <w:r w:rsidR="00894019">
        <w:t>.</w:t>
      </w:r>
    </w:p>
    <w:p w:rsidR="00F64DEC" w:rsidRDefault="00F64DEC" w:rsidP="00F64DEC">
      <w:pPr>
        <w:pStyle w:val="Heading3"/>
      </w:pPr>
      <w:bookmarkStart w:id="56" w:name="_Toc433704566"/>
      <w:r>
        <w:t>Proposal</w:t>
      </w:r>
      <w:bookmarkEnd w:id="56"/>
    </w:p>
    <w:p w:rsidR="00F64DEC" w:rsidRDefault="00F64DEC" w:rsidP="00F64DEC">
      <w:pPr>
        <w:pStyle w:val="Heading4"/>
      </w:pPr>
      <w:r>
        <w:t>Cost allocation</w:t>
      </w:r>
    </w:p>
    <w:p w:rsidR="00F64DEC" w:rsidRDefault="00F64DEC" w:rsidP="00F64DEC">
      <w:r>
        <w:t>AusNet Services proposed allocating metering expenditure and assets (both existing and future) across network standard control services and metering alternative control services.</w:t>
      </w:r>
      <w:r>
        <w:rPr>
          <w:rStyle w:val="FootnoteReference"/>
        </w:rPr>
        <w:footnoteReference w:id="47"/>
      </w:r>
      <w:r>
        <w:t xml:space="preserve"> </w:t>
      </w:r>
    </w:p>
    <w:p w:rsidR="00F64DEC" w:rsidRDefault="00F64DEC" w:rsidP="006A670B">
      <w:pPr>
        <w:pStyle w:val="Heading4"/>
        <w:keepNext/>
        <w:ind w:left="862" w:hanging="862"/>
      </w:pPr>
      <w:r>
        <w:t>Annual metering charges</w:t>
      </w:r>
    </w:p>
    <w:p w:rsidR="00F64DEC" w:rsidRDefault="00F64DEC" w:rsidP="00F64DEC">
      <w:pPr>
        <w:rPr>
          <w:rStyle w:val="AERbody"/>
        </w:rPr>
      </w:pPr>
      <w:r>
        <w:t xml:space="preserve">AusNet Services proposed a revenue cap as the price control for annual metering charges in the 2016–20 regulatory control </w:t>
      </w:r>
      <w:proofErr w:type="gramStart"/>
      <w:r>
        <w:t>period</w:t>
      </w:r>
      <w:proofErr w:type="gramEnd"/>
      <w:r>
        <w:t>.</w:t>
      </w:r>
      <w:r>
        <w:rPr>
          <w:rStyle w:val="FootnoteReference"/>
        </w:rPr>
        <w:footnoteReference w:id="48"/>
      </w:r>
      <w:r>
        <w:t xml:space="preserve"> This price control is consistent with our F&amp;A </w:t>
      </w:r>
      <w:r>
        <w:rPr>
          <w:rStyle w:val="AERbody"/>
        </w:rPr>
        <w:t>for type 5, 6 and smart metering (regulated service).</w:t>
      </w:r>
      <w:r>
        <w:rPr>
          <w:rStyle w:val="FootnoteReference"/>
        </w:rPr>
        <w:footnoteReference w:id="49"/>
      </w:r>
      <w:r>
        <w:rPr>
          <w:rStyle w:val="AERbody"/>
        </w:rPr>
        <w:t xml:space="preserve"> </w:t>
      </w:r>
    </w:p>
    <w:p w:rsidR="00F64DEC" w:rsidRDefault="00F64DEC" w:rsidP="00F64DEC">
      <w:r>
        <w:t xml:space="preserve">To forecast its proposed revenue, AusNet Services used a building block approach. It built a revenue forecast by estimating the value of discrete cost categories, or "building blocks". For the 2016–20 regulatory control </w:t>
      </w:r>
      <w:proofErr w:type="gramStart"/>
      <w:r>
        <w:t>period</w:t>
      </w:r>
      <w:proofErr w:type="gramEnd"/>
      <w:r>
        <w:t xml:space="preserve">, AusNet Services used this approach to propose: </w:t>
      </w:r>
    </w:p>
    <w:p w:rsidR="00F64DEC" w:rsidRDefault="00F64DEC" w:rsidP="00F64DEC">
      <w:pPr>
        <w:pStyle w:val="AERbulletlistfirststyle"/>
      </w:pPr>
      <w:proofErr w:type="gramStart"/>
      <w:r>
        <w:t>a</w:t>
      </w:r>
      <w:proofErr w:type="gramEnd"/>
      <w:r>
        <w:t xml:space="preserve"> forecast metering alternative control capex of $143.1 million ($2015).</w:t>
      </w:r>
      <w:r>
        <w:rPr>
          <w:rStyle w:val="FootnoteReference"/>
        </w:rPr>
        <w:footnoteReference w:id="50"/>
      </w:r>
      <w:r>
        <w:t xml:space="preserve"> </w:t>
      </w:r>
      <w:r w:rsidRPr="0019041B">
        <w:rPr>
          <w:rStyle w:val="AERbody"/>
        </w:rPr>
        <w:t xml:space="preserve">It </w:t>
      </w:r>
      <w:r>
        <w:rPr>
          <w:rStyle w:val="AERbody"/>
        </w:rPr>
        <w:t xml:space="preserve">also included $10.0 million ($2015) </w:t>
      </w:r>
      <w:r w:rsidRPr="0019041B">
        <w:rPr>
          <w:rStyle w:val="AERbody"/>
        </w:rPr>
        <w:t xml:space="preserve">forecast metering capex </w:t>
      </w:r>
      <w:r>
        <w:rPr>
          <w:rStyle w:val="AERbody"/>
        </w:rPr>
        <w:t>related to AMI communications in standard control services.</w:t>
      </w:r>
      <w:r w:rsidRPr="001E5D36">
        <w:rPr>
          <w:rStyle w:val="AERsuperscript"/>
        </w:rPr>
        <w:footnoteReference w:id="51"/>
      </w:r>
    </w:p>
    <w:p w:rsidR="00F64DEC" w:rsidRDefault="00F64DEC" w:rsidP="00F64DEC">
      <w:pPr>
        <w:pStyle w:val="AERbulletlistfirststyle"/>
      </w:pPr>
      <w:proofErr w:type="gramStart"/>
      <w:r>
        <w:t>a</w:t>
      </w:r>
      <w:proofErr w:type="gramEnd"/>
      <w:r>
        <w:t xml:space="preserve"> forecast alternative control metering opex of $53.8 million ($2015).</w:t>
      </w:r>
      <w:r>
        <w:rPr>
          <w:rStyle w:val="FootnoteReference"/>
        </w:rPr>
        <w:footnoteReference w:id="52"/>
      </w:r>
      <w:r>
        <w:t xml:space="preserve"> </w:t>
      </w:r>
      <w:r w:rsidRPr="0019041B">
        <w:rPr>
          <w:rStyle w:val="AERbody"/>
        </w:rPr>
        <w:t xml:space="preserve">It </w:t>
      </w:r>
      <w:r>
        <w:rPr>
          <w:rStyle w:val="AERbody"/>
        </w:rPr>
        <w:t xml:space="preserve">also included </w:t>
      </w:r>
      <w:r w:rsidRPr="0019041B">
        <w:rPr>
          <w:rStyle w:val="AERbody"/>
        </w:rPr>
        <w:t xml:space="preserve">forecast metering </w:t>
      </w:r>
      <w:r>
        <w:rPr>
          <w:rStyle w:val="AERbody"/>
        </w:rPr>
        <w:t>standard control</w:t>
      </w:r>
      <w:r w:rsidRPr="0019041B">
        <w:rPr>
          <w:rStyle w:val="AERbody"/>
        </w:rPr>
        <w:t xml:space="preserve"> opex of $86.0 million.</w:t>
      </w:r>
      <w:r>
        <w:t xml:space="preserve"> </w:t>
      </w:r>
    </w:p>
    <w:p w:rsidR="00F64DEC" w:rsidRDefault="00F64DEC" w:rsidP="00F64DEC">
      <w:pPr>
        <w:pStyle w:val="AERbulletlistfirststyle"/>
      </w:pPr>
      <w:r>
        <w:t>an opening metering regulatory asset base as at 1 January 2016 of $351.9 million ($2015)</w:t>
      </w:r>
      <w:r>
        <w:rPr>
          <w:rStyle w:val="FootnoteReference"/>
        </w:rPr>
        <w:footnoteReference w:id="53"/>
      </w:r>
    </w:p>
    <w:p w:rsidR="00F64DEC" w:rsidRDefault="00F64DEC" w:rsidP="00F64DEC">
      <w:pPr>
        <w:pStyle w:val="AERbulletlistfirststyle"/>
      </w:pPr>
      <w:proofErr w:type="gramStart"/>
      <w:r>
        <w:t>the</w:t>
      </w:r>
      <w:proofErr w:type="gramEnd"/>
      <w:r>
        <w:t xml:space="preserve"> same WACC and gamma values for standard control network service.</w:t>
      </w:r>
      <w:r>
        <w:rPr>
          <w:rStyle w:val="FootnoteReference"/>
        </w:rPr>
        <w:footnoteReference w:id="54"/>
      </w:r>
      <w:r>
        <w:t xml:space="preserve"> </w:t>
      </w:r>
    </w:p>
    <w:p w:rsidR="00F64DEC" w:rsidRDefault="00F64DEC" w:rsidP="00F64DEC">
      <w:r>
        <w:t xml:space="preserve">AusNet Services included indicative annual metering charges in its proposal. These indicative charges are based on its proposed revenue for the 2016–20 regulatory control </w:t>
      </w:r>
      <w:proofErr w:type="gramStart"/>
      <w:r>
        <w:t>period</w:t>
      </w:r>
      <w:proofErr w:type="gramEnd"/>
      <w:r>
        <w:t xml:space="preserve">. </w:t>
      </w:r>
      <w:r>
        <w:fldChar w:fldCharType="begin"/>
      </w:r>
      <w:r>
        <w:instrText xml:space="preserve"> REF _Ref430158072 \h </w:instrText>
      </w:r>
      <w:r>
        <w:fldChar w:fldCharType="separate"/>
      </w:r>
      <w:r w:rsidR="009E0EFD">
        <w:t xml:space="preserve">Table </w:t>
      </w:r>
      <w:r w:rsidR="009E0EFD">
        <w:rPr>
          <w:noProof/>
        </w:rPr>
        <w:t>16</w:t>
      </w:r>
      <w:r w:rsidR="009E0EFD">
        <w:t>.</w:t>
      </w:r>
      <w:r w:rsidR="009E0EFD">
        <w:rPr>
          <w:noProof/>
        </w:rPr>
        <w:t>11</w:t>
      </w:r>
      <w:r>
        <w:fldChar w:fldCharType="end"/>
      </w:r>
      <w:r>
        <w:t xml:space="preserve"> sets out those indicative charges. </w:t>
      </w:r>
    </w:p>
    <w:p w:rsidR="00F64DEC" w:rsidRDefault="00F64DEC" w:rsidP="00F64DEC">
      <w:pPr>
        <w:pStyle w:val="Caption"/>
      </w:pPr>
      <w:bookmarkStart w:id="57" w:name="_Ref430158072"/>
      <w:proofErr w:type="gramStart"/>
      <w:r>
        <w:t xml:space="preserve">Table </w:t>
      </w:r>
      <w:proofErr w:type="gramEnd"/>
      <w:r w:rsidR="006A670B">
        <w:fldChar w:fldCharType="begin"/>
      </w:r>
      <w:r w:rsidR="006A670B">
        <w:instrText xml:space="preserve"> STYLEREF 1 \s </w:instrText>
      </w:r>
      <w:r w:rsidR="006A670B">
        <w:fldChar w:fldCharType="separate"/>
      </w:r>
      <w:r w:rsidR="009E0EFD">
        <w:rPr>
          <w:noProof/>
        </w:rPr>
        <w:t>16</w:t>
      </w:r>
      <w:r w:rsidR="006A670B">
        <w:fldChar w:fldCharType="end"/>
      </w:r>
      <w:proofErr w:type="gramStart"/>
      <w:r w:rsidR="006A670B">
        <w:t>.</w:t>
      </w:r>
      <w:proofErr w:type="gramEnd"/>
      <w:r w:rsidR="006A670B">
        <w:fldChar w:fldCharType="begin"/>
      </w:r>
      <w:r w:rsidR="006A670B">
        <w:instrText xml:space="preserve"> SEQ Table \* ARABIC \s 1 </w:instrText>
      </w:r>
      <w:r w:rsidR="006A670B">
        <w:fldChar w:fldCharType="separate"/>
      </w:r>
      <w:r w:rsidR="009E0EFD">
        <w:rPr>
          <w:noProof/>
        </w:rPr>
        <w:t>11</w:t>
      </w:r>
      <w:r w:rsidR="006A670B">
        <w:fldChar w:fldCharType="end"/>
      </w:r>
      <w:bookmarkEnd w:id="57"/>
      <w:r>
        <w:t xml:space="preserve">—Proposed Alternative Control Metering Service Charges </w:t>
      </w:r>
    </w:p>
    <w:tbl>
      <w:tblPr>
        <w:tblStyle w:val="AERtable-numbers"/>
        <w:tblW w:w="0" w:type="auto"/>
        <w:tblLook w:val="04A0" w:firstRow="1" w:lastRow="0" w:firstColumn="1" w:lastColumn="0" w:noHBand="0" w:noVBand="1"/>
      </w:tblPr>
      <w:tblGrid>
        <w:gridCol w:w="3003"/>
        <w:gridCol w:w="1138"/>
        <w:gridCol w:w="1138"/>
        <w:gridCol w:w="1138"/>
        <w:gridCol w:w="1138"/>
        <w:gridCol w:w="1138"/>
      </w:tblGrid>
      <w:tr w:rsidR="00F64DEC" w:rsidTr="00F64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2" w:type="dxa"/>
          </w:tcPr>
          <w:p w:rsidR="00F64DEC" w:rsidRPr="00F64DEC" w:rsidRDefault="00F64DEC" w:rsidP="00F64DEC">
            <w:r>
              <w:t>$, nominal</w:t>
            </w:r>
          </w:p>
        </w:tc>
        <w:tc>
          <w:tcPr>
            <w:tcW w:w="1155" w:type="dxa"/>
          </w:tcPr>
          <w:p w:rsidR="00F64DEC" w:rsidRPr="00F64DEC" w:rsidRDefault="00F64DEC" w:rsidP="00F64DEC">
            <w:pPr>
              <w:cnfStyle w:val="100000000000" w:firstRow="1" w:lastRow="0" w:firstColumn="0" w:lastColumn="0" w:oddVBand="0" w:evenVBand="0" w:oddHBand="0" w:evenHBand="0" w:firstRowFirstColumn="0" w:firstRowLastColumn="0" w:lastRowFirstColumn="0" w:lastRowLastColumn="0"/>
            </w:pPr>
            <w:r>
              <w:t>2016</w:t>
            </w:r>
          </w:p>
        </w:tc>
        <w:tc>
          <w:tcPr>
            <w:tcW w:w="1154" w:type="dxa"/>
          </w:tcPr>
          <w:p w:rsidR="00F64DEC" w:rsidRPr="00F64DEC" w:rsidRDefault="00F64DEC" w:rsidP="00F64DEC">
            <w:pPr>
              <w:cnfStyle w:val="100000000000" w:firstRow="1" w:lastRow="0" w:firstColumn="0" w:lastColumn="0" w:oddVBand="0" w:evenVBand="0" w:oddHBand="0" w:evenHBand="0" w:firstRowFirstColumn="0" w:firstRowLastColumn="0" w:lastRowFirstColumn="0" w:lastRowLastColumn="0"/>
            </w:pPr>
            <w:r>
              <w:t>2017</w:t>
            </w:r>
          </w:p>
        </w:tc>
        <w:tc>
          <w:tcPr>
            <w:tcW w:w="1154" w:type="dxa"/>
          </w:tcPr>
          <w:p w:rsidR="00F64DEC" w:rsidRPr="00F64DEC" w:rsidRDefault="00F64DEC" w:rsidP="00F64DEC">
            <w:pPr>
              <w:cnfStyle w:val="100000000000" w:firstRow="1" w:lastRow="0" w:firstColumn="0" w:lastColumn="0" w:oddVBand="0" w:evenVBand="0" w:oddHBand="0" w:evenHBand="0" w:firstRowFirstColumn="0" w:firstRowLastColumn="0" w:lastRowFirstColumn="0" w:lastRowLastColumn="0"/>
            </w:pPr>
            <w:r>
              <w:t>2018</w:t>
            </w:r>
          </w:p>
        </w:tc>
        <w:tc>
          <w:tcPr>
            <w:tcW w:w="1154" w:type="dxa"/>
          </w:tcPr>
          <w:p w:rsidR="00F64DEC" w:rsidRPr="00F64DEC" w:rsidRDefault="00F64DEC" w:rsidP="00F64DEC">
            <w:pPr>
              <w:cnfStyle w:val="100000000000" w:firstRow="1" w:lastRow="0" w:firstColumn="0" w:lastColumn="0" w:oddVBand="0" w:evenVBand="0" w:oddHBand="0" w:evenHBand="0" w:firstRowFirstColumn="0" w:firstRowLastColumn="0" w:lastRowFirstColumn="0" w:lastRowLastColumn="0"/>
            </w:pPr>
            <w:r>
              <w:t>2019</w:t>
            </w:r>
          </w:p>
        </w:tc>
        <w:tc>
          <w:tcPr>
            <w:tcW w:w="1154" w:type="dxa"/>
          </w:tcPr>
          <w:p w:rsidR="00F64DEC" w:rsidRPr="00F64DEC" w:rsidRDefault="00F64DEC" w:rsidP="00F64DEC">
            <w:pPr>
              <w:cnfStyle w:val="100000000000" w:firstRow="1" w:lastRow="0" w:firstColumn="0" w:lastColumn="0" w:oddVBand="0" w:evenVBand="0" w:oddHBand="0" w:evenHBand="0" w:firstRowFirstColumn="0" w:firstRowLastColumn="0" w:lastRowFirstColumn="0" w:lastRowLastColumn="0"/>
            </w:pPr>
            <w:r>
              <w:t>2020</w:t>
            </w:r>
          </w:p>
        </w:tc>
      </w:tr>
      <w:tr w:rsidR="00F64DEC" w:rsidRPr="00962095" w:rsidTr="00F64DEC">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F64DEC" w:rsidRPr="00F64DEC" w:rsidRDefault="00F64DEC" w:rsidP="00F64DEC">
            <w:r w:rsidRPr="00962095">
              <w:t xml:space="preserve">Single phase single element </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rsidRPr="00962095">
              <w:t xml:space="preserve">103.66 </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rsidRPr="00962095">
              <w:t xml:space="preserve">74.36 </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rsidRPr="00962095">
              <w:t xml:space="preserve">76.28 </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rsidRPr="00962095">
              <w:t xml:space="preserve">79.86 </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rsidRPr="00962095">
              <w:t xml:space="preserve">83.23 </w:t>
            </w:r>
          </w:p>
        </w:tc>
      </w:tr>
      <w:tr w:rsidR="00F64DEC" w:rsidRPr="00962095" w:rsidTr="00F64DEC">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F64DEC" w:rsidRPr="00F64DEC" w:rsidRDefault="00F64DEC" w:rsidP="00F64DEC">
            <w:r w:rsidRPr="00962095">
              <w:t xml:space="preserve">Single phase two element with contactor </w:t>
            </w:r>
          </w:p>
        </w:tc>
        <w:tc>
          <w:tcPr>
            <w:tcW w:w="0" w:type="auto"/>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rsidRPr="00962095">
              <w:t xml:space="preserve">119.12 </w:t>
            </w:r>
          </w:p>
        </w:tc>
        <w:tc>
          <w:tcPr>
            <w:tcW w:w="0" w:type="auto"/>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rsidRPr="00962095">
              <w:t xml:space="preserve">85.45 </w:t>
            </w:r>
          </w:p>
        </w:tc>
        <w:tc>
          <w:tcPr>
            <w:tcW w:w="0" w:type="auto"/>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rsidRPr="00962095">
              <w:t xml:space="preserve">87.66 </w:t>
            </w:r>
          </w:p>
        </w:tc>
        <w:tc>
          <w:tcPr>
            <w:tcW w:w="0" w:type="auto"/>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rsidRPr="00962095">
              <w:t xml:space="preserve">91.76 </w:t>
            </w:r>
          </w:p>
        </w:tc>
        <w:tc>
          <w:tcPr>
            <w:tcW w:w="0" w:type="auto"/>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rsidRPr="00962095">
              <w:t xml:space="preserve">95.64 </w:t>
            </w:r>
          </w:p>
        </w:tc>
      </w:tr>
      <w:tr w:rsidR="00F64DEC" w:rsidRPr="00962095" w:rsidTr="00F64DEC">
        <w:trPr>
          <w:trHeight w:val="103"/>
        </w:trPr>
        <w:tc>
          <w:tcPr>
            <w:cnfStyle w:val="001000000000" w:firstRow="0" w:lastRow="0" w:firstColumn="1" w:lastColumn="0" w:oddVBand="0" w:evenVBand="0" w:oddHBand="0" w:evenHBand="0" w:firstRowFirstColumn="0" w:firstRowLastColumn="0" w:lastRowFirstColumn="0" w:lastRowLastColumn="0"/>
            <w:tcW w:w="0" w:type="auto"/>
          </w:tcPr>
          <w:p w:rsidR="00F64DEC" w:rsidRPr="00F64DEC" w:rsidRDefault="00F64DEC" w:rsidP="00F64DEC">
            <w:r w:rsidRPr="00962095">
              <w:t xml:space="preserve">Multiphase </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rsidRPr="00962095">
              <w:t xml:space="preserve">143.91 </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rsidRPr="00962095">
              <w:t xml:space="preserve">103.24 </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rsidRPr="00962095">
              <w:t xml:space="preserve">105.91 </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rsidRPr="00962095">
              <w:t xml:space="preserve">110.87 </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rsidRPr="00962095">
              <w:t xml:space="preserve">115.55 </w:t>
            </w:r>
          </w:p>
        </w:tc>
      </w:tr>
      <w:tr w:rsidR="00F64DEC" w:rsidRPr="00962095" w:rsidTr="00F64DEC">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0" w:type="auto"/>
          </w:tcPr>
          <w:p w:rsidR="00F64DEC" w:rsidRPr="00F64DEC" w:rsidRDefault="00F64DEC" w:rsidP="00F64DEC">
            <w:r w:rsidRPr="00962095">
              <w:t xml:space="preserve">Multiphase with contactor </w:t>
            </w:r>
          </w:p>
        </w:tc>
        <w:tc>
          <w:tcPr>
            <w:tcW w:w="0" w:type="auto"/>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rsidRPr="00962095">
              <w:t xml:space="preserve">159.64 </w:t>
            </w:r>
          </w:p>
        </w:tc>
        <w:tc>
          <w:tcPr>
            <w:tcW w:w="0" w:type="auto"/>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rsidRPr="00962095">
              <w:t xml:space="preserve">114.52 </w:t>
            </w:r>
          </w:p>
        </w:tc>
        <w:tc>
          <w:tcPr>
            <w:tcW w:w="0" w:type="auto"/>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rsidRPr="00962095">
              <w:t xml:space="preserve">117.48 </w:t>
            </w:r>
          </w:p>
        </w:tc>
        <w:tc>
          <w:tcPr>
            <w:tcW w:w="0" w:type="auto"/>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rsidRPr="00962095">
              <w:t xml:space="preserve">122.98 </w:t>
            </w:r>
          </w:p>
        </w:tc>
        <w:tc>
          <w:tcPr>
            <w:tcW w:w="0" w:type="auto"/>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rsidRPr="00962095">
              <w:t xml:space="preserve">128.17 </w:t>
            </w:r>
          </w:p>
        </w:tc>
      </w:tr>
      <w:tr w:rsidR="00F64DEC" w:rsidRPr="00962095" w:rsidTr="00F64DEC">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F64DEC" w:rsidRPr="00F64DEC" w:rsidRDefault="00F64DEC" w:rsidP="00F64DEC">
            <w:r w:rsidRPr="00962095">
              <w:t xml:space="preserve">Multiphase CT connected </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rsidRPr="00962095">
              <w:t xml:space="preserve">205.49 </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rsidRPr="00962095">
              <w:t xml:space="preserve">147.41 </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rsidRPr="00962095">
              <w:t xml:space="preserve">151.22 </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rsidRPr="00962095">
              <w:t xml:space="preserve">158.30 </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rsidRPr="00962095">
              <w:t xml:space="preserve">164.98 </w:t>
            </w:r>
          </w:p>
        </w:tc>
      </w:tr>
    </w:tbl>
    <w:p w:rsidR="00F64DEC" w:rsidRDefault="00F64DEC" w:rsidP="00F64DEC">
      <w:pPr>
        <w:pStyle w:val="AERtablesource"/>
      </w:pPr>
      <w:r>
        <w:t>Source:</w:t>
      </w:r>
      <w:r>
        <w:tab/>
        <w:t xml:space="preserve">AusNet Services, </w:t>
      </w:r>
      <w:r w:rsidRPr="001C6565">
        <w:rPr>
          <w:rStyle w:val="Emphasis"/>
        </w:rPr>
        <w:t>Regulatory Proposal 2016–20</w:t>
      </w:r>
      <w:r>
        <w:t>, April 2015, p. 402, Table 17.5.</w:t>
      </w:r>
    </w:p>
    <w:p w:rsidR="00F64DEC" w:rsidRDefault="00F64DEC" w:rsidP="006A670B">
      <w:pPr>
        <w:pStyle w:val="Heading4"/>
        <w:keepNext/>
        <w:ind w:left="862" w:hanging="862"/>
      </w:pPr>
      <w:r>
        <w:t>Metering exit fee</w:t>
      </w:r>
    </w:p>
    <w:p w:rsidR="00F64DEC" w:rsidRPr="00796429" w:rsidRDefault="00F64DEC" w:rsidP="00F64DEC">
      <w:r>
        <w:t>AusNet Services proposed an exit fee for</w:t>
      </w:r>
      <w:r w:rsidRPr="00796429">
        <w:t xml:space="preserve"> when a metering customer chooses to replace a regulated meter installed under the derogation with a competitively sourced meter. </w:t>
      </w:r>
      <w:r>
        <w:t>AusNet Services</w:t>
      </w:r>
      <w:r w:rsidRPr="00796429">
        <w:t xml:space="preserve"> notes that the Order states that: </w:t>
      </w:r>
    </w:p>
    <w:p w:rsidR="00F64DEC" w:rsidRPr="00796429" w:rsidRDefault="00F64DEC" w:rsidP="00F64DEC">
      <w:pPr>
        <w:pStyle w:val="AERquote"/>
      </w:pPr>
      <w:proofErr w:type="gramStart"/>
      <w:r>
        <w:t>a</w:t>
      </w:r>
      <w:r w:rsidRPr="00796429">
        <w:t>n</w:t>
      </w:r>
      <w:proofErr w:type="gramEnd"/>
      <w:r w:rsidRPr="00796429">
        <w:t xml:space="preserve"> exit fee must be paid by the retailer to the distributor, where the retailer becomes responsible for the metering installation that was previously the responsibility of</w:t>
      </w:r>
      <w:r>
        <w:t xml:space="preserve"> the distributor</w:t>
      </w:r>
      <w:r w:rsidRPr="00796429">
        <w:t>.</w:t>
      </w:r>
      <w:r w:rsidRPr="00796429">
        <w:rPr>
          <w:rStyle w:val="AERsuperscript"/>
        </w:rPr>
        <w:footnoteReference w:id="55"/>
      </w:r>
    </w:p>
    <w:p w:rsidR="00F64DEC" w:rsidRPr="00796429" w:rsidRDefault="00F64DEC" w:rsidP="00F64DEC">
      <w:r w:rsidRPr="00796429">
        <w:t xml:space="preserve">The proposed exit fee has </w:t>
      </w:r>
      <w:r>
        <w:t>the following</w:t>
      </w:r>
      <w:r w:rsidRPr="00796429">
        <w:t xml:space="preserve"> components:</w:t>
      </w:r>
    </w:p>
    <w:p w:rsidR="00F64DEC" w:rsidRDefault="00F64DEC" w:rsidP="00F64DEC">
      <w:pPr>
        <w:pStyle w:val="AERbulletlistfirststyle"/>
      </w:pPr>
      <w:r w:rsidRPr="00796429">
        <w:t>recovery or sunk capital costs (residual asset base value)</w:t>
      </w:r>
    </w:p>
    <w:p w:rsidR="00F64DEC" w:rsidRPr="00796429" w:rsidRDefault="00F64DEC" w:rsidP="00F64DEC">
      <w:pPr>
        <w:pStyle w:val="AERbulletlistfirststyle"/>
      </w:pPr>
      <w:r>
        <w:t>compensation for lost economies of scale associated with foregone network benefits</w:t>
      </w:r>
    </w:p>
    <w:p w:rsidR="00F64DEC" w:rsidRPr="00796429" w:rsidRDefault="00F64DEC" w:rsidP="00F64DEC">
      <w:pPr>
        <w:pStyle w:val="AERbulletlistfirststyle"/>
      </w:pPr>
      <w:proofErr w:type="gramStart"/>
      <w:r>
        <w:t>reasonable</w:t>
      </w:r>
      <w:proofErr w:type="gramEnd"/>
      <w:r>
        <w:t xml:space="preserve"> and efficient costs of removing the metering installation</w:t>
      </w:r>
      <w:r w:rsidRPr="00796429">
        <w:t>.</w:t>
      </w:r>
      <w:r w:rsidRPr="00796429">
        <w:rPr>
          <w:rStyle w:val="AERsuperscript"/>
        </w:rPr>
        <w:footnoteReference w:id="56"/>
      </w:r>
      <w:r>
        <w:t xml:space="preserve"> </w:t>
      </w:r>
    </w:p>
    <w:p w:rsidR="00F64DEC" w:rsidRDefault="00F64DEC" w:rsidP="00F64DEC">
      <w:r w:rsidRPr="00796429">
        <w:t xml:space="preserve">Departing customers will be charged the fee when they choose to take their metering services from </w:t>
      </w:r>
      <w:r>
        <w:t>a competitively provided source</w:t>
      </w:r>
      <w:r w:rsidRPr="00796429">
        <w:t>. In this instance, we will no longer regulate the customer’s metering charge. The corollary is that customers will not pay this fee at all if they continue to receive metering services from their distributor.</w:t>
      </w:r>
      <w:r>
        <w:t xml:space="preserve"> </w:t>
      </w:r>
    </w:p>
    <w:p w:rsidR="00F64DEC" w:rsidRPr="005A6DA2" w:rsidRDefault="00F64DEC" w:rsidP="00F64DEC">
      <w:pPr>
        <w:pStyle w:val="Caption"/>
      </w:pPr>
      <w:proofErr w:type="gramStart"/>
      <w:r>
        <w:t xml:space="preserve">Table </w:t>
      </w:r>
      <w:proofErr w:type="gramEnd"/>
      <w:r w:rsidR="006A670B">
        <w:fldChar w:fldCharType="begin"/>
      </w:r>
      <w:r w:rsidR="006A670B">
        <w:instrText xml:space="preserve"> STYLEREF 1 \s </w:instrText>
      </w:r>
      <w:r w:rsidR="006A670B">
        <w:fldChar w:fldCharType="separate"/>
      </w:r>
      <w:r w:rsidR="009E0EFD">
        <w:rPr>
          <w:noProof/>
        </w:rPr>
        <w:t>16</w:t>
      </w:r>
      <w:r w:rsidR="006A670B">
        <w:fldChar w:fldCharType="end"/>
      </w:r>
      <w:proofErr w:type="gramStart"/>
      <w:r w:rsidR="006A670B">
        <w:t>.</w:t>
      </w:r>
      <w:proofErr w:type="gramEnd"/>
      <w:r w:rsidR="006A670B">
        <w:fldChar w:fldCharType="begin"/>
      </w:r>
      <w:r w:rsidR="006A670B">
        <w:instrText xml:space="preserve"> SEQ Table \* ARABIC \s 1 </w:instrText>
      </w:r>
      <w:r w:rsidR="006A670B">
        <w:fldChar w:fldCharType="separate"/>
      </w:r>
      <w:r w:rsidR="009E0EFD">
        <w:rPr>
          <w:noProof/>
        </w:rPr>
        <w:t>12</w:t>
      </w:r>
      <w:r w:rsidR="006A670B">
        <w:fldChar w:fldCharType="end"/>
      </w:r>
      <w:r>
        <w:t>—AusNet Services' proposed metering exit fees ($nominal)</w:t>
      </w:r>
    </w:p>
    <w:tbl>
      <w:tblPr>
        <w:tblStyle w:val="AERtable-numbers"/>
        <w:tblW w:w="0" w:type="auto"/>
        <w:tblLook w:val="04A0" w:firstRow="1" w:lastRow="0" w:firstColumn="1" w:lastColumn="0" w:noHBand="0" w:noVBand="1"/>
      </w:tblPr>
      <w:tblGrid>
        <w:gridCol w:w="3063"/>
        <w:gridCol w:w="1130"/>
        <w:gridCol w:w="1125"/>
        <w:gridCol w:w="1125"/>
        <w:gridCol w:w="1125"/>
        <w:gridCol w:w="1125"/>
      </w:tblGrid>
      <w:tr w:rsidR="00F64DEC" w:rsidTr="00F64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Pr>
          <w:p w:rsidR="00F64DEC" w:rsidRPr="00F64DEC" w:rsidRDefault="00F64DEC" w:rsidP="00F64DEC">
            <w:r>
              <w:t>Meter type</w:t>
            </w:r>
          </w:p>
        </w:tc>
        <w:tc>
          <w:tcPr>
            <w:tcW w:w="1133" w:type="dxa"/>
          </w:tcPr>
          <w:p w:rsidR="00F64DEC" w:rsidRPr="00F64DEC" w:rsidRDefault="00F64DEC" w:rsidP="00F64DEC">
            <w:pPr>
              <w:cnfStyle w:val="100000000000" w:firstRow="1" w:lastRow="0" w:firstColumn="0" w:lastColumn="0" w:oddVBand="0" w:evenVBand="0" w:oddHBand="0" w:evenHBand="0" w:firstRowFirstColumn="0" w:firstRowLastColumn="0" w:lastRowFirstColumn="0" w:lastRowLastColumn="0"/>
            </w:pPr>
            <w:r>
              <w:t>2016</w:t>
            </w:r>
          </w:p>
        </w:tc>
        <w:tc>
          <w:tcPr>
            <w:tcW w:w="1128" w:type="dxa"/>
          </w:tcPr>
          <w:p w:rsidR="00F64DEC" w:rsidRPr="00F64DEC" w:rsidRDefault="00F64DEC" w:rsidP="00F64DEC">
            <w:pPr>
              <w:cnfStyle w:val="100000000000" w:firstRow="1" w:lastRow="0" w:firstColumn="0" w:lastColumn="0" w:oddVBand="0" w:evenVBand="0" w:oddHBand="0" w:evenHBand="0" w:firstRowFirstColumn="0" w:firstRowLastColumn="0" w:lastRowFirstColumn="0" w:lastRowLastColumn="0"/>
            </w:pPr>
            <w:r>
              <w:t>2017</w:t>
            </w:r>
          </w:p>
        </w:tc>
        <w:tc>
          <w:tcPr>
            <w:tcW w:w="1128" w:type="dxa"/>
          </w:tcPr>
          <w:p w:rsidR="00F64DEC" w:rsidRPr="00F64DEC" w:rsidRDefault="00F64DEC" w:rsidP="00F64DEC">
            <w:pPr>
              <w:cnfStyle w:val="100000000000" w:firstRow="1" w:lastRow="0" w:firstColumn="0" w:lastColumn="0" w:oddVBand="0" w:evenVBand="0" w:oddHBand="0" w:evenHBand="0" w:firstRowFirstColumn="0" w:firstRowLastColumn="0" w:lastRowFirstColumn="0" w:lastRowLastColumn="0"/>
            </w:pPr>
            <w:r>
              <w:t>2018</w:t>
            </w:r>
          </w:p>
        </w:tc>
        <w:tc>
          <w:tcPr>
            <w:tcW w:w="1128" w:type="dxa"/>
          </w:tcPr>
          <w:p w:rsidR="00F64DEC" w:rsidRPr="00F64DEC" w:rsidRDefault="00F64DEC" w:rsidP="00F64DEC">
            <w:pPr>
              <w:cnfStyle w:val="100000000000" w:firstRow="1" w:lastRow="0" w:firstColumn="0" w:lastColumn="0" w:oddVBand="0" w:evenVBand="0" w:oddHBand="0" w:evenHBand="0" w:firstRowFirstColumn="0" w:firstRowLastColumn="0" w:lastRowFirstColumn="0" w:lastRowLastColumn="0"/>
            </w:pPr>
            <w:r>
              <w:t>2019</w:t>
            </w:r>
          </w:p>
        </w:tc>
        <w:tc>
          <w:tcPr>
            <w:tcW w:w="1128" w:type="dxa"/>
          </w:tcPr>
          <w:p w:rsidR="00F64DEC" w:rsidRPr="00F64DEC" w:rsidRDefault="00F64DEC" w:rsidP="00F64DEC">
            <w:pPr>
              <w:cnfStyle w:val="100000000000" w:firstRow="1" w:lastRow="0" w:firstColumn="0" w:lastColumn="0" w:oddVBand="0" w:evenVBand="0" w:oddHBand="0" w:evenHBand="0" w:firstRowFirstColumn="0" w:firstRowLastColumn="0" w:lastRowFirstColumn="0" w:lastRowLastColumn="0"/>
            </w:pPr>
            <w:r>
              <w:t>2020</w:t>
            </w:r>
          </w:p>
        </w:tc>
      </w:tr>
      <w:tr w:rsidR="00F64DEC" w:rsidRPr="00962095" w:rsidTr="00F64DEC">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F64DEC" w:rsidRPr="00F64DEC" w:rsidRDefault="00F64DEC" w:rsidP="00F64DEC">
            <w:r w:rsidRPr="00962095">
              <w:t xml:space="preserve">Single phase single element </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t>538.30</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t>536.99</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t>532.34</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t>526.33</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t>517.24</w:t>
            </w:r>
          </w:p>
        </w:tc>
      </w:tr>
      <w:tr w:rsidR="00F64DEC" w:rsidRPr="00962095" w:rsidTr="00F64DEC">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F64DEC" w:rsidRPr="00F64DEC" w:rsidRDefault="00F64DEC" w:rsidP="00F64DEC">
            <w:r w:rsidRPr="00962095">
              <w:t xml:space="preserve">Single phase two element with contactor </w:t>
            </w:r>
          </w:p>
        </w:tc>
        <w:tc>
          <w:tcPr>
            <w:tcW w:w="0" w:type="auto"/>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t>562.53</w:t>
            </w:r>
          </w:p>
        </w:tc>
        <w:tc>
          <w:tcPr>
            <w:tcW w:w="0" w:type="auto"/>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t>554.14</w:t>
            </w:r>
          </w:p>
        </w:tc>
        <w:tc>
          <w:tcPr>
            <w:tcW w:w="0" w:type="auto"/>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t>541.87</w:t>
            </w:r>
          </w:p>
        </w:tc>
        <w:tc>
          <w:tcPr>
            <w:tcW w:w="0" w:type="auto"/>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t>527.98</w:t>
            </w:r>
          </w:p>
        </w:tc>
        <w:tc>
          <w:tcPr>
            <w:tcW w:w="0" w:type="auto"/>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t>510.76</w:t>
            </w:r>
          </w:p>
        </w:tc>
      </w:tr>
      <w:tr w:rsidR="00F64DEC" w:rsidRPr="00962095" w:rsidTr="00F64DEC">
        <w:trPr>
          <w:trHeight w:val="103"/>
        </w:trPr>
        <w:tc>
          <w:tcPr>
            <w:cnfStyle w:val="001000000000" w:firstRow="0" w:lastRow="0" w:firstColumn="1" w:lastColumn="0" w:oddVBand="0" w:evenVBand="0" w:oddHBand="0" w:evenHBand="0" w:firstRowFirstColumn="0" w:firstRowLastColumn="0" w:lastRowFirstColumn="0" w:lastRowLastColumn="0"/>
            <w:tcW w:w="0" w:type="auto"/>
          </w:tcPr>
          <w:p w:rsidR="00F64DEC" w:rsidRPr="00F64DEC" w:rsidRDefault="00F64DEC" w:rsidP="00F64DEC">
            <w:r w:rsidRPr="00962095">
              <w:t xml:space="preserve">Multiphase </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t>583.48</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t>575.00</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t>558.50</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t>535.93</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t>505.26</w:t>
            </w:r>
          </w:p>
        </w:tc>
      </w:tr>
      <w:tr w:rsidR="00F64DEC" w:rsidRPr="00962095" w:rsidTr="00F64DEC">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0" w:type="auto"/>
          </w:tcPr>
          <w:p w:rsidR="00F64DEC" w:rsidRPr="00F64DEC" w:rsidRDefault="00F64DEC" w:rsidP="00F64DEC">
            <w:r w:rsidRPr="00962095">
              <w:t xml:space="preserve">Multiphase with contactor </w:t>
            </w:r>
          </w:p>
        </w:tc>
        <w:tc>
          <w:tcPr>
            <w:tcW w:w="0" w:type="auto"/>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t>570.04</w:t>
            </w:r>
          </w:p>
        </w:tc>
        <w:tc>
          <w:tcPr>
            <w:tcW w:w="0" w:type="auto"/>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t>574.98</w:t>
            </w:r>
          </w:p>
        </w:tc>
        <w:tc>
          <w:tcPr>
            <w:tcW w:w="0" w:type="auto"/>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t>576.01</w:t>
            </w:r>
          </w:p>
        </w:tc>
        <w:tc>
          <w:tcPr>
            <w:tcW w:w="0" w:type="auto"/>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t>575.44</w:t>
            </w:r>
          </w:p>
        </w:tc>
        <w:tc>
          <w:tcPr>
            <w:tcW w:w="0" w:type="auto"/>
          </w:tcPr>
          <w:p w:rsidR="00F64DEC" w:rsidRPr="00F64DEC" w:rsidRDefault="00F64DEC" w:rsidP="00F64DEC">
            <w:pPr>
              <w:cnfStyle w:val="000000010000" w:firstRow="0" w:lastRow="0" w:firstColumn="0" w:lastColumn="0" w:oddVBand="0" w:evenVBand="0" w:oddHBand="0" w:evenHBand="1" w:firstRowFirstColumn="0" w:firstRowLastColumn="0" w:lastRowFirstColumn="0" w:lastRowLastColumn="0"/>
            </w:pPr>
            <w:r>
              <w:t>571.69</w:t>
            </w:r>
          </w:p>
        </w:tc>
      </w:tr>
      <w:tr w:rsidR="00F64DEC" w:rsidRPr="00962095" w:rsidTr="00F64DEC">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F64DEC" w:rsidRPr="00F64DEC" w:rsidRDefault="00F64DEC" w:rsidP="00F64DEC">
            <w:r w:rsidRPr="00962095">
              <w:t xml:space="preserve">Multiphase CT connected </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t>659.44</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t>668.52</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t>672.80</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t>674.41</w:t>
            </w:r>
          </w:p>
        </w:tc>
        <w:tc>
          <w:tcPr>
            <w:tcW w:w="0" w:type="auto"/>
          </w:tcPr>
          <w:p w:rsidR="00F64DEC" w:rsidRPr="00F64DEC" w:rsidRDefault="00F64DEC" w:rsidP="00F64DEC">
            <w:pPr>
              <w:cnfStyle w:val="000000000000" w:firstRow="0" w:lastRow="0" w:firstColumn="0" w:lastColumn="0" w:oddVBand="0" w:evenVBand="0" w:oddHBand="0" w:evenHBand="0" w:firstRowFirstColumn="0" w:firstRowLastColumn="0" w:lastRowFirstColumn="0" w:lastRowLastColumn="0"/>
            </w:pPr>
            <w:r>
              <w:t>671.88</w:t>
            </w:r>
          </w:p>
        </w:tc>
      </w:tr>
    </w:tbl>
    <w:p w:rsidR="00F64DEC" w:rsidRPr="00913B51" w:rsidRDefault="00F64DEC" w:rsidP="00F64DEC">
      <w:pPr>
        <w:pStyle w:val="AERtablesource"/>
      </w:pPr>
      <w:r>
        <w:t>Source:</w:t>
      </w:r>
      <w:r>
        <w:tab/>
        <w:t>AusNet Services, Regulatory Proposal 2016–20, April 2015, p. 411, Table 17.9.</w:t>
      </w:r>
    </w:p>
    <w:p w:rsidR="00F64DEC" w:rsidRDefault="00F64DEC" w:rsidP="00F64DEC">
      <w:pPr>
        <w:pStyle w:val="Heading4"/>
      </w:pPr>
      <w:r>
        <w:t>Type 7 metering installations</w:t>
      </w:r>
    </w:p>
    <w:p w:rsidR="00894019" w:rsidRDefault="006A670B" w:rsidP="006A670B">
      <w:pPr>
        <w:rPr>
          <w:b/>
          <w:bCs/>
          <w:color w:val="076A92" w:themeColor="text1"/>
          <w:sz w:val="24"/>
          <w:szCs w:val="18"/>
        </w:rPr>
      </w:pPr>
      <w:r>
        <w:fldChar w:fldCharType="begin"/>
      </w:r>
      <w:r>
        <w:instrText xml:space="preserve"> REF _Ref433704283 \h </w:instrText>
      </w:r>
      <w:r>
        <w:fldChar w:fldCharType="separate"/>
      </w:r>
      <w:r w:rsidR="009E0EFD">
        <w:t xml:space="preserve">Table </w:t>
      </w:r>
      <w:r w:rsidR="009E0EFD">
        <w:rPr>
          <w:noProof/>
        </w:rPr>
        <w:t>16</w:t>
      </w:r>
      <w:r w:rsidR="009E0EFD">
        <w:t>.</w:t>
      </w:r>
      <w:r w:rsidR="009E0EFD">
        <w:rPr>
          <w:noProof/>
        </w:rPr>
        <w:t>13</w:t>
      </w:r>
      <w:r>
        <w:fldChar w:fldCharType="end"/>
      </w:r>
      <w:r>
        <w:t xml:space="preserve"> </w:t>
      </w:r>
      <w:r w:rsidR="00F64DEC">
        <w:t xml:space="preserve">sets out AusNet Services two type 7 metering charges for the 2016–20 regulatory control </w:t>
      </w:r>
      <w:proofErr w:type="gramStart"/>
      <w:r w:rsidR="00F64DEC">
        <w:t>period</w:t>
      </w:r>
      <w:proofErr w:type="gramEnd"/>
      <w:r w:rsidR="00F64DEC">
        <w:t xml:space="preserve">. </w:t>
      </w:r>
    </w:p>
    <w:p w:rsidR="006A670B" w:rsidRPr="006A670B" w:rsidRDefault="006A670B" w:rsidP="006A670B">
      <w:pPr>
        <w:pStyle w:val="Caption"/>
      </w:pPr>
      <w:bookmarkStart w:id="58" w:name="_Ref433704283"/>
      <w:proofErr w:type="gramStart"/>
      <w:r>
        <w:t xml:space="preserve">Table </w:t>
      </w:r>
      <w:proofErr w:type="gramEnd"/>
      <w:r>
        <w:fldChar w:fldCharType="begin"/>
      </w:r>
      <w:r>
        <w:instrText xml:space="preserve"> STYLEREF 1 \s </w:instrText>
      </w:r>
      <w:r>
        <w:fldChar w:fldCharType="separate"/>
      </w:r>
      <w:r w:rsidR="009E0EFD">
        <w:rPr>
          <w:noProof/>
        </w:rPr>
        <w:t>16</w:t>
      </w:r>
      <w:r>
        <w:fldChar w:fldCharType="end"/>
      </w:r>
      <w:proofErr w:type="gramStart"/>
      <w:r>
        <w:t>.</w:t>
      </w:r>
      <w:proofErr w:type="gramEnd"/>
      <w:r>
        <w:fldChar w:fldCharType="begin"/>
      </w:r>
      <w:r>
        <w:instrText xml:space="preserve"> SEQ Table \* ARABIC \s 1 </w:instrText>
      </w:r>
      <w:r>
        <w:fldChar w:fldCharType="separate"/>
      </w:r>
      <w:r w:rsidR="009E0EFD">
        <w:rPr>
          <w:noProof/>
        </w:rPr>
        <w:t>13</w:t>
      </w:r>
      <w:r>
        <w:fldChar w:fldCharType="end"/>
      </w:r>
      <w:bookmarkEnd w:id="58"/>
      <w:r>
        <w:tab/>
      </w:r>
      <w:r w:rsidRPr="006A670B">
        <w:t>Proposed Type 7 metering charges ($nominal)</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F64DEC" w:rsidTr="00F64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F64DEC" w:rsidRPr="00F64DEC" w:rsidRDefault="00F64DEC" w:rsidP="006A670B">
            <w:pPr>
              <w:keepNext/>
            </w:pPr>
            <w:r>
              <w:t>Category</w:t>
            </w:r>
          </w:p>
        </w:tc>
        <w:tc>
          <w:tcPr>
            <w:tcW w:w="1449" w:type="dxa"/>
          </w:tcPr>
          <w:p w:rsidR="00F64DEC" w:rsidRPr="00F64DEC" w:rsidRDefault="00F64DEC" w:rsidP="006A670B">
            <w:pPr>
              <w:keepNext/>
              <w:cnfStyle w:val="100000000000" w:firstRow="1" w:lastRow="0" w:firstColumn="0" w:lastColumn="0" w:oddVBand="0" w:evenVBand="0" w:oddHBand="0" w:evenHBand="0" w:firstRowFirstColumn="0" w:firstRowLastColumn="0" w:lastRowFirstColumn="0" w:lastRowLastColumn="0"/>
            </w:pPr>
            <w:r>
              <w:t>2016</w:t>
            </w:r>
          </w:p>
        </w:tc>
        <w:tc>
          <w:tcPr>
            <w:tcW w:w="1449" w:type="dxa"/>
          </w:tcPr>
          <w:p w:rsidR="00F64DEC" w:rsidRPr="00F64DEC" w:rsidRDefault="00F64DEC" w:rsidP="006A670B">
            <w:pPr>
              <w:keepNext/>
              <w:cnfStyle w:val="100000000000" w:firstRow="1" w:lastRow="0" w:firstColumn="0" w:lastColumn="0" w:oddVBand="0" w:evenVBand="0" w:oddHBand="0" w:evenHBand="0" w:firstRowFirstColumn="0" w:firstRowLastColumn="0" w:lastRowFirstColumn="0" w:lastRowLastColumn="0"/>
            </w:pPr>
            <w:r>
              <w:t>2017</w:t>
            </w:r>
          </w:p>
        </w:tc>
        <w:tc>
          <w:tcPr>
            <w:tcW w:w="1449" w:type="dxa"/>
          </w:tcPr>
          <w:p w:rsidR="00F64DEC" w:rsidRPr="00F64DEC" w:rsidRDefault="00F64DEC" w:rsidP="006A670B">
            <w:pPr>
              <w:keepNext/>
              <w:cnfStyle w:val="100000000000" w:firstRow="1" w:lastRow="0" w:firstColumn="0" w:lastColumn="0" w:oddVBand="0" w:evenVBand="0" w:oddHBand="0" w:evenHBand="0" w:firstRowFirstColumn="0" w:firstRowLastColumn="0" w:lastRowFirstColumn="0" w:lastRowLastColumn="0"/>
            </w:pPr>
            <w:r>
              <w:t>2018</w:t>
            </w:r>
          </w:p>
        </w:tc>
        <w:tc>
          <w:tcPr>
            <w:tcW w:w="1449" w:type="dxa"/>
          </w:tcPr>
          <w:p w:rsidR="00F64DEC" w:rsidRPr="00F64DEC" w:rsidRDefault="00F64DEC" w:rsidP="006A670B">
            <w:pPr>
              <w:keepNext/>
              <w:cnfStyle w:val="100000000000" w:firstRow="1" w:lastRow="0" w:firstColumn="0" w:lastColumn="0" w:oddVBand="0" w:evenVBand="0" w:oddHBand="0" w:evenHBand="0" w:firstRowFirstColumn="0" w:firstRowLastColumn="0" w:lastRowFirstColumn="0" w:lastRowLastColumn="0"/>
            </w:pPr>
            <w:r>
              <w:t>2019</w:t>
            </w:r>
          </w:p>
        </w:tc>
        <w:tc>
          <w:tcPr>
            <w:tcW w:w="1449" w:type="dxa"/>
          </w:tcPr>
          <w:p w:rsidR="00F64DEC" w:rsidRPr="00F64DEC" w:rsidRDefault="00F64DEC" w:rsidP="006A670B">
            <w:pPr>
              <w:keepNext/>
              <w:cnfStyle w:val="100000000000" w:firstRow="1" w:lastRow="0" w:firstColumn="0" w:lastColumn="0" w:oddVBand="0" w:evenVBand="0" w:oddHBand="0" w:evenHBand="0" w:firstRowFirstColumn="0" w:firstRowLastColumn="0" w:lastRowFirstColumn="0" w:lastRowLastColumn="0"/>
            </w:pPr>
            <w:r>
              <w:t>2020</w:t>
            </w:r>
          </w:p>
        </w:tc>
      </w:tr>
      <w:tr w:rsidR="00F64DEC" w:rsidTr="00F64DEC">
        <w:tc>
          <w:tcPr>
            <w:cnfStyle w:val="001000000000" w:firstRow="0" w:lastRow="0" w:firstColumn="1" w:lastColumn="0" w:oddVBand="0" w:evenVBand="0" w:oddHBand="0" w:evenHBand="0" w:firstRowFirstColumn="0" w:firstRowLastColumn="0" w:lastRowFirstColumn="0" w:lastRowLastColumn="0"/>
            <w:tcW w:w="1448" w:type="dxa"/>
          </w:tcPr>
          <w:p w:rsidR="00F64DEC" w:rsidRPr="00F64DEC" w:rsidRDefault="00F64DEC" w:rsidP="006A670B">
            <w:pPr>
              <w:keepNext/>
            </w:pPr>
            <w:r>
              <w:t>Per NMI</w:t>
            </w:r>
            <w:r w:rsidRPr="00F64DEC">
              <w:t xml:space="preserve"> </w:t>
            </w:r>
          </w:p>
        </w:tc>
        <w:tc>
          <w:tcPr>
            <w:tcW w:w="1449" w:type="dxa"/>
          </w:tcPr>
          <w:p w:rsidR="00F64DEC" w:rsidRPr="00F64DEC" w:rsidRDefault="00F64DEC" w:rsidP="006A670B">
            <w:pPr>
              <w:keepNext/>
              <w:cnfStyle w:val="000000000000" w:firstRow="0" w:lastRow="0" w:firstColumn="0" w:lastColumn="0" w:oddVBand="0" w:evenVBand="0" w:oddHBand="0" w:evenHBand="0" w:firstRowFirstColumn="0" w:firstRowLastColumn="0" w:lastRowFirstColumn="0" w:lastRowLastColumn="0"/>
            </w:pPr>
            <w:r>
              <w:t>308.00</w:t>
            </w:r>
          </w:p>
        </w:tc>
        <w:tc>
          <w:tcPr>
            <w:tcW w:w="1449" w:type="dxa"/>
          </w:tcPr>
          <w:p w:rsidR="00F64DEC" w:rsidRPr="00F64DEC" w:rsidRDefault="00F64DEC" w:rsidP="006A670B">
            <w:pPr>
              <w:keepNext/>
              <w:cnfStyle w:val="000000000000" w:firstRow="0" w:lastRow="0" w:firstColumn="0" w:lastColumn="0" w:oddVBand="0" w:evenVBand="0" w:oddHBand="0" w:evenHBand="0" w:firstRowFirstColumn="0" w:firstRowLastColumn="0" w:lastRowFirstColumn="0" w:lastRowLastColumn="0"/>
            </w:pPr>
            <w:r>
              <w:t>316.00</w:t>
            </w:r>
          </w:p>
        </w:tc>
        <w:tc>
          <w:tcPr>
            <w:tcW w:w="1449" w:type="dxa"/>
          </w:tcPr>
          <w:p w:rsidR="00F64DEC" w:rsidRPr="00F64DEC" w:rsidRDefault="00F64DEC" w:rsidP="006A670B">
            <w:pPr>
              <w:keepNext/>
              <w:cnfStyle w:val="000000000000" w:firstRow="0" w:lastRow="0" w:firstColumn="0" w:lastColumn="0" w:oddVBand="0" w:evenVBand="0" w:oddHBand="0" w:evenHBand="0" w:firstRowFirstColumn="0" w:firstRowLastColumn="0" w:lastRowFirstColumn="0" w:lastRowLastColumn="0"/>
            </w:pPr>
            <w:r>
              <w:t>324.00</w:t>
            </w:r>
          </w:p>
        </w:tc>
        <w:tc>
          <w:tcPr>
            <w:tcW w:w="1449" w:type="dxa"/>
          </w:tcPr>
          <w:p w:rsidR="00F64DEC" w:rsidRPr="00F64DEC" w:rsidRDefault="00F64DEC" w:rsidP="006A670B">
            <w:pPr>
              <w:keepNext/>
              <w:cnfStyle w:val="000000000000" w:firstRow="0" w:lastRow="0" w:firstColumn="0" w:lastColumn="0" w:oddVBand="0" w:evenVBand="0" w:oddHBand="0" w:evenHBand="0" w:firstRowFirstColumn="0" w:firstRowLastColumn="0" w:lastRowFirstColumn="0" w:lastRowLastColumn="0"/>
            </w:pPr>
            <w:r>
              <w:t>332.00</w:t>
            </w:r>
          </w:p>
        </w:tc>
        <w:tc>
          <w:tcPr>
            <w:tcW w:w="1449" w:type="dxa"/>
          </w:tcPr>
          <w:p w:rsidR="00F64DEC" w:rsidRPr="00F64DEC" w:rsidRDefault="00F64DEC" w:rsidP="006A670B">
            <w:pPr>
              <w:keepNext/>
              <w:cnfStyle w:val="000000000000" w:firstRow="0" w:lastRow="0" w:firstColumn="0" w:lastColumn="0" w:oddVBand="0" w:evenVBand="0" w:oddHBand="0" w:evenHBand="0" w:firstRowFirstColumn="0" w:firstRowLastColumn="0" w:lastRowFirstColumn="0" w:lastRowLastColumn="0"/>
            </w:pPr>
            <w:r>
              <w:t>340.00</w:t>
            </w:r>
          </w:p>
        </w:tc>
      </w:tr>
      <w:tr w:rsidR="00F64DEC" w:rsidTr="00F64D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F64DEC" w:rsidRPr="00F64DEC" w:rsidRDefault="00F64DEC" w:rsidP="006A670B">
            <w:pPr>
              <w:keepNext/>
            </w:pPr>
            <w:r>
              <w:t>Per Light</w:t>
            </w:r>
            <w:r w:rsidRPr="00F64DEC">
              <w:t xml:space="preserve"> </w:t>
            </w:r>
          </w:p>
        </w:tc>
        <w:tc>
          <w:tcPr>
            <w:tcW w:w="1449" w:type="dxa"/>
          </w:tcPr>
          <w:p w:rsidR="00F64DEC" w:rsidRPr="00F64DEC" w:rsidRDefault="00F64DEC" w:rsidP="006A670B">
            <w:pPr>
              <w:keepNext/>
              <w:cnfStyle w:val="000000010000" w:firstRow="0" w:lastRow="0" w:firstColumn="0" w:lastColumn="0" w:oddVBand="0" w:evenVBand="0" w:oddHBand="0" w:evenHBand="1" w:firstRowFirstColumn="0" w:firstRowLastColumn="0" w:lastRowFirstColumn="0" w:lastRowLastColumn="0"/>
            </w:pPr>
            <w:r>
              <w:t>1.6</w:t>
            </w:r>
            <w:r w:rsidR="003B7354">
              <w:t>1</w:t>
            </w:r>
          </w:p>
        </w:tc>
        <w:tc>
          <w:tcPr>
            <w:tcW w:w="1449" w:type="dxa"/>
          </w:tcPr>
          <w:p w:rsidR="00F64DEC" w:rsidRPr="00F64DEC" w:rsidRDefault="00F64DEC" w:rsidP="006A670B">
            <w:pPr>
              <w:keepNext/>
              <w:cnfStyle w:val="000000010000" w:firstRow="0" w:lastRow="0" w:firstColumn="0" w:lastColumn="0" w:oddVBand="0" w:evenVBand="0" w:oddHBand="0" w:evenHBand="1" w:firstRowFirstColumn="0" w:firstRowLastColumn="0" w:lastRowFirstColumn="0" w:lastRowLastColumn="0"/>
            </w:pPr>
            <w:r>
              <w:t>1.6</w:t>
            </w:r>
            <w:r w:rsidR="003B7354">
              <w:t>5</w:t>
            </w:r>
          </w:p>
        </w:tc>
        <w:tc>
          <w:tcPr>
            <w:tcW w:w="1449" w:type="dxa"/>
          </w:tcPr>
          <w:p w:rsidR="00F64DEC" w:rsidRPr="00F64DEC" w:rsidRDefault="00F64DEC" w:rsidP="006A670B">
            <w:pPr>
              <w:keepNext/>
              <w:cnfStyle w:val="000000010000" w:firstRow="0" w:lastRow="0" w:firstColumn="0" w:lastColumn="0" w:oddVBand="0" w:evenVBand="0" w:oddHBand="0" w:evenHBand="1" w:firstRowFirstColumn="0" w:firstRowLastColumn="0" w:lastRowFirstColumn="0" w:lastRowLastColumn="0"/>
            </w:pPr>
            <w:r>
              <w:t>1.6</w:t>
            </w:r>
            <w:r w:rsidR="003B7354">
              <w:t>9</w:t>
            </w:r>
          </w:p>
        </w:tc>
        <w:tc>
          <w:tcPr>
            <w:tcW w:w="1449" w:type="dxa"/>
          </w:tcPr>
          <w:p w:rsidR="00F64DEC" w:rsidRPr="00F64DEC" w:rsidRDefault="00F64DEC" w:rsidP="006A670B">
            <w:pPr>
              <w:keepNext/>
              <w:cnfStyle w:val="000000010000" w:firstRow="0" w:lastRow="0" w:firstColumn="0" w:lastColumn="0" w:oddVBand="0" w:evenVBand="0" w:oddHBand="0" w:evenHBand="1" w:firstRowFirstColumn="0" w:firstRowLastColumn="0" w:lastRowFirstColumn="0" w:lastRowLastColumn="0"/>
            </w:pPr>
            <w:r>
              <w:t>1.73</w:t>
            </w:r>
          </w:p>
        </w:tc>
        <w:tc>
          <w:tcPr>
            <w:tcW w:w="1449" w:type="dxa"/>
          </w:tcPr>
          <w:p w:rsidR="00F64DEC" w:rsidRPr="00F64DEC" w:rsidRDefault="00F64DEC" w:rsidP="006A670B">
            <w:pPr>
              <w:keepNext/>
              <w:cnfStyle w:val="000000010000" w:firstRow="0" w:lastRow="0" w:firstColumn="0" w:lastColumn="0" w:oddVBand="0" w:evenVBand="0" w:oddHBand="0" w:evenHBand="1" w:firstRowFirstColumn="0" w:firstRowLastColumn="0" w:lastRowFirstColumn="0" w:lastRowLastColumn="0"/>
            </w:pPr>
            <w:r>
              <w:t>1.7</w:t>
            </w:r>
            <w:r w:rsidR="003B7354">
              <w:t>8</w:t>
            </w:r>
          </w:p>
        </w:tc>
      </w:tr>
    </w:tbl>
    <w:p w:rsidR="00F64DEC" w:rsidRDefault="00F64DEC" w:rsidP="00F64DEC">
      <w:pPr>
        <w:pStyle w:val="AERtablesource"/>
      </w:pPr>
      <w:r>
        <w:t>Source:</w:t>
      </w:r>
      <w:r>
        <w:tab/>
        <w:t xml:space="preserve">AusNet Services, </w:t>
      </w:r>
      <w:r w:rsidRPr="001C6565">
        <w:rPr>
          <w:rStyle w:val="Emphasis"/>
        </w:rPr>
        <w:t>Regulatory Proposal 2016–20</w:t>
      </w:r>
      <w:r>
        <w:t>, April 2015, p. 403, Table 17.6.</w:t>
      </w:r>
    </w:p>
    <w:p w:rsidR="00F64DEC" w:rsidRDefault="00F64DEC" w:rsidP="00F64DEC">
      <w:pPr>
        <w:pStyle w:val="Heading3"/>
      </w:pPr>
      <w:bookmarkStart w:id="59" w:name="_Toc433704567"/>
      <w:r>
        <w:t>Assessment approach</w:t>
      </w:r>
      <w:bookmarkEnd w:id="59"/>
    </w:p>
    <w:p w:rsidR="00F64DEC" w:rsidRDefault="00F64DEC" w:rsidP="00F64DEC">
      <w:pPr>
        <w:pStyle w:val="Heading4"/>
      </w:pPr>
      <w:r>
        <w:t>Cost allocation</w:t>
      </w:r>
    </w:p>
    <w:p w:rsidR="00F64DEC" w:rsidRDefault="00F64DEC" w:rsidP="00F64DEC">
      <w:r>
        <w:t>We had regard to AusNet Services approved CAM</w:t>
      </w:r>
      <w:r>
        <w:rPr>
          <w:rStyle w:val="FootnoteReference"/>
        </w:rPr>
        <w:footnoteReference w:id="57"/>
      </w:r>
      <w:r>
        <w:t xml:space="preserve"> and the wider regulatory context. That is, the future prospect of competition in metering in Victoria and how the allocation of costs across standard and alternative control service may affect competitive entry. </w:t>
      </w:r>
    </w:p>
    <w:p w:rsidR="00F64DEC" w:rsidRPr="00F64DEC" w:rsidRDefault="00F64DEC" w:rsidP="00F64DEC">
      <w:pPr>
        <w:pStyle w:val="Heading4"/>
      </w:pPr>
      <w:bookmarkStart w:id="60" w:name="_Ref433271187"/>
      <w:r>
        <w:t>Annual metering charge</w:t>
      </w:r>
      <w:bookmarkEnd w:id="60"/>
    </w:p>
    <w:p w:rsidR="00F64DEC" w:rsidRDefault="00F64DEC" w:rsidP="00F64DEC">
      <w:bookmarkStart w:id="61" w:name="_Toc417502138"/>
      <w:r w:rsidRPr="00D21A75">
        <w:t xml:space="preserve">As an alternative control service, the AER has a greater discretion under the NER </w:t>
      </w:r>
      <w:r>
        <w:t>in making our assessment compared to</w:t>
      </w:r>
      <w:r w:rsidRPr="00D21A75">
        <w:t xml:space="preserve"> standard control services. </w:t>
      </w:r>
      <w:r w:rsidRPr="002308BD">
        <w:t xml:space="preserve">We </w:t>
      </w:r>
      <w:r>
        <w:t xml:space="preserve">have chosen </w:t>
      </w:r>
      <w:r w:rsidRPr="002308BD">
        <w:t xml:space="preserve">to apply </w:t>
      </w:r>
      <w:r>
        <w:t xml:space="preserve">a streamlined version of a building block approach. </w:t>
      </w:r>
    </w:p>
    <w:p w:rsidR="00F64DEC" w:rsidRPr="001C6565" w:rsidRDefault="00F64DEC" w:rsidP="001C6565">
      <w:pPr>
        <w:pStyle w:val="HeadingBoldItalic"/>
        <w:rPr>
          <w:rStyle w:val="Strong"/>
          <w:b/>
          <w:bCs/>
        </w:rPr>
      </w:pPr>
      <w:bookmarkStart w:id="62" w:name="_Toc417502140"/>
      <w:bookmarkEnd w:id="61"/>
      <w:r w:rsidRPr="001C6565">
        <w:rPr>
          <w:rStyle w:val="Strong"/>
          <w:b/>
          <w:bCs/>
        </w:rPr>
        <w:t xml:space="preserve">Forecast </w:t>
      </w:r>
      <w:bookmarkEnd w:id="62"/>
      <w:r w:rsidRPr="001C6565">
        <w:rPr>
          <w:rStyle w:val="Strong"/>
          <w:b/>
          <w:bCs/>
        </w:rPr>
        <w:t>capex</w:t>
      </w:r>
    </w:p>
    <w:p w:rsidR="00F64DEC" w:rsidRDefault="00F64DEC" w:rsidP="00F64DEC">
      <w:r>
        <w:t xml:space="preserve">Our capex assessment involved two stages. </w:t>
      </w:r>
    </w:p>
    <w:p w:rsidR="00F64DEC" w:rsidRPr="00DE6B07" w:rsidRDefault="00F64DEC" w:rsidP="00F64DEC">
      <w:r>
        <w:t xml:space="preserve">Firstly, we assessed capex related to AusNet Services' proposal to </w:t>
      </w:r>
      <w:r w:rsidRPr="00E1665F">
        <w:t>undertake a staged replacement of the existing communications infrastructure.</w:t>
      </w:r>
      <w:r w:rsidR="00270EBC" w:rsidRPr="00270EBC">
        <w:rPr>
          <w:rStyle w:val="FootnoteReference"/>
        </w:rPr>
        <w:t xml:space="preserve"> </w:t>
      </w:r>
      <w:r w:rsidR="00270EBC">
        <w:rPr>
          <w:rStyle w:val="FootnoteReference"/>
        </w:rPr>
        <w:footnoteReference w:id="58"/>
      </w:r>
      <w:r w:rsidRPr="00E1665F">
        <w:t xml:space="preserve"> </w:t>
      </w:r>
      <w:r>
        <w:t xml:space="preserve">Our assessment of this issue is detailed in appendix A of this attachment. </w:t>
      </w:r>
    </w:p>
    <w:p w:rsidR="00F64DEC" w:rsidRDefault="00F64DEC" w:rsidP="00F64DEC">
      <w:r>
        <w:t xml:space="preserve">Secondly, we assessed the remaining capex amount (the "business as usual" capex).  </w:t>
      </w:r>
    </w:p>
    <w:p w:rsidR="00F64DEC" w:rsidRDefault="00F64DEC" w:rsidP="00F64DEC">
      <w:r w:rsidRPr="003948F9">
        <w:t>To assess remotely read interval meter capex, we reviewed unit rates</w:t>
      </w:r>
      <w:r>
        <w:t xml:space="preserve"> and volumes. We benchmarked proposed meter hardware unit costs across the Victorian businesses. We consider this to be appropriate because the Victorian businesses all use the same six meter types and so the costs can be compared.</w:t>
      </w:r>
    </w:p>
    <w:p w:rsidR="00F64DEC" w:rsidRDefault="00F64DEC" w:rsidP="00F64DEC">
      <w:r>
        <w:t xml:space="preserve">We compared the overall amounts of communications/IT capex proposed across the businesses to understand the relative overall amounts of expenditure being proposed. If a business proposed a relatively high amount of metering </w:t>
      </w:r>
      <w:r w:rsidRPr="00F000DF">
        <w:t>communications/IT metering capex</w:t>
      </w:r>
      <w:r>
        <w:t xml:space="preserve">, we did a further review on an </w:t>
      </w:r>
      <w:r w:rsidRPr="00F000DF">
        <w:t xml:space="preserve">individual project basis. </w:t>
      </w:r>
    </w:p>
    <w:p w:rsidR="00F64DEC" w:rsidRPr="00270EBC" w:rsidRDefault="00F64DEC" w:rsidP="006A670B">
      <w:pPr>
        <w:pStyle w:val="HeadingBoldItalic"/>
        <w:keepNext/>
        <w:rPr>
          <w:rStyle w:val="Strong"/>
          <w:b/>
          <w:bCs/>
        </w:rPr>
      </w:pPr>
      <w:r w:rsidRPr="00270EBC">
        <w:rPr>
          <w:rStyle w:val="Strong"/>
          <w:b/>
        </w:rPr>
        <w:t>Forecast opex</w:t>
      </w:r>
    </w:p>
    <w:p w:rsidR="00F64DEC" w:rsidRDefault="00F64DEC" w:rsidP="00F64DEC">
      <w:pPr>
        <w:pStyle w:val="ListParagraph"/>
        <w:numPr>
          <w:ilvl w:val="0"/>
          <w:numId w:val="24"/>
        </w:numPr>
      </w:pPr>
      <w:r>
        <w:t>We considered AusNet Services' proposed metering opex by developing our own alternative forecast. To do this we used a top-down ‘base–step–</w:t>
      </w:r>
      <w:r w:rsidRPr="00406560">
        <w:t>trend’ approach</w:t>
      </w:r>
      <w:r>
        <w:t>. This is our preferred approach to assessing most opex categories.</w:t>
      </w:r>
      <w:r>
        <w:rPr>
          <w:rStyle w:val="FootnoteReference"/>
        </w:rPr>
        <w:footnoteReference w:id="59"/>
      </w:r>
      <w:r>
        <w:t xml:space="preserve"> In particular, we:</w:t>
      </w:r>
    </w:p>
    <w:p w:rsidR="00F64DEC" w:rsidRDefault="00F64DEC" w:rsidP="00F64DEC">
      <w:pPr>
        <w:pStyle w:val="AERbulletlistfirststyle"/>
      </w:pPr>
      <w:r>
        <w:t>used the "revealed costs" approach as the starting point</w:t>
      </w:r>
    </w:p>
    <w:p w:rsidR="00F64DEC" w:rsidRDefault="00F64DEC" w:rsidP="00F64DEC">
      <w:pPr>
        <w:pStyle w:val="AERbulletlistfirststyle"/>
      </w:pPr>
      <w:r>
        <w:t>in contrast to past metering decisions for non–Victorian distribution businesses, decided against the use of benchmarking</w:t>
      </w:r>
    </w:p>
    <w:p w:rsidR="00F64DEC" w:rsidRDefault="00F64DEC" w:rsidP="00F64DEC">
      <w:pPr>
        <w:pStyle w:val="AERbulletlistfirststyle"/>
      </w:pPr>
      <w:r>
        <w:t>adjusted for any step changes if we were satisfied that a prudent and efficient service provider would require them</w:t>
      </w:r>
    </w:p>
    <w:p w:rsidR="00F64DEC" w:rsidRDefault="00F64DEC" w:rsidP="00F64DEC">
      <w:pPr>
        <w:pStyle w:val="AERbulletlistfirststyle"/>
      </w:pPr>
      <w:proofErr w:type="gramStart"/>
      <w:r>
        <w:t>trended</w:t>
      </w:r>
      <w:proofErr w:type="gramEnd"/>
      <w:r>
        <w:t xml:space="preserve"> forward the base opex (plus any step changes) by considering the forecast changes in output, price and productivity.</w:t>
      </w:r>
    </w:p>
    <w:p w:rsidR="00F64DEC" w:rsidRPr="00F64DEC" w:rsidRDefault="00F64DEC" w:rsidP="00F64DEC">
      <w:pPr>
        <w:pStyle w:val="AERbulletlistfirststyle"/>
      </w:pPr>
      <w:r>
        <w:t>Each</w:t>
      </w:r>
      <w:r w:rsidRPr="00F64DEC">
        <w:t xml:space="preserve"> of these components to our assessment is discussed in more detail below. </w:t>
      </w:r>
    </w:p>
    <w:p w:rsidR="00F64DEC" w:rsidRPr="001C6565" w:rsidRDefault="00F64DEC" w:rsidP="001C6565">
      <w:pPr>
        <w:pStyle w:val="HeadingItalic"/>
        <w:rPr>
          <w:rStyle w:val="AERtextunderline"/>
          <w:u w:val="none"/>
        </w:rPr>
      </w:pPr>
      <w:r w:rsidRPr="001C6565">
        <w:rPr>
          <w:rStyle w:val="AERtextunderline"/>
          <w:u w:val="none"/>
        </w:rPr>
        <w:t>Base</w:t>
      </w:r>
    </w:p>
    <w:p w:rsidR="00F64DEC" w:rsidRDefault="00F64DEC" w:rsidP="00F64DEC">
      <w:r>
        <w:t xml:space="preserve">We began our assessment of the base by applying the revealed costs approach. </w:t>
      </w:r>
    </w:p>
    <w:p w:rsidR="00F64DEC" w:rsidRDefault="00F64DEC" w:rsidP="00F64DEC">
      <w:r>
        <w:t xml:space="preserve">The revealed costs approach uses a network service provider's historical costs to derive a base level of opex. In applying this approach, we sought to identify a level of opex that would be most reflective of future efficient operating costs. When applying the revealed costs approach, we considered if we should select a single, or an average of multiple, years' worth of historical metering opex.  </w:t>
      </w:r>
    </w:p>
    <w:p w:rsidR="00F64DEC" w:rsidRDefault="00F64DEC" w:rsidP="00F64DEC">
      <w:r>
        <w:t xml:space="preserve">The next step we took was to remove any non–recurrent expenditure. To do this we considered the operating environment in the selected base year(s). In particular, we had regard to the extent to which the network service provider had completed its rollout of AMI and, by virtue of this, entered into a business–as–usual operating environment. </w:t>
      </w:r>
    </w:p>
    <w:p w:rsidR="00F64DEC" w:rsidRDefault="00F64DEC" w:rsidP="00F64DEC">
      <w:r>
        <w:t>When considering the extent to which AusNet Services had completed its AMI rollout we had regard to an Essential Services Commission (ESC) audit. It found that AusNet Services had not used its best endeavours to install its smart meters by 31 December 2013 and that many of the installed meters were not fully operational.</w:t>
      </w:r>
      <w:r>
        <w:rPr>
          <w:rStyle w:val="FootnoteReference"/>
        </w:rPr>
        <w:footnoteReference w:id="60"/>
      </w:r>
      <w:r>
        <w:t xml:space="preserve"> This led to an enforcement determination by the ESC resulting in AusNet Services' offering a smart meter undertaking.</w:t>
      </w:r>
      <w:r>
        <w:rPr>
          <w:rStyle w:val="FootnoteReference"/>
        </w:rPr>
        <w:footnoteReference w:id="61"/>
      </w:r>
    </w:p>
    <w:p w:rsidR="00F64DEC" w:rsidRDefault="00F64DEC" w:rsidP="00F64DEC">
      <w:r>
        <w:t>Once we were satisfied that non–recurrent expenditure had been removed, we assessed whether the base contained any material inefficiencies. If we observed any, then we applied an efficiency adjustment.</w:t>
      </w:r>
    </w:p>
    <w:p w:rsidR="00894019" w:rsidRDefault="00894019">
      <w:pPr>
        <w:spacing w:line="240" w:lineRule="auto"/>
        <w:rPr>
          <w:rStyle w:val="AERtextunderline"/>
          <w:rFonts w:cs="Times New Roman"/>
        </w:rPr>
      </w:pPr>
      <w:r>
        <w:rPr>
          <w:rStyle w:val="AERtextunderline"/>
        </w:rPr>
        <w:br w:type="page"/>
      </w:r>
    </w:p>
    <w:p w:rsidR="00F64DEC" w:rsidRPr="001C6565" w:rsidRDefault="00F64DEC" w:rsidP="001C6565">
      <w:pPr>
        <w:pStyle w:val="HeadingItalic"/>
        <w:rPr>
          <w:rStyle w:val="AERtextunderline"/>
          <w:u w:val="none"/>
        </w:rPr>
      </w:pPr>
      <w:r w:rsidRPr="001C6565">
        <w:rPr>
          <w:rStyle w:val="AERtextunderline"/>
          <w:u w:val="none"/>
        </w:rPr>
        <w:t>Benchmarking</w:t>
      </w:r>
    </w:p>
    <w:p w:rsidR="00F64DEC" w:rsidRDefault="00F64DEC" w:rsidP="00F64DEC">
      <w:r>
        <w:t xml:space="preserve">In past metering decisions we have used data on "opex per customer" as a partial performance indicator to benchmark the relative efficiency of non–Victorian distribution businesses' base opex. We, however, consider that the rollout of AMI services means that circumstances in Victoria are sufficiently different to other regions. In Victoria, metering costs are largely fixed and relate to IT and communications that tend not to vary according to customer numbers. In contrast, a majority of operating costs in the other regions are not fixed. Specifically these relate to 'manual meter reads' – the cost of which does vary according to the number of customer. As such, we have not used benchmarking techniques. </w:t>
      </w:r>
    </w:p>
    <w:p w:rsidR="00F64DEC" w:rsidRDefault="00F64DEC" w:rsidP="00F64DEC">
      <w:r>
        <w:t xml:space="preserve">This conclusion should not be taken to exclude the use of benchmarking in other decisions. Additionally, in the future new circumstances or additional data may come to light which makes the use of benchmarking with respect to smart metering a reasonable technique for the AER to apply. </w:t>
      </w:r>
    </w:p>
    <w:p w:rsidR="00F64DEC" w:rsidRPr="001C6565" w:rsidRDefault="00F64DEC" w:rsidP="001C6565">
      <w:pPr>
        <w:pStyle w:val="HeadingItalic"/>
        <w:rPr>
          <w:rStyle w:val="AERtextunderline"/>
          <w:u w:val="none"/>
        </w:rPr>
      </w:pPr>
      <w:r w:rsidRPr="001C6565">
        <w:rPr>
          <w:rStyle w:val="AERtextunderline"/>
          <w:u w:val="none"/>
        </w:rPr>
        <w:t>Step changes</w:t>
      </w:r>
    </w:p>
    <w:p w:rsidR="00F64DEC" w:rsidRDefault="00F64DEC" w:rsidP="00F64DEC">
      <w:pPr>
        <w:numPr>
          <w:ilvl w:val="0"/>
          <w:numId w:val="24"/>
        </w:numPr>
      </w:pPr>
      <w:r>
        <w:t>We considered whether we should apply any step changes. These are adjustments which increase or decrease a distribution business' efficient expenditure.</w:t>
      </w:r>
      <w:r>
        <w:rPr>
          <w:rStyle w:val="FootnoteReference"/>
        </w:rPr>
        <w:footnoteReference w:id="62"/>
      </w:r>
      <w:r>
        <w:t xml:space="preserve"> </w:t>
      </w:r>
    </w:p>
    <w:p w:rsidR="00F64DEC" w:rsidRDefault="00F64DEC" w:rsidP="00F64DEC">
      <w:r>
        <w:t xml:space="preserve">As outlined in our </w:t>
      </w:r>
      <w:r w:rsidRPr="00B626AF">
        <w:rPr>
          <w:rStyle w:val="AERtextitalic"/>
        </w:rPr>
        <w:t>Expenditure forecast assessment guideline</w:t>
      </w:r>
      <w:r>
        <w:t>, our approach to step changes is that we will only accept them if they are associated with a new regulatory obligation or a capex/opex trade off.</w:t>
      </w:r>
      <w:r>
        <w:rPr>
          <w:rStyle w:val="FootnoteReference"/>
        </w:rPr>
        <w:footnoteReference w:id="63"/>
      </w:r>
    </w:p>
    <w:p w:rsidR="00F64DEC" w:rsidRPr="00533B91" w:rsidRDefault="00F64DEC" w:rsidP="00F64DEC">
      <w:r>
        <w:t>For step changes arising from new regulatory obligations, we will assess (among other things)</w:t>
      </w:r>
      <w:r w:rsidRPr="00533B91">
        <w:t>:</w:t>
      </w:r>
    </w:p>
    <w:p w:rsidR="00F64DEC" w:rsidRPr="00106E48" w:rsidRDefault="00F64DEC" w:rsidP="00F64DEC">
      <w:pPr>
        <w:pStyle w:val="AERbulletlistfirststyle"/>
      </w:pPr>
      <w:r>
        <w:t>whether</w:t>
      </w:r>
      <w:r w:rsidRPr="00106E48">
        <w:t xml:space="preserve"> there is a binding (that is, uncontrollable) change in regulatory obligations that affects their efficient forecast expenditure</w:t>
      </w:r>
    </w:p>
    <w:p w:rsidR="00F64DEC" w:rsidRPr="00106E48" w:rsidRDefault="00F64DEC" w:rsidP="00F64DEC">
      <w:pPr>
        <w:pStyle w:val="AERbulletlistfirststyle"/>
      </w:pPr>
      <w:r w:rsidRPr="00533B91">
        <w:t xml:space="preserve">when this change event occurs and when it is efficient to incur expenditure to comply with the changed obligation </w:t>
      </w:r>
    </w:p>
    <w:p w:rsidR="00F64DEC" w:rsidRPr="00106E48" w:rsidRDefault="00F64DEC" w:rsidP="00F64DEC">
      <w:pPr>
        <w:pStyle w:val="AERbulletlistfirststyle"/>
      </w:pPr>
      <w:r>
        <w:t xml:space="preserve">what </w:t>
      </w:r>
      <w:r w:rsidRPr="00106E48">
        <w:t xml:space="preserve">options were considered to meet the change in regulatory obligations </w:t>
      </w:r>
    </w:p>
    <w:p w:rsidR="00F64DEC" w:rsidRDefault="00F64DEC" w:rsidP="00F64DEC">
      <w:pPr>
        <w:pStyle w:val="AERbulletlistfirststyle"/>
      </w:pPr>
      <w:proofErr w:type="gramStart"/>
      <w:r>
        <w:t>whether</w:t>
      </w:r>
      <w:proofErr w:type="gramEnd"/>
      <w:r>
        <w:t xml:space="preserve"> the option </w:t>
      </w:r>
      <w:r w:rsidRPr="00106E48">
        <w:t xml:space="preserve">selected was an efficient option––that is, whether the </w:t>
      </w:r>
      <w:r>
        <w:t>distribution business</w:t>
      </w:r>
      <w:r w:rsidRPr="00106E48">
        <w:t xml:space="preserve"> took appropriate steps to minimise its expected cost of compliance from the time there was sufficient certainty that the obligation would become binding</w:t>
      </w:r>
      <w:r>
        <w:t>.</w:t>
      </w:r>
      <w:r>
        <w:rPr>
          <w:rStyle w:val="FootnoteReference"/>
        </w:rPr>
        <w:footnoteReference w:id="64"/>
      </w:r>
    </w:p>
    <w:p w:rsidR="00F64DEC" w:rsidRDefault="00F64DEC" w:rsidP="00F64DEC">
      <w:r>
        <w:t>For capex/opex trade-off step changes, we will assess whether it is prudent and efficient to substitute capex for opex or vice versa.</w:t>
      </w:r>
      <w:r>
        <w:rPr>
          <w:rStyle w:val="FootnoteReference"/>
        </w:rPr>
        <w:footnoteReference w:id="65"/>
      </w:r>
    </w:p>
    <w:p w:rsidR="00F64DEC" w:rsidRPr="001C6565" w:rsidRDefault="00F64DEC" w:rsidP="001C6565">
      <w:pPr>
        <w:pStyle w:val="HeadingItalic"/>
        <w:rPr>
          <w:rStyle w:val="AERtextunderline"/>
          <w:u w:val="none"/>
        </w:rPr>
      </w:pPr>
      <w:r w:rsidRPr="001C6565">
        <w:rPr>
          <w:rStyle w:val="AERtextunderline"/>
          <w:u w:val="none"/>
        </w:rPr>
        <w:t>Trend</w:t>
      </w:r>
    </w:p>
    <w:p w:rsidR="00F64DEC" w:rsidRPr="001F20E8" w:rsidRDefault="00F64DEC" w:rsidP="00F64DEC">
      <w:pPr>
        <w:numPr>
          <w:ilvl w:val="0"/>
          <w:numId w:val="24"/>
        </w:numPr>
      </w:pPr>
      <w:r w:rsidRPr="001F20E8">
        <w:t xml:space="preserve">We trended forward base opex (plus any step changes) by considering forecast changes in output, price and productivity. </w:t>
      </w:r>
    </w:p>
    <w:p w:rsidR="00F64DEC" w:rsidRPr="00270EBC" w:rsidRDefault="00F64DEC" w:rsidP="001C6565">
      <w:pPr>
        <w:pStyle w:val="HeadingBoldItalic"/>
        <w:rPr>
          <w:rStyle w:val="Strong"/>
          <w:b/>
          <w:bCs/>
        </w:rPr>
      </w:pPr>
      <w:r w:rsidRPr="00270EBC">
        <w:rPr>
          <w:rStyle w:val="Strong"/>
          <w:b/>
        </w:rPr>
        <w:t>Depreciation</w:t>
      </w:r>
    </w:p>
    <w:p w:rsidR="00F64DEC" w:rsidRPr="005169E4" w:rsidRDefault="00F64DEC" w:rsidP="00F64DEC">
      <w:pPr>
        <w:rPr>
          <w:rStyle w:val="AERbody"/>
        </w:rPr>
      </w:pPr>
      <w:r w:rsidRPr="005169E4">
        <w:rPr>
          <w:rStyle w:val="AERbody"/>
        </w:rPr>
        <w:t xml:space="preserve">With respect to depreciation, we considered </w:t>
      </w:r>
      <w:r>
        <w:rPr>
          <w:rStyle w:val="AERbody"/>
        </w:rPr>
        <w:t xml:space="preserve">AusNet Services' </w:t>
      </w:r>
      <w:r w:rsidRPr="005169E4">
        <w:rPr>
          <w:rStyle w:val="AERbody"/>
        </w:rPr>
        <w:t>proposed standard asset lives and had regard to the opening of competition to metering services.</w:t>
      </w:r>
    </w:p>
    <w:p w:rsidR="00F64DEC" w:rsidRPr="00270EBC" w:rsidRDefault="00F64DEC" w:rsidP="001C6565">
      <w:pPr>
        <w:pStyle w:val="HeadingBoldItalic"/>
        <w:rPr>
          <w:rStyle w:val="Strong"/>
          <w:b/>
          <w:bCs/>
        </w:rPr>
      </w:pPr>
      <w:r w:rsidRPr="00270EBC">
        <w:rPr>
          <w:rStyle w:val="Strong"/>
          <w:b/>
        </w:rPr>
        <w:t>Opening metering regulatory asset base</w:t>
      </w:r>
    </w:p>
    <w:p w:rsidR="00F64DEC" w:rsidRDefault="00F64DEC" w:rsidP="00F64DEC">
      <w:pPr>
        <w:rPr>
          <w:rStyle w:val="AERbody"/>
        </w:rPr>
      </w:pPr>
      <w:r w:rsidRPr="0003637C">
        <w:t xml:space="preserve">In assessing the proposed opening </w:t>
      </w:r>
      <w:r>
        <w:t xml:space="preserve">metering </w:t>
      </w:r>
      <w:r w:rsidRPr="0003637C">
        <w:t>RAB value as at 1 January 2016</w:t>
      </w:r>
      <w:r>
        <w:t xml:space="preserve">, we reviewed </w:t>
      </w:r>
      <w:r w:rsidRPr="0003637C">
        <w:t>how AusNet Services had rolled forward its</w:t>
      </w:r>
      <w:r>
        <w:t xml:space="preserve"> metering</w:t>
      </w:r>
      <w:r w:rsidRPr="0003637C">
        <w:t xml:space="preserve"> RAB. </w:t>
      </w:r>
    </w:p>
    <w:p w:rsidR="00F64DEC" w:rsidRDefault="00160B1D" w:rsidP="00F64DEC">
      <w:pPr>
        <w:pStyle w:val="Heading4"/>
      </w:pPr>
      <w:r>
        <w:t>Metering e</w:t>
      </w:r>
      <w:r w:rsidR="00F64DEC">
        <w:t>xit fee</w:t>
      </w:r>
    </w:p>
    <w:p w:rsidR="00F64DEC" w:rsidRDefault="00F64DEC" w:rsidP="00F64DEC">
      <w:r>
        <w:t>When calculating the exit fee required under the Order, the inputs we used were:</w:t>
      </w:r>
    </w:p>
    <w:p w:rsidR="00F64DEC" w:rsidRDefault="00F64DEC" w:rsidP="00F64DEC">
      <w:pPr>
        <w:pStyle w:val="AERbulletlistfirststyle"/>
      </w:pPr>
      <w:r>
        <w:t>AusNet Services' opening metering RAB as of 1 January 2016</w:t>
      </w:r>
    </w:p>
    <w:p w:rsidR="00F64DEC" w:rsidRDefault="00F64DEC" w:rsidP="00F64DEC">
      <w:pPr>
        <w:pStyle w:val="AERbulletlistfirststyle"/>
      </w:pPr>
      <w:r>
        <w:t>the forecast metering capex and opex which we have accepted in this preliminary decision for AusNet Services' 2016–20 regulatory control period</w:t>
      </w:r>
    </w:p>
    <w:p w:rsidR="00F64DEC" w:rsidRPr="004D1C08" w:rsidRDefault="00F64DEC" w:rsidP="00F64DEC">
      <w:pPr>
        <w:pStyle w:val="AERbulletlistfirststyle"/>
      </w:pPr>
      <w:proofErr w:type="gramStart"/>
      <w:r>
        <w:t>in</w:t>
      </w:r>
      <w:proofErr w:type="gramEnd"/>
      <w:r>
        <w:t xml:space="preserve"> relation to an administration component of the exit fee, our preliminary decision on the real labour cost escalators applicable in Victoria.</w:t>
      </w:r>
    </w:p>
    <w:p w:rsidR="00F64DEC" w:rsidRPr="004D1C08" w:rsidRDefault="00F64DEC" w:rsidP="00F64DEC">
      <w:r w:rsidRPr="004D1C08">
        <w:t xml:space="preserve">We </w:t>
      </w:r>
      <w:r>
        <w:t xml:space="preserve">also </w:t>
      </w:r>
      <w:r w:rsidRPr="004D1C08">
        <w:t>had regard to the revenue and pricing principles that the distributors should be afforded full cost recovery (see also clause 7.2 of the Order).</w:t>
      </w:r>
    </w:p>
    <w:p w:rsidR="00F64DEC" w:rsidRDefault="00F64DEC" w:rsidP="00F64DEC">
      <w:pPr>
        <w:pStyle w:val="Heading4"/>
      </w:pPr>
      <w:r>
        <w:t>Type 7 meter installations</w:t>
      </w:r>
    </w:p>
    <w:p w:rsidR="00F64DEC" w:rsidRPr="00A77298" w:rsidRDefault="00F64DEC" w:rsidP="00F64DEC">
      <w:r>
        <w:t>When assessing AusNet Services' proposed type 7 charges, we considered how it proposed to escalate the current prices per light and the business' previous charging practices.</w:t>
      </w:r>
    </w:p>
    <w:p w:rsidR="00F64DEC" w:rsidRDefault="00F64DEC" w:rsidP="00F64DEC">
      <w:pPr>
        <w:pStyle w:val="Heading4"/>
      </w:pPr>
      <w:r>
        <w:t>Interrelationships</w:t>
      </w:r>
    </w:p>
    <w:p w:rsidR="00F64DEC" w:rsidRDefault="00F64DEC" w:rsidP="00F64DEC">
      <w:pPr>
        <w:rPr>
          <w:rStyle w:val="AERbody"/>
        </w:rPr>
      </w:pPr>
      <w:r w:rsidRPr="00E81BCB">
        <w:rPr>
          <w:rStyle w:val="AERbody"/>
        </w:rPr>
        <w:t xml:space="preserve">We apply the same WACC and gamma values for </w:t>
      </w:r>
      <w:r>
        <w:rPr>
          <w:rStyle w:val="AERbody"/>
        </w:rPr>
        <w:t>all direct control services (</w:t>
      </w:r>
      <w:r w:rsidRPr="00E81BCB">
        <w:rPr>
          <w:rStyle w:val="AERbody"/>
        </w:rPr>
        <w:t xml:space="preserve">standard </w:t>
      </w:r>
      <w:r>
        <w:rPr>
          <w:rStyle w:val="AERbody"/>
        </w:rPr>
        <w:t>and alternative control services)</w:t>
      </w:r>
      <w:r w:rsidRPr="00E81BCB">
        <w:rPr>
          <w:rStyle w:val="AERbody"/>
        </w:rPr>
        <w:t xml:space="preserve">. </w:t>
      </w:r>
    </w:p>
    <w:p w:rsidR="00F64DEC" w:rsidRDefault="00F64DEC" w:rsidP="00F64DEC">
      <w:r w:rsidRPr="00E81BCB">
        <w:rPr>
          <w:rStyle w:val="AERbody"/>
        </w:rPr>
        <w:t xml:space="preserve">Our </w:t>
      </w:r>
      <w:r>
        <w:rPr>
          <w:rStyle w:val="AERbody"/>
        </w:rPr>
        <w:t>preliminary</w:t>
      </w:r>
      <w:r w:rsidRPr="00E81BCB">
        <w:rPr>
          <w:rStyle w:val="AERbody"/>
        </w:rPr>
        <w:t xml:space="preserve"> decision on </w:t>
      </w:r>
      <w:r>
        <w:rPr>
          <w:rStyle w:val="AERbody"/>
        </w:rPr>
        <w:t>AusNet Services</w:t>
      </w:r>
      <w:r w:rsidRPr="00E81BCB">
        <w:rPr>
          <w:rStyle w:val="AERbody"/>
        </w:rPr>
        <w:t>' alternative control metering proposal</w:t>
      </w:r>
      <w:r>
        <w:rPr>
          <w:rStyle w:val="AERbody"/>
        </w:rPr>
        <w:t xml:space="preserve">, therefore, interrelates with our preliminary decisions on rate of return and imputation credits. Please refer to Attachments 3 and 4 for the WACC and gamma values we accept for direct control services, along with our reasons. </w:t>
      </w:r>
    </w:p>
    <w:p w:rsidR="00F64DEC" w:rsidRDefault="00F64DEC" w:rsidP="00F64DEC">
      <w:pPr>
        <w:pStyle w:val="Heading3"/>
      </w:pPr>
      <w:bookmarkStart w:id="63" w:name="_Toc433704568"/>
      <w:r>
        <w:t>Reasons for preliminary decision</w:t>
      </w:r>
      <w:bookmarkEnd w:id="63"/>
    </w:p>
    <w:p w:rsidR="00F64DEC" w:rsidRDefault="00997D52" w:rsidP="00997D52">
      <w:pPr>
        <w:pStyle w:val="Heading4"/>
      </w:pPr>
      <w:r>
        <w:t>Cost allocation</w:t>
      </w:r>
    </w:p>
    <w:p w:rsidR="00997D52" w:rsidRDefault="00997D52" w:rsidP="00997D52">
      <w:r>
        <w:t xml:space="preserve">This is not a straightforward application of AusNet Services' approved Cost Allocation Method because of the wider regulatory context related to metering. </w:t>
      </w:r>
    </w:p>
    <w:p w:rsidR="00997D52" w:rsidRDefault="00997D52" w:rsidP="00997D52">
      <w:r>
        <w:t xml:space="preserve">We consider some of the key framework issues for Victorian metering in the 2016–20 regulatory control period are: </w:t>
      </w:r>
    </w:p>
    <w:p w:rsidR="00997D52" w:rsidRDefault="00997D52" w:rsidP="00997D52">
      <w:pPr>
        <w:pStyle w:val="AERbulletlistfirststyle"/>
      </w:pPr>
      <w:r>
        <w:t>facilitating a smooth transition of governance under the Order to regulation under the modified NER</w:t>
      </w:r>
    </w:p>
    <w:p w:rsidR="00997D52" w:rsidRDefault="00997D52" w:rsidP="00997D52">
      <w:pPr>
        <w:pStyle w:val="AERbulletlistfirststyle"/>
      </w:pPr>
      <w:r>
        <w:t>The possibility of Victoria adopting the competitive metering framework sometime in the future.</w:t>
      </w:r>
    </w:p>
    <w:p w:rsidR="00997D52" w:rsidRPr="00997D52" w:rsidRDefault="00997D52" w:rsidP="00160B1D">
      <w:pPr>
        <w:pStyle w:val="AERbulletlistfirststyle"/>
        <w:numPr>
          <w:ilvl w:val="0"/>
          <w:numId w:val="0"/>
        </w:numPr>
      </w:pPr>
      <w:r>
        <w:t>The</w:t>
      </w:r>
      <w:r w:rsidRPr="00997D52">
        <w:t xml:space="preserve"> Victorian businesses have all proposed different ways to allocate the costs that were previously regulated under the Order across standard and alternative control services. They have all, to varying extents, allocated some metering related opex to standard control services. AusNet Services, United Energy and Jemena have allocated proportions of metering related IT/communications capex to standard control. Only AusNet Services has proposed to include past AMI IT/communications assets into the standard control regulatory asset base.</w:t>
      </w:r>
    </w:p>
    <w:p w:rsidR="00997D52" w:rsidRDefault="00997D52" w:rsidP="00997D52">
      <w:r>
        <w:t xml:space="preserve">We consider a consistent approach across Victorian service providers is preferable to the allocation of costs that previously were regulated under the Order. </w:t>
      </w:r>
    </w:p>
    <w:p w:rsidR="00997D52" w:rsidRDefault="00997D52" w:rsidP="00997D52">
      <w:r>
        <w:t>While metering services are not currently subject to competition, given policy developments in this area, it is likely they will be at some point in time.</w:t>
      </w:r>
      <w:r>
        <w:rPr>
          <w:rStyle w:val="FootnoteReference"/>
        </w:rPr>
        <w:footnoteReference w:id="66"/>
      </w:r>
      <w:r>
        <w:t xml:space="preserve"> The cost allocation approaches by incumbent providers have the potential to affect competition from new entrants and competition between existing providers in Victoria. </w:t>
      </w:r>
    </w:p>
    <w:p w:rsidR="00997D52" w:rsidRDefault="00997D52" w:rsidP="00997D52">
      <w:r>
        <w:rPr>
          <w:rStyle w:val="AERbody"/>
        </w:rPr>
        <w:t>Based on the</w:t>
      </w:r>
      <w:r w:rsidRPr="00E277B0">
        <w:rPr>
          <w:rStyle w:val="AERbody"/>
        </w:rPr>
        <w:t xml:space="preserve"> </w:t>
      </w:r>
      <w:r>
        <w:rPr>
          <w:rStyle w:val="AERbody"/>
        </w:rPr>
        <w:t xml:space="preserve">current guidance from the </w:t>
      </w:r>
      <w:r w:rsidRPr="00E277B0">
        <w:rPr>
          <w:rStyle w:val="AERbody"/>
        </w:rPr>
        <w:t>AEMC</w:t>
      </w:r>
      <w:r>
        <w:rPr>
          <w:rStyle w:val="AERbody"/>
        </w:rPr>
        <w:t>, we will be re</w:t>
      </w:r>
      <w:r w:rsidR="00160B1D">
        <w:rPr>
          <w:rStyle w:val="AERbody"/>
        </w:rPr>
        <w:t xml:space="preserve">quired to develop and publish </w:t>
      </w:r>
      <w:r>
        <w:rPr>
          <w:rStyle w:val="AERbody"/>
        </w:rPr>
        <w:t>distribution ring fencing guidelines by 1 December 2016.</w:t>
      </w:r>
      <w:r>
        <w:rPr>
          <w:rStyle w:val="FootnoteReference"/>
        </w:rPr>
        <w:footnoteReference w:id="67"/>
      </w:r>
      <w:r>
        <w:rPr>
          <w:rStyle w:val="AERbody"/>
        </w:rPr>
        <w:t xml:space="preserve"> </w:t>
      </w:r>
      <w:r w:rsidRPr="00017845">
        <w:t xml:space="preserve">We consider any cost allocation issues relating to metering costs would be best dealt with in the development of this </w:t>
      </w:r>
      <w:r>
        <w:t>g</w:t>
      </w:r>
      <w:r w:rsidRPr="00017845">
        <w:t xml:space="preserve">uideline in accordance with a nationally consistent approach. </w:t>
      </w:r>
    </w:p>
    <w:p w:rsidR="00997D52" w:rsidRDefault="00997D52" w:rsidP="00997D52">
      <w:r>
        <w:t xml:space="preserve">In the interim, before these guidelines are developed, our preferred approach is to allocate all costs formerly regulated under the Order to alternative control services. This maintains the status quo until we consider this further through the ring fencing guideline process.  </w:t>
      </w:r>
    </w:p>
    <w:p w:rsidR="00997D52" w:rsidRDefault="00997D52" w:rsidP="00997D52">
      <w:r>
        <w:t>We note that the allocation of costs between standard control services and metering services does not impact our assessment of the efficiency of these costs. Further, as both metering services and standard control services are regulated under a revenue cap, the ability of the Victorian businesses to recover their efficient costs is not affected.</w:t>
      </w:r>
    </w:p>
    <w:p w:rsidR="00894019" w:rsidRDefault="00894019">
      <w:pPr>
        <w:spacing w:line="240" w:lineRule="auto"/>
        <w:rPr>
          <w:rFonts w:eastAsiaTheme="majorEastAsia" w:cstheme="majorBidi"/>
          <w:b/>
          <w:bCs/>
          <w:iCs/>
          <w:color w:val="51626F"/>
          <w:sz w:val="24"/>
        </w:rPr>
      </w:pPr>
      <w:r>
        <w:br w:type="page"/>
      </w:r>
    </w:p>
    <w:p w:rsidR="00997D52" w:rsidRDefault="00997D52" w:rsidP="00997D52">
      <w:pPr>
        <w:pStyle w:val="Heading4"/>
      </w:pPr>
      <w:r>
        <w:t>Annual metering charges</w:t>
      </w:r>
    </w:p>
    <w:p w:rsidR="00997D52" w:rsidRDefault="00997D52" w:rsidP="001C6565">
      <w:pPr>
        <w:pStyle w:val="HeadingBoldItalic"/>
      </w:pPr>
      <w:r>
        <w:t>Forecast capex</w:t>
      </w:r>
    </w:p>
    <w:p w:rsidR="00997D52" w:rsidRPr="006E3DCA" w:rsidRDefault="00997D52" w:rsidP="00997D52">
      <w:pPr>
        <w:rPr>
          <w:rStyle w:val="AERbody"/>
        </w:rPr>
      </w:pPr>
      <w:r w:rsidRPr="006E3DCA">
        <w:rPr>
          <w:rStyle w:val="AERbody"/>
        </w:rPr>
        <w:t xml:space="preserve">AusNet Services' higher forecast metering capex compared to the other Victorian businesses is largely driven by </w:t>
      </w:r>
      <w:r>
        <w:rPr>
          <w:rStyle w:val="AERbody"/>
        </w:rPr>
        <w:t xml:space="preserve">its proposal to </w:t>
      </w:r>
      <w:r w:rsidRPr="00E627FD">
        <w:t>undertake a staged replacement of the existing communications infrastructure</w:t>
      </w:r>
      <w:r>
        <w:t xml:space="preserve"> (</w:t>
      </w:r>
      <w:r w:rsidRPr="006E3DCA">
        <w:rPr>
          <w:rStyle w:val="AERbody"/>
        </w:rPr>
        <w:t>WiMAX/3G</w:t>
      </w:r>
      <w:r>
        <w:rPr>
          <w:rStyle w:val="AERbody"/>
        </w:rPr>
        <w:t>)</w:t>
      </w:r>
      <w:r w:rsidRPr="006E3DCA">
        <w:rPr>
          <w:rStyle w:val="AERbody"/>
        </w:rPr>
        <w:t xml:space="preserve"> with mesh radio communications technology. </w:t>
      </w:r>
    </w:p>
    <w:p w:rsidR="00997D52" w:rsidRDefault="00997D52" w:rsidP="00997D52">
      <w:pPr>
        <w:pStyle w:val="Caption"/>
      </w:pPr>
      <w:bookmarkStart w:id="64" w:name="_Ref430864255"/>
      <w:proofErr w:type="gramStart"/>
      <w:r>
        <w:t xml:space="preserve">Figure </w:t>
      </w:r>
      <w:proofErr w:type="gramEnd"/>
      <w:r w:rsidR="00E40187">
        <w:fldChar w:fldCharType="begin"/>
      </w:r>
      <w:r w:rsidR="00E40187">
        <w:instrText xml:space="preserve"> STYLEREF 1 \s </w:instrText>
      </w:r>
      <w:r w:rsidR="00E40187">
        <w:fldChar w:fldCharType="separate"/>
      </w:r>
      <w:r w:rsidR="009E0EFD">
        <w:rPr>
          <w:noProof/>
        </w:rPr>
        <w:t>16</w:t>
      </w:r>
      <w:r w:rsidR="00E40187">
        <w:rPr>
          <w:noProof/>
        </w:rPr>
        <w:fldChar w:fldCharType="end"/>
      </w:r>
      <w:proofErr w:type="gramStart"/>
      <w:r>
        <w:t>.</w:t>
      </w:r>
      <w:proofErr w:type="gramEnd"/>
      <w:r w:rsidR="00E40187">
        <w:fldChar w:fldCharType="begin"/>
      </w:r>
      <w:r w:rsidR="00E40187">
        <w:instrText xml:space="preserve"> SEQ Figure \* ARABIC \s 1 </w:instrText>
      </w:r>
      <w:r w:rsidR="00E40187">
        <w:fldChar w:fldCharType="separate"/>
      </w:r>
      <w:r w:rsidR="009E0EFD">
        <w:rPr>
          <w:noProof/>
        </w:rPr>
        <w:t>5</w:t>
      </w:r>
      <w:r w:rsidR="00E40187">
        <w:rPr>
          <w:noProof/>
        </w:rPr>
        <w:fldChar w:fldCharType="end"/>
      </w:r>
      <w:bookmarkEnd w:id="64"/>
      <w:r>
        <w:t xml:space="preserve"> – Proposed metering capex for 2016–20 regulatory </w:t>
      </w:r>
      <w:r w:rsidR="00894019">
        <w:t xml:space="preserve">control </w:t>
      </w:r>
      <w:r>
        <w:t>period</w:t>
      </w:r>
    </w:p>
    <w:p w:rsidR="00997D52" w:rsidRPr="009C5CC7" w:rsidRDefault="00080736" w:rsidP="00997D52">
      <w:r>
        <w:rPr>
          <w:noProof/>
          <w:lang w:eastAsia="en-AU"/>
        </w:rPr>
        <w:drawing>
          <wp:inline distT="0" distB="0" distL="0" distR="0" wp14:anchorId="137AA663" wp14:editId="634DEB85">
            <wp:extent cx="4700270" cy="2755900"/>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700270" cy="2755900"/>
                    </a:xfrm>
                    <a:prstGeom prst="rect">
                      <a:avLst/>
                    </a:prstGeom>
                    <a:noFill/>
                  </pic:spPr>
                </pic:pic>
              </a:graphicData>
            </a:graphic>
          </wp:inline>
        </w:drawing>
      </w:r>
    </w:p>
    <w:p w:rsidR="00080736" w:rsidRPr="00080736" w:rsidRDefault="00080736" w:rsidP="00080736">
      <w:pPr>
        <w:pStyle w:val="AERtablesource"/>
        <w:rPr>
          <w:rStyle w:val="AERbody"/>
          <w:sz w:val="16"/>
        </w:rPr>
      </w:pPr>
      <w:r w:rsidRPr="00080736">
        <w:rPr>
          <w:rStyle w:val="AERbody"/>
          <w:sz w:val="16"/>
        </w:rPr>
        <w:t>Source:</w:t>
      </w:r>
      <w:r w:rsidR="006D2871">
        <w:rPr>
          <w:rStyle w:val="AERbody"/>
        </w:rPr>
        <w:tab/>
      </w:r>
      <w:r w:rsidRPr="00080736">
        <w:rPr>
          <w:rStyle w:val="AERbody"/>
          <w:sz w:val="16"/>
        </w:rPr>
        <w:t>AER analysis. Includes metering capex proposed across standard and alternative control services.</w:t>
      </w:r>
      <w:r>
        <w:rPr>
          <w:rStyle w:val="AERbody"/>
        </w:rPr>
        <w:t xml:space="preserve"> </w:t>
      </w:r>
    </w:p>
    <w:p w:rsidR="00997D52" w:rsidRPr="006E3DCA" w:rsidRDefault="00997D52" w:rsidP="00997D52">
      <w:pPr>
        <w:rPr>
          <w:rStyle w:val="AERbody"/>
        </w:rPr>
      </w:pPr>
      <w:r w:rsidRPr="006E3DCA">
        <w:rPr>
          <w:rStyle w:val="AERbody"/>
        </w:rPr>
        <w:t>We consider that moving to mesh radio communications technology incurs two types of costs:</w:t>
      </w:r>
    </w:p>
    <w:p w:rsidR="00997D52" w:rsidRPr="006E3DCA" w:rsidRDefault="00997D52" w:rsidP="00997D52">
      <w:pPr>
        <w:pStyle w:val="AERbulletlistfirststyle"/>
        <w:rPr>
          <w:rStyle w:val="AERbody"/>
        </w:rPr>
      </w:pPr>
      <w:r w:rsidRPr="006E3DCA">
        <w:rPr>
          <w:rStyle w:val="AERbody"/>
        </w:rPr>
        <w:t xml:space="preserve">Mesh radio switching costs–setting up IT/communications infrastructure and </w:t>
      </w:r>
      <w:r w:rsidRPr="006E3DCA">
        <w:t>replacing existing WiMAX/3G communications modules.</w:t>
      </w:r>
      <w:r w:rsidR="0041350C">
        <w:t xml:space="preserve"> </w:t>
      </w:r>
    </w:p>
    <w:p w:rsidR="00997D52" w:rsidRPr="006E3DCA" w:rsidRDefault="00997D52" w:rsidP="00997D52">
      <w:pPr>
        <w:pStyle w:val="AERbulletlistfirststyle"/>
        <w:rPr>
          <w:rStyle w:val="AERbody"/>
        </w:rPr>
      </w:pPr>
      <w:proofErr w:type="gramStart"/>
      <w:r w:rsidRPr="006E3DCA">
        <w:rPr>
          <w:rStyle w:val="AERbody"/>
        </w:rPr>
        <w:t>Business as usual mesh</w:t>
      </w:r>
      <w:proofErr w:type="gramEnd"/>
      <w:r w:rsidRPr="006E3DCA">
        <w:rPr>
          <w:rStyle w:val="AERbody"/>
        </w:rPr>
        <w:t xml:space="preserve"> radio costs–maintaining IT/communications infrastructure and installing mesh communications modules for all future meters.</w:t>
      </w:r>
    </w:p>
    <w:p w:rsidR="00997D52" w:rsidRPr="00337A55" w:rsidRDefault="00997D52" w:rsidP="00997D52">
      <w:r w:rsidRPr="006E3DCA">
        <w:rPr>
          <w:rStyle w:val="AERbody"/>
        </w:rPr>
        <w:t xml:space="preserve">We do not accept AusNet Service's proposed forecast metering capex relating to mesh radio switching costs. We recognise that AusNet Services may have to replace WiMAX/3G with mesh radio and will incur switching costs </w:t>
      </w:r>
      <w:r>
        <w:rPr>
          <w:rStyle w:val="AERbody"/>
        </w:rPr>
        <w:t>in the 2016</w:t>
      </w:r>
      <w:r w:rsidR="009403E7">
        <w:rPr>
          <w:rStyle w:val="AERbody"/>
        </w:rPr>
        <w:t>–</w:t>
      </w:r>
      <w:r>
        <w:rPr>
          <w:rStyle w:val="AERbody"/>
        </w:rPr>
        <w:t xml:space="preserve">20 regulatory </w:t>
      </w:r>
      <w:r w:rsidR="00894019">
        <w:rPr>
          <w:rStyle w:val="AERbody"/>
        </w:rPr>
        <w:t xml:space="preserve">control </w:t>
      </w:r>
      <w:proofErr w:type="gramStart"/>
      <w:r>
        <w:rPr>
          <w:rStyle w:val="AERbody"/>
        </w:rPr>
        <w:t>period</w:t>
      </w:r>
      <w:proofErr w:type="gramEnd"/>
      <w:r>
        <w:rPr>
          <w:rStyle w:val="AERbody"/>
        </w:rPr>
        <w:t xml:space="preserve"> </w:t>
      </w:r>
      <w:r w:rsidRPr="006E3DCA">
        <w:rPr>
          <w:rStyle w:val="AERbody"/>
        </w:rPr>
        <w:t>to do so. However, we consider that AusNet Services, not their customers, should bear the costs of switching.</w:t>
      </w:r>
      <w:r>
        <w:rPr>
          <w:rStyle w:val="AERbody"/>
        </w:rPr>
        <w:t xml:space="preserve"> </w:t>
      </w:r>
      <w:r>
        <w:t>Our reasons are detailed in appendix</w:t>
      </w:r>
      <w:r w:rsidR="00D96361">
        <w:t xml:space="preserve"> </w:t>
      </w:r>
      <w:r w:rsidR="00D96361">
        <w:fldChar w:fldCharType="begin"/>
      </w:r>
      <w:r w:rsidR="00D96361">
        <w:instrText xml:space="preserve"> REF _Ref433275418 \n \h </w:instrText>
      </w:r>
      <w:r w:rsidR="00D96361">
        <w:fldChar w:fldCharType="separate"/>
      </w:r>
      <w:r w:rsidR="009E0EFD">
        <w:t>A</w:t>
      </w:r>
      <w:r w:rsidR="00D96361">
        <w:fldChar w:fldCharType="end"/>
      </w:r>
      <w:r>
        <w:t>.</w:t>
      </w:r>
    </w:p>
    <w:p w:rsidR="00997D52" w:rsidRDefault="00997D52" w:rsidP="00997D52">
      <w:pPr>
        <w:rPr>
          <w:rStyle w:val="AERbody"/>
        </w:rPr>
      </w:pPr>
      <w:r w:rsidRPr="001A390F">
        <w:rPr>
          <w:rStyle w:val="AERbody"/>
        </w:rPr>
        <w:t>The</w:t>
      </w:r>
      <w:r>
        <w:rPr>
          <w:rStyle w:val="AERbody"/>
        </w:rPr>
        <w:t xml:space="preserve"> remaining section relates to business-as-usual </w:t>
      </w:r>
      <w:r w:rsidRPr="001A390F">
        <w:rPr>
          <w:rStyle w:val="AERbody"/>
        </w:rPr>
        <w:t>metering capex</w:t>
      </w:r>
      <w:r>
        <w:rPr>
          <w:rStyle w:val="AERbody"/>
        </w:rPr>
        <w:t xml:space="preserve"> for </w:t>
      </w:r>
      <w:r w:rsidRPr="001A390F">
        <w:rPr>
          <w:rStyle w:val="AERbody"/>
        </w:rPr>
        <w:t xml:space="preserve">remotely read interval meters, communications and IT. </w:t>
      </w:r>
    </w:p>
    <w:p w:rsidR="00894019" w:rsidRDefault="00894019">
      <w:pPr>
        <w:spacing w:line="240" w:lineRule="auto"/>
        <w:rPr>
          <w:rStyle w:val="AERtextunderline"/>
        </w:rPr>
      </w:pPr>
      <w:r>
        <w:rPr>
          <w:rStyle w:val="AERtextunderline"/>
        </w:rPr>
        <w:br w:type="page"/>
      </w:r>
    </w:p>
    <w:p w:rsidR="00997D52" w:rsidRPr="001C6565" w:rsidRDefault="00997D52" w:rsidP="001C6565">
      <w:pPr>
        <w:pStyle w:val="HeadingItalic"/>
        <w:rPr>
          <w:rStyle w:val="AERtextunderline"/>
          <w:u w:val="none"/>
        </w:rPr>
      </w:pPr>
      <w:r w:rsidRPr="001C6565">
        <w:rPr>
          <w:rStyle w:val="AERtextunderline"/>
          <w:u w:val="none"/>
        </w:rPr>
        <w:t>Remotely read interval meters</w:t>
      </w:r>
    </w:p>
    <w:p w:rsidR="00997D52" w:rsidRDefault="00997D52" w:rsidP="00997D52">
      <w:pPr>
        <w:rPr>
          <w:rStyle w:val="AERbody"/>
        </w:rPr>
      </w:pPr>
      <w:r>
        <w:rPr>
          <w:rStyle w:val="AERbody"/>
        </w:rPr>
        <w:t>We approve $</w:t>
      </w:r>
      <w:r w:rsidRPr="001236B7">
        <w:rPr>
          <w:rStyle w:val="AERbody"/>
        </w:rPr>
        <w:t>4</w:t>
      </w:r>
      <w:r w:rsidR="00C94354">
        <w:rPr>
          <w:rStyle w:val="AERbody"/>
        </w:rPr>
        <w:t>5</w:t>
      </w:r>
      <w:r w:rsidRPr="001236B7">
        <w:rPr>
          <w:rStyle w:val="AERbody"/>
        </w:rPr>
        <w:t>.</w:t>
      </w:r>
      <w:r w:rsidR="00C94354">
        <w:rPr>
          <w:rStyle w:val="AERbody"/>
        </w:rPr>
        <w:t>8</w:t>
      </w:r>
      <w:r w:rsidRPr="001236B7">
        <w:rPr>
          <w:rStyle w:val="AERbody"/>
        </w:rPr>
        <w:t xml:space="preserve"> </w:t>
      </w:r>
      <w:r>
        <w:rPr>
          <w:rStyle w:val="AERbody"/>
        </w:rPr>
        <w:t xml:space="preserve">million for metering capex related to remotely read interval meters. This includes meter hardware (meter and communications modules) and installation. </w:t>
      </w:r>
    </w:p>
    <w:p w:rsidR="00997D52" w:rsidRDefault="00997D52" w:rsidP="00997D52">
      <w:pPr>
        <w:rPr>
          <w:rStyle w:val="AERbody"/>
        </w:rPr>
      </w:pPr>
      <w:r>
        <w:rPr>
          <w:rStyle w:val="AERbody"/>
        </w:rPr>
        <w:t xml:space="preserve">As the Victorian businesses have claimed confidentiality over unit costs, we can only provide a high level summary of our analysis. </w:t>
      </w:r>
    </w:p>
    <w:p w:rsidR="00997D52" w:rsidRPr="001236B7" w:rsidRDefault="00997D52" w:rsidP="00997D52">
      <w:pPr>
        <w:rPr>
          <w:rStyle w:val="AERtextitalic"/>
        </w:rPr>
      </w:pPr>
      <w:r w:rsidRPr="001236B7">
        <w:rPr>
          <w:rStyle w:val="AERtextitalic"/>
        </w:rPr>
        <w:t>Meter hardware unit costs</w:t>
      </w:r>
    </w:p>
    <w:p w:rsidR="00997D52" w:rsidRPr="00180FBB" w:rsidRDefault="00997D52" w:rsidP="00997D52">
      <w:pPr>
        <w:rPr>
          <w:rStyle w:val="AERbody"/>
        </w:rPr>
      </w:pPr>
      <w:r w:rsidRPr="00180FBB">
        <w:rPr>
          <w:rStyle w:val="AERbody"/>
        </w:rPr>
        <w:t xml:space="preserve">Our preliminary decision accepts AusNet Services' proposed meter hardware unit costs (meter and communications </w:t>
      </w:r>
      <w:r>
        <w:rPr>
          <w:rStyle w:val="AERbody"/>
        </w:rPr>
        <w:t xml:space="preserve">module inclusive) for the following </w:t>
      </w:r>
      <w:r w:rsidRPr="00180FBB">
        <w:rPr>
          <w:rStyle w:val="AERbody"/>
        </w:rPr>
        <w:t>meter types because they were the lowest proposed hardware unit costs by a Victorian business:</w:t>
      </w:r>
    </w:p>
    <w:p w:rsidR="00997D52" w:rsidRPr="00180FBB" w:rsidRDefault="00997D52" w:rsidP="00997D52">
      <w:pPr>
        <w:rPr>
          <w:rStyle w:val="AERbody"/>
        </w:rPr>
      </w:pPr>
      <w:r w:rsidRPr="00180FBB">
        <w:rPr>
          <w:rStyle w:val="AERbody"/>
        </w:rPr>
        <w:t>•</w:t>
      </w:r>
      <w:r w:rsidRPr="00180FBB">
        <w:rPr>
          <w:rStyle w:val="AERbody"/>
        </w:rPr>
        <w:tab/>
      </w:r>
      <w:proofErr w:type="gramStart"/>
      <w:r w:rsidRPr="00180FBB">
        <w:rPr>
          <w:rStyle w:val="AERbody"/>
        </w:rPr>
        <w:t>single</w:t>
      </w:r>
      <w:proofErr w:type="gramEnd"/>
      <w:r w:rsidRPr="00180FBB">
        <w:rPr>
          <w:rStyle w:val="AERbody"/>
        </w:rPr>
        <w:t xml:space="preserve"> phase single element meter with contactor</w:t>
      </w:r>
    </w:p>
    <w:p w:rsidR="00997D52" w:rsidRPr="00180FBB" w:rsidRDefault="00997D52" w:rsidP="00997D52">
      <w:pPr>
        <w:rPr>
          <w:rStyle w:val="AERbody"/>
        </w:rPr>
      </w:pPr>
      <w:r w:rsidRPr="00180FBB">
        <w:rPr>
          <w:rStyle w:val="AERbody"/>
        </w:rPr>
        <w:t>•</w:t>
      </w:r>
      <w:r w:rsidRPr="00180FBB">
        <w:rPr>
          <w:rStyle w:val="AERbody"/>
        </w:rPr>
        <w:tab/>
      </w:r>
      <w:proofErr w:type="gramStart"/>
      <w:r w:rsidRPr="00180FBB">
        <w:rPr>
          <w:rStyle w:val="AERbody"/>
        </w:rPr>
        <w:t>single</w:t>
      </w:r>
      <w:proofErr w:type="gramEnd"/>
      <w:r w:rsidRPr="00180FBB">
        <w:rPr>
          <w:rStyle w:val="AERbody"/>
        </w:rPr>
        <w:t xml:space="preserve"> phase two element with contactor</w:t>
      </w:r>
    </w:p>
    <w:p w:rsidR="00997D52" w:rsidRPr="00180FBB" w:rsidRDefault="00997D52" w:rsidP="00997D52">
      <w:pPr>
        <w:rPr>
          <w:rStyle w:val="AERbody"/>
        </w:rPr>
      </w:pPr>
      <w:r w:rsidRPr="00180FBB">
        <w:rPr>
          <w:rStyle w:val="AERbody"/>
        </w:rPr>
        <w:t>•</w:t>
      </w:r>
      <w:r w:rsidRPr="00180FBB">
        <w:rPr>
          <w:rStyle w:val="AERbody"/>
        </w:rPr>
        <w:tab/>
      </w:r>
      <w:proofErr w:type="gramStart"/>
      <w:r w:rsidRPr="00180FBB">
        <w:rPr>
          <w:rStyle w:val="AERbody"/>
        </w:rPr>
        <w:t>three</w:t>
      </w:r>
      <w:proofErr w:type="gramEnd"/>
      <w:r w:rsidRPr="00180FBB">
        <w:rPr>
          <w:rStyle w:val="AERbody"/>
        </w:rPr>
        <w:t xml:space="preserve"> phase direct connected meter with contactor</w:t>
      </w:r>
    </w:p>
    <w:p w:rsidR="00997D52" w:rsidRDefault="00997D52" w:rsidP="00997D52">
      <w:pPr>
        <w:rPr>
          <w:rStyle w:val="AERbody"/>
        </w:rPr>
      </w:pPr>
      <w:r w:rsidRPr="00180FBB">
        <w:rPr>
          <w:rStyle w:val="AERbody"/>
        </w:rPr>
        <w:t>•</w:t>
      </w:r>
      <w:r w:rsidRPr="00180FBB">
        <w:rPr>
          <w:rStyle w:val="AERbody"/>
        </w:rPr>
        <w:tab/>
      </w:r>
      <w:proofErr w:type="gramStart"/>
      <w:r w:rsidRPr="00180FBB">
        <w:rPr>
          <w:rStyle w:val="AERbody"/>
        </w:rPr>
        <w:t>three</w:t>
      </w:r>
      <w:proofErr w:type="gramEnd"/>
      <w:r w:rsidRPr="00180FBB">
        <w:rPr>
          <w:rStyle w:val="AERbody"/>
        </w:rPr>
        <w:t xml:space="preserve"> phase current transformer connected meter</w:t>
      </w:r>
      <w:r>
        <w:rPr>
          <w:rStyle w:val="AERbody"/>
        </w:rPr>
        <w:t>.</w:t>
      </w:r>
      <w:r w:rsidRPr="00180FBB">
        <w:rPr>
          <w:rStyle w:val="AERbody"/>
        </w:rPr>
        <w:t xml:space="preserve"> </w:t>
      </w:r>
    </w:p>
    <w:p w:rsidR="00997D52" w:rsidRPr="00AB7A17" w:rsidRDefault="00997D52" w:rsidP="00997D52">
      <w:pPr>
        <w:rPr>
          <w:rStyle w:val="AERbody"/>
        </w:rPr>
      </w:pPr>
      <w:r>
        <w:rPr>
          <w:rStyle w:val="AERbody"/>
        </w:rPr>
        <w:t xml:space="preserve">However, we did not accept </w:t>
      </w:r>
      <w:r w:rsidRPr="00AB7A17">
        <w:rPr>
          <w:rStyle w:val="AERbody"/>
        </w:rPr>
        <w:t xml:space="preserve">AusNet Services' proposed </w:t>
      </w:r>
      <w:r>
        <w:rPr>
          <w:rStyle w:val="AERbody"/>
        </w:rPr>
        <w:t xml:space="preserve">meter hardware </w:t>
      </w:r>
      <w:r w:rsidRPr="00AB7A17">
        <w:rPr>
          <w:rStyle w:val="AERbody"/>
        </w:rPr>
        <w:t>unit costs (meter and commu</w:t>
      </w:r>
      <w:r>
        <w:rPr>
          <w:rStyle w:val="AERbody"/>
        </w:rPr>
        <w:t xml:space="preserve">nications module inclusive) for the 'single phase single element meter'. </w:t>
      </w:r>
    </w:p>
    <w:p w:rsidR="00997D52" w:rsidRDefault="00997D52" w:rsidP="00997D52">
      <w:pPr>
        <w:rPr>
          <w:rStyle w:val="AERbody"/>
        </w:rPr>
      </w:pPr>
      <w:r>
        <w:rPr>
          <w:rStyle w:val="AERbody"/>
        </w:rPr>
        <w:t>Our substitute unit cost for the single phase single element meter is based on a lower forecast unit cost for that meter type submitted by another Victorian business in its proposal for the 2016</w:t>
      </w:r>
      <w:r w:rsidR="009403E7">
        <w:rPr>
          <w:rStyle w:val="AERbody"/>
        </w:rPr>
        <w:t>–</w:t>
      </w:r>
      <w:r>
        <w:rPr>
          <w:rStyle w:val="AERbody"/>
        </w:rPr>
        <w:t xml:space="preserve">20 regulatory control </w:t>
      </w:r>
      <w:proofErr w:type="gramStart"/>
      <w:r>
        <w:rPr>
          <w:rStyle w:val="AERbody"/>
        </w:rPr>
        <w:t>period</w:t>
      </w:r>
      <w:proofErr w:type="gramEnd"/>
      <w:r>
        <w:rPr>
          <w:rStyle w:val="AERbody"/>
        </w:rPr>
        <w:t xml:space="preserve">. </w:t>
      </w:r>
    </w:p>
    <w:p w:rsidR="00997D52" w:rsidRDefault="00997D52" w:rsidP="00997D52">
      <w:pPr>
        <w:rPr>
          <w:rStyle w:val="AERbody"/>
        </w:rPr>
      </w:pPr>
      <w:r>
        <w:rPr>
          <w:rStyle w:val="AERbody"/>
        </w:rPr>
        <w:t xml:space="preserve">The fact that another Victorian business has been able to obtain a lower unit cost for a single phase single element meter indicates to us that our substitute unit cost is currently commercially available in Victoria and therefore is a reasonable benchmark. </w:t>
      </w:r>
    </w:p>
    <w:p w:rsidR="00997D52" w:rsidRPr="001236B7" w:rsidRDefault="00997D52" w:rsidP="00997D52">
      <w:pPr>
        <w:rPr>
          <w:rStyle w:val="AERtextitalic"/>
        </w:rPr>
      </w:pPr>
      <w:r w:rsidRPr="001236B7">
        <w:rPr>
          <w:rStyle w:val="AERtextitalic"/>
        </w:rPr>
        <w:t>Meter installation unit costs</w:t>
      </w:r>
    </w:p>
    <w:p w:rsidR="00997D52" w:rsidRDefault="00997D52" w:rsidP="00997D52">
      <w:pPr>
        <w:rPr>
          <w:rStyle w:val="AERbody"/>
        </w:rPr>
      </w:pPr>
      <w:r>
        <w:rPr>
          <w:rStyle w:val="AERbody"/>
        </w:rPr>
        <w:t xml:space="preserve">We accepted AusNet Services meter installation costs because they were relatively low compared to the amounts proposed by the other Victorian distributors. </w:t>
      </w:r>
    </w:p>
    <w:p w:rsidR="00997D52" w:rsidRPr="001236B7" w:rsidRDefault="00997D52" w:rsidP="00997D52">
      <w:pPr>
        <w:rPr>
          <w:rStyle w:val="AERtextitalic"/>
        </w:rPr>
      </w:pPr>
      <w:r w:rsidRPr="001236B7">
        <w:rPr>
          <w:rStyle w:val="AERtextitalic"/>
        </w:rPr>
        <w:t>Meter volumes (hardware and installation)</w:t>
      </w:r>
    </w:p>
    <w:p w:rsidR="00997D52" w:rsidRDefault="00997D52" w:rsidP="00997D52">
      <w:pPr>
        <w:rPr>
          <w:rStyle w:val="AERbody"/>
        </w:rPr>
      </w:pPr>
      <w:r>
        <w:rPr>
          <w:rStyle w:val="AERbody"/>
        </w:rPr>
        <w:t xml:space="preserve">For the preliminary decision, we have accepted AusNet Services' metering volume forecasts. We may revisit forecast metering volumes in the final decision if more information becomes available. For example, if the Victorian government confirms whether the derogation will expire or continue.   </w:t>
      </w:r>
    </w:p>
    <w:p w:rsidR="00997D52" w:rsidRPr="001C6565" w:rsidRDefault="00997D52" w:rsidP="001C6565">
      <w:pPr>
        <w:pStyle w:val="HeadingItalic"/>
        <w:rPr>
          <w:rStyle w:val="AERtextunderline"/>
          <w:u w:val="none"/>
        </w:rPr>
      </w:pPr>
      <w:r w:rsidRPr="001C6565">
        <w:rPr>
          <w:rStyle w:val="AERtextunderline"/>
          <w:u w:val="none"/>
        </w:rPr>
        <w:t>Communications/IT</w:t>
      </w:r>
    </w:p>
    <w:p w:rsidR="00997D52" w:rsidRPr="00311650" w:rsidRDefault="00997D52" w:rsidP="00997D52">
      <w:r>
        <w:rPr>
          <w:rStyle w:val="AERbody"/>
        </w:rPr>
        <w:t xml:space="preserve">We approve $5.9 million </w:t>
      </w:r>
      <w:r w:rsidRPr="00717CB1">
        <w:rPr>
          <w:rStyle w:val="AERbody"/>
        </w:rPr>
        <w:t>($2015)</w:t>
      </w:r>
      <w:r>
        <w:rPr>
          <w:rStyle w:val="AERbody"/>
        </w:rPr>
        <w:t xml:space="preserve"> of metering communications capex and $0.9 million ($2015) in metering IT capex as it relates to AusNet Services' business-as-usual requirements. </w:t>
      </w:r>
    </w:p>
    <w:p w:rsidR="00997D52" w:rsidRDefault="00997D52" w:rsidP="001C6565">
      <w:pPr>
        <w:pStyle w:val="HeadingBoldItalic"/>
      </w:pPr>
      <w:r>
        <w:t>Forecast opex</w:t>
      </w:r>
    </w:p>
    <w:p w:rsidR="00997D52" w:rsidRPr="0041350C" w:rsidRDefault="00997D52" w:rsidP="0041350C">
      <w:pPr>
        <w:rPr>
          <w:rStyle w:val="AERbody"/>
        </w:rPr>
      </w:pPr>
      <w:r w:rsidRPr="0041350C">
        <w:rPr>
          <w:rStyle w:val="AERbody"/>
        </w:rPr>
        <w:t xml:space="preserve">We accept AusNet Services' proposed metering opex of $139.7 million ($2015). In reaching this preliminary decision, we applied a "base–step–trend" approach to develop our own alternative forecast. Using this approach, we found that AusNet Services' forecast opex, which applied a "bottom–up" build, was reasonable. Hence, it has been accepted. </w:t>
      </w:r>
    </w:p>
    <w:p w:rsidR="00997D52" w:rsidRPr="001C6565" w:rsidRDefault="00997D52" w:rsidP="001C6565">
      <w:pPr>
        <w:pStyle w:val="HeadingItalic"/>
        <w:rPr>
          <w:rStyle w:val="AERtextunderline"/>
          <w:u w:val="none"/>
        </w:rPr>
      </w:pPr>
      <w:r w:rsidRPr="001C6565">
        <w:rPr>
          <w:rStyle w:val="AERtextunderline"/>
          <w:u w:val="none"/>
        </w:rPr>
        <w:t>Base</w:t>
      </w:r>
    </w:p>
    <w:p w:rsidR="00997D52" w:rsidRDefault="00997D52" w:rsidP="00997D52">
      <w:r>
        <w:t xml:space="preserve">Our determination on AusNet Services' base level of metering opex applied the revealed costs approach. We also adjusted for any non–recurrent costs or material inefficiencies. </w:t>
      </w:r>
      <w:r>
        <w:fldChar w:fldCharType="begin"/>
      </w:r>
      <w:r>
        <w:instrText xml:space="preserve"> REF _Ref430264360 \h </w:instrText>
      </w:r>
      <w:r>
        <w:fldChar w:fldCharType="separate"/>
      </w:r>
      <w:r w:rsidR="009E0EFD">
        <w:t xml:space="preserve">Table </w:t>
      </w:r>
      <w:r w:rsidR="009E0EFD">
        <w:rPr>
          <w:noProof/>
        </w:rPr>
        <w:t>16</w:t>
      </w:r>
      <w:r w:rsidR="009E0EFD">
        <w:t>.</w:t>
      </w:r>
      <w:r w:rsidR="009E0EFD">
        <w:rPr>
          <w:noProof/>
        </w:rPr>
        <w:t>14</w:t>
      </w:r>
      <w:r>
        <w:fldChar w:fldCharType="end"/>
      </w:r>
      <w:r>
        <w:t xml:space="preserve"> breaks down each component of our preliminary decision regarding AusNet Services' base metering opex.</w:t>
      </w:r>
    </w:p>
    <w:p w:rsidR="00997D52" w:rsidRDefault="00997D52" w:rsidP="00997D52">
      <w:pPr>
        <w:pStyle w:val="Caption"/>
      </w:pPr>
      <w:bookmarkStart w:id="65" w:name="_Ref430264360"/>
      <w:proofErr w:type="gramStart"/>
      <w:r>
        <w:t xml:space="preserve">Table </w:t>
      </w:r>
      <w:proofErr w:type="gramEnd"/>
      <w:r w:rsidR="006A670B">
        <w:fldChar w:fldCharType="begin"/>
      </w:r>
      <w:r w:rsidR="006A670B">
        <w:instrText xml:space="preserve"> STYLEREF 1 \s </w:instrText>
      </w:r>
      <w:r w:rsidR="006A670B">
        <w:fldChar w:fldCharType="separate"/>
      </w:r>
      <w:r w:rsidR="009E0EFD">
        <w:rPr>
          <w:noProof/>
        </w:rPr>
        <w:t>16</w:t>
      </w:r>
      <w:r w:rsidR="006A670B">
        <w:fldChar w:fldCharType="end"/>
      </w:r>
      <w:proofErr w:type="gramStart"/>
      <w:r w:rsidR="006A670B">
        <w:t>.</w:t>
      </w:r>
      <w:proofErr w:type="gramEnd"/>
      <w:r w:rsidR="006A670B">
        <w:fldChar w:fldCharType="begin"/>
      </w:r>
      <w:r w:rsidR="006A670B">
        <w:instrText xml:space="preserve"> SEQ Table \* ARABIC \s 1 </w:instrText>
      </w:r>
      <w:r w:rsidR="006A670B">
        <w:fldChar w:fldCharType="separate"/>
      </w:r>
      <w:r w:rsidR="009E0EFD">
        <w:rPr>
          <w:noProof/>
        </w:rPr>
        <w:t>14</w:t>
      </w:r>
      <w:r w:rsidR="006A670B">
        <w:fldChar w:fldCharType="end"/>
      </w:r>
      <w:bookmarkEnd w:id="65"/>
      <w:r>
        <w:tab/>
        <w:t>AER assessment of the base</w:t>
      </w:r>
    </w:p>
    <w:tbl>
      <w:tblPr>
        <w:tblStyle w:val="AERtable-numbers"/>
        <w:tblW w:w="0" w:type="auto"/>
        <w:tblLook w:val="04A0" w:firstRow="1" w:lastRow="0" w:firstColumn="1" w:lastColumn="0" w:noHBand="0" w:noVBand="1"/>
      </w:tblPr>
      <w:tblGrid>
        <w:gridCol w:w="4346"/>
        <w:gridCol w:w="4347"/>
      </w:tblGrid>
      <w:tr w:rsidR="00997D52" w:rsidTr="00997D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997D52" w:rsidRPr="00997D52" w:rsidRDefault="00997D52" w:rsidP="00997D52">
            <w:r>
              <w:t>Component</w:t>
            </w:r>
          </w:p>
        </w:tc>
        <w:tc>
          <w:tcPr>
            <w:tcW w:w="4347" w:type="dxa"/>
          </w:tcPr>
          <w:p w:rsidR="00997D52" w:rsidRPr="00997D52" w:rsidRDefault="00997D52" w:rsidP="00997D52">
            <w:pPr>
              <w:cnfStyle w:val="100000000000" w:firstRow="1" w:lastRow="0" w:firstColumn="0" w:lastColumn="0" w:oddVBand="0" w:evenVBand="0" w:oddHBand="0" w:evenHBand="0" w:firstRowFirstColumn="0" w:firstRowLastColumn="0" w:lastRowFirstColumn="0" w:lastRowLastColumn="0"/>
            </w:pPr>
            <w:r>
              <w:t>($m, 2015)</w:t>
            </w:r>
          </w:p>
        </w:tc>
      </w:tr>
      <w:tr w:rsidR="00997D52" w:rsidTr="00997D52">
        <w:tc>
          <w:tcPr>
            <w:cnfStyle w:val="001000000000" w:firstRow="0" w:lastRow="0" w:firstColumn="1" w:lastColumn="0" w:oddVBand="0" w:evenVBand="0" w:oddHBand="0" w:evenHBand="0" w:firstRowFirstColumn="0" w:firstRowLastColumn="0" w:lastRowFirstColumn="0" w:lastRowLastColumn="0"/>
            <w:tcW w:w="4346" w:type="dxa"/>
          </w:tcPr>
          <w:p w:rsidR="00997D52" w:rsidRPr="00997D52" w:rsidRDefault="00997D52" w:rsidP="00997D52">
            <w:r>
              <w:t>R</w:t>
            </w:r>
            <w:r w:rsidRPr="00997D52">
              <w:t>aw base</w:t>
            </w:r>
          </w:p>
        </w:tc>
        <w:tc>
          <w:tcPr>
            <w:tcW w:w="4347" w:type="dxa"/>
          </w:tcPr>
          <w:p w:rsidR="00997D52" w:rsidRPr="00997D52" w:rsidRDefault="00997D52" w:rsidP="00997D52">
            <w:pPr>
              <w:cnfStyle w:val="000000000000" w:firstRow="0" w:lastRow="0" w:firstColumn="0" w:lastColumn="0" w:oddVBand="0" w:evenVBand="0" w:oddHBand="0" w:evenHBand="0" w:firstRowFirstColumn="0" w:firstRowLastColumn="0" w:lastRowFirstColumn="0" w:lastRowLastColumn="0"/>
            </w:pPr>
            <w:r>
              <w:t>48.5</w:t>
            </w:r>
          </w:p>
        </w:tc>
      </w:tr>
      <w:tr w:rsidR="00997D52" w:rsidTr="00997D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997D52" w:rsidRPr="00997D52" w:rsidRDefault="00997D52" w:rsidP="00997D52">
            <w:r>
              <w:t>Adjustment for non–recurrent costs</w:t>
            </w:r>
          </w:p>
        </w:tc>
        <w:tc>
          <w:tcPr>
            <w:tcW w:w="4347" w:type="dxa"/>
          </w:tcPr>
          <w:p w:rsidR="00997D52" w:rsidRPr="00997D52" w:rsidRDefault="00997D52" w:rsidP="00997D52">
            <w:pPr>
              <w:cnfStyle w:val="000000010000" w:firstRow="0" w:lastRow="0" w:firstColumn="0" w:lastColumn="0" w:oddVBand="0" w:evenVBand="0" w:oddHBand="0" w:evenHBand="1" w:firstRowFirstColumn="0" w:firstRowLastColumn="0" w:lastRowFirstColumn="0" w:lastRowLastColumn="0"/>
            </w:pPr>
            <w:r>
              <w:t>–</w:t>
            </w:r>
            <w:r w:rsidRPr="00997D52">
              <w:t>20.5</w:t>
            </w:r>
          </w:p>
        </w:tc>
      </w:tr>
      <w:tr w:rsidR="00997D52" w:rsidTr="00997D52">
        <w:tc>
          <w:tcPr>
            <w:cnfStyle w:val="001000000000" w:firstRow="0" w:lastRow="0" w:firstColumn="1" w:lastColumn="0" w:oddVBand="0" w:evenVBand="0" w:oddHBand="0" w:evenHBand="0" w:firstRowFirstColumn="0" w:firstRowLastColumn="0" w:lastRowFirstColumn="0" w:lastRowLastColumn="0"/>
            <w:tcW w:w="4346" w:type="dxa"/>
          </w:tcPr>
          <w:p w:rsidR="00997D52" w:rsidRPr="00997D52" w:rsidRDefault="00997D52" w:rsidP="00997D52">
            <w:r>
              <w:t>Adjustment for material inefficiencies</w:t>
            </w:r>
          </w:p>
        </w:tc>
        <w:tc>
          <w:tcPr>
            <w:tcW w:w="4347" w:type="dxa"/>
          </w:tcPr>
          <w:p w:rsidR="00997D52" w:rsidRPr="00997D52" w:rsidRDefault="00997D52" w:rsidP="00997D52">
            <w:pPr>
              <w:cnfStyle w:val="000000000000" w:firstRow="0" w:lastRow="0" w:firstColumn="0" w:lastColumn="0" w:oddVBand="0" w:evenVBand="0" w:oddHBand="0" w:evenHBand="0" w:firstRowFirstColumn="0" w:firstRowLastColumn="0" w:lastRowFirstColumn="0" w:lastRowLastColumn="0"/>
            </w:pPr>
            <w:r w:rsidRPr="00D74CB9">
              <w:t>0.0</w:t>
            </w:r>
          </w:p>
        </w:tc>
      </w:tr>
      <w:tr w:rsidR="00997D52" w:rsidTr="00997D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997D52" w:rsidRPr="00997D52" w:rsidRDefault="00997D52" w:rsidP="00997D52">
            <w:r>
              <w:t>Total</w:t>
            </w:r>
          </w:p>
        </w:tc>
        <w:tc>
          <w:tcPr>
            <w:tcW w:w="4347" w:type="dxa"/>
          </w:tcPr>
          <w:p w:rsidR="00997D52" w:rsidRPr="00997D52" w:rsidRDefault="00997D52" w:rsidP="00997D52">
            <w:pPr>
              <w:cnfStyle w:val="000000010000" w:firstRow="0" w:lastRow="0" w:firstColumn="0" w:lastColumn="0" w:oddVBand="0" w:evenVBand="0" w:oddHBand="0" w:evenHBand="1" w:firstRowFirstColumn="0" w:firstRowLastColumn="0" w:lastRowFirstColumn="0" w:lastRowLastColumn="0"/>
            </w:pPr>
            <w:r>
              <w:t>27.</w:t>
            </w:r>
            <w:r w:rsidRPr="00997D52">
              <w:t>9</w:t>
            </w:r>
          </w:p>
        </w:tc>
      </w:tr>
    </w:tbl>
    <w:p w:rsidR="00997D52" w:rsidRDefault="00997D52" w:rsidP="00997D52">
      <w:pPr>
        <w:pStyle w:val="AERtablesource"/>
      </w:pPr>
      <w:r>
        <w:t xml:space="preserve">Source: </w:t>
      </w:r>
      <w:r w:rsidR="000B3D72">
        <w:tab/>
      </w:r>
      <w:r>
        <w:t xml:space="preserve">AER analysis; AusNet Services, </w:t>
      </w:r>
      <w:r w:rsidRPr="00147DC4">
        <w:rPr>
          <w:rStyle w:val="AERtextitalic"/>
        </w:rPr>
        <w:t>Regulatory proposal</w:t>
      </w:r>
      <w:r w:rsidR="009403E7">
        <w:rPr>
          <w:rStyle w:val="AERtextitalic"/>
        </w:rPr>
        <w:t xml:space="preserve"> 2016–20</w:t>
      </w:r>
      <w:r w:rsidRPr="00147DC4">
        <w:rPr>
          <w:rStyle w:val="AERtextitalic"/>
        </w:rPr>
        <w:t>, Metering cost model</w:t>
      </w:r>
      <w:r>
        <w:t>, April 2015.</w:t>
      </w:r>
    </w:p>
    <w:p w:rsidR="00997D52" w:rsidRDefault="00997D52" w:rsidP="00997D52">
      <w:r>
        <w:t xml:space="preserve">Using the revealed costs approach, we selected AusNet Services' actual metering opex in 2014 as our starting point. AusNet Services actual metering opex in 2014 was $48.5 million ($2015). </w:t>
      </w:r>
    </w:p>
    <w:p w:rsidR="00997D52" w:rsidRDefault="00997D52" w:rsidP="00997D52">
      <w:r>
        <w:t>We selected AusNet Services' actual metering opex in 2014 for two reasons. First, it is the last completed year from which we have audited accounts on AusNet Services' metering opex. Second, the costs incurred in 2014 should best resemble business–as–usual opex for metering in the forthcoming 2016-20 regulatory control period. This is because AusNet Services had been set a target to have completed its rollout of AMI before the commencement of the 2014 year.</w:t>
      </w:r>
      <w:r>
        <w:rPr>
          <w:rStyle w:val="FootnoteReference"/>
        </w:rPr>
        <w:footnoteReference w:id="68"/>
      </w:r>
      <w:r>
        <w:t xml:space="preserve"> </w:t>
      </w:r>
    </w:p>
    <w:p w:rsidR="00997D52" w:rsidRDefault="00997D52" w:rsidP="00997D52">
      <w:r>
        <w:t>When applying the revealed costs approach, we considered if we should select an average of multiple, instead of a single, years' worth of historical metering opex. Such an approach would be consistent with previous AER metering decisions.</w:t>
      </w:r>
      <w:r>
        <w:rPr>
          <w:rStyle w:val="FootnoteReference"/>
        </w:rPr>
        <w:footnoteReference w:id="69"/>
      </w:r>
      <w:r>
        <w:t xml:space="preserve"> This is where we used an average of multiple years of a business's actual metering opex to derive the base. In the case of AusNet Services, the adoption of this approach would involve calculating the base by taking an average of its actual opex in years inclusive of and prior to 2014.</w:t>
      </w:r>
    </w:p>
    <w:p w:rsidR="00997D52" w:rsidRDefault="00997D52" w:rsidP="00997D52">
      <w:r>
        <w:t xml:space="preserve">We have decided against using a multi–year approach. In years prior to 2014, AusNet Services was in the midst of its AMI rollout. In the 2016–20 </w:t>
      </w:r>
      <w:r w:rsidR="00160B1D">
        <w:t xml:space="preserve">regulatory control </w:t>
      </w:r>
      <w:proofErr w:type="gramStart"/>
      <w:r>
        <w:t>period</w:t>
      </w:r>
      <w:proofErr w:type="gramEnd"/>
      <w:r>
        <w:t xml:space="preserve">, however, its metering operations should be in a business–as–usual phase. We therefore decided against using the multiple–year approach since it would capture costs incurred in a different operating environment to that which AusNet Services will experience in the forecast period. </w:t>
      </w:r>
    </w:p>
    <w:p w:rsidR="00997D52" w:rsidRDefault="00997D52" w:rsidP="00997D52">
      <w:r>
        <w:t>The next step in our assessment of the base involved considering whether we should make any adjustments for non–recurrent expenditure. With regard to this aspect of our assessment, we note that in the 2016–20 regulatory control period AusNet Services should be in a business–as–usual phase of delivering smart metering services to customers. This means that any opex incurred in the base year which is strictly related to the roll-out smart metering infrastructure should be regarded as non–recurrent, or "one–off", expenditure that should be removed from the base.</w:t>
      </w:r>
    </w:p>
    <w:p w:rsidR="00997D52" w:rsidRDefault="00997D52" w:rsidP="00997D52">
      <w:r>
        <w:t>We consider it relevant to this aspect of our preliminary decision that the ESC found that AusNet Services had not used its best endeavours to install smart meters by 31 December 2013, as required.</w:t>
      </w:r>
      <w:r>
        <w:rPr>
          <w:rStyle w:val="FootnoteReference"/>
        </w:rPr>
        <w:footnoteReference w:id="70"/>
      </w:r>
      <w:r>
        <w:t xml:space="preserve"> It also found that AusNet Services' smart meters were not fully operational.</w:t>
      </w:r>
      <w:r>
        <w:rPr>
          <w:rStyle w:val="FootnoteReference"/>
        </w:rPr>
        <w:footnoteReference w:id="71"/>
      </w:r>
      <w:r>
        <w:t xml:space="preserve"> On the basis of these findings, we would expect non–recurrent expenditure in the base year. This has been confirmed by AusNet Services and our own analysis.</w:t>
      </w:r>
    </w:p>
    <w:p w:rsidR="00997D52" w:rsidRDefault="00997D52" w:rsidP="00997D52">
      <w:r>
        <w:fldChar w:fldCharType="begin"/>
      </w:r>
      <w:r>
        <w:instrText xml:space="preserve"> REF _Ref430332448 \h </w:instrText>
      </w:r>
      <w:r>
        <w:fldChar w:fldCharType="separate"/>
      </w:r>
      <w:r w:rsidR="009E0EFD">
        <w:t xml:space="preserve">Table </w:t>
      </w:r>
      <w:r w:rsidR="009E0EFD">
        <w:rPr>
          <w:noProof/>
        </w:rPr>
        <w:t>16</w:t>
      </w:r>
      <w:r w:rsidR="009E0EFD">
        <w:t>.</w:t>
      </w:r>
      <w:r w:rsidR="009E0EFD">
        <w:rPr>
          <w:noProof/>
        </w:rPr>
        <w:t>15</w:t>
      </w:r>
      <w:r>
        <w:fldChar w:fldCharType="end"/>
      </w:r>
      <w:r>
        <w:t xml:space="preserve"> sets out the cost categories which we have identified as non–recurrent. These costs may be further categorised into two groups. The first consists of costs AusNet Services identified as non–recurrent. The second is made up of an additional set of costs which, following our analysis, we consider to be non–recurrent.</w:t>
      </w:r>
    </w:p>
    <w:p w:rsidR="00997D52" w:rsidRDefault="00997D52" w:rsidP="006A670B">
      <w:pPr>
        <w:pStyle w:val="Caption"/>
      </w:pPr>
      <w:bookmarkStart w:id="66" w:name="_Ref430332448"/>
      <w:proofErr w:type="gramStart"/>
      <w:r>
        <w:t xml:space="preserve">Table </w:t>
      </w:r>
      <w:proofErr w:type="gramEnd"/>
      <w:r w:rsidR="006A670B">
        <w:fldChar w:fldCharType="begin"/>
      </w:r>
      <w:r w:rsidR="006A670B">
        <w:instrText xml:space="preserve"> STYLEREF 1 \s </w:instrText>
      </w:r>
      <w:r w:rsidR="006A670B">
        <w:fldChar w:fldCharType="separate"/>
      </w:r>
      <w:r w:rsidR="009E0EFD">
        <w:rPr>
          <w:noProof/>
        </w:rPr>
        <w:t>16</w:t>
      </w:r>
      <w:r w:rsidR="006A670B">
        <w:fldChar w:fldCharType="end"/>
      </w:r>
      <w:proofErr w:type="gramStart"/>
      <w:r w:rsidR="006A670B">
        <w:t>.</w:t>
      </w:r>
      <w:proofErr w:type="gramEnd"/>
      <w:r w:rsidR="006A670B">
        <w:fldChar w:fldCharType="begin"/>
      </w:r>
      <w:r w:rsidR="006A670B">
        <w:instrText xml:space="preserve"> SEQ Table \* ARABIC \s 1 </w:instrText>
      </w:r>
      <w:r w:rsidR="006A670B">
        <w:fldChar w:fldCharType="separate"/>
      </w:r>
      <w:r w:rsidR="009E0EFD">
        <w:rPr>
          <w:noProof/>
        </w:rPr>
        <w:t>15</w:t>
      </w:r>
      <w:r w:rsidR="006A670B">
        <w:fldChar w:fldCharType="end"/>
      </w:r>
      <w:bookmarkEnd w:id="66"/>
      <w:r>
        <w:tab/>
        <w:t>Calculation of non–recurrent expenditure</w:t>
      </w:r>
    </w:p>
    <w:tbl>
      <w:tblPr>
        <w:tblStyle w:val="AERtable-numbers"/>
        <w:tblW w:w="0" w:type="auto"/>
        <w:tblLook w:val="04A0" w:firstRow="1" w:lastRow="0" w:firstColumn="1" w:lastColumn="0" w:noHBand="0" w:noVBand="1"/>
      </w:tblPr>
      <w:tblGrid>
        <w:gridCol w:w="4346"/>
        <w:gridCol w:w="4347"/>
      </w:tblGrid>
      <w:tr w:rsidR="00997D52" w:rsidTr="001C65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6" w:type="dxa"/>
          </w:tcPr>
          <w:p w:rsidR="00997D52" w:rsidRPr="00997D52" w:rsidRDefault="00997D52" w:rsidP="006A670B">
            <w:pPr>
              <w:keepNext/>
            </w:pPr>
            <w:r>
              <w:t>Cost category</w:t>
            </w:r>
          </w:p>
        </w:tc>
        <w:tc>
          <w:tcPr>
            <w:tcW w:w="4347" w:type="dxa"/>
          </w:tcPr>
          <w:p w:rsidR="00997D52" w:rsidRPr="00997D52" w:rsidRDefault="00997D52" w:rsidP="006A670B">
            <w:pPr>
              <w:keepNext/>
              <w:cnfStyle w:val="100000000000" w:firstRow="1" w:lastRow="0" w:firstColumn="0" w:lastColumn="0" w:oddVBand="0" w:evenVBand="0" w:oddHBand="0" w:evenHBand="0" w:firstRowFirstColumn="0" w:firstRowLastColumn="0" w:lastRowFirstColumn="0" w:lastRowLastColumn="0"/>
            </w:pPr>
            <w:r>
              <w:t>($2015)</w:t>
            </w:r>
          </w:p>
        </w:tc>
      </w:tr>
      <w:tr w:rsidR="00997D52" w:rsidTr="00997D52">
        <w:tc>
          <w:tcPr>
            <w:cnfStyle w:val="001000000000" w:firstRow="0" w:lastRow="0" w:firstColumn="1" w:lastColumn="0" w:oddVBand="0" w:evenVBand="0" w:oddHBand="0" w:evenHBand="0" w:firstRowFirstColumn="0" w:firstRowLastColumn="0" w:lastRowFirstColumn="0" w:lastRowLastColumn="0"/>
            <w:tcW w:w="4346" w:type="dxa"/>
          </w:tcPr>
          <w:p w:rsidR="00997D52" w:rsidRPr="00997D52" w:rsidRDefault="00997D52" w:rsidP="006A670B">
            <w:pPr>
              <w:keepNext/>
              <w:rPr>
                <w:rStyle w:val="Strong"/>
              </w:rPr>
            </w:pPr>
            <w:r w:rsidRPr="009C195C">
              <w:rPr>
                <w:rStyle w:val="Strong"/>
              </w:rPr>
              <w:t>Group 1</w:t>
            </w:r>
          </w:p>
        </w:tc>
        <w:tc>
          <w:tcPr>
            <w:tcW w:w="4347" w:type="dxa"/>
          </w:tcPr>
          <w:p w:rsidR="00997D52" w:rsidRDefault="00997D52" w:rsidP="006A670B">
            <w:pPr>
              <w:keepNext/>
              <w:cnfStyle w:val="000000000000" w:firstRow="0" w:lastRow="0" w:firstColumn="0" w:lastColumn="0" w:oddVBand="0" w:evenVBand="0" w:oddHBand="0" w:evenHBand="0" w:firstRowFirstColumn="0" w:firstRowLastColumn="0" w:lastRowFirstColumn="0" w:lastRowLastColumn="0"/>
            </w:pPr>
          </w:p>
        </w:tc>
      </w:tr>
      <w:tr w:rsidR="00997D52" w:rsidTr="00997D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997D52" w:rsidRPr="00997D52" w:rsidRDefault="00997D52" w:rsidP="006A670B">
            <w:pPr>
              <w:keepNext/>
            </w:pPr>
            <w:r>
              <w:t>IT opex</w:t>
            </w:r>
          </w:p>
        </w:tc>
        <w:tc>
          <w:tcPr>
            <w:tcW w:w="4347" w:type="dxa"/>
          </w:tcPr>
          <w:p w:rsidR="00997D52" w:rsidRPr="00997D52" w:rsidRDefault="00997D52" w:rsidP="006A670B">
            <w:pPr>
              <w:keepNext/>
              <w:cnfStyle w:val="000000010000" w:firstRow="0" w:lastRow="0" w:firstColumn="0" w:lastColumn="0" w:oddVBand="0" w:evenVBand="0" w:oddHBand="0" w:evenHBand="1" w:firstRowFirstColumn="0" w:firstRowLastColumn="0" w:lastRowFirstColumn="0" w:lastRowLastColumn="0"/>
            </w:pPr>
            <w:r>
              <w:t>4.0</w:t>
            </w:r>
          </w:p>
        </w:tc>
      </w:tr>
      <w:tr w:rsidR="00997D52" w:rsidTr="00997D52">
        <w:tc>
          <w:tcPr>
            <w:cnfStyle w:val="001000000000" w:firstRow="0" w:lastRow="0" w:firstColumn="1" w:lastColumn="0" w:oddVBand="0" w:evenVBand="0" w:oddHBand="0" w:evenHBand="0" w:firstRowFirstColumn="0" w:firstRowLastColumn="0" w:lastRowFirstColumn="0" w:lastRowLastColumn="0"/>
            <w:tcW w:w="4346" w:type="dxa"/>
          </w:tcPr>
          <w:p w:rsidR="00997D52" w:rsidRPr="00997D52" w:rsidRDefault="00997D52" w:rsidP="006A670B">
            <w:pPr>
              <w:keepNext/>
            </w:pPr>
            <w:r>
              <w:t>Project management office</w:t>
            </w:r>
            <w:r w:rsidRPr="00997D52">
              <w:t xml:space="preserve"> (PMO)</w:t>
            </w:r>
          </w:p>
        </w:tc>
        <w:tc>
          <w:tcPr>
            <w:tcW w:w="4347" w:type="dxa"/>
          </w:tcPr>
          <w:p w:rsidR="00997D52" w:rsidRPr="00997D52" w:rsidRDefault="00997D52" w:rsidP="006A670B">
            <w:pPr>
              <w:keepNext/>
              <w:cnfStyle w:val="000000000000" w:firstRow="0" w:lastRow="0" w:firstColumn="0" w:lastColumn="0" w:oddVBand="0" w:evenVBand="0" w:oddHBand="0" w:evenHBand="0" w:firstRowFirstColumn="0" w:firstRowLastColumn="0" w:lastRowFirstColumn="0" w:lastRowLastColumn="0"/>
            </w:pPr>
            <w:r>
              <w:t>8.8</w:t>
            </w:r>
          </w:p>
        </w:tc>
      </w:tr>
      <w:tr w:rsidR="00997D52" w:rsidTr="00997D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997D52" w:rsidRPr="00997D52" w:rsidRDefault="00997D52" w:rsidP="006A670B">
            <w:pPr>
              <w:keepNext/>
              <w:rPr>
                <w:rStyle w:val="Strong"/>
              </w:rPr>
            </w:pPr>
            <w:r w:rsidRPr="009C195C">
              <w:rPr>
                <w:rStyle w:val="Strong"/>
              </w:rPr>
              <w:t>Group 2</w:t>
            </w:r>
          </w:p>
        </w:tc>
        <w:tc>
          <w:tcPr>
            <w:tcW w:w="4347" w:type="dxa"/>
          </w:tcPr>
          <w:p w:rsidR="00997D52" w:rsidRDefault="00997D52" w:rsidP="006A670B">
            <w:pPr>
              <w:keepNext/>
              <w:cnfStyle w:val="000000010000" w:firstRow="0" w:lastRow="0" w:firstColumn="0" w:lastColumn="0" w:oddVBand="0" w:evenVBand="0" w:oddHBand="0" w:evenHBand="1" w:firstRowFirstColumn="0" w:firstRowLastColumn="0" w:lastRowFirstColumn="0" w:lastRowLastColumn="0"/>
            </w:pPr>
          </w:p>
        </w:tc>
      </w:tr>
      <w:tr w:rsidR="00997D52" w:rsidTr="00997D52">
        <w:tc>
          <w:tcPr>
            <w:cnfStyle w:val="001000000000" w:firstRow="0" w:lastRow="0" w:firstColumn="1" w:lastColumn="0" w:oddVBand="0" w:evenVBand="0" w:oddHBand="0" w:evenHBand="0" w:firstRowFirstColumn="0" w:firstRowLastColumn="0" w:lastRowFirstColumn="0" w:lastRowLastColumn="0"/>
            <w:tcW w:w="4346" w:type="dxa"/>
          </w:tcPr>
          <w:p w:rsidR="00997D52" w:rsidRPr="00997D52" w:rsidRDefault="00997D52" w:rsidP="006A670B">
            <w:pPr>
              <w:keepNext/>
            </w:pPr>
            <w:r>
              <w:t>Data management and maintenance expenditure</w:t>
            </w:r>
          </w:p>
        </w:tc>
        <w:tc>
          <w:tcPr>
            <w:tcW w:w="4347" w:type="dxa"/>
          </w:tcPr>
          <w:p w:rsidR="00997D52" w:rsidRPr="00997D52" w:rsidRDefault="00997D52" w:rsidP="006A670B">
            <w:pPr>
              <w:keepNext/>
              <w:cnfStyle w:val="000000000000" w:firstRow="0" w:lastRow="0" w:firstColumn="0" w:lastColumn="0" w:oddVBand="0" w:evenVBand="0" w:oddHBand="0" w:evenHBand="0" w:firstRowFirstColumn="0" w:firstRowLastColumn="0" w:lastRowFirstColumn="0" w:lastRowLastColumn="0"/>
            </w:pPr>
            <w:r>
              <w:t>3.2</w:t>
            </w:r>
          </w:p>
        </w:tc>
      </w:tr>
      <w:tr w:rsidR="00997D52" w:rsidTr="00997D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997D52" w:rsidRPr="00997D52" w:rsidRDefault="00997D52" w:rsidP="006A670B">
            <w:pPr>
              <w:keepNext/>
            </w:pPr>
            <w:r>
              <w:t xml:space="preserve">Manual meter reading </w:t>
            </w:r>
          </w:p>
        </w:tc>
        <w:tc>
          <w:tcPr>
            <w:tcW w:w="4347" w:type="dxa"/>
          </w:tcPr>
          <w:p w:rsidR="00997D52" w:rsidRPr="00997D52" w:rsidRDefault="00997D52" w:rsidP="006A670B">
            <w:pPr>
              <w:keepNext/>
              <w:cnfStyle w:val="000000010000" w:firstRow="0" w:lastRow="0" w:firstColumn="0" w:lastColumn="0" w:oddVBand="0" w:evenVBand="0" w:oddHBand="0" w:evenHBand="1" w:firstRowFirstColumn="0" w:firstRowLastColumn="0" w:lastRowFirstColumn="0" w:lastRowLastColumn="0"/>
            </w:pPr>
            <w:r>
              <w:t>4.</w:t>
            </w:r>
            <w:r w:rsidRPr="00997D52">
              <w:t>0</w:t>
            </w:r>
          </w:p>
        </w:tc>
      </w:tr>
      <w:tr w:rsidR="00997D52" w:rsidTr="00997D52">
        <w:tc>
          <w:tcPr>
            <w:cnfStyle w:val="001000000000" w:firstRow="0" w:lastRow="0" w:firstColumn="1" w:lastColumn="0" w:oddVBand="0" w:evenVBand="0" w:oddHBand="0" w:evenHBand="0" w:firstRowFirstColumn="0" w:firstRowLastColumn="0" w:lastRowFirstColumn="0" w:lastRowLastColumn="0"/>
            <w:tcW w:w="4346" w:type="dxa"/>
          </w:tcPr>
          <w:p w:rsidR="00997D52" w:rsidRPr="00997D52" w:rsidRDefault="00997D52" w:rsidP="006A670B">
            <w:pPr>
              <w:keepNext/>
            </w:pPr>
            <w:r>
              <w:t>Total</w:t>
            </w:r>
          </w:p>
        </w:tc>
        <w:tc>
          <w:tcPr>
            <w:tcW w:w="4347" w:type="dxa"/>
          </w:tcPr>
          <w:p w:rsidR="00997D52" w:rsidRPr="00997D52" w:rsidRDefault="00997D52" w:rsidP="006A670B">
            <w:pPr>
              <w:keepNext/>
              <w:cnfStyle w:val="000000000000" w:firstRow="0" w:lastRow="0" w:firstColumn="0" w:lastColumn="0" w:oddVBand="0" w:evenVBand="0" w:oddHBand="0" w:evenHBand="0" w:firstRowFirstColumn="0" w:firstRowLastColumn="0" w:lastRowFirstColumn="0" w:lastRowLastColumn="0"/>
            </w:pPr>
            <w:r>
              <w:t>2</w:t>
            </w:r>
            <w:r w:rsidRPr="00997D52">
              <w:t>0.5</w:t>
            </w:r>
          </w:p>
        </w:tc>
      </w:tr>
    </w:tbl>
    <w:p w:rsidR="00997D52" w:rsidRDefault="00997D52" w:rsidP="00997D52">
      <w:pPr>
        <w:pStyle w:val="AERtablesource"/>
      </w:pPr>
      <w:r>
        <w:t>Source:</w:t>
      </w:r>
      <w:r>
        <w:tab/>
        <w:t xml:space="preserve">AusNet Services, </w:t>
      </w:r>
      <w:r w:rsidRPr="00A1261E">
        <w:rPr>
          <w:rStyle w:val="AERtextitalic"/>
        </w:rPr>
        <w:t xml:space="preserve">Response to AER information request </w:t>
      </w:r>
      <w:r w:rsidR="009403E7">
        <w:rPr>
          <w:rStyle w:val="AERtextitalic"/>
        </w:rPr>
        <w:t>IR</w:t>
      </w:r>
      <w:r w:rsidRPr="00A1261E">
        <w:rPr>
          <w:rStyle w:val="AERtextitalic"/>
        </w:rPr>
        <w:t>#</w:t>
      </w:r>
      <w:r w:rsidR="009403E7">
        <w:rPr>
          <w:rStyle w:val="AERtextitalic"/>
        </w:rPr>
        <w:t xml:space="preserve"> </w:t>
      </w:r>
      <w:r w:rsidRPr="00A1261E">
        <w:rPr>
          <w:rStyle w:val="AERtextitalic"/>
        </w:rPr>
        <w:t>019</w:t>
      </w:r>
      <w:r>
        <w:t xml:space="preserve">, 3 September 2015, p. 1; AusNet Services, </w:t>
      </w:r>
      <w:r w:rsidRPr="00C4095E">
        <w:rPr>
          <w:rStyle w:val="AERtextitalic"/>
        </w:rPr>
        <w:t>Regulatory proposal</w:t>
      </w:r>
      <w:r w:rsidR="009403E7">
        <w:rPr>
          <w:rStyle w:val="AERtextitalic"/>
        </w:rPr>
        <w:t xml:space="preserve"> 2016–20</w:t>
      </w:r>
      <w:r w:rsidRPr="00C4095E">
        <w:rPr>
          <w:rStyle w:val="AERtextitalic"/>
        </w:rPr>
        <w:t>, Metering costs model</w:t>
      </w:r>
      <w:r>
        <w:t>, April 2015.</w:t>
      </w:r>
    </w:p>
    <w:p w:rsidR="00997D52" w:rsidRDefault="00997D52" w:rsidP="00997D52">
      <w:r>
        <w:t>As for the first group, AusNet Services identified IT opex and Project management office (PMO) costs as non–recurrent expenditure.</w:t>
      </w:r>
      <w:r>
        <w:rPr>
          <w:rStyle w:val="FootnoteReference"/>
        </w:rPr>
        <w:footnoteReference w:id="72"/>
      </w:r>
      <w:r>
        <w:t xml:space="preserve"> AusNet Services stated that the IT opex, totalling $4.0 million ($2015), is non–recurrent because it relates to costs which were incurred to remediate its IT systems. It noted that 'remediation costs are one off and not ongoing in nature'.</w:t>
      </w:r>
      <w:r>
        <w:rPr>
          <w:rStyle w:val="FootnoteReference"/>
        </w:rPr>
        <w:footnoteReference w:id="73"/>
      </w:r>
      <w:r>
        <w:t xml:space="preserve"> With respect to PMO, AusNet Services stated it established a project management office to manage its AMI rollout which was still operating in 2014.</w:t>
      </w:r>
      <w:r>
        <w:rPr>
          <w:rStyle w:val="FootnoteReference"/>
        </w:rPr>
        <w:footnoteReference w:id="74"/>
      </w:r>
      <w:r>
        <w:t xml:space="preserve"> This rollout phase is now complete and, accordingly, the associated PMO costs, equalling $8.8 million ($2015), are non–recurrent. In total, the first group of non–recurrent expenditure is equal to $12.8 million ($2015). We have removed this amount from AusNet Services' base level of metering opex.</w:t>
      </w:r>
    </w:p>
    <w:p w:rsidR="00997D52" w:rsidRDefault="00997D52" w:rsidP="00997D52">
      <w:r>
        <w:t xml:space="preserve">With respect to the second group, we have identified additional non–recurrent costs following our assessment of AusNet Services' revenue modelling. In particular we observed that AusNet Services is forecasting a decrease in its data management and maintenance opex in the 2016–20 regulatory control </w:t>
      </w:r>
      <w:proofErr w:type="gramStart"/>
      <w:r>
        <w:t>period</w:t>
      </w:r>
      <w:proofErr w:type="gramEnd"/>
      <w:r>
        <w:t>. To incorporate this forecast, we removed $4.3 million ($2015) of opex from the base. We consider this adjustment to be required in order to reflect AusNet Services' assessment of what its ongoing metering opex is likely to be.</w:t>
      </w:r>
    </w:p>
    <w:p w:rsidR="00997D52" w:rsidRDefault="00997D52" w:rsidP="00997D52">
      <w:r>
        <w:t xml:space="preserve">We observed a further amount of non–recurrent expenditure relating to the cost of manually reading meters. The rollout of AMI means that in the 2016–20 regulatory control </w:t>
      </w:r>
      <w:proofErr w:type="gramStart"/>
      <w:r>
        <w:t>period</w:t>
      </w:r>
      <w:proofErr w:type="gramEnd"/>
      <w:r>
        <w:t>, AusNet Services will no longer have to manually read its meters; AMI allows for service provider's to conduct remote readings. We calculated the amount of additional non–recurrent expenditure relating to manual meter readings to be $4.3 million ($2015).</w:t>
      </w:r>
      <w:r>
        <w:rPr>
          <w:rStyle w:val="FootnoteReference"/>
        </w:rPr>
        <w:footnoteReference w:id="75"/>
      </w:r>
      <w:r>
        <w:t xml:space="preserve">    </w:t>
      </w:r>
    </w:p>
    <w:p w:rsidR="00997D52" w:rsidRDefault="00997D52" w:rsidP="00997D52">
      <w:r>
        <w:t xml:space="preserve">After removing non–current expenditure, we considered if there are any material inefficiencies in the base for which we should adjust. In past metering decisions, we have used benchmarking to conduct this assessment. We, however, consider this approach to be inappropriate for AusNet Services' circumstances for the reasons outlined in section </w:t>
      </w:r>
      <w:r w:rsidR="00E01798">
        <w:fldChar w:fldCharType="begin"/>
      </w:r>
      <w:r w:rsidR="00E01798">
        <w:instrText xml:space="preserve"> REF _Ref433271187 \r \h </w:instrText>
      </w:r>
      <w:r w:rsidR="00E01798">
        <w:fldChar w:fldCharType="separate"/>
      </w:r>
      <w:r w:rsidR="009E0EFD">
        <w:t>16.3.3.2</w:t>
      </w:r>
      <w:r w:rsidR="00E01798">
        <w:fldChar w:fldCharType="end"/>
      </w:r>
      <w:r w:rsidR="00E01798">
        <w:t xml:space="preserve"> </w:t>
      </w:r>
      <w:r>
        <w:t>above.</w:t>
      </w:r>
    </w:p>
    <w:p w:rsidR="00997D52" w:rsidRDefault="00997D52" w:rsidP="00997D52">
      <w:r>
        <w:t>We consider that following the removal of non–recurrent expenditure, AusNet Services' actual opex in 2014 does not contain material inefficiencies. We reached this conclusion on the basis that the Victorian distribution businesses are generally efficient. This is compared to their counterparts in other regions of the national electricity market.</w:t>
      </w:r>
      <w:r>
        <w:rPr>
          <w:rStyle w:val="FootnoteReference"/>
        </w:rPr>
        <w:footnoteReference w:id="76"/>
      </w:r>
      <w:r>
        <w:t xml:space="preserve"> We have therefore decided not to make an efficiency adjustment to the base level of opex. </w:t>
      </w:r>
    </w:p>
    <w:p w:rsidR="00997D52" w:rsidRDefault="00997D52" w:rsidP="00997D52">
      <w:r>
        <w:t xml:space="preserve">We consider a base of $27.9 million ($2015) is efficient. This amount includes a significant reduction for non–recurrent expenditure. Though significant, we note that the base we have determined is reflective of AusNet Services' proposed average annual metering opex of $28.5 million ($2015).  </w:t>
      </w:r>
    </w:p>
    <w:p w:rsidR="00997D52" w:rsidRPr="001C6565" w:rsidRDefault="00997D52" w:rsidP="001C6565">
      <w:pPr>
        <w:pStyle w:val="HeadingItalic"/>
        <w:rPr>
          <w:rStyle w:val="AERtextunderline"/>
          <w:u w:val="none"/>
        </w:rPr>
      </w:pPr>
      <w:r w:rsidRPr="001C6565">
        <w:rPr>
          <w:rStyle w:val="AERtextunderline"/>
          <w:u w:val="none"/>
        </w:rPr>
        <w:t>Step</w:t>
      </w:r>
    </w:p>
    <w:p w:rsidR="00997D52" w:rsidRDefault="00997D52" w:rsidP="00997D52">
      <w:r>
        <w:t>AusNet Services did not propose, nor have we applied, any step changes.</w:t>
      </w:r>
    </w:p>
    <w:p w:rsidR="00997D52" w:rsidRPr="001C6565" w:rsidRDefault="00997D52" w:rsidP="001C6565">
      <w:pPr>
        <w:pStyle w:val="HeadingItalic"/>
        <w:rPr>
          <w:rStyle w:val="AERtextunderline"/>
          <w:u w:val="none"/>
        </w:rPr>
      </w:pPr>
      <w:r w:rsidRPr="001C6565">
        <w:rPr>
          <w:rStyle w:val="AERtextunderline"/>
          <w:u w:val="none"/>
        </w:rPr>
        <w:t xml:space="preserve">Trend  </w:t>
      </w:r>
    </w:p>
    <w:p w:rsidR="00997D52" w:rsidRDefault="00997D52" w:rsidP="00997D52">
      <w:r>
        <w:t>We trended forward the base. In doing so we did not adjust for metering customer growth. We also applied zero forecast real price and productivity growth.</w:t>
      </w:r>
    </w:p>
    <w:p w:rsidR="00997D52" w:rsidRDefault="00997D52" w:rsidP="00997D52">
      <w:r>
        <w:t>We have decided not to adjust for customer growth on the basis that the majority of operating costs associated with delivering AMI services are fixed. More specifically, the relevant costs involve IT and communications infrastructure; the cost of which tends not to vary according to the number of customers a service provider has. We conclude that it is unnecessary to adjust for any growth in metering customers AusNet Services may experience.</w:t>
      </w:r>
    </w:p>
    <w:p w:rsidR="00997D52" w:rsidRDefault="00997D52" w:rsidP="00997D52">
      <w:r>
        <w:t xml:space="preserve">Additionally, we expect AusNet Services' opex to be relatively flat over the 2016–20 regulatory control </w:t>
      </w:r>
      <w:proofErr w:type="gramStart"/>
      <w:r>
        <w:t>period</w:t>
      </w:r>
      <w:proofErr w:type="gramEnd"/>
      <w:r>
        <w:t xml:space="preserve">. This reflects that it will be entering a business–as–usual phase of its AMI operations. Because of this, we have decided to apply zero forecast real price and productivity growth. We also reached this conclusion after adopting the view that AusNet Services should be able to manage any real price changes through productivity improvements. </w:t>
      </w:r>
    </w:p>
    <w:p w:rsidR="00997D52" w:rsidRDefault="00997D52" w:rsidP="00997D52">
      <w:r>
        <w:t>Once trended forwarded, we calculated an alternative metering opex equal to AusNet Services' proposed $139.7 million ($2015). We have, therefore, accepted the proposed metering opex.</w:t>
      </w:r>
    </w:p>
    <w:p w:rsidR="00997D52" w:rsidRDefault="00997D52" w:rsidP="001C6565">
      <w:pPr>
        <w:pStyle w:val="HeadingBoldItalic"/>
      </w:pPr>
      <w:r>
        <w:t>Depreciation</w:t>
      </w:r>
    </w:p>
    <w:p w:rsidR="00997D52" w:rsidRDefault="00997D52" w:rsidP="00997D52">
      <w:r>
        <w:t>We accept AusNet Services' proposed approach to depreciation. As a result, this preliminary decision specifies a standard asset life of:</w:t>
      </w:r>
    </w:p>
    <w:p w:rsidR="00997D52" w:rsidRPr="001971E7" w:rsidRDefault="00997D52" w:rsidP="00997D52">
      <w:pPr>
        <w:pStyle w:val="AERbulletlistfirststyle"/>
      </w:pPr>
      <w:r>
        <w:t>15 years for remotely read interval meters and transformers</w:t>
      </w:r>
    </w:p>
    <w:p w:rsidR="00997D52" w:rsidRPr="001971E7" w:rsidRDefault="00997D52" w:rsidP="00997D52">
      <w:pPr>
        <w:pStyle w:val="AERbulletlistfirststyle"/>
      </w:pPr>
      <w:r>
        <w:t xml:space="preserve">7 </w:t>
      </w:r>
      <w:r w:rsidRPr="001971E7">
        <w:t>years for IT, communications, and other mete</w:t>
      </w:r>
      <w:r>
        <w:t>ring related assets</w:t>
      </w:r>
    </w:p>
    <w:p w:rsidR="00997D52" w:rsidRPr="00997D52" w:rsidRDefault="00997D52" w:rsidP="00997D52">
      <w:pPr>
        <w:pStyle w:val="AERbulletlistfirststyle"/>
      </w:pPr>
      <w:r>
        <w:t>Our preliminary decision is to accept the proposed asset lives because, in each instance, they reflect the likely technical life of the assets. We consider this to arrive at an efficient outcome whereby the economic and technical lives of the assets are likely to coincide.</w:t>
      </w:r>
    </w:p>
    <w:p w:rsidR="00997D52" w:rsidRDefault="00997D52" w:rsidP="001C6565">
      <w:pPr>
        <w:pStyle w:val="HeadingBoldItalic"/>
      </w:pPr>
      <w:r>
        <w:t>Opening metering regulatory asset base</w:t>
      </w:r>
    </w:p>
    <w:p w:rsidR="00997D52" w:rsidRDefault="00997D52" w:rsidP="00997D52">
      <w:r>
        <w:t>We do not accept AusNet Services' proposal to roll AMI IT/communications into the standard control RAB.</w:t>
      </w:r>
    </w:p>
    <w:p w:rsidR="00997D52" w:rsidRDefault="00997D52" w:rsidP="00997D52">
      <w:r>
        <w:t xml:space="preserve">This relates to our decision on cost allocation that all assets and expenditure formerly regulated under the Order should be in alternative control services for the 2016–20 regulatory control period.  </w:t>
      </w:r>
    </w:p>
    <w:p w:rsidR="00997D52" w:rsidRDefault="00997D52" w:rsidP="00997D52">
      <w:r>
        <w:t xml:space="preserve">We have instead used forecast capex for 2014 and 2015 from the </w:t>
      </w:r>
      <w:r w:rsidRPr="00C74233">
        <w:t>AMI Charges Model (2015 Charges Application)</w:t>
      </w:r>
      <w:r>
        <w:t>, updated for CPI, to calculate our substitute opening RAB value.</w:t>
      </w:r>
    </w:p>
    <w:p w:rsidR="00997D52" w:rsidRDefault="00160B1D" w:rsidP="00997D52">
      <w:pPr>
        <w:pStyle w:val="Heading4"/>
      </w:pPr>
      <w:r>
        <w:t>Metering e</w:t>
      </w:r>
      <w:r w:rsidR="00997D52">
        <w:t>xit fee</w:t>
      </w:r>
    </w:p>
    <w:p w:rsidR="00997D52" w:rsidRDefault="00997D52" w:rsidP="00997D52">
      <w:r>
        <w:t>We have not accepted AusNet Services' proposed exit fees.</w:t>
      </w:r>
    </w:p>
    <w:p w:rsidR="00997D52" w:rsidRDefault="00997D52" w:rsidP="00997D52">
      <w:r>
        <w:t xml:space="preserve">The exit fee recovers AusNets Services' historical, sunk capital costs. To calculate it, we applied </w:t>
      </w:r>
      <w:r w:rsidRPr="00C66285">
        <w:t xml:space="preserve">our assessment of AusNet </w:t>
      </w:r>
      <w:r>
        <w:t>S</w:t>
      </w:r>
      <w:r w:rsidRPr="00C66285">
        <w:t>ervices</w:t>
      </w:r>
      <w:r>
        <w:t>' opening</w:t>
      </w:r>
      <w:r w:rsidRPr="00C66285">
        <w:t xml:space="preserve"> metering RAB</w:t>
      </w:r>
      <w:r>
        <w:t xml:space="preserve"> as of 1 January 2016. Our preliminary decision on the opening metering RAB is set out in section</w:t>
      </w:r>
      <w:r w:rsidR="00E01798">
        <w:t xml:space="preserve"> </w:t>
      </w:r>
      <w:r w:rsidR="00E01798">
        <w:fldChar w:fldCharType="begin"/>
      </w:r>
      <w:r w:rsidR="00E01798">
        <w:instrText xml:space="preserve"> REF _Ref433271138 \r \h </w:instrText>
      </w:r>
      <w:r w:rsidR="00E01798">
        <w:fldChar w:fldCharType="separate"/>
      </w:r>
      <w:r w:rsidR="009E0EFD">
        <w:t>16.3.1.2</w:t>
      </w:r>
      <w:r w:rsidR="00E01798">
        <w:fldChar w:fldCharType="end"/>
      </w:r>
      <w:r>
        <w:t xml:space="preserve">. </w:t>
      </w:r>
    </w:p>
    <w:p w:rsidR="00997D52" w:rsidRDefault="00997D52" w:rsidP="00997D52">
      <w:r>
        <w:t xml:space="preserve">AusNet Services' annual metering services expenditure for the 2016–20 regulatory control </w:t>
      </w:r>
      <w:proofErr w:type="gramStart"/>
      <w:r>
        <w:t>period</w:t>
      </w:r>
      <w:proofErr w:type="gramEnd"/>
      <w:r>
        <w:t xml:space="preserve"> is also an input into the calculation of the exit fee. We accordingly adjusted AusNet Services' proposed exit fees for our preliminary decision on AusNet Services' forecast capex and opex. Our preliminary decision on these aspects of AusNet Services' proposal is set out in section </w:t>
      </w:r>
      <w:r w:rsidR="00E01798">
        <w:fldChar w:fldCharType="begin"/>
      </w:r>
      <w:r w:rsidR="00E01798">
        <w:instrText xml:space="preserve"> REF _Ref433271138 \r \h </w:instrText>
      </w:r>
      <w:r w:rsidR="00E01798">
        <w:fldChar w:fldCharType="separate"/>
      </w:r>
      <w:r w:rsidR="009E0EFD">
        <w:t>16.3.1.2</w:t>
      </w:r>
      <w:r w:rsidR="00E01798">
        <w:fldChar w:fldCharType="end"/>
      </w:r>
    </w:p>
    <w:p w:rsidR="00997D52" w:rsidRDefault="00997D52" w:rsidP="00997D52">
      <w:r>
        <w:t xml:space="preserve">We have also approved an administrative cost component of the exit fee. </w:t>
      </w:r>
      <w:r w:rsidRPr="00F670DA">
        <w:t xml:space="preserve">It should be noted that </w:t>
      </w:r>
      <w:r>
        <w:t>the approval of this aspect of AusNet Services' proposal</w:t>
      </w:r>
      <w:r w:rsidRPr="00F670DA">
        <w:t xml:space="preserve"> </w:t>
      </w:r>
      <w:r>
        <w:t xml:space="preserve">is </w:t>
      </w:r>
      <w:r w:rsidRPr="00F670DA">
        <w:t xml:space="preserve">potentially in contrast with the decisions we made during the New South Wales, Queensland, South Australia and Australian Capital Territory determinations in April 2015. Specifically, we rejected </w:t>
      </w:r>
      <w:r>
        <w:t xml:space="preserve">the </w:t>
      </w:r>
      <w:r w:rsidRPr="00F670DA">
        <w:t xml:space="preserve">administrative costs those distributors </w:t>
      </w:r>
      <w:r>
        <w:t>proposed</w:t>
      </w:r>
      <w:r w:rsidRPr="00F670DA">
        <w:t xml:space="preserve"> in the case of removing a meter.</w:t>
      </w:r>
      <w:r w:rsidRPr="00F670DA">
        <w:rPr>
          <w:rStyle w:val="AERsuperscript"/>
        </w:rPr>
        <w:footnoteReference w:id="77"/>
      </w:r>
      <w:r w:rsidRPr="00F670DA">
        <w:t xml:space="preserve"> </w:t>
      </w:r>
      <w:r>
        <w:t>While we found that the costs were not sufficiently material in those jurisdictions,</w:t>
      </w:r>
      <w:r w:rsidRPr="00E157F3">
        <w:rPr>
          <w:rStyle w:val="AERsuperscript"/>
        </w:rPr>
        <w:t xml:space="preserve"> </w:t>
      </w:r>
      <w:r>
        <w:t xml:space="preserve">the Order requires that we set an exit fee; and thus we have accepted the inclusion of an administrative cost component. We have nonetheless adjusted it for our preliminary decision on the labour cost escalators applicable in Victoria in the 2016–20 regulatory control </w:t>
      </w:r>
      <w:proofErr w:type="gramStart"/>
      <w:r>
        <w:t>period</w:t>
      </w:r>
      <w:proofErr w:type="gramEnd"/>
      <w:r>
        <w:t xml:space="preserve">. </w:t>
      </w:r>
    </w:p>
    <w:p w:rsidR="00997D52" w:rsidRDefault="00997D52" w:rsidP="00997D52">
      <w:r>
        <w:t>Our substitute exit fees, on account of our approved capex and opening RAB</w:t>
      </w:r>
      <w:r w:rsidRPr="00C66285">
        <w:t xml:space="preserve"> are set out in section</w:t>
      </w:r>
      <w:r w:rsidR="00E01798">
        <w:t xml:space="preserve"> </w:t>
      </w:r>
      <w:r w:rsidR="00E01798">
        <w:fldChar w:fldCharType="begin"/>
      </w:r>
      <w:r w:rsidR="00E01798">
        <w:instrText xml:space="preserve"> REF _Ref433271107 \r \h </w:instrText>
      </w:r>
      <w:r w:rsidR="00E01798">
        <w:fldChar w:fldCharType="separate"/>
      </w:r>
      <w:r w:rsidR="009E0EFD">
        <w:t>16.3.1.4</w:t>
      </w:r>
      <w:r w:rsidR="00E01798">
        <w:fldChar w:fldCharType="end"/>
      </w:r>
      <w:r>
        <w:t>.</w:t>
      </w:r>
    </w:p>
    <w:p w:rsidR="00997D52" w:rsidRDefault="00997D52" w:rsidP="00997D52">
      <w:pPr>
        <w:pStyle w:val="Heading4"/>
      </w:pPr>
      <w:r>
        <w:t>Type 7 meter charges</w:t>
      </w:r>
    </w:p>
    <w:p w:rsidR="00997D52" w:rsidRDefault="00997D52" w:rsidP="00997D52">
      <w:r w:rsidRPr="00590C71">
        <w:t>Our preliminary determination is to accept AusNet Services’ metering charges for type 7 metering services</w:t>
      </w:r>
      <w:r>
        <w:t>, as proposed (see section</w:t>
      </w:r>
      <w:r w:rsidR="00E01798">
        <w:t xml:space="preserve"> </w:t>
      </w:r>
      <w:r w:rsidR="00E01798">
        <w:fldChar w:fldCharType="begin"/>
      </w:r>
      <w:r w:rsidR="00E01798">
        <w:instrText xml:space="preserve"> REF _Ref433271090 \r \h </w:instrText>
      </w:r>
      <w:r w:rsidR="00E01798">
        <w:fldChar w:fldCharType="separate"/>
      </w:r>
      <w:r w:rsidR="009E0EFD">
        <w:t>16.3.1.5</w:t>
      </w:r>
      <w:r w:rsidR="00E01798">
        <w:fldChar w:fldCharType="end"/>
      </w:r>
      <w:r>
        <w:t>) because these are reasonable on account of being consistent with past charging practice.</w:t>
      </w:r>
      <w:r w:rsidRPr="00590C71">
        <w:t xml:space="preserve"> </w:t>
      </w:r>
      <w:r>
        <w:t xml:space="preserve">The preliminary determination charges are set out in </w:t>
      </w:r>
      <w:r>
        <w:fldChar w:fldCharType="begin"/>
      </w:r>
      <w:r>
        <w:instrText xml:space="preserve"> REF _Ref433123539 \h </w:instrText>
      </w:r>
      <w:r>
        <w:fldChar w:fldCharType="separate"/>
      </w:r>
      <w:r w:rsidR="009E0EFD">
        <w:t xml:space="preserve">Table </w:t>
      </w:r>
      <w:r w:rsidR="009E0EFD">
        <w:rPr>
          <w:noProof/>
        </w:rPr>
        <w:t>16</w:t>
      </w:r>
      <w:r w:rsidR="009E0EFD">
        <w:t>.</w:t>
      </w:r>
      <w:r w:rsidR="009E0EFD">
        <w:rPr>
          <w:noProof/>
        </w:rPr>
        <w:t>10</w:t>
      </w:r>
      <w:r>
        <w:fldChar w:fldCharType="end"/>
      </w:r>
      <w:r>
        <w:t xml:space="preserve">. </w:t>
      </w:r>
      <w:r w:rsidRPr="00590C71">
        <w:t xml:space="preserve">As per its previous approach to charging, AusNet Services propose to separate the type 7 metering charges into two parts; a charge per national meter identifier and a charge </w:t>
      </w:r>
      <w:r>
        <w:t>per light.</w:t>
      </w:r>
      <w:r w:rsidRPr="00590C71">
        <w:t xml:space="preserve"> These charges are adjusted by CPI for each year of the regulatory control period.  </w:t>
      </w:r>
    </w:p>
    <w:p w:rsidR="00997D52" w:rsidRPr="00997D52" w:rsidRDefault="00997D52" w:rsidP="00997D52"/>
    <w:p w:rsidR="00D96361" w:rsidRDefault="00D96361" w:rsidP="00601046">
      <w:pPr>
        <w:pStyle w:val="Heading7"/>
      </w:pPr>
      <w:bookmarkStart w:id="67" w:name="_Ref433275418"/>
      <w:bookmarkStart w:id="68" w:name="_Ref430935588"/>
      <w:bookmarkStart w:id="69" w:name="_Ref430935595"/>
      <w:bookmarkStart w:id="70" w:name="_Toc433704569"/>
      <w:r>
        <w:t>Mesh radio switching costs</w:t>
      </w:r>
      <w:bookmarkEnd w:id="67"/>
      <w:bookmarkEnd w:id="70"/>
    </w:p>
    <w:p w:rsidR="00A27296" w:rsidRPr="006E3DCA" w:rsidRDefault="00A27296" w:rsidP="00A27296">
      <w:pPr>
        <w:pStyle w:val="Heading8"/>
      </w:pPr>
      <w:bookmarkStart w:id="71" w:name="_Toc433704570"/>
      <w:r w:rsidRPr="006E3DCA">
        <w:t>Preliminary decision</w:t>
      </w:r>
      <w:bookmarkEnd w:id="71"/>
    </w:p>
    <w:p w:rsidR="00A27296" w:rsidRPr="006E3DCA" w:rsidRDefault="00A27296" w:rsidP="00A27296">
      <w:pPr>
        <w:rPr>
          <w:rStyle w:val="AERbody"/>
        </w:rPr>
      </w:pPr>
      <w:r w:rsidRPr="006E3DCA">
        <w:rPr>
          <w:rStyle w:val="AERbody"/>
        </w:rPr>
        <w:t xml:space="preserve">We do not accept AusNet Service's proposed forecast metering capex </w:t>
      </w:r>
      <w:r w:rsidR="00160B1D">
        <w:rPr>
          <w:rStyle w:val="AERbody"/>
        </w:rPr>
        <w:t>of $100.7 million ($</w:t>
      </w:r>
      <w:r>
        <w:rPr>
          <w:rStyle w:val="AERbody"/>
        </w:rPr>
        <w:t xml:space="preserve">2015) </w:t>
      </w:r>
      <w:r w:rsidRPr="006E3DCA">
        <w:rPr>
          <w:rStyle w:val="AERbody"/>
        </w:rPr>
        <w:t xml:space="preserve">relating to </w:t>
      </w:r>
      <w:r>
        <w:rPr>
          <w:rStyle w:val="AERbody"/>
        </w:rPr>
        <w:t xml:space="preserve">switching from WiMAX/3G to </w:t>
      </w:r>
      <w:r w:rsidRPr="006E3DCA">
        <w:rPr>
          <w:rStyle w:val="AERbody"/>
        </w:rPr>
        <w:t xml:space="preserve">mesh radio. </w:t>
      </w:r>
    </w:p>
    <w:p w:rsidR="00A27296" w:rsidRDefault="00A27296" w:rsidP="00A27296">
      <w:pPr>
        <w:rPr>
          <w:rStyle w:val="AERbody"/>
        </w:rPr>
      </w:pPr>
      <w:r w:rsidRPr="006E3DCA">
        <w:rPr>
          <w:rStyle w:val="AERbody"/>
        </w:rPr>
        <w:t>AusNet Services</w:t>
      </w:r>
      <w:r>
        <w:rPr>
          <w:rStyle w:val="AERbody"/>
        </w:rPr>
        <w:t xml:space="preserve"> has proposed a staged replacement of </w:t>
      </w:r>
      <w:r w:rsidRPr="006E3DCA">
        <w:rPr>
          <w:rStyle w:val="AERbody"/>
        </w:rPr>
        <w:t>WiMAX/3G with mesh radio</w:t>
      </w:r>
      <w:r w:rsidR="00270EBC">
        <w:rPr>
          <w:rStyle w:val="FootnoteReference"/>
        </w:rPr>
        <w:footnoteReference w:id="78"/>
      </w:r>
      <w:r w:rsidRPr="006E3DCA">
        <w:rPr>
          <w:rStyle w:val="AERbody"/>
        </w:rPr>
        <w:t xml:space="preserve"> and </w:t>
      </w:r>
      <w:r>
        <w:rPr>
          <w:rStyle w:val="AERbody"/>
        </w:rPr>
        <w:t xml:space="preserve">in so doing </w:t>
      </w:r>
      <w:r w:rsidRPr="006E3DCA">
        <w:rPr>
          <w:rStyle w:val="AERbody"/>
        </w:rPr>
        <w:t>will incur switching costs in the 2016</w:t>
      </w:r>
      <w:r w:rsidRPr="006E3DCA">
        <w:rPr>
          <w:rStyle w:val="AERbody"/>
        </w:rPr>
        <w:softHyphen/>
        <w:t xml:space="preserve">-20 regulatory </w:t>
      </w:r>
      <w:r w:rsidR="00894019">
        <w:rPr>
          <w:rStyle w:val="AERbody"/>
        </w:rPr>
        <w:t xml:space="preserve">control </w:t>
      </w:r>
      <w:r w:rsidRPr="006E3DCA">
        <w:rPr>
          <w:rStyle w:val="AERbody"/>
        </w:rPr>
        <w:t>period. However, we consider that AusNet Services, not their customers, should bear the costs of switching.</w:t>
      </w:r>
    </w:p>
    <w:p w:rsidR="00A27296" w:rsidRDefault="00A27296" w:rsidP="00A27296">
      <w:pPr>
        <w:rPr>
          <w:rStyle w:val="AERbody"/>
        </w:rPr>
      </w:pPr>
      <w:r>
        <w:rPr>
          <w:rStyle w:val="AERbody"/>
        </w:rPr>
        <w:t xml:space="preserve">The NER provides for us to assess </w:t>
      </w:r>
      <w:r w:rsidR="00894019">
        <w:rPr>
          <w:rStyle w:val="AERbody"/>
        </w:rPr>
        <w:t>direct control services (which include</w:t>
      </w:r>
      <w:r>
        <w:rPr>
          <w:rStyle w:val="AERbody"/>
        </w:rPr>
        <w:t xml:space="preserve"> alternative control services) against the revenue and pricing principles.</w:t>
      </w:r>
      <w:r>
        <w:rPr>
          <w:rStyle w:val="FootnoteReference"/>
        </w:rPr>
        <w:footnoteReference w:id="79"/>
      </w:r>
      <w:r>
        <w:rPr>
          <w:rStyle w:val="AERbody"/>
        </w:rPr>
        <w:t xml:space="preserve"> Our assessment demonstrates that it would be inconsistent with the revenue and pricing principles to allow AusNet Services to recover mesh radio switching costs from consumers. </w:t>
      </w:r>
    </w:p>
    <w:p w:rsidR="00A27296" w:rsidRDefault="00A27296" w:rsidP="00A27296">
      <w:pPr>
        <w:rPr>
          <w:rStyle w:val="AERbody"/>
        </w:rPr>
      </w:pPr>
      <w:r>
        <w:rPr>
          <w:rStyle w:val="AERbody"/>
        </w:rPr>
        <w:t>We recognised AusNet</w:t>
      </w:r>
      <w:r w:rsidRPr="00046183">
        <w:rPr>
          <w:rStyle w:val="AERbody"/>
        </w:rPr>
        <w:t xml:space="preserve"> </w:t>
      </w:r>
      <w:r>
        <w:rPr>
          <w:rStyle w:val="AERbody"/>
        </w:rPr>
        <w:t xml:space="preserve">Services need to switch from WiMAX to </w:t>
      </w:r>
      <w:r w:rsidRPr="006E3DCA">
        <w:rPr>
          <w:rStyle w:val="AERbody"/>
        </w:rPr>
        <w:t>mesh radio</w:t>
      </w:r>
      <w:r>
        <w:rPr>
          <w:rStyle w:val="AERbody"/>
        </w:rPr>
        <w:t xml:space="preserve"> in our Amended 2012–15 AMI Budget and Charges Determination. We found that an operator acting prudently and in accordance with commercial standards would switch by 28 February 2011 at the latest.</w:t>
      </w:r>
      <w:r w:rsidRPr="006E3DCA">
        <w:rPr>
          <w:rStyle w:val="FootnoteReference"/>
        </w:rPr>
        <w:footnoteReference w:id="80"/>
      </w:r>
      <w:r>
        <w:rPr>
          <w:rStyle w:val="AERbody"/>
        </w:rPr>
        <w:t xml:space="preserve"> These findings were upheld by the </w:t>
      </w:r>
      <w:r w:rsidRPr="006E3DCA">
        <w:t>Australian Competition Tribunal</w:t>
      </w:r>
      <w:r w:rsidRPr="006E3DCA">
        <w:rPr>
          <w:rStyle w:val="FootnoteReference"/>
        </w:rPr>
        <w:footnoteReference w:id="81"/>
      </w:r>
      <w:r w:rsidRPr="006E3DCA">
        <w:t xml:space="preserve"> and </w:t>
      </w:r>
      <w:r>
        <w:t xml:space="preserve">later </w:t>
      </w:r>
      <w:r w:rsidRPr="006E3DCA">
        <w:t>the Federal Court</w:t>
      </w:r>
      <w:r>
        <w:t xml:space="preserve"> of Australia</w:t>
      </w:r>
      <w:r w:rsidRPr="006E3DCA">
        <w:t>.</w:t>
      </w:r>
      <w:r w:rsidRPr="006E3DCA">
        <w:rPr>
          <w:rStyle w:val="FootnoteReference"/>
        </w:rPr>
        <w:footnoteReference w:id="82"/>
      </w:r>
      <w:r>
        <w:rPr>
          <w:rStyle w:val="AERbody"/>
        </w:rPr>
        <w:t xml:space="preserve"> Despite these findings, AusNet Services elected not to make the conversion and instead completed its AMI rollout using WiMAX/3G.  </w:t>
      </w:r>
    </w:p>
    <w:p w:rsidR="00A27296" w:rsidRPr="006E3DCA" w:rsidRDefault="00A27296" w:rsidP="00A27296">
      <w:pPr>
        <w:rPr>
          <w:rStyle w:val="AERbody"/>
        </w:rPr>
      </w:pPr>
      <w:r>
        <w:rPr>
          <w:rStyle w:val="AERbody"/>
        </w:rPr>
        <w:t>By deciding to switch to mesh radio in the forecast period (2016–20), AusNet Services will incur higher switching costs than it would have incurred, had it made the switch earlier. To allow AusNet Services to recover these costs from consumers is inconsistent the incentive-based nature of the NER regulatory framework.</w:t>
      </w:r>
    </w:p>
    <w:p w:rsidR="00A27296" w:rsidRPr="006E3DCA" w:rsidRDefault="00A27296" w:rsidP="00A27296">
      <w:pPr>
        <w:pStyle w:val="Heading8"/>
      </w:pPr>
      <w:bookmarkStart w:id="72" w:name="_Toc433704571"/>
      <w:r w:rsidRPr="006E3DCA">
        <w:t>Proposal</w:t>
      </w:r>
      <w:bookmarkEnd w:id="72"/>
    </w:p>
    <w:p w:rsidR="00A27296" w:rsidRDefault="00A27296" w:rsidP="00A27296">
      <w:pPr>
        <w:pStyle w:val="Heading9"/>
      </w:pPr>
      <w:bookmarkStart w:id="73" w:name="_Toc433704572"/>
      <w:r>
        <w:t>Strategy</w:t>
      </w:r>
      <w:bookmarkEnd w:id="73"/>
    </w:p>
    <w:p w:rsidR="00A27296" w:rsidRPr="00E732F2" w:rsidRDefault="00A27296" w:rsidP="00A27296">
      <w:r>
        <w:t>AusNet Services has proposed the following strategy related to AMI communications:</w:t>
      </w:r>
      <w:r>
        <w:rPr>
          <w:rStyle w:val="FootnoteReference"/>
        </w:rPr>
        <w:footnoteReference w:id="83"/>
      </w:r>
      <w:r>
        <w:t xml:space="preserve"> </w:t>
      </w:r>
    </w:p>
    <w:p w:rsidR="00A27296" w:rsidRPr="008C201F" w:rsidRDefault="00A27296" w:rsidP="00A27296">
      <w:pPr>
        <w:pStyle w:val="AERquote"/>
      </w:pPr>
      <w:r w:rsidRPr="008C201F">
        <w:t>In light of the performance issues, elevated operating costs and impending obsolescence of the PolicyNet enabled WiMAX and 3G communications technologies, and after detailed consideration of a number of Options, AusNet Services adopted an AMI Strategy to undertake a staged replacement of the existing communications infrastructure. The Options assessment process was undertaken utilising a structured, whole of life framework and identified that a staged transition to an alternative communications infrastructure would provide the best asset management, end to end performance and economic outcomes while delivering customer benefits in an appropriate timeframe.</w:t>
      </w:r>
    </w:p>
    <w:p w:rsidR="00A27296" w:rsidRPr="008C201F" w:rsidRDefault="00A27296" w:rsidP="00A27296">
      <w:pPr>
        <w:pStyle w:val="AERquote"/>
      </w:pPr>
      <w:r w:rsidRPr="008C201F">
        <w:t>The staged replacement incorporates the following key steps:</w:t>
      </w:r>
    </w:p>
    <w:p w:rsidR="00A27296" w:rsidRPr="008C201F" w:rsidRDefault="00A27296" w:rsidP="00A27296">
      <w:pPr>
        <w:pStyle w:val="AERquotebullet1"/>
      </w:pPr>
      <w:r w:rsidRPr="008C201F">
        <w:t>Stage 1: Secure and stabilise the existing WiMAX solution (2015 and 2016) to support the ~440,000 logically converted meters</w:t>
      </w:r>
    </w:p>
    <w:p w:rsidR="00A27296" w:rsidRPr="008C201F" w:rsidRDefault="00A27296" w:rsidP="00A27296">
      <w:pPr>
        <w:pStyle w:val="AERquotebullet1"/>
      </w:pPr>
      <w:r w:rsidRPr="008C201F">
        <w:t>Stage 2: Deploy a mesh infill solution (2015 to 2016):</w:t>
      </w:r>
    </w:p>
    <w:p w:rsidR="00A27296" w:rsidRPr="00A27296" w:rsidRDefault="00A27296" w:rsidP="00160B1D">
      <w:pPr>
        <w:pStyle w:val="AERquotebullet1"/>
        <w:numPr>
          <w:ilvl w:val="1"/>
          <w:numId w:val="22"/>
        </w:numPr>
      </w:pPr>
      <w:r w:rsidRPr="008C201F">
        <w:t xml:space="preserve">Implement a mesh communications backbone enabling coverage of 98% of the meter fleet. This step involves establishing and adapting IT infrastructure and applications to support a mesh based solution including the development of a new MMS </w:t>
      </w:r>
    </w:p>
    <w:p w:rsidR="00A27296" w:rsidRPr="00A27296" w:rsidRDefault="00A27296" w:rsidP="00160B1D">
      <w:pPr>
        <w:pStyle w:val="AERquotebullet1"/>
        <w:numPr>
          <w:ilvl w:val="1"/>
          <w:numId w:val="22"/>
        </w:numPr>
      </w:pPr>
      <w:r w:rsidRPr="008C201F">
        <w:t xml:space="preserve">Deploy mesh communications modules for the remaining 270,000 meters (infill) </w:t>
      </w:r>
    </w:p>
    <w:p w:rsidR="00A27296" w:rsidRPr="00A27296" w:rsidRDefault="00A27296" w:rsidP="00160B1D">
      <w:pPr>
        <w:pStyle w:val="AERquotebullet1"/>
        <w:numPr>
          <w:ilvl w:val="1"/>
          <w:numId w:val="22"/>
        </w:numPr>
      </w:pPr>
      <w:r w:rsidRPr="008C201F">
        <w:t xml:space="preserve">Deploy mesh communications modules for new connections and replacements </w:t>
      </w:r>
    </w:p>
    <w:p w:rsidR="00A27296" w:rsidRPr="006E3DCA" w:rsidRDefault="00A27296" w:rsidP="00733616">
      <w:pPr>
        <w:pStyle w:val="AERquotebullet1"/>
      </w:pPr>
      <w:r w:rsidRPr="008C201F">
        <w:t>Stage 3: Progressively replace obsolete PolicyNet enabled WiMAX communications infrastructure in an orderly and efficient manner</w:t>
      </w:r>
      <w:r w:rsidR="00160B1D">
        <w:t>.</w:t>
      </w:r>
    </w:p>
    <w:p w:rsidR="00A27296" w:rsidRPr="006E3DCA" w:rsidRDefault="00A27296" w:rsidP="00A27296">
      <w:pPr>
        <w:pStyle w:val="Heading9"/>
      </w:pPr>
      <w:bookmarkStart w:id="74" w:name="_Toc433704573"/>
      <w:r w:rsidRPr="006E3DCA">
        <w:t>Mesh radio switching costs</w:t>
      </w:r>
      <w:bookmarkEnd w:id="74"/>
    </w:p>
    <w:p w:rsidR="00A27296" w:rsidRPr="006E3DCA" w:rsidRDefault="00A27296" w:rsidP="00A27296">
      <w:pPr>
        <w:rPr>
          <w:rStyle w:val="AERbody"/>
        </w:rPr>
      </w:pPr>
      <w:r w:rsidRPr="006E3DCA">
        <w:rPr>
          <w:rStyle w:val="AERbody"/>
        </w:rPr>
        <w:t>AusNet Services did not isolate mesh radio switching costs from its overall metering capex proposal</w:t>
      </w:r>
      <w:r>
        <w:rPr>
          <w:rStyle w:val="AERbody"/>
        </w:rPr>
        <w:t>, such that they are readily identifiable</w:t>
      </w:r>
      <w:r w:rsidRPr="006E3DCA">
        <w:rPr>
          <w:rStyle w:val="AERbody"/>
        </w:rPr>
        <w:t>.</w:t>
      </w:r>
      <w:r>
        <w:rPr>
          <w:rStyle w:val="AERbody"/>
        </w:rPr>
        <w:t xml:space="preserve"> However, for the purposes of this preliminary determination we have provided the following breakdown.</w:t>
      </w:r>
    </w:p>
    <w:p w:rsidR="00A27296" w:rsidRPr="006E3DCA" w:rsidRDefault="00A27296" w:rsidP="00A27296">
      <w:pPr>
        <w:rPr>
          <w:rStyle w:val="AERbody"/>
        </w:rPr>
      </w:pPr>
      <w:r w:rsidRPr="006E3DCA">
        <w:rPr>
          <w:rStyle w:val="AERbody"/>
        </w:rPr>
        <w:t>As shown in the table below, we arrived at the figure of $</w:t>
      </w:r>
      <w:r>
        <w:rPr>
          <w:rStyle w:val="AERbody"/>
        </w:rPr>
        <w:t>100.7</w:t>
      </w:r>
      <w:r w:rsidRPr="006E3DCA">
        <w:rPr>
          <w:rStyle w:val="AERbody"/>
        </w:rPr>
        <w:t xml:space="preserve"> million</w:t>
      </w:r>
      <w:r>
        <w:rPr>
          <w:rStyle w:val="AERbody"/>
        </w:rPr>
        <w:t xml:space="preserve"> ($2015)</w:t>
      </w:r>
      <w:r w:rsidRPr="006E3DCA">
        <w:rPr>
          <w:rStyle w:val="AERbody"/>
        </w:rPr>
        <w:t xml:space="preserve"> based on analysis of AusNet Services' proposal. The main expense is retrofitting network interface cards (NIC). This involves going out to customers' premises to remove the WiMAX/3G NIC and replacing it with a mesh NIC. Switching costs also include setting up mesh communications/IT infrastructure and installing mesh antennas. </w:t>
      </w:r>
    </w:p>
    <w:p w:rsidR="00A27296" w:rsidRPr="006E3DCA" w:rsidRDefault="00A27296" w:rsidP="00A27296">
      <w:pPr>
        <w:pStyle w:val="Caption"/>
      </w:pPr>
      <w:proofErr w:type="gramStart"/>
      <w:r w:rsidRPr="006E3DCA">
        <w:t xml:space="preserve">Table </w:t>
      </w:r>
      <w:proofErr w:type="gramEnd"/>
      <w:r w:rsidR="006A670B">
        <w:fldChar w:fldCharType="begin"/>
      </w:r>
      <w:r w:rsidR="006A670B">
        <w:instrText xml:space="preserve"> STYLEREF 1 \s </w:instrText>
      </w:r>
      <w:r w:rsidR="006A670B">
        <w:fldChar w:fldCharType="separate"/>
      </w:r>
      <w:r w:rsidR="009E0EFD">
        <w:rPr>
          <w:noProof/>
        </w:rPr>
        <w:t>16</w:t>
      </w:r>
      <w:r w:rsidR="006A670B">
        <w:fldChar w:fldCharType="end"/>
      </w:r>
      <w:proofErr w:type="gramStart"/>
      <w:r w:rsidR="006A670B">
        <w:t>.</w:t>
      </w:r>
      <w:proofErr w:type="gramEnd"/>
      <w:r w:rsidR="006A670B">
        <w:fldChar w:fldCharType="begin"/>
      </w:r>
      <w:r w:rsidR="006A670B">
        <w:instrText xml:space="preserve"> SEQ Table \* ARABIC \s 1 </w:instrText>
      </w:r>
      <w:r w:rsidR="006A670B">
        <w:fldChar w:fldCharType="separate"/>
      </w:r>
      <w:r w:rsidR="009E0EFD">
        <w:rPr>
          <w:noProof/>
        </w:rPr>
        <w:t>16</w:t>
      </w:r>
      <w:r w:rsidR="006A670B">
        <w:fldChar w:fldCharType="end"/>
      </w:r>
      <w:r w:rsidR="00894019">
        <w:t xml:space="preserve"> </w:t>
      </w:r>
      <w:r w:rsidRPr="006E3DCA">
        <w:t xml:space="preserve">Proposed mesh radio switching costs in 2016–20 </w:t>
      </w:r>
    </w:p>
    <w:tbl>
      <w:tblPr>
        <w:tblStyle w:val="AERtable-numbers"/>
        <w:tblW w:w="0" w:type="auto"/>
        <w:tblLook w:val="04A0" w:firstRow="1" w:lastRow="0" w:firstColumn="1" w:lastColumn="0" w:noHBand="0" w:noVBand="1"/>
      </w:tblPr>
      <w:tblGrid>
        <w:gridCol w:w="4346"/>
        <w:gridCol w:w="4347"/>
      </w:tblGrid>
      <w:tr w:rsidR="00A27296" w:rsidTr="003039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A27296" w:rsidRPr="006E3DCA" w:rsidRDefault="00A27296" w:rsidP="00A27296"/>
        </w:tc>
        <w:tc>
          <w:tcPr>
            <w:tcW w:w="4347" w:type="dxa"/>
          </w:tcPr>
          <w:p w:rsidR="00A27296" w:rsidRPr="00A27296" w:rsidRDefault="00A27296" w:rsidP="00A27296">
            <w:pPr>
              <w:cnfStyle w:val="100000000000" w:firstRow="1" w:lastRow="0" w:firstColumn="0" w:lastColumn="0" w:oddVBand="0" w:evenVBand="0" w:oddHBand="0" w:evenHBand="0" w:firstRowFirstColumn="0" w:firstRowLastColumn="0" w:lastRowFirstColumn="0" w:lastRowLastColumn="0"/>
            </w:pPr>
            <w:r w:rsidRPr="006E3DCA">
              <w:t>$2015, millions</w:t>
            </w:r>
          </w:p>
        </w:tc>
      </w:tr>
      <w:tr w:rsidR="00A27296" w:rsidTr="0030395C">
        <w:tc>
          <w:tcPr>
            <w:cnfStyle w:val="001000000000" w:firstRow="0" w:lastRow="0" w:firstColumn="1" w:lastColumn="0" w:oddVBand="0" w:evenVBand="0" w:oddHBand="0" w:evenHBand="0" w:firstRowFirstColumn="0" w:firstRowLastColumn="0" w:lastRowFirstColumn="0" w:lastRowLastColumn="0"/>
            <w:tcW w:w="4346" w:type="dxa"/>
          </w:tcPr>
          <w:p w:rsidR="00A27296" w:rsidRPr="00A27296" w:rsidRDefault="00A27296" w:rsidP="00A27296">
            <w:r w:rsidRPr="006E3DCA">
              <w:t xml:space="preserve">NIC retrofit </w:t>
            </w:r>
          </w:p>
        </w:tc>
        <w:tc>
          <w:tcPr>
            <w:tcW w:w="4347" w:type="dxa"/>
          </w:tcPr>
          <w:p w:rsidR="00A27296" w:rsidRPr="00A27296" w:rsidRDefault="00A27296" w:rsidP="00A27296">
            <w:pPr>
              <w:cnfStyle w:val="000000000000" w:firstRow="0" w:lastRow="0" w:firstColumn="0" w:lastColumn="0" w:oddVBand="0" w:evenVBand="0" w:oddHBand="0" w:evenHBand="0" w:firstRowFirstColumn="0" w:firstRowLastColumn="0" w:lastRowFirstColumn="0" w:lastRowLastColumn="0"/>
            </w:pPr>
            <w:r>
              <w:t>71.5</w:t>
            </w:r>
          </w:p>
        </w:tc>
      </w:tr>
      <w:tr w:rsidR="00A27296" w:rsidTr="003039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A27296" w:rsidRPr="00A27296" w:rsidRDefault="00A27296" w:rsidP="00A27296">
            <w:r>
              <w:t>A</w:t>
            </w:r>
            <w:r w:rsidRPr="00A27296">
              <w:t xml:space="preserve">ntennas </w:t>
            </w:r>
          </w:p>
        </w:tc>
        <w:tc>
          <w:tcPr>
            <w:tcW w:w="4347" w:type="dxa"/>
          </w:tcPr>
          <w:p w:rsidR="00A27296" w:rsidRPr="00A27296" w:rsidRDefault="00A27296" w:rsidP="00A27296">
            <w:pPr>
              <w:cnfStyle w:val="000000010000" w:firstRow="0" w:lastRow="0" w:firstColumn="0" w:lastColumn="0" w:oddVBand="0" w:evenVBand="0" w:oddHBand="0" w:evenHBand="1" w:firstRowFirstColumn="0" w:firstRowLastColumn="0" w:lastRowFirstColumn="0" w:lastRowLastColumn="0"/>
            </w:pPr>
            <w:r>
              <w:t>2.0</w:t>
            </w:r>
          </w:p>
        </w:tc>
      </w:tr>
      <w:tr w:rsidR="00A27296" w:rsidTr="0030395C">
        <w:tc>
          <w:tcPr>
            <w:cnfStyle w:val="001000000000" w:firstRow="0" w:lastRow="0" w:firstColumn="1" w:lastColumn="0" w:oddVBand="0" w:evenVBand="0" w:oddHBand="0" w:evenHBand="0" w:firstRowFirstColumn="0" w:firstRowLastColumn="0" w:lastRowFirstColumn="0" w:lastRowLastColumn="0"/>
            <w:tcW w:w="4346" w:type="dxa"/>
          </w:tcPr>
          <w:p w:rsidR="00A27296" w:rsidRPr="00A27296" w:rsidRDefault="00A27296" w:rsidP="00A27296">
            <w:r w:rsidRPr="006E3DCA">
              <w:t xml:space="preserve">IT </w:t>
            </w:r>
          </w:p>
        </w:tc>
        <w:tc>
          <w:tcPr>
            <w:tcW w:w="4347" w:type="dxa"/>
          </w:tcPr>
          <w:p w:rsidR="00A27296" w:rsidRPr="00A27296" w:rsidRDefault="00A27296" w:rsidP="00A27296">
            <w:pPr>
              <w:cnfStyle w:val="000000000000" w:firstRow="0" w:lastRow="0" w:firstColumn="0" w:lastColumn="0" w:oddVBand="0" w:evenVBand="0" w:oddHBand="0" w:evenHBand="0" w:firstRowFirstColumn="0" w:firstRowLastColumn="0" w:lastRowFirstColumn="0" w:lastRowLastColumn="0"/>
            </w:pPr>
            <w:r>
              <w:t>1</w:t>
            </w:r>
            <w:r w:rsidRPr="00A27296">
              <w:t>7.2</w:t>
            </w:r>
          </w:p>
        </w:tc>
      </w:tr>
      <w:tr w:rsidR="00A27296" w:rsidTr="003039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A27296" w:rsidRPr="00A27296" w:rsidRDefault="00A27296" w:rsidP="00A27296">
            <w:r w:rsidRPr="006E3DCA">
              <w:t>Mesh communications infrastructure</w:t>
            </w:r>
          </w:p>
        </w:tc>
        <w:tc>
          <w:tcPr>
            <w:tcW w:w="4347" w:type="dxa"/>
          </w:tcPr>
          <w:p w:rsidR="00A27296" w:rsidRPr="00A27296" w:rsidRDefault="00A27296" w:rsidP="00A27296">
            <w:pPr>
              <w:cnfStyle w:val="000000010000" w:firstRow="0" w:lastRow="0" w:firstColumn="0" w:lastColumn="0" w:oddVBand="0" w:evenVBand="0" w:oddHBand="0" w:evenHBand="1" w:firstRowFirstColumn="0" w:firstRowLastColumn="0" w:lastRowFirstColumn="0" w:lastRowLastColumn="0"/>
            </w:pPr>
            <w:r w:rsidRPr="006E3DCA">
              <w:t>10.0</w:t>
            </w:r>
          </w:p>
        </w:tc>
      </w:tr>
      <w:tr w:rsidR="00A27296" w:rsidTr="0030395C">
        <w:tc>
          <w:tcPr>
            <w:cnfStyle w:val="001000000000" w:firstRow="0" w:lastRow="0" w:firstColumn="1" w:lastColumn="0" w:oddVBand="0" w:evenVBand="0" w:oddHBand="0" w:evenHBand="0" w:firstRowFirstColumn="0" w:firstRowLastColumn="0" w:lastRowFirstColumn="0" w:lastRowLastColumn="0"/>
            <w:tcW w:w="4346" w:type="dxa"/>
          </w:tcPr>
          <w:p w:rsidR="00A27296" w:rsidRPr="00A27296" w:rsidRDefault="00A27296" w:rsidP="00A27296">
            <w:pPr>
              <w:rPr>
                <w:rStyle w:val="Strong"/>
              </w:rPr>
            </w:pPr>
            <w:r w:rsidRPr="006E3DCA">
              <w:rPr>
                <w:rStyle w:val="Strong"/>
              </w:rPr>
              <w:t>Proposed mesh radio switching costs</w:t>
            </w:r>
          </w:p>
        </w:tc>
        <w:tc>
          <w:tcPr>
            <w:tcW w:w="4347" w:type="dxa"/>
          </w:tcPr>
          <w:p w:rsidR="00A27296" w:rsidRPr="00A27296" w:rsidRDefault="00A27296" w:rsidP="00A27296">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w:t>
            </w:r>
            <w:r w:rsidRPr="00A27296">
              <w:rPr>
                <w:rStyle w:val="Strong"/>
              </w:rPr>
              <w:t>00.7</w:t>
            </w:r>
          </w:p>
        </w:tc>
      </w:tr>
    </w:tbl>
    <w:p w:rsidR="00A27296" w:rsidRPr="00A27296" w:rsidRDefault="00A27296" w:rsidP="00A27296">
      <w:pPr>
        <w:pStyle w:val="AERtablesource"/>
        <w:rPr>
          <w:rFonts w:eastAsiaTheme="majorEastAsia"/>
        </w:rPr>
      </w:pPr>
      <w:r w:rsidRPr="006E3DCA">
        <w:t xml:space="preserve">Source: </w:t>
      </w:r>
      <w:r w:rsidR="00A03B76">
        <w:tab/>
      </w:r>
      <w:r w:rsidRPr="006E3DCA">
        <w:t>AER analysis based on data from AusNet Services</w:t>
      </w:r>
      <w:r w:rsidRPr="00326F80">
        <w:rPr>
          <w:rStyle w:val="AERtextitalic"/>
        </w:rPr>
        <w:t>, Regulatory Proposal</w:t>
      </w:r>
      <w:r w:rsidR="009403E7">
        <w:rPr>
          <w:rStyle w:val="AERtextitalic"/>
        </w:rPr>
        <w:t xml:space="preserve"> 2016–20</w:t>
      </w:r>
      <w:r w:rsidRPr="00326F80">
        <w:rPr>
          <w:rStyle w:val="AERtextitalic"/>
        </w:rPr>
        <w:t>, Metering Cost Model (Public)</w:t>
      </w:r>
      <w:r w:rsidR="00A03B76">
        <w:rPr>
          <w:rStyle w:val="AERtextitalic"/>
        </w:rPr>
        <w:t>, October 2015</w:t>
      </w:r>
      <w:r w:rsidR="00A03B76">
        <w:t>.</w:t>
      </w:r>
      <w:r>
        <w:br w:type="page"/>
      </w:r>
    </w:p>
    <w:p w:rsidR="00A27296" w:rsidRPr="006E3DCA" w:rsidRDefault="00A27296" w:rsidP="00A27296">
      <w:pPr>
        <w:pStyle w:val="Heading8"/>
      </w:pPr>
      <w:bookmarkStart w:id="75" w:name="_Toc433704574"/>
      <w:r w:rsidRPr="006E3DCA">
        <w:t>Assessment approach</w:t>
      </w:r>
      <w:bookmarkEnd w:id="75"/>
    </w:p>
    <w:p w:rsidR="00A27296" w:rsidRPr="001C6565" w:rsidRDefault="00A27296" w:rsidP="001C6565">
      <w:pPr>
        <w:pStyle w:val="Heading9"/>
        <w:rPr>
          <w:rStyle w:val="AERtextbolditalics"/>
          <w:b/>
          <w:bCs/>
          <w:i w:val="0"/>
          <w:iCs w:val="0"/>
        </w:rPr>
      </w:pPr>
      <w:bookmarkStart w:id="76" w:name="_Toc433704575"/>
      <w:r w:rsidRPr="001C6565">
        <w:rPr>
          <w:rStyle w:val="AERtextbolditalics"/>
          <w:b/>
          <w:bCs/>
          <w:i w:val="0"/>
          <w:iCs w:val="0"/>
        </w:rPr>
        <w:t>The nature and scope of the AER's preliminary decision</w:t>
      </w:r>
      <w:bookmarkEnd w:id="76"/>
    </w:p>
    <w:p w:rsidR="00A27296" w:rsidRPr="006E3DCA" w:rsidRDefault="00A27296" w:rsidP="00A27296">
      <w:pPr>
        <w:rPr>
          <w:rStyle w:val="AERbody"/>
        </w:rPr>
      </w:pPr>
      <w:r w:rsidRPr="006E3DCA">
        <w:rPr>
          <w:rStyle w:val="AERbody"/>
        </w:rPr>
        <w:t xml:space="preserve">As an economic regulator, our role is to assess the prudent and efficient costs of providing </w:t>
      </w:r>
      <w:r>
        <w:rPr>
          <w:rStyle w:val="AERbody"/>
        </w:rPr>
        <w:t xml:space="preserve">safe and reliable </w:t>
      </w:r>
      <w:r w:rsidRPr="006E3DCA">
        <w:rPr>
          <w:rStyle w:val="AERbody"/>
        </w:rPr>
        <w:t xml:space="preserve">regulated services. We consider relative technology options insofar as </w:t>
      </w:r>
      <w:r>
        <w:rPr>
          <w:rStyle w:val="AERbody"/>
        </w:rPr>
        <w:t>they</w:t>
      </w:r>
      <w:r w:rsidRPr="006E3DCA">
        <w:rPr>
          <w:rStyle w:val="AERbody"/>
        </w:rPr>
        <w:t xml:space="preserve"> affect the prudent and efficient costs of providing regulated services.</w:t>
      </w:r>
    </w:p>
    <w:p w:rsidR="00A27296" w:rsidRPr="006E3DCA" w:rsidRDefault="00A27296" w:rsidP="00A27296">
      <w:pPr>
        <w:rPr>
          <w:rStyle w:val="AERbody"/>
        </w:rPr>
      </w:pPr>
      <w:r w:rsidRPr="006E3DCA">
        <w:rPr>
          <w:rStyle w:val="AERbody"/>
        </w:rPr>
        <w:t>We reco</w:t>
      </w:r>
      <w:r>
        <w:rPr>
          <w:rStyle w:val="AERbody"/>
        </w:rPr>
        <w:t>gnise that AusNet Services will</w:t>
      </w:r>
      <w:r w:rsidRPr="006E3DCA">
        <w:rPr>
          <w:rStyle w:val="AERbody"/>
        </w:rPr>
        <w:t xml:space="preserve"> likely have to replace WiMAX/3G with mesh radio and will incur switching costs</w:t>
      </w:r>
      <w:r>
        <w:rPr>
          <w:rStyle w:val="AERbody"/>
        </w:rPr>
        <w:t xml:space="preserve"> </w:t>
      </w:r>
      <w:r w:rsidRPr="006E3DCA">
        <w:rPr>
          <w:rStyle w:val="AERbody"/>
        </w:rPr>
        <w:t>in the 2016</w:t>
      </w:r>
      <w:r w:rsidRPr="006E3DCA">
        <w:rPr>
          <w:rStyle w:val="AERbody"/>
        </w:rPr>
        <w:softHyphen/>
        <w:t xml:space="preserve">-20 regulatory </w:t>
      </w:r>
      <w:r w:rsidR="00160B1D">
        <w:rPr>
          <w:rStyle w:val="AERbody"/>
        </w:rPr>
        <w:t xml:space="preserve">control </w:t>
      </w:r>
      <w:r w:rsidRPr="006E3DCA">
        <w:rPr>
          <w:rStyle w:val="AERbody"/>
        </w:rPr>
        <w:t>period to do so.</w:t>
      </w:r>
      <w:r>
        <w:rPr>
          <w:rStyle w:val="AERbody"/>
        </w:rPr>
        <w:t xml:space="preserve"> We accept that these </w:t>
      </w:r>
      <w:r w:rsidRPr="006E3DCA">
        <w:rPr>
          <w:rStyle w:val="AERbody"/>
        </w:rPr>
        <w:t>switching costs</w:t>
      </w:r>
      <w:r>
        <w:rPr>
          <w:rStyle w:val="AERbody"/>
        </w:rPr>
        <w:t xml:space="preserve"> are higher than what would be incurred had </w:t>
      </w:r>
      <w:r w:rsidRPr="006E3DCA">
        <w:rPr>
          <w:rStyle w:val="AERbody"/>
        </w:rPr>
        <w:t>AusNet Services</w:t>
      </w:r>
      <w:r>
        <w:rPr>
          <w:rStyle w:val="AERbody"/>
        </w:rPr>
        <w:t xml:space="preserve"> adopted mesh radio in 2011.</w:t>
      </w:r>
    </w:p>
    <w:p w:rsidR="00A27296" w:rsidRPr="006E3DCA" w:rsidRDefault="00A27296" w:rsidP="00A27296">
      <w:pPr>
        <w:rPr>
          <w:rStyle w:val="AERbody"/>
        </w:rPr>
      </w:pPr>
      <w:r w:rsidRPr="006E3DCA">
        <w:rPr>
          <w:rStyle w:val="AERbody"/>
        </w:rPr>
        <w:t xml:space="preserve">Our assessment in this appendix is whether the forecast mesh radio switching costs in the 2016–20 regulatory </w:t>
      </w:r>
      <w:r w:rsidR="00160B1D">
        <w:rPr>
          <w:rStyle w:val="AERbody"/>
        </w:rPr>
        <w:t xml:space="preserve">control </w:t>
      </w:r>
      <w:proofErr w:type="gramStart"/>
      <w:r w:rsidRPr="006E3DCA">
        <w:rPr>
          <w:rStyle w:val="AERbody"/>
        </w:rPr>
        <w:t>period</w:t>
      </w:r>
      <w:proofErr w:type="gramEnd"/>
      <w:r w:rsidRPr="006E3DCA">
        <w:rPr>
          <w:rStyle w:val="AERbody"/>
        </w:rPr>
        <w:t xml:space="preserve"> are prudent and efficient and </w:t>
      </w:r>
      <w:r>
        <w:rPr>
          <w:rStyle w:val="AERbody"/>
        </w:rPr>
        <w:t xml:space="preserve">whether they </w:t>
      </w:r>
      <w:r w:rsidRPr="006E3DCA">
        <w:rPr>
          <w:rStyle w:val="AERbody"/>
        </w:rPr>
        <w:t xml:space="preserve">should be borne by customers. </w:t>
      </w:r>
      <w:r>
        <w:rPr>
          <w:rStyle w:val="AERbody"/>
        </w:rPr>
        <w:t>Our</w:t>
      </w:r>
      <w:r w:rsidRPr="006E3DCA">
        <w:rPr>
          <w:rStyle w:val="AERbody"/>
        </w:rPr>
        <w:t xml:space="preserve"> </w:t>
      </w:r>
      <w:r>
        <w:rPr>
          <w:rStyle w:val="AERbody"/>
        </w:rPr>
        <w:t xml:space="preserve">findings are that </w:t>
      </w:r>
      <w:r w:rsidRPr="006E3DCA">
        <w:rPr>
          <w:rStyle w:val="AERbody"/>
        </w:rPr>
        <w:t xml:space="preserve">it would be contrary to the NEO and the revenue and pricing principles for customers to bear costs that exceed the prudent and efficient level required to provide a regulated service. </w:t>
      </w:r>
    </w:p>
    <w:p w:rsidR="00A27296" w:rsidRPr="001C6565" w:rsidRDefault="00A27296" w:rsidP="001C6565">
      <w:pPr>
        <w:pStyle w:val="Heading9"/>
        <w:rPr>
          <w:rStyle w:val="AERtextbolditalics"/>
          <w:b/>
          <w:bCs/>
          <w:i w:val="0"/>
          <w:iCs w:val="0"/>
        </w:rPr>
      </w:pPr>
      <w:bookmarkStart w:id="77" w:name="_Toc433704576"/>
      <w:r w:rsidRPr="001C6565">
        <w:rPr>
          <w:rStyle w:val="AERtextbolditalics"/>
          <w:b/>
          <w:bCs/>
          <w:i w:val="0"/>
          <w:iCs w:val="0"/>
        </w:rPr>
        <w:t>Regulatory framework</w:t>
      </w:r>
      <w:bookmarkEnd w:id="77"/>
    </w:p>
    <w:p w:rsidR="00A27296" w:rsidRPr="006E3DCA" w:rsidRDefault="00A27296" w:rsidP="00A27296">
      <w:r w:rsidRPr="006E3DCA">
        <w:t xml:space="preserve">In our Final </w:t>
      </w:r>
      <w:r>
        <w:t>Framework and Approach</w:t>
      </w:r>
      <w:r w:rsidRPr="006E3DCA">
        <w:t>, we classified the "type 5, 6 and smart meter - regulated service" as an alternative control service.</w:t>
      </w:r>
      <w:r w:rsidRPr="006E3DCA">
        <w:rPr>
          <w:rStyle w:val="FootnoteReference"/>
        </w:rPr>
        <w:footnoteReference w:id="84"/>
      </w:r>
      <w:r w:rsidRPr="006E3DCA">
        <w:t xml:space="preserve"> Accordingly, we made our assessment with regard to the specific regulatory framework in Victoria and the framework for regulating alternative control services in the NEL and NER.</w:t>
      </w:r>
      <w:r w:rsidRPr="006E3DCA">
        <w:rPr>
          <w:rStyle w:val="FootnoteReference"/>
        </w:rPr>
        <w:footnoteReference w:id="85"/>
      </w:r>
      <w:r w:rsidRPr="006E3DCA">
        <w:t xml:space="preserve"> </w:t>
      </w:r>
    </w:p>
    <w:p w:rsidR="00A27296" w:rsidRPr="006E3DCA" w:rsidRDefault="00A27296" w:rsidP="00A27296">
      <w:r w:rsidRPr="006E3DCA">
        <w:t>Metering services in the 2016</w:t>
      </w:r>
      <w:r>
        <w:t>–</w:t>
      </w:r>
      <w:r w:rsidRPr="006E3DCA">
        <w:t xml:space="preserve">20 regulatory control </w:t>
      </w:r>
      <w:proofErr w:type="gramStart"/>
      <w:r w:rsidRPr="006E3DCA">
        <w:t>period</w:t>
      </w:r>
      <w:proofErr w:type="gramEnd"/>
      <w:r w:rsidRPr="006E3DCA">
        <w:t xml:space="preserve"> are regulated under the NEL and NER, subject to certain modifications set out in the Victorian Advanced Metering Infrastructure Cost Recovery Order-in-Council (the Order). In particular, clause </w:t>
      </w:r>
      <w:proofErr w:type="gramStart"/>
      <w:r w:rsidRPr="006E3DCA">
        <w:t>5K(</w:t>
      </w:r>
      <w:proofErr w:type="gramEnd"/>
      <w:r w:rsidRPr="006E3DCA">
        <w:t>b)(iv) states that after 31 December 2015, smart meter services are regulated pursuant to the NEL and the NER, provided that:</w:t>
      </w:r>
    </w:p>
    <w:p w:rsidR="00A27296" w:rsidRPr="006E3DCA" w:rsidRDefault="00A27296" w:rsidP="00A27296">
      <w:pPr>
        <w:pStyle w:val="AERquote"/>
      </w:pPr>
      <w:proofErr w:type="gramStart"/>
      <w:r w:rsidRPr="006E3DCA">
        <w:t>for</w:t>
      </w:r>
      <w:proofErr w:type="gramEnd"/>
      <w:r w:rsidRPr="006E3DCA">
        <w:t xml:space="preserve"> the purposes of a distribution determination with respect to the “type 5, 6 and smart metering – regulated service”, the AER may have regard to:</w:t>
      </w:r>
    </w:p>
    <w:p w:rsidR="00A27296" w:rsidRPr="006E3DCA" w:rsidRDefault="00A27296" w:rsidP="00A27296">
      <w:pPr>
        <w:pStyle w:val="AERquote"/>
      </w:pPr>
      <w:r w:rsidRPr="006E3DCA">
        <w:t xml:space="preserve">(A) the actual and expected operating expenditure during the initial regulatory period of a distributor of, or in relation to, the provision, installation, maintenance and operation of advanced metering infrastructure and associated services and systems; </w:t>
      </w:r>
    </w:p>
    <w:p w:rsidR="00A27296" w:rsidRPr="006E3DCA" w:rsidRDefault="00A27296" w:rsidP="00A27296">
      <w:pPr>
        <w:pStyle w:val="AERquote"/>
      </w:pPr>
      <w:r w:rsidRPr="006E3DCA">
        <w:t>(B) the actual and expected capital expenditure during the initial regulatory period of a distributor of, or in relation to, the provision, installation, maintenance and operation of advanced metering infrastructure and associated services and systems; and</w:t>
      </w:r>
    </w:p>
    <w:p w:rsidR="00A27296" w:rsidRPr="006E3DCA" w:rsidRDefault="00A27296" w:rsidP="00A27296">
      <w:pPr>
        <w:pStyle w:val="AERquote"/>
      </w:pPr>
      <w:r w:rsidRPr="006E3DCA">
        <w:t xml:space="preserve">(C) </w:t>
      </w:r>
      <w:proofErr w:type="gramStart"/>
      <w:r w:rsidRPr="006E3DCA">
        <w:t>this</w:t>
      </w:r>
      <w:proofErr w:type="gramEnd"/>
      <w:r w:rsidRPr="006E3DCA">
        <w:t xml:space="preserve"> Order and any determination made pursuant to this Order.</w:t>
      </w:r>
    </w:p>
    <w:p w:rsidR="00A27296" w:rsidRPr="006E3DCA" w:rsidRDefault="00A27296" w:rsidP="00A27296">
      <w:r w:rsidRPr="006E3DCA">
        <w:t>In assessing AusNet Services' proposal to replace WiMAX/3G with mesh radio, we have had regard to these factors. That is, we have considered AusNet Services' actual and expected opex and capex related to AMI</w:t>
      </w:r>
      <w:r>
        <w:t xml:space="preserve"> in the initial regulatory </w:t>
      </w:r>
      <w:r w:rsidR="00894019">
        <w:t xml:space="preserve">control </w:t>
      </w:r>
      <w:r>
        <w:t>period</w:t>
      </w:r>
      <w:r w:rsidRPr="006E3DCA">
        <w:t>, the Order and previous AMI Budgets (for the 2009</w:t>
      </w:r>
      <w:r w:rsidR="00091E5C">
        <w:t>–</w:t>
      </w:r>
      <w:r w:rsidRPr="006E3DCA">
        <w:t xml:space="preserve">11 and 2012–15 periods) made pursuant to the Order. </w:t>
      </w:r>
      <w:r>
        <w:t>We</w:t>
      </w:r>
      <w:r w:rsidRPr="006E3DCA">
        <w:t xml:space="preserve"> have also had regard to previous Tribunal and Federal Court decisions related to previous AMI Budget appeals.</w:t>
      </w:r>
      <w:r w:rsidRPr="006E3DCA">
        <w:rPr>
          <w:rStyle w:val="FootnoteReference"/>
        </w:rPr>
        <w:footnoteReference w:id="86"/>
      </w:r>
      <w:r w:rsidRPr="006E3DCA">
        <w:t xml:space="preserve"> </w:t>
      </w:r>
    </w:p>
    <w:p w:rsidR="00A27296" w:rsidRPr="006E3DCA" w:rsidRDefault="00A27296" w:rsidP="00A27296">
      <w:r w:rsidRPr="006E3DCA">
        <w:t>Further, we have given regard to the factors set out in clause 6.2.5(d) of the NER, and the NEO and the revenue and pricing principles in the NEL</w:t>
      </w:r>
      <w:r w:rsidRPr="006E3DCA">
        <w:rPr>
          <w:rStyle w:val="FootnoteReference"/>
        </w:rPr>
        <w:footnoteReference w:id="87"/>
      </w:r>
      <w:r w:rsidRPr="006E3DCA">
        <w:t>. We considered the following revenue and pricing principles to be the most relevant to this issue:</w:t>
      </w:r>
    </w:p>
    <w:p w:rsidR="00A27296" w:rsidRPr="006E3DCA" w:rsidRDefault="00A27296" w:rsidP="00A27296">
      <w:pPr>
        <w:pStyle w:val="ListContinue"/>
        <w:rPr>
          <w:rStyle w:val="Strong"/>
        </w:rPr>
      </w:pPr>
      <w:r w:rsidRPr="006E3DCA">
        <w:rPr>
          <w:rStyle w:val="Strong"/>
        </w:rPr>
        <w:t>Revenue and pricing principle 7A(2)</w:t>
      </w:r>
    </w:p>
    <w:p w:rsidR="00A27296" w:rsidRPr="006E3DCA" w:rsidRDefault="00A27296" w:rsidP="00A27296">
      <w:pPr>
        <w:pStyle w:val="ListContinue"/>
        <w:rPr>
          <w:rStyle w:val="AERbody"/>
        </w:rPr>
      </w:pPr>
      <w:r w:rsidRPr="006E3DCA">
        <w:rPr>
          <w:rStyle w:val="AERbody"/>
        </w:rPr>
        <w:t>A regulated network service provider should be provided with a reasonable opportunity to recover at least the efficient costs.</w:t>
      </w:r>
    </w:p>
    <w:p w:rsidR="00A27296" w:rsidRPr="006E3DCA" w:rsidRDefault="00A27296" w:rsidP="00A27296">
      <w:pPr>
        <w:pStyle w:val="ListContinue"/>
        <w:rPr>
          <w:rStyle w:val="Strong"/>
        </w:rPr>
      </w:pPr>
      <w:r w:rsidRPr="006E3DCA">
        <w:rPr>
          <w:rStyle w:val="Strong"/>
        </w:rPr>
        <w:t>Revenue and pricing principle 7A(3)</w:t>
      </w:r>
    </w:p>
    <w:p w:rsidR="00A27296" w:rsidRPr="006E3DCA" w:rsidRDefault="00A27296" w:rsidP="00A27296">
      <w:pPr>
        <w:pStyle w:val="ListContinue"/>
        <w:rPr>
          <w:rStyle w:val="AERbody"/>
        </w:rPr>
      </w:pPr>
      <w:r w:rsidRPr="006E3DCA">
        <w:t xml:space="preserve">A regulated network service provider should be provided with effective incentives in order to promote economic efficiency with respect to direct control network services the operator provides. </w:t>
      </w:r>
      <w:r w:rsidRPr="006E3DCA">
        <w:rPr>
          <w:rStyle w:val="AERbody"/>
        </w:rPr>
        <w:t xml:space="preserve">  </w:t>
      </w:r>
    </w:p>
    <w:p w:rsidR="00A27296" w:rsidRPr="006E3DCA" w:rsidRDefault="00A27296" w:rsidP="00A27296">
      <w:pPr>
        <w:pStyle w:val="ListContinue"/>
        <w:rPr>
          <w:rStyle w:val="Strong"/>
        </w:rPr>
      </w:pPr>
      <w:r w:rsidRPr="006E3DCA">
        <w:rPr>
          <w:rStyle w:val="Strong"/>
        </w:rPr>
        <w:t>Revenue and pricing principle 7A(5)</w:t>
      </w:r>
    </w:p>
    <w:p w:rsidR="00A27296" w:rsidRPr="006E3DCA" w:rsidRDefault="00A27296" w:rsidP="00A27296">
      <w:pPr>
        <w:pStyle w:val="ListContinue"/>
      </w:pPr>
      <w:r w:rsidRPr="006E3DCA">
        <w:rPr>
          <w:rStyle w:val="AERbody"/>
        </w:rPr>
        <w:t>A price or charge for the provision of a direct control network service should allow for a return commensurate with the regulatory and commercial risks involved in providing the direct control network service to which that price or charge relates.</w:t>
      </w:r>
    </w:p>
    <w:p w:rsidR="00A27296" w:rsidRPr="006E3DCA" w:rsidRDefault="00A27296" w:rsidP="00A27296">
      <w:pPr>
        <w:pStyle w:val="Heading8"/>
      </w:pPr>
      <w:bookmarkStart w:id="78" w:name="_Toc433704577"/>
      <w:r w:rsidRPr="006E3DCA">
        <w:t>Background</w:t>
      </w:r>
      <w:bookmarkEnd w:id="78"/>
    </w:p>
    <w:p w:rsidR="00A27296" w:rsidRPr="001C6565" w:rsidRDefault="00A27296" w:rsidP="001C6565">
      <w:pPr>
        <w:pStyle w:val="Heading9"/>
        <w:rPr>
          <w:rStyle w:val="AERtextbolditalics"/>
          <w:b/>
          <w:bCs/>
          <w:i w:val="0"/>
          <w:iCs w:val="0"/>
        </w:rPr>
      </w:pPr>
      <w:bookmarkStart w:id="79" w:name="_Toc433704578"/>
      <w:r w:rsidRPr="001C6565">
        <w:rPr>
          <w:rStyle w:val="AERtextbolditalics"/>
          <w:b/>
          <w:bCs/>
          <w:i w:val="0"/>
          <w:iCs w:val="0"/>
        </w:rPr>
        <w:t>Communications technology</w:t>
      </w:r>
      <w:bookmarkEnd w:id="79"/>
    </w:p>
    <w:p w:rsidR="00A27296" w:rsidRPr="006E3DCA" w:rsidRDefault="00A27296" w:rsidP="00A27296">
      <w:pPr>
        <w:rPr>
          <w:rStyle w:val="AERbody"/>
        </w:rPr>
      </w:pPr>
      <w:r w:rsidRPr="006E3DCA">
        <w:rPr>
          <w:rStyle w:val="AERbody"/>
        </w:rPr>
        <w:t xml:space="preserve">Smart meters are remotely read. Communications equipment is needed to transmit the electricity usage data from the meter to the distributor, removing the need to physically visit the customer’s house or business. </w:t>
      </w:r>
    </w:p>
    <w:p w:rsidR="00A27296" w:rsidRPr="006E3DCA" w:rsidRDefault="00A27296" w:rsidP="00A27296">
      <w:pPr>
        <w:rPr>
          <w:rStyle w:val="AERbody"/>
        </w:rPr>
      </w:pPr>
      <w:r w:rsidRPr="006E3DCA">
        <w:rPr>
          <w:rStyle w:val="AERbody"/>
        </w:rPr>
        <w:t xml:space="preserve">There are different types of communications technology that can be used to remotely read a meter. In Victoria, the two main types of communications technology deployed are mesh radio and WiMAX communications. Compared to mesh radio, WiMAX is the more advanced (and therefore more expensive) communications technology. </w:t>
      </w:r>
    </w:p>
    <w:p w:rsidR="00A27296" w:rsidRPr="006E3DCA" w:rsidRDefault="00A27296" w:rsidP="00A27296">
      <w:pPr>
        <w:rPr>
          <w:rStyle w:val="AERbody"/>
        </w:rPr>
      </w:pPr>
      <w:r w:rsidRPr="006E3DCA">
        <w:rPr>
          <w:rStyle w:val="AERbody"/>
        </w:rPr>
        <w:t xml:space="preserve">Mesh radio is the communications technology used by United Energy, Powercor, CitiPower and Jemena for the AMI rollout. They will continue using mesh radio in the 2016–20 regulatory control </w:t>
      </w:r>
      <w:proofErr w:type="gramStart"/>
      <w:r w:rsidRPr="006E3DCA">
        <w:rPr>
          <w:rStyle w:val="AERbody"/>
        </w:rPr>
        <w:t>period</w:t>
      </w:r>
      <w:proofErr w:type="gramEnd"/>
      <w:r w:rsidRPr="006E3DCA">
        <w:rPr>
          <w:rStyle w:val="AERbody"/>
        </w:rPr>
        <w:t xml:space="preserve">. </w:t>
      </w:r>
    </w:p>
    <w:p w:rsidR="00A27296" w:rsidRPr="006E3DCA" w:rsidRDefault="00A27296" w:rsidP="00A27296">
      <w:pPr>
        <w:rPr>
          <w:rStyle w:val="AERtextitalic"/>
        </w:rPr>
      </w:pPr>
      <w:r w:rsidRPr="006E3DCA">
        <w:rPr>
          <w:rStyle w:val="AERbody"/>
        </w:rPr>
        <w:t>AusNet Services has used WiMAX since the commencement of the rollout until the present. AusNet Services also uses a small number of 3G communications modules for low-to-medium density sites.</w:t>
      </w:r>
    </w:p>
    <w:p w:rsidR="00A27296" w:rsidRPr="001C6565" w:rsidRDefault="00A27296" w:rsidP="001C6565">
      <w:pPr>
        <w:pStyle w:val="Heading9"/>
        <w:rPr>
          <w:rStyle w:val="AERtextbolditalics"/>
          <w:b/>
          <w:bCs/>
          <w:i w:val="0"/>
          <w:iCs w:val="0"/>
        </w:rPr>
      </w:pPr>
      <w:bookmarkStart w:id="80" w:name="_Toc433704579"/>
      <w:r w:rsidRPr="001C6565">
        <w:rPr>
          <w:rStyle w:val="AERtextbolditalics"/>
          <w:b/>
          <w:bCs/>
          <w:i w:val="0"/>
          <w:iCs w:val="0"/>
        </w:rPr>
        <w:t>Previous decisions and appeals</w:t>
      </w:r>
      <w:bookmarkEnd w:id="80"/>
    </w:p>
    <w:p w:rsidR="00A27296" w:rsidRPr="006E3DCA" w:rsidRDefault="00A27296" w:rsidP="00A27296">
      <w:r w:rsidRPr="006E3DCA">
        <w:t>In the AER's AMI 2009-2011 Budget and Charges Final Determination, the AER approved forecast expenditure based on WiMAX metering communications technology for AusNet Services on the basis that:</w:t>
      </w:r>
      <w:r w:rsidRPr="006E3DCA">
        <w:rPr>
          <w:rStyle w:val="AERsuperscript"/>
        </w:rPr>
        <w:footnoteReference w:id="88"/>
      </w:r>
      <w:r w:rsidRPr="006E3DCA">
        <w:rPr>
          <w:rStyle w:val="AERsuperscript"/>
        </w:rPr>
        <w:t xml:space="preserve"> </w:t>
      </w:r>
    </w:p>
    <w:p w:rsidR="00A27296" w:rsidRPr="006E3DCA" w:rsidRDefault="00A27296" w:rsidP="00A27296">
      <w:pPr>
        <w:pStyle w:val="AERquoteindent1"/>
      </w:pPr>
      <w:r w:rsidRPr="006E3DCA">
        <w:t>SPA [now AusNet Services] demonstrated that it had made a reasonable commercial decision to employ WiMAX based on the overall costs, risks and suitability of available technologies. The AER was satisfied that SPA’s selection of a WiMAX communications solution would provide a net benefit to consumers, retailers and to SPA, and accordingly decided to</w:t>
      </w:r>
      <w:r w:rsidR="00920D54">
        <w:t xml:space="preserve"> approve costs for the solution</w:t>
      </w:r>
    </w:p>
    <w:p w:rsidR="00A27296" w:rsidRPr="006E3DCA" w:rsidRDefault="00A27296" w:rsidP="00A27296">
      <w:r w:rsidRPr="006E3DCA">
        <w:t xml:space="preserve">However, the AER's AMI 2012-15 Budget and Charges Final Determination (2012-15 Determination) did not accept forecast costs based on continuing with WiMAX as AusNet Services proposed, as it considered that incurring these higher costs would be a departure from the commercial standard. Instead, it set a budget </w:t>
      </w:r>
      <w:r>
        <w:t>of $304.1 million ($2011)</w:t>
      </w:r>
      <w:r w:rsidRPr="00774E86">
        <w:rPr>
          <w:rStyle w:val="FootnoteReference"/>
        </w:rPr>
        <w:t xml:space="preserve"> </w:t>
      </w:r>
      <w:r w:rsidRPr="00774E86">
        <w:rPr>
          <w:rStyle w:val="FootnoteReference"/>
        </w:rPr>
        <w:footnoteReference w:id="89"/>
      </w:r>
      <w:r>
        <w:t xml:space="preserve"> </w:t>
      </w:r>
      <w:r w:rsidRPr="006E3DCA">
        <w:t>based on a mesh-benchmark equivalent.</w:t>
      </w:r>
    </w:p>
    <w:p w:rsidR="00A27296" w:rsidRPr="006E3DCA" w:rsidRDefault="00A27296" w:rsidP="00A27296">
      <w:r w:rsidRPr="006E3DCA">
        <w:t>AusNet Services appealed the 2012</w:t>
      </w:r>
      <w:r w:rsidR="00091E5C">
        <w:t>–</w:t>
      </w:r>
      <w:r w:rsidRPr="006E3DCA">
        <w:t>15 Determination at the Australian Competition Tribunal (the Tribunal). The Tribunal did not find error with the AER’s benchmarking approach. It accepted the benchmarks determined by the AER were reflective of the costs of an AMI roll out using mesh radio, if that technology were chosen from the outset.</w:t>
      </w:r>
      <w:r w:rsidRPr="006E3DCA">
        <w:rPr>
          <w:rStyle w:val="FootnoteReference"/>
        </w:rPr>
        <w:footnoteReference w:id="90"/>
      </w:r>
      <w:r w:rsidRPr="006E3DCA">
        <w:t xml:space="preserve"> Nor did it find error with the AER’s conclusion that the commercial standard a reasonable business would exercise in the circumstances of AusNet Services should have reconsidered its use of WiMAX and the possibility of using an alternative.</w:t>
      </w:r>
      <w:r w:rsidRPr="006E3DCA">
        <w:rPr>
          <w:rStyle w:val="FootnoteReference"/>
        </w:rPr>
        <w:footnoteReference w:id="91"/>
      </w:r>
      <w:r w:rsidRPr="006E3DCA">
        <w:t xml:space="preserve"> </w:t>
      </w:r>
    </w:p>
    <w:p w:rsidR="00A27296" w:rsidRPr="006E3DCA" w:rsidRDefault="00A27296" w:rsidP="00A27296">
      <w:r w:rsidRPr="006E3DCA">
        <w:t xml:space="preserve">However, the Tribunal found that after determining the benchmark expenditure, the AER failed to consider whether a reasonable business in AusNet Services’ circumstances </w:t>
      </w:r>
      <w:r>
        <w:t>"</w:t>
      </w:r>
      <w:r w:rsidRPr="006E3DCA">
        <w:t>would have incurred no more than the benchmark expenditure</w:t>
      </w:r>
      <w:r>
        <w:t>"</w:t>
      </w:r>
      <w:r w:rsidRPr="006E3DCA">
        <w:t>.</w:t>
      </w:r>
      <w:r w:rsidRPr="006E3DCA">
        <w:rPr>
          <w:rStyle w:val="FootnoteReference"/>
        </w:rPr>
        <w:footnoteReference w:id="92"/>
      </w:r>
      <w:r w:rsidRPr="006E3DCA">
        <w:t xml:space="preserve"> </w:t>
      </w:r>
      <w:r>
        <w:t xml:space="preserve">The Tribunal considered </w:t>
      </w:r>
      <w:r w:rsidRPr="006E3DCA">
        <w:t>AusNet Services' circumstances were that of a business that had already embarked on its roll-out of WiMAX technology which was undertaken in light of the AER's earlier determination in which the AER accepted the costs associated with WiMAX as being prudent.</w:t>
      </w:r>
      <w:r w:rsidRPr="006E3DCA">
        <w:rPr>
          <w:rStyle w:val="FootnoteReference"/>
        </w:rPr>
        <w:footnoteReference w:id="93"/>
      </w:r>
      <w:r w:rsidRPr="006E3DCA">
        <w:t xml:space="preserve"> The Tribunal determined that the AER should have also considered the costs of switching to the new selected technology as well as the delays involved in retreating from the WiMAX communications technology the AER had first mandated.</w:t>
      </w:r>
      <w:r w:rsidRPr="006E3DCA">
        <w:rPr>
          <w:rStyle w:val="FootnoteReference"/>
        </w:rPr>
        <w:footnoteReference w:id="94"/>
      </w:r>
    </w:p>
    <w:p w:rsidR="00A27296" w:rsidRPr="006E3DCA" w:rsidRDefault="00A27296" w:rsidP="00A27296">
      <w:r w:rsidRPr="006E3DCA">
        <w:t>In the Amended AMI 2012</w:t>
      </w:r>
      <w:r w:rsidR="00091E5C">
        <w:t>–</w:t>
      </w:r>
      <w:r w:rsidRPr="006E3DCA">
        <w:t>15 Budget and Charges Final Determination (the Amended 2012-15 Determination) which was made pursuant to the Tribunals' orders, after completing a detailed quantitative analysis of forecast costs for WiMAX and mesh radio, the AER again found that a reasonable business in AusNet Services' circumstances would have decided to switch to mesh radio by 28 February 2011.</w:t>
      </w:r>
      <w:r w:rsidRPr="006E3DCA">
        <w:rPr>
          <w:rStyle w:val="FootnoteReference"/>
        </w:rPr>
        <w:footnoteReference w:id="95"/>
      </w:r>
      <w:r w:rsidRPr="006E3DCA">
        <w:rPr>
          <w:rStyle w:val="FootnoteReference"/>
        </w:rPr>
        <w:footnoteReference w:id="96"/>
      </w:r>
      <w:r w:rsidRPr="006E3DCA">
        <w:t xml:space="preserve"> The AER rejected the costs proposed by AusNet Services, which were based on continuing with WiMAX. Such costs were not considered prudent because incurring them would be a substantial departure from the commercial standard that a reasonable business would exercise in AusNet Services' circumstances.</w:t>
      </w:r>
      <w:r w:rsidRPr="006E3DCA">
        <w:rPr>
          <w:rStyle w:val="FootnoteReference"/>
        </w:rPr>
        <w:t xml:space="preserve"> </w:t>
      </w:r>
    </w:p>
    <w:p w:rsidR="00A27296" w:rsidRPr="006E3DCA" w:rsidRDefault="00A27296" w:rsidP="00A27296">
      <w:r>
        <w:t>However, i</w:t>
      </w:r>
      <w:r w:rsidRPr="006E3DCA">
        <w:t>n the Amended 2012</w:t>
      </w:r>
      <w:r w:rsidR="00091E5C">
        <w:t>–</w:t>
      </w:r>
      <w:r w:rsidRPr="006E3DCA">
        <w:t>15 Determination, the AER recognised that a reasonable business in AusNet Services' circ</w:t>
      </w:r>
      <w:r w:rsidR="00160B1D">
        <w:t xml:space="preserve">umstances as at 28 February 2011 </w:t>
      </w:r>
      <w:r w:rsidRPr="006E3DCA">
        <w:t xml:space="preserve">would incur costs to switch to mesh radio. Further, the AER found it was appropriate to allow cost recovery </w:t>
      </w:r>
      <w:r>
        <w:t xml:space="preserve">from customers </w:t>
      </w:r>
      <w:r w:rsidRPr="006E3DCA">
        <w:t>for switching costs to mesh for a business in AusNet Services circumstances in 28 February 2011. Th</w:t>
      </w:r>
      <w:r>
        <w:t>ese costs included</w:t>
      </w:r>
      <w:r w:rsidRPr="006E3DCA">
        <w:t xml:space="preserve"> network interface cards (NIC), antennas, NIC retrofits, WiMAX remediation and WiMAX inventory.</w:t>
      </w:r>
      <w:r w:rsidRPr="006E3DCA">
        <w:rPr>
          <w:rStyle w:val="FootnoteReference"/>
        </w:rPr>
        <w:footnoteReference w:id="97"/>
      </w:r>
      <w:r w:rsidRPr="006E3DCA">
        <w:t xml:space="preserve">  </w:t>
      </w:r>
    </w:p>
    <w:p w:rsidR="00A27296" w:rsidRDefault="00A27296" w:rsidP="00A27296">
      <w:r w:rsidRPr="006E3DCA">
        <w:t>However this did not result in the AER amending the 2012</w:t>
      </w:r>
      <w:r w:rsidR="00091E5C">
        <w:t>–</w:t>
      </w:r>
      <w:r w:rsidRPr="006E3DCA">
        <w:t xml:space="preserve">15 Budget because </w:t>
      </w:r>
      <w:r>
        <w:t xml:space="preserve">we found that the </w:t>
      </w:r>
      <w:r w:rsidRPr="006E3DCA">
        <w:t>Approved 2011 Budget was sufficient for a reasonable business in AusNet Services' circumstances to switch to mesh radio without requiring additional revenue in the 2012</w:t>
      </w:r>
      <w:r w:rsidR="00091E5C">
        <w:t>–</w:t>
      </w:r>
      <w:r w:rsidRPr="006E3DCA">
        <w:t xml:space="preserve">15 period. </w:t>
      </w:r>
      <w:r>
        <w:t>We found that</w:t>
      </w:r>
      <w:r w:rsidRPr="006E3DCA">
        <w:t xml:space="preserve"> "the lower mesh radio deployment costs would more than offset any switching costs the AER considers a reasonable business would incur in 2011"</w:t>
      </w:r>
      <w:r w:rsidRPr="006E3DCA">
        <w:rPr>
          <w:rStyle w:val="FootnoteReference"/>
        </w:rPr>
        <w:footnoteReference w:id="98"/>
      </w:r>
      <w:r w:rsidRPr="006E3DCA">
        <w:t>. Instead, the AER provided AusNet Services with an Amended AMI 2012</w:t>
      </w:r>
      <w:r w:rsidR="00091E5C">
        <w:t>–</w:t>
      </w:r>
      <w:r w:rsidRPr="006E3DCA">
        <w:t xml:space="preserve">15 Budget based on mesh-equivalent forecasts only. </w:t>
      </w:r>
    </w:p>
    <w:p w:rsidR="00A27296" w:rsidRPr="006E3DCA" w:rsidRDefault="00A27296" w:rsidP="00A27296">
      <w:r w:rsidRPr="006E3DCA">
        <w:t xml:space="preserve">The AER's Amended 2012-15 Determination was </w:t>
      </w:r>
      <w:r>
        <w:t xml:space="preserve">appealed by AusNet Services but subsequently </w:t>
      </w:r>
      <w:r w:rsidRPr="006E3DCA">
        <w:t>upheld by the Australian Competition Tribunal</w:t>
      </w:r>
      <w:r w:rsidRPr="006E3DCA">
        <w:rPr>
          <w:rStyle w:val="FootnoteReference"/>
        </w:rPr>
        <w:footnoteReference w:id="99"/>
      </w:r>
      <w:r w:rsidRPr="006E3DCA">
        <w:t xml:space="preserve"> and </w:t>
      </w:r>
      <w:r>
        <w:t xml:space="preserve">later </w:t>
      </w:r>
      <w:r w:rsidRPr="006E3DCA">
        <w:t>the Federal Court.</w:t>
      </w:r>
      <w:r w:rsidRPr="006E3DCA">
        <w:rPr>
          <w:rStyle w:val="FootnoteReference"/>
        </w:rPr>
        <w:footnoteReference w:id="100"/>
      </w:r>
    </w:p>
    <w:p w:rsidR="00A27296" w:rsidRPr="006E3DCA" w:rsidRDefault="00A27296" w:rsidP="00A27296">
      <w:pPr>
        <w:pStyle w:val="Heading8"/>
      </w:pPr>
      <w:bookmarkStart w:id="81" w:name="_Toc433704580"/>
      <w:r w:rsidRPr="006E3DCA">
        <w:t>Reasons for decision</w:t>
      </w:r>
      <w:bookmarkEnd w:id="81"/>
    </w:p>
    <w:p w:rsidR="00A27296" w:rsidRPr="006E3DCA" w:rsidRDefault="00A27296" w:rsidP="00A27296">
      <w:r w:rsidRPr="006E3DCA">
        <w:t>The current context is different from when the AER last considered the issue of mesh radio switching costs in the Amended 2012</w:t>
      </w:r>
      <w:r w:rsidR="00091E5C">
        <w:t>–</w:t>
      </w:r>
      <w:r w:rsidRPr="006E3DCA">
        <w:t>15 Determination. AusNet Services has now completed a full rollout of smart meters</w:t>
      </w:r>
      <w:r w:rsidRPr="006E3DCA">
        <w:rPr>
          <w:rStyle w:val="FootnoteReference"/>
        </w:rPr>
        <w:footnoteReference w:id="101"/>
      </w:r>
      <w:r w:rsidRPr="006E3DCA">
        <w:t xml:space="preserve"> using WiMAX/3G technologies</w:t>
      </w:r>
      <w:r w:rsidRPr="006E3DCA">
        <w:rPr>
          <w:rStyle w:val="FootnoteReference"/>
        </w:rPr>
        <w:footnoteReference w:id="102"/>
      </w:r>
      <w:r w:rsidRPr="006E3DCA">
        <w:t xml:space="preserve"> which does not accord with the AER's Amended AMI 2012</w:t>
      </w:r>
      <w:r w:rsidR="00091E5C">
        <w:t>–</w:t>
      </w:r>
      <w:r w:rsidRPr="006E3DCA">
        <w:t xml:space="preserve">15 Budget Final Determination, which was based on a mesh-benchmark equivalent. </w:t>
      </w:r>
    </w:p>
    <w:p w:rsidR="00A27296" w:rsidRPr="006E3DCA" w:rsidRDefault="00A27296" w:rsidP="00A27296">
      <w:r w:rsidRPr="006E3DCA">
        <w:t>Accordingly, the question that is now before the AER is whether AusNet Services' proposal for switching costs in the 2016</w:t>
      </w:r>
      <w:r w:rsidR="00091E5C">
        <w:t>–</w:t>
      </w:r>
      <w:r w:rsidRPr="006E3DCA">
        <w:t xml:space="preserve">20 </w:t>
      </w:r>
      <w:r w:rsidR="00160B1D">
        <w:t xml:space="preserve">regulatory control </w:t>
      </w:r>
      <w:r w:rsidRPr="006E3DCA">
        <w:t xml:space="preserve">period is prudent and efficient. </w:t>
      </w:r>
    </w:p>
    <w:p w:rsidR="00A27296" w:rsidRPr="006E3DCA" w:rsidRDefault="00A27296" w:rsidP="00A27296">
      <w:r w:rsidRPr="006E3DCA">
        <w:t>We assess this decision against the relevant revenue and pricing principles and with regard to AusNet Services' actual and expected capex related to AMI and previous AMI Budgets in the 2009</w:t>
      </w:r>
      <w:r w:rsidR="00091E5C">
        <w:t>–</w:t>
      </w:r>
      <w:r w:rsidRPr="006E3DCA">
        <w:t>11 and 2012–15 periods. We make this assessment with the objective of promoting efficient investment in, and efficient operation and use of, electricity services for the long term interests of electricity consumers.</w:t>
      </w:r>
      <w:r w:rsidRPr="006E3DCA">
        <w:rPr>
          <w:rStyle w:val="FootnoteReference"/>
        </w:rPr>
        <w:footnoteReference w:id="103"/>
      </w:r>
      <w:r w:rsidRPr="006E3DCA">
        <w:t xml:space="preserve"> </w:t>
      </w:r>
    </w:p>
    <w:p w:rsidR="00A27296" w:rsidRPr="001C6565" w:rsidRDefault="00A27296" w:rsidP="001C6565">
      <w:pPr>
        <w:pStyle w:val="Heading9"/>
        <w:rPr>
          <w:rStyle w:val="Strong"/>
          <w:b/>
          <w:bCs/>
        </w:rPr>
      </w:pPr>
      <w:bookmarkStart w:id="82" w:name="_Toc433704581"/>
      <w:r w:rsidRPr="001C6565">
        <w:rPr>
          <w:rStyle w:val="Strong"/>
          <w:b/>
          <w:bCs/>
        </w:rPr>
        <w:t>A return commensurate with the regulatory and commercial risks involved</w:t>
      </w:r>
      <w:bookmarkEnd w:id="82"/>
    </w:p>
    <w:p w:rsidR="00A27296" w:rsidRPr="006E3DCA" w:rsidRDefault="00A27296" w:rsidP="00A27296">
      <w:pPr>
        <w:rPr>
          <w:rStyle w:val="AERbody"/>
        </w:rPr>
      </w:pPr>
      <w:r w:rsidRPr="006E3DCA">
        <w:rPr>
          <w:rStyle w:val="AERbody"/>
        </w:rPr>
        <w:t xml:space="preserve">Revenue and pricing principle </w:t>
      </w:r>
      <w:proofErr w:type="gramStart"/>
      <w:r w:rsidRPr="006E3DCA">
        <w:rPr>
          <w:rStyle w:val="AERbody"/>
        </w:rPr>
        <w:t>7A(</w:t>
      </w:r>
      <w:proofErr w:type="gramEnd"/>
      <w:r w:rsidRPr="006E3DCA">
        <w:rPr>
          <w:rStyle w:val="AERbody"/>
        </w:rPr>
        <w:t>5) provides:</w:t>
      </w:r>
    </w:p>
    <w:p w:rsidR="00A27296" w:rsidRPr="006E3DCA" w:rsidRDefault="00A27296" w:rsidP="00A27296">
      <w:pPr>
        <w:pStyle w:val="AERquote"/>
        <w:rPr>
          <w:rStyle w:val="AERbody"/>
        </w:rPr>
      </w:pPr>
      <w:r w:rsidRPr="006E3DCA">
        <w:t>A price or charge for the provision of a direct control network service should allow for a return commensurate with the regulatory and commercial risks involved in providing the direct control network service to which that price or charge relates.</w:t>
      </w:r>
    </w:p>
    <w:p w:rsidR="00A27296" w:rsidRPr="006E3DCA" w:rsidRDefault="00A27296" w:rsidP="00A27296">
      <w:r w:rsidRPr="006E3DCA">
        <w:t>The direct control service in question is alternative control metering services.</w:t>
      </w:r>
    </w:p>
    <w:p w:rsidR="00A27296" w:rsidRPr="006E3DCA" w:rsidRDefault="00A27296" w:rsidP="00A27296">
      <w:r w:rsidRPr="006E3DCA">
        <w:t xml:space="preserve">All the Victorian businesses were tasked with the same requirements regarding the specifications and timeframes for the AMI rollout under the Order. Therefore, regulatory and commercial risks at the commencement of the AMI rollout were largely common across the businesses. </w:t>
      </w:r>
    </w:p>
    <w:p w:rsidR="00A27296" w:rsidRPr="006E3DCA" w:rsidRDefault="00A27296" w:rsidP="00A27296">
      <w:r w:rsidRPr="006E3DCA">
        <w:t xml:space="preserve">AusNet Services now finds itself in a unique position compared to the other businesses. To be clear, this is </w:t>
      </w:r>
      <w:r>
        <w:t xml:space="preserve">not </w:t>
      </w:r>
      <w:r w:rsidRPr="006E3DCA">
        <w:t>because they started with WiMAX communications technology</w:t>
      </w:r>
      <w:r>
        <w:t>;</w:t>
      </w:r>
      <w:r w:rsidRPr="006E3DCA">
        <w:t xml:space="preserve"> </w:t>
      </w:r>
      <w:r>
        <w:t>w</w:t>
      </w:r>
      <w:r w:rsidRPr="006E3DCA">
        <w:t>e consider that had AusNet Services switched to mesh radio earlier, it would be progressing onto a business-as-usual phase in the 2016</w:t>
      </w:r>
      <w:r w:rsidR="00091E5C">
        <w:t>–</w:t>
      </w:r>
      <w:r w:rsidRPr="006E3DCA">
        <w:t xml:space="preserve">20 regulatory </w:t>
      </w:r>
      <w:r w:rsidR="00160B1D">
        <w:t xml:space="preserve">control </w:t>
      </w:r>
      <w:proofErr w:type="gramStart"/>
      <w:r w:rsidRPr="006E3DCA">
        <w:t>period</w:t>
      </w:r>
      <w:proofErr w:type="gramEnd"/>
      <w:r>
        <w:t>,</w:t>
      </w:r>
      <w:r w:rsidRPr="006E3DCA">
        <w:t xml:space="preserve"> as the other Victorian distribution businesses are. AusNet Services is in a unique position because it delayed shifting from WiMAX well after </w:t>
      </w:r>
      <w:r>
        <w:t xml:space="preserve">the time we found </w:t>
      </w:r>
      <w:r w:rsidRPr="006E3DCA">
        <w:t>a reasonable business would have switched. In the Amended 2012-15 Determination, the AER noted:</w:t>
      </w:r>
      <w:r w:rsidRPr="006E3DCA">
        <w:rPr>
          <w:rStyle w:val="FootnoteReference"/>
        </w:rPr>
        <w:footnoteReference w:id="104"/>
      </w:r>
    </w:p>
    <w:p w:rsidR="00A27296" w:rsidRPr="006E3DCA" w:rsidRDefault="00A27296" w:rsidP="00A27296">
      <w:pPr>
        <w:pStyle w:val="AERquote"/>
      </w:pPr>
      <w:r w:rsidRPr="006E3DCA">
        <w:t xml:space="preserve">February 2011 would be the </w:t>
      </w:r>
      <w:r w:rsidRPr="006E3DCA">
        <w:rPr>
          <w:rStyle w:val="AERtextitalic"/>
        </w:rPr>
        <w:t>latest</w:t>
      </w:r>
      <w:r>
        <w:t xml:space="preserve"> date </w:t>
      </w:r>
      <w:proofErr w:type="gramStart"/>
      <w:r>
        <w:t>a</w:t>
      </w:r>
      <w:r w:rsidR="00B72AD7">
        <w:t xml:space="preserve"> </w:t>
      </w:r>
      <w:r w:rsidRPr="006E3DCA">
        <w:t>reconsideration</w:t>
      </w:r>
      <w:proofErr w:type="gramEnd"/>
      <w:r w:rsidRPr="006E3DCA">
        <w:t xml:space="preserve"> should have occurred. SP AusNet [AusNet Services] had several opportunities between July 2008 and February 2011 when it should have reviewed its options.</w:t>
      </w:r>
    </w:p>
    <w:p w:rsidR="00A27296" w:rsidRDefault="00A27296" w:rsidP="00A27296">
      <w:r w:rsidRPr="006E3DCA">
        <w:t xml:space="preserve">The delay in shifting from WiMAX </w:t>
      </w:r>
      <w:r>
        <w:t>after</w:t>
      </w:r>
      <w:r w:rsidRPr="006E3DCA">
        <w:t xml:space="preserve"> 28 Feb</w:t>
      </w:r>
      <w:r>
        <w:t>ruary</w:t>
      </w:r>
      <w:r w:rsidRPr="006E3DCA">
        <w:t xml:space="preserve"> 2011 was imprudent. Mesh radio switching costs increased with every additional smart meter using WiMAX or 3G that AusNet Services installed. This is because switching to mesh radio becomes increasingly expensive because there are more network interface cards that need to be retrofitted. </w:t>
      </w:r>
    </w:p>
    <w:p w:rsidR="00A27296" w:rsidRPr="006E3DCA" w:rsidRDefault="00A27296" w:rsidP="00A27296">
      <w:pPr>
        <w:pStyle w:val="Caption"/>
      </w:pPr>
      <w:proofErr w:type="gramStart"/>
      <w:r w:rsidRPr="006E3DCA">
        <w:t xml:space="preserve">Table </w:t>
      </w:r>
      <w:proofErr w:type="gramEnd"/>
      <w:r w:rsidR="006A670B">
        <w:fldChar w:fldCharType="begin"/>
      </w:r>
      <w:r w:rsidR="006A670B">
        <w:instrText xml:space="preserve"> STYLEREF 1 \s </w:instrText>
      </w:r>
      <w:r w:rsidR="006A670B">
        <w:fldChar w:fldCharType="separate"/>
      </w:r>
      <w:r w:rsidR="009E0EFD">
        <w:rPr>
          <w:noProof/>
        </w:rPr>
        <w:t>16</w:t>
      </w:r>
      <w:r w:rsidR="006A670B">
        <w:fldChar w:fldCharType="end"/>
      </w:r>
      <w:proofErr w:type="gramStart"/>
      <w:r w:rsidR="006A670B">
        <w:t>.</w:t>
      </w:r>
      <w:proofErr w:type="gramEnd"/>
      <w:r w:rsidR="006A670B">
        <w:fldChar w:fldCharType="begin"/>
      </w:r>
      <w:r w:rsidR="006A670B">
        <w:instrText xml:space="preserve"> SEQ Table \* ARABIC \s 1 </w:instrText>
      </w:r>
      <w:r w:rsidR="006A670B">
        <w:fldChar w:fldCharType="separate"/>
      </w:r>
      <w:r w:rsidR="009E0EFD">
        <w:rPr>
          <w:noProof/>
        </w:rPr>
        <w:t>17</w:t>
      </w:r>
      <w:r w:rsidR="006A670B">
        <w:fldChar w:fldCharType="end"/>
      </w:r>
      <w:r w:rsidR="00A03B76">
        <w:tab/>
      </w:r>
      <w:r w:rsidRPr="006E3DCA">
        <w:t>Running total of WiMAX/3G installations</w:t>
      </w:r>
    </w:p>
    <w:tbl>
      <w:tblPr>
        <w:tblStyle w:val="AERtable-numbers"/>
        <w:tblW w:w="0" w:type="auto"/>
        <w:tblLook w:val="04A0" w:firstRow="1" w:lastRow="0" w:firstColumn="1" w:lastColumn="0" w:noHBand="0" w:noVBand="1"/>
      </w:tblPr>
      <w:tblGrid>
        <w:gridCol w:w="2173"/>
        <w:gridCol w:w="2173"/>
        <w:gridCol w:w="2173"/>
        <w:gridCol w:w="2174"/>
      </w:tblGrid>
      <w:tr w:rsidR="00A27296" w:rsidTr="003039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A27296" w:rsidRPr="006E3DCA" w:rsidRDefault="00A27296" w:rsidP="00A27296"/>
        </w:tc>
        <w:tc>
          <w:tcPr>
            <w:tcW w:w="2173" w:type="dxa"/>
          </w:tcPr>
          <w:p w:rsidR="00A27296" w:rsidRPr="00A27296" w:rsidRDefault="00A27296" w:rsidP="00A27296">
            <w:pPr>
              <w:cnfStyle w:val="100000000000" w:firstRow="1" w:lastRow="0" w:firstColumn="0" w:lastColumn="0" w:oddVBand="0" w:evenVBand="0" w:oddHBand="0" w:evenHBand="0" w:firstRowFirstColumn="0" w:firstRowLastColumn="0" w:lastRowFirstColumn="0" w:lastRowLastColumn="0"/>
            </w:pPr>
            <w:r w:rsidRPr="006E3DCA">
              <w:t xml:space="preserve">WiMAX </w:t>
            </w:r>
          </w:p>
        </w:tc>
        <w:tc>
          <w:tcPr>
            <w:tcW w:w="2173" w:type="dxa"/>
          </w:tcPr>
          <w:p w:rsidR="00A27296" w:rsidRPr="00A27296" w:rsidRDefault="00A27296" w:rsidP="00A27296">
            <w:pPr>
              <w:cnfStyle w:val="100000000000" w:firstRow="1" w:lastRow="0" w:firstColumn="0" w:lastColumn="0" w:oddVBand="0" w:evenVBand="0" w:oddHBand="0" w:evenHBand="0" w:firstRowFirstColumn="0" w:firstRowLastColumn="0" w:lastRowFirstColumn="0" w:lastRowLastColumn="0"/>
            </w:pPr>
            <w:r w:rsidRPr="006E3DCA">
              <w:t>3G</w:t>
            </w:r>
          </w:p>
        </w:tc>
        <w:tc>
          <w:tcPr>
            <w:tcW w:w="2174" w:type="dxa"/>
          </w:tcPr>
          <w:p w:rsidR="00A27296" w:rsidRPr="00A27296" w:rsidRDefault="00A27296" w:rsidP="00A27296">
            <w:pPr>
              <w:cnfStyle w:val="100000000000" w:firstRow="1" w:lastRow="0" w:firstColumn="0" w:lastColumn="0" w:oddVBand="0" w:evenVBand="0" w:oddHBand="0" w:evenHBand="0" w:firstRowFirstColumn="0" w:firstRowLastColumn="0" w:lastRowFirstColumn="0" w:lastRowLastColumn="0"/>
            </w:pPr>
            <w:r w:rsidRPr="006E3DCA">
              <w:t>WiMAX/3G combined</w:t>
            </w:r>
          </w:p>
        </w:tc>
      </w:tr>
      <w:tr w:rsidR="00A27296" w:rsidTr="0030395C">
        <w:tc>
          <w:tcPr>
            <w:cnfStyle w:val="001000000000" w:firstRow="0" w:lastRow="0" w:firstColumn="1" w:lastColumn="0" w:oddVBand="0" w:evenVBand="0" w:oddHBand="0" w:evenHBand="0" w:firstRowFirstColumn="0" w:firstRowLastColumn="0" w:lastRowFirstColumn="0" w:lastRowLastColumn="0"/>
            <w:tcW w:w="2173" w:type="dxa"/>
          </w:tcPr>
          <w:p w:rsidR="00A27296" w:rsidRPr="00A27296" w:rsidRDefault="00A27296" w:rsidP="00A27296">
            <w:r w:rsidRPr="006E3DCA">
              <w:t xml:space="preserve">2010 </w:t>
            </w:r>
          </w:p>
        </w:tc>
        <w:tc>
          <w:tcPr>
            <w:tcW w:w="2173" w:type="dxa"/>
          </w:tcPr>
          <w:p w:rsidR="00A27296" w:rsidRPr="00A27296" w:rsidRDefault="00A27296" w:rsidP="00A27296">
            <w:pPr>
              <w:cnfStyle w:val="000000000000" w:firstRow="0" w:lastRow="0" w:firstColumn="0" w:lastColumn="0" w:oddVBand="0" w:evenVBand="0" w:oddHBand="0" w:evenHBand="0" w:firstRowFirstColumn="0" w:firstRowLastColumn="0" w:lastRowFirstColumn="0" w:lastRowLastColumn="0"/>
            </w:pPr>
            <w:r w:rsidRPr="006E3DCA">
              <w:t>59,270</w:t>
            </w:r>
          </w:p>
        </w:tc>
        <w:tc>
          <w:tcPr>
            <w:tcW w:w="2173" w:type="dxa"/>
          </w:tcPr>
          <w:p w:rsidR="00A27296" w:rsidRPr="00A27296" w:rsidRDefault="00A27296" w:rsidP="00A27296">
            <w:pPr>
              <w:cnfStyle w:val="000000000000" w:firstRow="0" w:lastRow="0" w:firstColumn="0" w:lastColumn="0" w:oddVBand="0" w:evenVBand="0" w:oddHBand="0" w:evenHBand="0" w:firstRowFirstColumn="0" w:firstRowLastColumn="0" w:lastRowFirstColumn="0" w:lastRowLastColumn="0"/>
            </w:pPr>
            <w:r w:rsidRPr="006E3DCA">
              <w:t>0</w:t>
            </w:r>
          </w:p>
        </w:tc>
        <w:tc>
          <w:tcPr>
            <w:tcW w:w="2174" w:type="dxa"/>
          </w:tcPr>
          <w:p w:rsidR="00A27296" w:rsidRPr="00A27296" w:rsidRDefault="00A27296" w:rsidP="00A27296">
            <w:pPr>
              <w:cnfStyle w:val="000000000000" w:firstRow="0" w:lastRow="0" w:firstColumn="0" w:lastColumn="0" w:oddVBand="0" w:evenVBand="0" w:oddHBand="0" w:evenHBand="0" w:firstRowFirstColumn="0" w:firstRowLastColumn="0" w:lastRowFirstColumn="0" w:lastRowLastColumn="0"/>
            </w:pPr>
            <w:r w:rsidRPr="006E3DCA">
              <w:t>59,270</w:t>
            </w:r>
          </w:p>
        </w:tc>
      </w:tr>
      <w:tr w:rsidR="00A27296" w:rsidTr="003039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A27296" w:rsidRPr="00A27296" w:rsidRDefault="00A27296" w:rsidP="00A27296">
            <w:r w:rsidRPr="006E3DCA">
              <w:t>2011</w:t>
            </w:r>
          </w:p>
        </w:tc>
        <w:tc>
          <w:tcPr>
            <w:tcW w:w="2173" w:type="dxa"/>
          </w:tcPr>
          <w:p w:rsidR="00A27296" w:rsidRPr="00A27296" w:rsidRDefault="00A27296" w:rsidP="00A27296">
            <w:pPr>
              <w:cnfStyle w:val="000000010000" w:firstRow="0" w:lastRow="0" w:firstColumn="0" w:lastColumn="0" w:oddVBand="0" w:evenVBand="0" w:oddHBand="0" w:evenHBand="1" w:firstRowFirstColumn="0" w:firstRowLastColumn="0" w:lastRowFirstColumn="0" w:lastRowLastColumn="0"/>
            </w:pPr>
            <w:r w:rsidRPr="006E3DCA">
              <w:t>130,574</w:t>
            </w:r>
          </w:p>
        </w:tc>
        <w:tc>
          <w:tcPr>
            <w:tcW w:w="2173" w:type="dxa"/>
          </w:tcPr>
          <w:p w:rsidR="00A27296" w:rsidRPr="00A27296" w:rsidRDefault="00A27296" w:rsidP="00A27296">
            <w:pPr>
              <w:cnfStyle w:val="000000010000" w:firstRow="0" w:lastRow="0" w:firstColumn="0" w:lastColumn="0" w:oddVBand="0" w:evenVBand="0" w:oddHBand="0" w:evenHBand="1" w:firstRowFirstColumn="0" w:firstRowLastColumn="0" w:lastRowFirstColumn="0" w:lastRowLastColumn="0"/>
            </w:pPr>
            <w:r w:rsidRPr="006E3DCA">
              <w:t>0</w:t>
            </w:r>
          </w:p>
        </w:tc>
        <w:tc>
          <w:tcPr>
            <w:tcW w:w="2174" w:type="dxa"/>
          </w:tcPr>
          <w:p w:rsidR="00A27296" w:rsidRPr="00A27296" w:rsidRDefault="00A27296" w:rsidP="00A27296">
            <w:pPr>
              <w:cnfStyle w:val="000000010000" w:firstRow="0" w:lastRow="0" w:firstColumn="0" w:lastColumn="0" w:oddVBand="0" w:evenVBand="0" w:oddHBand="0" w:evenHBand="1" w:firstRowFirstColumn="0" w:firstRowLastColumn="0" w:lastRowFirstColumn="0" w:lastRowLastColumn="0"/>
            </w:pPr>
            <w:r w:rsidRPr="006E3DCA">
              <w:t>130,574</w:t>
            </w:r>
          </w:p>
        </w:tc>
      </w:tr>
      <w:tr w:rsidR="00A27296" w:rsidTr="0030395C">
        <w:tc>
          <w:tcPr>
            <w:cnfStyle w:val="001000000000" w:firstRow="0" w:lastRow="0" w:firstColumn="1" w:lastColumn="0" w:oddVBand="0" w:evenVBand="0" w:oddHBand="0" w:evenHBand="0" w:firstRowFirstColumn="0" w:firstRowLastColumn="0" w:lastRowFirstColumn="0" w:lastRowLastColumn="0"/>
            <w:tcW w:w="2173" w:type="dxa"/>
          </w:tcPr>
          <w:p w:rsidR="00A27296" w:rsidRPr="00A27296" w:rsidRDefault="00A27296" w:rsidP="00A27296">
            <w:r w:rsidRPr="006E3DCA">
              <w:t xml:space="preserve">2012 </w:t>
            </w:r>
          </w:p>
        </w:tc>
        <w:tc>
          <w:tcPr>
            <w:tcW w:w="2173" w:type="dxa"/>
          </w:tcPr>
          <w:p w:rsidR="00A27296" w:rsidRPr="00A27296" w:rsidRDefault="00A27296" w:rsidP="00A27296">
            <w:pPr>
              <w:cnfStyle w:val="000000000000" w:firstRow="0" w:lastRow="0" w:firstColumn="0" w:lastColumn="0" w:oddVBand="0" w:evenVBand="0" w:oddHBand="0" w:evenHBand="0" w:firstRowFirstColumn="0" w:firstRowLastColumn="0" w:lastRowFirstColumn="0" w:lastRowLastColumn="0"/>
            </w:pPr>
            <w:r w:rsidRPr="006E3DCA">
              <w:t>339,782</w:t>
            </w:r>
          </w:p>
        </w:tc>
        <w:tc>
          <w:tcPr>
            <w:tcW w:w="2173" w:type="dxa"/>
          </w:tcPr>
          <w:p w:rsidR="00A27296" w:rsidRPr="00A27296" w:rsidRDefault="00A27296" w:rsidP="00A27296">
            <w:pPr>
              <w:cnfStyle w:val="000000000000" w:firstRow="0" w:lastRow="0" w:firstColumn="0" w:lastColumn="0" w:oddVBand="0" w:evenVBand="0" w:oddHBand="0" w:evenHBand="0" w:firstRowFirstColumn="0" w:firstRowLastColumn="0" w:lastRowFirstColumn="0" w:lastRowLastColumn="0"/>
            </w:pPr>
            <w:r w:rsidRPr="006E3DCA">
              <w:t>0</w:t>
            </w:r>
          </w:p>
        </w:tc>
        <w:tc>
          <w:tcPr>
            <w:tcW w:w="2174" w:type="dxa"/>
          </w:tcPr>
          <w:p w:rsidR="00A27296" w:rsidRPr="00A27296" w:rsidRDefault="00A27296" w:rsidP="00A27296">
            <w:pPr>
              <w:cnfStyle w:val="000000000000" w:firstRow="0" w:lastRow="0" w:firstColumn="0" w:lastColumn="0" w:oddVBand="0" w:evenVBand="0" w:oddHBand="0" w:evenHBand="0" w:firstRowFirstColumn="0" w:firstRowLastColumn="0" w:lastRowFirstColumn="0" w:lastRowLastColumn="0"/>
            </w:pPr>
            <w:r w:rsidRPr="006E3DCA">
              <w:t>339,782</w:t>
            </w:r>
          </w:p>
        </w:tc>
      </w:tr>
      <w:tr w:rsidR="00A27296" w:rsidTr="003039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A27296" w:rsidRPr="00A27296" w:rsidRDefault="00A27296" w:rsidP="00A27296">
            <w:r w:rsidRPr="006E3DCA">
              <w:t xml:space="preserve">2013 </w:t>
            </w:r>
          </w:p>
        </w:tc>
        <w:tc>
          <w:tcPr>
            <w:tcW w:w="2173" w:type="dxa"/>
          </w:tcPr>
          <w:p w:rsidR="00A27296" w:rsidRPr="00A27296" w:rsidRDefault="00A27296" w:rsidP="00A27296">
            <w:pPr>
              <w:cnfStyle w:val="000000010000" w:firstRow="0" w:lastRow="0" w:firstColumn="0" w:lastColumn="0" w:oddVBand="0" w:evenVBand="0" w:oddHBand="0" w:evenHBand="1" w:firstRowFirstColumn="0" w:firstRowLastColumn="0" w:lastRowFirstColumn="0" w:lastRowLastColumn="0"/>
            </w:pPr>
            <w:r w:rsidRPr="006E3DCA">
              <w:t>525,292</w:t>
            </w:r>
          </w:p>
        </w:tc>
        <w:tc>
          <w:tcPr>
            <w:tcW w:w="2173" w:type="dxa"/>
          </w:tcPr>
          <w:p w:rsidR="00A27296" w:rsidRPr="00A27296" w:rsidRDefault="00A27296" w:rsidP="00A27296">
            <w:pPr>
              <w:cnfStyle w:val="000000010000" w:firstRow="0" w:lastRow="0" w:firstColumn="0" w:lastColumn="0" w:oddVBand="0" w:evenVBand="0" w:oddHBand="0" w:evenHBand="1" w:firstRowFirstColumn="0" w:firstRowLastColumn="0" w:lastRowFirstColumn="0" w:lastRowLastColumn="0"/>
            </w:pPr>
            <w:r w:rsidRPr="006E3DCA">
              <w:t>109</w:t>
            </w:r>
          </w:p>
        </w:tc>
        <w:tc>
          <w:tcPr>
            <w:tcW w:w="2174" w:type="dxa"/>
          </w:tcPr>
          <w:p w:rsidR="00A27296" w:rsidRPr="00A27296" w:rsidRDefault="00A27296" w:rsidP="00A27296">
            <w:pPr>
              <w:cnfStyle w:val="000000010000" w:firstRow="0" w:lastRow="0" w:firstColumn="0" w:lastColumn="0" w:oddVBand="0" w:evenVBand="0" w:oddHBand="0" w:evenHBand="1" w:firstRowFirstColumn="0" w:firstRowLastColumn="0" w:lastRowFirstColumn="0" w:lastRowLastColumn="0"/>
            </w:pPr>
            <w:r w:rsidRPr="006E3DCA">
              <w:t>525,401</w:t>
            </w:r>
          </w:p>
        </w:tc>
      </w:tr>
      <w:tr w:rsidR="00A27296" w:rsidTr="0030395C">
        <w:tc>
          <w:tcPr>
            <w:cnfStyle w:val="001000000000" w:firstRow="0" w:lastRow="0" w:firstColumn="1" w:lastColumn="0" w:oddVBand="0" w:evenVBand="0" w:oddHBand="0" w:evenHBand="0" w:firstRowFirstColumn="0" w:firstRowLastColumn="0" w:lastRowFirstColumn="0" w:lastRowLastColumn="0"/>
            <w:tcW w:w="2173" w:type="dxa"/>
          </w:tcPr>
          <w:p w:rsidR="00A27296" w:rsidRPr="00A27296" w:rsidRDefault="00A27296" w:rsidP="00A27296">
            <w:r w:rsidRPr="006E3DCA">
              <w:t xml:space="preserve">2014 </w:t>
            </w:r>
          </w:p>
        </w:tc>
        <w:tc>
          <w:tcPr>
            <w:tcW w:w="2173" w:type="dxa"/>
          </w:tcPr>
          <w:p w:rsidR="00A27296" w:rsidRPr="00A27296" w:rsidRDefault="00A27296" w:rsidP="00A27296">
            <w:pPr>
              <w:cnfStyle w:val="000000000000" w:firstRow="0" w:lastRow="0" w:firstColumn="0" w:lastColumn="0" w:oddVBand="0" w:evenVBand="0" w:oddHBand="0" w:evenHBand="0" w:firstRowFirstColumn="0" w:firstRowLastColumn="0" w:lastRowFirstColumn="0" w:lastRowLastColumn="0"/>
            </w:pPr>
            <w:r w:rsidRPr="006E3DCA">
              <w:t>583,437</w:t>
            </w:r>
          </w:p>
        </w:tc>
        <w:tc>
          <w:tcPr>
            <w:tcW w:w="2173" w:type="dxa"/>
          </w:tcPr>
          <w:p w:rsidR="00A27296" w:rsidRPr="00A27296" w:rsidRDefault="00A27296" w:rsidP="00A27296">
            <w:pPr>
              <w:cnfStyle w:val="000000000000" w:firstRow="0" w:lastRow="0" w:firstColumn="0" w:lastColumn="0" w:oddVBand="0" w:evenVBand="0" w:oddHBand="0" w:evenHBand="0" w:firstRowFirstColumn="0" w:firstRowLastColumn="0" w:lastRowFirstColumn="0" w:lastRowLastColumn="0"/>
            </w:pPr>
            <w:r w:rsidRPr="006E3DCA">
              <w:t>86,717</w:t>
            </w:r>
          </w:p>
        </w:tc>
        <w:tc>
          <w:tcPr>
            <w:tcW w:w="2174" w:type="dxa"/>
          </w:tcPr>
          <w:p w:rsidR="00A27296" w:rsidRPr="00A27296" w:rsidRDefault="00A27296" w:rsidP="00A27296">
            <w:pPr>
              <w:cnfStyle w:val="000000000000" w:firstRow="0" w:lastRow="0" w:firstColumn="0" w:lastColumn="0" w:oddVBand="0" w:evenVBand="0" w:oddHBand="0" w:evenHBand="0" w:firstRowFirstColumn="0" w:firstRowLastColumn="0" w:lastRowFirstColumn="0" w:lastRowLastColumn="0"/>
            </w:pPr>
            <w:r w:rsidRPr="006E3DCA">
              <w:t>670,154</w:t>
            </w:r>
          </w:p>
        </w:tc>
      </w:tr>
    </w:tbl>
    <w:p w:rsidR="00A27296" w:rsidRPr="006E3DCA" w:rsidRDefault="00A27296" w:rsidP="00A27296">
      <w:pPr>
        <w:pStyle w:val="AERtablesource"/>
      </w:pPr>
      <w:r w:rsidRPr="006E3DCA">
        <w:t xml:space="preserve">Source: AER analysis, based on data from AusNet Services, </w:t>
      </w:r>
      <w:r w:rsidRPr="0071094E">
        <w:rPr>
          <w:rStyle w:val="AERtextitalic"/>
        </w:rPr>
        <w:t>Regulatory Proposal 2016–20</w:t>
      </w:r>
      <w:r>
        <w:rPr>
          <w:rStyle w:val="AERtextitalic"/>
        </w:rPr>
        <w:t xml:space="preserve">, </w:t>
      </w:r>
      <w:r w:rsidRPr="0071094E">
        <w:rPr>
          <w:rStyle w:val="AERtextitalic"/>
        </w:rPr>
        <w:t>Meter Asset Management Strategy (PUBLIC), Part 2 Meter Communications Module</w:t>
      </w:r>
      <w:r w:rsidRPr="006E3DCA">
        <w:t>,</w:t>
      </w:r>
      <w:r>
        <w:t xml:space="preserve"> April 2015,</w:t>
      </w:r>
      <w:r w:rsidRPr="006E3DCA">
        <w:t xml:space="preserve"> p. 11, Table 3. </w:t>
      </w:r>
    </w:p>
    <w:p w:rsidR="00A27296" w:rsidRPr="006E3DCA" w:rsidRDefault="00A27296" w:rsidP="00A27296">
      <w:r w:rsidRPr="006E3DCA">
        <w:t>AusNet Services' NIC retrofit forecast in 2016–20 ($</w:t>
      </w:r>
      <w:r>
        <w:t>71.5</w:t>
      </w:r>
      <w:r w:rsidRPr="006E3DCA">
        <w:t xml:space="preserve"> million)</w:t>
      </w:r>
      <w:r>
        <w:t>,</w:t>
      </w:r>
      <w:r w:rsidRPr="006E3DCA">
        <w:t xml:space="preserve"> </w:t>
      </w:r>
      <w:r>
        <w:t>now that</w:t>
      </w:r>
      <w:r w:rsidRPr="006E3DCA">
        <w:t xml:space="preserve"> the rollout is complete</w:t>
      </w:r>
      <w:r>
        <w:t>,</w:t>
      </w:r>
      <w:r w:rsidRPr="006E3DCA">
        <w:t xml:space="preserve"> is significantly higher than both the AER's estimate ($1.3 million</w:t>
      </w:r>
      <w:r w:rsidRPr="006E3DCA">
        <w:rPr>
          <w:rStyle w:val="FootnoteReference"/>
        </w:rPr>
        <w:footnoteReference w:id="105"/>
      </w:r>
      <w:r w:rsidRPr="006E3DCA">
        <w:t>) and AusNet Services' estimate ($19.8 million</w:t>
      </w:r>
      <w:r w:rsidRPr="006E3DCA">
        <w:rPr>
          <w:rStyle w:val="FootnoteReference"/>
        </w:rPr>
        <w:footnoteReference w:id="106"/>
      </w:r>
      <w:r w:rsidRPr="006E3DCA">
        <w:t>) for NIC retrofits in 2011. This reflects the fact that in 2011, the rollout was still in its initial phases and only ramped up in subsequent years.</w:t>
      </w:r>
    </w:p>
    <w:p w:rsidR="00A27296" w:rsidRPr="006E3DCA" w:rsidRDefault="00A27296" w:rsidP="00A27296">
      <w:r w:rsidRPr="006E3DCA">
        <w:t>The Amended 2012</w:t>
      </w:r>
      <w:r w:rsidR="00091E5C">
        <w:t>–</w:t>
      </w:r>
      <w:r w:rsidRPr="006E3DCA">
        <w:t>15 Determination provided for cost recovery based on mesh-benchmarked equivalent, with switching costs provided for in 2011, whereas AusNet</w:t>
      </w:r>
      <w:r w:rsidR="00160B1D">
        <w:t xml:space="preserve"> Services</w:t>
      </w:r>
      <w:r w:rsidRPr="006E3DCA">
        <w:t xml:space="preserve"> continue</w:t>
      </w:r>
      <w:r>
        <w:t>d</w:t>
      </w:r>
      <w:r w:rsidRPr="006E3DCA">
        <w:t xml:space="preserve"> to roll out </w:t>
      </w:r>
      <w:r>
        <w:t>the higher cost</w:t>
      </w:r>
      <w:r w:rsidRPr="00125C7F">
        <w:rPr>
          <w:rStyle w:val="FootnoteReference"/>
        </w:rPr>
        <w:footnoteReference w:id="107"/>
      </w:r>
      <w:r>
        <w:t xml:space="preserve"> </w:t>
      </w:r>
      <w:r w:rsidRPr="006E3DCA">
        <w:t>WiMAX</w:t>
      </w:r>
      <w:r>
        <w:t xml:space="preserve"> technology in spite of </w:t>
      </w:r>
      <w:r w:rsidRPr="006E3DCA">
        <w:t xml:space="preserve">the Amended 2012–15 Determination. The prudent option to switch to mesh radio has always been available to AusNet Services. </w:t>
      </w:r>
    </w:p>
    <w:p w:rsidR="00A27296" w:rsidRPr="006E3DCA" w:rsidRDefault="00920D54" w:rsidP="00A27296">
      <w:r>
        <w:t>It</w:t>
      </w:r>
      <w:r w:rsidR="00A27296" w:rsidRPr="006E3DCA">
        <w:t xml:space="preserve"> would not be an appropriate allocation of risk to make AusNet Services' customers bear the consequences of risks that AusNet Services knowingly undertook when it could have reasonably avoided it. </w:t>
      </w:r>
    </w:p>
    <w:p w:rsidR="00894019" w:rsidRDefault="00894019">
      <w:pPr>
        <w:spacing w:line="240" w:lineRule="auto"/>
        <w:rPr>
          <w:rStyle w:val="Strong"/>
        </w:rPr>
      </w:pPr>
      <w:r>
        <w:rPr>
          <w:rStyle w:val="Strong"/>
        </w:rPr>
        <w:br w:type="page"/>
      </w:r>
    </w:p>
    <w:p w:rsidR="00A27296" w:rsidRPr="001C6565" w:rsidRDefault="00A27296" w:rsidP="001C6565">
      <w:pPr>
        <w:pStyle w:val="HeadingBoldItalic"/>
        <w:rPr>
          <w:rStyle w:val="Strong"/>
          <w:b/>
          <w:bCs/>
        </w:rPr>
      </w:pPr>
      <w:r w:rsidRPr="001C6565">
        <w:rPr>
          <w:rStyle w:val="Strong"/>
          <w:b/>
          <w:bCs/>
        </w:rPr>
        <w:t>A reasonable opportunity to recover at least the efficient costs</w:t>
      </w:r>
    </w:p>
    <w:p w:rsidR="00A27296" w:rsidRPr="006E3DCA" w:rsidRDefault="00A27296" w:rsidP="00A27296">
      <w:pPr>
        <w:rPr>
          <w:rStyle w:val="AERbody"/>
        </w:rPr>
      </w:pPr>
      <w:r w:rsidRPr="006E3DCA">
        <w:rPr>
          <w:rStyle w:val="AERbody"/>
        </w:rPr>
        <w:t xml:space="preserve">Revenue and pricing principle </w:t>
      </w:r>
      <w:proofErr w:type="gramStart"/>
      <w:r w:rsidRPr="006E3DCA">
        <w:rPr>
          <w:rStyle w:val="AERbody"/>
        </w:rPr>
        <w:t>7A(</w:t>
      </w:r>
      <w:proofErr w:type="gramEnd"/>
      <w:r w:rsidRPr="006E3DCA">
        <w:rPr>
          <w:rStyle w:val="AERbody"/>
        </w:rPr>
        <w:t>2) provides:</w:t>
      </w:r>
    </w:p>
    <w:p w:rsidR="00A27296" w:rsidRPr="006E3DCA" w:rsidRDefault="00A27296" w:rsidP="00A27296">
      <w:pPr>
        <w:pStyle w:val="AERquote"/>
      </w:pPr>
      <w:r w:rsidRPr="006E3DCA">
        <w:t xml:space="preserve">A regulated network service provider should be provided with a reasonable opportunity to recover at least the efficient costs the operator incurs in— </w:t>
      </w:r>
    </w:p>
    <w:p w:rsidR="00A27296" w:rsidRPr="006E3DCA" w:rsidRDefault="00A27296" w:rsidP="00A27296">
      <w:pPr>
        <w:pStyle w:val="AERquote"/>
      </w:pPr>
      <w:r w:rsidRPr="006E3DCA">
        <w:t xml:space="preserve">(a) </w:t>
      </w:r>
      <w:proofErr w:type="gramStart"/>
      <w:r w:rsidRPr="006E3DCA">
        <w:t>providing</w:t>
      </w:r>
      <w:proofErr w:type="gramEnd"/>
      <w:r w:rsidRPr="006E3DCA">
        <w:t xml:space="preserve"> direct control network services; and </w:t>
      </w:r>
    </w:p>
    <w:p w:rsidR="00A27296" w:rsidRPr="006E3DCA" w:rsidRDefault="00A27296" w:rsidP="00A27296">
      <w:pPr>
        <w:pStyle w:val="AERquote"/>
      </w:pPr>
      <w:r w:rsidRPr="006E3DCA">
        <w:t xml:space="preserve">(b) </w:t>
      </w:r>
      <w:proofErr w:type="gramStart"/>
      <w:r w:rsidRPr="006E3DCA">
        <w:t>complying</w:t>
      </w:r>
      <w:proofErr w:type="gramEnd"/>
      <w:r w:rsidRPr="006E3DCA">
        <w:t xml:space="preserve"> with a regulatory obligation or requirement or making a regulatory payment.</w:t>
      </w:r>
    </w:p>
    <w:p w:rsidR="00A27296" w:rsidRPr="006E3DCA" w:rsidRDefault="00A27296" w:rsidP="00A27296">
      <w:r w:rsidRPr="006E3DCA">
        <w:t>The AER approved AMI Budgets for 2009</w:t>
      </w:r>
      <w:r w:rsidR="00091E5C">
        <w:t>–</w:t>
      </w:r>
      <w:r w:rsidRPr="006E3DCA">
        <w:t>11 and 2012</w:t>
      </w:r>
      <w:r w:rsidR="00091E5C">
        <w:t>–</w:t>
      </w:r>
      <w:r w:rsidRPr="006E3DCA">
        <w:t>15 periods that provided AusNet Services a reasonable opportunity to recover at least the efficient costs of providing metering services. In particular, the 2009</w:t>
      </w:r>
      <w:r w:rsidR="00091E5C">
        <w:t>–</w:t>
      </w:r>
      <w:r w:rsidRPr="006E3DCA">
        <w:t>11 Budget was sufficient for AusNet Services to have switched to mesh radio within budget, because the switching costs would have been offset by the lower mesh costs.</w:t>
      </w:r>
      <w:r w:rsidRPr="006E3DCA">
        <w:rPr>
          <w:rStyle w:val="FootnoteReference"/>
        </w:rPr>
        <w:footnoteReference w:id="108"/>
      </w:r>
      <w:r w:rsidRPr="006E3DCA">
        <w:t xml:space="preserve"> The 2012–15 Budget provided for prudent and efficient cost recovery to complete the AMI rollout and provide metering services using mesh radio. </w:t>
      </w:r>
    </w:p>
    <w:p w:rsidR="00A27296" w:rsidRPr="006E3DCA" w:rsidRDefault="00A27296" w:rsidP="00A27296">
      <w:r>
        <w:t xml:space="preserve">The AER provided </w:t>
      </w:r>
      <w:r w:rsidRPr="006E3DCA">
        <w:t>AusNet Services</w:t>
      </w:r>
      <w:r>
        <w:t xml:space="preserve"> an opportunity to recover its efficient costs in its </w:t>
      </w:r>
      <w:r w:rsidR="00283227" w:rsidRPr="006E3DCA">
        <w:t>Amended 2012</w:t>
      </w:r>
      <w:r w:rsidR="00091E5C">
        <w:t>–</w:t>
      </w:r>
      <w:r w:rsidR="00283227" w:rsidRPr="006E3DCA">
        <w:t>15 Determination</w:t>
      </w:r>
      <w:r w:rsidR="00283227">
        <w:t>.</w:t>
      </w:r>
      <w:r w:rsidR="00283227" w:rsidRPr="006E3DCA">
        <w:t xml:space="preserve"> </w:t>
      </w:r>
      <w:r>
        <w:t xml:space="preserve">Customers should not be required to fund the consequences of </w:t>
      </w:r>
      <w:r w:rsidRPr="006E3DCA">
        <w:t>AusNet Services</w:t>
      </w:r>
      <w:r>
        <w:t>' decision to delay the conversion to mesh radio communications.</w:t>
      </w:r>
      <w:r w:rsidRPr="006E3DCA">
        <w:t xml:space="preserve"> </w:t>
      </w:r>
      <w:r>
        <w:t>T</w:t>
      </w:r>
      <w:r w:rsidRPr="006E3DCA">
        <w:t xml:space="preserve">he Consumer Challenge Panel </w:t>
      </w:r>
      <w:r>
        <w:t>made a similar point in its submission that</w:t>
      </w:r>
      <w:r w:rsidRPr="006E3DCA">
        <w:t xml:space="preserve"> customers have "already paid sufficiently for a full roll</w:t>
      </w:r>
      <w:r w:rsidRPr="00A27296">
        <w:rPr>
          <w:rFonts w:ascii="Cambria Math" w:hAnsi="Cambria Math" w:cs="Cambria Math"/>
        </w:rPr>
        <w:t>‐</w:t>
      </w:r>
      <w:r w:rsidRPr="006E3DCA">
        <w:t>out as would be implemented by a reasonable business."</w:t>
      </w:r>
      <w:r w:rsidRPr="006E3DCA">
        <w:rPr>
          <w:rStyle w:val="FootnoteReference"/>
        </w:rPr>
        <w:footnoteReference w:id="109"/>
      </w:r>
    </w:p>
    <w:p w:rsidR="00A27296" w:rsidRPr="006E3DCA" w:rsidRDefault="00A27296" w:rsidP="00A27296">
      <w:r>
        <w:t>Our decision is to find that</w:t>
      </w:r>
      <w:r w:rsidRPr="006E3DCA">
        <w:t xml:space="preserve"> the efficient forecast for the 2016</w:t>
      </w:r>
      <w:r>
        <w:t>–</w:t>
      </w:r>
      <w:r w:rsidRPr="006E3DCA">
        <w:t xml:space="preserve">20 </w:t>
      </w:r>
      <w:proofErr w:type="gramStart"/>
      <w:r w:rsidRPr="006E3DCA">
        <w:t>period</w:t>
      </w:r>
      <w:proofErr w:type="gramEnd"/>
      <w:r w:rsidRPr="006E3DCA">
        <w:t xml:space="preserve"> should be based on expenditure for business-as-usual metering services only and not provide for an additional $</w:t>
      </w:r>
      <w:r>
        <w:t xml:space="preserve">100.7 </w:t>
      </w:r>
      <w:r w:rsidRPr="006E3DCA">
        <w:t xml:space="preserve">million in switching costs. </w:t>
      </w:r>
    </w:p>
    <w:p w:rsidR="00A27296" w:rsidRPr="001C6565" w:rsidRDefault="00A27296" w:rsidP="001C6565">
      <w:pPr>
        <w:pStyle w:val="HeadingBoldItalic"/>
        <w:rPr>
          <w:rStyle w:val="Strong"/>
          <w:b/>
          <w:bCs/>
        </w:rPr>
      </w:pPr>
      <w:r w:rsidRPr="001C6565">
        <w:rPr>
          <w:rStyle w:val="Strong"/>
          <w:b/>
          <w:bCs/>
        </w:rPr>
        <w:t>Effective incentives to promote economic efficiency</w:t>
      </w:r>
    </w:p>
    <w:p w:rsidR="00A27296" w:rsidRPr="006E3DCA" w:rsidRDefault="00A27296" w:rsidP="00A27296">
      <w:pPr>
        <w:rPr>
          <w:rStyle w:val="AERbody"/>
        </w:rPr>
      </w:pPr>
      <w:r w:rsidRPr="006E3DCA">
        <w:rPr>
          <w:rStyle w:val="AERbody"/>
        </w:rPr>
        <w:t xml:space="preserve">Revenue and pricing principle </w:t>
      </w:r>
      <w:proofErr w:type="gramStart"/>
      <w:r w:rsidRPr="006E3DCA">
        <w:rPr>
          <w:rStyle w:val="AERbody"/>
        </w:rPr>
        <w:t>7A(</w:t>
      </w:r>
      <w:proofErr w:type="gramEnd"/>
      <w:r w:rsidRPr="006E3DCA">
        <w:rPr>
          <w:rStyle w:val="AERbody"/>
        </w:rPr>
        <w:t>3) provides:</w:t>
      </w:r>
    </w:p>
    <w:p w:rsidR="00A27296" w:rsidRPr="006E3DCA" w:rsidRDefault="00A27296" w:rsidP="00A27296">
      <w:pPr>
        <w:pStyle w:val="AERquote"/>
      </w:pPr>
      <w:r w:rsidRPr="006E3DCA">
        <w:t xml:space="preserve">A regulated network service provider should be provided with effective incentives in order to promote economic efficiency with respect to direct control network services the operator provides. The economic efficiency that should be promoted includes— </w:t>
      </w:r>
    </w:p>
    <w:p w:rsidR="00A27296" w:rsidRPr="006E3DCA" w:rsidRDefault="00A27296" w:rsidP="00A27296">
      <w:pPr>
        <w:pStyle w:val="AERquote"/>
      </w:pPr>
      <w:r w:rsidRPr="006E3DCA">
        <w:t xml:space="preserve">(a) </w:t>
      </w:r>
      <w:proofErr w:type="gramStart"/>
      <w:r w:rsidRPr="006E3DCA">
        <w:t>efficient</w:t>
      </w:r>
      <w:proofErr w:type="gramEnd"/>
      <w:r w:rsidRPr="006E3DCA">
        <w:t xml:space="preserve"> investment in a distribution system or transmission system with which the operator provides direct control network services; and </w:t>
      </w:r>
    </w:p>
    <w:p w:rsidR="00A27296" w:rsidRPr="006E3DCA" w:rsidRDefault="00A27296" w:rsidP="00A27296">
      <w:pPr>
        <w:pStyle w:val="AERquote"/>
      </w:pPr>
      <w:r w:rsidRPr="006E3DCA">
        <w:t xml:space="preserve">(b) </w:t>
      </w:r>
      <w:proofErr w:type="gramStart"/>
      <w:r w:rsidRPr="006E3DCA">
        <w:t>the</w:t>
      </w:r>
      <w:proofErr w:type="gramEnd"/>
      <w:r w:rsidRPr="006E3DCA">
        <w:t xml:space="preserve"> efficient provision of electricity network services; and </w:t>
      </w:r>
    </w:p>
    <w:p w:rsidR="00A27296" w:rsidRPr="006E3DCA" w:rsidRDefault="00A27296" w:rsidP="00A27296">
      <w:pPr>
        <w:pStyle w:val="AERquote"/>
        <w:rPr>
          <w:rStyle w:val="AERbody"/>
        </w:rPr>
      </w:pPr>
      <w:r w:rsidRPr="006E3DCA">
        <w:t xml:space="preserve">(c) </w:t>
      </w:r>
      <w:proofErr w:type="gramStart"/>
      <w:r w:rsidRPr="006E3DCA">
        <w:t>the</w:t>
      </w:r>
      <w:proofErr w:type="gramEnd"/>
      <w:r w:rsidRPr="006E3DCA">
        <w:t xml:space="preserve"> efficient use of the distribution system or transmission system with which the operator provides direct control network services.</w:t>
      </w:r>
    </w:p>
    <w:p w:rsidR="00A27296" w:rsidRPr="006E3DCA" w:rsidRDefault="00A27296" w:rsidP="00A27296">
      <w:pPr>
        <w:rPr>
          <w:rStyle w:val="AERbody"/>
        </w:rPr>
      </w:pPr>
      <w:r w:rsidRPr="006E3DCA">
        <w:t xml:space="preserve">By </w:t>
      </w:r>
      <w:r>
        <w:t>delaying its conversion to radio mesh communications</w:t>
      </w:r>
      <w:r w:rsidRPr="006E3DCA">
        <w:t xml:space="preserve">, AusNet Services has acted out of step with </w:t>
      </w:r>
      <w:r w:rsidRPr="006E3DCA">
        <w:rPr>
          <w:rStyle w:val="AERbody"/>
        </w:rPr>
        <w:t>the commercial standard</w:t>
      </w:r>
      <w:r w:rsidRPr="006E3DCA">
        <w:rPr>
          <w:rStyle w:val="FootnoteReference"/>
        </w:rPr>
        <w:footnoteReference w:id="110"/>
      </w:r>
      <w:r w:rsidRPr="006E3DCA">
        <w:rPr>
          <w:rStyle w:val="AERbody"/>
        </w:rPr>
        <w:t xml:space="preserve">, the views of the AER and the Tribunal. </w:t>
      </w:r>
    </w:p>
    <w:p w:rsidR="00A27296" w:rsidRPr="006E3DCA" w:rsidRDefault="00A27296" w:rsidP="00A27296">
      <w:r w:rsidRPr="006E3DCA">
        <w:rPr>
          <w:rStyle w:val="AERbody"/>
        </w:rPr>
        <w:t>AusNet Services is proposing a WiMAX/3G replacement program at a time that will incur high switching costs b</w:t>
      </w:r>
      <w:r w:rsidR="00283227">
        <w:rPr>
          <w:rStyle w:val="AERbody"/>
        </w:rPr>
        <w:t>ecause it has dela</w:t>
      </w:r>
      <w:r w:rsidRPr="006E3DCA">
        <w:rPr>
          <w:rStyle w:val="AERbody"/>
        </w:rPr>
        <w:t>y</w:t>
      </w:r>
      <w:r w:rsidR="00283227">
        <w:rPr>
          <w:rStyle w:val="AERbody"/>
        </w:rPr>
        <w:t>ed</w:t>
      </w:r>
      <w:r w:rsidRPr="006E3DCA">
        <w:rPr>
          <w:rStyle w:val="AERbody"/>
        </w:rPr>
        <w:t xml:space="preserve"> switch</w:t>
      </w:r>
      <w:r w:rsidR="00283227">
        <w:rPr>
          <w:rStyle w:val="AERbody"/>
        </w:rPr>
        <w:t>ing</w:t>
      </w:r>
      <w:r w:rsidRPr="006E3DCA">
        <w:rPr>
          <w:rStyle w:val="AERbody"/>
        </w:rPr>
        <w:t xml:space="preserve"> until after completing its AMI rollout. </w:t>
      </w:r>
      <w:r>
        <w:rPr>
          <w:rStyle w:val="AERbody"/>
        </w:rPr>
        <w:t xml:space="preserve">The proposed switching costs in the 2016–20 regulatory </w:t>
      </w:r>
      <w:r w:rsidR="00160B1D">
        <w:rPr>
          <w:rStyle w:val="AERbody"/>
        </w:rPr>
        <w:t xml:space="preserve">control </w:t>
      </w:r>
      <w:proofErr w:type="gramStart"/>
      <w:r>
        <w:rPr>
          <w:rStyle w:val="AERbody"/>
        </w:rPr>
        <w:t>period</w:t>
      </w:r>
      <w:proofErr w:type="gramEnd"/>
      <w:r>
        <w:rPr>
          <w:rStyle w:val="AERbody"/>
        </w:rPr>
        <w:t xml:space="preserve"> are not prudent because a reasonable business is AusNet Services' circumstances would have completed switching by the end of 2011</w:t>
      </w:r>
      <w:r w:rsidRPr="00143A2E">
        <w:rPr>
          <w:rStyle w:val="FootnoteReference"/>
        </w:rPr>
        <w:footnoteReference w:id="111"/>
      </w:r>
      <w:r w:rsidRPr="00143A2E">
        <w:rPr>
          <w:rStyle w:val="AERbody"/>
        </w:rPr>
        <w:t xml:space="preserve"> </w:t>
      </w:r>
      <w:r w:rsidR="00160B1D">
        <w:rPr>
          <w:rStyle w:val="AERbody"/>
        </w:rPr>
        <w:t xml:space="preserve">and </w:t>
      </w:r>
      <w:r>
        <w:rPr>
          <w:rStyle w:val="AERbody"/>
        </w:rPr>
        <w:t>w</w:t>
      </w:r>
      <w:r w:rsidRPr="006E3DCA">
        <w:rPr>
          <w:rStyle w:val="AERbody"/>
        </w:rPr>
        <w:t>ithin the 2009-11 approved AMI budget</w:t>
      </w:r>
      <w:r>
        <w:rPr>
          <w:rStyle w:val="AERbody"/>
        </w:rPr>
        <w:t>.</w:t>
      </w:r>
      <w:r>
        <w:rPr>
          <w:rStyle w:val="FootnoteReference"/>
        </w:rPr>
        <w:footnoteReference w:id="112"/>
      </w:r>
      <w:r w:rsidRPr="006E3DCA">
        <w:rPr>
          <w:rStyle w:val="AERbody"/>
        </w:rPr>
        <w:t xml:space="preserve"> Also, it only made this decision after</w:t>
      </w:r>
      <w:r>
        <w:rPr>
          <w:rStyle w:val="AERbody"/>
        </w:rPr>
        <w:t xml:space="preserve"> the</w:t>
      </w:r>
      <w:r w:rsidRPr="006E3DCA">
        <w:rPr>
          <w:rStyle w:val="AERbody"/>
        </w:rPr>
        <w:t xml:space="preserve"> p</w:t>
      </w:r>
      <w:r>
        <w:rPr>
          <w:rStyle w:val="AERbody"/>
        </w:rPr>
        <w:t>erformance had</w:t>
      </w:r>
      <w:r w:rsidRPr="006E3DCA">
        <w:rPr>
          <w:rStyle w:val="AERbody"/>
        </w:rPr>
        <w:t xml:space="preserve"> deteriorated to the point</w:t>
      </w:r>
      <w:r>
        <w:rPr>
          <w:rStyle w:val="AERbody"/>
        </w:rPr>
        <w:t xml:space="preserve">, </w:t>
      </w:r>
      <w:r w:rsidRPr="003A08AB">
        <w:rPr>
          <w:rStyle w:val="AERbody"/>
        </w:rPr>
        <w:t>as AusNet Services itself submits,</w:t>
      </w:r>
      <w:r w:rsidRPr="006E3DCA">
        <w:rPr>
          <w:rStyle w:val="AERbody"/>
        </w:rPr>
        <w:t xml:space="preserve"> </w:t>
      </w:r>
      <w:r>
        <w:rPr>
          <w:rStyle w:val="AERbody"/>
        </w:rPr>
        <w:t>of</w:t>
      </w:r>
      <w:r w:rsidRPr="006E3DCA">
        <w:rPr>
          <w:rStyle w:val="AERbody"/>
        </w:rPr>
        <w:t xml:space="preserve"> significant instability</w:t>
      </w:r>
      <w:r>
        <w:rPr>
          <w:rStyle w:val="FootnoteReference"/>
        </w:rPr>
        <w:footnoteReference w:id="113"/>
      </w:r>
      <w:r w:rsidRPr="006E3DCA">
        <w:rPr>
          <w:rStyle w:val="AERbody"/>
        </w:rPr>
        <w:t xml:space="preserve"> in its metering performance. It should be noted performance issues had been identified as far back a as 2011. As the AER noted in its Amended 2012-15 Determination:</w:t>
      </w:r>
      <w:r w:rsidRPr="006E3DCA">
        <w:rPr>
          <w:rStyle w:val="FootnoteReference"/>
        </w:rPr>
        <w:footnoteReference w:id="114"/>
      </w:r>
      <w:r w:rsidRPr="006E3DCA">
        <w:rPr>
          <w:rStyle w:val="AERbody"/>
        </w:rPr>
        <w:t xml:space="preserve"> </w:t>
      </w:r>
    </w:p>
    <w:p w:rsidR="00A27296" w:rsidRPr="006E3DCA" w:rsidRDefault="00A27296" w:rsidP="00A27296">
      <w:pPr>
        <w:pStyle w:val="AERquote"/>
      </w:pPr>
      <w:r w:rsidRPr="006E3DCA">
        <w:t xml:space="preserve">[I]n January 2011, SP AusNet engaged Ernst &amp; Young to review its AMI program's IT capabilities and architecture due to SP AusNet identifying issues and risks with its AMI program. Ernst &amp; Young identified (among other things) that Grid Net's PolicyNet MMS was experiencing performance, stability and functionality issues and there was no certainty around its future and capability. </w:t>
      </w:r>
    </w:p>
    <w:p w:rsidR="00A27296" w:rsidRDefault="00A27296" w:rsidP="00A27296">
      <w:pPr>
        <w:rPr>
          <w:rStyle w:val="AERbody"/>
        </w:rPr>
      </w:pPr>
      <w:r w:rsidRPr="006E3DCA">
        <w:rPr>
          <w:rStyle w:val="AERbody"/>
        </w:rPr>
        <w:t xml:space="preserve">AusNet Services' proposal </w:t>
      </w:r>
      <w:r>
        <w:rPr>
          <w:rStyle w:val="AERbody"/>
        </w:rPr>
        <w:t xml:space="preserve">is </w:t>
      </w:r>
      <w:r w:rsidRPr="006E3DCA">
        <w:rPr>
          <w:rStyle w:val="AERbody"/>
        </w:rPr>
        <w:t>that customers should bear the</w:t>
      </w:r>
      <w:r>
        <w:rPr>
          <w:rStyle w:val="AERbody"/>
        </w:rPr>
        <w:t xml:space="preserve"> costs of</w:t>
      </w:r>
      <w:r w:rsidRPr="006E3DCA">
        <w:rPr>
          <w:rStyle w:val="AERbody"/>
        </w:rPr>
        <w:t xml:space="preserve"> </w:t>
      </w:r>
      <w:r>
        <w:rPr>
          <w:rStyle w:val="AERbody"/>
        </w:rPr>
        <w:t xml:space="preserve">it </w:t>
      </w:r>
      <w:r w:rsidRPr="006E3DCA">
        <w:rPr>
          <w:rStyle w:val="AERbody"/>
        </w:rPr>
        <w:t xml:space="preserve">switching </w:t>
      </w:r>
      <w:r>
        <w:rPr>
          <w:rStyle w:val="AERbody"/>
        </w:rPr>
        <w:t>to mesh radio in 2016–20. Such a proposal is inconsistent with effective incentives to promote economic efficiency. When the AER determines a prudent and efficient allowance, the distribution business has the flexibility to spend this allowance as it sees fit. This includes deciding on the choice of communications technology for an AMI rollout. This flexibility means that if the distribution business can deliver its services for less than the allowance, it can keep a portion of the difference. This encourages distribution businesses to continuously strive to improve their efficiency.</w:t>
      </w:r>
    </w:p>
    <w:p w:rsidR="00A27296" w:rsidRPr="006E3DCA" w:rsidRDefault="00A27296" w:rsidP="00A27296">
      <w:r>
        <w:rPr>
          <w:rStyle w:val="AERbody"/>
        </w:rPr>
        <w:t xml:space="preserve">However, if a distribution business makes a poor business decision, it is the distribution business who must bear the consequences (and costs) of that decision, not consumers. Otherwise, we would be providing distribution businesses with all costs associated with delivering their services, regardless of the efficiency or prudence of those costs. To do so provides no incentive for distribution businesses to act prudently or efficiently, including </w:t>
      </w:r>
      <w:r w:rsidRPr="006E3DCA">
        <w:rPr>
          <w:rStyle w:val="AERbody"/>
        </w:rPr>
        <w:t>reconsider</w:t>
      </w:r>
      <w:r>
        <w:rPr>
          <w:rStyle w:val="AERbody"/>
        </w:rPr>
        <w:t>ing</w:t>
      </w:r>
      <w:r w:rsidRPr="006E3DCA">
        <w:rPr>
          <w:rStyle w:val="AERbody"/>
        </w:rPr>
        <w:t xml:space="preserve"> their elected strategies in the face of contrary information</w:t>
      </w:r>
      <w:r>
        <w:rPr>
          <w:rStyle w:val="AERbody"/>
        </w:rPr>
        <w:t>,</w:t>
      </w:r>
      <w:r w:rsidRPr="006E3DCA">
        <w:rPr>
          <w:rStyle w:val="AERbody"/>
        </w:rPr>
        <w:t xml:space="preserve"> in a timely fashion</w:t>
      </w:r>
      <w:r w:rsidR="00160B1D">
        <w:rPr>
          <w:rStyle w:val="AERbody"/>
        </w:rPr>
        <w:t xml:space="preserve">. This </w:t>
      </w:r>
      <w:r>
        <w:rPr>
          <w:rStyle w:val="AERbody"/>
        </w:rPr>
        <w:t xml:space="preserve">would be at odds with incentive regulation and would mean customers paying more than necessary which is not in the long-term interest of consumers. </w:t>
      </w:r>
    </w:p>
    <w:p w:rsidR="00A27296" w:rsidRPr="00A27296" w:rsidRDefault="00A27296" w:rsidP="00A27296"/>
    <w:p w:rsidR="00601046" w:rsidRDefault="00B80AEE" w:rsidP="00601046">
      <w:pPr>
        <w:pStyle w:val="Heading7"/>
      </w:pPr>
      <w:bookmarkStart w:id="83" w:name="_Toc433704582"/>
      <w:r>
        <w:t>Approved prices</w:t>
      </w:r>
      <w:bookmarkEnd w:id="68"/>
      <w:bookmarkEnd w:id="69"/>
      <w:r w:rsidR="00A937DD">
        <w:t xml:space="preserve"> for ancillary network services</w:t>
      </w:r>
      <w:bookmarkEnd w:id="83"/>
    </w:p>
    <w:p w:rsidR="00601046" w:rsidRDefault="00B80AEE" w:rsidP="001C6565">
      <w:pPr>
        <w:pStyle w:val="Heading8"/>
        <w:numPr>
          <w:ilvl w:val="1"/>
          <w:numId w:val="30"/>
        </w:numPr>
      </w:pPr>
      <w:bookmarkStart w:id="84" w:name="_Ref430936714"/>
      <w:bookmarkStart w:id="85" w:name="_Ref430942807"/>
      <w:bookmarkStart w:id="86" w:name="_Toc433704583"/>
      <w:r>
        <w:t>Ancillary network services</w:t>
      </w:r>
      <w:bookmarkEnd w:id="84"/>
      <w:bookmarkEnd w:id="85"/>
      <w:bookmarkEnd w:id="86"/>
    </w:p>
    <w:p w:rsidR="00B80AEE" w:rsidRDefault="00B80AEE" w:rsidP="00B80AEE">
      <w:pPr>
        <w:pStyle w:val="Caption"/>
      </w:pPr>
      <w:bookmarkStart w:id="87" w:name="_Ref430935729"/>
      <w:proofErr w:type="gramStart"/>
      <w:r>
        <w:t xml:space="preserve">Table </w:t>
      </w:r>
      <w:proofErr w:type="gramEnd"/>
      <w:r w:rsidR="006A670B">
        <w:fldChar w:fldCharType="begin"/>
      </w:r>
      <w:r w:rsidR="006A670B">
        <w:instrText xml:space="preserve"> STYLEREF 1 \s </w:instrText>
      </w:r>
      <w:r w:rsidR="006A670B">
        <w:fldChar w:fldCharType="separate"/>
      </w:r>
      <w:r w:rsidR="009E0EFD">
        <w:rPr>
          <w:noProof/>
        </w:rPr>
        <w:t>16</w:t>
      </w:r>
      <w:r w:rsidR="006A670B">
        <w:fldChar w:fldCharType="end"/>
      </w:r>
      <w:proofErr w:type="gramStart"/>
      <w:r w:rsidR="006A670B">
        <w:t>.</w:t>
      </w:r>
      <w:proofErr w:type="gramEnd"/>
      <w:r w:rsidR="006A670B">
        <w:fldChar w:fldCharType="begin"/>
      </w:r>
      <w:r w:rsidR="006A670B">
        <w:instrText xml:space="preserve"> SEQ Table \* ARABIC \s 1 </w:instrText>
      </w:r>
      <w:r w:rsidR="006A670B">
        <w:fldChar w:fldCharType="separate"/>
      </w:r>
      <w:r w:rsidR="009E0EFD">
        <w:rPr>
          <w:noProof/>
        </w:rPr>
        <w:t>18</w:t>
      </w:r>
      <w:r w:rsidR="006A670B">
        <w:fldChar w:fldCharType="end"/>
      </w:r>
      <w:bookmarkEnd w:id="87"/>
      <w:r>
        <w:t xml:space="preserve"> Fee based a</w:t>
      </w:r>
      <w:r w:rsidRPr="00B80AEE">
        <w:t>ncillary network services</w:t>
      </w:r>
      <w:r w:rsidR="00C17FA3">
        <w:t xml:space="preserve"> prices</w:t>
      </w:r>
      <w:r w:rsidR="00066B36">
        <w:t xml:space="preserve"> for 2016</w:t>
      </w:r>
      <w:r w:rsidRPr="00B80AEE">
        <w:t>, preliminary decision</w:t>
      </w:r>
      <w:r w:rsidR="00066B36">
        <w:t xml:space="preserve"> ($2015)</w:t>
      </w:r>
    </w:p>
    <w:tbl>
      <w:tblPr>
        <w:tblStyle w:val="AERtable-numbers"/>
        <w:tblW w:w="0" w:type="auto"/>
        <w:tblLook w:val="04A0" w:firstRow="1" w:lastRow="0" w:firstColumn="1" w:lastColumn="0" w:noHBand="0" w:noVBand="1"/>
      </w:tblPr>
      <w:tblGrid>
        <w:gridCol w:w="4219"/>
        <w:gridCol w:w="1559"/>
        <w:gridCol w:w="1457"/>
        <w:gridCol w:w="1458"/>
      </w:tblGrid>
      <w:tr w:rsidR="00B80AEE" w:rsidTr="001C65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19" w:type="dxa"/>
          </w:tcPr>
          <w:p w:rsidR="00B80AEE" w:rsidRDefault="00B80AEE" w:rsidP="00B80AEE">
            <w:r>
              <w:t>Fee based service</w:t>
            </w:r>
          </w:p>
        </w:tc>
        <w:tc>
          <w:tcPr>
            <w:tcW w:w="1559" w:type="dxa"/>
          </w:tcPr>
          <w:p w:rsidR="00B80AEE" w:rsidRDefault="00B80AEE" w:rsidP="00B80AEE">
            <w:pPr>
              <w:cnfStyle w:val="100000000000" w:firstRow="1" w:lastRow="0" w:firstColumn="0" w:lastColumn="0" w:oddVBand="0" w:evenVBand="0" w:oddHBand="0" w:evenHBand="0" w:firstRowFirstColumn="0" w:firstRowLastColumn="0" w:lastRowFirstColumn="0" w:lastRowLastColumn="0"/>
            </w:pPr>
            <w:r>
              <w:t>Hours</w:t>
            </w:r>
          </w:p>
        </w:tc>
        <w:tc>
          <w:tcPr>
            <w:tcW w:w="1457" w:type="dxa"/>
          </w:tcPr>
          <w:p w:rsidR="00B80AEE" w:rsidRDefault="00B80AEE" w:rsidP="00B80AEE">
            <w:pPr>
              <w:cnfStyle w:val="100000000000" w:firstRow="1" w:lastRow="0" w:firstColumn="0" w:lastColumn="0" w:oddVBand="0" w:evenVBand="0" w:oddHBand="0" w:evenHBand="0" w:firstRowFirstColumn="0" w:firstRowLastColumn="0" w:lastRowFirstColumn="0" w:lastRowLastColumn="0"/>
            </w:pPr>
            <w:r>
              <w:t>Proposed</w:t>
            </w:r>
            <w:r w:rsidR="001C64DB">
              <w:t xml:space="preserve"> price</w:t>
            </w:r>
          </w:p>
        </w:tc>
        <w:tc>
          <w:tcPr>
            <w:tcW w:w="1458" w:type="dxa"/>
          </w:tcPr>
          <w:p w:rsidR="00B80AEE" w:rsidRDefault="00B80AEE" w:rsidP="00B80AEE">
            <w:pPr>
              <w:cnfStyle w:val="100000000000" w:firstRow="1" w:lastRow="0" w:firstColumn="0" w:lastColumn="0" w:oddVBand="0" w:evenVBand="0" w:oddHBand="0" w:evenHBand="0" w:firstRowFirstColumn="0" w:firstRowLastColumn="0" w:lastRowFirstColumn="0" w:lastRowLastColumn="0"/>
            </w:pPr>
            <w:r>
              <w:t>Preliminary decision</w:t>
            </w:r>
            <w:r w:rsidR="001C64DB">
              <w:t xml:space="preserve"> price</w:t>
            </w:r>
          </w:p>
        </w:tc>
      </w:tr>
      <w:tr w:rsidR="003C6B7A" w:rsidRPr="003C6B7A" w:rsidTr="006F2A9C">
        <w:tc>
          <w:tcPr>
            <w:cnfStyle w:val="001000000000" w:firstRow="0" w:lastRow="0" w:firstColumn="1" w:lastColumn="0" w:oddVBand="0" w:evenVBand="0" w:oddHBand="0" w:evenHBand="0" w:firstRowFirstColumn="0" w:firstRowLastColumn="0" w:lastRowFirstColumn="0" w:lastRowLastColumn="0"/>
            <w:tcW w:w="4219" w:type="dxa"/>
          </w:tcPr>
          <w:p w:rsidR="003C6B7A" w:rsidRPr="003C6B7A" w:rsidRDefault="003C6B7A" w:rsidP="00B80AEE">
            <w:pPr>
              <w:rPr>
                <w:rStyle w:val="Strong"/>
              </w:rPr>
            </w:pPr>
            <w:r w:rsidRPr="003C6B7A">
              <w:rPr>
                <w:rStyle w:val="Strong"/>
              </w:rPr>
              <w:t>Routine new connections –customers &lt;100amps</w:t>
            </w:r>
          </w:p>
        </w:tc>
        <w:tc>
          <w:tcPr>
            <w:tcW w:w="1559" w:type="dxa"/>
          </w:tcPr>
          <w:p w:rsidR="003C6B7A" w:rsidRPr="003C6B7A" w:rsidRDefault="003C6B7A" w:rsidP="00B80AEE">
            <w:pPr>
              <w:cnfStyle w:val="000000000000" w:firstRow="0" w:lastRow="0" w:firstColumn="0" w:lastColumn="0" w:oddVBand="0" w:evenVBand="0" w:oddHBand="0" w:evenHBand="0" w:firstRowFirstColumn="0" w:firstRowLastColumn="0" w:lastRowFirstColumn="0" w:lastRowLastColumn="0"/>
              <w:rPr>
                <w:rStyle w:val="Strong"/>
              </w:rPr>
            </w:pPr>
          </w:p>
        </w:tc>
        <w:tc>
          <w:tcPr>
            <w:tcW w:w="1457" w:type="dxa"/>
          </w:tcPr>
          <w:p w:rsidR="003C6B7A" w:rsidRPr="003C6B7A" w:rsidRDefault="003C6B7A" w:rsidP="00B80AEE">
            <w:pPr>
              <w:cnfStyle w:val="000000000000" w:firstRow="0" w:lastRow="0" w:firstColumn="0" w:lastColumn="0" w:oddVBand="0" w:evenVBand="0" w:oddHBand="0" w:evenHBand="0" w:firstRowFirstColumn="0" w:firstRowLastColumn="0" w:lastRowFirstColumn="0" w:lastRowLastColumn="0"/>
              <w:rPr>
                <w:rStyle w:val="Strong"/>
              </w:rPr>
            </w:pPr>
          </w:p>
        </w:tc>
        <w:tc>
          <w:tcPr>
            <w:tcW w:w="1458" w:type="dxa"/>
          </w:tcPr>
          <w:p w:rsidR="003C6B7A" w:rsidRPr="003C6B7A" w:rsidRDefault="003C6B7A" w:rsidP="00B80AEE">
            <w:pPr>
              <w:cnfStyle w:val="000000000000" w:firstRow="0" w:lastRow="0" w:firstColumn="0" w:lastColumn="0" w:oddVBand="0" w:evenVBand="0" w:oddHBand="0" w:evenHBand="0" w:firstRowFirstColumn="0" w:firstRowLastColumn="0" w:lastRowFirstColumn="0" w:lastRowLastColumn="0"/>
              <w:rPr>
                <w:rStyle w:val="Strong"/>
              </w:rPr>
            </w:pPr>
          </w:p>
        </w:tc>
      </w:tr>
      <w:tr w:rsidR="00B80AEE" w:rsidTr="006F2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B80AEE" w:rsidRDefault="00B80AEE" w:rsidP="00B80AEE">
            <w:r>
              <w:t>Single overhead</w:t>
            </w:r>
          </w:p>
        </w:tc>
        <w:tc>
          <w:tcPr>
            <w:tcW w:w="1559" w:type="dxa"/>
          </w:tcPr>
          <w:p w:rsidR="00B80AEE" w:rsidRDefault="00B80AEE" w:rsidP="00B80AEE">
            <w:pPr>
              <w:cnfStyle w:val="000000010000" w:firstRow="0" w:lastRow="0" w:firstColumn="0" w:lastColumn="0" w:oddVBand="0" w:evenVBand="0" w:oddHBand="0" w:evenHBand="1" w:firstRowFirstColumn="0" w:firstRowLastColumn="0" w:lastRowFirstColumn="0" w:lastRowLastColumn="0"/>
            </w:pPr>
            <w:r>
              <w:t>Business hours</w:t>
            </w:r>
          </w:p>
        </w:tc>
        <w:tc>
          <w:tcPr>
            <w:tcW w:w="1457" w:type="dxa"/>
          </w:tcPr>
          <w:p w:rsidR="00B80AEE" w:rsidRDefault="00B80AEE" w:rsidP="00B80AEE">
            <w:pPr>
              <w:cnfStyle w:val="000000010000" w:firstRow="0" w:lastRow="0" w:firstColumn="0" w:lastColumn="0" w:oddVBand="0" w:evenVBand="0" w:oddHBand="0" w:evenHBand="1" w:firstRowFirstColumn="0" w:firstRowLastColumn="0" w:lastRowFirstColumn="0" w:lastRowLastColumn="0"/>
            </w:pPr>
            <w:r>
              <w:t>403.69</w:t>
            </w:r>
          </w:p>
        </w:tc>
        <w:tc>
          <w:tcPr>
            <w:tcW w:w="1458" w:type="dxa"/>
          </w:tcPr>
          <w:p w:rsidR="00B80AEE" w:rsidRDefault="00E74397" w:rsidP="00B80AEE">
            <w:pPr>
              <w:cnfStyle w:val="000000010000" w:firstRow="0" w:lastRow="0" w:firstColumn="0" w:lastColumn="0" w:oddVBand="0" w:evenVBand="0" w:oddHBand="0" w:evenHBand="1" w:firstRowFirstColumn="0" w:firstRowLastColumn="0" w:lastRowFirstColumn="0" w:lastRowLastColumn="0"/>
            </w:pPr>
            <w:r>
              <w:t>387.12</w:t>
            </w:r>
          </w:p>
        </w:tc>
      </w:tr>
      <w:tr w:rsidR="00B80AEE" w:rsidTr="006F2A9C">
        <w:tc>
          <w:tcPr>
            <w:cnfStyle w:val="001000000000" w:firstRow="0" w:lastRow="0" w:firstColumn="1" w:lastColumn="0" w:oddVBand="0" w:evenVBand="0" w:oddHBand="0" w:evenHBand="0" w:firstRowFirstColumn="0" w:firstRowLastColumn="0" w:lastRowFirstColumn="0" w:lastRowLastColumn="0"/>
            <w:tcW w:w="4219" w:type="dxa"/>
          </w:tcPr>
          <w:p w:rsidR="00B80AEE" w:rsidRDefault="00B80AEE" w:rsidP="00B80AEE"/>
        </w:tc>
        <w:tc>
          <w:tcPr>
            <w:tcW w:w="1559" w:type="dxa"/>
          </w:tcPr>
          <w:p w:rsidR="00B80AEE" w:rsidRDefault="00B80AEE" w:rsidP="00B80AEE">
            <w:pPr>
              <w:cnfStyle w:val="000000000000" w:firstRow="0" w:lastRow="0" w:firstColumn="0" w:lastColumn="0" w:oddVBand="0" w:evenVBand="0" w:oddHBand="0" w:evenHBand="0" w:firstRowFirstColumn="0" w:firstRowLastColumn="0" w:lastRowFirstColumn="0" w:lastRowLastColumn="0"/>
            </w:pPr>
            <w:r>
              <w:t>After hours</w:t>
            </w:r>
          </w:p>
        </w:tc>
        <w:tc>
          <w:tcPr>
            <w:tcW w:w="1457" w:type="dxa"/>
          </w:tcPr>
          <w:p w:rsidR="00B80AEE" w:rsidRDefault="00B80AEE" w:rsidP="00B80AEE">
            <w:pPr>
              <w:cnfStyle w:val="000000000000" w:firstRow="0" w:lastRow="0" w:firstColumn="0" w:lastColumn="0" w:oddVBand="0" w:evenVBand="0" w:oddHBand="0" w:evenHBand="0" w:firstRowFirstColumn="0" w:firstRowLastColumn="0" w:lastRowFirstColumn="0" w:lastRowLastColumn="0"/>
            </w:pPr>
            <w:r>
              <w:t>487.89</w:t>
            </w:r>
          </w:p>
        </w:tc>
        <w:tc>
          <w:tcPr>
            <w:tcW w:w="1458" w:type="dxa"/>
          </w:tcPr>
          <w:p w:rsidR="00B80AEE" w:rsidRDefault="00E74397" w:rsidP="00B80AEE">
            <w:pPr>
              <w:cnfStyle w:val="000000000000" w:firstRow="0" w:lastRow="0" w:firstColumn="0" w:lastColumn="0" w:oddVBand="0" w:evenVBand="0" w:oddHBand="0" w:evenHBand="0" w:firstRowFirstColumn="0" w:firstRowLastColumn="0" w:lastRowFirstColumn="0" w:lastRowLastColumn="0"/>
            </w:pPr>
            <w:r>
              <w:t>466.83</w:t>
            </w:r>
          </w:p>
        </w:tc>
      </w:tr>
      <w:tr w:rsidR="00B80AEE" w:rsidTr="006F2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B80AEE" w:rsidRDefault="00B80AEE" w:rsidP="00B80AEE">
            <w:r>
              <w:t>Single underground</w:t>
            </w:r>
          </w:p>
        </w:tc>
        <w:tc>
          <w:tcPr>
            <w:tcW w:w="1559" w:type="dxa"/>
          </w:tcPr>
          <w:p w:rsidR="00B80AEE" w:rsidRDefault="00B80AEE" w:rsidP="00B80AEE">
            <w:pPr>
              <w:cnfStyle w:val="000000010000" w:firstRow="0" w:lastRow="0" w:firstColumn="0" w:lastColumn="0" w:oddVBand="0" w:evenVBand="0" w:oddHBand="0" w:evenHBand="1" w:firstRowFirstColumn="0" w:firstRowLastColumn="0" w:lastRowFirstColumn="0" w:lastRowLastColumn="0"/>
            </w:pPr>
            <w:r>
              <w:t>Business hours</w:t>
            </w:r>
          </w:p>
        </w:tc>
        <w:tc>
          <w:tcPr>
            <w:tcW w:w="1457" w:type="dxa"/>
          </w:tcPr>
          <w:p w:rsidR="00B80AEE" w:rsidRDefault="00B80AEE" w:rsidP="00B80AEE">
            <w:pPr>
              <w:cnfStyle w:val="000000010000" w:firstRow="0" w:lastRow="0" w:firstColumn="0" w:lastColumn="0" w:oddVBand="0" w:evenVBand="0" w:oddHBand="0" w:evenHBand="1" w:firstRowFirstColumn="0" w:firstRowLastColumn="0" w:lastRowFirstColumn="0" w:lastRowLastColumn="0"/>
            </w:pPr>
            <w:r>
              <w:t>210.30</w:t>
            </w:r>
          </w:p>
        </w:tc>
        <w:tc>
          <w:tcPr>
            <w:tcW w:w="1458" w:type="dxa"/>
          </w:tcPr>
          <w:p w:rsidR="00B80AEE" w:rsidRDefault="00E74397" w:rsidP="00B80AEE">
            <w:pPr>
              <w:cnfStyle w:val="000000010000" w:firstRow="0" w:lastRow="0" w:firstColumn="0" w:lastColumn="0" w:oddVBand="0" w:evenVBand="0" w:oddHBand="0" w:evenHBand="1" w:firstRowFirstColumn="0" w:firstRowLastColumn="0" w:lastRowFirstColumn="0" w:lastRowLastColumn="0"/>
            </w:pPr>
            <w:r>
              <w:t>201.06</w:t>
            </w:r>
          </w:p>
        </w:tc>
      </w:tr>
      <w:tr w:rsidR="00B80AEE" w:rsidTr="006F2A9C">
        <w:tc>
          <w:tcPr>
            <w:cnfStyle w:val="001000000000" w:firstRow="0" w:lastRow="0" w:firstColumn="1" w:lastColumn="0" w:oddVBand="0" w:evenVBand="0" w:oddHBand="0" w:evenHBand="0" w:firstRowFirstColumn="0" w:firstRowLastColumn="0" w:lastRowFirstColumn="0" w:lastRowLastColumn="0"/>
            <w:tcW w:w="4219" w:type="dxa"/>
          </w:tcPr>
          <w:p w:rsidR="00B80AEE" w:rsidRDefault="00B80AEE" w:rsidP="00B80AEE"/>
        </w:tc>
        <w:tc>
          <w:tcPr>
            <w:tcW w:w="1559" w:type="dxa"/>
          </w:tcPr>
          <w:p w:rsidR="00B80AEE" w:rsidRDefault="00B80AEE" w:rsidP="00B80AEE">
            <w:pPr>
              <w:cnfStyle w:val="000000000000" w:firstRow="0" w:lastRow="0" w:firstColumn="0" w:lastColumn="0" w:oddVBand="0" w:evenVBand="0" w:oddHBand="0" w:evenHBand="0" w:firstRowFirstColumn="0" w:firstRowLastColumn="0" w:lastRowFirstColumn="0" w:lastRowLastColumn="0"/>
            </w:pPr>
            <w:r>
              <w:t>After hours</w:t>
            </w:r>
          </w:p>
        </w:tc>
        <w:tc>
          <w:tcPr>
            <w:tcW w:w="1457" w:type="dxa"/>
          </w:tcPr>
          <w:p w:rsidR="00B80AEE" w:rsidRDefault="00B80AEE" w:rsidP="00B80AEE">
            <w:pPr>
              <w:cnfStyle w:val="000000000000" w:firstRow="0" w:lastRow="0" w:firstColumn="0" w:lastColumn="0" w:oddVBand="0" w:evenVBand="0" w:oddHBand="0" w:evenHBand="0" w:firstRowFirstColumn="0" w:firstRowLastColumn="0" w:lastRowFirstColumn="0" w:lastRowLastColumn="0"/>
            </w:pPr>
            <w:r>
              <w:t>269.59</w:t>
            </w:r>
          </w:p>
        </w:tc>
        <w:tc>
          <w:tcPr>
            <w:tcW w:w="1458" w:type="dxa"/>
          </w:tcPr>
          <w:p w:rsidR="00B80AEE" w:rsidRDefault="00E74397" w:rsidP="00B80AEE">
            <w:pPr>
              <w:cnfStyle w:val="000000000000" w:firstRow="0" w:lastRow="0" w:firstColumn="0" w:lastColumn="0" w:oddVBand="0" w:evenVBand="0" w:oddHBand="0" w:evenHBand="0" w:firstRowFirstColumn="0" w:firstRowLastColumn="0" w:lastRowFirstColumn="0" w:lastRowLastColumn="0"/>
            </w:pPr>
            <w:r>
              <w:t>257.19</w:t>
            </w:r>
          </w:p>
        </w:tc>
      </w:tr>
      <w:tr w:rsidR="00B80AEE" w:rsidTr="006F2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B80AEE" w:rsidRDefault="00C63B29" w:rsidP="00B80AEE">
            <w:r>
              <w:t>Multi overhead</w:t>
            </w:r>
            <w:r w:rsidR="003C6B7A">
              <w:t xml:space="preserve"> </w:t>
            </w:r>
            <w:r>
              <w:t>–</w:t>
            </w:r>
            <w:r w:rsidR="003C6B7A">
              <w:t xml:space="preserve"> </w:t>
            </w:r>
            <w:r>
              <w:t>Direct connected meter</w:t>
            </w:r>
          </w:p>
        </w:tc>
        <w:tc>
          <w:tcPr>
            <w:tcW w:w="1559" w:type="dxa"/>
          </w:tcPr>
          <w:p w:rsidR="00B80AEE" w:rsidRDefault="00C63B29" w:rsidP="00B80AEE">
            <w:pPr>
              <w:cnfStyle w:val="000000010000" w:firstRow="0" w:lastRow="0" w:firstColumn="0" w:lastColumn="0" w:oddVBand="0" w:evenVBand="0" w:oddHBand="0" w:evenHBand="1" w:firstRowFirstColumn="0" w:firstRowLastColumn="0" w:lastRowFirstColumn="0" w:lastRowLastColumn="0"/>
            </w:pPr>
            <w:r>
              <w:t>Business hours</w:t>
            </w:r>
          </w:p>
        </w:tc>
        <w:tc>
          <w:tcPr>
            <w:tcW w:w="1457" w:type="dxa"/>
          </w:tcPr>
          <w:p w:rsidR="00B80AEE" w:rsidRDefault="00C63B29" w:rsidP="00B80AEE">
            <w:pPr>
              <w:cnfStyle w:val="000000010000" w:firstRow="0" w:lastRow="0" w:firstColumn="0" w:lastColumn="0" w:oddVBand="0" w:evenVBand="0" w:oddHBand="0" w:evenHBand="1" w:firstRowFirstColumn="0" w:firstRowLastColumn="0" w:lastRowFirstColumn="0" w:lastRowLastColumn="0"/>
            </w:pPr>
            <w:r>
              <w:t>430.05</w:t>
            </w:r>
          </w:p>
        </w:tc>
        <w:tc>
          <w:tcPr>
            <w:tcW w:w="1458" w:type="dxa"/>
          </w:tcPr>
          <w:p w:rsidR="00B80AEE" w:rsidRDefault="00E74397" w:rsidP="00B80AEE">
            <w:pPr>
              <w:cnfStyle w:val="000000010000" w:firstRow="0" w:lastRow="0" w:firstColumn="0" w:lastColumn="0" w:oddVBand="0" w:evenVBand="0" w:oddHBand="0" w:evenHBand="1" w:firstRowFirstColumn="0" w:firstRowLastColumn="0" w:lastRowFirstColumn="0" w:lastRowLastColumn="0"/>
            </w:pPr>
            <w:r>
              <w:t>413.74</w:t>
            </w:r>
          </w:p>
        </w:tc>
      </w:tr>
      <w:tr w:rsidR="00B80AEE" w:rsidTr="006F2A9C">
        <w:tc>
          <w:tcPr>
            <w:cnfStyle w:val="001000000000" w:firstRow="0" w:lastRow="0" w:firstColumn="1" w:lastColumn="0" w:oddVBand="0" w:evenVBand="0" w:oddHBand="0" w:evenHBand="0" w:firstRowFirstColumn="0" w:firstRowLastColumn="0" w:lastRowFirstColumn="0" w:lastRowLastColumn="0"/>
            <w:tcW w:w="4219" w:type="dxa"/>
          </w:tcPr>
          <w:p w:rsidR="00B80AEE" w:rsidRDefault="00B80AEE" w:rsidP="00B80AEE"/>
        </w:tc>
        <w:tc>
          <w:tcPr>
            <w:tcW w:w="1559" w:type="dxa"/>
          </w:tcPr>
          <w:p w:rsidR="00B80AEE" w:rsidRDefault="00C63B29" w:rsidP="00B80AEE">
            <w:pPr>
              <w:cnfStyle w:val="000000000000" w:firstRow="0" w:lastRow="0" w:firstColumn="0" w:lastColumn="0" w:oddVBand="0" w:evenVBand="0" w:oddHBand="0" w:evenHBand="0" w:firstRowFirstColumn="0" w:firstRowLastColumn="0" w:lastRowFirstColumn="0" w:lastRowLastColumn="0"/>
            </w:pPr>
            <w:r>
              <w:t>After hours</w:t>
            </w:r>
          </w:p>
        </w:tc>
        <w:tc>
          <w:tcPr>
            <w:tcW w:w="1457" w:type="dxa"/>
          </w:tcPr>
          <w:p w:rsidR="00B80AEE" w:rsidRDefault="00C63B29" w:rsidP="00B80AEE">
            <w:pPr>
              <w:cnfStyle w:val="000000000000" w:firstRow="0" w:lastRow="0" w:firstColumn="0" w:lastColumn="0" w:oddVBand="0" w:evenVBand="0" w:oddHBand="0" w:evenHBand="0" w:firstRowFirstColumn="0" w:firstRowLastColumn="0" w:lastRowFirstColumn="0" w:lastRowLastColumn="0"/>
            </w:pPr>
            <w:r>
              <w:t>519.74</w:t>
            </w:r>
          </w:p>
        </w:tc>
        <w:tc>
          <w:tcPr>
            <w:tcW w:w="1458" w:type="dxa"/>
          </w:tcPr>
          <w:p w:rsidR="00B80AEE" w:rsidRDefault="00E74397" w:rsidP="00B80AEE">
            <w:pPr>
              <w:cnfStyle w:val="000000000000" w:firstRow="0" w:lastRow="0" w:firstColumn="0" w:lastColumn="0" w:oddVBand="0" w:evenVBand="0" w:oddHBand="0" w:evenHBand="0" w:firstRowFirstColumn="0" w:firstRowLastColumn="0" w:lastRowFirstColumn="0" w:lastRowLastColumn="0"/>
            </w:pPr>
            <w:r>
              <w:t>498.92</w:t>
            </w:r>
          </w:p>
        </w:tc>
      </w:tr>
      <w:tr w:rsidR="00C63B29" w:rsidTr="006F2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C63B29" w:rsidRDefault="00C63B29" w:rsidP="00B80AEE">
            <w:r>
              <w:t>Multi overhead</w:t>
            </w:r>
            <w:r w:rsidR="003C6B7A">
              <w:t xml:space="preserve"> </w:t>
            </w:r>
            <w:r>
              <w:t>–</w:t>
            </w:r>
            <w:r w:rsidR="003C6B7A">
              <w:t xml:space="preserve"> </w:t>
            </w:r>
            <w:r>
              <w:t>CT connected meter</w:t>
            </w:r>
          </w:p>
        </w:tc>
        <w:tc>
          <w:tcPr>
            <w:tcW w:w="1559" w:type="dxa"/>
          </w:tcPr>
          <w:p w:rsidR="00C63B29" w:rsidRDefault="00C63B29" w:rsidP="00B80AEE">
            <w:pPr>
              <w:cnfStyle w:val="000000010000" w:firstRow="0" w:lastRow="0" w:firstColumn="0" w:lastColumn="0" w:oddVBand="0" w:evenVBand="0" w:oddHBand="0" w:evenHBand="1" w:firstRowFirstColumn="0" w:firstRowLastColumn="0" w:lastRowFirstColumn="0" w:lastRowLastColumn="0"/>
            </w:pPr>
            <w:r>
              <w:t>Business hours</w:t>
            </w:r>
          </w:p>
        </w:tc>
        <w:tc>
          <w:tcPr>
            <w:tcW w:w="1457" w:type="dxa"/>
          </w:tcPr>
          <w:p w:rsidR="00C63B29" w:rsidRDefault="00C63B29" w:rsidP="00B80AEE">
            <w:pPr>
              <w:cnfStyle w:val="000000010000" w:firstRow="0" w:lastRow="0" w:firstColumn="0" w:lastColumn="0" w:oddVBand="0" w:evenVBand="0" w:oddHBand="0" w:evenHBand="1" w:firstRowFirstColumn="0" w:firstRowLastColumn="0" w:lastRowFirstColumn="0" w:lastRowLastColumn="0"/>
            </w:pPr>
            <w:r>
              <w:t>578.36</w:t>
            </w:r>
          </w:p>
        </w:tc>
        <w:tc>
          <w:tcPr>
            <w:tcW w:w="1458" w:type="dxa"/>
          </w:tcPr>
          <w:p w:rsidR="00C63B29" w:rsidRDefault="00E74397" w:rsidP="00B80AEE">
            <w:pPr>
              <w:cnfStyle w:val="000000010000" w:firstRow="0" w:lastRow="0" w:firstColumn="0" w:lastColumn="0" w:oddVBand="0" w:evenVBand="0" w:oddHBand="0" w:evenHBand="1" w:firstRowFirstColumn="0" w:firstRowLastColumn="0" w:lastRowFirstColumn="0" w:lastRowLastColumn="0"/>
            </w:pPr>
            <w:r>
              <w:t>555.47</w:t>
            </w:r>
          </w:p>
        </w:tc>
      </w:tr>
      <w:tr w:rsidR="00C63B29" w:rsidTr="006F2A9C">
        <w:tc>
          <w:tcPr>
            <w:cnfStyle w:val="001000000000" w:firstRow="0" w:lastRow="0" w:firstColumn="1" w:lastColumn="0" w:oddVBand="0" w:evenVBand="0" w:oddHBand="0" w:evenHBand="0" w:firstRowFirstColumn="0" w:firstRowLastColumn="0" w:lastRowFirstColumn="0" w:lastRowLastColumn="0"/>
            <w:tcW w:w="4219" w:type="dxa"/>
          </w:tcPr>
          <w:p w:rsidR="00C63B29" w:rsidRDefault="00C63B29" w:rsidP="00B80AEE"/>
        </w:tc>
        <w:tc>
          <w:tcPr>
            <w:tcW w:w="1559" w:type="dxa"/>
          </w:tcPr>
          <w:p w:rsidR="00C63B29" w:rsidRDefault="00C63B29" w:rsidP="00B80AEE">
            <w:pPr>
              <w:cnfStyle w:val="000000000000" w:firstRow="0" w:lastRow="0" w:firstColumn="0" w:lastColumn="0" w:oddVBand="0" w:evenVBand="0" w:oddHBand="0" w:evenHBand="0" w:firstRowFirstColumn="0" w:firstRowLastColumn="0" w:lastRowFirstColumn="0" w:lastRowLastColumn="0"/>
            </w:pPr>
            <w:r>
              <w:t>After hours</w:t>
            </w:r>
          </w:p>
        </w:tc>
        <w:tc>
          <w:tcPr>
            <w:tcW w:w="1457" w:type="dxa"/>
          </w:tcPr>
          <w:p w:rsidR="00C63B29" w:rsidRDefault="00C63B29" w:rsidP="00B80AEE">
            <w:pPr>
              <w:cnfStyle w:val="000000000000" w:firstRow="0" w:lastRow="0" w:firstColumn="0" w:lastColumn="0" w:oddVBand="0" w:evenVBand="0" w:oddHBand="0" w:evenHBand="0" w:firstRowFirstColumn="0" w:firstRowLastColumn="0" w:lastRowFirstColumn="0" w:lastRowLastColumn="0"/>
            </w:pPr>
            <w:r>
              <w:t>698.98</w:t>
            </w:r>
          </w:p>
        </w:tc>
        <w:tc>
          <w:tcPr>
            <w:tcW w:w="1458" w:type="dxa"/>
          </w:tcPr>
          <w:p w:rsidR="00C63B29" w:rsidRDefault="00E74397" w:rsidP="00B80AEE">
            <w:pPr>
              <w:cnfStyle w:val="000000000000" w:firstRow="0" w:lastRow="0" w:firstColumn="0" w:lastColumn="0" w:oddVBand="0" w:evenVBand="0" w:oddHBand="0" w:evenHBand="0" w:firstRowFirstColumn="0" w:firstRowLastColumn="0" w:lastRowFirstColumn="0" w:lastRowLastColumn="0"/>
            </w:pPr>
            <w:r>
              <w:t>669.84</w:t>
            </w:r>
          </w:p>
        </w:tc>
      </w:tr>
      <w:tr w:rsidR="003C6B7A" w:rsidTr="006F2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C63B29" w:rsidRPr="00C63B29" w:rsidRDefault="00C63B29" w:rsidP="00C63B29">
            <w:r>
              <w:t>Multi underground</w:t>
            </w:r>
            <w:r w:rsidR="003C6B7A">
              <w:t xml:space="preserve"> </w:t>
            </w:r>
            <w:r w:rsidRPr="00C63B29">
              <w:t>–</w:t>
            </w:r>
            <w:r w:rsidR="003C6B7A">
              <w:t xml:space="preserve"> </w:t>
            </w:r>
            <w:r w:rsidRPr="00C63B29">
              <w:t>Direct connected meter</w:t>
            </w:r>
          </w:p>
        </w:tc>
        <w:tc>
          <w:tcPr>
            <w:tcW w:w="1559" w:type="dxa"/>
          </w:tcPr>
          <w:p w:rsidR="00C63B29" w:rsidRPr="00C63B29" w:rsidRDefault="00C63B29" w:rsidP="00C63B29">
            <w:pPr>
              <w:cnfStyle w:val="000000010000" w:firstRow="0" w:lastRow="0" w:firstColumn="0" w:lastColumn="0" w:oddVBand="0" w:evenVBand="0" w:oddHBand="0" w:evenHBand="1" w:firstRowFirstColumn="0" w:firstRowLastColumn="0" w:lastRowFirstColumn="0" w:lastRowLastColumn="0"/>
            </w:pPr>
            <w:r>
              <w:t>Business hours</w:t>
            </w:r>
          </w:p>
        </w:tc>
        <w:tc>
          <w:tcPr>
            <w:tcW w:w="1457" w:type="dxa"/>
          </w:tcPr>
          <w:p w:rsidR="00C63B29" w:rsidRPr="00C63B29" w:rsidRDefault="00C63B29" w:rsidP="00C63B29">
            <w:pPr>
              <w:cnfStyle w:val="000000010000" w:firstRow="0" w:lastRow="0" w:firstColumn="0" w:lastColumn="0" w:oddVBand="0" w:evenVBand="0" w:oddHBand="0" w:evenHBand="1" w:firstRowFirstColumn="0" w:firstRowLastColumn="0" w:lastRowFirstColumn="0" w:lastRowLastColumn="0"/>
            </w:pPr>
            <w:r>
              <w:t>313.23</w:t>
            </w:r>
          </w:p>
        </w:tc>
        <w:tc>
          <w:tcPr>
            <w:tcW w:w="1458" w:type="dxa"/>
          </w:tcPr>
          <w:p w:rsidR="00C63B29" w:rsidRDefault="00E74397" w:rsidP="00C63B29">
            <w:pPr>
              <w:cnfStyle w:val="000000010000" w:firstRow="0" w:lastRow="0" w:firstColumn="0" w:lastColumn="0" w:oddVBand="0" w:evenVBand="0" w:oddHBand="0" w:evenHBand="1" w:firstRowFirstColumn="0" w:firstRowLastColumn="0" w:lastRowFirstColumn="0" w:lastRowLastColumn="0"/>
            </w:pPr>
            <w:r>
              <w:t>300.88</w:t>
            </w:r>
          </w:p>
        </w:tc>
      </w:tr>
      <w:tr w:rsidR="00C63B29" w:rsidTr="006F2A9C">
        <w:tc>
          <w:tcPr>
            <w:cnfStyle w:val="001000000000" w:firstRow="0" w:lastRow="0" w:firstColumn="1" w:lastColumn="0" w:oddVBand="0" w:evenVBand="0" w:oddHBand="0" w:evenHBand="0" w:firstRowFirstColumn="0" w:firstRowLastColumn="0" w:lastRowFirstColumn="0" w:lastRowLastColumn="0"/>
            <w:tcW w:w="4219" w:type="dxa"/>
          </w:tcPr>
          <w:p w:rsidR="00C63B29" w:rsidRDefault="00C63B29" w:rsidP="00C63B29"/>
        </w:tc>
        <w:tc>
          <w:tcPr>
            <w:tcW w:w="1559" w:type="dxa"/>
          </w:tcPr>
          <w:p w:rsidR="00C63B29" w:rsidRPr="00C63B29" w:rsidRDefault="00C63B29" w:rsidP="00C63B29">
            <w:pPr>
              <w:cnfStyle w:val="000000000000" w:firstRow="0" w:lastRow="0" w:firstColumn="0" w:lastColumn="0" w:oddVBand="0" w:evenVBand="0" w:oddHBand="0" w:evenHBand="0" w:firstRowFirstColumn="0" w:firstRowLastColumn="0" w:lastRowFirstColumn="0" w:lastRowLastColumn="0"/>
            </w:pPr>
            <w:r>
              <w:t>After hours</w:t>
            </w:r>
          </w:p>
        </w:tc>
        <w:tc>
          <w:tcPr>
            <w:tcW w:w="1457" w:type="dxa"/>
          </w:tcPr>
          <w:p w:rsidR="00C63B29" w:rsidRPr="00C63B29" w:rsidRDefault="00C63B29" w:rsidP="00C63B29">
            <w:pPr>
              <w:cnfStyle w:val="000000000000" w:firstRow="0" w:lastRow="0" w:firstColumn="0" w:lastColumn="0" w:oddVBand="0" w:evenVBand="0" w:oddHBand="0" w:evenHBand="0" w:firstRowFirstColumn="0" w:firstRowLastColumn="0" w:lastRowFirstColumn="0" w:lastRowLastColumn="0"/>
            </w:pPr>
            <w:r>
              <w:t>389.01</w:t>
            </w:r>
          </w:p>
        </w:tc>
        <w:tc>
          <w:tcPr>
            <w:tcW w:w="1458" w:type="dxa"/>
          </w:tcPr>
          <w:p w:rsidR="00C63B29" w:rsidRDefault="00E74397" w:rsidP="00C63B29">
            <w:pPr>
              <w:cnfStyle w:val="000000000000" w:firstRow="0" w:lastRow="0" w:firstColumn="0" w:lastColumn="0" w:oddVBand="0" w:evenVBand="0" w:oddHBand="0" w:evenHBand="0" w:firstRowFirstColumn="0" w:firstRowLastColumn="0" w:lastRowFirstColumn="0" w:lastRowLastColumn="0"/>
            </w:pPr>
            <w:r>
              <w:t>372.63</w:t>
            </w:r>
          </w:p>
        </w:tc>
      </w:tr>
      <w:tr w:rsidR="00C63B29" w:rsidTr="006F2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C63B29" w:rsidRPr="00C63B29" w:rsidRDefault="003C6B7A" w:rsidP="00C63B29">
            <w:r>
              <w:t xml:space="preserve">Multi underground </w:t>
            </w:r>
            <w:r w:rsidR="00C63B29">
              <w:t>–</w:t>
            </w:r>
            <w:r>
              <w:t xml:space="preserve"> </w:t>
            </w:r>
            <w:r w:rsidR="00C63B29">
              <w:t>CT connected meter</w:t>
            </w:r>
          </w:p>
        </w:tc>
        <w:tc>
          <w:tcPr>
            <w:tcW w:w="1559" w:type="dxa"/>
          </w:tcPr>
          <w:p w:rsidR="00C63B29" w:rsidRPr="00C63B29" w:rsidRDefault="00C63B29" w:rsidP="00C63B29">
            <w:pPr>
              <w:cnfStyle w:val="000000010000" w:firstRow="0" w:lastRow="0" w:firstColumn="0" w:lastColumn="0" w:oddVBand="0" w:evenVBand="0" w:oddHBand="0" w:evenHBand="1" w:firstRowFirstColumn="0" w:firstRowLastColumn="0" w:lastRowFirstColumn="0" w:lastRowLastColumn="0"/>
            </w:pPr>
            <w:r>
              <w:t>Business hours</w:t>
            </w:r>
          </w:p>
        </w:tc>
        <w:tc>
          <w:tcPr>
            <w:tcW w:w="1457" w:type="dxa"/>
          </w:tcPr>
          <w:p w:rsidR="00C63B29" w:rsidRPr="00C63B29" w:rsidRDefault="00C63B29" w:rsidP="00C63B29">
            <w:pPr>
              <w:cnfStyle w:val="000000010000" w:firstRow="0" w:lastRow="0" w:firstColumn="0" w:lastColumn="0" w:oddVBand="0" w:evenVBand="0" w:oddHBand="0" w:evenHBand="1" w:firstRowFirstColumn="0" w:firstRowLastColumn="0" w:lastRowFirstColumn="0" w:lastRowLastColumn="0"/>
            </w:pPr>
            <w:r>
              <w:t>452.53</w:t>
            </w:r>
          </w:p>
        </w:tc>
        <w:tc>
          <w:tcPr>
            <w:tcW w:w="1458" w:type="dxa"/>
          </w:tcPr>
          <w:p w:rsidR="00C63B29" w:rsidRDefault="00E74397" w:rsidP="00C63B29">
            <w:pPr>
              <w:cnfStyle w:val="000000010000" w:firstRow="0" w:lastRow="0" w:firstColumn="0" w:lastColumn="0" w:oddVBand="0" w:evenVBand="0" w:oddHBand="0" w:evenHBand="1" w:firstRowFirstColumn="0" w:firstRowLastColumn="0" w:lastRowFirstColumn="0" w:lastRowLastColumn="0"/>
            </w:pPr>
            <w:r>
              <w:t>434.09</w:t>
            </w:r>
          </w:p>
        </w:tc>
      </w:tr>
      <w:tr w:rsidR="00C63B29" w:rsidTr="006F2A9C">
        <w:tc>
          <w:tcPr>
            <w:cnfStyle w:val="001000000000" w:firstRow="0" w:lastRow="0" w:firstColumn="1" w:lastColumn="0" w:oddVBand="0" w:evenVBand="0" w:oddHBand="0" w:evenHBand="0" w:firstRowFirstColumn="0" w:firstRowLastColumn="0" w:lastRowFirstColumn="0" w:lastRowLastColumn="0"/>
            <w:tcW w:w="4219" w:type="dxa"/>
          </w:tcPr>
          <w:p w:rsidR="00C63B29" w:rsidRDefault="00C63B29" w:rsidP="00C63B29"/>
        </w:tc>
        <w:tc>
          <w:tcPr>
            <w:tcW w:w="1559" w:type="dxa"/>
          </w:tcPr>
          <w:p w:rsidR="00C63B29" w:rsidRPr="00C63B29" w:rsidRDefault="00C63B29" w:rsidP="00C63B29">
            <w:pPr>
              <w:cnfStyle w:val="000000000000" w:firstRow="0" w:lastRow="0" w:firstColumn="0" w:lastColumn="0" w:oddVBand="0" w:evenVBand="0" w:oddHBand="0" w:evenHBand="0" w:firstRowFirstColumn="0" w:firstRowLastColumn="0" w:lastRowFirstColumn="0" w:lastRowLastColumn="0"/>
            </w:pPr>
            <w:r>
              <w:t>After hours</w:t>
            </w:r>
          </w:p>
        </w:tc>
        <w:tc>
          <w:tcPr>
            <w:tcW w:w="1457" w:type="dxa"/>
          </w:tcPr>
          <w:p w:rsidR="00C63B29" w:rsidRPr="00C63B29" w:rsidRDefault="00C63B29" w:rsidP="00C63B29">
            <w:pPr>
              <w:cnfStyle w:val="000000000000" w:firstRow="0" w:lastRow="0" w:firstColumn="0" w:lastColumn="0" w:oddVBand="0" w:evenVBand="0" w:oddHBand="0" w:evenHBand="0" w:firstRowFirstColumn="0" w:firstRowLastColumn="0" w:lastRowFirstColumn="0" w:lastRowLastColumn="0"/>
            </w:pPr>
            <w:r>
              <w:t>562.02</w:t>
            </w:r>
          </w:p>
        </w:tc>
        <w:tc>
          <w:tcPr>
            <w:tcW w:w="1458" w:type="dxa"/>
          </w:tcPr>
          <w:p w:rsidR="00C63B29" w:rsidRDefault="00E74397" w:rsidP="00C63B29">
            <w:pPr>
              <w:cnfStyle w:val="000000000000" w:firstRow="0" w:lastRow="0" w:firstColumn="0" w:lastColumn="0" w:oddVBand="0" w:evenVBand="0" w:oddHBand="0" w:evenHBand="0" w:firstRowFirstColumn="0" w:firstRowLastColumn="0" w:lastRowFirstColumn="0" w:lastRowLastColumn="0"/>
            </w:pPr>
            <w:r>
              <w:t>537.60</w:t>
            </w:r>
          </w:p>
        </w:tc>
      </w:tr>
      <w:tr w:rsidR="00C63B29" w:rsidTr="006F2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C63B29" w:rsidRDefault="00C63B29" w:rsidP="00B80AEE">
            <w:r>
              <w:t>Install 95mm overhead service from LVABC</w:t>
            </w:r>
          </w:p>
        </w:tc>
        <w:tc>
          <w:tcPr>
            <w:tcW w:w="1559" w:type="dxa"/>
          </w:tcPr>
          <w:p w:rsidR="00C63B29" w:rsidRDefault="00C63B29" w:rsidP="00B80AEE">
            <w:pPr>
              <w:cnfStyle w:val="000000010000" w:firstRow="0" w:lastRow="0" w:firstColumn="0" w:lastColumn="0" w:oddVBand="0" w:evenVBand="0" w:oddHBand="0" w:evenHBand="1" w:firstRowFirstColumn="0" w:firstRowLastColumn="0" w:lastRowFirstColumn="0" w:lastRowLastColumn="0"/>
            </w:pPr>
            <w:r>
              <w:t>Business hours</w:t>
            </w:r>
          </w:p>
        </w:tc>
        <w:tc>
          <w:tcPr>
            <w:tcW w:w="1457" w:type="dxa"/>
          </w:tcPr>
          <w:p w:rsidR="00C63B29" w:rsidRDefault="00C63B29" w:rsidP="00B80AEE">
            <w:pPr>
              <w:cnfStyle w:val="000000010000" w:firstRow="0" w:lastRow="0" w:firstColumn="0" w:lastColumn="0" w:oddVBand="0" w:evenVBand="0" w:oddHBand="0" w:evenHBand="1" w:firstRowFirstColumn="0" w:firstRowLastColumn="0" w:lastRowFirstColumn="0" w:lastRowLastColumn="0"/>
            </w:pPr>
            <w:r>
              <w:t>709.41</w:t>
            </w:r>
          </w:p>
        </w:tc>
        <w:tc>
          <w:tcPr>
            <w:tcW w:w="1458" w:type="dxa"/>
          </w:tcPr>
          <w:p w:rsidR="00C63B29" w:rsidRDefault="00E74397" w:rsidP="00B80AEE">
            <w:pPr>
              <w:cnfStyle w:val="000000010000" w:firstRow="0" w:lastRow="0" w:firstColumn="0" w:lastColumn="0" w:oddVBand="0" w:evenVBand="0" w:oddHBand="0" w:evenHBand="1" w:firstRowFirstColumn="0" w:firstRowLastColumn="0" w:lastRowFirstColumn="0" w:lastRowLastColumn="0"/>
            </w:pPr>
            <w:r>
              <w:t>637.98</w:t>
            </w:r>
          </w:p>
        </w:tc>
      </w:tr>
      <w:tr w:rsidR="00C63B29" w:rsidTr="006F2A9C">
        <w:tc>
          <w:tcPr>
            <w:cnfStyle w:val="001000000000" w:firstRow="0" w:lastRow="0" w:firstColumn="1" w:lastColumn="0" w:oddVBand="0" w:evenVBand="0" w:oddHBand="0" w:evenHBand="0" w:firstRowFirstColumn="0" w:firstRowLastColumn="0" w:lastRowFirstColumn="0" w:lastRowLastColumn="0"/>
            <w:tcW w:w="4219" w:type="dxa"/>
          </w:tcPr>
          <w:p w:rsidR="00C63B29" w:rsidRDefault="00C63B29" w:rsidP="00B80AEE"/>
        </w:tc>
        <w:tc>
          <w:tcPr>
            <w:tcW w:w="1559" w:type="dxa"/>
          </w:tcPr>
          <w:p w:rsidR="00C63B29" w:rsidRDefault="00C63B29" w:rsidP="00B80AEE">
            <w:pPr>
              <w:cnfStyle w:val="000000000000" w:firstRow="0" w:lastRow="0" w:firstColumn="0" w:lastColumn="0" w:oddVBand="0" w:evenVBand="0" w:oddHBand="0" w:evenHBand="0" w:firstRowFirstColumn="0" w:firstRowLastColumn="0" w:lastRowFirstColumn="0" w:lastRowLastColumn="0"/>
            </w:pPr>
            <w:r>
              <w:t>After hours</w:t>
            </w:r>
          </w:p>
        </w:tc>
        <w:tc>
          <w:tcPr>
            <w:tcW w:w="1457" w:type="dxa"/>
          </w:tcPr>
          <w:p w:rsidR="00C63B29" w:rsidRDefault="00C63B29" w:rsidP="00B80AEE">
            <w:pPr>
              <w:cnfStyle w:val="000000000000" w:firstRow="0" w:lastRow="0" w:firstColumn="0" w:lastColumn="0" w:oddVBand="0" w:evenVBand="0" w:oddHBand="0" w:evenHBand="0" w:firstRowFirstColumn="0" w:firstRowLastColumn="0" w:lastRowFirstColumn="0" w:lastRowLastColumn="0"/>
            </w:pPr>
            <w:r>
              <w:t>837.23</w:t>
            </w:r>
          </w:p>
        </w:tc>
        <w:tc>
          <w:tcPr>
            <w:tcW w:w="1458" w:type="dxa"/>
          </w:tcPr>
          <w:p w:rsidR="00C63B29" w:rsidRDefault="00E74397" w:rsidP="00B80AEE">
            <w:pPr>
              <w:cnfStyle w:val="000000000000" w:firstRow="0" w:lastRow="0" w:firstColumn="0" w:lastColumn="0" w:oddVBand="0" w:evenVBand="0" w:oddHBand="0" w:evenHBand="0" w:firstRowFirstColumn="0" w:firstRowLastColumn="0" w:lastRowFirstColumn="0" w:lastRowLastColumn="0"/>
            </w:pPr>
            <w:r>
              <w:t>799.21</w:t>
            </w:r>
          </w:p>
        </w:tc>
      </w:tr>
      <w:tr w:rsidR="003C6B7A" w:rsidRPr="003C6B7A" w:rsidTr="006F2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3C6B7A" w:rsidRPr="003C6B7A" w:rsidRDefault="003C6B7A" w:rsidP="00B80AEE">
            <w:pPr>
              <w:rPr>
                <w:rStyle w:val="Strong"/>
              </w:rPr>
            </w:pPr>
            <w:r w:rsidRPr="003C6B7A">
              <w:rPr>
                <w:rStyle w:val="Strong"/>
              </w:rPr>
              <w:t>Other fee based connection services</w:t>
            </w:r>
          </w:p>
        </w:tc>
        <w:tc>
          <w:tcPr>
            <w:tcW w:w="1559" w:type="dxa"/>
          </w:tcPr>
          <w:p w:rsidR="003C6B7A" w:rsidRPr="003C6B7A" w:rsidRDefault="003C6B7A" w:rsidP="00B80AEE">
            <w:pPr>
              <w:cnfStyle w:val="000000010000" w:firstRow="0" w:lastRow="0" w:firstColumn="0" w:lastColumn="0" w:oddVBand="0" w:evenVBand="0" w:oddHBand="0" w:evenHBand="1" w:firstRowFirstColumn="0" w:firstRowLastColumn="0" w:lastRowFirstColumn="0" w:lastRowLastColumn="0"/>
              <w:rPr>
                <w:rStyle w:val="Strong"/>
              </w:rPr>
            </w:pPr>
          </w:p>
        </w:tc>
        <w:tc>
          <w:tcPr>
            <w:tcW w:w="1457" w:type="dxa"/>
          </w:tcPr>
          <w:p w:rsidR="003C6B7A" w:rsidRPr="003C6B7A" w:rsidRDefault="003C6B7A" w:rsidP="00B80AEE">
            <w:pPr>
              <w:cnfStyle w:val="000000010000" w:firstRow="0" w:lastRow="0" w:firstColumn="0" w:lastColumn="0" w:oddVBand="0" w:evenVBand="0" w:oddHBand="0" w:evenHBand="1" w:firstRowFirstColumn="0" w:firstRowLastColumn="0" w:lastRowFirstColumn="0" w:lastRowLastColumn="0"/>
              <w:rPr>
                <w:rStyle w:val="Strong"/>
              </w:rPr>
            </w:pPr>
          </w:p>
        </w:tc>
        <w:tc>
          <w:tcPr>
            <w:tcW w:w="1458" w:type="dxa"/>
          </w:tcPr>
          <w:p w:rsidR="003C6B7A" w:rsidRPr="003C6B7A" w:rsidRDefault="003C6B7A" w:rsidP="00B80AEE">
            <w:pPr>
              <w:cnfStyle w:val="000000010000" w:firstRow="0" w:lastRow="0" w:firstColumn="0" w:lastColumn="0" w:oddVBand="0" w:evenVBand="0" w:oddHBand="0" w:evenHBand="1" w:firstRowFirstColumn="0" w:firstRowLastColumn="0" w:lastRowFirstColumn="0" w:lastRowLastColumn="0"/>
              <w:rPr>
                <w:rStyle w:val="Strong"/>
              </w:rPr>
            </w:pPr>
          </w:p>
        </w:tc>
      </w:tr>
      <w:tr w:rsidR="00C63B29" w:rsidTr="006F2A9C">
        <w:tc>
          <w:tcPr>
            <w:cnfStyle w:val="001000000000" w:firstRow="0" w:lastRow="0" w:firstColumn="1" w:lastColumn="0" w:oddVBand="0" w:evenVBand="0" w:oddHBand="0" w:evenHBand="0" w:firstRowFirstColumn="0" w:firstRowLastColumn="0" w:lastRowFirstColumn="0" w:lastRowLastColumn="0"/>
            <w:tcW w:w="4219" w:type="dxa"/>
          </w:tcPr>
          <w:p w:rsidR="00C63B29" w:rsidRDefault="003C6B7A" w:rsidP="00B80AEE">
            <w:r>
              <w:t>Temporary supply connection and with co</w:t>
            </w:r>
            <w:r>
              <w:noBreakHyphen/>
              <w:t>incident disconnection</w:t>
            </w:r>
          </w:p>
        </w:tc>
        <w:tc>
          <w:tcPr>
            <w:tcW w:w="1559" w:type="dxa"/>
          </w:tcPr>
          <w:p w:rsidR="00C63B29" w:rsidRDefault="003C6B7A" w:rsidP="00B80AEE">
            <w:pPr>
              <w:cnfStyle w:val="000000000000" w:firstRow="0" w:lastRow="0" w:firstColumn="0" w:lastColumn="0" w:oddVBand="0" w:evenVBand="0" w:oddHBand="0" w:evenHBand="0" w:firstRowFirstColumn="0" w:firstRowLastColumn="0" w:lastRowFirstColumn="0" w:lastRowLastColumn="0"/>
            </w:pPr>
            <w:r>
              <w:t>Business hours</w:t>
            </w:r>
          </w:p>
        </w:tc>
        <w:tc>
          <w:tcPr>
            <w:tcW w:w="1457" w:type="dxa"/>
          </w:tcPr>
          <w:p w:rsidR="00C63B29" w:rsidRDefault="003C6B7A" w:rsidP="00B80AEE">
            <w:pPr>
              <w:cnfStyle w:val="000000000000" w:firstRow="0" w:lastRow="0" w:firstColumn="0" w:lastColumn="0" w:oddVBand="0" w:evenVBand="0" w:oddHBand="0" w:evenHBand="0" w:firstRowFirstColumn="0" w:firstRowLastColumn="0" w:lastRowFirstColumn="0" w:lastRowLastColumn="0"/>
            </w:pPr>
            <w:r>
              <w:t>368.80</w:t>
            </w:r>
          </w:p>
        </w:tc>
        <w:tc>
          <w:tcPr>
            <w:tcW w:w="1458" w:type="dxa"/>
          </w:tcPr>
          <w:p w:rsidR="00C63B29" w:rsidRDefault="00E74397" w:rsidP="00B80AEE">
            <w:pPr>
              <w:cnfStyle w:val="000000000000" w:firstRow="0" w:lastRow="0" w:firstColumn="0" w:lastColumn="0" w:oddVBand="0" w:evenVBand="0" w:oddHBand="0" w:evenHBand="0" w:firstRowFirstColumn="0" w:firstRowLastColumn="0" w:lastRowFirstColumn="0" w:lastRowLastColumn="0"/>
            </w:pPr>
            <w:r>
              <w:t>325.73</w:t>
            </w:r>
          </w:p>
        </w:tc>
      </w:tr>
      <w:tr w:rsidR="00C63B29" w:rsidTr="006F2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C63B29" w:rsidRDefault="00C63B29" w:rsidP="00B80AEE"/>
        </w:tc>
        <w:tc>
          <w:tcPr>
            <w:tcW w:w="1559" w:type="dxa"/>
          </w:tcPr>
          <w:p w:rsidR="00C63B29" w:rsidRDefault="003C6B7A" w:rsidP="00B80AEE">
            <w:pPr>
              <w:cnfStyle w:val="000000010000" w:firstRow="0" w:lastRow="0" w:firstColumn="0" w:lastColumn="0" w:oddVBand="0" w:evenVBand="0" w:oddHBand="0" w:evenHBand="1" w:firstRowFirstColumn="0" w:firstRowLastColumn="0" w:lastRowFirstColumn="0" w:lastRowLastColumn="0"/>
            </w:pPr>
            <w:r>
              <w:t>After hours</w:t>
            </w:r>
          </w:p>
        </w:tc>
        <w:tc>
          <w:tcPr>
            <w:tcW w:w="1457" w:type="dxa"/>
          </w:tcPr>
          <w:p w:rsidR="00C63B29" w:rsidRDefault="003C6B7A" w:rsidP="00B80AEE">
            <w:pPr>
              <w:cnfStyle w:val="000000010000" w:firstRow="0" w:lastRow="0" w:firstColumn="0" w:lastColumn="0" w:oddVBand="0" w:evenVBand="0" w:oddHBand="0" w:evenHBand="1" w:firstRowFirstColumn="0" w:firstRowLastColumn="0" w:lastRowFirstColumn="0" w:lastRowLastColumn="0"/>
            </w:pPr>
            <w:r>
              <w:t>437.00</w:t>
            </w:r>
          </w:p>
        </w:tc>
        <w:tc>
          <w:tcPr>
            <w:tcW w:w="1458" w:type="dxa"/>
          </w:tcPr>
          <w:p w:rsidR="00C63B29" w:rsidRDefault="00E74397" w:rsidP="00B80AEE">
            <w:pPr>
              <w:cnfStyle w:val="000000010000" w:firstRow="0" w:lastRow="0" w:firstColumn="0" w:lastColumn="0" w:oddVBand="0" w:evenVBand="0" w:oddHBand="0" w:evenHBand="1" w:firstRowFirstColumn="0" w:firstRowLastColumn="0" w:lastRowFirstColumn="0" w:lastRowLastColumn="0"/>
            </w:pPr>
            <w:r>
              <w:t>413.69</w:t>
            </w:r>
          </w:p>
        </w:tc>
      </w:tr>
      <w:tr w:rsidR="00C63B29" w:rsidTr="006F2A9C">
        <w:tc>
          <w:tcPr>
            <w:cnfStyle w:val="001000000000" w:firstRow="0" w:lastRow="0" w:firstColumn="1" w:lastColumn="0" w:oddVBand="0" w:evenVBand="0" w:oddHBand="0" w:evenHBand="0" w:firstRowFirstColumn="0" w:firstRowLastColumn="0" w:lastRowFirstColumn="0" w:lastRowLastColumn="0"/>
            <w:tcW w:w="4219" w:type="dxa"/>
          </w:tcPr>
          <w:p w:rsidR="00C63B29" w:rsidRDefault="003C6B7A" w:rsidP="00B80AEE">
            <w:r>
              <w:t>Pre</w:t>
            </w:r>
            <w:r>
              <w:noBreakHyphen/>
              <w:t>approval of PV and small generator installation – &lt;4.6kW</w:t>
            </w:r>
          </w:p>
        </w:tc>
        <w:tc>
          <w:tcPr>
            <w:tcW w:w="1559" w:type="dxa"/>
          </w:tcPr>
          <w:p w:rsidR="00C63B29" w:rsidRDefault="003C6B7A" w:rsidP="00B80AEE">
            <w:pPr>
              <w:cnfStyle w:val="000000000000" w:firstRow="0" w:lastRow="0" w:firstColumn="0" w:lastColumn="0" w:oddVBand="0" w:evenVBand="0" w:oddHBand="0" w:evenHBand="0" w:firstRowFirstColumn="0" w:firstRowLastColumn="0" w:lastRowFirstColumn="0" w:lastRowLastColumn="0"/>
            </w:pPr>
            <w:r>
              <w:t>Business hours</w:t>
            </w:r>
          </w:p>
        </w:tc>
        <w:tc>
          <w:tcPr>
            <w:tcW w:w="1457" w:type="dxa"/>
          </w:tcPr>
          <w:p w:rsidR="00C63B29" w:rsidRDefault="003C6B7A" w:rsidP="00B80AEE">
            <w:pPr>
              <w:cnfStyle w:val="000000000000" w:firstRow="0" w:lastRow="0" w:firstColumn="0" w:lastColumn="0" w:oddVBand="0" w:evenVBand="0" w:oddHBand="0" w:evenHBand="0" w:firstRowFirstColumn="0" w:firstRowLastColumn="0" w:lastRowFirstColumn="0" w:lastRowLastColumn="0"/>
            </w:pPr>
            <w:r>
              <w:t>$0</w:t>
            </w:r>
          </w:p>
        </w:tc>
        <w:tc>
          <w:tcPr>
            <w:tcW w:w="1458" w:type="dxa"/>
          </w:tcPr>
          <w:p w:rsidR="00C63B29" w:rsidRDefault="00E74397" w:rsidP="00B80AEE">
            <w:pPr>
              <w:cnfStyle w:val="000000000000" w:firstRow="0" w:lastRow="0" w:firstColumn="0" w:lastColumn="0" w:oddVBand="0" w:evenVBand="0" w:oddHBand="0" w:evenHBand="0" w:firstRowFirstColumn="0" w:firstRowLastColumn="0" w:lastRowFirstColumn="0" w:lastRowLastColumn="0"/>
            </w:pPr>
            <w:r>
              <w:t>$0</w:t>
            </w:r>
          </w:p>
        </w:tc>
      </w:tr>
      <w:tr w:rsidR="00C63B29" w:rsidTr="006F2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C63B29" w:rsidRDefault="003C6B7A" w:rsidP="00B80AEE">
            <w:r>
              <w:t>Pre</w:t>
            </w:r>
            <w:r>
              <w:noBreakHyphen/>
              <w:t>approval of PV and small generator installation – &gt;4.6kW to 15kW</w:t>
            </w:r>
          </w:p>
        </w:tc>
        <w:tc>
          <w:tcPr>
            <w:tcW w:w="1559" w:type="dxa"/>
          </w:tcPr>
          <w:p w:rsidR="00C63B29" w:rsidRDefault="003C6B7A" w:rsidP="00B80AEE">
            <w:pPr>
              <w:cnfStyle w:val="000000010000" w:firstRow="0" w:lastRow="0" w:firstColumn="0" w:lastColumn="0" w:oddVBand="0" w:evenVBand="0" w:oddHBand="0" w:evenHBand="1" w:firstRowFirstColumn="0" w:firstRowLastColumn="0" w:lastRowFirstColumn="0" w:lastRowLastColumn="0"/>
            </w:pPr>
            <w:r>
              <w:t>Business hours</w:t>
            </w:r>
          </w:p>
        </w:tc>
        <w:tc>
          <w:tcPr>
            <w:tcW w:w="1457" w:type="dxa"/>
          </w:tcPr>
          <w:p w:rsidR="00C63B29" w:rsidRDefault="003C6B7A" w:rsidP="00B80AEE">
            <w:pPr>
              <w:cnfStyle w:val="000000010000" w:firstRow="0" w:lastRow="0" w:firstColumn="0" w:lastColumn="0" w:oddVBand="0" w:evenVBand="0" w:oddHBand="0" w:evenHBand="1" w:firstRowFirstColumn="0" w:firstRowLastColumn="0" w:lastRowFirstColumn="0" w:lastRowLastColumn="0"/>
            </w:pPr>
            <w:r>
              <w:t>147.79</w:t>
            </w:r>
          </w:p>
        </w:tc>
        <w:tc>
          <w:tcPr>
            <w:tcW w:w="1458" w:type="dxa"/>
          </w:tcPr>
          <w:p w:rsidR="00C63B29" w:rsidRDefault="00E74397" w:rsidP="00B80AEE">
            <w:pPr>
              <w:cnfStyle w:val="000000010000" w:firstRow="0" w:lastRow="0" w:firstColumn="0" w:lastColumn="0" w:oddVBand="0" w:evenVBand="0" w:oddHBand="0" w:evenHBand="1" w:firstRowFirstColumn="0" w:firstRowLastColumn="0" w:lastRowFirstColumn="0" w:lastRowLastColumn="0"/>
            </w:pPr>
            <w:r>
              <w:t>142.87</w:t>
            </w:r>
          </w:p>
        </w:tc>
      </w:tr>
      <w:tr w:rsidR="00C63B29" w:rsidTr="006F2A9C">
        <w:tc>
          <w:tcPr>
            <w:cnfStyle w:val="001000000000" w:firstRow="0" w:lastRow="0" w:firstColumn="1" w:lastColumn="0" w:oddVBand="0" w:evenVBand="0" w:oddHBand="0" w:evenHBand="0" w:firstRowFirstColumn="0" w:firstRowLastColumn="0" w:lastRowFirstColumn="0" w:lastRowLastColumn="0"/>
            <w:tcW w:w="4219" w:type="dxa"/>
          </w:tcPr>
          <w:p w:rsidR="00C63B29" w:rsidRDefault="003A045E" w:rsidP="00B80AEE">
            <w:r>
              <w:t>Pre</w:t>
            </w:r>
            <w:r>
              <w:noBreakHyphen/>
              <w:t>approval of PV and small generator installation – &gt;15kW to 30kW</w:t>
            </w:r>
          </w:p>
        </w:tc>
        <w:tc>
          <w:tcPr>
            <w:tcW w:w="1559" w:type="dxa"/>
          </w:tcPr>
          <w:p w:rsidR="00C63B29" w:rsidRDefault="003A045E" w:rsidP="00B80AEE">
            <w:pPr>
              <w:cnfStyle w:val="000000000000" w:firstRow="0" w:lastRow="0" w:firstColumn="0" w:lastColumn="0" w:oddVBand="0" w:evenVBand="0" w:oddHBand="0" w:evenHBand="0" w:firstRowFirstColumn="0" w:firstRowLastColumn="0" w:lastRowFirstColumn="0" w:lastRowLastColumn="0"/>
            </w:pPr>
            <w:r>
              <w:t>Business hours</w:t>
            </w:r>
          </w:p>
        </w:tc>
        <w:tc>
          <w:tcPr>
            <w:tcW w:w="1457" w:type="dxa"/>
          </w:tcPr>
          <w:p w:rsidR="00C63B29" w:rsidRDefault="003A045E" w:rsidP="00B80AEE">
            <w:pPr>
              <w:cnfStyle w:val="000000000000" w:firstRow="0" w:lastRow="0" w:firstColumn="0" w:lastColumn="0" w:oddVBand="0" w:evenVBand="0" w:oddHBand="0" w:evenHBand="0" w:firstRowFirstColumn="0" w:firstRowLastColumn="0" w:lastRowFirstColumn="0" w:lastRowLastColumn="0"/>
            </w:pPr>
            <w:r>
              <w:t>195.91</w:t>
            </w:r>
          </w:p>
        </w:tc>
        <w:tc>
          <w:tcPr>
            <w:tcW w:w="1458" w:type="dxa"/>
          </w:tcPr>
          <w:p w:rsidR="00C63B29" w:rsidRDefault="00E74397" w:rsidP="00B80AEE">
            <w:pPr>
              <w:cnfStyle w:val="000000000000" w:firstRow="0" w:lastRow="0" w:firstColumn="0" w:lastColumn="0" w:oddVBand="0" w:evenVBand="0" w:oddHBand="0" w:evenHBand="0" w:firstRowFirstColumn="0" w:firstRowLastColumn="0" w:lastRowFirstColumn="0" w:lastRowLastColumn="0"/>
            </w:pPr>
            <w:r>
              <w:t>189.40</w:t>
            </w:r>
          </w:p>
        </w:tc>
      </w:tr>
      <w:tr w:rsidR="00C63B29" w:rsidTr="006F2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C63B29" w:rsidRDefault="003A045E" w:rsidP="00B80AEE">
            <w:r>
              <w:t>Meter exchange upon solar connection</w:t>
            </w:r>
          </w:p>
        </w:tc>
        <w:tc>
          <w:tcPr>
            <w:tcW w:w="1559" w:type="dxa"/>
          </w:tcPr>
          <w:p w:rsidR="00C63B29" w:rsidRDefault="003A045E" w:rsidP="00B80AEE">
            <w:pPr>
              <w:cnfStyle w:val="000000010000" w:firstRow="0" w:lastRow="0" w:firstColumn="0" w:lastColumn="0" w:oddVBand="0" w:evenVBand="0" w:oddHBand="0" w:evenHBand="1" w:firstRowFirstColumn="0" w:firstRowLastColumn="0" w:lastRowFirstColumn="0" w:lastRowLastColumn="0"/>
            </w:pPr>
            <w:r>
              <w:t>Business hours</w:t>
            </w:r>
          </w:p>
        </w:tc>
        <w:tc>
          <w:tcPr>
            <w:tcW w:w="1457" w:type="dxa"/>
          </w:tcPr>
          <w:p w:rsidR="00C63B29" w:rsidRDefault="003A045E" w:rsidP="00B80AEE">
            <w:pPr>
              <w:cnfStyle w:val="000000010000" w:firstRow="0" w:lastRow="0" w:firstColumn="0" w:lastColumn="0" w:oddVBand="0" w:evenVBand="0" w:oddHBand="0" w:evenHBand="1" w:firstRowFirstColumn="0" w:firstRowLastColumn="0" w:lastRowFirstColumn="0" w:lastRowLastColumn="0"/>
            </w:pPr>
            <w:r>
              <w:t>Applicable exit fee plus service truck visit in the year the service is requested</w:t>
            </w:r>
          </w:p>
        </w:tc>
        <w:tc>
          <w:tcPr>
            <w:tcW w:w="1458" w:type="dxa"/>
          </w:tcPr>
          <w:p w:rsidR="00C63B29" w:rsidRDefault="00305030" w:rsidP="00B80AEE">
            <w:pPr>
              <w:cnfStyle w:val="000000010000" w:firstRow="0" w:lastRow="0" w:firstColumn="0" w:lastColumn="0" w:oddVBand="0" w:evenVBand="0" w:oddHBand="0" w:evenHBand="1" w:firstRowFirstColumn="0" w:firstRowLastColumn="0" w:lastRowFirstColumn="0" w:lastRowLastColumn="0"/>
            </w:pPr>
            <w:r w:rsidRPr="00305030">
              <w:t>Applicable exit fee plus service truck visit in the year the service is requested</w:t>
            </w:r>
          </w:p>
        </w:tc>
      </w:tr>
      <w:tr w:rsidR="00C63B29" w:rsidTr="006F2A9C">
        <w:tc>
          <w:tcPr>
            <w:cnfStyle w:val="001000000000" w:firstRow="0" w:lastRow="0" w:firstColumn="1" w:lastColumn="0" w:oddVBand="0" w:evenVBand="0" w:oddHBand="0" w:evenHBand="0" w:firstRowFirstColumn="0" w:firstRowLastColumn="0" w:lastRowFirstColumn="0" w:lastRowLastColumn="0"/>
            <w:tcW w:w="4219" w:type="dxa"/>
          </w:tcPr>
          <w:p w:rsidR="00C63B29" w:rsidRDefault="00C63B29" w:rsidP="00B80AEE"/>
        </w:tc>
        <w:tc>
          <w:tcPr>
            <w:tcW w:w="1559" w:type="dxa"/>
          </w:tcPr>
          <w:p w:rsidR="00C63B29" w:rsidRDefault="003A045E" w:rsidP="00B80AEE">
            <w:pPr>
              <w:cnfStyle w:val="000000000000" w:firstRow="0" w:lastRow="0" w:firstColumn="0" w:lastColumn="0" w:oddVBand="0" w:evenVBand="0" w:oddHBand="0" w:evenHBand="0" w:firstRowFirstColumn="0" w:firstRowLastColumn="0" w:lastRowFirstColumn="0" w:lastRowLastColumn="0"/>
            </w:pPr>
            <w:r>
              <w:t>After hours</w:t>
            </w:r>
          </w:p>
        </w:tc>
        <w:tc>
          <w:tcPr>
            <w:tcW w:w="1457" w:type="dxa"/>
          </w:tcPr>
          <w:p w:rsidR="00C63B29" w:rsidRDefault="003A045E" w:rsidP="00B80AEE">
            <w:pPr>
              <w:cnfStyle w:val="000000000000" w:firstRow="0" w:lastRow="0" w:firstColumn="0" w:lastColumn="0" w:oddVBand="0" w:evenVBand="0" w:oddHBand="0" w:evenHBand="0" w:firstRowFirstColumn="0" w:firstRowLastColumn="0" w:lastRowFirstColumn="0" w:lastRowLastColumn="0"/>
            </w:pPr>
            <w:r w:rsidRPr="003A045E">
              <w:t>Applicable exit fee plus service truck visit in the year the service is requested</w:t>
            </w:r>
          </w:p>
        </w:tc>
        <w:tc>
          <w:tcPr>
            <w:tcW w:w="1458" w:type="dxa"/>
          </w:tcPr>
          <w:p w:rsidR="00C63B29" w:rsidRDefault="00305030" w:rsidP="00B80AEE">
            <w:pPr>
              <w:cnfStyle w:val="000000000000" w:firstRow="0" w:lastRow="0" w:firstColumn="0" w:lastColumn="0" w:oddVBand="0" w:evenVBand="0" w:oddHBand="0" w:evenHBand="0" w:firstRowFirstColumn="0" w:firstRowLastColumn="0" w:lastRowFirstColumn="0" w:lastRowLastColumn="0"/>
            </w:pPr>
            <w:r w:rsidRPr="00305030">
              <w:t>Applicable exit fee plus service truck visit in the year the service is requested</w:t>
            </w:r>
          </w:p>
        </w:tc>
      </w:tr>
      <w:tr w:rsidR="00C63B29" w:rsidTr="006F2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C63B29" w:rsidRDefault="003A045E" w:rsidP="00B80AEE">
            <w:r>
              <w:t>Meter reconfiguration upon solar connection</w:t>
            </w:r>
          </w:p>
        </w:tc>
        <w:tc>
          <w:tcPr>
            <w:tcW w:w="1559" w:type="dxa"/>
          </w:tcPr>
          <w:p w:rsidR="00C63B29" w:rsidRDefault="003A045E" w:rsidP="00B80AEE">
            <w:pPr>
              <w:cnfStyle w:val="000000010000" w:firstRow="0" w:lastRow="0" w:firstColumn="0" w:lastColumn="0" w:oddVBand="0" w:evenVBand="0" w:oddHBand="0" w:evenHBand="1" w:firstRowFirstColumn="0" w:firstRowLastColumn="0" w:lastRowFirstColumn="0" w:lastRowLastColumn="0"/>
            </w:pPr>
            <w:r>
              <w:t>Business hours</w:t>
            </w:r>
          </w:p>
        </w:tc>
        <w:tc>
          <w:tcPr>
            <w:tcW w:w="1457" w:type="dxa"/>
          </w:tcPr>
          <w:p w:rsidR="00C63B29" w:rsidRDefault="003A045E" w:rsidP="00B80AEE">
            <w:pPr>
              <w:cnfStyle w:val="000000010000" w:firstRow="0" w:lastRow="0" w:firstColumn="0" w:lastColumn="0" w:oddVBand="0" w:evenVBand="0" w:oddHBand="0" w:evenHBand="1" w:firstRowFirstColumn="0" w:firstRowLastColumn="0" w:lastRowFirstColumn="0" w:lastRowLastColumn="0"/>
            </w:pPr>
            <w:r>
              <w:t>27.07</w:t>
            </w:r>
          </w:p>
        </w:tc>
        <w:tc>
          <w:tcPr>
            <w:tcW w:w="1458" w:type="dxa"/>
          </w:tcPr>
          <w:p w:rsidR="00C63B29" w:rsidRDefault="00E74397" w:rsidP="00B80AEE">
            <w:pPr>
              <w:cnfStyle w:val="000000010000" w:firstRow="0" w:lastRow="0" w:firstColumn="0" w:lastColumn="0" w:oddVBand="0" w:evenVBand="0" w:oddHBand="0" w:evenHBand="1" w:firstRowFirstColumn="0" w:firstRowLastColumn="0" w:lastRowFirstColumn="0" w:lastRowLastColumn="0"/>
            </w:pPr>
            <w:r>
              <w:t>27.07</w:t>
            </w:r>
          </w:p>
        </w:tc>
      </w:tr>
      <w:tr w:rsidR="00C63B29" w:rsidRPr="003A045E" w:rsidTr="006F2A9C">
        <w:tc>
          <w:tcPr>
            <w:cnfStyle w:val="001000000000" w:firstRow="0" w:lastRow="0" w:firstColumn="1" w:lastColumn="0" w:oddVBand="0" w:evenVBand="0" w:oddHBand="0" w:evenHBand="0" w:firstRowFirstColumn="0" w:firstRowLastColumn="0" w:lastRowFirstColumn="0" w:lastRowLastColumn="0"/>
            <w:tcW w:w="4219" w:type="dxa"/>
          </w:tcPr>
          <w:p w:rsidR="00C63B29" w:rsidRPr="003A045E" w:rsidRDefault="003A045E" w:rsidP="00B80AEE">
            <w:pPr>
              <w:rPr>
                <w:rStyle w:val="Strong"/>
              </w:rPr>
            </w:pPr>
            <w:r w:rsidRPr="003A045E">
              <w:rPr>
                <w:rStyle w:val="Strong"/>
              </w:rPr>
              <w:t>Other fee based ancillary network services</w:t>
            </w:r>
          </w:p>
        </w:tc>
        <w:tc>
          <w:tcPr>
            <w:tcW w:w="1559" w:type="dxa"/>
          </w:tcPr>
          <w:p w:rsidR="00C63B29" w:rsidRPr="003A045E" w:rsidRDefault="00C63B29" w:rsidP="00B80AEE">
            <w:pPr>
              <w:cnfStyle w:val="000000000000" w:firstRow="0" w:lastRow="0" w:firstColumn="0" w:lastColumn="0" w:oddVBand="0" w:evenVBand="0" w:oddHBand="0" w:evenHBand="0" w:firstRowFirstColumn="0" w:firstRowLastColumn="0" w:lastRowFirstColumn="0" w:lastRowLastColumn="0"/>
              <w:rPr>
                <w:rStyle w:val="Strong"/>
              </w:rPr>
            </w:pPr>
          </w:p>
        </w:tc>
        <w:tc>
          <w:tcPr>
            <w:tcW w:w="1457" w:type="dxa"/>
          </w:tcPr>
          <w:p w:rsidR="00C63B29" w:rsidRPr="003A045E" w:rsidRDefault="00C63B29" w:rsidP="00B80AEE">
            <w:pPr>
              <w:cnfStyle w:val="000000000000" w:firstRow="0" w:lastRow="0" w:firstColumn="0" w:lastColumn="0" w:oddVBand="0" w:evenVBand="0" w:oddHBand="0" w:evenHBand="0" w:firstRowFirstColumn="0" w:firstRowLastColumn="0" w:lastRowFirstColumn="0" w:lastRowLastColumn="0"/>
              <w:rPr>
                <w:rStyle w:val="Strong"/>
              </w:rPr>
            </w:pPr>
          </w:p>
        </w:tc>
        <w:tc>
          <w:tcPr>
            <w:tcW w:w="1458" w:type="dxa"/>
          </w:tcPr>
          <w:p w:rsidR="00C63B29" w:rsidRPr="003A045E" w:rsidRDefault="00C63B29" w:rsidP="00B80AEE">
            <w:pPr>
              <w:cnfStyle w:val="000000000000" w:firstRow="0" w:lastRow="0" w:firstColumn="0" w:lastColumn="0" w:oddVBand="0" w:evenVBand="0" w:oddHBand="0" w:evenHBand="0" w:firstRowFirstColumn="0" w:firstRowLastColumn="0" w:lastRowFirstColumn="0" w:lastRowLastColumn="0"/>
              <w:rPr>
                <w:rStyle w:val="Strong"/>
              </w:rPr>
            </w:pPr>
          </w:p>
        </w:tc>
      </w:tr>
      <w:tr w:rsidR="00C63B29" w:rsidTr="006F2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C63B29" w:rsidRDefault="003A045E" w:rsidP="00B80AEE">
            <w:r>
              <w:t>Field officer visits</w:t>
            </w:r>
          </w:p>
        </w:tc>
        <w:tc>
          <w:tcPr>
            <w:tcW w:w="1559" w:type="dxa"/>
          </w:tcPr>
          <w:p w:rsidR="00C63B29" w:rsidRDefault="003A045E" w:rsidP="00B80AEE">
            <w:pPr>
              <w:cnfStyle w:val="000000010000" w:firstRow="0" w:lastRow="0" w:firstColumn="0" w:lastColumn="0" w:oddVBand="0" w:evenVBand="0" w:oddHBand="0" w:evenHBand="1" w:firstRowFirstColumn="0" w:firstRowLastColumn="0" w:lastRowFirstColumn="0" w:lastRowLastColumn="0"/>
            </w:pPr>
            <w:r>
              <w:t>Business hours</w:t>
            </w:r>
          </w:p>
        </w:tc>
        <w:tc>
          <w:tcPr>
            <w:tcW w:w="1457" w:type="dxa"/>
          </w:tcPr>
          <w:p w:rsidR="00C63B29" w:rsidRDefault="003A045E" w:rsidP="00B80AEE">
            <w:pPr>
              <w:cnfStyle w:val="000000010000" w:firstRow="0" w:lastRow="0" w:firstColumn="0" w:lastColumn="0" w:oddVBand="0" w:evenVBand="0" w:oddHBand="0" w:evenHBand="1" w:firstRowFirstColumn="0" w:firstRowLastColumn="0" w:lastRowFirstColumn="0" w:lastRowLastColumn="0"/>
            </w:pPr>
            <w:r>
              <w:t>18.46</w:t>
            </w:r>
          </w:p>
        </w:tc>
        <w:tc>
          <w:tcPr>
            <w:tcW w:w="1458" w:type="dxa"/>
          </w:tcPr>
          <w:p w:rsidR="00C63B29" w:rsidRDefault="00E74397" w:rsidP="00B80AEE">
            <w:pPr>
              <w:cnfStyle w:val="000000010000" w:firstRow="0" w:lastRow="0" w:firstColumn="0" w:lastColumn="0" w:oddVBand="0" w:evenVBand="0" w:oddHBand="0" w:evenHBand="1" w:firstRowFirstColumn="0" w:firstRowLastColumn="0" w:lastRowFirstColumn="0" w:lastRowLastColumn="0"/>
            </w:pPr>
            <w:r>
              <w:t>17.95</w:t>
            </w:r>
          </w:p>
        </w:tc>
      </w:tr>
      <w:tr w:rsidR="003A045E" w:rsidTr="006F2A9C">
        <w:tc>
          <w:tcPr>
            <w:cnfStyle w:val="001000000000" w:firstRow="0" w:lastRow="0" w:firstColumn="1" w:lastColumn="0" w:oddVBand="0" w:evenVBand="0" w:oddHBand="0" w:evenHBand="0" w:firstRowFirstColumn="0" w:firstRowLastColumn="0" w:lastRowFirstColumn="0" w:lastRowLastColumn="0"/>
            <w:tcW w:w="4219" w:type="dxa"/>
          </w:tcPr>
          <w:p w:rsidR="003A045E" w:rsidRDefault="003A045E" w:rsidP="00B80AEE"/>
        </w:tc>
        <w:tc>
          <w:tcPr>
            <w:tcW w:w="1559" w:type="dxa"/>
          </w:tcPr>
          <w:p w:rsidR="003A045E" w:rsidRDefault="003A045E" w:rsidP="00B80AEE">
            <w:pPr>
              <w:cnfStyle w:val="000000000000" w:firstRow="0" w:lastRow="0" w:firstColumn="0" w:lastColumn="0" w:oddVBand="0" w:evenVBand="0" w:oddHBand="0" w:evenHBand="0" w:firstRowFirstColumn="0" w:firstRowLastColumn="0" w:lastRowFirstColumn="0" w:lastRowLastColumn="0"/>
            </w:pPr>
            <w:r>
              <w:t>After hours</w:t>
            </w:r>
          </w:p>
        </w:tc>
        <w:tc>
          <w:tcPr>
            <w:tcW w:w="1457" w:type="dxa"/>
          </w:tcPr>
          <w:p w:rsidR="003A045E" w:rsidRDefault="003A045E" w:rsidP="00B80AEE">
            <w:pPr>
              <w:cnfStyle w:val="000000000000" w:firstRow="0" w:lastRow="0" w:firstColumn="0" w:lastColumn="0" w:oddVBand="0" w:evenVBand="0" w:oddHBand="0" w:evenHBand="0" w:firstRowFirstColumn="0" w:firstRowLastColumn="0" w:lastRowFirstColumn="0" w:lastRowLastColumn="0"/>
            </w:pPr>
            <w:r>
              <w:t>340.98</w:t>
            </w:r>
          </w:p>
        </w:tc>
        <w:tc>
          <w:tcPr>
            <w:tcW w:w="1458" w:type="dxa"/>
          </w:tcPr>
          <w:p w:rsidR="003A045E" w:rsidRDefault="00E74397" w:rsidP="00B80AEE">
            <w:pPr>
              <w:cnfStyle w:val="000000000000" w:firstRow="0" w:lastRow="0" w:firstColumn="0" w:lastColumn="0" w:oddVBand="0" w:evenVBand="0" w:oddHBand="0" w:evenHBand="0" w:firstRowFirstColumn="0" w:firstRowLastColumn="0" w:lastRowFirstColumn="0" w:lastRowLastColumn="0"/>
            </w:pPr>
            <w:r>
              <w:t>322.80</w:t>
            </w:r>
          </w:p>
        </w:tc>
      </w:tr>
      <w:tr w:rsidR="003A045E" w:rsidTr="006F2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3A045E" w:rsidRDefault="003A045E" w:rsidP="00B80AEE">
            <w:r>
              <w:t>Service truck visits</w:t>
            </w:r>
          </w:p>
        </w:tc>
        <w:tc>
          <w:tcPr>
            <w:tcW w:w="1559" w:type="dxa"/>
          </w:tcPr>
          <w:p w:rsidR="003A045E" w:rsidRDefault="003A045E" w:rsidP="00B80AEE">
            <w:pPr>
              <w:cnfStyle w:val="000000010000" w:firstRow="0" w:lastRow="0" w:firstColumn="0" w:lastColumn="0" w:oddVBand="0" w:evenVBand="0" w:oddHBand="0" w:evenHBand="1" w:firstRowFirstColumn="0" w:firstRowLastColumn="0" w:lastRowFirstColumn="0" w:lastRowLastColumn="0"/>
            </w:pPr>
            <w:r>
              <w:t>Business hours</w:t>
            </w:r>
          </w:p>
        </w:tc>
        <w:tc>
          <w:tcPr>
            <w:tcW w:w="1457" w:type="dxa"/>
          </w:tcPr>
          <w:p w:rsidR="003A045E" w:rsidRDefault="003A045E" w:rsidP="00B80AEE">
            <w:pPr>
              <w:cnfStyle w:val="000000010000" w:firstRow="0" w:lastRow="0" w:firstColumn="0" w:lastColumn="0" w:oddVBand="0" w:evenVBand="0" w:oddHBand="0" w:evenHBand="1" w:firstRowFirstColumn="0" w:firstRowLastColumn="0" w:lastRowFirstColumn="0" w:lastRowLastColumn="0"/>
            </w:pPr>
            <w:r>
              <w:t>368.80</w:t>
            </w:r>
          </w:p>
        </w:tc>
        <w:tc>
          <w:tcPr>
            <w:tcW w:w="1458" w:type="dxa"/>
          </w:tcPr>
          <w:p w:rsidR="003A045E" w:rsidRDefault="00E74397" w:rsidP="00B80AEE">
            <w:pPr>
              <w:cnfStyle w:val="000000010000" w:firstRow="0" w:lastRow="0" w:firstColumn="0" w:lastColumn="0" w:oddVBand="0" w:evenVBand="0" w:oddHBand="0" w:evenHBand="1" w:firstRowFirstColumn="0" w:firstRowLastColumn="0" w:lastRowFirstColumn="0" w:lastRowLastColumn="0"/>
            </w:pPr>
            <w:r>
              <w:t>325.73</w:t>
            </w:r>
          </w:p>
        </w:tc>
      </w:tr>
      <w:tr w:rsidR="003A045E" w:rsidTr="006F2A9C">
        <w:tc>
          <w:tcPr>
            <w:cnfStyle w:val="001000000000" w:firstRow="0" w:lastRow="0" w:firstColumn="1" w:lastColumn="0" w:oddVBand="0" w:evenVBand="0" w:oddHBand="0" w:evenHBand="0" w:firstRowFirstColumn="0" w:firstRowLastColumn="0" w:lastRowFirstColumn="0" w:lastRowLastColumn="0"/>
            <w:tcW w:w="4219" w:type="dxa"/>
          </w:tcPr>
          <w:p w:rsidR="003A045E" w:rsidRDefault="003A045E" w:rsidP="00B80AEE"/>
        </w:tc>
        <w:tc>
          <w:tcPr>
            <w:tcW w:w="1559" w:type="dxa"/>
          </w:tcPr>
          <w:p w:rsidR="003A045E" w:rsidRDefault="003A045E" w:rsidP="00B80AEE">
            <w:pPr>
              <w:cnfStyle w:val="000000000000" w:firstRow="0" w:lastRow="0" w:firstColumn="0" w:lastColumn="0" w:oddVBand="0" w:evenVBand="0" w:oddHBand="0" w:evenHBand="0" w:firstRowFirstColumn="0" w:firstRowLastColumn="0" w:lastRowFirstColumn="0" w:lastRowLastColumn="0"/>
            </w:pPr>
            <w:r>
              <w:t>After hours</w:t>
            </w:r>
          </w:p>
        </w:tc>
        <w:tc>
          <w:tcPr>
            <w:tcW w:w="1457" w:type="dxa"/>
          </w:tcPr>
          <w:p w:rsidR="003A045E" w:rsidRDefault="003A045E" w:rsidP="00B80AEE">
            <w:pPr>
              <w:cnfStyle w:val="000000000000" w:firstRow="0" w:lastRow="0" w:firstColumn="0" w:lastColumn="0" w:oddVBand="0" w:evenVBand="0" w:oddHBand="0" w:evenHBand="0" w:firstRowFirstColumn="0" w:firstRowLastColumn="0" w:lastRowFirstColumn="0" w:lastRowLastColumn="0"/>
            </w:pPr>
            <w:r>
              <w:t>437.00</w:t>
            </w:r>
          </w:p>
        </w:tc>
        <w:tc>
          <w:tcPr>
            <w:tcW w:w="1458" w:type="dxa"/>
          </w:tcPr>
          <w:p w:rsidR="003A045E" w:rsidRDefault="00E74397" w:rsidP="00B80AEE">
            <w:pPr>
              <w:cnfStyle w:val="000000000000" w:firstRow="0" w:lastRow="0" w:firstColumn="0" w:lastColumn="0" w:oddVBand="0" w:evenVBand="0" w:oddHBand="0" w:evenHBand="0" w:firstRowFirstColumn="0" w:firstRowLastColumn="0" w:lastRowFirstColumn="0" w:lastRowLastColumn="0"/>
            </w:pPr>
            <w:r>
              <w:t>413.69</w:t>
            </w:r>
          </w:p>
        </w:tc>
      </w:tr>
      <w:tr w:rsidR="003A045E" w:rsidTr="006F2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3A045E" w:rsidRDefault="003A045E" w:rsidP="00B80AEE">
            <w:r>
              <w:t>Wasted truck visit</w:t>
            </w:r>
          </w:p>
        </w:tc>
        <w:tc>
          <w:tcPr>
            <w:tcW w:w="1559" w:type="dxa"/>
          </w:tcPr>
          <w:p w:rsidR="003A045E" w:rsidRDefault="003A045E" w:rsidP="00B80AEE">
            <w:pPr>
              <w:cnfStyle w:val="000000010000" w:firstRow="0" w:lastRow="0" w:firstColumn="0" w:lastColumn="0" w:oddVBand="0" w:evenVBand="0" w:oddHBand="0" w:evenHBand="1" w:firstRowFirstColumn="0" w:firstRowLastColumn="0" w:lastRowFirstColumn="0" w:lastRowLastColumn="0"/>
            </w:pPr>
            <w:r>
              <w:t>Business hours</w:t>
            </w:r>
          </w:p>
        </w:tc>
        <w:tc>
          <w:tcPr>
            <w:tcW w:w="1457" w:type="dxa"/>
          </w:tcPr>
          <w:p w:rsidR="003A045E" w:rsidRDefault="003A045E" w:rsidP="00B80AEE">
            <w:pPr>
              <w:cnfStyle w:val="000000010000" w:firstRow="0" w:lastRow="0" w:firstColumn="0" w:lastColumn="0" w:oddVBand="0" w:evenVBand="0" w:oddHBand="0" w:evenHBand="1" w:firstRowFirstColumn="0" w:firstRowLastColumn="0" w:lastRowFirstColumn="0" w:lastRowLastColumn="0"/>
            </w:pPr>
            <w:r>
              <w:t>195.80</w:t>
            </w:r>
          </w:p>
        </w:tc>
        <w:tc>
          <w:tcPr>
            <w:tcW w:w="1458" w:type="dxa"/>
          </w:tcPr>
          <w:p w:rsidR="003A045E" w:rsidRDefault="00E74397" w:rsidP="00B80AEE">
            <w:pPr>
              <w:cnfStyle w:val="000000010000" w:firstRow="0" w:lastRow="0" w:firstColumn="0" w:lastColumn="0" w:oddVBand="0" w:evenVBand="0" w:oddHBand="0" w:evenHBand="1" w:firstRowFirstColumn="0" w:firstRowLastColumn="0" w:lastRowFirstColumn="0" w:lastRowLastColumn="0"/>
            </w:pPr>
            <w:r>
              <w:t>185.36</w:t>
            </w:r>
          </w:p>
        </w:tc>
      </w:tr>
      <w:tr w:rsidR="003A045E" w:rsidTr="006F2A9C">
        <w:tc>
          <w:tcPr>
            <w:cnfStyle w:val="001000000000" w:firstRow="0" w:lastRow="0" w:firstColumn="1" w:lastColumn="0" w:oddVBand="0" w:evenVBand="0" w:oddHBand="0" w:evenHBand="0" w:firstRowFirstColumn="0" w:firstRowLastColumn="0" w:lastRowFirstColumn="0" w:lastRowLastColumn="0"/>
            <w:tcW w:w="4219" w:type="dxa"/>
          </w:tcPr>
          <w:p w:rsidR="003A045E" w:rsidRDefault="003A045E" w:rsidP="00B80AEE"/>
        </w:tc>
        <w:tc>
          <w:tcPr>
            <w:tcW w:w="1559" w:type="dxa"/>
          </w:tcPr>
          <w:p w:rsidR="003A045E" w:rsidRDefault="003A045E" w:rsidP="00B80AEE">
            <w:pPr>
              <w:cnfStyle w:val="000000000000" w:firstRow="0" w:lastRow="0" w:firstColumn="0" w:lastColumn="0" w:oddVBand="0" w:evenVBand="0" w:oddHBand="0" w:evenHBand="0" w:firstRowFirstColumn="0" w:firstRowLastColumn="0" w:lastRowFirstColumn="0" w:lastRowLastColumn="0"/>
            </w:pPr>
            <w:r>
              <w:t>After hours</w:t>
            </w:r>
          </w:p>
        </w:tc>
        <w:tc>
          <w:tcPr>
            <w:tcW w:w="1457" w:type="dxa"/>
          </w:tcPr>
          <w:p w:rsidR="003A045E" w:rsidRDefault="003A045E" w:rsidP="00B80AEE">
            <w:pPr>
              <w:cnfStyle w:val="000000000000" w:firstRow="0" w:lastRow="0" w:firstColumn="0" w:lastColumn="0" w:oddVBand="0" w:evenVBand="0" w:oddHBand="0" w:evenHBand="0" w:firstRowFirstColumn="0" w:firstRowLastColumn="0" w:lastRowFirstColumn="0" w:lastRowLastColumn="0"/>
            </w:pPr>
            <w:r>
              <w:t>283.08</w:t>
            </w:r>
          </w:p>
        </w:tc>
        <w:tc>
          <w:tcPr>
            <w:tcW w:w="1458" w:type="dxa"/>
          </w:tcPr>
          <w:p w:rsidR="003A045E" w:rsidRDefault="00E74397" w:rsidP="00B80AEE">
            <w:pPr>
              <w:cnfStyle w:val="000000000000" w:firstRow="0" w:lastRow="0" w:firstColumn="0" w:lastColumn="0" w:oddVBand="0" w:evenVBand="0" w:oddHBand="0" w:evenHBand="0" w:firstRowFirstColumn="0" w:firstRowLastColumn="0" w:lastRowFirstColumn="0" w:lastRowLastColumn="0"/>
            </w:pPr>
            <w:r>
              <w:t>267.98</w:t>
            </w:r>
          </w:p>
        </w:tc>
      </w:tr>
      <w:tr w:rsidR="00C63B29" w:rsidTr="006F2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C63B29" w:rsidRDefault="003A045E" w:rsidP="00B80AEE">
            <w:r>
              <w:t>Meter equipment test – single phase</w:t>
            </w:r>
          </w:p>
        </w:tc>
        <w:tc>
          <w:tcPr>
            <w:tcW w:w="1559" w:type="dxa"/>
          </w:tcPr>
          <w:p w:rsidR="00C63B29" w:rsidRDefault="003A045E" w:rsidP="00B80AEE">
            <w:pPr>
              <w:cnfStyle w:val="000000010000" w:firstRow="0" w:lastRow="0" w:firstColumn="0" w:lastColumn="0" w:oddVBand="0" w:evenVBand="0" w:oddHBand="0" w:evenHBand="1" w:firstRowFirstColumn="0" w:firstRowLastColumn="0" w:lastRowFirstColumn="0" w:lastRowLastColumn="0"/>
            </w:pPr>
            <w:r>
              <w:t>Business hours</w:t>
            </w:r>
          </w:p>
        </w:tc>
        <w:tc>
          <w:tcPr>
            <w:tcW w:w="1457" w:type="dxa"/>
          </w:tcPr>
          <w:p w:rsidR="00C63B29" w:rsidRDefault="003A045E" w:rsidP="00B80AEE">
            <w:pPr>
              <w:cnfStyle w:val="000000010000" w:firstRow="0" w:lastRow="0" w:firstColumn="0" w:lastColumn="0" w:oddVBand="0" w:evenVBand="0" w:oddHBand="0" w:evenHBand="1" w:firstRowFirstColumn="0" w:firstRowLastColumn="0" w:lastRowFirstColumn="0" w:lastRowLastColumn="0"/>
            </w:pPr>
            <w:r>
              <w:t>158.67</w:t>
            </w:r>
          </w:p>
        </w:tc>
        <w:tc>
          <w:tcPr>
            <w:tcW w:w="1458" w:type="dxa"/>
          </w:tcPr>
          <w:p w:rsidR="00C63B29" w:rsidRDefault="00E74397" w:rsidP="00B80AEE">
            <w:pPr>
              <w:cnfStyle w:val="000000010000" w:firstRow="0" w:lastRow="0" w:firstColumn="0" w:lastColumn="0" w:oddVBand="0" w:evenVBand="0" w:oddHBand="0" w:evenHBand="1" w:firstRowFirstColumn="0" w:firstRowLastColumn="0" w:lastRowFirstColumn="0" w:lastRowLastColumn="0"/>
            </w:pPr>
            <w:r>
              <w:t>153.39</w:t>
            </w:r>
          </w:p>
        </w:tc>
      </w:tr>
      <w:tr w:rsidR="003A045E" w:rsidTr="006F2A9C">
        <w:tc>
          <w:tcPr>
            <w:cnfStyle w:val="001000000000" w:firstRow="0" w:lastRow="0" w:firstColumn="1" w:lastColumn="0" w:oddVBand="0" w:evenVBand="0" w:oddHBand="0" w:evenHBand="0" w:firstRowFirstColumn="0" w:firstRowLastColumn="0" w:lastRowFirstColumn="0" w:lastRowLastColumn="0"/>
            <w:tcW w:w="4219" w:type="dxa"/>
          </w:tcPr>
          <w:p w:rsidR="003A045E" w:rsidRDefault="003A045E" w:rsidP="00B80AEE">
            <w:r>
              <w:t>Meter equipment test – single phase each additional meter at same site</w:t>
            </w:r>
          </w:p>
        </w:tc>
        <w:tc>
          <w:tcPr>
            <w:tcW w:w="1559" w:type="dxa"/>
          </w:tcPr>
          <w:p w:rsidR="003A045E" w:rsidRDefault="003A045E" w:rsidP="00B80AEE">
            <w:pPr>
              <w:cnfStyle w:val="000000000000" w:firstRow="0" w:lastRow="0" w:firstColumn="0" w:lastColumn="0" w:oddVBand="0" w:evenVBand="0" w:oddHBand="0" w:evenHBand="0" w:firstRowFirstColumn="0" w:firstRowLastColumn="0" w:lastRowFirstColumn="0" w:lastRowLastColumn="0"/>
            </w:pPr>
            <w:r>
              <w:t>Business hours</w:t>
            </w:r>
          </w:p>
        </w:tc>
        <w:tc>
          <w:tcPr>
            <w:tcW w:w="1457" w:type="dxa"/>
          </w:tcPr>
          <w:p w:rsidR="003A045E" w:rsidRDefault="003A045E" w:rsidP="00B80AEE">
            <w:pPr>
              <w:cnfStyle w:val="000000000000" w:firstRow="0" w:lastRow="0" w:firstColumn="0" w:lastColumn="0" w:oddVBand="0" w:evenVBand="0" w:oddHBand="0" w:evenHBand="0" w:firstRowFirstColumn="0" w:firstRowLastColumn="0" w:lastRowFirstColumn="0" w:lastRowLastColumn="0"/>
            </w:pPr>
            <w:r>
              <w:t>59.11</w:t>
            </w:r>
          </w:p>
        </w:tc>
        <w:tc>
          <w:tcPr>
            <w:tcW w:w="1458" w:type="dxa"/>
          </w:tcPr>
          <w:p w:rsidR="003A045E" w:rsidRDefault="00E74397" w:rsidP="00B80AEE">
            <w:pPr>
              <w:cnfStyle w:val="000000000000" w:firstRow="0" w:lastRow="0" w:firstColumn="0" w:lastColumn="0" w:oddVBand="0" w:evenVBand="0" w:oddHBand="0" w:evenHBand="0" w:firstRowFirstColumn="0" w:firstRowLastColumn="0" w:lastRowFirstColumn="0" w:lastRowLastColumn="0"/>
            </w:pPr>
            <w:r>
              <w:t>57.15</w:t>
            </w:r>
          </w:p>
        </w:tc>
      </w:tr>
      <w:tr w:rsidR="003A045E" w:rsidTr="006F2A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3A045E" w:rsidRDefault="003A045E" w:rsidP="00B80AEE">
            <w:r>
              <w:t>Meter equipment test – multi phase</w:t>
            </w:r>
          </w:p>
        </w:tc>
        <w:tc>
          <w:tcPr>
            <w:tcW w:w="1559" w:type="dxa"/>
          </w:tcPr>
          <w:p w:rsidR="003A045E" w:rsidRDefault="003A045E" w:rsidP="00B80AEE">
            <w:pPr>
              <w:cnfStyle w:val="000000010000" w:firstRow="0" w:lastRow="0" w:firstColumn="0" w:lastColumn="0" w:oddVBand="0" w:evenVBand="0" w:oddHBand="0" w:evenHBand="1" w:firstRowFirstColumn="0" w:firstRowLastColumn="0" w:lastRowFirstColumn="0" w:lastRowLastColumn="0"/>
            </w:pPr>
            <w:r>
              <w:t>Business hours</w:t>
            </w:r>
          </w:p>
        </w:tc>
        <w:tc>
          <w:tcPr>
            <w:tcW w:w="1457" w:type="dxa"/>
          </w:tcPr>
          <w:p w:rsidR="003A045E" w:rsidRDefault="003A045E" w:rsidP="00B80AEE">
            <w:pPr>
              <w:cnfStyle w:val="000000010000" w:firstRow="0" w:lastRow="0" w:firstColumn="0" w:lastColumn="0" w:oddVBand="0" w:evenVBand="0" w:oddHBand="0" w:evenHBand="1" w:firstRowFirstColumn="0" w:firstRowLastColumn="0" w:lastRowFirstColumn="0" w:lastRowLastColumn="0"/>
            </w:pPr>
            <w:r>
              <w:t>188.23</w:t>
            </w:r>
          </w:p>
        </w:tc>
        <w:tc>
          <w:tcPr>
            <w:tcW w:w="1458" w:type="dxa"/>
          </w:tcPr>
          <w:p w:rsidR="003A045E" w:rsidRDefault="00E74397" w:rsidP="00B80AEE">
            <w:pPr>
              <w:cnfStyle w:val="000000010000" w:firstRow="0" w:lastRow="0" w:firstColumn="0" w:lastColumn="0" w:oddVBand="0" w:evenVBand="0" w:oddHBand="0" w:evenHBand="1" w:firstRowFirstColumn="0" w:firstRowLastColumn="0" w:lastRowFirstColumn="0" w:lastRowLastColumn="0"/>
            </w:pPr>
            <w:r>
              <w:t>181.97</w:t>
            </w:r>
          </w:p>
        </w:tc>
      </w:tr>
      <w:tr w:rsidR="003A045E" w:rsidTr="006F2A9C">
        <w:tc>
          <w:tcPr>
            <w:cnfStyle w:val="001000000000" w:firstRow="0" w:lastRow="0" w:firstColumn="1" w:lastColumn="0" w:oddVBand="0" w:evenVBand="0" w:oddHBand="0" w:evenHBand="0" w:firstRowFirstColumn="0" w:firstRowLastColumn="0" w:lastRowFirstColumn="0" w:lastRowLastColumn="0"/>
            <w:tcW w:w="4219" w:type="dxa"/>
          </w:tcPr>
          <w:p w:rsidR="00B80AEE" w:rsidRDefault="003A045E" w:rsidP="00B80AEE">
            <w:r>
              <w:t>Meter equipment test – multi phase each additional meter at same site</w:t>
            </w:r>
          </w:p>
        </w:tc>
        <w:tc>
          <w:tcPr>
            <w:tcW w:w="1559" w:type="dxa"/>
          </w:tcPr>
          <w:p w:rsidR="00B80AEE" w:rsidRDefault="003A045E" w:rsidP="00B80AEE">
            <w:pPr>
              <w:cnfStyle w:val="000000000000" w:firstRow="0" w:lastRow="0" w:firstColumn="0" w:lastColumn="0" w:oddVBand="0" w:evenVBand="0" w:oddHBand="0" w:evenHBand="0" w:firstRowFirstColumn="0" w:firstRowLastColumn="0" w:lastRowFirstColumn="0" w:lastRowLastColumn="0"/>
            </w:pPr>
            <w:r>
              <w:t>Business hours</w:t>
            </w:r>
          </w:p>
        </w:tc>
        <w:tc>
          <w:tcPr>
            <w:tcW w:w="1457" w:type="dxa"/>
          </w:tcPr>
          <w:p w:rsidR="00B80AEE" w:rsidRDefault="003A045E" w:rsidP="00B80AEE">
            <w:pPr>
              <w:cnfStyle w:val="000000000000" w:firstRow="0" w:lastRow="0" w:firstColumn="0" w:lastColumn="0" w:oddVBand="0" w:evenVBand="0" w:oddHBand="0" w:evenHBand="0" w:firstRowFirstColumn="0" w:firstRowLastColumn="0" w:lastRowFirstColumn="0" w:lastRowLastColumn="0"/>
            </w:pPr>
            <w:r>
              <w:t>88.67</w:t>
            </w:r>
          </w:p>
        </w:tc>
        <w:tc>
          <w:tcPr>
            <w:tcW w:w="1458" w:type="dxa"/>
          </w:tcPr>
          <w:p w:rsidR="00B80AEE" w:rsidRDefault="00E74397" w:rsidP="00B80AEE">
            <w:pPr>
              <w:cnfStyle w:val="000000000000" w:firstRow="0" w:lastRow="0" w:firstColumn="0" w:lastColumn="0" w:oddVBand="0" w:evenVBand="0" w:oddHBand="0" w:evenHBand="0" w:firstRowFirstColumn="0" w:firstRowLastColumn="0" w:lastRowFirstColumn="0" w:lastRowLastColumn="0"/>
            </w:pPr>
            <w:r>
              <w:t>85.72</w:t>
            </w:r>
          </w:p>
        </w:tc>
      </w:tr>
      <w:tr w:rsidR="003A6F80" w:rsidRPr="00514F94" w:rsidTr="00354C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gridSpan w:val="4"/>
          </w:tcPr>
          <w:p w:rsidR="003A6F80" w:rsidRPr="00514F94" w:rsidRDefault="003A6F80" w:rsidP="00B80AEE">
            <w:pPr>
              <w:rPr>
                <w:rStyle w:val="Strong"/>
              </w:rPr>
            </w:pPr>
            <w:r w:rsidRPr="003A6F80">
              <w:rPr>
                <w:rStyle w:val="Strong"/>
              </w:rPr>
              <w:t>Auxiliary Metering Services Charges (</w:t>
            </w:r>
            <w:r>
              <w:rPr>
                <w:rStyle w:val="Strong"/>
              </w:rPr>
              <w:t xml:space="preserve">$2016 </w:t>
            </w:r>
            <w:r w:rsidRPr="003A6F80">
              <w:rPr>
                <w:rStyle w:val="Strong"/>
              </w:rPr>
              <w:t>nominal)</w:t>
            </w:r>
          </w:p>
        </w:tc>
      </w:tr>
      <w:tr w:rsidR="00514F94" w:rsidTr="00354CAA">
        <w:tc>
          <w:tcPr>
            <w:cnfStyle w:val="001000000000" w:firstRow="0" w:lastRow="0" w:firstColumn="1" w:lastColumn="0" w:oddVBand="0" w:evenVBand="0" w:oddHBand="0" w:evenHBand="0" w:firstRowFirstColumn="0" w:firstRowLastColumn="0" w:lastRowFirstColumn="0" w:lastRowLastColumn="0"/>
            <w:tcW w:w="4219" w:type="dxa"/>
          </w:tcPr>
          <w:p w:rsidR="00514F94" w:rsidRPr="00514F94" w:rsidRDefault="00514F94" w:rsidP="00514F94">
            <w:r>
              <w:t>Remote re</w:t>
            </w:r>
            <w:r>
              <w:noBreakHyphen/>
              <w:t>energisation and de</w:t>
            </w:r>
            <w:r>
              <w:noBreakHyphen/>
              <w:t>energisation</w:t>
            </w:r>
            <w:r w:rsidRPr="00514F94">
              <w:rPr>
                <w:rStyle w:val="AERsuperscript"/>
              </w:rPr>
              <w:t>1</w:t>
            </w:r>
          </w:p>
        </w:tc>
        <w:tc>
          <w:tcPr>
            <w:tcW w:w="1559" w:type="dxa"/>
          </w:tcPr>
          <w:p w:rsidR="00514F94" w:rsidRPr="00514F94" w:rsidRDefault="00514F94" w:rsidP="00514F94">
            <w:pPr>
              <w:cnfStyle w:val="000000000000" w:firstRow="0" w:lastRow="0" w:firstColumn="0" w:lastColumn="0" w:oddVBand="0" w:evenVBand="0" w:oddHBand="0" w:evenHBand="0" w:firstRowFirstColumn="0" w:firstRowLastColumn="0" w:lastRowFirstColumn="0" w:lastRowLastColumn="0"/>
            </w:pPr>
            <w:r>
              <w:t>A</w:t>
            </w:r>
            <w:r w:rsidRPr="00514F94">
              <w:t>nytime</w:t>
            </w:r>
          </w:p>
        </w:tc>
        <w:tc>
          <w:tcPr>
            <w:tcW w:w="1457" w:type="dxa"/>
          </w:tcPr>
          <w:p w:rsidR="00514F94" w:rsidRPr="00514F94" w:rsidRDefault="00514F94" w:rsidP="00514F94">
            <w:pPr>
              <w:cnfStyle w:val="000000000000" w:firstRow="0" w:lastRow="0" w:firstColumn="0" w:lastColumn="0" w:oddVBand="0" w:evenVBand="0" w:oddHBand="0" w:evenHBand="0" w:firstRowFirstColumn="0" w:firstRowLastColumn="0" w:lastRowFirstColumn="0" w:lastRowLastColumn="0"/>
            </w:pPr>
            <w:r>
              <w:t>6</w:t>
            </w:r>
            <w:r w:rsidRPr="00514F94">
              <w:t>.24</w:t>
            </w:r>
          </w:p>
        </w:tc>
        <w:tc>
          <w:tcPr>
            <w:tcW w:w="1458" w:type="dxa"/>
          </w:tcPr>
          <w:p w:rsidR="00514F94" w:rsidRPr="00514F94" w:rsidRDefault="00514F94" w:rsidP="00514F94">
            <w:pPr>
              <w:cnfStyle w:val="000000000000" w:firstRow="0" w:lastRow="0" w:firstColumn="0" w:lastColumn="0" w:oddVBand="0" w:evenVBand="0" w:oddHBand="0" w:evenHBand="0" w:firstRowFirstColumn="0" w:firstRowLastColumn="0" w:lastRowFirstColumn="0" w:lastRowLastColumn="0"/>
            </w:pPr>
            <w:r>
              <w:t>6.24</w:t>
            </w:r>
          </w:p>
        </w:tc>
      </w:tr>
      <w:tr w:rsidR="00514F94" w:rsidTr="00354C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514F94" w:rsidRPr="00514F94" w:rsidRDefault="00514F94" w:rsidP="00514F94">
            <w:r>
              <w:t>Remote meter reconfiguration</w:t>
            </w:r>
            <w:r w:rsidRPr="00514F94">
              <w:rPr>
                <w:rStyle w:val="AERsuperscript"/>
              </w:rPr>
              <w:t>1</w:t>
            </w:r>
          </w:p>
        </w:tc>
        <w:tc>
          <w:tcPr>
            <w:tcW w:w="1559" w:type="dxa"/>
          </w:tcPr>
          <w:p w:rsidR="00514F94" w:rsidRPr="00514F94" w:rsidRDefault="00514F94" w:rsidP="00514F94">
            <w:pPr>
              <w:cnfStyle w:val="000000010000" w:firstRow="0" w:lastRow="0" w:firstColumn="0" w:lastColumn="0" w:oddVBand="0" w:evenVBand="0" w:oddHBand="0" w:evenHBand="1" w:firstRowFirstColumn="0" w:firstRowLastColumn="0" w:lastRowFirstColumn="0" w:lastRowLastColumn="0"/>
            </w:pPr>
            <w:r>
              <w:t>A</w:t>
            </w:r>
            <w:r w:rsidRPr="00514F94">
              <w:t>nytime</w:t>
            </w:r>
          </w:p>
        </w:tc>
        <w:tc>
          <w:tcPr>
            <w:tcW w:w="1457" w:type="dxa"/>
          </w:tcPr>
          <w:p w:rsidR="00514F94" w:rsidRPr="00514F94" w:rsidRDefault="00514F94" w:rsidP="00514F94">
            <w:pPr>
              <w:cnfStyle w:val="000000010000" w:firstRow="0" w:lastRow="0" w:firstColumn="0" w:lastColumn="0" w:oddVBand="0" w:evenVBand="0" w:oddHBand="0" w:evenHBand="1" w:firstRowFirstColumn="0" w:firstRowLastColumn="0" w:lastRowFirstColumn="0" w:lastRowLastColumn="0"/>
            </w:pPr>
            <w:r>
              <w:t>2</w:t>
            </w:r>
            <w:r w:rsidRPr="00514F94">
              <w:t>7.75</w:t>
            </w:r>
          </w:p>
        </w:tc>
        <w:tc>
          <w:tcPr>
            <w:tcW w:w="1458" w:type="dxa"/>
          </w:tcPr>
          <w:p w:rsidR="00514F94" w:rsidRPr="00514F94" w:rsidRDefault="00514F94" w:rsidP="00514F94">
            <w:pPr>
              <w:cnfStyle w:val="000000010000" w:firstRow="0" w:lastRow="0" w:firstColumn="0" w:lastColumn="0" w:oddVBand="0" w:evenVBand="0" w:oddHBand="0" w:evenHBand="1" w:firstRowFirstColumn="0" w:firstRowLastColumn="0" w:lastRowFirstColumn="0" w:lastRowLastColumn="0"/>
            </w:pPr>
            <w:r>
              <w:t>27.75</w:t>
            </w:r>
          </w:p>
        </w:tc>
      </w:tr>
      <w:tr w:rsidR="00514F94" w:rsidTr="00354CAA">
        <w:tc>
          <w:tcPr>
            <w:cnfStyle w:val="001000000000" w:firstRow="0" w:lastRow="0" w:firstColumn="1" w:lastColumn="0" w:oddVBand="0" w:evenVBand="0" w:oddHBand="0" w:evenHBand="0" w:firstRowFirstColumn="0" w:firstRowLastColumn="0" w:lastRowFirstColumn="0" w:lastRowLastColumn="0"/>
            <w:tcW w:w="4219" w:type="dxa"/>
          </w:tcPr>
          <w:p w:rsidR="00514F94" w:rsidRPr="00514F94" w:rsidRDefault="00514F94" w:rsidP="00514F94">
            <w:r>
              <w:t>Remote special</w:t>
            </w:r>
            <w:r w:rsidRPr="00514F94">
              <w:t xml:space="preserve"> meter read</w:t>
            </w:r>
            <w:r w:rsidRPr="00514F94">
              <w:rPr>
                <w:rStyle w:val="AERsuperscript"/>
              </w:rPr>
              <w:t>1</w:t>
            </w:r>
          </w:p>
        </w:tc>
        <w:tc>
          <w:tcPr>
            <w:tcW w:w="1559" w:type="dxa"/>
          </w:tcPr>
          <w:p w:rsidR="00514F94" w:rsidRPr="00514F94" w:rsidRDefault="00514F94" w:rsidP="00514F94">
            <w:pPr>
              <w:cnfStyle w:val="000000000000" w:firstRow="0" w:lastRow="0" w:firstColumn="0" w:lastColumn="0" w:oddVBand="0" w:evenVBand="0" w:oddHBand="0" w:evenHBand="0" w:firstRowFirstColumn="0" w:firstRowLastColumn="0" w:lastRowFirstColumn="0" w:lastRowLastColumn="0"/>
            </w:pPr>
            <w:r>
              <w:t>Anytime</w:t>
            </w:r>
          </w:p>
        </w:tc>
        <w:tc>
          <w:tcPr>
            <w:tcW w:w="1457" w:type="dxa"/>
          </w:tcPr>
          <w:p w:rsidR="00514F94" w:rsidRPr="00514F94" w:rsidRDefault="00514F94" w:rsidP="00514F94">
            <w:pPr>
              <w:cnfStyle w:val="000000000000" w:firstRow="0" w:lastRow="0" w:firstColumn="0" w:lastColumn="0" w:oddVBand="0" w:evenVBand="0" w:oddHBand="0" w:evenHBand="0" w:firstRowFirstColumn="0" w:firstRowLastColumn="0" w:lastRowFirstColumn="0" w:lastRowLastColumn="0"/>
            </w:pPr>
            <w:r>
              <w:t>1.35</w:t>
            </w:r>
          </w:p>
        </w:tc>
        <w:tc>
          <w:tcPr>
            <w:tcW w:w="1458" w:type="dxa"/>
          </w:tcPr>
          <w:p w:rsidR="00514F94" w:rsidRPr="00514F94" w:rsidRDefault="00514F94" w:rsidP="00514F94">
            <w:pPr>
              <w:cnfStyle w:val="000000000000" w:firstRow="0" w:lastRow="0" w:firstColumn="0" w:lastColumn="0" w:oddVBand="0" w:evenVBand="0" w:oddHBand="0" w:evenHBand="0" w:firstRowFirstColumn="0" w:firstRowLastColumn="0" w:lastRowFirstColumn="0" w:lastRowLastColumn="0"/>
            </w:pPr>
            <w:r>
              <w:t>1.35</w:t>
            </w:r>
          </w:p>
        </w:tc>
      </w:tr>
    </w:tbl>
    <w:p w:rsidR="00B80AEE" w:rsidRDefault="00467CC7" w:rsidP="00467CC7">
      <w:pPr>
        <w:pStyle w:val="AERtablesource"/>
      </w:pPr>
      <w:r>
        <w:t>Source:</w:t>
      </w:r>
      <w:r w:rsidR="00A937DD">
        <w:tab/>
      </w:r>
      <w:r w:rsidR="007C6E22">
        <w:t xml:space="preserve">AER analysis; </w:t>
      </w:r>
      <w:r>
        <w:t xml:space="preserve">AusNet, </w:t>
      </w:r>
      <w:r w:rsidRPr="00467CC7">
        <w:rPr>
          <w:rStyle w:val="AERtextitalic"/>
        </w:rPr>
        <w:t>Regulatory proposal</w:t>
      </w:r>
      <w:r w:rsidR="00091E5C">
        <w:rPr>
          <w:rStyle w:val="AERtextitalic"/>
        </w:rPr>
        <w:t xml:space="preserve"> 2016–20</w:t>
      </w:r>
      <w:r>
        <w:t>, April 2015, pp. </w:t>
      </w:r>
      <w:r w:rsidR="00514F94">
        <w:t>413,</w:t>
      </w:r>
      <w:r>
        <w:t>418,421.</w:t>
      </w:r>
    </w:p>
    <w:p w:rsidR="00A937DD" w:rsidRDefault="00A937DD" w:rsidP="00385667">
      <w:pPr>
        <w:pStyle w:val="AERtablesource"/>
      </w:pPr>
      <w:r w:rsidRPr="00A937DD">
        <w:t xml:space="preserve">Note: </w:t>
      </w:r>
      <w:r w:rsidRPr="00A937DD">
        <w:tab/>
      </w:r>
      <w:r w:rsidR="003B18CD" w:rsidRPr="003B18CD">
        <w:t>Our preliminary decision prices will be escalated into real 2016 dollar terms using the percentage changes in the annual ABS Septembe</w:t>
      </w:r>
      <w:r w:rsidR="003B18CD">
        <w:t>r quarter index in AusNet Service</w:t>
      </w:r>
      <w:r w:rsidR="003B18CD" w:rsidRPr="003B18CD">
        <w:t>s</w:t>
      </w:r>
      <w:r w:rsidR="003B18CD">
        <w:t>'</w:t>
      </w:r>
      <w:r w:rsidR="003B18CD" w:rsidRPr="003B18CD">
        <w:t xml:space="preserve"> 2016 pricing proposal.</w:t>
      </w:r>
    </w:p>
    <w:p w:rsidR="00514F94" w:rsidRPr="00514F94" w:rsidRDefault="00514F94" w:rsidP="00514F94">
      <w:pPr>
        <w:pStyle w:val="AERtablesource"/>
      </w:pPr>
      <w:r>
        <w:tab/>
        <w:t>(1) Remote meter services are in nominal 2016 dollars and will not be required to be escalated in AusNet Services 2016 pricing proposal.</w:t>
      </w:r>
    </w:p>
    <w:p w:rsidR="00467CC7" w:rsidRDefault="00467CC7" w:rsidP="00467CC7">
      <w:pPr>
        <w:pStyle w:val="Caption"/>
      </w:pPr>
      <w:bookmarkStart w:id="88" w:name="_Ref430935737"/>
      <w:proofErr w:type="gramStart"/>
      <w:r>
        <w:t xml:space="preserve">Table </w:t>
      </w:r>
      <w:proofErr w:type="gramEnd"/>
      <w:r w:rsidR="006A670B">
        <w:fldChar w:fldCharType="begin"/>
      </w:r>
      <w:r w:rsidR="006A670B">
        <w:instrText xml:space="preserve"> STYLEREF 1 \s </w:instrText>
      </w:r>
      <w:r w:rsidR="006A670B">
        <w:fldChar w:fldCharType="separate"/>
      </w:r>
      <w:r w:rsidR="009E0EFD">
        <w:rPr>
          <w:noProof/>
        </w:rPr>
        <w:t>16</w:t>
      </w:r>
      <w:r w:rsidR="006A670B">
        <w:fldChar w:fldCharType="end"/>
      </w:r>
      <w:proofErr w:type="gramStart"/>
      <w:r w:rsidR="006A670B">
        <w:t>.</w:t>
      </w:r>
      <w:proofErr w:type="gramEnd"/>
      <w:r w:rsidR="006A670B">
        <w:fldChar w:fldCharType="begin"/>
      </w:r>
      <w:r w:rsidR="006A670B">
        <w:instrText xml:space="preserve"> SEQ Table \* ARABIC \s 1 </w:instrText>
      </w:r>
      <w:r w:rsidR="006A670B">
        <w:fldChar w:fldCharType="separate"/>
      </w:r>
      <w:r w:rsidR="009E0EFD">
        <w:rPr>
          <w:noProof/>
        </w:rPr>
        <w:t>19</w:t>
      </w:r>
      <w:r w:rsidR="006A670B">
        <w:fldChar w:fldCharType="end"/>
      </w:r>
      <w:bookmarkEnd w:id="88"/>
      <w:r>
        <w:t xml:space="preserve"> Quoted service</w:t>
      </w:r>
      <w:r w:rsidRPr="00467CC7">
        <w:t xml:space="preserve"> ancillary network services</w:t>
      </w:r>
      <w:r w:rsidR="00066B36">
        <w:t xml:space="preserve"> hourly labour rates for 2016</w:t>
      </w:r>
      <w:r w:rsidRPr="00467CC7">
        <w:t>, preliminary decision</w:t>
      </w:r>
      <w:r w:rsidR="00066B36">
        <w:t xml:space="preserve"> ($2015)</w:t>
      </w:r>
    </w:p>
    <w:tbl>
      <w:tblPr>
        <w:tblStyle w:val="AERtable-numbers"/>
        <w:tblW w:w="0" w:type="auto"/>
        <w:tblLook w:val="04A0" w:firstRow="1" w:lastRow="0" w:firstColumn="1" w:lastColumn="0" w:noHBand="0" w:noVBand="1"/>
      </w:tblPr>
      <w:tblGrid>
        <w:gridCol w:w="3652"/>
        <w:gridCol w:w="1418"/>
        <w:gridCol w:w="1811"/>
        <w:gridCol w:w="1812"/>
      </w:tblGrid>
      <w:tr w:rsidR="00066B36" w:rsidTr="001C65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066B36" w:rsidRDefault="00066B36" w:rsidP="00066B36">
            <w:r>
              <w:t>Service description</w:t>
            </w:r>
          </w:p>
        </w:tc>
        <w:tc>
          <w:tcPr>
            <w:tcW w:w="1418" w:type="dxa"/>
          </w:tcPr>
          <w:p w:rsidR="00066B36" w:rsidRDefault="00066B36" w:rsidP="00066B36">
            <w:pPr>
              <w:cnfStyle w:val="100000000000" w:firstRow="1" w:lastRow="0" w:firstColumn="0" w:lastColumn="0" w:oddVBand="0" w:evenVBand="0" w:oddHBand="0" w:evenHBand="0" w:firstRowFirstColumn="0" w:firstRowLastColumn="0" w:lastRowFirstColumn="0" w:lastRowLastColumn="0"/>
            </w:pPr>
            <w:r>
              <w:t>Hours</w:t>
            </w:r>
          </w:p>
        </w:tc>
        <w:tc>
          <w:tcPr>
            <w:tcW w:w="1811" w:type="dxa"/>
          </w:tcPr>
          <w:p w:rsidR="00066B36" w:rsidRDefault="00066B36" w:rsidP="00066B36">
            <w:pPr>
              <w:cnfStyle w:val="100000000000" w:firstRow="1" w:lastRow="0" w:firstColumn="0" w:lastColumn="0" w:oddVBand="0" w:evenVBand="0" w:oddHBand="0" w:evenHBand="0" w:firstRowFirstColumn="0" w:firstRowLastColumn="0" w:lastRowFirstColumn="0" w:lastRowLastColumn="0"/>
            </w:pPr>
            <w:r>
              <w:t>Proposed hourly labour rates</w:t>
            </w:r>
          </w:p>
        </w:tc>
        <w:tc>
          <w:tcPr>
            <w:tcW w:w="1812" w:type="dxa"/>
          </w:tcPr>
          <w:p w:rsidR="00066B36" w:rsidRDefault="00066B36" w:rsidP="00066B36">
            <w:pPr>
              <w:cnfStyle w:val="100000000000" w:firstRow="1" w:lastRow="0" w:firstColumn="0" w:lastColumn="0" w:oddVBand="0" w:evenVBand="0" w:oddHBand="0" w:evenHBand="0" w:firstRowFirstColumn="0" w:firstRowLastColumn="0" w:lastRowFirstColumn="0" w:lastRowLastColumn="0"/>
            </w:pPr>
            <w:r>
              <w:t>Preliminary decision hourly labour rates</w:t>
            </w:r>
          </w:p>
        </w:tc>
      </w:tr>
      <w:tr w:rsidR="00066B36" w:rsidTr="006F35D8">
        <w:tc>
          <w:tcPr>
            <w:cnfStyle w:val="001000000000" w:firstRow="0" w:lastRow="0" w:firstColumn="1" w:lastColumn="0" w:oddVBand="0" w:evenVBand="0" w:oddHBand="0" w:evenHBand="0" w:firstRowFirstColumn="0" w:firstRowLastColumn="0" w:lastRowFirstColumn="0" w:lastRowLastColumn="0"/>
            <w:tcW w:w="3652" w:type="dxa"/>
          </w:tcPr>
          <w:p w:rsidR="00066B36" w:rsidRDefault="00066B36" w:rsidP="00066B36">
            <w:r>
              <w:t>Construction overhead install</w:t>
            </w:r>
          </w:p>
        </w:tc>
        <w:tc>
          <w:tcPr>
            <w:tcW w:w="1418" w:type="dxa"/>
          </w:tcPr>
          <w:p w:rsidR="00066B36" w:rsidRDefault="00066B36" w:rsidP="00066B36">
            <w:pPr>
              <w:cnfStyle w:val="000000000000" w:firstRow="0" w:lastRow="0" w:firstColumn="0" w:lastColumn="0" w:oddVBand="0" w:evenVBand="0" w:oddHBand="0" w:evenHBand="0" w:firstRowFirstColumn="0" w:firstRowLastColumn="0" w:lastRowFirstColumn="0" w:lastRowLastColumn="0"/>
            </w:pPr>
            <w:r>
              <w:t>Business hours</w:t>
            </w:r>
          </w:p>
        </w:tc>
        <w:tc>
          <w:tcPr>
            <w:tcW w:w="1811" w:type="dxa"/>
          </w:tcPr>
          <w:p w:rsidR="00066B36" w:rsidRDefault="00066B36" w:rsidP="00066B36">
            <w:pPr>
              <w:cnfStyle w:val="000000000000" w:firstRow="0" w:lastRow="0" w:firstColumn="0" w:lastColumn="0" w:oddVBand="0" w:evenVBand="0" w:oddHBand="0" w:evenHBand="0" w:firstRowFirstColumn="0" w:firstRowLastColumn="0" w:lastRowFirstColumn="0" w:lastRowLastColumn="0"/>
            </w:pPr>
            <w:r>
              <w:t>113.95</w:t>
            </w:r>
          </w:p>
        </w:tc>
        <w:tc>
          <w:tcPr>
            <w:tcW w:w="1812" w:type="dxa"/>
          </w:tcPr>
          <w:p w:rsidR="00066B36" w:rsidRDefault="00E74397" w:rsidP="00066B36">
            <w:pPr>
              <w:cnfStyle w:val="000000000000" w:firstRow="0" w:lastRow="0" w:firstColumn="0" w:lastColumn="0" w:oddVBand="0" w:evenVBand="0" w:oddHBand="0" w:evenHBand="0" w:firstRowFirstColumn="0" w:firstRowLastColumn="0" w:lastRowFirstColumn="0" w:lastRowLastColumn="0"/>
            </w:pPr>
            <w:r>
              <w:t>99.99</w:t>
            </w:r>
          </w:p>
        </w:tc>
      </w:tr>
      <w:tr w:rsidR="00066B36" w:rsidTr="006F3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66B36" w:rsidRDefault="00066B36" w:rsidP="00066B36"/>
        </w:tc>
        <w:tc>
          <w:tcPr>
            <w:tcW w:w="1418" w:type="dxa"/>
          </w:tcPr>
          <w:p w:rsidR="00066B36" w:rsidRDefault="00066B36" w:rsidP="00066B36">
            <w:pPr>
              <w:cnfStyle w:val="000000010000" w:firstRow="0" w:lastRow="0" w:firstColumn="0" w:lastColumn="0" w:oddVBand="0" w:evenVBand="0" w:oddHBand="0" w:evenHBand="1" w:firstRowFirstColumn="0" w:firstRowLastColumn="0" w:lastRowFirstColumn="0" w:lastRowLastColumn="0"/>
            </w:pPr>
            <w:r>
              <w:t>After hours</w:t>
            </w:r>
          </w:p>
        </w:tc>
        <w:tc>
          <w:tcPr>
            <w:tcW w:w="1811" w:type="dxa"/>
          </w:tcPr>
          <w:p w:rsidR="00066B36" w:rsidRDefault="00066B36" w:rsidP="00066B36">
            <w:pPr>
              <w:cnfStyle w:val="000000010000" w:firstRow="0" w:lastRow="0" w:firstColumn="0" w:lastColumn="0" w:oddVBand="0" w:evenVBand="0" w:oddHBand="0" w:evenHBand="1" w:firstRowFirstColumn="0" w:firstRowLastColumn="0" w:lastRowFirstColumn="0" w:lastRowLastColumn="0"/>
            </w:pPr>
            <w:r>
              <w:t>138.40</w:t>
            </w:r>
          </w:p>
        </w:tc>
        <w:tc>
          <w:tcPr>
            <w:tcW w:w="1812" w:type="dxa"/>
          </w:tcPr>
          <w:p w:rsidR="00066B36" w:rsidRDefault="00E74397" w:rsidP="00066B36">
            <w:pPr>
              <w:cnfStyle w:val="000000010000" w:firstRow="0" w:lastRow="0" w:firstColumn="0" w:lastColumn="0" w:oddVBand="0" w:evenVBand="0" w:oddHBand="0" w:evenHBand="1" w:firstRowFirstColumn="0" w:firstRowLastColumn="0" w:lastRowFirstColumn="0" w:lastRowLastColumn="0"/>
            </w:pPr>
            <w:r>
              <w:t>121.44</w:t>
            </w:r>
          </w:p>
        </w:tc>
      </w:tr>
      <w:tr w:rsidR="00066B36" w:rsidTr="006F35D8">
        <w:tc>
          <w:tcPr>
            <w:cnfStyle w:val="001000000000" w:firstRow="0" w:lastRow="0" w:firstColumn="1" w:lastColumn="0" w:oddVBand="0" w:evenVBand="0" w:oddHBand="0" w:evenHBand="0" w:firstRowFirstColumn="0" w:firstRowLastColumn="0" w:lastRowFirstColumn="0" w:lastRowLastColumn="0"/>
            <w:tcW w:w="3652" w:type="dxa"/>
          </w:tcPr>
          <w:p w:rsidR="00066B36" w:rsidRDefault="00066B36" w:rsidP="00066B36">
            <w:r>
              <w:t>Construction underground install</w:t>
            </w:r>
          </w:p>
        </w:tc>
        <w:tc>
          <w:tcPr>
            <w:tcW w:w="1418" w:type="dxa"/>
          </w:tcPr>
          <w:p w:rsidR="00066B36" w:rsidRDefault="00066B36" w:rsidP="00066B36">
            <w:pPr>
              <w:cnfStyle w:val="000000000000" w:firstRow="0" w:lastRow="0" w:firstColumn="0" w:lastColumn="0" w:oddVBand="0" w:evenVBand="0" w:oddHBand="0" w:evenHBand="0" w:firstRowFirstColumn="0" w:firstRowLastColumn="0" w:lastRowFirstColumn="0" w:lastRowLastColumn="0"/>
            </w:pPr>
            <w:r>
              <w:t>Business hours</w:t>
            </w:r>
          </w:p>
        </w:tc>
        <w:tc>
          <w:tcPr>
            <w:tcW w:w="1811" w:type="dxa"/>
          </w:tcPr>
          <w:p w:rsidR="00066B36" w:rsidRDefault="00066B36" w:rsidP="00066B36">
            <w:pPr>
              <w:cnfStyle w:val="000000000000" w:firstRow="0" w:lastRow="0" w:firstColumn="0" w:lastColumn="0" w:oddVBand="0" w:evenVBand="0" w:oddHBand="0" w:evenHBand="0" w:firstRowFirstColumn="0" w:firstRowLastColumn="0" w:lastRowFirstColumn="0" w:lastRowLastColumn="0"/>
            </w:pPr>
            <w:r>
              <w:t>111.30</w:t>
            </w:r>
          </w:p>
        </w:tc>
        <w:tc>
          <w:tcPr>
            <w:tcW w:w="1812" w:type="dxa"/>
          </w:tcPr>
          <w:p w:rsidR="00066B36" w:rsidRDefault="00E74397" w:rsidP="00066B36">
            <w:pPr>
              <w:cnfStyle w:val="000000000000" w:firstRow="0" w:lastRow="0" w:firstColumn="0" w:lastColumn="0" w:oddVBand="0" w:evenVBand="0" w:oddHBand="0" w:evenHBand="0" w:firstRowFirstColumn="0" w:firstRowLastColumn="0" w:lastRowFirstColumn="0" w:lastRowLastColumn="0"/>
            </w:pPr>
            <w:r>
              <w:t>97.66</w:t>
            </w:r>
          </w:p>
        </w:tc>
      </w:tr>
      <w:tr w:rsidR="00066B36" w:rsidTr="006F3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66B36" w:rsidRDefault="00066B36" w:rsidP="00066B36"/>
        </w:tc>
        <w:tc>
          <w:tcPr>
            <w:tcW w:w="1418" w:type="dxa"/>
          </w:tcPr>
          <w:p w:rsidR="00066B36" w:rsidRDefault="00066B36" w:rsidP="00066B36">
            <w:pPr>
              <w:cnfStyle w:val="000000010000" w:firstRow="0" w:lastRow="0" w:firstColumn="0" w:lastColumn="0" w:oddVBand="0" w:evenVBand="0" w:oddHBand="0" w:evenHBand="1" w:firstRowFirstColumn="0" w:firstRowLastColumn="0" w:lastRowFirstColumn="0" w:lastRowLastColumn="0"/>
            </w:pPr>
            <w:r>
              <w:t>After hours</w:t>
            </w:r>
          </w:p>
        </w:tc>
        <w:tc>
          <w:tcPr>
            <w:tcW w:w="1811" w:type="dxa"/>
          </w:tcPr>
          <w:p w:rsidR="00066B36" w:rsidRDefault="00066B36" w:rsidP="00066B36">
            <w:pPr>
              <w:cnfStyle w:val="000000010000" w:firstRow="0" w:lastRow="0" w:firstColumn="0" w:lastColumn="0" w:oddVBand="0" w:evenVBand="0" w:oddHBand="0" w:evenHBand="1" w:firstRowFirstColumn="0" w:firstRowLastColumn="0" w:lastRowFirstColumn="0" w:lastRowLastColumn="0"/>
            </w:pPr>
            <w:r>
              <w:t>135.17</w:t>
            </w:r>
          </w:p>
        </w:tc>
        <w:tc>
          <w:tcPr>
            <w:tcW w:w="1812" w:type="dxa"/>
          </w:tcPr>
          <w:p w:rsidR="00066B36" w:rsidRDefault="00E74397" w:rsidP="00066B36">
            <w:pPr>
              <w:cnfStyle w:val="000000010000" w:firstRow="0" w:lastRow="0" w:firstColumn="0" w:lastColumn="0" w:oddVBand="0" w:evenVBand="0" w:oddHBand="0" w:evenHBand="1" w:firstRowFirstColumn="0" w:firstRowLastColumn="0" w:lastRowFirstColumn="0" w:lastRowLastColumn="0"/>
            </w:pPr>
            <w:r>
              <w:t>118.61</w:t>
            </w:r>
          </w:p>
        </w:tc>
      </w:tr>
      <w:tr w:rsidR="00066B36" w:rsidTr="006F35D8">
        <w:tc>
          <w:tcPr>
            <w:cnfStyle w:val="001000000000" w:firstRow="0" w:lastRow="0" w:firstColumn="1" w:lastColumn="0" w:oddVBand="0" w:evenVBand="0" w:oddHBand="0" w:evenHBand="0" w:firstRowFirstColumn="0" w:firstRowLastColumn="0" w:lastRowFirstColumn="0" w:lastRowLastColumn="0"/>
            <w:tcW w:w="3652" w:type="dxa"/>
          </w:tcPr>
          <w:p w:rsidR="00066B36" w:rsidRDefault="00066B36" w:rsidP="00066B36">
            <w:r>
              <w:t>Construction substation install</w:t>
            </w:r>
          </w:p>
        </w:tc>
        <w:tc>
          <w:tcPr>
            <w:tcW w:w="1418" w:type="dxa"/>
          </w:tcPr>
          <w:p w:rsidR="00066B36" w:rsidRDefault="00066B36" w:rsidP="00066B36">
            <w:pPr>
              <w:cnfStyle w:val="000000000000" w:firstRow="0" w:lastRow="0" w:firstColumn="0" w:lastColumn="0" w:oddVBand="0" w:evenVBand="0" w:oddHBand="0" w:evenHBand="0" w:firstRowFirstColumn="0" w:firstRowLastColumn="0" w:lastRowFirstColumn="0" w:lastRowLastColumn="0"/>
            </w:pPr>
            <w:r>
              <w:t>Business hours</w:t>
            </w:r>
          </w:p>
        </w:tc>
        <w:tc>
          <w:tcPr>
            <w:tcW w:w="1811" w:type="dxa"/>
          </w:tcPr>
          <w:p w:rsidR="00066B36" w:rsidRDefault="00066B36" w:rsidP="00066B36">
            <w:pPr>
              <w:cnfStyle w:val="000000000000" w:firstRow="0" w:lastRow="0" w:firstColumn="0" w:lastColumn="0" w:oddVBand="0" w:evenVBand="0" w:oddHBand="0" w:evenHBand="0" w:firstRowFirstColumn="0" w:firstRowLastColumn="0" w:lastRowFirstColumn="0" w:lastRowLastColumn="0"/>
            </w:pPr>
            <w:r>
              <w:t>111.30</w:t>
            </w:r>
          </w:p>
        </w:tc>
        <w:tc>
          <w:tcPr>
            <w:tcW w:w="1812" w:type="dxa"/>
          </w:tcPr>
          <w:p w:rsidR="00066B36" w:rsidRDefault="00E74397" w:rsidP="00066B36">
            <w:pPr>
              <w:cnfStyle w:val="000000000000" w:firstRow="0" w:lastRow="0" w:firstColumn="0" w:lastColumn="0" w:oddVBand="0" w:evenVBand="0" w:oddHBand="0" w:evenHBand="0" w:firstRowFirstColumn="0" w:firstRowLastColumn="0" w:lastRowFirstColumn="0" w:lastRowLastColumn="0"/>
            </w:pPr>
            <w:r>
              <w:t>97.66</w:t>
            </w:r>
          </w:p>
        </w:tc>
      </w:tr>
      <w:tr w:rsidR="00066B36" w:rsidTr="006F3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66B36" w:rsidRDefault="00066B36" w:rsidP="00066B36"/>
        </w:tc>
        <w:tc>
          <w:tcPr>
            <w:tcW w:w="1418" w:type="dxa"/>
          </w:tcPr>
          <w:p w:rsidR="00066B36" w:rsidRDefault="00066B36" w:rsidP="00066B36">
            <w:pPr>
              <w:cnfStyle w:val="000000010000" w:firstRow="0" w:lastRow="0" w:firstColumn="0" w:lastColumn="0" w:oddVBand="0" w:evenVBand="0" w:oddHBand="0" w:evenHBand="1" w:firstRowFirstColumn="0" w:firstRowLastColumn="0" w:lastRowFirstColumn="0" w:lastRowLastColumn="0"/>
            </w:pPr>
            <w:r>
              <w:t>After hours</w:t>
            </w:r>
          </w:p>
        </w:tc>
        <w:tc>
          <w:tcPr>
            <w:tcW w:w="1811" w:type="dxa"/>
          </w:tcPr>
          <w:p w:rsidR="00066B36" w:rsidRDefault="00066B36" w:rsidP="00066B36">
            <w:pPr>
              <w:cnfStyle w:val="000000010000" w:firstRow="0" w:lastRow="0" w:firstColumn="0" w:lastColumn="0" w:oddVBand="0" w:evenVBand="0" w:oddHBand="0" w:evenHBand="1" w:firstRowFirstColumn="0" w:firstRowLastColumn="0" w:lastRowFirstColumn="0" w:lastRowLastColumn="0"/>
            </w:pPr>
            <w:r>
              <w:t>135.17</w:t>
            </w:r>
          </w:p>
        </w:tc>
        <w:tc>
          <w:tcPr>
            <w:tcW w:w="1812" w:type="dxa"/>
          </w:tcPr>
          <w:p w:rsidR="00066B36" w:rsidRDefault="00E74397" w:rsidP="00066B36">
            <w:pPr>
              <w:cnfStyle w:val="000000010000" w:firstRow="0" w:lastRow="0" w:firstColumn="0" w:lastColumn="0" w:oddVBand="0" w:evenVBand="0" w:oddHBand="0" w:evenHBand="1" w:firstRowFirstColumn="0" w:firstRowLastColumn="0" w:lastRowFirstColumn="0" w:lastRowLastColumn="0"/>
            </w:pPr>
            <w:r>
              <w:t>118.61</w:t>
            </w:r>
          </w:p>
        </w:tc>
      </w:tr>
      <w:tr w:rsidR="00066B36" w:rsidTr="006F35D8">
        <w:tc>
          <w:tcPr>
            <w:cnfStyle w:val="001000000000" w:firstRow="0" w:lastRow="0" w:firstColumn="1" w:lastColumn="0" w:oddVBand="0" w:evenVBand="0" w:oddHBand="0" w:evenHBand="0" w:firstRowFirstColumn="0" w:firstRowLastColumn="0" w:lastRowFirstColumn="0" w:lastRowLastColumn="0"/>
            <w:tcW w:w="3652" w:type="dxa"/>
          </w:tcPr>
          <w:p w:rsidR="00066B36" w:rsidRDefault="00066B36" w:rsidP="00066B36">
            <w:r>
              <w:t>Electrical tester including vehicle and equipment</w:t>
            </w:r>
          </w:p>
        </w:tc>
        <w:tc>
          <w:tcPr>
            <w:tcW w:w="1418" w:type="dxa"/>
          </w:tcPr>
          <w:p w:rsidR="00066B36" w:rsidRDefault="00066B36" w:rsidP="00066B36">
            <w:pPr>
              <w:cnfStyle w:val="000000000000" w:firstRow="0" w:lastRow="0" w:firstColumn="0" w:lastColumn="0" w:oddVBand="0" w:evenVBand="0" w:oddHBand="0" w:evenHBand="0" w:firstRowFirstColumn="0" w:firstRowLastColumn="0" w:lastRowFirstColumn="0" w:lastRowLastColumn="0"/>
            </w:pPr>
            <w:r>
              <w:t>Business hours</w:t>
            </w:r>
          </w:p>
        </w:tc>
        <w:tc>
          <w:tcPr>
            <w:tcW w:w="1811" w:type="dxa"/>
          </w:tcPr>
          <w:p w:rsidR="00066B36" w:rsidRDefault="00066B36" w:rsidP="00066B36">
            <w:pPr>
              <w:cnfStyle w:val="000000000000" w:firstRow="0" w:lastRow="0" w:firstColumn="0" w:lastColumn="0" w:oddVBand="0" w:evenVBand="0" w:oddHBand="0" w:evenHBand="0" w:firstRowFirstColumn="0" w:firstRowLastColumn="0" w:lastRowFirstColumn="0" w:lastRowLastColumn="0"/>
            </w:pPr>
            <w:r>
              <w:t>198.98</w:t>
            </w:r>
          </w:p>
        </w:tc>
        <w:tc>
          <w:tcPr>
            <w:tcW w:w="1812" w:type="dxa"/>
          </w:tcPr>
          <w:p w:rsidR="00066B36" w:rsidRDefault="00E74397" w:rsidP="00066B36">
            <w:pPr>
              <w:cnfStyle w:val="000000000000" w:firstRow="0" w:lastRow="0" w:firstColumn="0" w:lastColumn="0" w:oddVBand="0" w:evenVBand="0" w:oddHBand="0" w:evenHBand="0" w:firstRowFirstColumn="0" w:firstRowLastColumn="0" w:lastRowFirstColumn="0" w:lastRowLastColumn="0"/>
            </w:pPr>
            <w:r>
              <w:t>174.60</w:t>
            </w:r>
          </w:p>
        </w:tc>
      </w:tr>
      <w:tr w:rsidR="00066B36" w:rsidTr="006F3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66B36" w:rsidRDefault="00066B36" w:rsidP="00066B36"/>
        </w:tc>
        <w:tc>
          <w:tcPr>
            <w:tcW w:w="1418" w:type="dxa"/>
          </w:tcPr>
          <w:p w:rsidR="00066B36" w:rsidRDefault="00066B36" w:rsidP="00066B36">
            <w:pPr>
              <w:cnfStyle w:val="000000010000" w:firstRow="0" w:lastRow="0" w:firstColumn="0" w:lastColumn="0" w:oddVBand="0" w:evenVBand="0" w:oddHBand="0" w:evenHBand="1" w:firstRowFirstColumn="0" w:firstRowLastColumn="0" w:lastRowFirstColumn="0" w:lastRowLastColumn="0"/>
            </w:pPr>
            <w:r>
              <w:t>After hours</w:t>
            </w:r>
          </w:p>
        </w:tc>
        <w:tc>
          <w:tcPr>
            <w:tcW w:w="1811" w:type="dxa"/>
          </w:tcPr>
          <w:p w:rsidR="00066B36" w:rsidRDefault="00066B36" w:rsidP="00066B36">
            <w:pPr>
              <w:cnfStyle w:val="000000010000" w:firstRow="0" w:lastRow="0" w:firstColumn="0" w:lastColumn="0" w:oddVBand="0" w:evenVBand="0" w:oddHBand="0" w:evenHBand="1" w:firstRowFirstColumn="0" w:firstRowLastColumn="0" w:lastRowFirstColumn="0" w:lastRowLastColumn="0"/>
            </w:pPr>
            <w:r>
              <w:t>224.34</w:t>
            </w:r>
          </w:p>
        </w:tc>
        <w:tc>
          <w:tcPr>
            <w:tcW w:w="1812" w:type="dxa"/>
          </w:tcPr>
          <w:p w:rsidR="00066B36" w:rsidRDefault="00E74397" w:rsidP="00066B36">
            <w:pPr>
              <w:cnfStyle w:val="000000010000" w:firstRow="0" w:lastRow="0" w:firstColumn="0" w:lastColumn="0" w:oddVBand="0" w:evenVBand="0" w:oddHBand="0" w:evenHBand="1" w:firstRowFirstColumn="0" w:firstRowLastColumn="0" w:lastRowFirstColumn="0" w:lastRowLastColumn="0"/>
            </w:pPr>
            <w:r>
              <w:t>196.85</w:t>
            </w:r>
          </w:p>
        </w:tc>
      </w:tr>
      <w:tr w:rsidR="00066B36" w:rsidTr="006F35D8">
        <w:tc>
          <w:tcPr>
            <w:cnfStyle w:val="001000000000" w:firstRow="0" w:lastRow="0" w:firstColumn="1" w:lastColumn="0" w:oddVBand="0" w:evenVBand="0" w:oddHBand="0" w:evenHBand="0" w:firstRowFirstColumn="0" w:firstRowLastColumn="0" w:lastRowFirstColumn="0" w:lastRowLastColumn="0"/>
            <w:tcW w:w="3652" w:type="dxa"/>
          </w:tcPr>
          <w:p w:rsidR="00066B36" w:rsidRDefault="007C6E22" w:rsidP="00066B36">
            <w:r>
              <w:t>Planner including vehicle</w:t>
            </w:r>
          </w:p>
        </w:tc>
        <w:tc>
          <w:tcPr>
            <w:tcW w:w="1418" w:type="dxa"/>
          </w:tcPr>
          <w:p w:rsidR="00066B36" w:rsidRDefault="007C6E22" w:rsidP="00066B36">
            <w:pPr>
              <w:cnfStyle w:val="000000000000" w:firstRow="0" w:lastRow="0" w:firstColumn="0" w:lastColumn="0" w:oddVBand="0" w:evenVBand="0" w:oddHBand="0" w:evenHBand="0" w:firstRowFirstColumn="0" w:firstRowLastColumn="0" w:lastRowFirstColumn="0" w:lastRowLastColumn="0"/>
            </w:pPr>
            <w:r>
              <w:t>Business hours</w:t>
            </w:r>
          </w:p>
        </w:tc>
        <w:tc>
          <w:tcPr>
            <w:tcW w:w="1811" w:type="dxa"/>
          </w:tcPr>
          <w:p w:rsidR="00066B36" w:rsidRDefault="007C6E22" w:rsidP="00066B36">
            <w:pPr>
              <w:cnfStyle w:val="000000000000" w:firstRow="0" w:lastRow="0" w:firstColumn="0" w:lastColumn="0" w:oddVBand="0" w:evenVBand="0" w:oddHBand="0" w:evenHBand="0" w:firstRowFirstColumn="0" w:firstRowLastColumn="0" w:lastRowFirstColumn="0" w:lastRowLastColumn="0"/>
            </w:pPr>
            <w:r>
              <w:t>152.97</w:t>
            </w:r>
          </w:p>
        </w:tc>
        <w:tc>
          <w:tcPr>
            <w:tcW w:w="1812" w:type="dxa"/>
          </w:tcPr>
          <w:p w:rsidR="00066B36" w:rsidRDefault="00E74397" w:rsidP="00066B36">
            <w:pPr>
              <w:cnfStyle w:val="000000000000" w:firstRow="0" w:lastRow="0" w:firstColumn="0" w:lastColumn="0" w:oddVBand="0" w:evenVBand="0" w:oddHBand="0" w:evenHBand="0" w:firstRowFirstColumn="0" w:firstRowLastColumn="0" w:lastRowFirstColumn="0" w:lastRowLastColumn="0"/>
            </w:pPr>
            <w:r>
              <w:t>134.23</w:t>
            </w:r>
          </w:p>
        </w:tc>
      </w:tr>
      <w:tr w:rsidR="00066B36" w:rsidTr="006F3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66B36" w:rsidRDefault="007C6E22" w:rsidP="00066B36">
            <w:r>
              <w:t>Supervisor including vehicle</w:t>
            </w:r>
          </w:p>
        </w:tc>
        <w:tc>
          <w:tcPr>
            <w:tcW w:w="1418" w:type="dxa"/>
          </w:tcPr>
          <w:p w:rsidR="00066B36" w:rsidRDefault="007C6E22" w:rsidP="00066B36">
            <w:pPr>
              <w:cnfStyle w:val="000000010000" w:firstRow="0" w:lastRow="0" w:firstColumn="0" w:lastColumn="0" w:oddVBand="0" w:evenVBand="0" w:oddHBand="0" w:evenHBand="1" w:firstRowFirstColumn="0" w:firstRowLastColumn="0" w:lastRowFirstColumn="0" w:lastRowLastColumn="0"/>
            </w:pPr>
            <w:r>
              <w:t>Business hours</w:t>
            </w:r>
          </w:p>
        </w:tc>
        <w:tc>
          <w:tcPr>
            <w:tcW w:w="1811" w:type="dxa"/>
          </w:tcPr>
          <w:p w:rsidR="00066B36" w:rsidRDefault="007C6E22" w:rsidP="00066B36">
            <w:pPr>
              <w:cnfStyle w:val="000000010000" w:firstRow="0" w:lastRow="0" w:firstColumn="0" w:lastColumn="0" w:oddVBand="0" w:evenVBand="0" w:oddHBand="0" w:evenHBand="1" w:firstRowFirstColumn="0" w:firstRowLastColumn="0" w:lastRowFirstColumn="0" w:lastRowLastColumn="0"/>
            </w:pPr>
            <w:r>
              <w:t>152.97</w:t>
            </w:r>
          </w:p>
        </w:tc>
        <w:tc>
          <w:tcPr>
            <w:tcW w:w="1812" w:type="dxa"/>
          </w:tcPr>
          <w:p w:rsidR="00066B36" w:rsidRDefault="00E74397" w:rsidP="00066B36">
            <w:pPr>
              <w:cnfStyle w:val="000000010000" w:firstRow="0" w:lastRow="0" w:firstColumn="0" w:lastColumn="0" w:oddVBand="0" w:evenVBand="0" w:oddHBand="0" w:evenHBand="1" w:firstRowFirstColumn="0" w:firstRowLastColumn="0" w:lastRowFirstColumn="0" w:lastRowLastColumn="0"/>
            </w:pPr>
            <w:r>
              <w:t>134.23</w:t>
            </w:r>
          </w:p>
        </w:tc>
      </w:tr>
      <w:tr w:rsidR="00066B36" w:rsidTr="006F35D8">
        <w:tc>
          <w:tcPr>
            <w:cnfStyle w:val="001000000000" w:firstRow="0" w:lastRow="0" w:firstColumn="1" w:lastColumn="0" w:oddVBand="0" w:evenVBand="0" w:oddHBand="0" w:evenHBand="0" w:firstRowFirstColumn="0" w:firstRowLastColumn="0" w:lastRowFirstColumn="0" w:lastRowLastColumn="0"/>
            <w:tcW w:w="3652" w:type="dxa"/>
          </w:tcPr>
          <w:p w:rsidR="00066B36" w:rsidRDefault="007C6E22" w:rsidP="00066B36">
            <w:r>
              <w:t>Design</w:t>
            </w:r>
          </w:p>
        </w:tc>
        <w:tc>
          <w:tcPr>
            <w:tcW w:w="1418" w:type="dxa"/>
          </w:tcPr>
          <w:p w:rsidR="00066B36" w:rsidRDefault="007C6E22" w:rsidP="00066B36">
            <w:pPr>
              <w:cnfStyle w:val="000000000000" w:firstRow="0" w:lastRow="0" w:firstColumn="0" w:lastColumn="0" w:oddVBand="0" w:evenVBand="0" w:oddHBand="0" w:evenHBand="0" w:firstRowFirstColumn="0" w:firstRowLastColumn="0" w:lastRowFirstColumn="0" w:lastRowLastColumn="0"/>
            </w:pPr>
            <w:r>
              <w:t>Business hours</w:t>
            </w:r>
          </w:p>
        </w:tc>
        <w:tc>
          <w:tcPr>
            <w:tcW w:w="1811" w:type="dxa"/>
          </w:tcPr>
          <w:p w:rsidR="00066B36" w:rsidRDefault="007C6E22" w:rsidP="00066B36">
            <w:pPr>
              <w:cnfStyle w:val="000000000000" w:firstRow="0" w:lastRow="0" w:firstColumn="0" w:lastColumn="0" w:oddVBand="0" w:evenVBand="0" w:oddHBand="0" w:evenHBand="0" w:firstRowFirstColumn="0" w:firstRowLastColumn="0" w:lastRowFirstColumn="0" w:lastRowLastColumn="0"/>
            </w:pPr>
            <w:r>
              <w:t>130.61</w:t>
            </w:r>
          </w:p>
        </w:tc>
        <w:tc>
          <w:tcPr>
            <w:tcW w:w="1812" w:type="dxa"/>
          </w:tcPr>
          <w:p w:rsidR="00066B36" w:rsidRDefault="00E74397" w:rsidP="00066B36">
            <w:pPr>
              <w:cnfStyle w:val="000000000000" w:firstRow="0" w:lastRow="0" w:firstColumn="0" w:lastColumn="0" w:oddVBand="0" w:evenVBand="0" w:oddHBand="0" w:evenHBand="0" w:firstRowFirstColumn="0" w:firstRowLastColumn="0" w:lastRowFirstColumn="0" w:lastRowLastColumn="0"/>
            </w:pPr>
            <w:r>
              <w:t>114.61</w:t>
            </w:r>
          </w:p>
        </w:tc>
      </w:tr>
      <w:tr w:rsidR="00066B36" w:rsidTr="006F3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66B36" w:rsidRDefault="00066B36" w:rsidP="00066B36"/>
        </w:tc>
        <w:tc>
          <w:tcPr>
            <w:tcW w:w="1418" w:type="dxa"/>
          </w:tcPr>
          <w:p w:rsidR="00066B36" w:rsidRDefault="007C6E22" w:rsidP="00066B36">
            <w:pPr>
              <w:cnfStyle w:val="000000010000" w:firstRow="0" w:lastRow="0" w:firstColumn="0" w:lastColumn="0" w:oddVBand="0" w:evenVBand="0" w:oddHBand="0" w:evenHBand="1" w:firstRowFirstColumn="0" w:firstRowLastColumn="0" w:lastRowFirstColumn="0" w:lastRowLastColumn="0"/>
            </w:pPr>
            <w:r>
              <w:t>After hours</w:t>
            </w:r>
          </w:p>
        </w:tc>
        <w:tc>
          <w:tcPr>
            <w:tcW w:w="1811" w:type="dxa"/>
          </w:tcPr>
          <w:p w:rsidR="00066B36" w:rsidRDefault="007C6E22" w:rsidP="00066B36">
            <w:pPr>
              <w:cnfStyle w:val="000000010000" w:firstRow="0" w:lastRow="0" w:firstColumn="0" w:lastColumn="0" w:oddVBand="0" w:evenVBand="0" w:oddHBand="0" w:evenHBand="1" w:firstRowFirstColumn="0" w:firstRowLastColumn="0" w:lastRowFirstColumn="0" w:lastRowLastColumn="0"/>
            </w:pPr>
            <w:r>
              <w:t>158.63</w:t>
            </w:r>
          </w:p>
        </w:tc>
        <w:tc>
          <w:tcPr>
            <w:tcW w:w="1812" w:type="dxa"/>
          </w:tcPr>
          <w:p w:rsidR="00066B36" w:rsidRDefault="00E74397" w:rsidP="00066B36">
            <w:pPr>
              <w:cnfStyle w:val="000000010000" w:firstRow="0" w:lastRow="0" w:firstColumn="0" w:lastColumn="0" w:oddVBand="0" w:evenVBand="0" w:oddHBand="0" w:evenHBand="1" w:firstRowFirstColumn="0" w:firstRowLastColumn="0" w:lastRowFirstColumn="0" w:lastRowLastColumn="0"/>
            </w:pPr>
            <w:r>
              <w:t>139.19</w:t>
            </w:r>
          </w:p>
        </w:tc>
      </w:tr>
      <w:tr w:rsidR="00066B36" w:rsidTr="006F35D8">
        <w:tc>
          <w:tcPr>
            <w:cnfStyle w:val="001000000000" w:firstRow="0" w:lastRow="0" w:firstColumn="1" w:lastColumn="0" w:oddVBand="0" w:evenVBand="0" w:oddHBand="0" w:evenHBand="0" w:firstRowFirstColumn="0" w:firstRowLastColumn="0" w:lastRowFirstColumn="0" w:lastRowLastColumn="0"/>
            <w:tcW w:w="3652" w:type="dxa"/>
          </w:tcPr>
          <w:p w:rsidR="00066B36" w:rsidRDefault="007C6E22" w:rsidP="00066B36">
            <w:r>
              <w:t>Drafting</w:t>
            </w:r>
          </w:p>
        </w:tc>
        <w:tc>
          <w:tcPr>
            <w:tcW w:w="1418" w:type="dxa"/>
          </w:tcPr>
          <w:p w:rsidR="00066B36" w:rsidRDefault="007C6E22" w:rsidP="00066B36">
            <w:pPr>
              <w:cnfStyle w:val="000000000000" w:firstRow="0" w:lastRow="0" w:firstColumn="0" w:lastColumn="0" w:oddVBand="0" w:evenVBand="0" w:oddHBand="0" w:evenHBand="0" w:firstRowFirstColumn="0" w:firstRowLastColumn="0" w:lastRowFirstColumn="0" w:lastRowLastColumn="0"/>
            </w:pPr>
            <w:r>
              <w:t>Business hours</w:t>
            </w:r>
          </w:p>
        </w:tc>
        <w:tc>
          <w:tcPr>
            <w:tcW w:w="1811" w:type="dxa"/>
          </w:tcPr>
          <w:p w:rsidR="00066B36" w:rsidRDefault="007C6E22" w:rsidP="00066B36">
            <w:pPr>
              <w:cnfStyle w:val="000000000000" w:firstRow="0" w:lastRow="0" w:firstColumn="0" w:lastColumn="0" w:oddVBand="0" w:evenVBand="0" w:oddHBand="0" w:evenHBand="0" w:firstRowFirstColumn="0" w:firstRowLastColumn="0" w:lastRowFirstColumn="0" w:lastRowLastColumn="0"/>
            </w:pPr>
            <w:r>
              <w:t>100.36</w:t>
            </w:r>
          </w:p>
        </w:tc>
        <w:tc>
          <w:tcPr>
            <w:tcW w:w="1812" w:type="dxa"/>
          </w:tcPr>
          <w:p w:rsidR="00066B36" w:rsidRDefault="00E74397" w:rsidP="00066B36">
            <w:pPr>
              <w:cnfStyle w:val="000000000000" w:firstRow="0" w:lastRow="0" w:firstColumn="0" w:lastColumn="0" w:oddVBand="0" w:evenVBand="0" w:oddHBand="0" w:evenHBand="0" w:firstRowFirstColumn="0" w:firstRowLastColumn="0" w:lastRowFirstColumn="0" w:lastRowLastColumn="0"/>
            </w:pPr>
            <w:r>
              <w:t>88.07</w:t>
            </w:r>
          </w:p>
        </w:tc>
      </w:tr>
      <w:tr w:rsidR="00066B36" w:rsidTr="006F3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66B36" w:rsidRDefault="00066B36" w:rsidP="00066B36"/>
        </w:tc>
        <w:tc>
          <w:tcPr>
            <w:tcW w:w="1418" w:type="dxa"/>
          </w:tcPr>
          <w:p w:rsidR="00066B36" w:rsidRDefault="007C6E22" w:rsidP="00066B36">
            <w:pPr>
              <w:cnfStyle w:val="000000010000" w:firstRow="0" w:lastRow="0" w:firstColumn="0" w:lastColumn="0" w:oddVBand="0" w:evenVBand="0" w:oddHBand="0" w:evenHBand="1" w:firstRowFirstColumn="0" w:firstRowLastColumn="0" w:lastRowFirstColumn="0" w:lastRowLastColumn="0"/>
            </w:pPr>
            <w:r>
              <w:t>After hours</w:t>
            </w:r>
          </w:p>
        </w:tc>
        <w:tc>
          <w:tcPr>
            <w:tcW w:w="1811" w:type="dxa"/>
          </w:tcPr>
          <w:p w:rsidR="00066B36" w:rsidRDefault="007C6E22" w:rsidP="00066B36">
            <w:pPr>
              <w:cnfStyle w:val="000000010000" w:firstRow="0" w:lastRow="0" w:firstColumn="0" w:lastColumn="0" w:oddVBand="0" w:evenVBand="0" w:oddHBand="0" w:evenHBand="1" w:firstRowFirstColumn="0" w:firstRowLastColumn="0" w:lastRowFirstColumn="0" w:lastRowLastColumn="0"/>
            </w:pPr>
            <w:r>
              <w:t>121.89</w:t>
            </w:r>
          </w:p>
        </w:tc>
        <w:tc>
          <w:tcPr>
            <w:tcW w:w="1812" w:type="dxa"/>
          </w:tcPr>
          <w:p w:rsidR="00066B36" w:rsidRDefault="00E74397" w:rsidP="00066B36">
            <w:pPr>
              <w:cnfStyle w:val="000000010000" w:firstRow="0" w:lastRow="0" w:firstColumn="0" w:lastColumn="0" w:oddVBand="0" w:evenVBand="0" w:oddHBand="0" w:evenHBand="1" w:firstRowFirstColumn="0" w:firstRowLastColumn="0" w:lastRowFirstColumn="0" w:lastRowLastColumn="0"/>
            </w:pPr>
            <w:r>
              <w:t>106.96</w:t>
            </w:r>
          </w:p>
        </w:tc>
      </w:tr>
      <w:tr w:rsidR="00066B36" w:rsidTr="006F35D8">
        <w:tc>
          <w:tcPr>
            <w:cnfStyle w:val="001000000000" w:firstRow="0" w:lastRow="0" w:firstColumn="1" w:lastColumn="0" w:oddVBand="0" w:evenVBand="0" w:oddHBand="0" w:evenHBand="0" w:firstRowFirstColumn="0" w:firstRowLastColumn="0" w:lastRowFirstColumn="0" w:lastRowLastColumn="0"/>
            <w:tcW w:w="3652" w:type="dxa"/>
          </w:tcPr>
          <w:p w:rsidR="00066B36" w:rsidRDefault="007C6E22" w:rsidP="00066B36">
            <w:r>
              <w:t>Survey</w:t>
            </w:r>
          </w:p>
        </w:tc>
        <w:tc>
          <w:tcPr>
            <w:tcW w:w="1418" w:type="dxa"/>
          </w:tcPr>
          <w:p w:rsidR="00066B36" w:rsidRDefault="007C6E22" w:rsidP="00066B36">
            <w:pPr>
              <w:cnfStyle w:val="000000000000" w:firstRow="0" w:lastRow="0" w:firstColumn="0" w:lastColumn="0" w:oddVBand="0" w:evenVBand="0" w:oddHBand="0" w:evenHBand="0" w:firstRowFirstColumn="0" w:firstRowLastColumn="0" w:lastRowFirstColumn="0" w:lastRowLastColumn="0"/>
            </w:pPr>
            <w:r>
              <w:t>Business hours</w:t>
            </w:r>
          </w:p>
        </w:tc>
        <w:tc>
          <w:tcPr>
            <w:tcW w:w="1811" w:type="dxa"/>
          </w:tcPr>
          <w:p w:rsidR="00066B36" w:rsidRDefault="007C6E22" w:rsidP="00066B36">
            <w:pPr>
              <w:cnfStyle w:val="000000000000" w:firstRow="0" w:lastRow="0" w:firstColumn="0" w:lastColumn="0" w:oddVBand="0" w:evenVBand="0" w:oddHBand="0" w:evenHBand="0" w:firstRowFirstColumn="0" w:firstRowLastColumn="0" w:lastRowFirstColumn="0" w:lastRowLastColumn="0"/>
            </w:pPr>
            <w:r>
              <w:t>118.23</w:t>
            </w:r>
          </w:p>
        </w:tc>
        <w:tc>
          <w:tcPr>
            <w:tcW w:w="1812" w:type="dxa"/>
          </w:tcPr>
          <w:p w:rsidR="00066B36" w:rsidRDefault="00E74397" w:rsidP="00066B36">
            <w:pPr>
              <w:cnfStyle w:val="000000000000" w:firstRow="0" w:lastRow="0" w:firstColumn="0" w:lastColumn="0" w:oddVBand="0" w:evenVBand="0" w:oddHBand="0" w:evenHBand="0" w:firstRowFirstColumn="0" w:firstRowLastColumn="0" w:lastRowFirstColumn="0" w:lastRowLastColumn="0"/>
            </w:pPr>
            <w:r>
              <w:t>103.74</w:t>
            </w:r>
          </w:p>
        </w:tc>
      </w:tr>
      <w:tr w:rsidR="00066B36" w:rsidTr="006F3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66B36" w:rsidRDefault="00066B36" w:rsidP="00066B36"/>
        </w:tc>
        <w:tc>
          <w:tcPr>
            <w:tcW w:w="1418" w:type="dxa"/>
          </w:tcPr>
          <w:p w:rsidR="00066B36" w:rsidRDefault="007C6E22" w:rsidP="00066B36">
            <w:pPr>
              <w:cnfStyle w:val="000000010000" w:firstRow="0" w:lastRow="0" w:firstColumn="0" w:lastColumn="0" w:oddVBand="0" w:evenVBand="0" w:oddHBand="0" w:evenHBand="1" w:firstRowFirstColumn="0" w:firstRowLastColumn="0" w:lastRowFirstColumn="0" w:lastRowLastColumn="0"/>
            </w:pPr>
            <w:r>
              <w:t>After hours</w:t>
            </w:r>
          </w:p>
        </w:tc>
        <w:tc>
          <w:tcPr>
            <w:tcW w:w="1811" w:type="dxa"/>
          </w:tcPr>
          <w:p w:rsidR="00066B36" w:rsidRDefault="007C6E22" w:rsidP="00066B36">
            <w:pPr>
              <w:cnfStyle w:val="000000010000" w:firstRow="0" w:lastRow="0" w:firstColumn="0" w:lastColumn="0" w:oddVBand="0" w:evenVBand="0" w:oddHBand="0" w:evenHBand="1" w:firstRowFirstColumn="0" w:firstRowLastColumn="0" w:lastRowFirstColumn="0" w:lastRowLastColumn="0"/>
            </w:pPr>
            <w:r>
              <w:t>143.59</w:t>
            </w:r>
          </w:p>
        </w:tc>
        <w:tc>
          <w:tcPr>
            <w:tcW w:w="1812" w:type="dxa"/>
          </w:tcPr>
          <w:p w:rsidR="00066B36" w:rsidRDefault="00E74397" w:rsidP="00066B36">
            <w:pPr>
              <w:cnfStyle w:val="000000010000" w:firstRow="0" w:lastRow="0" w:firstColumn="0" w:lastColumn="0" w:oddVBand="0" w:evenVBand="0" w:oddHBand="0" w:evenHBand="1" w:firstRowFirstColumn="0" w:firstRowLastColumn="0" w:lastRowFirstColumn="0" w:lastRowLastColumn="0"/>
            </w:pPr>
            <w:r>
              <w:t>126.00</w:t>
            </w:r>
          </w:p>
        </w:tc>
      </w:tr>
      <w:tr w:rsidR="00066B36" w:rsidTr="006F35D8">
        <w:tc>
          <w:tcPr>
            <w:cnfStyle w:val="001000000000" w:firstRow="0" w:lastRow="0" w:firstColumn="1" w:lastColumn="0" w:oddVBand="0" w:evenVBand="0" w:oddHBand="0" w:evenHBand="0" w:firstRowFirstColumn="0" w:firstRowLastColumn="0" w:lastRowFirstColumn="0" w:lastRowLastColumn="0"/>
            <w:tcW w:w="3652" w:type="dxa"/>
          </w:tcPr>
          <w:p w:rsidR="00066B36" w:rsidRDefault="007C6E22" w:rsidP="00066B36">
            <w:r>
              <w:t>Tech</w:t>
            </w:r>
            <w:r w:rsidR="00E31024">
              <w:t>nical</w:t>
            </w:r>
            <w:r>
              <w:t xml:space="preserve"> officer</w:t>
            </w:r>
          </w:p>
        </w:tc>
        <w:tc>
          <w:tcPr>
            <w:tcW w:w="1418" w:type="dxa"/>
          </w:tcPr>
          <w:p w:rsidR="00066B36" w:rsidRDefault="007C6E22" w:rsidP="00066B36">
            <w:pPr>
              <w:cnfStyle w:val="000000000000" w:firstRow="0" w:lastRow="0" w:firstColumn="0" w:lastColumn="0" w:oddVBand="0" w:evenVBand="0" w:oddHBand="0" w:evenHBand="0" w:firstRowFirstColumn="0" w:firstRowLastColumn="0" w:lastRowFirstColumn="0" w:lastRowLastColumn="0"/>
            </w:pPr>
            <w:r>
              <w:t>Business hours</w:t>
            </w:r>
          </w:p>
        </w:tc>
        <w:tc>
          <w:tcPr>
            <w:tcW w:w="1811" w:type="dxa"/>
          </w:tcPr>
          <w:p w:rsidR="00066B36" w:rsidRDefault="007C6E22" w:rsidP="00066B36">
            <w:pPr>
              <w:cnfStyle w:val="000000000000" w:firstRow="0" w:lastRow="0" w:firstColumn="0" w:lastColumn="0" w:oddVBand="0" w:evenVBand="0" w:oddHBand="0" w:evenHBand="0" w:firstRowFirstColumn="0" w:firstRowLastColumn="0" w:lastRowFirstColumn="0" w:lastRowLastColumn="0"/>
            </w:pPr>
            <w:r>
              <w:t>118.23</w:t>
            </w:r>
          </w:p>
        </w:tc>
        <w:tc>
          <w:tcPr>
            <w:tcW w:w="1812" w:type="dxa"/>
          </w:tcPr>
          <w:p w:rsidR="00066B36" w:rsidRDefault="00E74397" w:rsidP="00066B36">
            <w:pPr>
              <w:cnfStyle w:val="000000000000" w:firstRow="0" w:lastRow="0" w:firstColumn="0" w:lastColumn="0" w:oddVBand="0" w:evenVBand="0" w:oddHBand="0" w:evenHBand="0" w:firstRowFirstColumn="0" w:firstRowLastColumn="0" w:lastRowFirstColumn="0" w:lastRowLastColumn="0"/>
            </w:pPr>
            <w:r>
              <w:t>103.74</w:t>
            </w:r>
          </w:p>
        </w:tc>
      </w:tr>
      <w:tr w:rsidR="00066B36" w:rsidTr="006F3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66B36" w:rsidRDefault="00066B36" w:rsidP="00066B36"/>
        </w:tc>
        <w:tc>
          <w:tcPr>
            <w:tcW w:w="1418" w:type="dxa"/>
          </w:tcPr>
          <w:p w:rsidR="00066B36" w:rsidRDefault="007C6E22" w:rsidP="00066B36">
            <w:pPr>
              <w:cnfStyle w:val="000000010000" w:firstRow="0" w:lastRow="0" w:firstColumn="0" w:lastColumn="0" w:oddVBand="0" w:evenVBand="0" w:oddHBand="0" w:evenHBand="1" w:firstRowFirstColumn="0" w:firstRowLastColumn="0" w:lastRowFirstColumn="0" w:lastRowLastColumn="0"/>
            </w:pPr>
            <w:r>
              <w:t>After hours</w:t>
            </w:r>
          </w:p>
        </w:tc>
        <w:tc>
          <w:tcPr>
            <w:tcW w:w="1811" w:type="dxa"/>
          </w:tcPr>
          <w:p w:rsidR="00066B36" w:rsidRDefault="007C6E22" w:rsidP="00066B36">
            <w:pPr>
              <w:cnfStyle w:val="000000010000" w:firstRow="0" w:lastRow="0" w:firstColumn="0" w:lastColumn="0" w:oddVBand="0" w:evenVBand="0" w:oddHBand="0" w:evenHBand="1" w:firstRowFirstColumn="0" w:firstRowLastColumn="0" w:lastRowFirstColumn="0" w:lastRowLastColumn="0"/>
            </w:pPr>
            <w:r>
              <w:t>143.59</w:t>
            </w:r>
          </w:p>
        </w:tc>
        <w:tc>
          <w:tcPr>
            <w:tcW w:w="1812" w:type="dxa"/>
          </w:tcPr>
          <w:p w:rsidR="00066B36" w:rsidRDefault="00E74397" w:rsidP="00066B36">
            <w:pPr>
              <w:cnfStyle w:val="000000010000" w:firstRow="0" w:lastRow="0" w:firstColumn="0" w:lastColumn="0" w:oddVBand="0" w:evenVBand="0" w:oddHBand="0" w:evenHBand="1" w:firstRowFirstColumn="0" w:firstRowLastColumn="0" w:lastRowFirstColumn="0" w:lastRowLastColumn="0"/>
            </w:pPr>
            <w:r>
              <w:t>126.00</w:t>
            </w:r>
          </w:p>
        </w:tc>
      </w:tr>
      <w:tr w:rsidR="00066B36" w:rsidTr="006F35D8">
        <w:tc>
          <w:tcPr>
            <w:cnfStyle w:val="001000000000" w:firstRow="0" w:lastRow="0" w:firstColumn="1" w:lastColumn="0" w:oddVBand="0" w:evenVBand="0" w:oddHBand="0" w:evenHBand="0" w:firstRowFirstColumn="0" w:firstRowLastColumn="0" w:lastRowFirstColumn="0" w:lastRowLastColumn="0"/>
            <w:tcW w:w="3652" w:type="dxa"/>
          </w:tcPr>
          <w:p w:rsidR="00066B36" w:rsidRDefault="007C6E22" w:rsidP="00066B36">
            <w:r>
              <w:t>Line inspector</w:t>
            </w:r>
          </w:p>
        </w:tc>
        <w:tc>
          <w:tcPr>
            <w:tcW w:w="1418" w:type="dxa"/>
          </w:tcPr>
          <w:p w:rsidR="00066B36" w:rsidRDefault="007C6E22" w:rsidP="00066B36">
            <w:pPr>
              <w:cnfStyle w:val="000000000000" w:firstRow="0" w:lastRow="0" w:firstColumn="0" w:lastColumn="0" w:oddVBand="0" w:evenVBand="0" w:oddHBand="0" w:evenHBand="0" w:firstRowFirstColumn="0" w:firstRowLastColumn="0" w:lastRowFirstColumn="0" w:lastRowLastColumn="0"/>
            </w:pPr>
            <w:r>
              <w:t>Business hours</w:t>
            </w:r>
          </w:p>
        </w:tc>
        <w:tc>
          <w:tcPr>
            <w:tcW w:w="1811" w:type="dxa"/>
          </w:tcPr>
          <w:p w:rsidR="00066B36" w:rsidRDefault="007C6E22" w:rsidP="00066B36">
            <w:pPr>
              <w:cnfStyle w:val="000000000000" w:firstRow="0" w:lastRow="0" w:firstColumn="0" w:lastColumn="0" w:oddVBand="0" w:evenVBand="0" w:oddHBand="0" w:evenHBand="0" w:firstRowFirstColumn="0" w:firstRowLastColumn="0" w:lastRowFirstColumn="0" w:lastRowLastColumn="0"/>
            </w:pPr>
            <w:r>
              <w:t>113.95</w:t>
            </w:r>
          </w:p>
        </w:tc>
        <w:tc>
          <w:tcPr>
            <w:tcW w:w="1812" w:type="dxa"/>
          </w:tcPr>
          <w:p w:rsidR="00066B36" w:rsidRDefault="00E74397" w:rsidP="00066B36">
            <w:pPr>
              <w:cnfStyle w:val="000000000000" w:firstRow="0" w:lastRow="0" w:firstColumn="0" w:lastColumn="0" w:oddVBand="0" w:evenVBand="0" w:oddHBand="0" w:evenHBand="0" w:firstRowFirstColumn="0" w:firstRowLastColumn="0" w:lastRowFirstColumn="0" w:lastRowLastColumn="0"/>
            </w:pPr>
            <w:r>
              <w:t>99.99</w:t>
            </w:r>
          </w:p>
        </w:tc>
      </w:tr>
      <w:tr w:rsidR="00066B36" w:rsidTr="006F3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66B36" w:rsidRDefault="00066B36" w:rsidP="00066B36"/>
        </w:tc>
        <w:tc>
          <w:tcPr>
            <w:tcW w:w="1418" w:type="dxa"/>
          </w:tcPr>
          <w:p w:rsidR="00066B36" w:rsidRDefault="007C6E22" w:rsidP="00066B36">
            <w:pPr>
              <w:cnfStyle w:val="000000010000" w:firstRow="0" w:lastRow="0" w:firstColumn="0" w:lastColumn="0" w:oddVBand="0" w:evenVBand="0" w:oddHBand="0" w:evenHBand="1" w:firstRowFirstColumn="0" w:firstRowLastColumn="0" w:lastRowFirstColumn="0" w:lastRowLastColumn="0"/>
            </w:pPr>
            <w:r>
              <w:t>After hours</w:t>
            </w:r>
          </w:p>
        </w:tc>
        <w:tc>
          <w:tcPr>
            <w:tcW w:w="1811" w:type="dxa"/>
          </w:tcPr>
          <w:p w:rsidR="00066B36" w:rsidRDefault="007C6E22" w:rsidP="00066B36">
            <w:pPr>
              <w:cnfStyle w:val="000000010000" w:firstRow="0" w:lastRow="0" w:firstColumn="0" w:lastColumn="0" w:oddVBand="0" w:evenVBand="0" w:oddHBand="0" w:evenHBand="1" w:firstRowFirstColumn="0" w:firstRowLastColumn="0" w:lastRowFirstColumn="0" w:lastRowLastColumn="0"/>
            </w:pPr>
            <w:r>
              <w:t>138.40</w:t>
            </w:r>
          </w:p>
        </w:tc>
        <w:tc>
          <w:tcPr>
            <w:tcW w:w="1812" w:type="dxa"/>
          </w:tcPr>
          <w:p w:rsidR="00066B36" w:rsidRDefault="00E74397" w:rsidP="00066B36">
            <w:pPr>
              <w:cnfStyle w:val="000000010000" w:firstRow="0" w:lastRow="0" w:firstColumn="0" w:lastColumn="0" w:oddVBand="0" w:evenVBand="0" w:oddHBand="0" w:evenHBand="1" w:firstRowFirstColumn="0" w:firstRowLastColumn="0" w:lastRowFirstColumn="0" w:lastRowLastColumn="0"/>
            </w:pPr>
            <w:r>
              <w:t>121.44</w:t>
            </w:r>
          </w:p>
        </w:tc>
      </w:tr>
      <w:tr w:rsidR="00066B36" w:rsidTr="006F35D8">
        <w:tc>
          <w:tcPr>
            <w:cnfStyle w:val="001000000000" w:firstRow="0" w:lastRow="0" w:firstColumn="1" w:lastColumn="0" w:oddVBand="0" w:evenVBand="0" w:oddHBand="0" w:evenHBand="0" w:firstRowFirstColumn="0" w:firstRowLastColumn="0" w:lastRowFirstColumn="0" w:lastRowLastColumn="0"/>
            <w:tcW w:w="3652" w:type="dxa"/>
          </w:tcPr>
          <w:p w:rsidR="00066B36" w:rsidRDefault="007C6E22" w:rsidP="00066B36">
            <w:r>
              <w:t>Contract supervisor</w:t>
            </w:r>
          </w:p>
        </w:tc>
        <w:tc>
          <w:tcPr>
            <w:tcW w:w="1418" w:type="dxa"/>
          </w:tcPr>
          <w:p w:rsidR="00066B36" w:rsidRDefault="007C6E22" w:rsidP="00066B36">
            <w:pPr>
              <w:cnfStyle w:val="000000000000" w:firstRow="0" w:lastRow="0" w:firstColumn="0" w:lastColumn="0" w:oddVBand="0" w:evenVBand="0" w:oddHBand="0" w:evenHBand="0" w:firstRowFirstColumn="0" w:firstRowLastColumn="0" w:lastRowFirstColumn="0" w:lastRowLastColumn="0"/>
            </w:pPr>
            <w:r>
              <w:t>Business hours</w:t>
            </w:r>
          </w:p>
        </w:tc>
        <w:tc>
          <w:tcPr>
            <w:tcW w:w="1811" w:type="dxa"/>
          </w:tcPr>
          <w:p w:rsidR="00066B36" w:rsidRDefault="007C6E22" w:rsidP="00066B36">
            <w:pPr>
              <w:cnfStyle w:val="000000000000" w:firstRow="0" w:lastRow="0" w:firstColumn="0" w:lastColumn="0" w:oddVBand="0" w:evenVBand="0" w:oddHBand="0" w:evenHBand="0" w:firstRowFirstColumn="0" w:firstRowLastColumn="0" w:lastRowFirstColumn="0" w:lastRowLastColumn="0"/>
            </w:pPr>
            <w:r>
              <w:t>118.23</w:t>
            </w:r>
          </w:p>
        </w:tc>
        <w:tc>
          <w:tcPr>
            <w:tcW w:w="1812" w:type="dxa"/>
          </w:tcPr>
          <w:p w:rsidR="00066B36" w:rsidRDefault="00E74397" w:rsidP="00066B36">
            <w:pPr>
              <w:cnfStyle w:val="000000000000" w:firstRow="0" w:lastRow="0" w:firstColumn="0" w:lastColumn="0" w:oddVBand="0" w:evenVBand="0" w:oddHBand="0" w:evenHBand="0" w:firstRowFirstColumn="0" w:firstRowLastColumn="0" w:lastRowFirstColumn="0" w:lastRowLastColumn="0"/>
            </w:pPr>
            <w:r>
              <w:t>103.74</w:t>
            </w:r>
          </w:p>
        </w:tc>
      </w:tr>
      <w:tr w:rsidR="00066B36" w:rsidTr="006F3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66B36" w:rsidRDefault="00066B36" w:rsidP="00066B36"/>
        </w:tc>
        <w:tc>
          <w:tcPr>
            <w:tcW w:w="1418" w:type="dxa"/>
          </w:tcPr>
          <w:p w:rsidR="00066B36" w:rsidRDefault="007C6E22" w:rsidP="00066B36">
            <w:pPr>
              <w:cnfStyle w:val="000000010000" w:firstRow="0" w:lastRow="0" w:firstColumn="0" w:lastColumn="0" w:oddVBand="0" w:evenVBand="0" w:oddHBand="0" w:evenHBand="1" w:firstRowFirstColumn="0" w:firstRowLastColumn="0" w:lastRowFirstColumn="0" w:lastRowLastColumn="0"/>
            </w:pPr>
            <w:r>
              <w:t>After hours</w:t>
            </w:r>
          </w:p>
        </w:tc>
        <w:tc>
          <w:tcPr>
            <w:tcW w:w="1811" w:type="dxa"/>
          </w:tcPr>
          <w:p w:rsidR="00066B36" w:rsidRDefault="007C6E22" w:rsidP="00066B36">
            <w:pPr>
              <w:cnfStyle w:val="000000010000" w:firstRow="0" w:lastRow="0" w:firstColumn="0" w:lastColumn="0" w:oddVBand="0" w:evenVBand="0" w:oddHBand="0" w:evenHBand="1" w:firstRowFirstColumn="0" w:firstRowLastColumn="0" w:lastRowFirstColumn="0" w:lastRowLastColumn="0"/>
            </w:pPr>
            <w:r>
              <w:t>143.59</w:t>
            </w:r>
          </w:p>
        </w:tc>
        <w:tc>
          <w:tcPr>
            <w:tcW w:w="1812" w:type="dxa"/>
          </w:tcPr>
          <w:p w:rsidR="00066B36" w:rsidRDefault="00E74397" w:rsidP="00066B36">
            <w:pPr>
              <w:cnfStyle w:val="000000010000" w:firstRow="0" w:lastRow="0" w:firstColumn="0" w:lastColumn="0" w:oddVBand="0" w:evenVBand="0" w:oddHBand="0" w:evenHBand="1" w:firstRowFirstColumn="0" w:firstRowLastColumn="0" w:lastRowFirstColumn="0" w:lastRowLastColumn="0"/>
            </w:pPr>
            <w:r>
              <w:t>126.00</w:t>
            </w:r>
          </w:p>
        </w:tc>
      </w:tr>
      <w:tr w:rsidR="00066B36" w:rsidTr="006F35D8">
        <w:tc>
          <w:tcPr>
            <w:cnfStyle w:val="001000000000" w:firstRow="0" w:lastRow="0" w:firstColumn="1" w:lastColumn="0" w:oddVBand="0" w:evenVBand="0" w:oddHBand="0" w:evenHBand="0" w:firstRowFirstColumn="0" w:firstRowLastColumn="0" w:lastRowFirstColumn="0" w:lastRowLastColumn="0"/>
            <w:tcW w:w="3652" w:type="dxa"/>
          </w:tcPr>
          <w:p w:rsidR="00066B36" w:rsidRDefault="007C6E22" w:rsidP="00066B36">
            <w:r>
              <w:t>Protection engineer</w:t>
            </w:r>
          </w:p>
        </w:tc>
        <w:tc>
          <w:tcPr>
            <w:tcW w:w="1418" w:type="dxa"/>
          </w:tcPr>
          <w:p w:rsidR="00066B36" w:rsidRDefault="007C6E22" w:rsidP="00066B36">
            <w:pPr>
              <w:cnfStyle w:val="000000000000" w:firstRow="0" w:lastRow="0" w:firstColumn="0" w:lastColumn="0" w:oddVBand="0" w:evenVBand="0" w:oddHBand="0" w:evenHBand="0" w:firstRowFirstColumn="0" w:firstRowLastColumn="0" w:lastRowFirstColumn="0" w:lastRowLastColumn="0"/>
            </w:pPr>
            <w:r>
              <w:t>Business hours</w:t>
            </w:r>
          </w:p>
        </w:tc>
        <w:tc>
          <w:tcPr>
            <w:tcW w:w="1811" w:type="dxa"/>
          </w:tcPr>
          <w:p w:rsidR="00066B36" w:rsidRDefault="007C6E22" w:rsidP="00066B36">
            <w:pPr>
              <w:cnfStyle w:val="000000000000" w:firstRow="0" w:lastRow="0" w:firstColumn="0" w:lastColumn="0" w:oddVBand="0" w:evenVBand="0" w:oddHBand="0" w:evenHBand="0" w:firstRowFirstColumn="0" w:firstRowLastColumn="0" w:lastRowFirstColumn="0" w:lastRowLastColumn="0"/>
            </w:pPr>
            <w:r>
              <w:t>130.61</w:t>
            </w:r>
          </w:p>
        </w:tc>
        <w:tc>
          <w:tcPr>
            <w:tcW w:w="1812" w:type="dxa"/>
          </w:tcPr>
          <w:p w:rsidR="00066B36" w:rsidRDefault="00E74397" w:rsidP="00066B36">
            <w:pPr>
              <w:cnfStyle w:val="000000000000" w:firstRow="0" w:lastRow="0" w:firstColumn="0" w:lastColumn="0" w:oddVBand="0" w:evenVBand="0" w:oddHBand="0" w:evenHBand="0" w:firstRowFirstColumn="0" w:firstRowLastColumn="0" w:lastRowFirstColumn="0" w:lastRowLastColumn="0"/>
            </w:pPr>
            <w:r>
              <w:t>114.61</w:t>
            </w:r>
          </w:p>
        </w:tc>
      </w:tr>
      <w:tr w:rsidR="00066B36" w:rsidTr="006F3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66B36" w:rsidRDefault="00066B36" w:rsidP="00066B36"/>
        </w:tc>
        <w:tc>
          <w:tcPr>
            <w:tcW w:w="1418" w:type="dxa"/>
          </w:tcPr>
          <w:p w:rsidR="00066B36" w:rsidRDefault="007C6E22" w:rsidP="00066B36">
            <w:pPr>
              <w:cnfStyle w:val="000000010000" w:firstRow="0" w:lastRow="0" w:firstColumn="0" w:lastColumn="0" w:oddVBand="0" w:evenVBand="0" w:oddHBand="0" w:evenHBand="1" w:firstRowFirstColumn="0" w:firstRowLastColumn="0" w:lastRowFirstColumn="0" w:lastRowLastColumn="0"/>
            </w:pPr>
            <w:r>
              <w:t>After hours</w:t>
            </w:r>
          </w:p>
        </w:tc>
        <w:tc>
          <w:tcPr>
            <w:tcW w:w="1811" w:type="dxa"/>
          </w:tcPr>
          <w:p w:rsidR="00066B36" w:rsidRDefault="007C6E22" w:rsidP="00066B36">
            <w:pPr>
              <w:cnfStyle w:val="000000010000" w:firstRow="0" w:lastRow="0" w:firstColumn="0" w:lastColumn="0" w:oddVBand="0" w:evenVBand="0" w:oddHBand="0" w:evenHBand="1" w:firstRowFirstColumn="0" w:firstRowLastColumn="0" w:lastRowFirstColumn="0" w:lastRowLastColumn="0"/>
            </w:pPr>
            <w:r>
              <w:t>158.63</w:t>
            </w:r>
          </w:p>
        </w:tc>
        <w:tc>
          <w:tcPr>
            <w:tcW w:w="1812" w:type="dxa"/>
          </w:tcPr>
          <w:p w:rsidR="00066B36" w:rsidRDefault="00E74397" w:rsidP="00066B36">
            <w:pPr>
              <w:cnfStyle w:val="000000010000" w:firstRow="0" w:lastRow="0" w:firstColumn="0" w:lastColumn="0" w:oddVBand="0" w:evenVBand="0" w:oddHBand="0" w:evenHBand="1" w:firstRowFirstColumn="0" w:firstRowLastColumn="0" w:lastRowFirstColumn="0" w:lastRowLastColumn="0"/>
            </w:pPr>
            <w:r>
              <w:t>139.19</w:t>
            </w:r>
          </w:p>
        </w:tc>
      </w:tr>
      <w:tr w:rsidR="00066B36" w:rsidTr="006F35D8">
        <w:tc>
          <w:tcPr>
            <w:cnfStyle w:val="001000000000" w:firstRow="0" w:lastRow="0" w:firstColumn="1" w:lastColumn="0" w:oddVBand="0" w:evenVBand="0" w:oddHBand="0" w:evenHBand="0" w:firstRowFirstColumn="0" w:firstRowLastColumn="0" w:lastRowFirstColumn="0" w:lastRowLastColumn="0"/>
            <w:tcW w:w="3652" w:type="dxa"/>
          </w:tcPr>
          <w:p w:rsidR="00066B36" w:rsidRDefault="007C6E22" w:rsidP="00066B36">
            <w:r>
              <w:t>Maintenance planner</w:t>
            </w:r>
          </w:p>
        </w:tc>
        <w:tc>
          <w:tcPr>
            <w:tcW w:w="1418" w:type="dxa"/>
          </w:tcPr>
          <w:p w:rsidR="00066B36" w:rsidRDefault="007C6E22" w:rsidP="00066B36">
            <w:pPr>
              <w:cnfStyle w:val="000000000000" w:firstRow="0" w:lastRow="0" w:firstColumn="0" w:lastColumn="0" w:oddVBand="0" w:evenVBand="0" w:oddHBand="0" w:evenHBand="0" w:firstRowFirstColumn="0" w:firstRowLastColumn="0" w:lastRowFirstColumn="0" w:lastRowLastColumn="0"/>
            </w:pPr>
            <w:r>
              <w:t>Business hours</w:t>
            </w:r>
          </w:p>
        </w:tc>
        <w:tc>
          <w:tcPr>
            <w:tcW w:w="1811" w:type="dxa"/>
          </w:tcPr>
          <w:p w:rsidR="00066B36" w:rsidRDefault="007C6E22" w:rsidP="00066B36">
            <w:pPr>
              <w:cnfStyle w:val="000000000000" w:firstRow="0" w:lastRow="0" w:firstColumn="0" w:lastColumn="0" w:oddVBand="0" w:evenVBand="0" w:oddHBand="0" w:evenHBand="0" w:firstRowFirstColumn="0" w:firstRowLastColumn="0" w:lastRowFirstColumn="0" w:lastRowLastColumn="0"/>
            </w:pPr>
            <w:r>
              <w:t>118.23</w:t>
            </w:r>
          </w:p>
        </w:tc>
        <w:tc>
          <w:tcPr>
            <w:tcW w:w="1812" w:type="dxa"/>
          </w:tcPr>
          <w:p w:rsidR="00066B36" w:rsidRDefault="00E74397" w:rsidP="00066B36">
            <w:pPr>
              <w:cnfStyle w:val="000000000000" w:firstRow="0" w:lastRow="0" w:firstColumn="0" w:lastColumn="0" w:oddVBand="0" w:evenVBand="0" w:oddHBand="0" w:evenHBand="0" w:firstRowFirstColumn="0" w:firstRowLastColumn="0" w:lastRowFirstColumn="0" w:lastRowLastColumn="0"/>
            </w:pPr>
            <w:r>
              <w:t>103.74</w:t>
            </w:r>
          </w:p>
        </w:tc>
      </w:tr>
      <w:tr w:rsidR="00066B36" w:rsidTr="006F35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066B36" w:rsidRDefault="00066B36" w:rsidP="00066B36"/>
        </w:tc>
        <w:tc>
          <w:tcPr>
            <w:tcW w:w="1418" w:type="dxa"/>
          </w:tcPr>
          <w:p w:rsidR="00066B36" w:rsidRDefault="007C6E22" w:rsidP="00066B36">
            <w:pPr>
              <w:cnfStyle w:val="000000010000" w:firstRow="0" w:lastRow="0" w:firstColumn="0" w:lastColumn="0" w:oddVBand="0" w:evenVBand="0" w:oddHBand="0" w:evenHBand="1" w:firstRowFirstColumn="0" w:firstRowLastColumn="0" w:lastRowFirstColumn="0" w:lastRowLastColumn="0"/>
            </w:pPr>
            <w:r>
              <w:t>After hours</w:t>
            </w:r>
          </w:p>
        </w:tc>
        <w:tc>
          <w:tcPr>
            <w:tcW w:w="1811" w:type="dxa"/>
          </w:tcPr>
          <w:p w:rsidR="00066B36" w:rsidRDefault="007C6E22" w:rsidP="00066B36">
            <w:pPr>
              <w:cnfStyle w:val="000000010000" w:firstRow="0" w:lastRow="0" w:firstColumn="0" w:lastColumn="0" w:oddVBand="0" w:evenVBand="0" w:oddHBand="0" w:evenHBand="1" w:firstRowFirstColumn="0" w:firstRowLastColumn="0" w:lastRowFirstColumn="0" w:lastRowLastColumn="0"/>
            </w:pPr>
            <w:r>
              <w:t>143.59</w:t>
            </w:r>
          </w:p>
        </w:tc>
        <w:tc>
          <w:tcPr>
            <w:tcW w:w="1812" w:type="dxa"/>
          </w:tcPr>
          <w:p w:rsidR="00066B36" w:rsidRDefault="00E74397" w:rsidP="00066B36">
            <w:pPr>
              <w:cnfStyle w:val="000000010000" w:firstRow="0" w:lastRow="0" w:firstColumn="0" w:lastColumn="0" w:oddVBand="0" w:evenVBand="0" w:oddHBand="0" w:evenHBand="1" w:firstRowFirstColumn="0" w:firstRowLastColumn="0" w:lastRowFirstColumn="0" w:lastRowLastColumn="0"/>
            </w:pPr>
            <w:r>
              <w:t>126.00</w:t>
            </w:r>
          </w:p>
        </w:tc>
      </w:tr>
    </w:tbl>
    <w:p w:rsidR="007C6E22" w:rsidRDefault="00385667" w:rsidP="007C6E22">
      <w:pPr>
        <w:pStyle w:val="AERtablesource"/>
      </w:pPr>
      <w:r>
        <w:t>Source:</w:t>
      </w:r>
      <w:r>
        <w:tab/>
      </w:r>
      <w:r w:rsidR="007C6E22">
        <w:t xml:space="preserve">AER analysis; AusNet, </w:t>
      </w:r>
      <w:r w:rsidR="007C6E22" w:rsidRPr="00467CC7">
        <w:rPr>
          <w:rStyle w:val="AERtextitalic"/>
        </w:rPr>
        <w:t>Regulatory proposal</w:t>
      </w:r>
      <w:r w:rsidR="00091E5C">
        <w:rPr>
          <w:rStyle w:val="AERtextitalic"/>
        </w:rPr>
        <w:t xml:space="preserve"> 2016–20</w:t>
      </w:r>
      <w:r w:rsidR="007C6E22">
        <w:t>, April 2015, p. 424.</w:t>
      </w:r>
    </w:p>
    <w:p w:rsidR="00385667" w:rsidRPr="00385667" w:rsidRDefault="00385667" w:rsidP="00385667">
      <w:pPr>
        <w:pStyle w:val="AERtablesource"/>
      </w:pPr>
      <w:r w:rsidRPr="00A937DD">
        <w:t xml:space="preserve">Note: </w:t>
      </w:r>
      <w:r w:rsidRPr="00A937DD">
        <w:tab/>
      </w:r>
      <w:r w:rsidR="003B18CD" w:rsidRPr="003B18CD">
        <w:t>Our preliminary decision prices will be escalated into real 2016 dollar terms using the percentage changes in the annual ABS September quarter index in AusNet Services' 2016 pricing proposal.</w:t>
      </w:r>
    </w:p>
    <w:p w:rsidR="00894019" w:rsidRDefault="00894019">
      <w:pPr>
        <w:spacing w:line="240" w:lineRule="auto"/>
        <w:rPr>
          <w:b/>
          <w:bCs/>
          <w:color w:val="076A92" w:themeColor="text1"/>
          <w:sz w:val="24"/>
          <w:szCs w:val="18"/>
        </w:rPr>
      </w:pPr>
      <w:r>
        <w:br w:type="page"/>
      </w:r>
    </w:p>
    <w:p w:rsidR="00066B36" w:rsidRDefault="002C5123" w:rsidP="002C5123">
      <w:pPr>
        <w:pStyle w:val="Caption"/>
      </w:pPr>
      <w:proofErr w:type="gramStart"/>
      <w:r>
        <w:t xml:space="preserve">Table </w:t>
      </w:r>
      <w:proofErr w:type="gramEnd"/>
      <w:r w:rsidR="006A670B">
        <w:fldChar w:fldCharType="begin"/>
      </w:r>
      <w:r w:rsidR="006A670B">
        <w:instrText xml:space="preserve"> STYLEREF 1 \s </w:instrText>
      </w:r>
      <w:r w:rsidR="006A670B">
        <w:fldChar w:fldCharType="separate"/>
      </w:r>
      <w:r w:rsidR="009E0EFD">
        <w:rPr>
          <w:noProof/>
        </w:rPr>
        <w:t>16</w:t>
      </w:r>
      <w:r w:rsidR="006A670B">
        <w:fldChar w:fldCharType="end"/>
      </w:r>
      <w:proofErr w:type="gramStart"/>
      <w:r w:rsidR="006A670B">
        <w:t>.</w:t>
      </w:r>
      <w:proofErr w:type="gramEnd"/>
      <w:r w:rsidR="006A670B">
        <w:fldChar w:fldCharType="begin"/>
      </w:r>
      <w:r w:rsidR="006A670B">
        <w:instrText xml:space="preserve"> SEQ Table \* ARABIC \s 1 </w:instrText>
      </w:r>
      <w:r w:rsidR="006A670B">
        <w:fldChar w:fldCharType="separate"/>
      </w:r>
      <w:r w:rsidR="009E0EFD">
        <w:rPr>
          <w:noProof/>
        </w:rPr>
        <w:t>20</w:t>
      </w:r>
      <w:r w:rsidR="006A670B">
        <w:fldChar w:fldCharType="end"/>
      </w:r>
      <w:r>
        <w:t xml:space="preserve"> AusNet Services' quoted services</w:t>
      </w:r>
    </w:p>
    <w:tbl>
      <w:tblPr>
        <w:tblStyle w:val="AERtable-text0"/>
        <w:tblW w:w="0" w:type="auto"/>
        <w:tblLook w:val="04A0" w:firstRow="1" w:lastRow="0" w:firstColumn="1" w:lastColumn="0" w:noHBand="0" w:noVBand="1"/>
      </w:tblPr>
      <w:tblGrid>
        <w:gridCol w:w="1540"/>
        <w:gridCol w:w="1140"/>
        <w:gridCol w:w="980"/>
        <w:gridCol w:w="1920"/>
        <w:gridCol w:w="960"/>
        <w:gridCol w:w="960"/>
        <w:gridCol w:w="960"/>
      </w:tblGrid>
      <w:tr w:rsidR="001F67F2" w:rsidRPr="001F67F2" w:rsidTr="001C6565">
        <w:trPr>
          <w:cnfStyle w:val="100000000000" w:firstRow="1" w:lastRow="0" w:firstColumn="0" w:lastColumn="0" w:oddVBand="0" w:evenVBand="0" w:oddHBand="0" w:evenHBand="0" w:firstRowFirstColumn="0" w:firstRowLastColumn="0" w:lastRowFirstColumn="0" w:lastRowLastColumn="0"/>
          <w:trHeight w:val="300"/>
          <w:tblHeader/>
        </w:trPr>
        <w:tc>
          <w:tcPr>
            <w:tcW w:w="1540" w:type="dxa"/>
            <w:noWrap/>
            <w:hideMark/>
          </w:tcPr>
          <w:p w:rsidR="001F67F2" w:rsidRPr="001F67F2" w:rsidRDefault="001F67F2">
            <w:r w:rsidRPr="001F67F2">
              <w:t>Quoted service</w:t>
            </w:r>
          </w:p>
        </w:tc>
        <w:tc>
          <w:tcPr>
            <w:tcW w:w="1140" w:type="dxa"/>
            <w:noWrap/>
            <w:hideMark/>
          </w:tcPr>
          <w:p w:rsidR="001F67F2" w:rsidRPr="001F67F2" w:rsidRDefault="001F67F2"/>
        </w:tc>
        <w:tc>
          <w:tcPr>
            <w:tcW w:w="980" w:type="dxa"/>
            <w:noWrap/>
            <w:hideMark/>
          </w:tcPr>
          <w:p w:rsidR="001F67F2" w:rsidRPr="001F67F2" w:rsidRDefault="001F67F2"/>
        </w:tc>
        <w:tc>
          <w:tcPr>
            <w:tcW w:w="1920" w:type="dxa"/>
            <w:noWrap/>
            <w:hideMark/>
          </w:tcPr>
          <w:p w:rsidR="001F67F2" w:rsidRPr="001F67F2" w:rsidRDefault="001F67F2">
            <w:r w:rsidRPr="001F67F2">
              <w:t>Description</w:t>
            </w:r>
          </w:p>
        </w:tc>
        <w:tc>
          <w:tcPr>
            <w:tcW w:w="960" w:type="dxa"/>
            <w:noWrap/>
            <w:hideMark/>
          </w:tcPr>
          <w:p w:rsidR="001F67F2" w:rsidRPr="001F67F2" w:rsidRDefault="001F67F2"/>
        </w:tc>
        <w:tc>
          <w:tcPr>
            <w:tcW w:w="960" w:type="dxa"/>
            <w:noWrap/>
            <w:hideMark/>
          </w:tcPr>
          <w:p w:rsidR="001F67F2" w:rsidRPr="001F67F2" w:rsidRDefault="001F67F2"/>
        </w:tc>
        <w:tc>
          <w:tcPr>
            <w:tcW w:w="960" w:type="dxa"/>
            <w:noWrap/>
            <w:hideMark/>
          </w:tcPr>
          <w:p w:rsidR="001F67F2" w:rsidRPr="001F67F2" w:rsidRDefault="001F67F2"/>
        </w:tc>
      </w:tr>
      <w:tr w:rsidR="001F67F2" w:rsidRPr="001F67F2" w:rsidTr="0083477B">
        <w:trPr>
          <w:trHeight w:val="1590"/>
        </w:trPr>
        <w:tc>
          <w:tcPr>
            <w:tcW w:w="3660" w:type="dxa"/>
            <w:gridSpan w:val="3"/>
            <w:hideMark/>
          </w:tcPr>
          <w:p w:rsidR="001F67F2" w:rsidRPr="001F67F2" w:rsidRDefault="001F67F2">
            <w:r w:rsidRPr="001F67F2">
              <w:t>Reserve feeder maintenance</w:t>
            </w:r>
          </w:p>
        </w:tc>
        <w:tc>
          <w:tcPr>
            <w:tcW w:w="4800" w:type="dxa"/>
            <w:gridSpan w:val="4"/>
            <w:hideMark/>
          </w:tcPr>
          <w:p w:rsidR="001F67F2" w:rsidRPr="001F67F2" w:rsidRDefault="001F67F2">
            <w:r w:rsidRPr="001F67F2">
              <w:t>Maintaining network assets that provide an alternative supply to a customer’s premise by reserving capacity for use by the customer in emergency situations.</w:t>
            </w:r>
          </w:p>
        </w:tc>
      </w:tr>
      <w:tr w:rsidR="001F67F2" w:rsidRPr="001F67F2" w:rsidTr="0083477B">
        <w:trPr>
          <w:cnfStyle w:val="000000010000" w:firstRow="0" w:lastRow="0" w:firstColumn="0" w:lastColumn="0" w:oddVBand="0" w:evenVBand="0" w:oddHBand="0" w:evenHBand="1" w:firstRowFirstColumn="0" w:firstRowLastColumn="0" w:lastRowFirstColumn="0" w:lastRowLastColumn="0"/>
          <w:trHeight w:val="2730"/>
        </w:trPr>
        <w:tc>
          <w:tcPr>
            <w:tcW w:w="3660" w:type="dxa"/>
            <w:gridSpan w:val="3"/>
            <w:hideMark/>
          </w:tcPr>
          <w:p w:rsidR="001F67F2" w:rsidRPr="001F67F2" w:rsidRDefault="001F67F2">
            <w:r w:rsidRPr="001F67F2">
              <w:t>Routine connections – customers above 100 amps</w:t>
            </w:r>
          </w:p>
        </w:tc>
        <w:tc>
          <w:tcPr>
            <w:tcW w:w="4800" w:type="dxa"/>
            <w:gridSpan w:val="4"/>
            <w:hideMark/>
          </w:tcPr>
          <w:p w:rsidR="001F67F2" w:rsidRPr="001F67F2" w:rsidRDefault="001F67F2">
            <w:r w:rsidRPr="001F67F2">
              <w:t>Connection services to customers making connection of a new premise to the network – where that customer is above 100 amps. This service includes the provision of a service cable in areas with overhead supply and making a connection in a pit for customers in underground supply areas or where a customer requests an underground connection in an overhead supply area.</w:t>
            </w:r>
          </w:p>
        </w:tc>
      </w:tr>
      <w:tr w:rsidR="001F67F2" w:rsidRPr="001F67F2" w:rsidTr="0083477B">
        <w:trPr>
          <w:trHeight w:val="2160"/>
        </w:trPr>
        <w:tc>
          <w:tcPr>
            <w:tcW w:w="3660" w:type="dxa"/>
            <w:gridSpan w:val="3"/>
            <w:hideMark/>
          </w:tcPr>
          <w:p w:rsidR="001F67F2" w:rsidRPr="001F67F2" w:rsidRDefault="001F67F2">
            <w:r w:rsidRPr="001F67F2">
              <w:t>Rearrangement of network assets at customer request, excluding alteration and relocation of public lighting assets</w:t>
            </w:r>
          </w:p>
        </w:tc>
        <w:tc>
          <w:tcPr>
            <w:tcW w:w="4800" w:type="dxa"/>
            <w:gridSpan w:val="4"/>
            <w:hideMark/>
          </w:tcPr>
          <w:p w:rsidR="001F67F2" w:rsidRPr="001F67F2" w:rsidRDefault="001F67F2">
            <w:r w:rsidRPr="001F67F2">
              <w:t>Works associated with any rearrangement of the network at the request of a third party. Examples may include a single pole relocation, a re-alignment of line of poles for road construction works, or relocation of a substation to enable a redevelopment of a site.</w:t>
            </w:r>
          </w:p>
        </w:tc>
      </w:tr>
      <w:tr w:rsidR="001F67F2" w:rsidRPr="001F67F2" w:rsidTr="0083477B">
        <w:trPr>
          <w:cnfStyle w:val="000000010000" w:firstRow="0" w:lastRow="0" w:firstColumn="0" w:lastColumn="0" w:oddVBand="0" w:evenVBand="0" w:oddHBand="0" w:evenHBand="1" w:firstRowFirstColumn="0" w:firstRowLastColumn="0" w:lastRowFirstColumn="0" w:lastRowLastColumn="0"/>
          <w:trHeight w:val="1380"/>
        </w:trPr>
        <w:tc>
          <w:tcPr>
            <w:tcW w:w="3660" w:type="dxa"/>
            <w:gridSpan w:val="3"/>
            <w:hideMark/>
          </w:tcPr>
          <w:p w:rsidR="001F67F2" w:rsidRPr="001F67F2" w:rsidRDefault="001F67F2">
            <w:r w:rsidRPr="001F67F2">
              <w:t>Auditing design and construction</w:t>
            </w:r>
          </w:p>
        </w:tc>
        <w:tc>
          <w:tcPr>
            <w:tcW w:w="4800" w:type="dxa"/>
            <w:gridSpan w:val="4"/>
            <w:hideMark/>
          </w:tcPr>
          <w:p w:rsidR="001F67F2" w:rsidRPr="001F67F2" w:rsidRDefault="001F67F2">
            <w:r w:rsidRPr="001F67F2">
              <w:t>Carrying out inspection and testing of works being constructed by third parties to be vested to the distributor to ensure compliance with standards and specifications.</w:t>
            </w:r>
          </w:p>
        </w:tc>
      </w:tr>
      <w:tr w:rsidR="001F67F2" w:rsidRPr="001F67F2" w:rsidTr="0083477B">
        <w:trPr>
          <w:trHeight w:val="1020"/>
        </w:trPr>
        <w:tc>
          <w:tcPr>
            <w:tcW w:w="3660" w:type="dxa"/>
            <w:gridSpan w:val="3"/>
            <w:hideMark/>
          </w:tcPr>
          <w:p w:rsidR="001F67F2" w:rsidRPr="001F67F2" w:rsidRDefault="001F67F2">
            <w:r w:rsidRPr="001F67F2">
              <w:t>Specification and design enquiry fees</w:t>
            </w:r>
          </w:p>
        </w:tc>
        <w:tc>
          <w:tcPr>
            <w:tcW w:w="4800" w:type="dxa"/>
            <w:gridSpan w:val="4"/>
            <w:hideMark/>
          </w:tcPr>
          <w:p w:rsidR="001F67F2" w:rsidRPr="001F67F2" w:rsidRDefault="001F67F2">
            <w:r w:rsidRPr="001F67F2">
              <w:t>Provision of design standards and specifications for works to be constructed by third parties and vested to the distributor.</w:t>
            </w:r>
          </w:p>
        </w:tc>
      </w:tr>
      <w:tr w:rsidR="001F67F2" w:rsidRPr="001F67F2" w:rsidTr="0083477B">
        <w:trPr>
          <w:cnfStyle w:val="000000010000" w:firstRow="0" w:lastRow="0" w:firstColumn="0" w:lastColumn="0" w:oddVBand="0" w:evenVBand="0" w:oddHBand="0" w:evenHBand="1" w:firstRowFirstColumn="0" w:firstRowLastColumn="0" w:lastRowFirstColumn="0" w:lastRowLastColumn="0"/>
          <w:trHeight w:val="2070"/>
        </w:trPr>
        <w:tc>
          <w:tcPr>
            <w:tcW w:w="3660" w:type="dxa"/>
            <w:gridSpan w:val="3"/>
            <w:hideMark/>
          </w:tcPr>
          <w:p w:rsidR="001F67F2" w:rsidRPr="001F67F2" w:rsidRDefault="001F67F2">
            <w:r w:rsidRPr="001F67F2">
              <w:t>Elective undergrounding where above ground service currently exists</w:t>
            </w:r>
          </w:p>
        </w:tc>
        <w:tc>
          <w:tcPr>
            <w:tcW w:w="4800" w:type="dxa"/>
            <w:gridSpan w:val="4"/>
            <w:hideMark/>
          </w:tcPr>
          <w:p w:rsidR="001F67F2" w:rsidRPr="001F67F2" w:rsidRDefault="001F67F2">
            <w:r w:rsidRPr="001F67F2">
              <w:t>Provision of underground services to customers in Overhead Supply areas where requested to do so by the customer. This service involves installing cable down an appropriate pole, trenching to a suitable location for an underground pit, and installing an underground pit.</w:t>
            </w:r>
          </w:p>
        </w:tc>
      </w:tr>
      <w:tr w:rsidR="001F67F2" w:rsidRPr="001F67F2" w:rsidTr="0083477B">
        <w:trPr>
          <w:trHeight w:val="1485"/>
        </w:trPr>
        <w:tc>
          <w:tcPr>
            <w:tcW w:w="3660" w:type="dxa"/>
            <w:gridSpan w:val="3"/>
            <w:hideMark/>
          </w:tcPr>
          <w:p w:rsidR="001F67F2" w:rsidRPr="001F67F2" w:rsidRDefault="001F67F2">
            <w:r w:rsidRPr="001F67F2">
              <w:t>Damage to overhead service cables caused by high load vehicles</w:t>
            </w:r>
          </w:p>
        </w:tc>
        <w:tc>
          <w:tcPr>
            <w:tcW w:w="4800" w:type="dxa"/>
            <w:gridSpan w:val="4"/>
            <w:hideMark/>
          </w:tcPr>
          <w:p w:rsidR="001F67F2" w:rsidRPr="001F67F2" w:rsidRDefault="001F67F2">
            <w:r w:rsidRPr="001F67F2">
              <w:t>The re-instatement of overhead lines that are pulled down by high loads. Where the party responsible for the damage is identified, AusNet Services will recover the costs to re-instate the line from the party concerned.</w:t>
            </w:r>
          </w:p>
        </w:tc>
      </w:tr>
      <w:tr w:rsidR="001F67F2" w:rsidRPr="001F67F2" w:rsidTr="0083477B">
        <w:trPr>
          <w:cnfStyle w:val="000000010000" w:firstRow="0" w:lastRow="0" w:firstColumn="0" w:lastColumn="0" w:oddVBand="0" w:evenVBand="0" w:oddHBand="0" w:evenHBand="1" w:firstRowFirstColumn="0" w:firstRowLastColumn="0" w:lastRowFirstColumn="0" w:lastRowLastColumn="0"/>
          <w:trHeight w:val="1125"/>
        </w:trPr>
        <w:tc>
          <w:tcPr>
            <w:tcW w:w="3660" w:type="dxa"/>
            <w:gridSpan w:val="3"/>
            <w:hideMark/>
          </w:tcPr>
          <w:p w:rsidR="001F67F2" w:rsidRPr="001F67F2" w:rsidRDefault="001F67F2">
            <w:r w:rsidRPr="001F67F2">
              <w:t>High load escorts – lifting overhead lines</w:t>
            </w:r>
          </w:p>
        </w:tc>
        <w:tc>
          <w:tcPr>
            <w:tcW w:w="4800" w:type="dxa"/>
            <w:gridSpan w:val="4"/>
            <w:hideMark/>
          </w:tcPr>
          <w:p w:rsidR="001F67F2" w:rsidRPr="001F67F2" w:rsidRDefault="001F67F2">
            <w:r w:rsidRPr="001F67F2">
              <w:t>Escorting high load transportation through areas where lines may need to be temporarily lifted or removed to allow passage of the high load.</w:t>
            </w:r>
          </w:p>
        </w:tc>
      </w:tr>
      <w:tr w:rsidR="001F67F2" w:rsidRPr="001F67F2" w:rsidTr="0083477B">
        <w:trPr>
          <w:trHeight w:val="1215"/>
        </w:trPr>
        <w:tc>
          <w:tcPr>
            <w:tcW w:w="3660" w:type="dxa"/>
            <w:gridSpan w:val="3"/>
            <w:hideMark/>
          </w:tcPr>
          <w:p w:rsidR="001F67F2" w:rsidRPr="001F67F2" w:rsidRDefault="001F67F2">
            <w:r w:rsidRPr="001F67F2">
              <w:t>Covering of low voltage lines for safety reasons</w:t>
            </w:r>
          </w:p>
        </w:tc>
        <w:tc>
          <w:tcPr>
            <w:tcW w:w="4800" w:type="dxa"/>
            <w:gridSpan w:val="4"/>
            <w:hideMark/>
          </w:tcPr>
          <w:p w:rsidR="001F67F2" w:rsidRPr="001F67F2" w:rsidRDefault="001F67F2">
            <w:r w:rsidRPr="001F67F2">
              <w:t>The provision of temporary covers for mains and services to ensure a safe working environment for those required to work in close proximity to overhead power lines.</w:t>
            </w:r>
          </w:p>
        </w:tc>
      </w:tr>
      <w:tr w:rsidR="001F67F2" w:rsidRPr="001F67F2" w:rsidTr="0083477B">
        <w:trPr>
          <w:cnfStyle w:val="000000010000" w:firstRow="0" w:lastRow="0" w:firstColumn="0" w:lastColumn="0" w:oddVBand="0" w:evenVBand="0" w:oddHBand="0" w:evenHBand="1" w:firstRowFirstColumn="0" w:firstRowLastColumn="0" w:lastRowFirstColumn="0" w:lastRowLastColumn="0"/>
          <w:trHeight w:val="1275"/>
        </w:trPr>
        <w:tc>
          <w:tcPr>
            <w:tcW w:w="3660" w:type="dxa"/>
            <w:gridSpan w:val="3"/>
            <w:hideMark/>
          </w:tcPr>
          <w:p w:rsidR="001F67F2" w:rsidRPr="001F67F2" w:rsidRDefault="001F67F2">
            <w:r w:rsidRPr="001F67F2">
              <w:t>After hours truck by appointment</w:t>
            </w:r>
          </w:p>
        </w:tc>
        <w:tc>
          <w:tcPr>
            <w:tcW w:w="4800" w:type="dxa"/>
            <w:gridSpan w:val="4"/>
            <w:hideMark/>
          </w:tcPr>
          <w:p w:rsidR="001F67F2" w:rsidRPr="001F67F2" w:rsidRDefault="001F67F2">
            <w:r w:rsidRPr="001F67F2">
              <w:t>Distributor attendance by service crews as required outside normal working hours to carry out electrical trades work on customer’s electrical interface to the network.</w:t>
            </w:r>
          </w:p>
        </w:tc>
      </w:tr>
    </w:tbl>
    <w:p w:rsidR="0083477B" w:rsidRDefault="0083477B" w:rsidP="0083477B">
      <w:pPr>
        <w:pStyle w:val="AERtablesource"/>
      </w:pPr>
      <w:r w:rsidRPr="0083477B">
        <w:t>Source:</w:t>
      </w:r>
      <w:r w:rsidRPr="0083477B">
        <w:tab/>
        <w:t xml:space="preserve">AER analysis; AusNet, </w:t>
      </w:r>
      <w:r w:rsidRPr="0083477B">
        <w:rPr>
          <w:rStyle w:val="AERtextitalic"/>
        </w:rPr>
        <w:t>Regulatory proposal</w:t>
      </w:r>
      <w:r w:rsidR="00091E5C">
        <w:rPr>
          <w:rStyle w:val="AERtextitalic"/>
        </w:rPr>
        <w:t xml:space="preserve"> 2016–20</w:t>
      </w:r>
      <w:r w:rsidRPr="0083477B">
        <w:t>, April 2015, p. </w:t>
      </w:r>
      <w:r>
        <w:t>423</w:t>
      </w:r>
      <w:r w:rsidRPr="0083477B">
        <w:t>.</w:t>
      </w:r>
    </w:p>
    <w:p w:rsidR="00FB54C5" w:rsidRDefault="00FB54C5" w:rsidP="00FB54C5">
      <w:pPr>
        <w:pStyle w:val="Heading7"/>
      </w:pPr>
      <w:bookmarkStart w:id="89" w:name="_Ref433110209"/>
      <w:bookmarkStart w:id="90" w:name="_Toc433704584"/>
      <w:r>
        <w:t>Annual metering charges unders and overs account</w:t>
      </w:r>
      <w:bookmarkEnd w:id="89"/>
      <w:bookmarkEnd w:id="90"/>
    </w:p>
    <w:p w:rsidR="00FB54C5" w:rsidRPr="00FB54C5" w:rsidRDefault="00FB54C5" w:rsidP="00FB54C5">
      <w:r w:rsidRPr="00FB54C5">
        <w:t xml:space="preserve">To demonstrate compliance with the distribution determination applicable to it during the 2016–20 regulatory control </w:t>
      </w:r>
      <w:proofErr w:type="gramStart"/>
      <w:r w:rsidRPr="00FB54C5">
        <w:t>period</w:t>
      </w:r>
      <w:proofErr w:type="gramEnd"/>
      <w:r w:rsidRPr="00FB54C5">
        <w:t xml:space="preserve">, </w:t>
      </w:r>
      <w:r>
        <w:t>AusNet Services</w:t>
      </w:r>
      <w:r w:rsidRPr="00FB54C5">
        <w:t xml:space="preserve"> must maintain an annual metering charges unders and overs account in its annual pricing proposal.</w:t>
      </w:r>
    </w:p>
    <w:p w:rsidR="00FB54C5" w:rsidRPr="00FB54C5" w:rsidRDefault="00FB54C5" w:rsidP="00FB54C5">
      <w:r>
        <w:t>AusNet Services</w:t>
      </w:r>
      <w:r w:rsidRPr="00FB54C5">
        <w:t xml:space="preserve"> must provide the amounts for the following entries in their annual metering charges unders and overs account for the most recently completed regulatory year (t–2) and the next regulatory year (t):</w:t>
      </w:r>
    </w:p>
    <w:p w:rsidR="00FB54C5" w:rsidRPr="00FB54C5" w:rsidRDefault="00FB54C5" w:rsidP="00FB54C5">
      <w:pPr>
        <w:pStyle w:val="ListNumber"/>
      </w:pPr>
      <w:r w:rsidRPr="00FB54C5">
        <w:t xml:space="preserve">The amount of revenue recovered/to be recovered from annual metering charges, less the TARM for the regulatory </w:t>
      </w:r>
      <w:proofErr w:type="gramStart"/>
      <w:r w:rsidRPr="00FB54C5">
        <w:t>years</w:t>
      </w:r>
      <w:proofErr w:type="gramEnd"/>
      <w:r w:rsidRPr="00FB54C5">
        <w:t xml:space="preserve"> t–2 and t.</w:t>
      </w:r>
    </w:p>
    <w:p w:rsidR="00FB54C5" w:rsidRPr="00FB54C5" w:rsidRDefault="00FB54C5" w:rsidP="00FB54C5">
      <w:pPr>
        <w:pStyle w:val="ListNumber"/>
      </w:pPr>
      <w:r w:rsidRPr="00FB54C5">
        <w:t xml:space="preserve">The calculated under/over recovery of revenue for regulatory </w:t>
      </w:r>
      <w:proofErr w:type="gramStart"/>
      <w:r w:rsidRPr="00FB54C5">
        <w:t>years</w:t>
      </w:r>
      <w:proofErr w:type="gramEnd"/>
      <w:r w:rsidRPr="00FB54C5">
        <w:t xml:space="preserve"> t–2 and t.</w:t>
      </w:r>
    </w:p>
    <w:p w:rsidR="00FB54C5" w:rsidRPr="00FB54C5" w:rsidRDefault="00FB54C5" w:rsidP="00FB54C5">
      <w:pPr>
        <w:pStyle w:val="ListNumber"/>
      </w:pPr>
      <w:r w:rsidRPr="00FB54C5">
        <w:t>An interest charge for two years on the under/over recovery of revenue for regulatory year t–2. This adjustment is to be calculated using the approved nominal weighted average cost of capital (WACC). This adjustment is to be calculated using the respective approved nominal weighted average cost of capital (WACC) for each intervening year between regulatory year t–2 and year t.</w:t>
      </w:r>
      <w:r w:rsidRPr="00FB54C5">
        <w:rPr>
          <w:rStyle w:val="FootnoteReference"/>
        </w:rPr>
        <w:footnoteReference w:id="115"/>
      </w:r>
      <w:r w:rsidRPr="00FB54C5">
        <w:rPr>
          <w:rStyle w:val="FootnoteReference"/>
        </w:rPr>
        <w:t xml:space="preserve"> </w:t>
      </w:r>
      <w:r w:rsidRPr="00FB54C5">
        <w:t>The WACC applied for each year will be that approved by the AER for the relevant year.</w:t>
      </w:r>
    </w:p>
    <w:p w:rsidR="00FB54C5" w:rsidRPr="00FB54C5" w:rsidRDefault="00FB54C5" w:rsidP="00FB54C5">
      <w:pPr>
        <w:pStyle w:val="ListNumber"/>
      </w:pPr>
      <w:r w:rsidRPr="00FB54C5">
        <w:t>Sum of items 2–3 to derive a closing balance for regulatory year t–2.</w:t>
      </w:r>
    </w:p>
    <w:p w:rsidR="00FB54C5" w:rsidRPr="00FB54C5" w:rsidRDefault="00FB54C5" w:rsidP="00FB54C5">
      <w:pPr>
        <w:pStyle w:val="ListNumber"/>
      </w:pPr>
      <w:r w:rsidRPr="00FB54C5">
        <w:t>Opening balance in regulatory year t which is the closing balance in item 4.</w:t>
      </w:r>
    </w:p>
    <w:p w:rsidR="00FB54C5" w:rsidRPr="00FB54C5" w:rsidRDefault="00FB54C5" w:rsidP="00FB54C5">
      <w:pPr>
        <w:pStyle w:val="ListNumber"/>
      </w:pPr>
      <w:r w:rsidRPr="00FB54C5">
        <w:t>Offsetting over/under recovery of revenue amount in item 5 to derive a closing balance as close to zero as practicable for regulatory year t. This amount will become the approved annual metering charges revenue under/over recovery for regulatory year t.</w:t>
      </w:r>
    </w:p>
    <w:p w:rsidR="00FB54C5" w:rsidRPr="00FB54C5" w:rsidRDefault="00FB54C5" w:rsidP="00FB54C5">
      <w:r>
        <w:t>AusNet Services</w:t>
      </w:r>
      <w:r w:rsidRPr="00FB54C5">
        <w:t xml:space="preserve"> must provide details of calculations in the format set out in</w:t>
      </w:r>
      <w:r>
        <w:t xml:space="preserve"> </w:t>
      </w:r>
      <w:r w:rsidR="00354CAA">
        <w:fldChar w:fldCharType="begin"/>
      </w:r>
      <w:r w:rsidR="00354CAA">
        <w:instrText xml:space="preserve"> REF  _Ref433109771 \* Lower \h </w:instrText>
      </w:r>
      <w:r w:rsidR="00354CAA">
        <w:fldChar w:fldCharType="separate"/>
      </w:r>
      <w:r w:rsidR="009E0EFD">
        <w:t xml:space="preserve">table </w:t>
      </w:r>
      <w:r w:rsidR="009E0EFD">
        <w:rPr>
          <w:noProof/>
        </w:rPr>
        <w:t>16</w:t>
      </w:r>
      <w:r w:rsidR="009E0EFD">
        <w:t>.</w:t>
      </w:r>
      <w:r w:rsidR="009E0EFD">
        <w:rPr>
          <w:noProof/>
        </w:rPr>
        <w:t>21</w:t>
      </w:r>
      <w:r w:rsidR="00354CAA">
        <w:fldChar w:fldCharType="end"/>
      </w:r>
      <w:r>
        <w:t>.</w:t>
      </w:r>
      <w:r w:rsidRPr="00FB54C5">
        <w:t xml:space="preserve"> Amounts provided for the most recently completed regulatory year (t–2) must be audited. Amounts provide for the next regulatory year (t) will be regard as a forecast.</w:t>
      </w:r>
    </w:p>
    <w:p w:rsidR="00FB54C5" w:rsidRPr="00FB54C5" w:rsidRDefault="00FB54C5" w:rsidP="00FB54C5">
      <w:r w:rsidRPr="00FB54C5">
        <w:t xml:space="preserve">In proposing variations to the amount and structure of annual metering charges, </w:t>
      </w:r>
      <w:r>
        <w:t>AusNet Services</w:t>
      </w:r>
      <w:r w:rsidRPr="00FB54C5">
        <w:t xml:space="preserve"> is expected to achieve a closing balance as close to zero as practicable in its annual metering charges unders and overs account in each forecast year in its annual pricing proposal during the 2016–20 regulatory control period.</w:t>
      </w:r>
    </w:p>
    <w:p w:rsidR="00FB54C5" w:rsidRPr="00FB54C5" w:rsidRDefault="00FB54C5" w:rsidP="00FB54C5">
      <w:r w:rsidRPr="00FB54C5">
        <w:t xml:space="preserve">As this is the first time </w:t>
      </w:r>
      <w:r>
        <w:t>AusNet Services</w:t>
      </w:r>
      <w:r w:rsidRPr="00FB54C5">
        <w:t xml:space="preserve"> will be subject to a revenue cap form of control mechanism there will be no adjustments for under or over recovery of revenue until regulatory year t is 2018. Therefore, the annual metering charges unders and overs account must show a zero under/over recovery of revenue for regulatory year t–2 when regulatory year t is 2016 and 2017.</w:t>
      </w:r>
    </w:p>
    <w:p w:rsidR="00FB54C5" w:rsidRDefault="00FB54C5" w:rsidP="00FB54C5">
      <w:pPr>
        <w:pStyle w:val="Caption"/>
      </w:pPr>
      <w:bookmarkStart w:id="91" w:name="_Ref433109771"/>
      <w:proofErr w:type="gramStart"/>
      <w:r>
        <w:t xml:space="preserve">Table </w:t>
      </w:r>
      <w:proofErr w:type="gramEnd"/>
      <w:r w:rsidR="006A670B">
        <w:fldChar w:fldCharType="begin"/>
      </w:r>
      <w:r w:rsidR="006A670B">
        <w:instrText xml:space="preserve"> STYLEREF 1 \s </w:instrText>
      </w:r>
      <w:r w:rsidR="006A670B">
        <w:fldChar w:fldCharType="separate"/>
      </w:r>
      <w:r w:rsidR="009E0EFD">
        <w:rPr>
          <w:noProof/>
        </w:rPr>
        <w:t>16</w:t>
      </w:r>
      <w:r w:rsidR="006A670B">
        <w:fldChar w:fldCharType="end"/>
      </w:r>
      <w:proofErr w:type="gramStart"/>
      <w:r w:rsidR="006A670B">
        <w:t>.</w:t>
      </w:r>
      <w:proofErr w:type="gramEnd"/>
      <w:fldSimple w:instr=" SEQ Table \* ARABIC \s 1 ">
        <w:r w:rsidR="009E0EFD">
          <w:rPr>
            <w:noProof/>
          </w:rPr>
          <w:t>21</w:t>
        </w:r>
      </w:fldSimple>
      <w:bookmarkEnd w:id="91"/>
      <w:r>
        <w:tab/>
        <w:t xml:space="preserve"> Example calculation of annual metering charges unders and overs account ($'000, nominal)</w:t>
      </w:r>
    </w:p>
    <w:tbl>
      <w:tblPr>
        <w:tblStyle w:val="AERtable-numbers"/>
        <w:tblW w:w="0" w:type="auto"/>
        <w:tblLook w:val="04A0" w:firstRow="1" w:lastRow="0" w:firstColumn="1" w:lastColumn="0" w:noHBand="0" w:noVBand="1"/>
      </w:tblPr>
      <w:tblGrid>
        <w:gridCol w:w="5211"/>
        <w:gridCol w:w="1701"/>
        <w:gridCol w:w="1701"/>
      </w:tblGrid>
      <w:tr w:rsidR="00FB54C5" w:rsidRPr="00572165" w:rsidTr="00FB54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B54C5" w:rsidRPr="00572165" w:rsidRDefault="00FB54C5" w:rsidP="00FB54C5"/>
        </w:tc>
        <w:tc>
          <w:tcPr>
            <w:tcW w:w="1701" w:type="dxa"/>
          </w:tcPr>
          <w:p w:rsidR="00FB54C5" w:rsidRPr="00FB54C5" w:rsidRDefault="00FB54C5" w:rsidP="00FB54C5">
            <w:pPr>
              <w:cnfStyle w:val="100000000000" w:firstRow="1" w:lastRow="0" w:firstColumn="0" w:lastColumn="0" w:oddVBand="0" w:evenVBand="0" w:oddHBand="0" w:evenHBand="0" w:firstRowFirstColumn="0" w:firstRowLastColumn="0" w:lastRowFirstColumn="0" w:lastRowLastColumn="0"/>
            </w:pPr>
            <w:r w:rsidRPr="00572165">
              <w:t>Year t–2</w:t>
            </w:r>
          </w:p>
          <w:p w:rsidR="00FB54C5" w:rsidRPr="00FB54C5" w:rsidRDefault="00FB54C5" w:rsidP="00FB54C5">
            <w:pPr>
              <w:cnfStyle w:val="100000000000" w:firstRow="1" w:lastRow="0" w:firstColumn="0" w:lastColumn="0" w:oddVBand="0" w:evenVBand="0" w:oddHBand="0" w:evenHBand="0" w:firstRowFirstColumn="0" w:firstRowLastColumn="0" w:lastRowFirstColumn="0" w:lastRowLastColumn="0"/>
            </w:pPr>
            <w:r w:rsidRPr="00572165">
              <w:t>(actual)</w:t>
            </w:r>
          </w:p>
        </w:tc>
        <w:tc>
          <w:tcPr>
            <w:tcW w:w="1701" w:type="dxa"/>
          </w:tcPr>
          <w:p w:rsidR="00FB54C5" w:rsidRPr="00FB54C5" w:rsidRDefault="00FB54C5" w:rsidP="00FB54C5">
            <w:pPr>
              <w:cnfStyle w:val="100000000000" w:firstRow="1" w:lastRow="0" w:firstColumn="0" w:lastColumn="0" w:oddVBand="0" w:evenVBand="0" w:oddHBand="0" w:evenHBand="0" w:firstRowFirstColumn="0" w:firstRowLastColumn="0" w:lastRowFirstColumn="0" w:lastRowLastColumn="0"/>
            </w:pPr>
            <w:r w:rsidRPr="00572165">
              <w:t>Year t</w:t>
            </w:r>
          </w:p>
          <w:p w:rsidR="00FB54C5" w:rsidRPr="00FB54C5" w:rsidRDefault="00FB54C5" w:rsidP="00FB54C5">
            <w:pPr>
              <w:cnfStyle w:val="100000000000" w:firstRow="1" w:lastRow="0" w:firstColumn="0" w:lastColumn="0" w:oddVBand="0" w:evenVBand="0" w:oddHBand="0" w:evenHBand="0" w:firstRowFirstColumn="0" w:firstRowLastColumn="0" w:lastRowFirstColumn="0" w:lastRowLastColumn="0"/>
            </w:pPr>
            <w:r w:rsidRPr="00572165">
              <w:t>(forecast)</w:t>
            </w:r>
          </w:p>
        </w:tc>
      </w:tr>
      <w:tr w:rsidR="00FB54C5" w:rsidRPr="00572165" w:rsidTr="00FB54C5">
        <w:tc>
          <w:tcPr>
            <w:cnfStyle w:val="001000000000" w:firstRow="0" w:lastRow="0" w:firstColumn="1" w:lastColumn="0" w:oddVBand="0" w:evenVBand="0" w:oddHBand="0" w:evenHBand="0" w:firstRowFirstColumn="0" w:firstRowLastColumn="0" w:lastRowFirstColumn="0" w:lastRowLastColumn="0"/>
            <w:tcW w:w="5211" w:type="dxa"/>
          </w:tcPr>
          <w:p w:rsidR="00FB54C5" w:rsidRPr="00FB54C5" w:rsidRDefault="00FB54C5" w:rsidP="00FB54C5">
            <w:pPr>
              <w:rPr>
                <w:rStyle w:val="Strong"/>
              </w:rPr>
            </w:pPr>
            <w:r w:rsidRPr="00572165">
              <w:rPr>
                <w:rStyle w:val="Strong"/>
              </w:rPr>
              <w:t>(A) Revenue from annual metering charges</w:t>
            </w:r>
          </w:p>
        </w:tc>
        <w:tc>
          <w:tcPr>
            <w:tcW w:w="1701" w:type="dxa"/>
          </w:tcPr>
          <w:p w:rsidR="00FB54C5" w:rsidRPr="00FB54C5" w:rsidRDefault="00FB54C5" w:rsidP="00FB54C5">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8449</w:t>
            </w:r>
          </w:p>
        </w:tc>
        <w:tc>
          <w:tcPr>
            <w:tcW w:w="1701" w:type="dxa"/>
          </w:tcPr>
          <w:p w:rsidR="00FB54C5" w:rsidRPr="00FB54C5" w:rsidRDefault="00FB54C5" w:rsidP="00FB54C5">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6360</w:t>
            </w:r>
          </w:p>
        </w:tc>
      </w:tr>
      <w:tr w:rsidR="00FB54C5" w:rsidRPr="00572165" w:rsidTr="00FB54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B54C5" w:rsidRPr="00FB54C5" w:rsidRDefault="00FB54C5" w:rsidP="00FB54C5">
            <w:pPr>
              <w:rPr>
                <w:rStyle w:val="Strong"/>
              </w:rPr>
            </w:pPr>
            <w:r w:rsidRPr="00572165">
              <w:rPr>
                <w:rStyle w:val="Strong"/>
              </w:rPr>
              <w:t>(B) Less TARM for regulatory year =</w:t>
            </w:r>
          </w:p>
        </w:tc>
        <w:tc>
          <w:tcPr>
            <w:tcW w:w="1701" w:type="dxa"/>
          </w:tcPr>
          <w:p w:rsidR="00FB54C5" w:rsidRPr="00FB54C5" w:rsidRDefault="00FB54C5" w:rsidP="00FB54C5">
            <w:pPr>
              <w:cnfStyle w:val="000000010000" w:firstRow="0" w:lastRow="0" w:firstColumn="0" w:lastColumn="0" w:oddVBand="0" w:evenVBand="0" w:oddHBand="0" w:evenHBand="1" w:firstRowFirstColumn="0" w:firstRowLastColumn="0" w:lastRowFirstColumn="0" w:lastRowLastColumn="0"/>
              <w:rPr>
                <w:rStyle w:val="Strong"/>
              </w:rPr>
            </w:pPr>
            <w:r w:rsidRPr="00572165">
              <w:rPr>
                <w:rStyle w:val="Strong"/>
              </w:rPr>
              <w:t>7349</w:t>
            </w:r>
          </w:p>
        </w:tc>
        <w:tc>
          <w:tcPr>
            <w:tcW w:w="1701" w:type="dxa"/>
          </w:tcPr>
          <w:p w:rsidR="00FB54C5" w:rsidRPr="00FB54C5" w:rsidRDefault="00FB54C5" w:rsidP="00FB54C5">
            <w:pPr>
              <w:cnfStyle w:val="000000010000" w:firstRow="0" w:lastRow="0" w:firstColumn="0" w:lastColumn="0" w:oddVBand="0" w:evenVBand="0" w:oddHBand="0" w:evenHBand="1" w:firstRowFirstColumn="0" w:firstRowLastColumn="0" w:lastRowFirstColumn="0" w:lastRowLastColumn="0"/>
              <w:rPr>
                <w:rStyle w:val="Strong"/>
              </w:rPr>
            </w:pPr>
            <w:r w:rsidRPr="00572165">
              <w:rPr>
                <w:rStyle w:val="Strong"/>
              </w:rPr>
              <w:t>6360</w:t>
            </w:r>
          </w:p>
        </w:tc>
      </w:tr>
      <w:tr w:rsidR="00FB54C5" w:rsidRPr="00572165" w:rsidTr="00FB54C5">
        <w:tc>
          <w:tcPr>
            <w:cnfStyle w:val="001000000000" w:firstRow="0" w:lastRow="0" w:firstColumn="1" w:lastColumn="0" w:oddVBand="0" w:evenVBand="0" w:oddHBand="0" w:evenHBand="0" w:firstRowFirstColumn="0" w:firstRowLastColumn="0" w:lastRowFirstColumn="0" w:lastRowLastColumn="0"/>
            <w:tcW w:w="5211" w:type="dxa"/>
          </w:tcPr>
          <w:p w:rsidR="00FB54C5" w:rsidRPr="00FB54C5" w:rsidRDefault="00FB54C5" w:rsidP="00FB54C5">
            <w:pPr>
              <w:pStyle w:val="ListContinue"/>
            </w:pPr>
            <w:r w:rsidRPr="00572165">
              <w:t>+ Annual revenue requirement revenues (ARt)</w:t>
            </w:r>
          </w:p>
        </w:tc>
        <w:tc>
          <w:tcPr>
            <w:tcW w:w="1701" w:type="dxa"/>
          </w:tcPr>
          <w:p w:rsidR="00FB54C5" w:rsidRPr="00FB54C5" w:rsidRDefault="00FB54C5" w:rsidP="00FB54C5">
            <w:pPr>
              <w:cnfStyle w:val="000000000000" w:firstRow="0" w:lastRow="0" w:firstColumn="0" w:lastColumn="0" w:oddVBand="0" w:evenVBand="0" w:oddHBand="0" w:evenHBand="0" w:firstRowFirstColumn="0" w:firstRowLastColumn="0" w:lastRowFirstColumn="0" w:lastRowLastColumn="0"/>
            </w:pPr>
            <w:r w:rsidRPr="00572165">
              <w:t>7382</w:t>
            </w:r>
          </w:p>
        </w:tc>
        <w:tc>
          <w:tcPr>
            <w:tcW w:w="1701" w:type="dxa"/>
          </w:tcPr>
          <w:p w:rsidR="00FB54C5" w:rsidRPr="00FB54C5" w:rsidRDefault="00FB54C5" w:rsidP="00FB54C5">
            <w:pPr>
              <w:cnfStyle w:val="000000000000" w:firstRow="0" w:lastRow="0" w:firstColumn="0" w:lastColumn="0" w:oddVBand="0" w:evenVBand="0" w:oddHBand="0" w:evenHBand="0" w:firstRowFirstColumn="0" w:firstRowLastColumn="0" w:lastRowFirstColumn="0" w:lastRowLastColumn="0"/>
            </w:pPr>
            <w:r w:rsidRPr="00572165">
              <w:t>7559</w:t>
            </w:r>
          </w:p>
        </w:tc>
      </w:tr>
      <w:tr w:rsidR="00FB54C5" w:rsidRPr="00572165" w:rsidTr="00FB54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B54C5" w:rsidRPr="00FB54C5" w:rsidRDefault="00FB54C5" w:rsidP="00FB54C5">
            <w:pPr>
              <w:pStyle w:val="ListContinue"/>
            </w:pPr>
            <w:r w:rsidRPr="00572165">
              <w:t>+ T factor (Tt) – true-ups relating to the AMI–Order in Council</w:t>
            </w:r>
          </w:p>
        </w:tc>
        <w:tc>
          <w:tcPr>
            <w:tcW w:w="1701" w:type="dxa"/>
          </w:tcPr>
          <w:p w:rsidR="00FB54C5" w:rsidRPr="00FB54C5" w:rsidRDefault="00FB54C5" w:rsidP="00FB54C5">
            <w:pPr>
              <w:cnfStyle w:val="000000010000" w:firstRow="0" w:lastRow="0" w:firstColumn="0" w:lastColumn="0" w:oddVBand="0" w:evenVBand="0" w:oddHBand="0" w:evenHBand="1" w:firstRowFirstColumn="0" w:firstRowLastColumn="0" w:lastRowFirstColumn="0" w:lastRowLastColumn="0"/>
            </w:pPr>
            <w:r w:rsidRPr="00572165">
              <w:t>17</w:t>
            </w:r>
          </w:p>
        </w:tc>
        <w:tc>
          <w:tcPr>
            <w:tcW w:w="1701" w:type="dxa"/>
          </w:tcPr>
          <w:p w:rsidR="00FB54C5" w:rsidRPr="00FB54C5" w:rsidRDefault="00FB54C5" w:rsidP="00FB54C5">
            <w:pPr>
              <w:cnfStyle w:val="000000010000" w:firstRow="0" w:lastRow="0" w:firstColumn="0" w:lastColumn="0" w:oddVBand="0" w:evenVBand="0" w:oddHBand="0" w:evenHBand="1" w:firstRowFirstColumn="0" w:firstRowLastColumn="0" w:lastRowFirstColumn="0" w:lastRowLastColumn="0"/>
            </w:pPr>
            <w:r w:rsidRPr="00572165">
              <w:t>14</w:t>
            </w:r>
          </w:p>
        </w:tc>
      </w:tr>
      <w:tr w:rsidR="00FB54C5" w:rsidRPr="00572165" w:rsidTr="00FB54C5">
        <w:tc>
          <w:tcPr>
            <w:cnfStyle w:val="001000000000" w:firstRow="0" w:lastRow="0" w:firstColumn="1" w:lastColumn="0" w:oddVBand="0" w:evenVBand="0" w:oddHBand="0" w:evenHBand="0" w:firstRowFirstColumn="0" w:firstRowLastColumn="0" w:lastRowFirstColumn="0" w:lastRowLastColumn="0"/>
            <w:tcW w:w="5211" w:type="dxa"/>
          </w:tcPr>
          <w:p w:rsidR="00FB54C5" w:rsidRPr="00FB54C5" w:rsidRDefault="00FB54C5" w:rsidP="00FB54C5">
            <w:pPr>
              <w:pStyle w:val="ListContinue"/>
            </w:pPr>
            <w:r w:rsidRPr="00572165">
              <w:t xml:space="preserve">+ B </w:t>
            </w:r>
            <w:r w:rsidRPr="00FB54C5">
              <w:t>factor (Bt) – revenue under/over recovery approved</w:t>
            </w:r>
          </w:p>
        </w:tc>
        <w:tc>
          <w:tcPr>
            <w:tcW w:w="1701" w:type="dxa"/>
          </w:tcPr>
          <w:p w:rsidR="00FB54C5" w:rsidRPr="00FB54C5" w:rsidRDefault="00FB54C5" w:rsidP="00FB54C5">
            <w:pPr>
              <w:cnfStyle w:val="000000000000" w:firstRow="0" w:lastRow="0" w:firstColumn="0" w:lastColumn="0" w:oddVBand="0" w:evenVBand="0" w:oddHBand="0" w:evenHBand="0" w:firstRowFirstColumn="0" w:firstRowLastColumn="0" w:lastRowFirstColumn="0" w:lastRowLastColumn="0"/>
            </w:pPr>
            <w:r w:rsidRPr="00572165">
              <w:t>–50a</w:t>
            </w:r>
          </w:p>
        </w:tc>
        <w:tc>
          <w:tcPr>
            <w:tcW w:w="1701" w:type="dxa"/>
          </w:tcPr>
          <w:p w:rsidR="00FB54C5" w:rsidRPr="00FB54C5" w:rsidRDefault="00FB54C5" w:rsidP="00FB54C5">
            <w:pPr>
              <w:cnfStyle w:val="000000000000" w:firstRow="0" w:lastRow="0" w:firstColumn="0" w:lastColumn="0" w:oddVBand="0" w:evenVBand="0" w:oddHBand="0" w:evenHBand="0" w:firstRowFirstColumn="0" w:firstRowLastColumn="0" w:lastRowFirstColumn="0" w:lastRowLastColumn="0"/>
            </w:pPr>
            <w:r w:rsidRPr="00572165">
              <w:t>–1213b</w:t>
            </w:r>
          </w:p>
        </w:tc>
      </w:tr>
      <w:tr w:rsidR="00FB54C5" w:rsidRPr="00572165" w:rsidTr="00FB54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B54C5" w:rsidRPr="00572165" w:rsidRDefault="00FB54C5" w:rsidP="00FB54C5"/>
        </w:tc>
        <w:tc>
          <w:tcPr>
            <w:tcW w:w="1701" w:type="dxa"/>
          </w:tcPr>
          <w:p w:rsidR="00FB54C5" w:rsidRPr="00572165" w:rsidRDefault="00FB54C5" w:rsidP="00FB54C5">
            <w:pPr>
              <w:cnfStyle w:val="000000010000" w:firstRow="0" w:lastRow="0" w:firstColumn="0" w:lastColumn="0" w:oddVBand="0" w:evenVBand="0" w:oddHBand="0" w:evenHBand="1" w:firstRowFirstColumn="0" w:firstRowLastColumn="0" w:lastRowFirstColumn="0" w:lastRowLastColumn="0"/>
            </w:pPr>
          </w:p>
        </w:tc>
        <w:tc>
          <w:tcPr>
            <w:tcW w:w="1701" w:type="dxa"/>
          </w:tcPr>
          <w:p w:rsidR="00FB54C5" w:rsidRPr="00572165" w:rsidRDefault="00FB54C5" w:rsidP="00FB54C5">
            <w:pPr>
              <w:cnfStyle w:val="000000010000" w:firstRow="0" w:lastRow="0" w:firstColumn="0" w:lastColumn="0" w:oddVBand="0" w:evenVBand="0" w:oddHBand="0" w:evenHBand="1" w:firstRowFirstColumn="0" w:firstRowLastColumn="0" w:lastRowFirstColumn="0" w:lastRowLastColumn="0"/>
            </w:pPr>
          </w:p>
        </w:tc>
      </w:tr>
      <w:tr w:rsidR="00FB54C5" w:rsidRPr="00572165" w:rsidTr="00FB54C5">
        <w:tc>
          <w:tcPr>
            <w:cnfStyle w:val="001000000000" w:firstRow="0" w:lastRow="0" w:firstColumn="1" w:lastColumn="0" w:oddVBand="0" w:evenVBand="0" w:oddHBand="0" w:evenHBand="0" w:firstRowFirstColumn="0" w:firstRowLastColumn="0" w:lastRowFirstColumn="0" w:lastRowLastColumn="0"/>
            <w:tcW w:w="5211" w:type="dxa"/>
          </w:tcPr>
          <w:p w:rsidR="00FB54C5" w:rsidRPr="00FB54C5" w:rsidRDefault="00FB54C5" w:rsidP="00FB54C5">
            <w:pPr>
              <w:rPr>
                <w:rStyle w:val="Strong"/>
              </w:rPr>
            </w:pPr>
            <w:r w:rsidRPr="00572165">
              <w:rPr>
                <w:rStyle w:val="Strong"/>
              </w:rPr>
              <w:t>(A minus B) Under/over recovery of revenue for regulatory year</w:t>
            </w:r>
          </w:p>
        </w:tc>
        <w:tc>
          <w:tcPr>
            <w:tcW w:w="1701" w:type="dxa"/>
          </w:tcPr>
          <w:p w:rsidR="00FB54C5" w:rsidRPr="00FB54C5" w:rsidRDefault="00FB54C5" w:rsidP="00FB54C5">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110</w:t>
            </w:r>
          </w:p>
        </w:tc>
        <w:tc>
          <w:tcPr>
            <w:tcW w:w="1701" w:type="dxa"/>
          </w:tcPr>
          <w:p w:rsidR="00FB54C5" w:rsidRPr="00FB54C5" w:rsidRDefault="00FB54C5" w:rsidP="00FB54C5">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0</w:t>
            </w:r>
          </w:p>
        </w:tc>
      </w:tr>
      <w:tr w:rsidR="00FB54C5" w:rsidRPr="00572165" w:rsidTr="00FB54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B54C5" w:rsidRPr="00572165" w:rsidRDefault="00FB54C5" w:rsidP="00FB54C5"/>
        </w:tc>
        <w:tc>
          <w:tcPr>
            <w:tcW w:w="1701" w:type="dxa"/>
          </w:tcPr>
          <w:p w:rsidR="00FB54C5" w:rsidRPr="00572165" w:rsidRDefault="00FB54C5" w:rsidP="00FB54C5">
            <w:pPr>
              <w:cnfStyle w:val="000000010000" w:firstRow="0" w:lastRow="0" w:firstColumn="0" w:lastColumn="0" w:oddVBand="0" w:evenVBand="0" w:oddHBand="0" w:evenHBand="1" w:firstRowFirstColumn="0" w:firstRowLastColumn="0" w:lastRowFirstColumn="0" w:lastRowLastColumn="0"/>
            </w:pPr>
          </w:p>
        </w:tc>
        <w:tc>
          <w:tcPr>
            <w:tcW w:w="1701" w:type="dxa"/>
          </w:tcPr>
          <w:p w:rsidR="00FB54C5" w:rsidRPr="00572165" w:rsidRDefault="00FB54C5" w:rsidP="00FB54C5">
            <w:pPr>
              <w:cnfStyle w:val="000000010000" w:firstRow="0" w:lastRow="0" w:firstColumn="0" w:lastColumn="0" w:oddVBand="0" w:evenVBand="0" w:oddHBand="0" w:evenHBand="1" w:firstRowFirstColumn="0" w:firstRowLastColumn="0" w:lastRowFirstColumn="0" w:lastRowLastColumn="0"/>
            </w:pPr>
          </w:p>
        </w:tc>
      </w:tr>
      <w:tr w:rsidR="00FB54C5" w:rsidRPr="00572165" w:rsidTr="00FB54C5">
        <w:tc>
          <w:tcPr>
            <w:cnfStyle w:val="001000000000" w:firstRow="0" w:lastRow="0" w:firstColumn="1" w:lastColumn="0" w:oddVBand="0" w:evenVBand="0" w:oddHBand="0" w:evenHBand="0" w:firstRowFirstColumn="0" w:firstRowLastColumn="0" w:lastRowFirstColumn="0" w:lastRowLastColumn="0"/>
            <w:tcW w:w="8613" w:type="dxa"/>
            <w:gridSpan w:val="3"/>
          </w:tcPr>
          <w:p w:rsidR="00FB54C5" w:rsidRPr="00FB54C5" w:rsidRDefault="00FB54C5" w:rsidP="00FB54C5">
            <w:pPr>
              <w:rPr>
                <w:rStyle w:val="AERtextbolditalics"/>
              </w:rPr>
            </w:pPr>
            <w:r w:rsidRPr="00572165">
              <w:rPr>
                <w:rStyle w:val="AERtextbolditalics"/>
              </w:rPr>
              <w:t>Annual metering charges unders and overs account</w:t>
            </w:r>
          </w:p>
        </w:tc>
      </w:tr>
      <w:tr w:rsidR="00FB54C5" w:rsidRPr="00572165" w:rsidTr="00FB54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B54C5" w:rsidRPr="00FB54C5" w:rsidRDefault="00FB54C5" w:rsidP="00FB54C5">
            <w:r w:rsidRPr="00572165">
              <w:t>Nominal WACC t–2 (per cent)</w:t>
            </w:r>
          </w:p>
        </w:tc>
        <w:tc>
          <w:tcPr>
            <w:tcW w:w="1701" w:type="dxa"/>
          </w:tcPr>
          <w:p w:rsidR="00FB54C5" w:rsidRPr="00FB54C5" w:rsidRDefault="00FB54C5" w:rsidP="00FB54C5">
            <w:pPr>
              <w:cnfStyle w:val="000000010000" w:firstRow="0" w:lastRow="0" w:firstColumn="0" w:lastColumn="0" w:oddVBand="0" w:evenVBand="0" w:oddHBand="0" w:evenHBand="1" w:firstRowFirstColumn="0" w:firstRowLastColumn="0" w:lastRowFirstColumn="0" w:lastRowLastColumn="0"/>
            </w:pPr>
            <w:r w:rsidRPr="00572165">
              <w:t>5.00%</w:t>
            </w:r>
          </w:p>
        </w:tc>
        <w:tc>
          <w:tcPr>
            <w:tcW w:w="1701" w:type="dxa"/>
          </w:tcPr>
          <w:p w:rsidR="00FB54C5" w:rsidRPr="00572165" w:rsidRDefault="00FB54C5" w:rsidP="00FB54C5">
            <w:pPr>
              <w:cnfStyle w:val="000000010000" w:firstRow="0" w:lastRow="0" w:firstColumn="0" w:lastColumn="0" w:oddVBand="0" w:evenVBand="0" w:oddHBand="0" w:evenHBand="1" w:firstRowFirstColumn="0" w:firstRowLastColumn="0" w:lastRowFirstColumn="0" w:lastRowLastColumn="0"/>
            </w:pPr>
          </w:p>
        </w:tc>
      </w:tr>
      <w:tr w:rsidR="00FB54C5" w:rsidRPr="00572165" w:rsidTr="00FB54C5">
        <w:tc>
          <w:tcPr>
            <w:cnfStyle w:val="001000000000" w:firstRow="0" w:lastRow="0" w:firstColumn="1" w:lastColumn="0" w:oddVBand="0" w:evenVBand="0" w:oddHBand="0" w:evenHBand="0" w:firstRowFirstColumn="0" w:firstRowLastColumn="0" w:lastRowFirstColumn="0" w:lastRowLastColumn="0"/>
            <w:tcW w:w="5211" w:type="dxa"/>
          </w:tcPr>
          <w:p w:rsidR="00FB54C5" w:rsidRPr="00FB54C5" w:rsidRDefault="00FB54C5" w:rsidP="00FB54C5">
            <w:r w:rsidRPr="00572165">
              <w:t>Nominal WACC t–1 (per cent)</w:t>
            </w:r>
          </w:p>
        </w:tc>
        <w:tc>
          <w:tcPr>
            <w:tcW w:w="1701" w:type="dxa"/>
          </w:tcPr>
          <w:p w:rsidR="00FB54C5" w:rsidRPr="00FB54C5" w:rsidRDefault="00FB54C5" w:rsidP="00FB54C5">
            <w:pPr>
              <w:cnfStyle w:val="000000000000" w:firstRow="0" w:lastRow="0" w:firstColumn="0" w:lastColumn="0" w:oddVBand="0" w:evenVBand="0" w:oddHBand="0" w:evenHBand="0" w:firstRowFirstColumn="0" w:firstRowLastColumn="0" w:lastRowFirstColumn="0" w:lastRowLastColumn="0"/>
            </w:pPr>
            <w:r w:rsidRPr="00572165">
              <w:t>5.00%</w:t>
            </w:r>
          </w:p>
        </w:tc>
        <w:tc>
          <w:tcPr>
            <w:tcW w:w="1701" w:type="dxa"/>
          </w:tcPr>
          <w:p w:rsidR="00FB54C5" w:rsidRPr="00572165" w:rsidRDefault="00FB54C5" w:rsidP="00FB54C5">
            <w:pPr>
              <w:cnfStyle w:val="000000000000" w:firstRow="0" w:lastRow="0" w:firstColumn="0" w:lastColumn="0" w:oddVBand="0" w:evenVBand="0" w:oddHBand="0" w:evenHBand="0" w:firstRowFirstColumn="0" w:firstRowLastColumn="0" w:lastRowFirstColumn="0" w:lastRowLastColumn="0"/>
            </w:pPr>
          </w:p>
        </w:tc>
      </w:tr>
      <w:tr w:rsidR="00FB54C5" w:rsidRPr="00572165" w:rsidTr="00FB54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B54C5" w:rsidRPr="00FB54C5" w:rsidRDefault="00FB54C5" w:rsidP="00FB54C5">
            <w:r w:rsidRPr="00572165">
              <w:t>Opening balance</w:t>
            </w:r>
          </w:p>
        </w:tc>
        <w:tc>
          <w:tcPr>
            <w:tcW w:w="1701" w:type="dxa"/>
          </w:tcPr>
          <w:p w:rsidR="00FB54C5" w:rsidRPr="00FB54C5" w:rsidRDefault="00FB54C5" w:rsidP="00FB54C5">
            <w:pPr>
              <w:cnfStyle w:val="000000010000" w:firstRow="0" w:lastRow="0" w:firstColumn="0" w:lastColumn="0" w:oddVBand="0" w:evenVBand="0" w:oddHBand="0" w:evenHBand="1" w:firstRowFirstColumn="0" w:firstRowLastColumn="0" w:lastRowFirstColumn="0" w:lastRowLastColumn="0"/>
            </w:pPr>
            <w:r w:rsidRPr="00572165">
              <w:t>n/a</w:t>
            </w:r>
          </w:p>
        </w:tc>
        <w:tc>
          <w:tcPr>
            <w:tcW w:w="1701" w:type="dxa"/>
          </w:tcPr>
          <w:p w:rsidR="00FB54C5" w:rsidRPr="00FB54C5" w:rsidRDefault="00FB54C5" w:rsidP="00FB54C5">
            <w:pPr>
              <w:cnfStyle w:val="000000010000" w:firstRow="0" w:lastRow="0" w:firstColumn="0" w:lastColumn="0" w:oddVBand="0" w:evenVBand="0" w:oddHBand="0" w:evenHBand="1" w:firstRowFirstColumn="0" w:firstRowLastColumn="0" w:lastRowFirstColumn="0" w:lastRowLastColumn="0"/>
            </w:pPr>
            <w:r w:rsidRPr="00572165">
              <w:t>1213</w:t>
            </w:r>
          </w:p>
        </w:tc>
      </w:tr>
      <w:tr w:rsidR="00FB54C5" w:rsidRPr="00572165" w:rsidTr="00FB54C5">
        <w:tc>
          <w:tcPr>
            <w:cnfStyle w:val="001000000000" w:firstRow="0" w:lastRow="0" w:firstColumn="1" w:lastColumn="0" w:oddVBand="0" w:evenVBand="0" w:oddHBand="0" w:evenHBand="0" w:firstRowFirstColumn="0" w:firstRowLastColumn="0" w:lastRowFirstColumn="0" w:lastRowLastColumn="0"/>
            <w:tcW w:w="5211" w:type="dxa"/>
          </w:tcPr>
          <w:p w:rsidR="00FB54C5" w:rsidRPr="00FB54C5" w:rsidRDefault="00FB54C5" w:rsidP="00FB54C5">
            <w:r w:rsidRPr="00572165">
              <w:t>Under/over recovery of revenue for regulatory year</w:t>
            </w:r>
          </w:p>
        </w:tc>
        <w:tc>
          <w:tcPr>
            <w:tcW w:w="1701" w:type="dxa"/>
          </w:tcPr>
          <w:p w:rsidR="00FB54C5" w:rsidRPr="00FB54C5" w:rsidRDefault="00FB54C5" w:rsidP="00FB54C5">
            <w:pPr>
              <w:cnfStyle w:val="000000000000" w:firstRow="0" w:lastRow="0" w:firstColumn="0" w:lastColumn="0" w:oddVBand="0" w:evenVBand="0" w:oddHBand="0" w:evenHBand="0" w:firstRowFirstColumn="0" w:firstRowLastColumn="0" w:lastRowFirstColumn="0" w:lastRowLastColumn="0"/>
            </w:pPr>
            <w:r w:rsidRPr="00572165">
              <w:t>1100</w:t>
            </w:r>
          </w:p>
        </w:tc>
        <w:tc>
          <w:tcPr>
            <w:tcW w:w="1701" w:type="dxa"/>
          </w:tcPr>
          <w:p w:rsidR="00FB54C5" w:rsidRPr="00FB54C5" w:rsidRDefault="00FB54C5" w:rsidP="00FB54C5">
            <w:pPr>
              <w:cnfStyle w:val="000000000000" w:firstRow="0" w:lastRow="0" w:firstColumn="0" w:lastColumn="0" w:oddVBand="0" w:evenVBand="0" w:oddHBand="0" w:evenHBand="0" w:firstRowFirstColumn="0" w:firstRowLastColumn="0" w:lastRowFirstColumn="0" w:lastRowLastColumn="0"/>
            </w:pPr>
            <w:r w:rsidRPr="00572165">
              <w:t>–1213b</w:t>
            </w:r>
          </w:p>
        </w:tc>
      </w:tr>
      <w:tr w:rsidR="00FB54C5" w:rsidRPr="00572165" w:rsidTr="00FB54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FB54C5" w:rsidRPr="00FB54C5" w:rsidRDefault="00FB54C5" w:rsidP="00FB54C5">
            <w:r w:rsidRPr="00572165">
              <w:t>Interest on under/over recovery for 2 regulatory years</w:t>
            </w:r>
          </w:p>
        </w:tc>
        <w:tc>
          <w:tcPr>
            <w:tcW w:w="1701" w:type="dxa"/>
          </w:tcPr>
          <w:p w:rsidR="00FB54C5" w:rsidRPr="00FB54C5" w:rsidRDefault="00FB54C5" w:rsidP="00FB54C5">
            <w:pPr>
              <w:cnfStyle w:val="000000010000" w:firstRow="0" w:lastRow="0" w:firstColumn="0" w:lastColumn="0" w:oddVBand="0" w:evenVBand="0" w:oddHBand="0" w:evenHBand="1" w:firstRowFirstColumn="0" w:firstRowLastColumn="0" w:lastRowFirstColumn="0" w:lastRowLastColumn="0"/>
            </w:pPr>
            <w:r w:rsidRPr="00572165">
              <w:t>113</w:t>
            </w:r>
          </w:p>
        </w:tc>
        <w:tc>
          <w:tcPr>
            <w:tcW w:w="1701" w:type="dxa"/>
          </w:tcPr>
          <w:p w:rsidR="00FB54C5" w:rsidRPr="00FB54C5" w:rsidRDefault="00FB54C5" w:rsidP="00FB54C5">
            <w:pPr>
              <w:cnfStyle w:val="000000010000" w:firstRow="0" w:lastRow="0" w:firstColumn="0" w:lastColumn="0" w:oddVBand="0" w:evenVBand="0" w:oddHBand="0" w:evenHBand="1" w:firstRowFirstColumn="0" w:firstRowLastColumn="0" w:lastRowFirstColumn="0" w:lastRowLastColumn="0"/>
            </w:pPr>
            <w:r w:rsidRPr="00572165">
              <w:t>n/a</w:t>
            </w:r>
          </w:p>
        </w:tc>
      </w:tr>
      <w:tr w:rsidR="00FB54C5" w:rsidRPr="00572165" w:rsidTr="00FB54C5">
        <w:tc>
          <w:tcPr>
            <w:cnfStyle w:val="001000000000" w:firstRow="0" w:lastRow="0" w:firstColumn="1" w:lastColumn="0" w:oddVBand="0" w:evenVBand="0" w:oddHBand="0" w:evenHBand="0" w:firstRowFirstColumn="0" w:firstRowLastColumn="0" w:lastRowFirstColumn="0" w:lastRowLastColumn="0"/>
            <w:tcW w:w="5211" w:type="dxa"/>
          </w:tcPr>
          <w:p w:rsidR="00FB54C5" w:rsidRPr="00FB54C5" w:rsidRDefault="00FB54C5" w:rsidP="00FB54C5">
            <w:pPr>
              <w:rPr>
                <w:rStyle w:val="Strong"/>
              </w:rPr>
            </w:pPr>
            <w:r w:rsidRPr="00572165">
              <w:rPr>
                <w:rStyle w:val="Strong"/>
              </w:rPr>
              <w:t>Closing balance</w:t>
            </w:r>
          </w:p>
        </w:tc>
        <w:tc>
          <w:tcPr>
            <w:tcW w:w="1701" w:type="dxa"/>
          </w:tcPr>
          <w:p w:rsidR="00FB54C5" w:rsidRPr="00FB54C5" w:rsidRDefault="00FB54C5" w:rsidP="00FB54C5">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1213</w:t>
            </w:r>
          </w:p>
        </w:tc>
        <w:tc>
          <w:tcPr>
            <w:tcW w:w="1701" w:type="dxa"/>
          </w:tcPr>
          <w:p w:rsidR="00FB54C5" w:rsidRPr="00FB54C5" w:rsidRDefault="00FB54C5" w:rsidP="00FB54C5">
            <w:pPr>
              <w:cnfStyle w:val="000000000000" w:firstRow="0" w:lastRow="0" w:firstColumn="0" w:lastColumn="0" w:oddVBand="0" w:evenVBand="0" w:oddHBand="0" w:evenHBand="0" w:firstRowFirstColumn="0" w:firstRowLastColumn="0" w:lastRowFirstColumn="0" w:lastRowLastColumn="0"/>
              <w:rPr>
                <w:rStyle w:val="Strong"/>
              </w:rPr>
            </w:pPr>
            <w:r w:rsidRPr="00572165">
              <w:rPr>
                <w:rStyle w:val="Strong"/>
              </w:rPr>
              <w:t>0c</w:t>
            </w:r>
          </w:p>
        </w:tc>
      </w:tr>
    </w:tbl>
    <w:p w:rsidR="00FB54C5" w:rsidRPr="00FB54C5" w:rsidRDefault="00FB54C5" w:rsidP="00FB54C5">
      <w:pPr>
        <w:pStyle w:val="AERtablesource"/>
      </w:pPr>
      <w:r w:rsidRPr="00FB54C5">
        <w:t>Notes:</w:t>
      </w:r>
      <w:r w:rsidRPr="00FB54C5">
        <w:tab/>
        <w:t>(a) Approved annual metering charges revenue under/over recovery for regulatory year t–2.</w:t>
      </w:r>
    </w:p>
    <w:p w:rsidR="00FB54C5" w:rsidRPr="00FB54C5" w:rsidRDefault="00FB54C5" w:rsidP="00FB54C5">
      <w:pPr>
        <w:pStyle w:val="AERtablesource"/>
      </w:pPr>
      <w:r w:rsidRPr="00FB54C5">
        <w:tab/>
        <w:t>(b) Amount should offset the closing balance for annual metering charges unders and overs account for year t–2.</w:t>
      </w:r>
    </w:p>
    <w:p w:rsidR="00FB54C5" w:rsidRPr="00FB54C5" w:rsidRDefault="00FB54C5" w:rsidP="00FB54C5">
      <w:pPr>
        <w:pStyle w:val="AERtablesource"/>
      </w:pPr>
      <w:r w:rsidRPr="00FB54C5">
        <w:tab/>
        <w:t xml:space="preserve">(c) </w:t>
      </w:r>
      <w:r>
        <w:t>AusNet Services</w:t>
      </w:r>
      <w:r w:rsidRPr="00FB54C5">
        <w:t xml:space="preserve"> is expected to achieve a closing balance as close to zero as practicable in its annual metering charges unders and overs account in each forecast year in its annual pricing proposal during the 2016–20 regulatory control period.</w:t>
      </w:r>
    </w:p>
    <w:sectPr w:rsidR="00FB54C5" w:rsidRPr="00FB54C5" w:rsidSect="00B757A6">
      <w:headerReference w:type="even" r:id="rId69"/>
      <w:footerReference w:type="even" r:id="rId70"/>
      <w:footerReference w:type="default" r:id="rId71"/>
      <w:headerReference w:type="first" r:id="rId72"/>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C7E" w:rsidRPr="00290C63" w:rsidRDefault="00231C7E" w:rsidP="00290C63">
      <w:r>
        <w:separator/>
      </w:r>
    </w:p>
    <w:p w:rsidR="00231C7E" w:rsidRDefault="00231C7E"/>
  </w:endnote>
  <w:endnote w:type="continuationSeparator" w:id="0">
    <w:p w:rsidR="00231C7E" w:rsidRPr="00290C63" w:rsidRDefault="00231C7E" w:rsidP="00290C63">
      <w:r>
        <w:continuationSeparator/>
      </w:r>
    </w:p>
    <w:p w:rsidR="00231C7E" w:rsidRDefault="00231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C7E" w:rsidRDefault="00231C7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231C7E" w:rsidRDefault="00231C7E">
    <w:pPr>
      <w:pStyle w:val="Footer"/>
    </w:pPr>
  </w:p>
  <w:p w:rsidR="00231C7E" w:rsidRDefault="00231C7E">
    <w:pPr>
      <w:pStyle w:val="Footer"/>
    </w:pPr>
    <w:r>
      <w:fldChar w:fldCharType="begin"/>
    </w:r>
    <w:r>
      <w:instrText xml:space="preserve"> DOCPROPERTY DocumentID \* MERGEFORMAT </w:instrText>
    </w:r>
    <w:r>
      <w:fldChar w:fldCharType="separate"/>
    </w:r>
    <w:r w:rsidR="009E0EFD">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231C7E" w:rsidRPr="00CA52A2" w:rsidRDefault="00231C7E" w:rsidP="00CA52A2">
        <w:pPr>
          <w:pStyle w:val="Footer"/>
        </w:pPr>
        <w:r w:rsidRPr="00CA52A2">
          <w:fldChar w:fldCharType="begin"/>
        </w:r>
        <w:r>
          <w:instrText xml:space="preserve"> PAGE   \* MERGEFORMAT </w:instrText>
        </w:r>
        <w:r w:rsidRPr="00CA52A2">
          <w:fldChar w:fldCharType="separate"/>
        </w:r>
        <w:r w:rsidR="009E0EFD">
          <w:rPr>
            <w:noProof/>
          </w:rPr>
          <w:t>16-3</w:t>
        </w:r>
        <w:r w:rsidRPr="00CA52A2">
          <w:fldChar w:fldCharType="end"/>
        </w:r>
        <w:r w:rsidRPr="00CA52A2">
          <w:t xml:space="preserve">          Attachment 1</w:t>
        </w:r>
        <w:r>
          <w:t>6</w:t>
        </w:r>
        <w:r w:rsidRPr="00CA52A2">
          <w:t xml:space="preserve"> – </w:t>
        </w:r>
        <w:r>
          <w:t xml:space="preserve">Alternative control services </w:t>
        </w:r>
        <w:r w:rsidRPr="00CA52A2">
          <w:t xml:space="preserve">| </w:t>
        </w:r>
        <w:r>
          <w:t>AusNet</w:t>
        </w:r>
        <w:r w:rsidRPr="00CA52A2">
          <w:t xml:space="preserve"> </w:t>
        </w:r>
        <w:r>
          <w:t>Services Preliminary decision 2016</w:t>
        </w:r>
        <w:r w:rsidRPr="00CA52A2">
          <w:t>–</w:t>
        </w:r>
        <w:r>
          <w:t>20</w:t>
        </w:r>
      </w:p>
    </w:sdtContent>
  </w:sdt>
  <w:p w:rsidR="00231C7E" w:rsidRDefault="00231C7E">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C7E" w:rsidRPr="00290C63" w:rsidRDefault="00231C7E" w:rsidP="00290C63">
      <w:r>
        <w:separator/>
      </w:r>
    </w:p>
    <w:p w:rsidR="00231C7E" w:rsidRDefault="00231C7E"/>
  </w:footnote>
  <w:footnote w:type="continuationSeparator" w:id="0">
    <w:p w:rsidR="00231C7E" w:rsidRPr="00290C63" w:rsidRDefault="00231C7E" w:rsidP="00290C63">
      <w:r>
        <w:continuationSeparator/>
      </w:r>
    </w:p>
    <w:p w:rsidR="00231C7E" w:rsidRDefault="00231C7E"/>
  </w:footnote>
  <w:footnote w:id="1">
    <w:p w:rsidR="00231C7E" w:rsidRDefault="00231C7E" w:rsidP="009F6DC8">
      <w:pPr>
        <w:pStyle w:val="FootnoteText"/>
      </w:pPr>
      <w:r>
        <w:rPr>
          <w:rStyle w:val="FootnoteReference"/>
        </w:rPr>
        <w:footnoteRef/>
      </w:r>
      <w:r>
        <w:t xml:space="preserve"> </w:t>
      </w:r>
      <w:r>
        <w:tab/>
      </w:r>
      <w:proofErr w:type="gramStart"/>
      <w:r>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roofErr w:type="gramEnd"/>
    </w:p>
  </w:footnote>
  <w:footnote w:id="2">
    <w:p w:rsidR="00231C7E" w:rsidRDefault="00231C7E" w:rsidP="009F6DC8">
      <w:pPr>
        <w:pStyle w:val="FootnoteText"/>
      </w:pPr>
      <w:r>
        <w:rPr>
          <w:rStyle w:val="FootnoteReference"/>
        </w:rPr>
        <w:footnoteRef/>
      </w:r>
      <w:r>
        <w:t xml:space="preserve"> </w:t>
      </w:r>
      <w:r>
        <w:tab/>
      </w:r>
      <w:proofErr w:type="gramStart"/>
      <w:r>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roofErr w:type="gramEnd"/>
    </w:p>
  </w:footnote>
  <w:footnote w:id="3">
    <w:p w:rsidR="00231C7E" w:rsidRDefault="00231C7E" w:rsidP="009F6DC8">
      <w:pPr>
        <w:pStyle w:val="FootnoteText"/>
      </w:pPr>
      <w:r>
        <w:rPr>
          <w:rStyle w:val="FootnoteReference"/>
        </w:rPr>
        <w:footnoteRef/>
      </w:r>
      <w:r>
        <w:t xml:space="preserve"> </w:t>
      </w:r>
      <w:r>
        <w:tab/>
      </w:r>
      <w:proofErr w:type="gramStart"/>
      <w:r>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roofErr w:type="gramEnd"/>
    </w:p>
  </w:footnote>
  <w:footnote w:id="4">
    <w:p w:rsidR="00231C7E" w:rsidRDefault="00231C7E" w:rsidP="009F6DC8">
      <w:pPr>
        <w:pStyle w:val="FootnoteText"/>
      </w:pPr>
      <w:r>
        <w:rPr>
          <w:rStyle w:val="FootnoteReference"/>
        </w:rPr>
        <w:footnoteRef/>
      </w:r>
      <w:r>
        <w:t xml:space="preserve"> </w:t>
      </w:r>
      <w:r>
        <w:tab/>
      </w:r>
      <w:proofErr w:type="gramStart"/>
      <w:r>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61.</w:t>
      </w:r>
      <w:proofErr w:type="gramEnd"/>
    </w:p>
  </w:footnote>
  <w:footnote w:id="5">
    <w:p w:rsidR="00231C7E" w:rsidRDefault="00231C7E" w:rsidP="009F6DC8">
      <w:pPr>
        <w:pStyle w:val="FootnoteText"/>
      </w:pPr>
      <w:r>
        <w:rPr>
          <w:rStyle w:val="FootnoteReference"/>
        </w:rPr>
        <w:footnoteRef/>
      </w:r>
      <w:r>
        <w:t xml:space="preserve"> </w:t>
      </w:r>
      <w:r>
        <w:tab/>
      </w:r>
      <w:proofErr w:type="gramStart"/>
      <w:r>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61.</w:t>
      </w:r>
      <w:proofErr w:type="gramEnd"/>
    </w:p>
  </w:footnote>
  <w:footnote w:id="6">
    <w:p w:rsidR="00231C7E" w:rsidRPr="00297625" w:rsidRDefault="00231C7E" w:rsidP="00A937DD">
      <w:pPr>
        <w:pStyle w:val="FootnoteText"/>
      </w:pPr>
      <w:r>
        <w:rPr>
          <w:rStyle w:val="FootnoteReference"/>
        </w:rPr>
        <w:footnoteRef/>
      </w:r>
      <w:r>
        <w:t xml:space="preserve"> </w:t>
      </w:r>
      <w:r>
        <w:tab/>
        <w:t xml:space="preserve">Victorian Department of Economic Development, Jobs, Transport &amp; Resources, </w:t>
      </w:r>
      <w:proofErr w:type="gramStart"/>
      <w:r>
        <w:rPr>
          <w:i/>
        </w:rPr>
        <w:t>Submission</w:t>
      </w:r>
      <w:proofErr w:type="gramEnd"/>
      <w:r>
        <w:rPr>
          <w:i/>
        </w:rPr>
        <w:t xml:space="preserve"> to Victorian electricity distribution pricing review—2016 to 2020</w:t>
      </w:r>
      <w:r>
        <w:t>, 13 July 2015, p. 4.</w:t>
      </w:r>
    </w:p>
  </w:footnote>
  <w:footnote w:id="7">
    <w:p w:rsidR="00231C7E" w:rsidRDefault="00231C7E">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pp. 89–93.</w:t>
      </w:r>
    </w:p>
  </w:footnote>
  <w:footnote w:id="8">
    <w:p w:rsidR="00231C7E" w:rsidRDefault="00231C7E">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xml:space="preserve">, 24 October 2014, pp. 89–93; AusNet Electricity Services Pty Ltd, </w:t>
      </w:r>
      <w:r w:rsidRPr="009353F2">
        <w:rPr>
          <w:rStyle w:val="AERtextitalic"/>
        </w:rPr>
        <w:t>Electricity distribution price review 2016–20</w:t>
      </w:r>
      <w:r>
        <w:t xml:space="preserve">, 30 April 2015, p. 426. (AusNet Services, </w:t>
      </w:r>
      <w:r w:rsidRPr="009353F2">
        <w:rPr>
          <w:rStyle w:val="AERtextitalic"/>
        </w:rPr>
        <w:t>Regulatory proposal</w:t>
      </w:r>
      <w:r>
        <w:rPr>
          <w:rStyle w:val="AERtextitalic"/>
        </w:rPr>
        <w:t xml:space="preserve"> 2016–20</w:t>
      </w:r>
      <w:r>
        <w:t>, 30 April 2015).</w:t>
      </w:r>
    </w:p>
  </w:footnote>
  <w:footnote w:id="9">
    <w:p w:rsidR="00231C7E" w:rsidRDefault="00231C7E" w:rsidP="001C4D2E">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pp. 92–93.</w:t>
      </w:r>
    </w:p>
  </w:footnote>
  <w:footnote w:id="10">
    <w:p w:rsidR="00231C7E" w:rsidRDefault="00231C7E">
      <w:pPr>
        <w:pStyle w:val="FootnoteText"/>
      </w:pPr>
      <w:r>
        <w:rPr>
          <w:rStyle w:val="FootnoteReference"/>
        </w:rPr>
        <w:footnoteRef/>
      </w:r>
      <w:r>
        <w:t xml:space="preserve"> </w:t>
      </w:r>
      <w:r>
        <w:tab/>
      </w:r>
      <w:r w:rsidRPr="00EB750F">
        <w:t>If the ABS does not, or ceases to, publish the index, then CPI will mean an index which the AER considers is the best available alternative index.</w:t>
      </w:r>
    </w:p>
  </w:footnote>
  <w:footnote w:id="11">
    <w:p w:rsidR="00231C7E" w:rsidRDefault="00231C7E">
      <w:pPr>
        <w:pStyle w:val="FootnoteText"/>
      </w:pPr>
      <w:r>
        <w:rPr>
          <w:rStyle w:val="FootnoteReference"/>
        </w:rPr>
        <w:footnoteRef/>
      </w:r>
      <w:r>
        <w:t xml:space="preserve"> </w:t>
      </w:r>
      <w:r>
        <w:tab/>
      </w:r>
      <w:r w:rsidRPr="00653161">
        <w:t>Our final F&amp;A erroneously stated the X factor in this formula would incorporate annual adjustments for updates to the trailing cost of debt. However, we note these services do not incorporate a cost of capital and therefore the X</w:t>
      </w:r>
      <w:r>
        <w:t> </w:t>
      </w:r>
      <w:r w:rsidRPr="00653161">
        <w:t xml:space="preserve">factors will not be applied in this manner. Rather, consistent with the price caps applied to these services in other jurisdictions, the X factors will adjust for annual labour price growth as set out in </w:t>
      </w:r>
      <w:r>
        <w:fldChar w:fldCharType="begin"/>
      </w:r>
      <w:r>
        <w:instrText xml:space="preserve"> REF _Ref430936816 \h </w:instrText>
      </w:r>
      <w:r>
        <w:fldChar w:fldCharType="separate"/>
      </w:r>
      <w:r w:rsidR="009E0EFD">
        <w:t xml:space="preserve">Table </w:t>
      </w:r>
      <w:r w:rsidR="009E0EFD">
        <w:rPr>
          <w:noProof/>
        </w:rPr>
        <w:t>16</w:t>
      </w:r>
      <w:r w:rsidR="009E0EFD">
        <w:t>.</w:t>
      </w:r>
      <w:r w:rsidR="009E0EFD">
        <w:rPr>
          <w:noProof/>
        </w:rPr>
        <w:t>1</w:t>
      </w:r>
      <w:r>
        <w:fldChar w:fldCharType="end"/>
      </w:r>
      <w:r w:rsidRPr="00653161">
        <w:t>.</w:t>
      </w:r>
    </w:p>
  </w:footnote>
  <w:footnote w:id="12">
    <w:p w:rsidR="00231C7E" w:rsidRDefault="00231C7E" w:rsidP="001C4D2E">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 89.</w:t>
      </w:r>
    </w:p>
  </w:footnote>
  <w:footnote w:id="13">
    <w:p w:rsidR="00231C7E" w:rsidRDefault="00231C7E" w:rsidP="001C4D2E">
      <w:pPr>
        <w:pStyle w:val="FootnoteText"/>
      </w:pPr>
      <w:r>
        <w:rPr>
          <w:rStyle w:val="FootnoteReference"/>
        </w:rPr>
        <w:footnoteRef/>
      </w:r>
      <w:r>
        <w:t xml:space="preserve"> </w:t>
      </w:r>
      <w:r>
        <w:tab/>
      </w:r>
      <w:r w:rsidRPr="00CC65D0">
        <w:t>If the ABS does not, or ceases to, publish the index, then CPI will mean an index which the AER considers is the best available alternative index.</w:t>
      </w:r>
    </w:p>
  </w:footnote>
  <w:footnote w:id="14">
    <w:p w:rsidR="00231C7E" w:rsidRDefault="00231C7E">
      <w:pPr>
        <w:pStyle w:val="FootnoteText"/>
      </w:pPr>
      <w:r>
        <w:rPr>
          <w:rStyle w:val="FootnoteReference"/>
        </w:rPr>
        <w:footnoteRef/>
      </w:r>
      <w:r>
        <w:t xml:space="preserve"> </w:t>
      </w:r>
      <w:r>
        <w:tab/>
      </w:r>
      <w:r w:rsidRPr="00C52A8D">
        <w:t>The X factors applied in this formula adjust for annual labour price growth.</w:t>
      </w:r>
    </w:p>
  </w:footnote>
  <w:footnote w:id="15">
    <w:p w:rsidR="00231C7E" w:rsidRDefault="00231C7E" w:rsidP="002F183A">
      <w:pPr>
        <w:pStyle w:val="FootnoteText"/>
      </w:pPr>
      <w:r>
        <w:rPr>
          <w:rStyle w:val="FootnoteReference"/>
        </w:rPr>
        <w:footnoteRef/>
      </w:r>
      <w:r>
        <w:t xml:space="preserve"> </w:t>
      </w:r>
      <w:r>
        <w:tab/>
        <w:t>AusNet Service</w:t>
      </w:r>
      <w:r w:rsidR="00A03B76">
        <w:t>s</w:t>
      </w:r>
      <w:r>
        <w:t xml:space="preserve">, </w:t>
      </w:r>
      <w:r w:rsidRPr="00EB750F">
        <w:rPr>
          <w:rStyle w:val="AERtextitalic"/>
        </w:rPr>
        <w:t>Regulatory proposal</w:t>
      </w:r>
      <w:r>
        <w:rPr>
          <w:rStyle w:val="AERtextitalic"/>
        </w:rPr>
        <w:t xml:space="preserve"> 2016–20</w:t>
      </w:r>
      <w:r>
        <w:t>, April 2015, pp. 416–417.</w:t>
      </w:r>
      <w:r w:rsidRPr="009503B1">
        <w:t xml:space="preserve"> </w:t>
      </w:r>
    </w:p>
  </w:footnote>
  <w:footnote w:id="16">
    <w:p w:rsidR="00231C7E" w:rsidRDefault="00231C7E" w:rsidP="00BE65D4">
      <w:pPr>
        <w:pStyle w:val="FootnoteText"/>
      </w:pPr>
      <w:r>
        <w:rPr>
          <w:rStyle w:val="FootnoteReference"/>
        </w:rPr>
        <w:footnoteRef/>
      </w:r>
      <w:r>
        <w:t xml:space="preserve"> </w:t>
      </w:r>
      <w:r>
        <w:tab/>
        <w:t>AusNet Service</w:t>
      </w:r>
      <w:r w:rsidR="00A03B76">
        <w:t>s</w:t>
      </w:r>
      <w:r>
        <w:t xml:space="preserve">, </w:t>
      </w:r>
      <w:r w:rsidRPr="00EB750F">
        <w:rPr>
          <w:rStyle w:val="AERtextitalic"/>
        </w:rPr>
        <w:t>Regulatory proposal</w:t>
      </w:r>
      <w:r>
        <w:rPr>
          <w:rStyle w:val="AERtextitalic"/>
        </w:rPr>
        <w:t xml:space="preserve"> 2016–20</w:t>
      </w:r>
      <w:r>
        <w:t>, April 2015, pp. 419–420.</w:t>
      </w:r>
    </w:p>
  </w:footnote>
  <w:footnote w:id="17">
    <w:p w:rsidR="00231C7E" w:rsidRDefault="00231C7E">
      <w:pPr>
        <w:pStyle w:val="FootnoteText"/>
      </w:pPr>
      <w:r>
        <w:rPr>
          <w:rStyle w:val="FootnoteReference"/>
        </w:rPr>
        <w:footnoteRef/>
      </w:r>
      <w:r>
        <w:t xml:space="preserve"> </w:t>
      </w:r>
      <w:r>
        <w:tab/>
        <w:t>AusNet Service</w:t>
      </w:r>
      <w:r w:rsidR="00A03B76">
        <w:t>s</w:t>
      </w:r>
      <w:r>
        <w:t xml:space="preserve">, </w:t>
      </w:r>
      <w:r w:rsidRPr="00EB750F">
        <w:rPr>
          <w:rStyle w:val="AERtextitalic"/>
        </w:rPr>
        <w:t>Regulatory proposal</w:t>
      </w:r>
      <w:r>
        <w:rPr>
          <w:rStyle w:val="AERtextitalic"/>
        </w:rPr>
        <w:t xml:space="preserve"> 2016–20</w:t>
      </w:r>
      <w:r>
        <w:t>, April 2015, p. 426.</w:t>
      </w:r>
    </w:p>
  </w:footnote>
  <w:footnote w:id="18">
    <w:p w:rsidR="00231C7E" w:rsidRDefault="00231C7E" w:rsidP="002C5243">
      <w:pPr>
        <w:pStyle w:val="FootnoteText"/>
      </w:pPr>
      <w:r>
        <w:rPr>
          <w:rStyle w:val="FootnoteReference"/>
        </w:rPr>
        <w:footnoteRef/>
      </w:r>
      <w:r>
        <w:t xml:space="preserve"> </w:t>
      </w:r>
      <w:r>
        <w:tab/>
        <w:t>AusNet Service</w:t>
      </w:r>
      <w:r w:rsidR="00A03B76">
        <w:t>s</w:t>
      </w:r>
      <w:r>
        <w:t xml:space="preserve">, </w:t>
      </w:r>
      <w:r w:rsidRPr="00EB750F">
        <w:rPr>
          <w:rStyle w:val="AERtextitalic"/>
        </w:rPr>
        <w:t>Regulatory proposal</w:t>
      </w:r>
      <w:r w:rsidR="00F10ED5">
        <w:rPr>
          <w:rStyle w:val="AERtextitalic"/>
        </w:rPr>
        <w:t xml:space="preserve"> 2016–20</w:t>
      </w:r>
      <w:r>
        <w:t>, April 2015, pp. 414–423.</w:t>
      </w:r>
    </w:p>
  </w:footnote>
  <w:footnote w:id="19">
    <w:p w:rsidR="00231C7E" w:rsidRDefault="00231C7E" w:rsidP="002C5243">
      <w:pPr>
        <w:pStyle w:val="FootnoteText"/>
      </w:pPr>
      <w:r>
        <w:rPr>
          <w:rStyle w:val="FootnoteReference"/>
        </w:rPr>
        <w:footnoteRef/>
      </w:r>
      <w:r>
        <w:t xml:space="preserve"> </w:t>
      </w:r>
      <w:r>
        <w:tab/>
        <w:t xml:space="preserve">Marsden Jacob Associates, </w:t>
      </w:r>
      <w:r>
        <w:rPr>
          <w:rStyle w:val="AERtextitalic"/>
        </w:rPr>
        <w:t>Final provision of advice in relation to alternative control services</w:t>
      </w:r>
      <w:r>
        <w:rPr>
          <w:rStyle w:val="AERtextitalic"/>
          <w:rFonts w:cs="Arial"/>
        </w:rPr>
        <w:t>—</w:t>
      </w:r>
      <w:r>
        <w:rPr>
          <w:rStyle w:val="AERtextitalic"/>
        </w:rPr>
        <w:t>public version</w:t>
      </w:r>
      <w:r w:rsidRPr="009503B1">
        <w:t xml:space="preserve">, </w:t>
      </w:r>
      <w:r>
        <w:t>20 October 2014.</w:t>
      </w:r>
    </w:p>
  </w:footnote>
  <w:footnote w:id="20">
    <w:p w:rsidR="00231C7E" w:rsidRDefault="00231C7E" w:rsidP="002C5243">
      <w:pPr>
        <w:pStyle w:val="FootnoteText"/>
      </w:pPr>
      <w:r>
        <w:rPr>
          <w:rStyle w:val="FootnoteReference"/>
        </w:rPr>
        <w:footnoteRef/>
      </w:r>
      <w:r>
        <w:t xml:space="preserve"> </w:t>
      </w:r>
      <w:r>
        <w:tab/>
      </w:r>
      <w:proofErr w:type="gramStart"/>
      <w:r>
        <w:t>NEL, ss. 7A and 16.</w:t>
      </w:r>
      <w:proofErr w:type="gramEnd"/>
    </w:p>
  </w:footnote>
  <w:footnote w:id="21">
    <w:p w:rsidR="00231C7E" w:rsidRDefault="00231C7E">
      <w:pPr>
        <w:pStyle w:val="FootnoteText"/>
      </w:pPr>
      <w:r>
        <w:rPr>
          <w:rStyle w:val="FootnoteReference"/>
        </w:rPr>
        <w:footnoteRef/>
      </w:r>
      <w:r>
        <w:t xml:space="preserve"> </w:t>
      </w:r>
      <w:r>
        <w:tab/>
        <w:t>AusNet Service</w:t>
      </w:r>
      <w:r w:rsidR="00A03B76">
        <w:t>s</w:t>
      </w:r>
      <w:r>
        <w:t xml:space="preserve">, </w:t>
      </w:r>
      <w:r w:rsidRPr="00EB750F">
        <w:rPr>
          <w:rStyle w:val="AERtextitalic"/>
        </w:rPr>
        <w:t>Regulatory proposal</w:t>
      </w:r>
      <w:r w:rsidR="00F10ED5">
        <w:rPr>
          <w:rStyle w:val="AERtextitalic"/>
        </w:rPr>
        <w:t xml:space="preserve"> 2016–20</w:t>
      </w:r>
      <w:r>
        <w:t>, April 2015, p. 417.</w:t>
      </w:r>
    </w:p>
  </w:footnote>
  <w:footnote w:id="22">
    <w:p w:rsidR="00231C7E" w:rsidRDefault="00231C7E" w:rsidP="00905EF8">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 92.</w:t>
      </w:r>
    </w:p>
  </w:footnote>
  <w:footnote w:id="23">
    <w:p w:rsidR="00231C7E" w:rsidRDefault="00231C7E">
      <w:pPr>
        <w:pStyle w:val="FootnoteText"/>
      </w:pPr>
      <w:r>
        <w:rPr>
          <w:rStyle w:val="FootnoteReference"/>
        </w:rPr>
        <w:footnoteRef/>
      </w:r>
      <w:r>
        <w:t xml:space="preserve"> </w:t>
      </w:r>
      <w:r>
        <w:tab/>
        <w:t>AusNet Service</w:t>
      </w:r>
      <w:r w:rsidR="00A03B76">
        <w:t>s</w:t>
      </w:r>
      <w:r>
        <w:t xml:space="preserve">, </w:t>
      </w:r>
      <w:r w:rsidRPr="00EB750F">
        <w:rPr>
          <w:rStyle w:val="AERtextitalic"/>
        </w:rPr>
        <w:t>Regulatory proposal</w:t>
      </w:r>
      <w:r w:rsidR="00F10ED5">
        <w:rPr>
          <w:rStyle w:val="AERtextitalic"/>
        </w:rPr>
        <w:t xml:space="preserve"> 2016–20</w:t>
      </w:r>
      <w:r>
        <w:t>, April 2015, pp. 416–417, 423.</w:t>
      </w:r>
    </w:p>
  </w:footnote>
  <w:footnote w:id="24">
    <w:p w:rsidR="00231C7E" w:rsidRDefault="00231C7E" w:rsidP="005E5049">
      <w:pPr>
        <w:pStyle w:val="FootnoteText"/>
      </w:pPr>
      <w:r>
        <w:rPr>
          <w:rStyle w:val="FootnoteReference"/>
        </w:rPr>
        <w:footnoteRef/>
      </w:r>
      <w:r>
        <w:t xml:space="preserve"> </w:t>
      </w:r>
      <w:r>
        <w:tab/>
      </w:r>
      <w:r w:rsidRPr="00DA19DB">
        <w:t>A list of contributors to the Hays 2014 salary data who gave perm</w:t>
      </w:r>
      <w:r>
        <w:t xml:space="preserve">ission to be named is available on Hays, </w:t>
      </w:r>
      <w:r>
        <w:rPr>
          <w:i/>
        </w:rPr>
        <w:t>Contributors</w:t>
      </w:r>
      <w:r>
        <w:rPr>
          <w:rFonts w:cstheme="minorHAnsi"/>
          <w:i/>
        </w:rPr>
        <w:t>—</w:t>
      </w:r>
      <w:r>
        <w:rPr>
          <w:i/>
        </w:rPr>
        <w:t>Hays 2014 Salary</w:t>
      </w:r>
      <w:r>
        <w:t xml:space="preserve">, accessed 12 February 2015, </w:t>
      </w:r>
      <w:r>
        <w:rPr>
          <w:i/>
        </w:rPr>
        <w:t>Guide</w:t>
      </w:r>
      <w:r>
        <w:t xml:space="preserve">  </w:t>
      </w:r>
      <w:hyperlink r:id="rId1" w:history="1">
        <w:r w:rsidRPr="00CB4346">
          <w:rPr>
            <w:rStyle w:val="Hyperlink"/>
            <w:rFonts w:asciiTheme="minorHAnsi" w:hAnsiTheme="minorHAnsi"/>
            <w:sz w:val="16"/>
          </w:rPr>
          <w:t>http://www.hays.com.au/salary-guide/HAYS_375078</w:t>
        </w:r>
      </w:hyperlink>
      <w:r w:rsidRPr="00221DC4">
        <w:rPr>
          <w:rStyle w:val="Hyperlink"/>
          <w:color w:val="auto"/>
          <w:sz w:val="16"/>
          <w:u w:val="none"/>
        </w:rPr>
        <w:t>.</w:t>
      </w:r>
    </w:p>
  </w:footnote>
  <w:footnote w:id="25">
    <w:p w:rsidR="00231C7E" w:rsidRPr="00B87258" w:rsidRDefault="00231C7E" w:rsidP="005E5049">
      <w:pPr>
        <w:pStyle w:val="FootnoteText"/>
        <w:rPr>
          <w:rStyle w:val="AERtextitalic"/>
        </w:rPr>
      </w:pPr>
      <w:r>
        <w:rPr>
          <w:rStyle w:val="FootnoteReference"/>
        </w:rPr>
        <w:footnoteRef/>
      </w:r>
      <w:r>
        <w:t xml:space="preserve"> </w:t>
      </w:r>
      <w:r>
        <w:tab/>
        <w:t xml:space="preserve">Marsden Jacob Associates, </w:t>
      </w:r>
      <w:r>
        <w:rPr>
          <w:rStyle w:val="AERtextitalic"/>
        </w:rPr>
        <w:t>MJA analysis.</w:t>
      </w:r>
    </w:p>
  </w:footnote>
  <w:footnote w:id="26">
    <w:p w:rsidR="00231C7E" w:rsidRPr="00D33A91" w:rsidRDefault="00231C7E" w:rsidP="005E5049">
      <w:pPr>
        <w:pStyle w:val="FootnoteText"/>
      </w:pPr>
      <w:r>
        <w:rPr>
          <w:rStyle w:val="FootnoteReference"/>
        </w:rPr>
        <w:footnoteRef/>
      </w:r>
      <w:r>
        <w:t xml:space="preserve"> </w:t>
      </w:r>
      <w:r>
        <w:tab/>
        <w:t xml:space="preserve">Hays, </w:t>
      </w:r>
      <w:proofErr w:type="gramStart"/>
      <w:r>
        <w:rPr>
          <w:i/>
        </w:rPr>
        <w:t>The</w:t>
      </w:r>
      <w:proofErr w:type="gramEnd"/>
      <w:r>
        <w:rPr>
          <w:i/>
        </w:rPr>
        <w:t xml:space="preserve"> 2014 Hays salary guide: salary &amp; recruiting trends</w:t>
      </w:r>
      <w:r>
        <w:t>, 2014.</w:t>
      </w:r>
    </w:p>
  </w:footnote>
  <w:footnote w:id="27">
    <w:p w:rsidR="00231C7E" w:rsidRPr="00D33A91" w:rsidRDefault="00231C7E" w:rsidP="005E5049">
      <w:pPr>
        <w:pStyle w:val="FootnoteText"/>
      </w:pPr>
      <w:r>
        <w:rPr>
          <w:rStyle w:val="FootnoteReference"/>
        </w:rPr>
        <w:footnoteRef/>
      </w:r>
      <w:r>
        <w:t xml:space="preserve"> </w:t>
      </w:r>
      <w:r>
        <w:tab/>
        <w:t xml:space="preserve">Hays, </w:t>
      </w:r>
      <w:proofErr w:type="gramStart"/>
      <w:r>
        <w:rPr>
          <w:i/>
        </w:rPr>
        <w:t>The</w:t>
      </w:r>
      <w:proofErr w:type="gramEnd"/>
      <w:r>
        <w:rPr>
          <w:i/>
        </w:rPr>
        <w:t xml:space="preserve"> 2014 Hays salary guide: salary &amp; recruiting trends</w:t>
      </w:r>
      <w:r>
        <w:t>, 2014.</w:t>
      </w:r>
    </w:p>
  </w:footnote>
  <w:footnote w:id="28">
    <w:p w:rsidR="00231C7E" w:rsidRDefault="00231C7E" w:rsidP="005E5049">
      <w:pPr>
        <w:pStyle w:val="FootnoteText"/>
      </w:pPr>
      <w:r>
        <w:rPr>
          <w:rStyle w:val="FootnoteReference"/>
        </w:rPr>
        <w:footnoteRef/>
      </w:r>
      <w:r>
        <w:t xml:space="preserve"> </w:t>
      </w:r>
      <w:r>
        <w:tab/>
      </w:r>
      <w:r w:rsidRPr="00DE23C4">
        <w:t xml:space="preserve">State Revenue Office of Victoria, </w:t>
      </w:r>
      <w:r w:rsidRPr="00DE23C4">
        <w:rPr>
          <w:rStyle w:val="AERtextitalic"/>
        </w:rPr>
        <w:t>Payroll tax—current rates</w:t>
      </w:r>
      <w:r w:rsidRPr="00DE23C4">
        <w:t xml:space="preserve"> (http://www.sro.vic.gov.au/payroll-tax-current-rates), accessed 31 July 2015.</w:t>
      </w:r>
    </w:p>
  </w:footnote>
  <w:footnote w:id="29">
    <w:p w:rsidR="00231C7E" w:rsidRPr="0049041C" w:rsidRDefault="00231C7E" w:rsidP="005E5049">
      <w:pPr>
        <w:pStyle w:val="FootnoteText"/>
      </w:pPr>
      <w:r>
        <w:rPr>
          <w:rStyle w:val="FootnoteReference"/>
        </w:rPr>
        <w:footnoteRef/>
      </w:r>
      <w:r>
        <w:t xml:space="preserve"> </w:t>
      </w:r>
      <w:r>
        <w:tab/>
        <w:t xml:space="preserve">Marsden Jacob Associates, </w:t>
      </w:r>
      <w:r>
        <w:rPr>
          <w:i/>
        </w:rPr>
        <w:t>Provision of advice in relation to alternative control services—advice prepared for the Australian Energy Regulator</w:t>
      </w:r>
      <w:r>
        <w:t>, 20 October 2014, p. 5.</w:t>
      </w:r>
    </w:p>
  </w:footnote>
  <w:footnote w:id="30">
    <w:p w:rsidR="00231C7E" w:rsidRDefault="00231C7E" w:rsidP="005E5049">
      <w:pPr>
        <w:pStyle w:val="FootnoteText"/>
      </w:pPr>
      <w:r>
        <w:rPr>
          <w:rStyle w:val="FootnoteReference"/>
        </w:rPr>
        <w:footnoteRef/>
      </w:r>
      <w:r>
        <w:t xml:space="preserve"> </w:t>
      </w:r>
      <w:r>
        <w:tab/>
      </w:r>
      <w:proofErr w:type="gramStart"/>
      <w:r w:rsidRPr="00DC0EBF">
        <w:t>NER, cl</w:t>
      </w:r>
      <w:r w:rsidR="00F10ED5">
        <w:t>.</w:t>
      </w:r>
      <w:r w:rsidRPr="00DC0EBF">
        <w:t xml:space="preserve"> 6.18.2(a).</w:t>
      </w:r>
      <w:proofErr w:type="gramEnd"/>
    </w:p>
  </w:footnote>
  <w:footnote w:id="31">
    <w:p w:rsidR="00231C7E" w:rsidRDefault="00231C7E">
      <w:pPr>
        <w:pStyle w:val="FootnoteText"/>
      </w:pPr>
      <w:r>
        <w:rPr>
          <w:rStyle w:val="FootnoteReference"/>
        </w:rPr>
        <w:footnoteRef/>
      </w:r>
      <w:r>
        <w:t xml:space="preserve"> AusNet Services, </w:t>
      </w:r>
      <w:r w:rsidRPr="001C6565">
        <w:rPr>
          <w:rStyle w:val="Emphasis"/>
        </w:rPr>
        <w:t>Regulatory Proposal</w:t>
      </w:r>
      <w:r w:rsidR="00F10ED5">
        <w:rPr>
          <w:rStyle w:val="Emphasis"/>
        </w:rPr>
        <w:t xml:space="preserve"> </w:t>
      </w:r>
      <w:r w:rsidR="00F10ED5">
        <w:rPr>
          <w:rStyle w:val="AERtextitalic"/>
        </w:rPr>
        <w:t>2016–20</w:t>
      </w:r>
      <w:r>
        <w:t>, April 2015, p. 425.</w:t>
      </w:r>
    </w:p>
  </w:footnote>
  <w:footnote w:id="32">
    <w:p w:rsidR="00231C7E" w:rsidRDefault="00231C7E">
      <w:pPr>
        <w:pStyle w:val="FootnoteText"/>
      </w:pPr>
      <w:r>
        <w:rPr>
          <w:rStyle w:val="FootnoteReference"/>
        </w:rPr>
        <w:footnoteRef/>
      </w:r>
      <w:r>
        <w:t xml:space="preserve"> </w:t>
      </w:r>
      <w:r>
        <w:tab/>
      </w:r>
      <w:r w:rsidRPr="008757A6">
        <w:t xml:space="preserve">Essential Services Commission of Victoria, </w:t>
      </w:r>
      <w:r w:rsidRPr="001C6565">
        <w:rPr>
          <w:rStyle w:val="Emphasis"/>
        </w:rPr>
        <w:t>Review of Public Lighting Excluded Services Final Decision</w:t>
      </w:r>
      <w:r w:rsidRPr="008757A6">
        <w:t>, August 2004, pp. 70</w:t>
      </w:r>
      <w:r w:rsidR="00F10ED5">
        <w:t>–</w:t>
      </w:r>
      <w:r w:rsidRPr="008757A6">
        <w:t>73.</w:t>
      </w:r>
    </w:p>
  </w:footnote>
  <w:footnote w:id="33">
    <w:p w:rsidR="00231C7E" w:rsidRDefault="00231C7E">
      <w:pPr>
        <w:pStyle w:val="FootnoteText"/>
      </w:pPr>
      <w:r>
        <w:rPr>
          <w:rStyle w:val="FootnoteReference"/>
        </w:rPr>
        <w:footnoteRef/>
      </w:r>
      <w:r>
        <w:t xml:space="preserve"> </w:t>
      </w:r>
      <w:r>
        <w:tab/>
        <w:t>AER</w:t>
      </w:r>
      <w:r w:rsidRPr="001C6565">
        <w:rPr>
          <w:rStyle w:val="Emphasis"/>
        </w:rPr>
        <w:t>, 2011-15 Victorian Electricity Distribution, Final Decision</w:t>
      </w:r>
      <w:r w:rsidRPr="008757A6">
        <w:t>, p. 836.</w:t>
      </w:r>
    </w:p>
  </w:footnote>
  <w:footnote w:id="34">
    <w:p w:rsidR="00231C7E" w:rsidRPr="00A43D09" w:rsidRDefault="00231C7E" w:rsidP="00971483">
      <w:pPr>
        <w:pStyle w:val="FootnoteText"/>
        <w:rPr>
          <w:rFonts w:asciiTheme="majorHAnsi" w:hAnsiTheme="majorHAnsi" w:cstheme="majorHAnsi"/>
        </w:rPr>
      </w:pPr>
      <w:r>
        <w:rPr>
          <w:rStyle w:val="FootnoteReference"/>
        </w:rPr>
        <w:footnoteRef/>
      </w:r>
      <w:r>
        <w:t xml:space="preserve"> </w:t>
      </w:r>
      <w:r>
        <w:tab/>
      </w:r>
      <w:r w:rsidRPr="00A43D09">
        <w:rPr>
          <w:rFonts w:asciiTheme="majorHAnsi" w:hAnsiTheme="majorHAnsi" w:cstheme="majorHAnsi"/>
          <w:szCs w:val="16"/>
        </w:rPr>
        <w:t>Victorian Public Lighting Code, pp. 2, 7–8.</w:t>
      </w:r>
    </w:p>
  </w:footnote>
  <w:footnote w:id="35">
    <w:p w:rsidR="00231C7E" w:rsidRDefault="00231C7E" w:rsidP="00971483">
      <w:pPr>
        <w:pStyle w:val="FootnoteText"/>
      </w:pPr>
      <w:r>
        <w:rPr>
          <w:rStyle w:val="FootnoteReference"/>
        </w:rPr>
        <w:footnoteRef/>
      </w:r>
      <w:r>
        <w:t xml:space="preserve"> </w:t>
      </w:r>
      <w:r>
        <w:tab/>
        <w:t xml:space="preserve">Streetlight Group of Councils, </w:t>
      </w:r>
      <w:r w:rsidRPr="001C6565">
        <w:rPr>
          <w:i/>
        </w:rPr>
        <w:t>Response to Distributor regulatory proposals and the AER’s proposed negotiated distribution service criteria</w:t>
      </w:r>
      <w:r>
        <w:t>, July 2015, pp. 9</w:t>
      </w:r>
      <w:r w:rsidR="00F10ED5">
        <w:t>–</w:t>
      </w:r>
      <w:r>
        <w:t>10.</w:t>
      </w:r>
    </w:p>
  </w:footnote>
  <w:footnote w:id="36">
    <w:p w:rsidR="00231C7E" w:rsidRDefault="00231C7E">
      <w:pPr>
        <w:pStyle w:val="FootnoteText"/>
      </w:pPr>
      <w:r>
        <w:rPr>
          <w:rStyle w:val="FootnoteReference"/>
        </w:rPr>
        <w:footnoteRef/>
      </w:r>
      <w:r>
        <w:t xml:space="preserve"> </w:t>
      </w:r>
      <w:r>
        <w:tab/>
        <w:t xml:space="preserve">Streetlight Group of Councils, </w:t>
      </w:r>
      <w:r w:rsidRPr="001C6565">
        <w:rPr>
          <w:rStyle w:val="Emphasis"/>
        </w:rPr>
        <w:t>Response to Distributor regulatory proposals and the AER’s proposed negotiated distribution service criteria</w:t>
      </w:r>
      <w:r>
        <w:t>, July 2015, p.3.</w:t>
      </w:r>
    </w:p>
  </w:footnote>
  <w:footnote w:id="37">
    <w:p w:rsidR="00231C7E" w:rsidRDefault="00231C7E" w:rsidP="00F64DEC">
      <w:pPr>
        <w:pStyle w:val="FootnoteText"/>
      </w:pPr>
      <w:r>
        <w:rPr>
          <w:rStyle w:val="FootnoteReference"/>
        </w:rPr>
        <w:footnoteRef/>
      </w:r>
      <w:r>
        <w:t xml:space="preserve"> </w:t>
      </w:r>
      <w:r>
        <w:tab/>
        <w:t xml:space="preserve">AER, </w:t>
      </w:r>
      <w:r w:rsidRPr="001C6565">
        <w:rPr>
          <w:rStyle w:val="Emphasis"/>
        </w:rPr>
        <w:t>Final Framework and Approach for the Victorian Electricity Distributors</w:t>
      </w:r>
      <w:r>
        <w:t xml:space="preserve">, October 2014, p. 48. </w:t>
      </w:r>
    </w:p>
  </w:footnote>
  <w:footnote w:id="38">
    <w:p w:rsidR="00231C7E" w:rsidRDefault="00231C7E" w:rsidP="00F64DEC">
      <w:pPr>
        <w:pStyle w:val="FootnoteText"/>
      </w:pPr>
      <w:r>
        <w:rPr>
          <w:rStyle w:val="FootnoteReference"/>
        </w:rPr>
        <w:footnoteRef/>
      </w:r>
      <w:r>
        <w:t xml:space="preserve"> </w:t>
      </w:r>
      <w:r>
        <w:tab/>
      </w:r>
      <w:proofErr w:type="gramStart"/>
      <w:r>
        <w:t>Victorian Government,</w:t>
      </w:r>
      <w:r w:rsidRPr="00BB24AD">
        <w:t xml:space="preserve"> Department of Economic Development, Jobs, Transport and Resources</w:t>
      </w:r>
      <w:r>
        <w:t xml:space="preserve"> </w:t>
      </w:r>
      <w:hyperlink r:id="rId2" w:history="1">
        <w:r w:rsidRPr="000056B5">
          <w:rPr>
            <w:rStyle w:val="Hyperlink"/>
            <w:sz w:val="16"/>
          </w:rPr>
          <w:t>http://www.smartmeters.vic.gov.au/about-smart-meters/end-of-rollout</w:t>
        </w:r>
      </w:hyperlink>
      <w:r>
        <w:t>, accessed 11 October 2015.</w:t>
      </w:r>
      <w:proofErr w:type="gramEnd"/>
    </w:p>
  </w:footnote>
  <w:footnote w:id="39">
    <w:p w:rsidR="00231C7E" w:rsidRDefault="00231C7E" w:rsidP="00F64DEC">
      <w:pPr>
        <w:pStyle w:val="FootnoteText"/>
      </w:pPr>
      <w:r>
        <w:rPr>
          <w:rStyle w:val="FootnoteReference"/>
        </w:rPr>
        <w:footnoteRef/>
      </w:r>
      <w:r>
        <w:t xml:space="preserve"> </w:t>
      </w:r>
      <w:r>
        <w:tab/>
      </w:r>
      <w:r w:rsidRPr="00CA6203">
        <w:t xml:space="preserve">AEMC, </w:t>
      </w:r>
      <w:r w:rsidRPr="001C6565">
        <w:rPr>
          <w:rStyle w:val="Emphasis"/>
        </w:rPr>
        <w:t>Information: Extension of time for final rule on provision of metering services</w:t>
      </w:r>
      <w:r w:rsidRPr="00CA6203">
        <w:t>, 2 July 2015.</w:t>
      </w:r>
    </w:p>
  </w:footnote>
  <w:footnote w:id="40">
    <w:p w:rsidR="00231C7E" w:rsidRDefault="00231C7E" w:rsidP="00F64DEC">
      <w:pPr>
        <w:pStyle w:val="FootnoteText"/>
      </w:pPr>
      <w:r>
        <w:rPr>
          <w:rStyle w:val="FootnoteReference"/>
        </w:rPr>
        <w:footnoteRef/>
      </w:r>
      <w:r>
        <w:t xml:space="preserve"> </w:t>
      </w:r>
      <w:r>
        <w:tab/>
      </w:r>
      <w:r w:rsidRPr="00CA6203">
        <w:t xml:space="preserve">AEMC, </w:t>
      </w:r>
      <w:r w:rsidRPr="001C6565">
        <w:rPr>
          <w:rStyle w:val="Emphasis"/>
        </w:rPr>
        <w:t>Information: Extension of time for final rule on provision of metering services</w:t>
      </w:r>
      <w:r w:rsidRPr="00CA6203">
        <w:t>, 2 July 2015.</w:t>
      </w:r>
    </w:p>
  </w:footnote>
  <w:footnote w:id="41">
    <w:p w:rsidR="00231C7E" w:rsidRDefault="00231C7E" w:rsidP="00F64DEC">
      <w:pPr>
        <w:pStyle w:val="FootnoteText"/>
      </w:pPr>
      <w:r>
        <w:rPr>
          <w:rStyle w:val="FootnoteReference"/>
        </w:rPr>
        <w:footnoteRef/>
      </w:r>
      <w:r>
        <w:t xml:space="preserve"> </w:t>
      </w:r>
      <w:r>
        <w:tab/>
        <w:t xml:space="preserve">AusNet Services, </w:t>
      </w:r>
      <w:r w:rsidRPr="006107E7">
        <w:rPr>
          <w:rStyle w:val="AERtextitalic"/>
        </w:rPr>
        <w:t>Regulatory Proposal</w:t>
      </w:r>
      <w:r w:rsidR="009403E7">
        <w:rPr>
          <w:rStyle w:val="AERtextitalic"/>
        </w:rPr>
        <w:t xml:space="preserve"> 2016–20</w:t>
      </w:r>
      <w:r>
        <w:t>, p. 397.</w:t>
      </w:r>
    </w:p>
  </w:footnote>
  <w:footnote w:id="42">
    <w:p w:rsidR="00231C7E" w:rsidRPr="0019041B" w:rsidRDefault="00231C7E" w:rsidP="00F64DEC">
      <w:pPr>
        <w:pStyle w:val="FootnoteText"/>
      </w:pPr>
      <w:r>
        <w:rPr>
          <w:rStyle w:val="FootnoteReference"/>
        </w:rPr>
        <w:footnoteRef/>
      </w:r>
      <w:r>
        <w:t xml:space="preserve"> </w:t>
      </w:r>
      <w:r>
        <w:tab/>
      </w:r>
      <w:r w:rsidRPr="0019041B">
        <w:rPr>
          <w:rStyle w:val="AERtexthighlight"/>
          <w:shd w:val="clear" w:color="auto" w:fill="auto"/>
        </w:rPr>
        <w:t xml:space="preserve">AusNet Services, </w:t>
      </w:r>
      <w:r w:rsidRPr="006107E7">
        <w:rPr>
          <w:rStyle w:val="AERtextitalic"/>
        </w:rPr>
        <w:t>Regulatory Proposal</w:t>
      </w:r>
      <w:r w:rsidR="009403E7">
        <w:rPr>
          <w:rStyle w:val="AERtextitalic"/>
        </w:rPr>
        <w:t xml:space="preserve"> 2016–20</w:t>
      </w:r>
      <w:r>
        <w:rPr>
          <w:rStyle w:val="AERtextitalic"/>
        </w:rPr>
        <w:t>, Metering cost model (</w:t>
      </w:r>
      <w:r w:rsidRPr="006107E7">
        <w:rPr>
          <w:rStyle w:val="AERtextitalic"/>
        </w:rPr>
        <w:t>Public</w:t>
      </w:r>
      <w:r>
        <w:rPr>
          <w:rStyle w:val="AERtextitalic"/>
        </w:rPr>
        <w:t xml:space="preserve">), tab 'summary', </w:t>
      </w:r>
      <w:r>
        <w:t>19 October 2015.</w:t>
      </w:r>
    </w:p>
  </w:footnote>
  <w:footnote w:id="43">
    <w:p w:rsidR="00231C7E" w:rsidRDefault="00231C7E" w:rsidP="00FB54C5">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pp. 89–93.</w:t>
      </w:r>
    </w:p>
  </w:footnote>
  <w:footnote w:id="44">
    <w:p w:rsidR="00231C7E" w:rsidRDefault="00231C7E" w:rsidP="00FB54C5">
      <w:pPr>
        <w:pStyle w:val="FootnoteText"/>
      </w:pPr>
      <w:r>
        <w:rPr>
          <w:rStyle w:val="FootnoteReference"/>
        </w:rPr>
        <w:footnoteRef/>
      </w:r>
      <w:r>
        <w:t xml:space="preserve"> </w:t>
      </w:r>
      <w:r>
        <w:tab/>
        <w:t>I</w:t>
      </w:r>
      <w:r w:rsidRPr="00DB5471">
        <w:t xml:space="preserve">f the ABS does not or ceases to publish the index, then CPI will mean an index which the AER considers is the best </w:t>
      </w:r>
      <w:r>
        <w:t>available alternative index</w:t>
      </w:r>
      <w:r w:rsidRPr="00DB5471">
        <w:t>.</w:t>
      </w:r>
    </w:p>
  </w:footnote>
  <w:footnote w:id="45">
    <w:p w:rsidR="00231C7E" w:rsidRDefault="00231C7E" w:rsidP="00FB54C5">
      <w:pPr>
        <w:pStyle w:val="FootnoteText"/>
      </w:pPr>
      <w:r>
        <w:rPr>
          <w:rStyle w:val="FootnoteReference"/>
        </w:rPr>
        <w:footnoteRef/>
      </w:r>
      <w:r>
        <w:t xml:space="preserve"> </w:t>
      </w:r>
      <w:r>
        <w:tab/>
        <w:t>I</w:t>
      </w:r>
      <w:r w:rsidRPr="00DB5471">
        <w:t xml:space="preserve">f the ABS does not or ceases to publish the index, then CPI will mean an index which the AER considers is the best </w:t>
      </w:r>
      <w:r>
        <w:t>available alternative index</w:t>
      </w:r>
      <w:r w:rsidRPr="00DB5471">
        <w:t>.</w:t>
      </w:r>
    </w:p>
  </w:footnote>
  <w:footnote w:id="46">
    <w:p w:rsidR="00231C7E" w:rsidRDefault="00231C7E" w:rsidP="00F64DEC">
      <w:pPr>
        <w:pStyle w:val="FootnoteText"/>
      </w:pPr>
      <w:r>
        <w:rPr>
          <w:rStyle w:val="FootnoteReference"/>
        </w:rPr>
        <w:footnoteRef/>
      </w:r>
      <w:r>
        <w:t xml:space="preserve"> </w:t>
      </w:r>
      <w:r>
        <w:tab/>
      </w:r>
      <w:proofErr w:type="gramStart"/>
      <w:r>
        <w:t>NER, cl</w:t>
      </w:r>
      <w:r w:rsidR="009403E7">
        <w:t>.</w:t>
      </w:r>
      <w:r>
        <w:t xml:space="preserve"> 11.17.6.</w:t>
      </w:r>
      <w:proofErr w:type="gramEnd"/>
    </w:p>
  </w:footnote>
  <w:footnote w:id="47">
    <w:p w:rsidR="00231C7E" w:rsidRDefault="00231C7E" w:rsidP="00F64DEC">
      <w:pPr>
        <w:pStyle w:val="FootnoteText"/>
      </w:pPr>
      <w:r>
        <w:rPr>
          <w:rStyle w:val="FootnoteReference"/>
        </w:rPr>
        <w:footnoteRef/>
      </w:r>
      <w:r>
        <w:t xml:space="preserve"> </w:t>
      </w:r>
      <w:r>
        <w:tab/>
        <w:t xml:space="preserve">AusNet Services, </w:t>
      </w:r>
      <w:r w:rsidRPr="001C6565">
        <w:rPr>
          <w:i/>
        </w:rPr>
        <w:t>Regulatory Proposal 2016–20</w:t>
      </w:r>
      <w:r>
        <w:t>, April 2015, p. 399.</w:t>
      </w:r>
    </w:p>
  </w:footnote>
  <w:footnote w:id="48">
    <w:p w:rsidR="00231C7E" w:rsidRDefault="00231C7E" w:rsidP="00F64DEC">
      <w:pPr>
        <w:pStyle w:val="FootnoteText"/>
      </w:pPr>
      <w:r>
        <w:rPr>
          <w:rStyle w:val="FootnoteReference"/>
        </w:rPr>
        <w:footnoteRef/>
      </w:r>
      <w:r>
        <w:t xml:space="preserve"> </w:t>
      </w:r>
      <w:r>
        <w:tab/>
        <w:t xml:space="preserve">AusNet Services, </w:t>
      </w:r>
      <w:r w:rsidRPr="001C6565">
        <w:rPr>
          <w:rStyle w:val="Emphasis"/>
        </w:rPr>
        <w:t>Regulatory Proposal 2016–20</w:t>
      </w:r>
      <w:r>
        <w:t>, April 2015, p. 403.</w:t>
      </w:r>
    </w:p>
  </w:footnote>
  <w:footnote w:id="49">
    <w:p w:rsidR="00231C7E" w:rsidRDefault="00231C7E" w:rsidP="00F64DEC">
      <w:pPr>
        <w:pStyle w:val="FootnoteText"/>
      </w:pPr>
      <w:r>
        <w:rPr>
          <w:rStyle w:val="FootnoteReference"/>
        </w:rPr>
        <w:footnoteRef/>
      </w:r>
      <w:r>
        <w:t xml:space="preserve"> </w:t>
      </w:r>
      <w:r>
        <w:tab/>
        <w:t xml:space="preserve">AER, </w:t>
      </w:r>
      <w:r w:rsidRPr="001C6565">
        <w:rPr>
          <w:rStyle w:val="Emphasis"/>
        </w:rPr>
        <w:t>Framework and approach: Victorian distribution determination 2016–20</w:t>
      </w:r>
      <w:r>
        <w:t>, 24 October 2014, p. 73.</w:t>
      </w:r>
    </w:p>
  </w:footnote>
  <w:footnote w:id="50">
    <w:p w:rsidR="00231C7E" w:rsidRDefault="00231C7E" w:rsidP="00F64DEC">
      <w:pPr>
        <w:pStyle w:val="FootnoteText"/>
      </w:pPr>
      <w:r>
        <w:rPr>
          <w:rStyle w:val="FootnoteReference"/>
        </w:rPr>
        <w:footnoteRef/>
      </w:r>
      <w:r>
        <w:t xml:space="preserve"> </w:t>
      </w:r>
      <w:r>
        <w:tab/>
        <w:t xml:space="preserve">AusNet Services, </w:t>
      </w:r>
      <w:r w:rsidRPr="001C6565">
        <w:rPr>
          <w:rStyle w:val="Emphasis"/>
        </w:rPr>
        <w:t>Regulatory Proposal 2016–20</w:t>
      </w:r>
      <w:r>
        <w:t xml:space="preserve">, April 2015, p. 401 (sum total in Table 17.2). </w:t>
      </w:r>
    </w:p>
  </w:footnote>
  <w:footnote w:id="51">
    <w:p w:rsidR="00231C7E" w:rsidRPr="0019041B" w:rsidRDefault="00231C7E" w:rsidP="00F64DEC">
      <w:pPr>
        <w:pStyle w:val="FootnoteText"/>
      </w:pPr>
      <w:r>
        <w:rPr>
          <w:rStyle w:val="FootnoteReference"/>
        </w:rPr>
        <w:footnoteRef/>
      </w:r>
      <w:r>
        <w:t xml:space="preserve"> </w:t>
      </w:r>
      <w:r>
        <w:tab/>
      </w:r>
      <w:r w:rsidRPr="0019041B">
        <w:rPr>
          <w:rStyle w:val="AERtexthighlight"/>
          <w:shd w:val="clear" w:color="auto" w:fill="auto"/>
        </w:rPr>
        <w:t xml:space="preserve">AusNet Services, </w:t>
      </w:r>
      <w:r w:rsidRPr="006107E7">
        <w:rPr>
          <w:rStyle w:val="AERtextitalic"/>
        </w:rPr>
        <w:t>2016-20 Regulatory Proposal</w:t>
      </w:r>
      <w:r>
        <w:rPr>
          <w:rStyle w:val="AERtextitalic"/>
        </w:rPr>
        <w:t>, Metering cost model (</w:t>
      </w:r>
      <w:r w:rsidRPr="006107E7">
        <w:rPr>
          <w:rStyle w:val="AERtextitalic"/>
        </w:rPr>
        <w:t>Public</w:t>
      </w:r>
      <w:r>
        <w:rPr>
          <w:rStyle w:val="AERtextitalic"/>
        </w:rPr>
        <w:t xml:space="preserve">), tab 'summary', </w:t>
      </w:r>
      <w:r>
        <w:t>19 October 2015.</w:t>
      </w:r>
    </w:p>
  </w:footnote>
  <w:footnote w:id="52">
    <w:p w:rsidR="00231C7E" w:rsidRDefault="00231C7E" w:rsidP="00F64DEC">
      <w:pPr>
        <w:pStyle w:val="FootnoteText"/>
      </w:pPr>
      <w:r>
        <w:rPr>
          <w:rStyle w:val="FootnoteReference"/>
        </w:rPr>
        <w:footnoteRef/>
      </w:r>
      <w:r>
        <w:t xml:space="preserve"> </w:t>
      </w:r>
      <w:r>
        <w:tab/>
        <w:t xml:space="preserve">AusNet Services, </w:t>
      </w:r>
      <w:r w:rsidRPr="001C6565">
        <w:rPr>
          <w:rStyle w:val="Emphasis"/>
        </w:rPr>
        <w:t>Regulatory Proposal 2016–20</w:t>
      </w:r>
      <w:r>
        <w:t xml:space="preserve">, April 2015, p. 401 (sum total in Table 17.3). </w:t>
      </w:r>
    </w:p>
  </w:footnote>
  <w:footnote w:id="53">
    <w:p w:rsidR="00231C7E" w:rsidRDefault="00231C7E" w:rsidP="00F64DEC">
      <w:pPr>
        <w:pStyle w:val="FootnoteText"/>
      </w:pPr>
      <w:r>
        <w:rPr>
          <w:rStyle w:val="FootnoteReference"/>
        </w:rPr>
        <w:footnoteRef/>
      </w:r>
      <w:r>
        <w:t xml:space="preserve"> </w:t>
      </w:r>
      <w:r>
        <w:tab/>
      </w:r>
      <w:proofErr w:type="gramStart"/>
      <w:r>
        <w:t xml:space="preserve">AusNet Services, </w:t>
      </w:r>
      <w:r w:rsidRPr="001C6565">
        <w:rPr>
          <w:rStyle w:val="Emphasis"/>
        </w:rPr>
        <w:t>Regulatory Proposal 2016–20</w:t>
      </w:r>
      <w:r>
        <w:t>, April 2015, p. 402 (Table 17.4).</w:t>
      </w:r>
      <w:proofErr w:type="gramEnd"/>
      <w:r>
        <w:t xml:space="preserve"> </w:t>
      </w:r>
    </w:p>
  </w:footnote>
  <w:footnote w:id="54">
    <w:p w:rsidR="00231C7E" w:rsidRDefault="00231C7E" w:rsidP="00F64DEC">
      <w:pPr>
        <w:pStyle w:val="FootnoteText"/>
      </w:pPr>
      <w:r>
        <w:rPr>
          <w:rStyle w:val="FootnoteReference"/>
        </w:rPr>
        <w:footnoteRef/>
      </w:r>
      <w:r>
        <w:t xml:space="preserve"> </w:t>
      </w:r>
      <w:r>
        <w:tab/>
        <w:t xml:space="preserve">AusNet Services, </w:t>
      </w:r>
      <w:r w:rsidRPr="001C6565">
        <w:rPr>
          <w:rStyle w:val="Emphasis"/>
        </w:rPr>
        <w:t>Regulatory Proposal 2016–20</w:t>
      </w:r>
      <w:r>
        <w:t xml:space="preserve">, April 2015, p. 402. </w:t>
      </w:r>
    </w:p>
  </w:footnote>
  <w:footnote w:id="55">
    <w:p w:rsidR="00231C7E" w:rsidRDefault="00231C7E" w:rsidP="00F64DEC">
      <w:pPr>
        <w:pStyle w:val="FootnoteText"/>
      </w:pPr>
      <w:r>
        <w:rPr>
          <w:rStyle w:val="FootnoteReference"/>
        </w:rPr>
        <w:footnoteRef/>
      </w:r>
      <w:r>
        <w:t xml:space="preserve"> </w:t>
      </w:r>
      <w:r>
        <w:tab/>
        <w:t xml:space="preserve">AusNet Services, </w:t>
      </w:r>
      <w:r w:rsidRPr="001C6565">
        <w:rPr>
          <w:rStyle w:val="Emphasis"/>
        </w:rPr>
        <w:t>Regulatory Proposal 2016–20</w:t>
      </w:r>
      <w:r>
        <w:t xml:space="preserve">, April 2015, p. 404. </w:t>
      </w:r>
    </w:p>
  </w:footnote>
  <w:footnote w:id="56">
    <w:p w:rsidR="00231C7E" w:rsidRDefault="00231C7E" w:rsidP="00F64DEC">
      <w:pPr>
        <w:pStyle w:val="FootnoteText"/>
      </w:pPr>
      <w:r>
        <w:rPr>
          <w:rStyle w:val="FootnoteReference"/>
        </w:rPr>
        <w:footnoteRef/>
      </w:r>
      <w:r>
        <w:t xml:space="preserve"> </w:t>
      </w:r>
      <w:r>
        <w:tab/>
        <w:t xml:space="preserve">AusNet Services, </w:t>
      </w:r>
      <w:r w:rsidRPr="001C6565">
        <w:rPr>
          <w:rStyle w:val="Emphasis"/>
        </w:rPr>
        <w:t>Regulatory Proposal 2016–20</w:t>
      </w:r>
      <w:r>
        <w:t xml:space="preserve">, April 2015, p. 406. </w:t>
      </w:r>
    </w:p>
  </w:footnote>
  <w:footnote w:id="57">
    <w:p w:rsidR="00231C7E" w:rsidRDefault="00231C7E" w:rsidP="00F64DEC">
      <w:pPr>
        <w:pStyle w:val="FootnoteText"/>
      </w:pPr>
      <w:r>
        <w:rPr>
          <w:rStyle w:val="FootnoteReference"/>
        </w:rPr>
        <w:footnoteRef/>
      </w:r>
      <w:r>
        <w:t xml:space="preserve"> </w:t>
      </w:r>
      <w:r>
        <w:tab/>
      </w:r>
      <w:r w:rsidRPr="0031481E">
        <w:t>AusNet Services - Cost allocation method - November 2014</w:t>
      </w:r>
      <w:r>
        <w:t xml:space="preserve"> (consolidated)</w:t>
      </w:r>
    </w:p>
  </w:footnote>
  <w:footnote w:id="58">
    <w:p w:rsidR="00231C7E" w:rsidRDefault="00231C7E" w:rsidP="00270EBC">
      <w:pPr>
        <w:pStyle w:val="FootnoteText"/>
      </w:pPr>
      <w:r>
        <w:rPr>
          <w:rStyle w:val="FootnoteReference"/>
        </w:rPr>
        <w:footnoteRef/>
      </w:r>
      <w:r>
        <w:t xml:space="preserve"> </w:t>
      </w:r>
      <w:r>
        <w:tab/>
        <w:t xml:space="preserve">AusNet Services, </w:t>
      </w:r>
      <w:r w:rsidRPr="00033920">
        <w:rPr>
          <w:rStyle w:val="AERtextitalic"/>
        </w:rPr>
        <w:t>Drafting for public consultation</w:t>
      </w:r>
      <w:r w:rsidR="00A03B76">
        <w:rPr>
          <w:rStyle w:val="AERtextitalic"/>
        </w:rPr>
        <w:t>,</w:t>
      </w:r>
      <w:r>
        <w:t xml:space="preserve"> received 14 October 2015. </w:t>
      </w:r>
    </w:p>
  </w:footnote>
  <w:footnote w:id="59">
    <w:p w:rsidR="00231C7E" w:rsidRDefault="00231C7E" w:rsidP="00F64DEC">
      <w:pPr>
        <w:pStyle w:val="FootnoteText"/>
      </w:pPr>
      <w:r>
        <w:rPr>
          <w:rStyle w:val="FootnoteReference"/>
        </w:rPr>
        <w:footnoteRef/>
      </w:r>
      <w:r>
        <w:t xml:space="preserve"> </w:t>
      </w:r>
      <w:r>
        <w:tab/>
        <w:t xml:space="preserve">AER, </w:t>
      </w:r>
      <w:r w:rsidRPr="00267A87">
        <w:rPr>
          <w:rStyle w:val="AERtextitalic"/>
        </w:rPr>
        <w:t>Better regulation: Expenditure forecast assessment guideline for distribution</w:t>
      </w:r>
      <w:r>
        <w:t>, November 2013, p. 32.</w:t>
      </w:r>
    </w:p>
  </w:footnote>
  <w:footnote w:id="60">
    <w:p w:rsidR="00231C7E" w:rsidRDefault="00231C7E" w:rsidP="00F64DEC">
      <w:pPr>
        <w:pStyle w:val="FootnoteText"/>
      </w:pPr>
      <w:r>
        <w:rPr>
          <w:rStyle w:val="FootnoteReference"/>
        </w:rPr>
        <w:footnoteRef/>
      </w:r>
      <w:r>
        <w:t xml:space="preserve"> </w:t>
      </w:r>
      <w:r>
        <w:tab/>
        <w:t xml:space="preserve">Essential Services Commission, </w:t>
      </w:r>
      <w:r w:rsidRPr="00944DCE">
        <w:rPr>
          <w:rStyle w:val="AERtextitalic"/>
        </w:rPr>
        <w:t>AusNet Services' compliance with AMI regulatory obligations</w:t>
      </w:r>
      <w:r>
        <w:t>, December 2013.</w:t>
      </w:r>
    </w:p>
  </w:footnote>
  <w:footnote w:id="61">
    <w:p w:rsidR="00231C7E" w:rsidRDefault="00231C7E" w:rsidP="00F64DEC">
      <w:pPr>
        <w:pStyle w:val="FootnoteText"/>
      </w:pPr>
      <w:r>
        <w:rPr>
          <w:rStyle w:val="FootnoteReference"/>
        </w:rPr>
        <w:footnoteRef/>
      </w:r>
      <w:r>
        <w:t xml:space="preserve"> </w:t>
      </w:r>
      <w:r>
        <w:tab/>
        <w:t xml:space="preserve">Essential Services Commission, </w:t>
      </w:r>
      <w:r w:rsidRPr="00944DCE">
        <w:rPr>
          <w:rStyle w:val="AERtextitalic"/>
        </w:rPr>
        <w:t>AusNet Services' compliance with AMI regulatory obligations</w:t>
      </w:r>
      <w:r>
        <w:t>, December 2013.</w:t>
      </w:r>
    </w:p>
  </w:footnote>
  <w:footnote w:id="62">
    <w:p w:rsidR="00231C7E" w:rsidRDefault="00231C7E" w:rsidP="00F64DEC">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9.</w:t>
      </w:r>
    </w:p>
  </w:footnote>
  <w:footnote w:id="63">
    <w:p w:rsidR="00231C7E" w:rsidRDefault="00231C7E" w:rsidP="00F64DEC">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64">
    <w:p w:rsidR="00231C7E" w:rsidRDefault="00231C7E" w:rsidP="00F64DEC">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65">
    <w:p w:rsidR="00231C7E" w:rsidRDefault="00231C7E" w:rsidP="00F64DEC">
      <w:pPr>
        <w:pStyle w:val="FootnoteText"/>
      </w:pPr>
      <w:r>
        <w:rPr>
          <w:rStyle w:val="FootnoteReference"/>
        </w:rPr>
        <w:footnoteRef/>
      </w:r>
      <w:r>
        <w:t xml:space="preserve"> </w:t>
      </w:r>
      <w:r>
        <w:tab/>
        <w:t xml:space="preserve">AER, </w:t>
      </w:r>
      <w:r w:rsidRPr="007A6980">
        <w:rPr>
          <w:rStyle w:val="AERtextitalic"/>
        </w:rPr>
        <w:t>Expenditure assessment forecast guideline</w:t>
      </w:r>
      <w:r w:rsidRPr="007A6980">
        <w:t>, November 2013</w:t>
      </w:r>
      <w:r>
        <w:t>, p. 11.</w:t>
      </w:r>
    </w:p>
  </w:footnote>
  <w:footnote w:id="66">
    <w:p w:rsidR="00231C7E" w:rsidRDefault="00231C7E" w:rsidP="00997D52">
      <w:pPr>
        <w:pStyle w:val="FootnoteText"/>
      </w:pPr>
      <w:r>
        <w:rPr>
          <w:rStyle w:val="FootnoteReference"/>
        </w:rPr>
        <w:footnoteRef/>
      </w:r>
      <w:r>
        <w:t xml:space="preserve"> </w:t>
      </w:r>
      <w:r>
        <w:tab/>
        <w:t>AEMC</w:t>
      </w:r>
      <w:r w:rsidRPr="001C6565">
        <w:rPr>
          <w:i/>
        </w:rPr>
        <w:t>, Draft Rule Determination - National Electricity Amendment (Expanding Competition in Metering and Related Services) 2015</w:t>
      </w:r>
      <w:r>
        <w:t>, 26 March 2015.</w:t>
      </w:r>
    </w:p>
  </w:footnote>
  <w:footnote w:id="67">
    <w:p w:rsidR="00231C7E" w:rsidRDefault="00231C7E" w:rsidP="00997D52">
      <w:pPr>
        <w:pStyle w:val="FootnoteText"/>
      </w:pPr>
      <w:r>
        <w:rPr>
          <w:rStyle w:val="FootnoteReference"/>
        </w:rPr>
        <w:footnoteRef/>
      </w:r>
      <w:r>
        <w:t xml:space="preserve"> </w:t>
      </w:r>
      <w:r>
        <w:tab/>
        <w:t xml:space="preserve">AEMC, </w:t>
      </w:r>
      <w:r w:rsidRPr="001C6565">
        <w:rPr>
          <w:i/>
        </w:rPr>
        <w:t>Information: Extension of time for final rule on provision of metering services</w:t>
      </w:r>
      <w:r>
        <w:t>, 2 July 2015.</w:t>
      </w:r>
    </w:p>
  </w:footnote>
  <w:footnote w:id="68">
    <w:p w:rsidR="00231C7E" w:rsidRDefault="00231C7E" w:rsidP="00997D52">
      <w:pPr>
        <w:pStyle w:val="FootnoteText"/>
      </w:pPr>
      <w:r>
        <w:rPr>
          <w:rStyle w:val="FootnoteReference"/>
        </w:rPr>
        <w:footnoteRef/>
      </w:r>
      <w:r>
        <w:t xml:space="preserve"> </w:t>
      </w:r>
      <w:r>
        <w:tab/>
        <w:t xml:space="preserve">AMI Cost Recovery Order, clause 14.1.  </w:t>
      </w:r>
    </w:p>
  </w:footnote>
  <w:footnote w:id="69">
    <w:p w:rsidR="00231C7E" w:rsidRDefault="00231C7E" w:rsidP="00997D52">
      <w:pPr>
        <w:pStyle w:val="FootnoteText"/>
      </w:pPr>
      <w:r>
        <w:rPr>
          <w:rStyle w:val="FootnoteReference"/>
        </w:rPr>
        <w:footnoteRef/>
      </w:r>
      <w:r>
        <w:t xml:space="preserve"> </w:t>
      </w:r>
      <w:r>
        <w:tab/>
        <w:t xml:space="preserve">AER, </w:t>
      </w:r>
      <w:r w:rsidRPr="00127F38">
        <w:rPr>
          <w:rStyle w:val="AERtextitalic"/>
        </w:rPr>
        <w:t>Ausgrid: Final decision for 2014–19 regulatory control period, Attachment 16</w:t>
      </w:r>
      <w:r>
        <w:t xml:space="preserve">, April 2015; </w:t>
      </w:r>
      <w:r w:rsidRPr="00127F38">
        <w:rPr>
          <w:rStyle w:val="AERtextitalic"/>
        </w:rPr>
        <w:t>AER, Endeavour Energy: Final decision for 2014–19 regulatory control period, Attachment 16</w:t>
      </w:r>
      <w:r>
        <w:t>, April 2015;</w:t>
      </w:r>
      <w:r w:rsidRPr="00BC2ABB">
        <w:t xml:space="preserve"> </w:t>
      </w:r>
      <w:r>
        <w:t xml:space="preserve">AER, </w:t>
      </w:r>
      <w:r w:rsidRPr="00127F38">
        <w:rPr>
          <w:rStyle w:val="AERtextitalic"/>
        </w:rPr>
        <w:t>Essential Energy: Final decision for 2014–19 regulatory control period, Attachment 16</w:t>
      </w:r>
      <w:r>
        <w:t>, April 2015;</w:t>
      </w:r>
      <w:r w:rsidRPr="00BC2ABB">
        <w:t xml:space="preserve"> </w:t>
      </w:r>
      <w:r>
        <w:t xml:space="preserve">AER, </w:t>
      </w:r>
      <w:r w:rsidRPr="00127F38">
        <w:rPr>
          <w:rStyle w:val="AERtextitalic"/>
        </w:rPr>
        <w:t>ActewAGL: Final decision for 2014–19 regulatory control period, Attachment 16</w:t>
      </w:r>
      <w:r>
        <w:t xml:space="preserve">, April 2015; AER, </w:t>
      </w:r>
      <w:r w:rsidRPr="00127F38">
        <w:rPr>
          <w:rStyle w:val="AERtextitalic"/>
        </w:rPr>
        <w:t xml:space="preserve">SA Power Networks: Preliminary decision </w:t>
      </w:r>
      <w:r>
        <w:rPr>
          <w:rStyle w:val="AERtextitalic"/>
        </w:rPr>
        <w:t>2015</w:t>
      </w:r>
      <w:r>
        <w:rPr>
          <w:rStyle w:val="AERtextitalic"/>
        </w:rPr>
        <w:noBreakHyphen/>
        <w:t>16 to 2019</w:t>
      </w:r>
      <w:r>
        <w:rPr>
          <w:rStyle w:val="AERtextitalic"/>
        </w:rPr>
        <w:noBreakHyphen/>
        <w:t>20</w:t>
      </w:r>
      <w:r w:rsidRPr="00127F38">
        <w:rPr>
          <w:rStyle w:val="AERtextitalic"/>
        </w:rPr>
        <w:t>, Attachment 16</w:t>
      </w:r>
      <w:r>
        <w:t xml:space="preserve">, April 2015; AER, </w:t>
      </w:r>
      <w:r w:rsidRPr="00127F38">
        <w:rPr>
          <w:rStyle w:val="AERtextitalic"/>
        </w:rPr>
        <w:t xml:space="preserve">Energex: Preliminary decision </w:t>
      </w:r>
      <w:r>
        <w:rPr>
          <w:rStyle w:val="AERtextitalic"/>
        </w:rPr>
        <w:t>2015</w:t>
      </w:r>
      <w:r>
        <w:rPr>
          <w:rStyle w:val="AERtextitalic"/>
        </w:rPr>
        <w:noBreakHyphen/>
        <w:t>16 to 2019</w:t>
      </w:r>
      <w:r>
        <w:rPr>
          <w:rStyle w:val="AERtextitalic"/>
        </w:rPr>
        <w:noBreakHyphen/>
        <w:t>20</w:t>
      </w:r>
      <w:r w:rsidRPr="00127F38">
        <w:rPr>
          <w:rStyle w:val="AERtextitalic"/>
        </w:rPr>
        <w:t>, Attachment 16</w:t>
      </w:r>
      <w:r>
        <w:t>, April 2015; AER</w:t>
      </w:r>
      <w:r w:rsidRPr="00127F38">
        <w:rPr>
          <w:rStyle w:val="AERtextitalic"/>
        </w:rPr>
        <w:t xml:space="preserve">, Ergon Energy: Preliminary decision </w:t>
      </w:r>
      <w:r>
        <w:rPr>
          <w:rStyle w:val="AERtextitalic"/>
        </w:rPr>
        <w:t>2015</w:t>
      </w:r>
      <w:r>
        <w:rPr>
          <w:rStyle w:val="AERtextitalic"/>
        </w:rPr>
        <w:noBreakHyphen/>
        <w:t>16 to 2019</w:t>
      </w:r>
      <w:r>
        <w:rPr>
          <w:rStyle w:val="AERtextitalic"/>
        </w:rPr>
        <w:noBreakHyphen/>
        <w:t>20</w:t>
      </w:r>
      <w:r w:rsidRPr="00127F38">
        <w:rPr>
          <w:rStyle w:val="AERtextitalic"/>
        </w:rPr>
        <w:t>, Attachment 16</w:t>
      </w:r>
      <w:r>
        <w:t>, April 2015.</w:t>
      </w:r>
    </w:p>
  </w:footnote>
  <w:footnote w:id="70">
    <w:p w:rsidR="00231C7E" w:rsidRDefault="00231C7E" w:rsidP="00997D52">
      <w:pPr>
        <w:pStyle w:val="FootnoteText"/>
      </w:pPr>
      <w:r>
        <w:rPr>
          <w:rStyle w:val="FootnoteReference"/>
        </w:rPr>
        <w:footnoteRef/>
      </w:r>
      <w:r>
        <w:t xml:space="preserve"> </w:t>
      </w:r>
      <w:r>
        <w:tab/>
        <w:t xml:space="preserve">Essential Services Commission, </w:t>
      </w:r>
      <w:r w:rsidRPr="009C3959">
        <w:rPr>
          <w:rStyle w:val="AERtextitalic"/>
        </w:rPr>
        <w:t>AusNet Services' compliance with AMI regulatory obligations</w:t>
      </w:r>
      <w:r>
        <w:t>, December 2013.</w:t>
      </w:r>
    </w:p>
  </w:footnote>
  <w:footnote w:id="71">
    <w:p w:rsidR="00231C7E" w:rsidRDefault="00231C7E" w:rsidP="00997D52">
      <w:pPr>
        <w:pStyle w:val="FootnoteText"/>
      </w:pPr>
      <w:r>
        <w:rPr>
          <w:rStyle w:val="FootnoteReference"/>
        </w:rPr>
        <w:footnoteRef/>
      </w:r>
      <w:r>
        <w:t xml:space="preserve"> </w:t>
      </w:r>
      <w:r>
        <w:tab/>
        <w:t xml:space="preserve">Essential Services Commission, </w:t>
      </w:r>
      <w:r w:rsidRPr="009C3959">
        <w:rPr>
          <w:rStyle w:val="AERtextitalic"/>
        </w:rPr>
        <w:t>AusNet Services' compliance with AMI regulatory obligations</w:t>
      </w:r>
      <w:r>
        <w:t>, December 2013.</w:t>
      </w:r>
    </w:p>
  </w:footnote>
  <w:footnote w:id="72">
    <w:p w:rsidR="00231C7E" w:rsidRDefault="00231C7E" w:rsidP="00997D52">
      <w:pPr>
        <w:pStyle w:val="FootnoteText"/>
      </w:pPr>
      <w:r>
        <w:rPr>
          <w:rStyle w:val="FootnoteReference"/>
        </w:rPr>
        <w:footnoteRef/>
      </w:r>
      <w:r>
        <w:t xml:space="preserve"> </w:t>
      </w:r>
      <w:r>
        <w:tab/>
        <w:t xml:space="preserve">AusNet Services, </w:t>
      </w:r>
      <w:r w:rsidRPr="00A1261E">
        <w:rPr>
          <w:rStyle w:val="AERtextitalic"/>
        </w:rPr>
        <w:t xml:space="preserve">Response to AER information request </w:t>
      </w:r>
      <w:r w:rsidR="009403E7">
        <w:rPr>
          <w:rStyle w:val="AERtextitalic"/>
        </w:rPr>
        <w:t>IR</w:t>
      </w:r>
      <w:r w:rsidRPr="00A1261E">
        <w:rPr>
          <w:rStyle w:val="AERtextitalic"/>
        </w:rPr>
        <w:t>#</w:t>
      </w:r>
      <w:r w:rsidR="009403E7">
        <w:rPr>
          <w:rStyle w:val="AERtextitalic"/>
        </w:rPr>
        <w:t xml:space="preserve"> </w:t>
      </w:r>
      <w:r w:rsidRPr="00A1261E">
        <w:rPr>
          <w:rStyle w:val="AERtextitalic"/>
        </w:rPr>
        <w:t>019</w:t>
      </w:r>
      <w:r>
        <w:t>, 3 September 2015, p. 1.</w:t>
      </w:r>
    </w:p>
  </w:footnote>
  <w:footnote w:id="73">
    <w:p w:rsidR="00231C7E" w:rsidRDefault="00231C7E" w:rsidP="00997D52">
      <w:pPr>
        <w:pStyle w:val="FootnoteText"/>
      </w:pPr>
      <w:r>
        <w:rPr>
          <w:rStyle w:val="FootnoteReference"/>
        </w:rPr>
        <w:footnoteRef/>
      </w:r>
      <w:r>
        <w:t xml:space="preserve"> </w:t>
      </w:r>
      <w:r>
        <w:tab/>
        <w:t xml:space="preserve">AusNet Services, </w:t>
      </w:r>
      <w:r w:rsidRPr="00A1261E">
        <w:rPr>
          <w:rStyle w:val="AERtextitalic"/>
        </w:rPr>
        <w:t xml:space="preserve">Response to AER information request </w:t>
      </w:r>
      <w:r w:rsidR="009403E7">
        <w:rPr>
          <w:rStyle w:val="AERtextitalic"/>
        </w:rPr>
        <w:t>IR</w:t>
      </w:r>
      <w:r w:rsidRPr="00A1261E">
        <w:rPr>
          <w:rStyle w:val="AERtextitalic"/>
        </w:rPr>
        <w:t>#</w:t>
      </w:r>
      <w:r w:rsidR="009403E7">
        <w:rPr>
          <w:rStyle w:val="AERtextitalic"/>
        </w:rPr>
        <w:t xml:space="preserve"> </w:t>
      </w:r>
      <w:r w:rsidRPr="00A1261E">
        <w:rPr>
          <w:rStyle w:val="AERtextitalic"/>
        </w:rPr>
        <w:t>019</w:t>
      </w:r>
      <w:r>
        <w:t>, 3 September 2015, p. 2.</w:t>
      </w:r>
    </w:p>
  </w:footnote>
  <w:footnote w:id="74">
    <w:p w:rsidR="00231C7E" w:rsidRDefault="00231C7E" w:rsidP="00997D52">
      <w:pPr>
        <w:pStyle w:val="FootnoteText"/>
      </w:pPr>
      <w:r>
        <w:rPr>
          <w:rStyle w:val="FootnoteReference"/>
        </w:rPr>
        <w:footnoteRef/>
      </w:r>
      <w:r>
        <w:t xml:space="preserve"> </w:t>
      </w:r>
      <w:r>
        <w:tab/>
        <w:t xml:space="preserve">AusNet Services, </w:t>
      </w:r>
      <w:r w:rsidRPr="00A1261E">
        <w:rPr>
          <w:rStyle w:val="AERtextitalic"/>
        </w:rPr>
        <w:t xml:space="preserve">Response to AER information request </w:t>
      </w:r>
      <w:r w:rsidR="009403E7">
        <w:rPr>
          <w:rStyle w:val="AERtextitalic"/>
        </w:rPr>
        <w:t>IR</w:t>
      </w:r>
      <w:r w:rsidRPr="00A1261E">
        <w:rPr>
          <w:rStyle w:val="AERtextitalic"/>
        </w:rPr>
        <w:t>#</w:t>
      </w:r>
      <w:r w:rsidR="009403E7">
        <w:rPr>
          <w:rStyle w:val="AERtextitalic"/>
        </w:rPr>
        <w:t xml:space="preserve"> </w:t>
      </w:r>
      <w:r w:rsidRPr="00A1261E">
        <w:rPr>
          <w:rStyle w:val="AERtextitalic"/>
        </w:rPr>
        <w:t>019</w:t>
      </w:r>
      <w:r>
        <w:t>, 3 September 2015, p. 2.</w:t>
      </w:r>
    </w:p>
  </w:footnote>
  <w:footnote w:id="75">
    <w:p w:rsidR="00231C7E" w:rsidRDefault="00231C7E" w:rsidP="00997D52">
      <w:pPr>
        <w:pStyle w:val="FootnoteText"/>
      </w:pPr>
      <w:r>
        <w:rPr>
          <w:rStyle w:val="FootnoteReference"/>
        </w:rPr>
        <w:footnoteRef/>
      </w:r>
      <w:r>
        <w:t xml:space="preserve"> </w:t>
      </w:r>
      <w:r>
        <w:tab/>
        <w:t xml:space="preserve">Note: </w:t>
      </w:r>
      <w:r w:rsidRPr="00A1261E">
        <w:t xml:space="preserve">We have made an allowance of $0.9 million ($2015) for the continued manual reading of meters in areas where it would be infeasible for an advanced meter to be installed. This may occur, for example, due to the unavailability of a communications device capable of remotely reading over the distances required in some regional areas of AusNet Services distribution network.  </w:t>
      </w:r>
    </w:p>
  </w:footnote>
  <w:footnote w:id="76">
    <w:p w:rsidR="00231C7E" w:rsidRDefault="00231C7E" w:rsidP="00997D52">
      <w:pPr>
        <w:pStyle w:val="FootnoteText"/>
      </w:pPr>
      <w:r>
        <w:rPr>
          <w:rStyle w:val="FootnoteReference"/>
        </w:rPr>
        <w:footnoteRef/>
      </w:r>
      <w:r>
        <w:t xml:space="preserve"> </w:t>
      </w:r>
      <w:r>
        <w:tab/>
      </w:r>
      <w:proofErr w:type="gramStart"/>
      <w:r>
        <w:t xml:space="preserve">AER, </w:t>
      </w:r>
      <w:r w:rsidRPr="00BD1BDC">
        <w:rPr>
          <w:rStyle w:val="AERtextitalic"/>
        </w:rPr>
        <w:t>Preliminary decision on AusNet Services' distribution determination</w:t>
      </w:r>
      <w:r>
        <w:t xml:space="preserve">, </w:t>
      </w:r>
      <w:r w:rsidR="009403E7">
        <w:t xml:space="preserve">October 2016, </w:t>
      </w:r>
      <w:r>
        <w:t>Attachment 3.</w:t>
      </w:r>
      <w:proofErr w:type="gramEnd"/>
    </w:p>
  </w:footnote>
  <w:footnote w:id="77">
    <w:p w:rsidR="00231C7E" w:rsidRDefault="00231C7E" w:rsidP="00997D52"/>
  </w:footnote>
  <w:footnote w:id="78">
    <w:p w:rsidR="00231C7E" w:rsidRDefault="00231C7E" w:rsidP="00270EBC">
      <w:pPr>
        <w:pStyle w:val="FootnoteText"/>
      </w:pPr>
      <w:r>
        <w:rPr>
          <w:rStyle w:val="FootnoteReference"/>
        </w:rPr>
        <w:footnoteRef/>
      </w:r>
      <w:r>
        <w:t xml:space="preserve"> </w:t>
      </w:r>
      <w:r>
        <w:tab/>
        <w:t xml:space="preserve">AusNet Services, </w:t>
      </w:r>
      <w:r w:rsidRPr="00033920">
        <w:rPr>
          <w:rStyle w:val="AERtextitalic"/>
        </w:rPr>
        <w:t>Drafting for public consultation</w:t>
      </w:r>
      <w:r>
        <w:t xml:space="preserve"> [email attachment], received 14 October 2015. </w:t>
      </w:r>
    </w:p>
  </w:footnote>
  <w:footnote w:id="79">
    <w:p w:rsidR="00231C7E" w:rsidRDefault="00231C7E" w:rsidP="00A27296">
      <w:pPr>
        <w:pStyle w:val="FootnoteText"/>
      </w:pPr>
      <w:r>
        <w:rPr>
          <w:rStyle w:val="FootnoteReference"/>
        </w:rPr>
        <w:footnoteRef/>
      </w:r>
      <w:r>
        <w:t xml:space="preserve"> </w:t>
      </w:r>
      <w:r>
        <w:tab/>
        <w:t>NER, s.</w:t>
      </w:r>
      <w:r w:rsidRPr="00DE5DD2">
        <w:t xml:space="preserve"> 16(2</w:t>
      </w:r>
      <w:proofErr w:type="gramStart"/>
      <w:r w:rsidRPr="00DE5DD2">
        <w:t>)(</w:t>
      </w:r>
      <w:proofErr w:type="gramEnd"/>
      <w:r w:rsidRPr="00DE5DD2">
        <w:t>a)(i)</w:t>
      </w:r>
      <w:r>
        <w:t xml:space="preserve">. </w:t>
      </w:r>
    </w:p>
  </w:footnote>
  <w:footnote w:id="80">
    <w:p w:rsidR="00231C7E" w:rsidRDefault="00231C7E" w:rsidP="00A27296">
      <w:pPr>
        <w:pStyle w:val="FootnoteText"/>
      </w:pPr>
      <w:r>
        <w:rPr>
          <w:rStyle w:val="FootnoteReference"/>
        </w:rPr>
        <w:footnoteRef/>
      </w:r>
      <w:r>
        <w:t xml:space="preserve"> </w:t>
      </w:r>
      <w:r>
        <w:tab/>
        <w:t xml:space="preserve">AER, </w:t>
      </w:r>
      <w:r>
        <w:rPr>
          <w:rStyle w:val="AERtextitalic"/>
        </w:rPr>
        <w:t>2012–15 AMI</w:t>
      </w:r>
      <w:r w:rsidRPr="00033920">
        <w:rPr>
          <w:rStyle w:val="AERtextitalic"/>
        </w:rPr>
        <w:t xml:space="preserve"> SPI Electricity Pty Ltd Budget and Charges Determination</w:t>
      </w:r>
      <w:r>
        <w:rPr>
          <w:rStyle w:val="AERtextitalic"/>
        </w:rPr>
        <w:t xml:space="preserve"> - amendments pursuant to the Australian Competition Tribunal's Orders</w:t>
      </w:r>
      <w:r>
        <w:t xml:space="preserve">, February 2013, p. 21. </w:t>
      </w:r>
    </w:p>
  </w:footnote>
  <w:footnote w:id="81">
    <w:p w:rsidR="00231C7E" w:rsidRDefault="00231C7E" w:rsidP="00A27296">
      <w:pPr>
        <w:pStyle w:val="FootnoteText"/>
        <w:ind w:left="0" w:firstLine="0"/>
      </w:pPr>
      <w:r>
        <w:rPr>
          <w:rStyle w:val="FootnoteReference"/>
        </w:rPr>
        <w:footnoteRef/>
      </w:r>
      <w:r>
        <w:t xml:space="preserve"> </w:t>
      </w:r>
      <w:r>
        <w:tab/>
        <w:t>Appeal by SPI Electricity Pty Limited [2013] ACompT 7.</w:t>
      </w:r>
    </w:p>
  </w:footnote>
  <w:footnote w:id="82">
    <w:p w:rsidR="00231C7E" w:rsidRDefault="00231C7E" w:rsidP="00A27296">
      <w:pPr>
        <w:pStyle w:val="FootnoteText"/>
      </w:pPr>
      <w:r>
        <w:rPr>
          <w:rStyle w:val="FootnoteReference"/>
        </w:rPr>
        <w:footnoteRef/>
      </w:r>
      <w:r>
        <w:t xml:space="preserve"> </w:t>
      </w:r>
      <w:r>
        <w:tab/>
      </w:r>
      <w:proofErr w:type="gramStart"/>
      <w:r>
        <w:t>SPI Electricity Pty Ltd v Australian Energy Regulator [2014] FCA 1012.</w:t>
      </w:r>
      <w:proofErr w:type="gramEnd"/>
    </w:p>
  </w:footnote>
  <w:footnote w:id="83">
    <w:p w:rsidR="00231C7E" w:rsidRDefault="00231C7E" w:rsidP="00A27296">
      <w:pPr>
        <w:pStyle w:val="FootnoteText"/>
      </w:pPr>
      <w:r>
        <w:rPr>
          <w:rStyle w:val="FootnoteReference"/>
        </w:rPr>
        <w:footnoteRef/>
      </w:r>
      <w:r>
        <w:t xml:space="preserve"> </w:t>
      </w:r>
      <w:r>
        <w:tab/>
        <w:t xml:space="preserve">AusNet Services, </w:t>
      </w:r>
      <w:r w:rsidRPr="00033920">
        <w:rPr>
          <w:rStyle w:val="AERtextitalic"/>
        </w:rPr>
        <w:t>Drafting for public consultation</w:t>
      </w:r>
      <w:r>
        <w:t xml:space="preserve"> [email attachment], received 14 October 2015. </w:t>
      </w:r>
    </w:p>
  </w:footnote>
  <w:footnote w:id="84">
    <w:p w:rsidR="00231C7E" w:rsidRDefault="00231C7E" w:rsidP="00A27296">
      <w:pPr>
        <w:pStyle w:val="FootnoteText"/>
      </w:pPr>
      <w:r>
        <w:rPr>
          <w:rStyle w:val="FootnoteReference"/>
        </w:rPr>
        <w:footnoteRef/>
      </w:r>
      <w:r>
        <w:t xml:space="preserve"> </w:t>
      </w:r>
      <w:r>
        <w:tab/>
      </w:r>
      <w:proofErr w:type="gramStart"/>
      <w:r>
        <w:t xml:space="preserve">AER, </w:t>
      </w:r>
      <w:r w:rsidRPr="00A91359">
        <w:rPr>
          <w:rStyle w:val="AERtextitalic"/>
        </w:rPr>
        <w:t>Final Framework and approach for the Victorian Electricity Distributors</w:t>
      </w:r>
      <w:r>
        <w:t>.</w:t>
      </w:r>
      <w:proofErr w:type="gramEnd"/>
      <w:r>
        <w:t xml:space="preserve"> October 2014, p. 60.</w:t>
      </w:r>
    </w:p>
  </w:footnote>
  <w:footnote w:id="85">
    <w:p w:rsidR="00231C7E" w:rsidRDefault="00231C7E" w:rsidP="00A27296">
      <w:pPr>
        <w:pStyle w:val="FootnoteText"/>
      </w:pPr>
      <w:r>
        <w:rPr>
          <w:rStyle w:val="FootnoteReference"/>
        </w:rPr>
        <w:footnoteRef/>
      </w:r>
      <w:r>
        <w:t xml:space="preserve"> </w:t>
      </w:r>
      <w:r>
        <w:tab/>
      </w:r>
      <w:proofErr w:type="gramStart"/>
      <w:r>
        <w:t>NER, cl. 11.17.6(a).</w:t>
      </w:r>
      <w:proofErr w:type="gramEnd"/>
    </w:p>
  </w:footnote>
  <w:footnote w:id="86">
    <w:p w:rsidR="00231C7E" w:rsidRDefault="00231C7E" w:rsidP="00A27296">
      <w:pPr>
        <w:pStyle w:val="FootnoteText"/>
      </w:pPr>
      <w:r>
        <w:rPr>
          <w:rStyle w:val="FootnoteReference"/>
        </w:rPr>
        <w:footnoteRef/>
      </w:r>
      <w:r>
        <w:t xml:space="preserve"> </w:t>
      </w:r>
      <w:r>
        <w:tab/>
        <w:t>NER, cl. 6.2.5(d</w:t>
      </w:r>
      <w:proofErr w:type="gramStart"/>
      <w:r>
        <w:t>)(</w:t>
      </w:r>
      <w:proofErr w:type="gramEnd"/>
      <w:r>
        <w:t>5).</w:t>
      </w:r>
    </w:p>
  </w:footnote>
  <w:footnote w:id="87">
    <w:p w:rsidR="00231C7E" w:rsidRDefault="00231C7E" w:rsidP="00A27296">
      <w:pPr>
        <w:pStyle w:val="FootnoteText"/>
      </w:pPr>
      <w:r>
        <w:rPr>
          <w:rStyle w:val="FootnoteReference"/>
        </w:rPr>
        <w:footnoteRef/>
      </w:r>
      <w:r>
        <w:t xml:space="preserve"> </w:t>
      </w:r>
      <w:r>
        <w:tab/>
        <w:t xml:space="preserve">NEL, ss. </w:t>
      </w:r>
      <w:proofErr w:type="gramStart"/>
      <w:r>
        <w:t>7A(</w:t>
      </w:r>
      <w:proofErr w:type="gramEnd"/>
      <w:r>
        <w:t>2) - (7). See NEL, s. 16(2</w:t>
      </w:r>
      <w:proofErr w:type="gramStart"/>
      <w:r>
        <w:t>)(</w:t>
      </w:r>
      <w:proofErr w:type="gramEnd"/>
      <w:r>
        <w:t>a)(i).</w:t>
      </w:r>
    </w:p>
  </w:footnote>
  <w:footnote w:id="88">
    <w:p w:rsidR="00231C7E" w:rsidRDefault="00231C7E" w:rsidP="00A27296">
      <w:pPr>
        <w:pStyle w:val="FootnoteText"/>
      </w:pPr>
      <w:r>
        <w:rPr>
          <w:rStyle w:val="FootnoteReference"/>
        </w:rPr>
        <w:footnoteRef/>
      </w:r>
      <w:r>
        <w:t xml:space="preserve"> </w:t>
      </w:r>
      <w:r>
        <w:tab/>
      </w:r>
      <w:proofErr w:type="gramStart"/>
      <w:r>
        <w:t xml:space="preserve">AER, </w:t>
      </w:r>
      <w:r w:rsidRPr="0007239F">
        <w:rPr>
          <w:rStyle w:val="AERtextitalic"/>
        </w:rPr>
        <w:t>2009-11 AMI Budget and Charges Final Determination</w:t>
      </w:r>
      <w:r>
        <w:t>, October 2009, p.</w:t>
      </w:r>
      <w:proofErr w:type="gramEnd"/>
      <w:r>
        <w:t xml:space="preserve">  </w:t>
      </w:r>
      <w:proofErr w:type="gramStart"/>
      <w:r>
        <w:t>24</w:t>
      </w:r>
      <w:r>
        <w:noBreakHyphen/>
        <w:t>25.</w:t>
      </w:r>
      <w:proofErr w:type="gramEnd"/>
    </w:p>
  </w:footnote>
  <w:footnote w:id="89">
    <w:p w:rsidR="00231C7E" w:rsidRDefault="00231C7E" w:rsidP="00A27296">
      <w:pPr>
        <w:pStyle w:val="FootnoteText"/>
      </w:pPr>
      <w:r>
        <w:rPr>
          <w:rStyle w:val="FootnoteReference"/>
        </w:rPr>
        <w:footnoteRef/>
      </w:r>
      <w:r>
        <w:t xml:space="preserve"> </w:t>
      </w:r>
      <w:r>
        <w:tab/>
        <w:t xml:space="preserve">AER, </w:t>
      </w:r>
      <w:r w:rsidRPr="0007239F">
        <w:rPr>
          <w:rStyle w:val="AERtextitalic"/>
        </w:rPr>
        <w:t>2012-15 AMI Budget and Charges Final Determination</w:t>
      </w:r>
      <w:r>
        <w:t xml:space="preserve">, </w:t>
      </w:r>
      <w:r w:rsidRPr="00774E86">
        <w:t>October 2011</w:t>
      </w:r>
      <w:r>
        <w:t>, p. 36.</w:t>
      </w:r>
    </w:p>
  </w:footnote>
  <w:footnote w:id="90">
    <w:p w:rsidR="00231C7E" w:rsidRDefault="00231C7E" w:rsidP="00A27296">
      <w:pPr>
        <w:pStyle w:val="FootnoteText"/>
      </w:pPr>
      <w:r>
        <w:rPr>
          <w:rStyle w:val="FootnoteReference"/>
        </w:rPr>
        <w:footnoteRef/>
      </w:r>
      <w:r>
        <w:t xml:space="preserve"> </w:t>
      </w:r>
      <w:r>
        <w:tab/>
      </w:r>
      <w:r w:rsidRPr="00A91359">
        <w:rPr>
          <w:rStyle w:val="AERtextitalic"/>
        </w:rPr>
        <w:t>Appeal by SPI Electricity Pty Ltd [2012] ACompT 11,</w:t>
      </w:r>
      <w:r>
        <w:t xml:space="preserve"> [129].</w:t>
      </w:r>
    </w:p>
  </w:footnote>
  <w:footnote w:id="91">
    <w:p w:rsidR="00231C7E" w:rsidRDefault="00231C7E" w:rsidP="00A27296">
      <w:pPr>
        <w:pStyle w:val="FootnoteText"/>
      </w:pPr>
      <w:r>
        <w:rPr>
          <w:rStyle w:val="FootnoteReference"/>
        </w:rPr>
        <w:footnoteRef/>
      </w:r>
      <w:r>
        <w:t xml:space="preserve"> </w:t>
      </w:r>
      <w:r>
        <w:tab/>
      </w:r>
      <w:r w:rsidRPr="00A91359">
        <w:rPr>
          <w:rStyle w:val="AERtextitalic"/>
        </w:rPr>
        <w:t>Appeal by SPI Electricity Pty Ltd [2012] ACompT 11</w:t>
      </w:r>
      <w:r>
        <w:t>, [131].</w:t>
      </w:r>
    </w:p>
  </w:footnote>
  <w:footnote w:id="92">
    <w:p w:rsidR="00231C7E" w:rsidRPr="00A2579D" w:rsidRDefault="00231C7E" w:rsidP="00A27296">
      <w:pPr>
        <w:pStyle w:val="FootnoteText"/>
        <w:rPr>
          <w:szCs w:val="16"/>
        </w:rPr>
      </w:pPr>
      <w:r>
        <w:rPr>
          <w:rStyle w:val="FootnoteReference"/>
        </w:rPr>
        <w:footnoteRef/>
      </w:r>
      <w:r>
        <w:t xml:space="preserve"> </w:t>
      </w:r>
      <w:r>
        <w:tab/>
      </w:r>
      <w:r>
        <w:rPr>
          <w:i/>
          <w:szCs w:val="16"/>
        </w:rPr>
        <w:t xml:space="preserve">Appeal by </w:t>
      </w:r>
      <w:r w:rsidRPr="00A2579D">
        <w:rPr>
          <w:i/>
          <w:szCs w:val="16"/>
        </w:rPr>
        <w:t>SPI Electricity Pty Ltd [2012] ACompT 11</w:t>
      </w:r>
      <w:r>
        <w:rPr>
          <w:szCs w:val="16"/>
        </w:rPr>
        <w:t>, [126]-[139].</w:t>
      </w:r>
    </w:p>
  </w:footnote>
  <w:footnote w:id="93">
    <w:p w:rsidR="00231C7E" w:rsidRDefault="00231C7E" w:rsidP="00A27296">
      <w:pPr>
        <w:pStyle w:val="FootnoteText"/>
      </w:pPr>
      <w:r>
        <w:rPr>
          <w:rStyle w:val="FootnoteReference"/>
        </w:rPr>
        <w:footnoteRef/>
      </w:r>
      <w:r>
        <w:t xml:space="preserve"> </w:t>
      </w:r>
      <w:r>
        <w:tab/>
      </w:r>
      <w:r w:rsidRPr="0071094E">
        <w:rPr>
          <w:rStyle w:val="AERtextitalic"/>
        </w:rPr>
        <w:t>Appeal by SPI Electricity Pty Ltd [2012] ACompT 11</w:t>
      </w:r>
      <w:r>
        <w:t>, [129]-[130].</w:t>
      </w:r>
    </w:p>
  </w:footnote>
  <w:footnote w:id="94">
    <w:p w:rsidR="00231C7E" w:rsidRDefault="00231C7E" w:rsidP="00A27296">
      <w:pPr>
        <w:pStyle w:val="FootnoteText"/>
      </w:pPr>
      <w:r>
        <w:rPr>
          <w:rStyle w:val="FootnoteReference"/>
        </w:rPr>
        <w:footnoteRef/>
      </w:r>
      <w:r>
        <w:t xml:space="preserve"> </w:t>
      </w:r>
      <w:r>
        <w:tab/>
      </w:r>
      <w:r w:rsidRPr="0071094E">
        <w:rPr>
          <w:rStyle w:val="AERtextitalic"/>
        </w:rPr>
        <w:t>Appeal by SPI Electricity Pty Ltd [2012] ACompT 11</w:t>
      </w:r>
      <w:r>
        <w:t>, [138].</w:t>
      </w:r>
    </w:p>
  </w:footnote>
  <w:footnote w:id="95">
    <w:p w:rsidR="00231C7E" w:rsidRDefault="00231C7E" w:rsidP="00A27296">
      <w:pPr>
        <w:pStyle w:val="FootnoteText"/>
      </w:pPr>
      <w:r>
        <w:rPr>
          <w:rStyle w:val="FootnoteReference"/>
        </w:rPr>
        <w:footnoteRef/>
      </w:r>
      <w:r>
        <w:t xml:space="preserve"> </w:t>
      </w:r>
      <w:r>
        <w:tab/>
        <w:t xml:space="preserve">AER, </w:t>
      </w:r>
      <w:r>
        <w:rPr>
          <w:rStyle w:val="AERtextitalic"/>
        </w:rPr>
        <w:t>2012–15 AMI</w:t>
      </w:r>
      <w:r w:rsidRPr="00033920">
        <w:rPr>
          <w:rStyle w:val="AERtextitalic"/>
        </w:rPr>
        <w:t xml:space="preserve"> SPI Electricity Pty Ltd Budget and Charges Determination</w:t>
      </w:r>
      <w:r>
        <w:rPr>
          <w:rStyle w:val="AERtextitalic"/>
        </w:rPr>
        <w:t xml:space="preserve"> - amendments pursuant to the Australian Competition Tribunal's Orders</w:t>
      </w:r>
      <w:r>
        <w:t xml:space="preserve">, February 2013, p. v.  </w:t>
      </w:r>
    </w:p>
  </w:footnote>
  <w:footnote w:id="96">
    <w:p w:rsidR="00231C7E" w:rsidRDefault="00231C7E" w:rsidP="00A27296">
      <w:pPr>
        <w:pStyle w:val="FootnoteText"/>
      </w:pPr>
      <w:r>
        <w:rPr>
          <w:rStyle w:val="FootnoteReference"/>
        </w:rPr>
        <w:footnoteRef/>
      </w:r>
      <w:r>
        <w:t xml:space="preserve"> </w:t>
      </w:r>
      <w:r>
        <w:tab/>
        <w:t>28 February 2011</w:t>
      </w:r>
      <w:r w:rsidRPr="002418F3">
        <w:t xml:space="preserve"> is the date that AusNet Services submitted its 2012–15 Budget and Charges application to the AER. It is also the date that the Tribunal directed the AER to use as the point in time that AusNet Services should have reconsidered its commitment to WiMAX technology.</w:t>
      </w:r>
    </w:p>
  </w:footnote>
  <w:footnote w:id="97">
    <w:p w:rsidR="00231C7E" w:rsidRDefault="00231C7E" w:rsidP="00A27296">
      <w:pPr>
        <w:pStyle w:val="FootnoteText"/>
      </w:pPr>
      <w:r>
        <w:rPr>
          <w:rStyle w:val="FootnoteReference"/>
        </w:rPr>
        <w:footnoteRef/>
      </w:r>
      <w:r>
        <w:t xml:space="preserve"> </w:t>
      </w:r>
      <w:r>
        <w:tab/>
        <w:t xml:space="preserve">AER, </w:t>
      </w:r>
      <w:r>
        <w:rPr>
          <w:rStyle w:val="AERtextitalic"/>
        </w:rPr>
        <w:t>2012–15 AMI</w:t>
      </w:r>
      <w:r w:rsidRPr="00033920">
        <w:rPr>
          <w:rStyle w:val="AERtextitalic"/>
        </w:rPr>
        <w:t xml:space="preserve"> SPI Electricity Pty Ltd Budget and Charges Determination</w:t>
      </w:r>
      <w:r>
        <w:rPr>
          <w:rStyle w:val="AERtextitalic"/>
        </w:rPr>
        <w:t xml:space="preserve"> - amendments pursuant to the Australian Competition Tribunal's Orders</w:t>
      </w:r>
      <w:r>
        <w:t>, February 2013, p. 93, table 3.8.</w:t>
      </w:r>
    </w:p>
  </w:footnote>
  <w:footnote w:id="98">
    <w:p w:rsidR="00231C7E" w:rsidRDefault="00231C7E" w:rsidP="00A27296">
      <w:pPr>
        <w:pStyle w:val="FootnoteText"/>
      </w:pPr>
      <w:r>
        <w:rPr>
          <w:rStyle w:val="FootnoteReference"/>
        </w:rPr>
        <w:footnoteRef/>
      </w:r>
      <w:r>
        <w:t xml:space="preserve"> </w:t>
      </w:r>
      <w:r>
        <w:tab/>
        <w:t xml:space="preserve">AER, </w:t>
      </w:r>
      <w:r>
        <w:rPr>
          <w:rStyle w:val="AERtextitalic"/>
        </w:rPr>
        <w:t>2012–15 AMI</w:t>
      </w:r>
      <w:r w:rsidRPr="00033920">
        <w:rPr>
          <w:rStyle w:val="AERtextitalic"/>
        </w:rPr>
        <w:t xml:space="preserve"> SPI Electricity Pty Ltd Budget and Charges Determination</w:t>
      </w:r>
      <w:r>
        <w:rPr>
          <w:rStyle w:val="AERtextitalic"/>
        </w:rPr>
        <w:t xml:space="preserve"> - amendments pursuant to the Australian Competition Tribunal's Orders</w:t>
      </w:r>
      <w:r>
        <w:t>, February 2013,</w:t>
      </w:r>
      <w:r w:rsidRPr="00037D1F">
        <w:t xml:space="preserve"> p</w:t>
      </w:r>
      <w:r>
        <w:t>. 5</w:t>
      </w:r>
      <w:r w:rsidRPr="00037D1F">
        <w:t>3</w:t>
      </w:r>
      <w:r>
        <w:t>.</w:t>
      </w:r>
    </w:p>
  </w:footnote>
  <w:footnote w:id="99">
    <w:p w:rsidR="00231C7E" w:rsidRDefault="00231C7E" w:rsidP="00A27296">
      <w:pPr>
        <w:pStyle w:val="FootnoteText"/>
        <w:ind w:left="0" w:firstLine="0"/>
      </w:pPr>
      <w:r>
        <w:rPr>
          <w:rStyle w:val="FootnoteReference"/>
        </w:rPr>
        <w:footnoteRef/>
      </w:r>
      <w:r>
        <w:t xml:space="preserve"> </w:t>
      </w:r>
      <w:r>
        <w:tab/>
        <w:t>Appeal by SPI Electricity Pty Limited [2013] ACompT 7.</w:t>
      </w:r>
    </w:p>
  </w:footnote>
  <w:footnote w:id="100">
    <w:p w:rsidR="00231C7E" w:rsidRDefault="00231C7E" w:rsidP="00A27296">
      <w:pPr>
        <w:pStyle w:val="FootnoteText"/>
      </w:pPr>
      <w:r>
        <w:rPr>
          <w:rStyle w:val="FootnoteReference"/>
        </w:rPr>
        <w:footnoteRef/>
      </w:r>
      <w:r>
        <w:t xml:space="preserve"> </w:t>
      </w:r>
      <w:r>
        <w:tab/>
      </w:r>
      <w:proofErr w:type="gramStart"/>
      <w:r>
        <w:t>SPI Electricity Pty Ltd v Australian Energy Regulator [2014] FCA 1012.</w:t>
      </w:r>
      <w:proofErr w:type="gramEnd"/>
    </w:p>
  </w:footnote>
  <w:footnote w:id="101">
    <w:p w:rsidR="00231C7E" w:rsidRDefault="00231C7E" w:rsidP="00A27296">
      <w:pPr>
        <w:pStyle w:val="FootnoteText"/>
      </w:pPr>
      <w:r>
        <w:rPr>
          <w:rStyle w:val="FootnoteReference"/>
        </w:rPr>
        <w:footnoteRef/>
      </w:r>
      <w:r>
        <w:t xml:space="preserve"> </w:t>
      </w:r>
      <w:r>
        <w:tab/>
      </w:r>
      <w:proofErr w:type="gramStart"/>
      <w:r>
        <w:t xml:space="preserve">AusNet Services, </w:t>
      </w:r>
      <w:r w:rsidRPr="0071094E">
        <w:rPr>
          <w:rStyle w:val="AERtextitalic"/>
        </w:rPr>
        <w:t>Regulatory Proposal 2016–20,</w:t>
      </w:r>
      <w:r>
        <w:t xml:space="preserve"> </w:t>
      </w:r>
      <w:r w:rsidRPr="0071094E">
        <w:rPr>
          <w:rStyle w:val="AERtextitalic"/>
        </w:rPr>
        <w:t>Meter Asset Management Strategy (PUBLIC),</w:t>
      </w:r>
      <w:r>
        <w:t xml:space="preserve"> April 2015, Overview section, p. 6.</w:t>
      </w:r>
      <w:proofErr w:type="gramEnd"/>
      <w:r>
        <w:t xml:space="preserve"> </w:t>
      </w:r>
    </w:p>
  </w:footnote>
  <w:footnote w:id="102">
    <w:p w:rsidR="00231C7E" w:rsidRDefault="00231C7E" w:rsidP="00A27296">
      <w:pPr>
        <w:pStyle w:val="FootnoteText"/>
      </w:pPr>
      <w:r>
        <w:rPr>
          <w:rStyle w:val="FootnoteReference"/>
        </w:rPr>
        <w:footnoteRef/>
      </w:r>
      <w:r>
        <w:t xml:space="preserve"> </w:t>
      </w:r>
      <w:r>
        <w:tab/>
        <w:t xml:space="preserve">AusNet Services, </w:t>
      </w:r>
      <w:r w:rsidRPr="0071094E">
        <w:rPr>
          <w:rStyle w:val="AERtextitalic"/>
        </w:rPr>
        <w:t>Regulatory Proposal 2016–20,</w:t>
      </w:r>
      <w:r>
        <w:t xml:space="preserve"> </w:t>
      </w:r>
      <w:r w:rsidRPr="0071094E">
        <w:rPr>
          <w:rStyle w:val="AERtextitalic"/>
        </w:rPr>
        <w:t>Meter Asset Management Strategy (PUBLIC)</w:t>
      </w:r>
      <w:r>
        <w:t xml:space="preserve">, April 2015, </w:t>
      </w:r>
      <w:r w:rsidRPr="0007605C">
        <w:t>Part 2 Meter Communication Module</w:t>
      </w:r>
      <w:r>
        <w:t xml:space="preserve">. p.9, Table 1: </w:t>
      </w:r>
      <w:r w:rsidRPr="0007605C">
        <w:t>Installed Communications Module by Type (as at Jan 2015)</w:t>
      </w:r>
      <w:r>
        <w:t xml:space="preserve">. </w:t>
      </w:r>
    </w:p>
  </w:footnote>
  <w:footnote w:id="103">
    <w:p w:rsidR="00231C7E" w:rsidRDefault="00231C7E" w:rsidP="00A27296">
      <w:pPr>
        <w:pStyle w:val="FootnoteText"/>
      </w:pPr>
      <w:r>
        <w:rPr>
          <w:rStyle w:val="FootnoteReference"/>
        </w:rPr>
        <w:footnoteRef/>
      </w:r>
      <w:r>
        <w:t xml:space="preserve"> </w:t>
      </w:r>
      <w:r>
        <w:tab/>
      </w:r>
      <w:proofErr w:type="gramStart"/>
      <w:r>
        <w:t>NEL, s.</w:t>
      </w:r>
      <w:r w:rsidR="00091E5C">
        <w:t xml:space="preserve"> </w:t>
      </w:r>
      <w:r>
        <w:t>16.</w:t>
      </w:r>
      <w:proofErr w:type="gramEnd"/>
    </w:p>
  </w:footnote>
  <w:footnote w:id="104">
    <w:p w:rsidR="00231C7E" w:rsidRDefault="00231C7E" w:rsidP="00A27296">
      <w:pPr>
        <w:pStyle w:val="FootnoteText"/>
      </w:pPr>
      <w:r>
        <w:rPr>
          <w:rStyle w:val="FootnoteReference"/>
        </w:rPr>
        <w:footnoteRef/>
      </w:r>
      <w:r>
        <w:t xml:space="preserve"> </w:t>
      </w:r>
      <w:r>
        <w:tab/>
        <w:t xml:space="preserve">AER, </w:t>
      </w:r>
      <w:r w:rsidRPr="0071094E">
        <w:rPr>
          <w:rStyle w:val="AERtextitalic"/>
        </w:rPr>
        <w:t>2012–15 AMI SPI Electricity Pty Ltd Budget and Charges Determination - amendments pursuant to the Australian Competition Tribunal's Orders</w:t>
      </w:r>
      <w:r w:rsidRPr="0071094E">
        <w:t>,</w:t>
      </w:r>
      <w:r>
        <w:t xml:space="preserve"> February 2013, p. 21. </w:t>
      </w:r>
    </w:p>
  </w:footnote>
  <w:footnote w:id="105">
    <w:p w:rsidR="00231C7E" w:rsidRDefault="00231C7E" w:rsidP="00A27296">
      <w:pPr>
        <w:pStyle w:val="FootnoteText"/>
      </w:pPr>
      <w:r>
        <w:rPr>
          <w:rStyle w:val="FootnoteReference"/>
        </w:rPr>
        <w:footnoteRef/>
      </w:r>
      <w:r>
        <w:t xml:space="preserve"> </w:t>
      </w:r>
      <w:r>
        <w:tab/>
        <w:t xml:space="preserve">AER, </w:t>
      </w:r>
      <w:r w:rsidRPr="0071094E">
        <w:rPr>
          <w:rStyle w:val="AERtextitalic"/>
        </w:rPr>
        <w:t>2012–15 AMI SPI Electricity Pty Ltd Budget and Charges Determination - amendments pursuant to the Australian Competition Tribunal's Orders</w:t>
      </w:r>
      <w:r w:rsidRPr="0071094E">
        <w:t>,</w:t>
      </w:r>
      <w:r>
        <w:t xml:space="preserve"> February 2013, p. 93, Table 3.8.</w:t>
      </w:r>
    </w:p>
  </w:footnote>
  <w:footnote w:id="106">
    <w:p w:rsidR="00231C7E" w:rsidRDefault="00231C7E" w:rsidP="00A27296">
      <w:pPr>
        <w:pStyle w:val="FootnoteText"/>
      </w:pPr>
      <w:r>
        <w:rPr>
          <w:rStyle w:val="FootnoteReference"/>
        </w:rPr>
        <w:footnoteRef/>
      </w:r>
      <w:r>
        <w:t xml:space="preserve"> </w:t>
      </w:r>
      <w:r>
        <w:tab/>
        <w:t xml:space="preserve">AER, </w:t>
      </w:r>
      <w:r w:rsidRPr="0071094E">
        <w:rPr>
          <w:rStyle w:val="AERtextitalic"/>
        </w:rPr>
        <w:t>2012–15 AMI SPI Electricity Pty Ltd Budget and Charges Determination - amendments pursuant to the Australian Competition Tribunal's Orders</w:t>
      </w:r>
      <w:r w:rsidRPr="0071094E">
        <w:t>,</w:t>
      </w:r>
      <w:r>
        <w:t xml:space="preserve"> February 2013, p. 93, Table 3.8.</w:t>
      </w:r>
    </w:p>
  </w:footnote>
  <w:footnote w:id="107">
    <w:p w:rsidR="00231C7E" w:rsidRDefault="00231C7E" w:rsidP="00A27296">
      <w:pPr>
        <w:pStyle w:val="FootnoteText"/>
      </w:pPr>
      <w:r>
        <w:rPr>
          <w:rStyle w:val="FootnoteReference"/>
        </w:rPr>
        <w:footnoteRef/>
      </w:r>
      <w:r>
        <w:t xml:space="preserve"> </w:t>
      </w:r>
      <w:r>
        <w:tab/>
        <w:t xml:space="preserve">AER, </w:t>
      </w:r>
      <w:r w:rsidRPr="0071094E">
        <w:rPr>
          <w:rStyle w:val="AERtextitalic"/>
        </w:rPr>
        <w:t>2012–15 AMI SPI Electricity Pty Ltd Budget and Charges Determination - amendments pursuant to the Australian Competition Tribunal's Orders</w:t>
      </w:r>
      <w:r w:rsidRPr="0071094E">
        <w:t>,</w:t>
      </w:r>
      <w:r>
        <w:t xml:space="preserve"> February 2013, p. </w:t>
      </w:r>
      <w:proofErr w:type="gramStart"/>
      <w:r>
        <w:t>vi</w:t>
      </w:r>
      <w:proofErr w:type="gramEnd"/>
      <w:r>
        <w:t>.</w:t>
      </w:r>
    </w:p>
  </w:footnote>
  <w:footnote w:id="108">
    <w:p w:rsidR="00231C7E" w:rsidRDefault="00231C7E" w:rsidP="00A27296">
      <w:pPr>
        <w:pStyle w:val="FootnoteText"/>
      </w:pPr>
      <w:r>
        <w:rPr>
          <w:rStyle w:val="FootnoteReference"/>
        </w:rPr>
        <w:footnoteRef/>
      </w:r>
      <w:r>
        <w:t xml:space="preserve"> </w:t>
      </w:r>
      <w:r>
        <w:tab/>
        <w:t xml:space="preserve">AER, </w:t>
      </w:r>
      <w:r w:rsidRPr="0071094E">
        <w:rPr>
          <w:rStyle w:val="AERtextitalic"/>
        </w:rPr>
        <w:t>2012–15 AMI SPI Electricity Pty Ltd Budget and Charges Determination - amendments pursuant to the Australian Competition Tribunal's Orders</w:t>
      </w:r>
      <w:r w:rsidRPr="0071094E">
        <w:t>,</w:t>
      </w:r>
      <w:r>
        <w:t xml:space="preserve"> February 2013, p. vii; Appeal by SPI Electricity Pty Limited [2013] ACompT 7, [157] and [174].</w:t>
      </w:r>
    </w:p>
  </w:footnote>
  <w:footnote w:id="109">
    <w:p w:rsidR="00231C7E" w:rsidRDefault="00231C7E" w:rsidP="00A27296">
      <w:pPr>
        <w:pStyle w:val="FootnoteText"/>
      </w:pPr>
      <w:r>
        <w:rPr>
          <w:rStyle w:val="FootnoteReference"/>
        </w:rPr>
        <w:footnoteRef/>
      </w:r>
      <w:r>
        <w:t xml:space="preserve"> </w:t>
      </w:r>
      <w:r>
        <w:tab/>
      </w:r>
      <w:r w:rsidRPr="0009620E">
        <w:t>Consum</w:t>
      </w:r>
      <w:r>
        <w:t>er Challenge Panel Sub Panel 3</w:t>
      </w:r>
      <w:r w:rsidRPr="0071094E">
        <w:rPr>
          <w:rStyle w:val="AERtextitalic"/>
        </w:rPr>
        <w:t xml:space="preserve">, </w:t>
      </w:r>
      <w:r w:rsidRPr="005C2406">
        <w:rPr>
          <w:rStyle w:val="AERtextitalic"/>
        </w:rPr>
        <w:t>CCP3 Supplementary advice regard</w:t>
      </w:r>
      <w:r>
        <w:rPr>
          <w:rStyle w:val="AERtextitalic"/>
        </w:rPr>
        <w:t xml:space="preserve">ing the AusNet Services proposal, </w:t>
      </w:r>
      <w:r>
        <w:t>[email], received 23 October 2015.</w:t>
      </w:r>
    </w:p>
  </w:footnote>
  <w:footnote w:id="110">
    <w:p w:rsidR="00231C7E" w:rsidRDefault="00231C7E" w:rsidP="00A27296">
      <w:pPr>
        <w:pStyle w:val="FootnoteText"/>
      </w:pPr>
      <w:r>
        <w:rPr>
          <w:rStyle w:val="FootnoteReference"/>
        </w:rPr>
        <w:footnoteRef/>
      </w:r>
      <w:r>
        <w:t xml:space="preserve"> </w:t>
      </w:r>
      <w:r>
        <w:tab/>
        <w:t xml:space="preserve">The AER determined the commercial standard in accordance with its task in clause </w:t>
      </w:r>
      <w:proofErr w:type="gramStart"/>
      <w:r>
        <w:t>5C.3(</w:t>
      </w:r>
      <w:proofErr w:type="gramEnd"/>
      <w:r>
        <w:t>b)(vi) of the Victorian Cost Recovery Order In Council to be "the commercial standard a reasonable business in SP AusNet's [AusNet Services'] circumstances would have exercised would have been to fully reconsider its Submitted Budget, and, in so doing, would have decided to switch to mesh radio." (</w:t>
      </w:r>
      <w:proofErr w:type="gramStart"/>
      <w:r>
        <w:t>see</w:t>
      </w:r>
      <w:proofErr w:type="gramEnd"/>
      <w:r>
        <w:t xml:space="preserve"> Amended 2012-15 Determination p. 17 and Appeal by SPI Electricity Pty Limited [2013] ACompt 7, [150]).</w:t>
      </w:r>
    </w:p>
  </w:footnote>
  <w:footnote w:id="111">
    <w:p w:rsidR="00231C7E" w:rsidRDefault="00231C7E" w:rsidP="00A27296">
      <w:pPr>
        <w:pStyle w:val="FootnoteText"/>
      </w:pPr>
      <w:r>
        <w:rPr>
          <w:rStyle w:val="FootnoteReference"/>
        </w:rPr>
        <w:footnoteRef/>
      </w:r>
      <w:r>
        <w:t xml:space="preserve"> </w:t>
      </w:r>
      <w:r>
        <w:tab/>
        <w:t xml:space="preserve">AER, </w:t>
      </w:r>
      <w:r>
        <w:rPr>
          <w:rStyle w:val="AERtextitalic"/>
        </w:rPr>
        <w:t>2012–15 AMI</w:t>
      </w:r>
      <w:r w:rsidRPr="00033920">
        <w:rPr>
          <w:rStyle w:val="AERtextitalic"/>
        </w:rPr>
        <w:t xml:space="preserve"> SPI Electricity Pty Ltd Budget and Charges Determination</w:t>
      </w:r>
      <w:r>
        <w:rPr>
          <w:rStyle w:val="AERtextitalic"/>
        </w:rPr>
        <w:t xml:space="preserve"> - amendments pursuant to the Australian Competition Tribunal's Orders</w:t>
      </w:r>
      <w:r>
        <w:t xml:space="preserve">, February 2013, p. vii. </w:t>
      </w:r>
    </w:p>
  </w:footnote>
  <w:footnote w:id="112">
    <w:p w:rsidR="00231C7E" w:rsidRDefault="00231C7E" w:rsidP="00A27296">
      <w:pPr>
        <w:pStyle w:val="FootnoteText"/>
      </w:pPr>
      <w:r>
        <w:rPr>
          <w:rStyle w:val="FootnoteReference"/>
        </w:rPr>
        <w:footnoteRef/>
      </w:r>
      <w:r>
        <w:t xml:space="preserve"> </w:t>
      </w:r>
      <w:r>
        <w:tab/>
        <w:t xml:space="preserve">AER, </w:t>
      </w:r>
      <w:r>
        <w:rPr>
          <w:rStyle w:val="AERtextitalic"/>
        </w:rPr>
        <w:t>2012–15 AMI</w:t>
      </w:r>
      <w:r w:rsidRPr="00033920">
        <w:rPr>
          <w:rStyle w:val="AERtextitalic"/>
        </w:rPr>
        <w:t xml:space="preserve"> SPI Electricity Pty Ltd Budget and Charges Determination</w:t>
      </w:r>
      <w:r>
        <w:rPr>
          <w:rStyle w:val="AERtextitalic"/>
        </w:rPr>
        <w:t xml:space="preserve"> - amendments pursuant to the Australian Competition Tribunal's Orders</w:t>
      </w:r>
      <w:r>
        <w:t xml:space="preserve">, February 2013, p. vii. </w:t>
      </w:r>
    </w:p>
  </w:footnote>
  <w:footnote w:id="113">
    <w:p w:rsidR="00231C7E" w:rsidRDefault="00231C7E" w:rsidP="00A27296">
      <w:pPr>
        <w:pStyle w:val="FootnoteText"/>
      </w:pPr>
      <w:r>
        <w:rPr>
          <w:rStyle w:val="FootnoteReference"/>
        </w:rPr>
        <w:footnoteRef/>
      </w:r>
      <w:r>
        <w:t xml:space="preserve"> </w:t>
      </w:r>
      <w:r>
        <w:tab/>
        <w:t xml:space="preserve">AusNet Services, </w:t>
      </w:r>
      <w:r w:rsidRPr="003A08AB">
        <w:rPr>
          <w:rStyle w:val="AERtextitalic"/>
        </w:rPr>
        <w:t>Regulatory Proposal 2016–20, Meter Asset Management Strategy (Public),</w:t>
      </w:r>
      <w:r>
        <w:t xml:space="preserve"> April 2015, Overview section, p. 7.</w:t>
      </w:r>
    </w:p>
  </w:footnote>
  <w:footnote w:id="114">
    <w:p w:rsidR="00231C7E" w:rsidRDefault="00231C7E" w:rsidP="00A27296">
      <w:pPr>
        <w:pStyle w:val="FootnoteText"/>
      </w:pPr>
      <w:r>
        <w:rPr>
          <w:rStyle w:val="FootnoteReference"/>
        </w:rPr>
        <w:footnoteRef/>
      </w:r>
      <w:r>
        <w:t xml:space="preserve"> </w:t>
      </w:r>
      <w:r>
        <w:tab/>
      </w:r>
      <w:r>
        <w:rPr>
          <w:rStyle w:val="AERtextitalic"/>
        </w:rPr>
        <w:t>2012–15 AMI</w:t>
      </w:r>
      <w:r w:rsidRPr="00033920">
        <w:rPr>
          <w:rStyle w:val="AERtextitalic"/>
        </w:rPr>
        <w:t xml:space="preserve"> SPI Electricity Pty Ltd Budget and Charges Determination</w:t>
      </w:r>
      <w:r>
        <w:rPr>
          <w:rStyle w:val="AERtextitalic"/>
        </w:rPr>
        <w:t xml:space="preserve"> - amendments pursuant to the Australian Competition Tribunal's Orders</w:t>
      </w:r>
      <w:r>
        <w:t>, February 2013, pp. 66</w:t>
      </w:r>
      <w:r>
        <w:noBreakHyphen/>
        <w:t>67.</w:t>
      </w:r>
      <w:r w:rsidRPr="00ED5D6B">
        <w:t xml:space="preserve"> </w:t>
      </w:r>
      <w:r>
        <w:t xml:space="preserve"> </w:t>
      </w:r>
    </w:p>
  </w:footnote>
  <w:footnote w:id="115">
    <w:p w:rsidR="00231C7E" w:rsidRDefault="00231C7E" w:rsidP="00FB54C5">
      <w:pPr>
        <w:pStyle w:val="FootnoteText"/>
      </w:pPr>
      <w:r>
        <w:rPr>
          <w:rStyle w:val="FootnoteReference"/>
        </w:rPr>
        <w:footnoteRef/>
      </w:r>
      <w:r>
        <w:t xml:space="preserve"> </w:t>
      </w:r>
      <w:r>
        <w:tab/>
      </w:r>
      <w:r w:rsidRPr="000B5248">
        <w:t>For clarity, two WACC adjustments are applied: one for a year of interest between year t–2 and year t–1; and a second for a year of interest between year t–1 and year t</w:t>
      </w:r>
      <w:r>
        <w:t>. The WACC for each year will be that approved by the AER for the respective year, such that rolling WACC's are applied.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C7E" w:rsidRDefault="00E40187">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231C7E">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C7E" w:rsidRDefault="00E40187">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A6F201E0"/>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4AE00148"/>
    <w:lvl w:ilvl="0">
      <w:start w:val="1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6D1921E9"/>
    <w:multiLevelType w:val="hybridMultilevel"/>
    <w:tmpl w:val="ED5EE3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6"/>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ausnet - prelim decision - attachment 17.docx"/>
  </w:docVars>
  <w:rsids>
    <w:rsidRoot w:val="00961A4A"/>
    <w:rsid w:val="00005C97"/>
    <w:rsid w:val="0000698D"/>
    <w:rsid w:val="00010286"/>
    <w:rsid w:val="00021202"/>
    <w:rsid w:val="00021C2B"/>
    <w:rsid w:val="000248CC"/>
    <w:rsid w:val="0002517F"/>
    <w:rsid w:val="00026495"/>
    <w:rsid w:val="00031AEE"/>
    <w:rsid w:val="0003578C"/>
    <w:rsid w:val="000401AF"/>
    <w:rsid w:val="00046E18"/>
    <w:rsid w:val="000517A1"/>
    <w:rsid w:val="00063247"/>
    <w:rsid w:val="00066B36"/>
    <w:rsid w:val="00070F9F"/>
    <w:rsid w:val="0007137B"/>
    <w:rsid w:val="00080736"/>
    <w:rsid w:val="00085663"/>
    <w:rsid w:val="00085EBF"/>
    <w:rsid w:val="00091B15"/>
    <w:rsid w:val="00091E5C"/>
    <w:rsid w:val="00095606"/>
    <w:rsid w:val="000A2A64"/>
    <w:rsid w:val="000A3020"/>
    <w:rsid w:val="000A6C7B"/>
    <w:rsid w:val="000B3D72"/>
    <w:rsid w:val="000C2B40"/>
    <w:rsid w:val="000C65C4"/>
    <w:rsid w:val="000D06C1"/>
    <w:rsid w:val="000D122C"/>
    <w:rsid w:val="000D3016"/>
    <w:rsid w:val="000D6212"/>
    <w:rsid w:val="000E1819"/>
    <w:rsid w:val="000E46A4"/>
    <w:rsid w:val="000E4821"/>
    <w:rsid w:val="000E6C72"/>
    <w:rsid w:val="000F0B2B"/>
    <w:rsid w:val="000F31DA"/>
    <w:rsid w:val="000F3E72"/>
    <w:rsid w:val="000F48B1"/>
    <w:rsid w:val="000F7744"/>
    <w:rsid w:val="00116EB2"/>
    <w:rsid w:val="00124609"/>
    <w:rsid w:val="00126542"/>
    <w:rsid w:val="00126A4C"/>
    <w:rsid w:val="00137B15"/>
    <w:rsid w:val="00142AB6"/>
    <w:rsid w:val="0014573B"/>
    <w:rsid w:val="00155194"/>
    <w:rsid w:val="00156B87"/>
    <w:rsid w:val="001573E4"/>
    <w:rsid w:val="00160756"/>
    <w:rsid w:val="00160B1D"/>
    <w:rsid w:val="00162FFC"/>
    <w:rsid w:val="00164ED8"/>
    <w:rsid w:val="00165462"/>
    <w:rsid w:val="00170512"/>
    <w:rsid w:val="0017232E"/>
    <w:rsid w:val="00174102"/>
    <w:rsid w:val="001754EE"/>
    <w:rsid w:val="00180157"/>
    <w:rsid w:val="00183335"/>
    <w:rsid w:val="0018434E"/>
    <w:rsid w:val="00184699"/>
    <w:rsid w:val="00185CB9"/>
    <w:rsid w:val="00186F77"/>
    <w:rsid w:val="001926A4"/>
    <w:rsid w:val="00192AD5"/>
    <w:rsid w:val="00196E00"/>
    <w:rsid w:val="00197586"/>
    <w:rsid w:val="001A5FB9"/>
    <w:rsid w:val="001A752E"/>
    <w:rsid w:val="001B45A0"/>
    <w:rsid w:val="001B7AB7"/>
    <w:rsid w:val="001B7D00"/>
    <w:rsid w:val="001C4D2E"/>
    <w:rsid w:val="001C64DB"/>
    <w:rsid w:val="001C6565"/>
    <w:rsid w:val="001D055E"/>
    <w:rsid w:val="001E41D4"/>
    <w:rsid w:val="001E50FA"/>
    <w:rsid w:val="001E5B28"/>
    <w:rsid w:val="001F05A4"/>
    <w:rsid w:val="001F492E"/>
    <w:rsid w:val="001F67F2"/>
    <w:rsid w:val="001F6DA3"/>
    <w:rsid w:val="002010BC"/>
    <w:rsid w:val="002016E7"/>
    <w:rsid w:val="00201F98"/>
    <w:rsid w:val="00202D11"/>
    <w:rsid w:val="00202E03"/>
    <w:rsid w:val="0020478D"/>
    <w:rsid w:val="0020492C"/>
    <w:rsid w:val="00204BC7"/>
    <w:rsid w:val="00224DB9"/>
    <w:rsid w:val="00227DCE"/>
    <w:rsid w:val="00231C7E"/>
    <w:rsid w:val="0023276C"/>
    <w:rsid w:val="00233775"/>
    <w:rsid w:val="00237E2E"/>
    <w:rsid w:val="00251745"/>
    <w:rsid w:val="00263AC0"/>
    <w:rsid w:val="00264264"/>
    <w:rsid w:val="0026470B"/>
    <w:rsid w:val="0026772D"/>
    <w:rsid w:val="00270EBC"/>
    <w:rsid w:val="00274D98"/>
    <w:rsid w:val="00276491"/>
    <w:rsid w:val="00283227"/>
    <w:rsid w:val="002851FF"/>
    <w:rsid w:val="002859E1"/>
    <w:rsid w:val="00285C6B"/>
    <w:rsid w:val="00286874"/>
    <w:rsid w:val="00290C63"/>
    <w:rsid w:val="002936F2"/>
    <w:rsid w:val="00296B65"/>
    <w:rsid w:val="002A46ED"/>
    <w:rsid w:val="002A6664"/>
    <w:rsid w:val="002A7DEF"/>
    <w:rsid w:val="002B1003"/>
    <w:rsid w:val="002C0BA8"/>
    <w:rsid w:val="002C233C"/>
    <w:rsid w:val="002C5123"/>
    <w:rsid w:val="002C5243"/>
    <w:rsid w:val="002D5673"/>
    <w:rsid w:val="002D72E8"/>
    <w:rsid w:val="002E0E5A"/>
    <w:rsid w:val="002E7B22"/>
    <w:rsid w:val="002F183A"/>
    <w:rsid w:val="002F3489"/>
    <w:rsid w:val="002F45AB"/>
    <w:rsid w:val="002F7986"/>
    <w:rsid w:val="00301B40"/>
    <w:rsid w:val="003029EE"/>
    <w:rsid w:val="0030370B"/>
    <w:rsid w:val="0030395C"/>
    <w:rsid w:val="00305030"/>
    <w:rsid w:val="00305CC8"/>
    <w:rsid w:val="00307F6D"/>
    <w:rsid w:val="003177A2"/>
    <w:rsid w:val="003271B5"/>
    <w:rsid w:val="00327A1E"/>
    <w:rsid w:val="00331264"/>
    <w:rsid w:val="0033284E"/>
    <w:rsid w:val="00334C8D"/>
    <w:rsid w:val="00343A18"/>
    <w:rsid w:val="00344473"/>
    <w:rsid w:val="0035131B"/>
    <w:rsid w:val="003518B3"/>
    <w:rsid w:val="00354CAA"/>
    <w:rsid w:val="003707C9"/>
    <w:rsid w:val="00381D6B"/>
    <w:rsid w:val="003846F1"/>
    <w:rsid w:val="00385667"/>
    <w:rsid w:val="00390677"/>
    <w:rsid w:val="00395374"/>
    <w:rsid w:val="003A045E"/>
    <w:rsid w:val="003A47D2"/>
    <w:rsid w:val="003A6F80"/>
    <w:rsid w:val="003B18CD"/>
    <w:rsid w:val="003B484F"/>
    <w:rsid w:val="003B64A1"/>
    <w:rsid w:val="003B7354"/>
    <w:rsid w:val="003B7FBA"/>
    <w:rsid w:val="003C6B7A"/>
    <w:rsid w:val="003E67D9"/>
    <w:rsid w:val="003F174D"/>
    <w:rsid w:val="003F7442"/>
    <w:rsid w:val="0040156D"/>
    <w:rsid w:val="0041350C"/>
    <w:rsid w:val="00415F31"/>
    <w:rsid w:val="0042069C"/>
    <w:rsid w:val="0042282C"/>
    <w:rsid w:val="00423A77"/>
    <w:rsid w:val="0043097E"/>
    <w:rsid w:val="0043728F"/>
    <w:rsid w:val="0044257A"/>
    <w:rsid w:val="0045217E"/>
    <w:rsid w:val="0045777E"/>
    <w:rsid w:val="00467CC7"/>
    <w:rsid w:val="00474EC7"/>
    <w:rsid w:val="00480B4B"/>
    <w:rsid w:val="00482FC3"/>
    <w:rsid w:val="00485B76"/>
    <w:rsid w:val="00485DC4"/>
    <w:rsid w:val="00490CCE"/>
    <w:rsid w:val="004A43D1"/>
    <w:rsid w:val="004A5B62"/>
    <w:rsid w:val="004B2583"/>
    <w:rsid w:val="004B4412"/>
    <w:rsid w:val="004C348C"/>
    <w:rsid w:val="004D55BA"/>
    <w:rsid w:val="004E22EC"/>
    <w:rsid w:val="004F6A0E"/>
    <w:rsid w:val="00502BA9"/>
    <w:rsid w:val="0050704B"/>
    <w:rsid w:val="00514F94"/>
    <w:rsid w:val="00514FEE"/>
    <w:rsid w:val="0052316E"/>
    <w:rsid w:val="00530128"/>
    <w:rsid w:val="00532467"/>
    <w:rsid w:val="00537FD6"/>
    <w:rsid w:val="00541312"/>
    <w:rsid w:val="00556F14"/>
    <w:rsid w:val="00564A4D"/>
    <w:rsid w:val="0056588A"/>
    <w:rsid w:val="00567BA5"/>
    <w:rsid w:val="00571B35"/>
    <w:rsid w:val="00571D57"/>
    <w:rsid w:val="00577A09"/>
    <w:rsid w:val="005829C2"/>
    <w:rsid w:val="00584D8F"/>
    <w:rsid w:val="00586819"/>
    <w:rsid w:val="00590C71"/>
    <w:rsid w:val="005952A4"/>
    <w:rsid w:val="0059704C"/>
    <w:rsid w:val="00597B3C"/>
    <w:rsid w:val="005A3870"/>
    <w:rsid w:val="005A404D"/>
    <w:rsid w:val="005A6DA2"/>
    <w:rsid w:val="005B1E3C"/>
    <w:rsid w:val="005B704A"/>
    <w:rsid w:val="005C0A7F"/>
    <w:rsid w:val="005C2406"/>
    <w:rsid w:val="005C26CC"/>
    <w:rsid w:val="005C4C9C"/>
    <w:rsid w:val="005C6C53"/>
    <w:rsid w:val="005D7BA2"/>
    <w:rsid w:val="005E11E4"/>
    <w:rsid w:val="005E28F8"/>
    <w:rsid w:val="005E36C2"/>
    <w:rsid w:val="005E5049"/>
    <w:rsid w:val="005E6AE7"/>
    <w:rsid w:val="005F4EB2"/>
    <w:rsid w:val="006007DE"/>
    <w:rsid w:val="00601046"/>
    <w:rsid w:val="00601638"/>
    <w:rsid w:val="00610EF9"/>
    <w:rsid w:val="00612F4F"/>
    <w:rsid w:val="00615C6B"/>
    <w:rsid w:val="00621DCE"/>
    <w:rsid w:val="006223F3"/>
    <w:rsid w:val="00623426"/>
    <w:rsid w:val="00632D6D"/>
    <w:rsid w:val="00642C3E"/>
    <w:rsid w:val="00645656"/>
    <w:rsid w:val="00651C3A"/>
    <w:rsid w:val="00651CB2"/>
    <w:rsid w:val="00653161"/>
    <w:rsid w:val="00653F6E"/>
    <w:rsid w:val="006560CA"/>
    <w:rsid w:val="0066104A"/>
    <w:rsid w:val="00663DAD"/>
    <w:rsid w:val="00665649"/>
    <w:rsid w:val="0066691E"/>
    <w:rsid w:val="006718C6"/>
    <w:rsid w:val="00675E20"/>
    <w:rsid w:val="00676679"/>
    <w:rsid w:val="00676A56"/>
    <w:rsid w:val="00683C89"/>
    <w:rsid w:val="0069115C"/>
    <w:rsid w:val="00691D9A"/>
    <w:rsid w:val="006A3E89"/>
    <w:rsid w:val="006A670B"/>
    <w:rsid w:val="006B02BB"/>
    <w:rsid w:val="006B2395"/>
    <w:rsid w:val="006B4CF9"/>
    <w:rsid w:val="006B74EE"/>
    <w:rsid w:val="006B785B"/>
    <w:rsid w:val="006B7AC8"/>
    <w:rsid w:val="006C1736"/>
    <w:rsid w:val="006C4798"/>
    <w:rsid w:val="006D2871"/>
    <w:rsid w:val="006D550F"/>
    <w:rsid w:val="006E5C22"/>
    <w:rsid w:val="006F2A9C"/>
    <w:rsid w:val="006F35D8"/>
    <w:rsid w:val="006F3AD1"/>
    <w:rsid w:val="006F3FC8"/>
    <w:rsid w:val="006F6750"/>
    <w:rsid w:val="0070011E"/>
    <w:rsid w:val="007003AE"/>
    <w:rsid w:val="00701CAB"/>
    <w:rsid w:val="00707563"/>
    <w:rsid w:val="00712B84"/>
    <w:rsid w:val="0072348C"/>
    <w:rsid w:val="00724A37"/>
    <w:rsid w:val="007303C3"/>
    <w:rsid w:val="00733616"/>
    <w:rsid w:val="00741705"/>
    <w:rsid w:val="00741E23"/>
    <w:rsid w:val="007429BE"/>
    <w:rsid w:val="00743223"/>
    <w:rsid w:val="00746E01"/>
    <w:rsid w:val="00747EEA"/>
    <w:rsid w:val="00757364"/>
    <w:rsid w:val="00757BDF"/>
    <w:rsid w:val="007609D0"/>
    <w:rsid w:val="00762830"/>
    <w:rsid w:val="00763E5D"/>
    <w:rsid w:val="007653A5"/>
    <w:rsid w:val="00766784"/>
    <w:rsid w:val="00767740"/>
    <w:rsid w:val="00777EE6"/>
    <w:rsid w:val="007816E3"/>
    <w:rsid w:val="00782242"/>
    <w:rsid w:val="00782B8C"/>
    <w:rsid w:val="00782EEA"/>
    <w:rsid w:val="00796429"/>
    <w:rsid w:val="007A3962"/>
    <w:rsid w:val="007A4B62"/>
    <w:rsid w:val="007B186E"/>
    <w:rsid w:val="007B2C72"/>
    <w:rsid w:val="007C1C53"/>
    <w:rsid w:val="007C6E22"/>
    <w:rsid w:val="007C74BB"/>
    <w:rsid w:val="007D456E"/>
    <w:rsid w:val="007D5C23"/>
    <w:rsid w:val="007E33E2"/>
    <w:rsid w:val="007E4904"/>
    <w:rsid w:val="007E4CB5"/>
    <w:rsid w:val="007F066B"/>
    <w:rsid w:val="007F108B"/>
    <w:rsid w:val="007F213A"/>
    <w:rsid w:val="007F75C4"/>
    <w:rsid w:val="00802792"/>
    <w:rsid w:val="008033C4"/>
    <w:rsid w:val="00806C88"/>
    <w:rsid w:val="0081034E"/>
    <w:rsid w:val="008221F2"/>
    <w:rsid w:val="00825663"/>
    <w:rsid w:val="00825985"/>
    <w:rsid w:val="00832FC2"/>
    <w:rsid w:val="008344F6"/>
    <w:rsid w:val="0083477B"/>
    <w:rsid w:val="0083510F"/>
    <w:rsid w:val="008408C5"/>
    <w:rsid w:val="00840BA0"/>
    <w:rsid w:val="00843EB6"/>
    <w:rsid w:val="00845049"/>
    <w:rsid w:val="00851209"/>
    <w:rsid w:val="008516EC"/>
    <w:rsid w:val="00854B7F"/>
    <w:rsid w:val="00856A68"/>
    <w:rsid w:val="00856A6D"/>
    <w:rsid w:val="00856FA1"/>
    <w:rsid w:val="0085722A"/>
    <w:rsid w:val="008757A6"/>
    <w:rsid w:val="00876BE0"/>
    <w:rsid w:val="00876FF2"/>
    <w:rsid w:val="008837AC"/>
    <w:rsid w:val="00894019"/>
    <w:rsid w:val="008A587D"/>
    <w:rsid w:val="008A5A18"/>
    <w:rsid w:val="008B2E8B"/>
    <w:rsid w:val="008B35CD"/>
    <w:rsid w:val="008B5FCC"/>
    <w:rsid w:val="008B7544"/>
    <w:rsid w:val="008C2EEA"/>
    <w:rsid w:val="008C3374"/>
    <w:rsid w:val="008C5486"/>
    <w:rsid w:val="008C708B"/>
    <w:rsid w:val="008D0BC9"/>
    <w:rsid w:val="008D1661"/>
    <w:rsid w:val="008D49B4"/>
    <w:rsid w:val="008D576F"/>
    <w:rsid w:val="008D6800"/>
    <w:rsid w:val="008E7031"/>
    <w:rsid w:val="008E77DE"/>
    <w:rsid w:val="008F07A3"/>
    <w:rsid w:val="008F34DD"/>
    <w:rsid w:val="009001B6"/>
    <w:rsid w:val="00900E1B"/>
    <w:rsid w:val="00901C3C"/>
    <w:rsid w:val="00902495"/>
    <w:rsid w:val="009041D2"/>
    <w:rsid w:val="00905EF8"/>
    <w:rsid w:val="00906911"/>
    <w:rsid w:val="00914D18"/>
    <w:rsid w:val="00920D54"/>
    <w:rsid w:val="009233EE"/>
    <w:rsid w:val="00925F8E"/>
    <w:rsid w:val="009272AD"/>
    <w:rsid w:val="009277DC"/>
    <w:rsid w:val="009353F2"/>
    <w:rsid w:val="009403E7"/>
    <w:rsid w:val="009460AA"/>
    <w:rsid w:val="00951978"/>
    <w:rsid w:val="00951C45"/>
    <w:rsid w:val="00961A4A"/>
    <w:rsid w:val="00962095"/>
    <w:rsid w:val="009661DE"/>
    <w:rsid w:val="00971483"/>
    <w:rsid w:val="00983C25"/>
    <w:rsid w:val="009856B7"/>
    <w:rsid w:val="00985C86"/>
    <w:rsid w:val="009869F8"/>
    <w:rsid w:val="00997D52"/>
    <w:rsid w:val="009A0A6A"/>
    <w:rsid w:val="009A4F7B"/>
    <w:rsid w:val="009A5113"/>
    <w:rsid w:val="009A5FC3"/>
    <w:rsid w:val="009A6A41"/>
    <w:rsid w:val="009B6F84"/>
    <w:rsid w:val="009B74B0"/>
    <w:rsid w:val="009D0199"/>
    <w:rsid w:val="009D1215"/>
    <w:rsid w:val="009D2762"/>
    <w:rsid w:val="009D3906"/>
    <w:rsid w:val="009D60E4"/>
    <w:rsid w:val="009D6B46"/>
    <w:rsid w:val="009E0EFD"/>
    <w:rsid w:val="009E6C34"/>
    <w:rsid w:val="009F3BEA"/>
    <w:rsid w:val="009F4940"/>
    <w:rsid w:val="009F538C"/>
    <w:rsid w:val="009F5BA1"/>
    <w:rsid w:val="009F6DC8"/>
    <w:rsid w:val="00A02A88"/>
    <w:rsid w:val="00A03B76"/>
    <w:rsid w:val="00A0562E"/>
    <w:rsid w:val="00A0726D"/>
    <w:rsid w:val="00A11ED7"/>
    <w:rsid w:val="00A214AD"/>
    <w:rsid w:val="00A27296"/>
    <w:rsid w:val="00A32FBB"/>
    <w:rsid w:val="00A428EE"/>
    <w:rsid w:val="00A4478A"/>
    <w:rsid w:val="00A44852"/>
    <w:rsid w:val="00A4650A"/>
    <w:rsid w:val="00A50502"/>
    <w:rsid w:val="00A56E3B"/>
    <w:rsid w:val="00A57D04"/>
    <w:rsid w:val="00A60A26"/>
    <w:rsid w:val="00A61598"/>
    <w:rsid w:val="00A77CA1"/>
    <w:rsid w:val="00A84A99"/>
    <w:rsid w:val="00A84F46"/>
    <w:rsid w:val="00A871F4"/>
    <w:rsid w:val="00A937DD"/>
    <w:rsid w:val="00AA1F92"/>
    <w:rsid w:val="00AA41E6"/>
    <w:rsid w:val="00AA531F"/>
    <w:rsid w:val="00AB205D"/>
    <w:rsid w:val="00AC1B2C"/>
    <w:rsid w:val="00AC3264"/>
    <w:rsid w:val="00AC5C4B"/>
    <w:rsid w:val="00AD66D8"/>
    <w:rsid w:val="00AE1BF1"/>
    <w:rsid w:val="00AF06F2"/>
    <w:rsid w:val="00AF0DD2"/>
    <w:rsid w:val="00AF3BA5"/>
    <w:rsid w:val="00B0209D"/>
    <w:rsid w:val="00B03EFE"/>
    <w:rsid w:val="00B07CEA"/>
    <w:rsid w:val="00B12F18"/>
    <w:rsid w:val="00B13048"/>
    <w:rsid w:val="00B1716D"/>
    <w:rsid w:val="00B17A1D"/>
    <w:rsid w:val="00B20382"/>
    <w:rsid w:val="00B207A0"/>
    <w:rsid w:val="00B4027A"/>
    <w:rsid w:val="00B514DD"/>
    <w:rsid w:val="00B52AF0"/>
    <w:rsid w:val="00B561BD"/>
    <w:rsid w:val="00B562A4"/>
    <w:rsid w:val="00B56944"/>
    <w:rsid w:val="00B56E03"/>
    <w:rsid w:val="00B62A9D"/>
    <w:rsid w:val="00B70B18"/>
    <w:rsid w:val="00B72AD7"/>
    <w:rsid w:val="00B757A6"/>
    <w:rsid w:val="00B8080B"/>
    <w:rsid w:val="00B80AEE"/>
    <w:rsid w:val="00B82223"/>
    <w:rsid w:val="00B87BA5"/>
    <w:rsid w:val="00B87C20"/>
    <w:rsid w:val="00B87C39"/>
    <w:rsid w:val="00B9362D"/>
    <w:rsid w:val="00B93B0E"/>
    <w:rsid w:val="00B9562D"/>
    <w:rsid w:val="00BA4665"/>
    <w:rsid w:val="00BB2FB2"/>
    <w:rsid w:val="00BB3304"/>
    <w:rsid w:val="00BB482A"/>
    <w:rsid w:val="00BB7528"/>
    <w:rsid w:val="00BD310B"/>
    <w:rsid w:val="00BD3446"/>
    <w:rsid w:val="00BE1F1B"/>
    <w:rsid w:val="00BE334F"/>
    <w:rsid w:val="00BE47B5"/>
    <w:rsid w:val="00BE65D4"/>
    <w:rsid w:val="00BE76E6"/>
    <w:rsid w:val="00BF62B8"/>
    <w:rsid w:val="00C022E7"/>
    <w:rsid w:val="00C04223"/>
    <w:rsid w:val="00C1399C"/>
    <w:rsid w:val="00C17FA3"/>
    <w:rsid w:val="00C20A4E"/>
    <w:rsid w:val="00C25FA6"/>
    <w:rsid w:val="00C32B71"/>
    <w:rsid w:val="00C52A8D"/>
    <w:rsid w:val="00C538A9"/>
    <w:rsid w:val="00C53B5A"/>
    <w:rsid w:val="00C54042"/>
    <w:rsid w:val="00C54F5A"/>
    <w:rsid w:val="00C569B4"/>
    <w:rsid w:val="00C56A3E"/>
    <w:rsid w:val="00C56F04"/>
    <w:rsid w:val="00C63262"/>
    <w:rsid w:val="00C63B29"/>
    <w:rsid w:val="00C67A92"/>
    <w:rsid w:val="00C7497E"/>
    <w:rsid w:val="00C84560"/>
    <w:rsid w:val="00C84824"/>
    <w:rsid w:val="00C86679"/>
    <w:rsid w:val="00C87DEA"/>
    <w:rsid w:val="00C94354"/>
    <w:rsid w:val="00CA489E"/>
    <w:rsid w:val="00CA52A2"/>
    <w:rsid w:val="00CB0279"/>
    <w:rsid w:val="00CB666B"/>
    <w:rsid w:val="00CB7112"/>
    <w:rsid w:val="00CC7F1D"/>
    <w:rsid w:val="00CD16F4"/>
    <w:rsid w:val="00CD5711"/>
    <w:rsid w:val="00CE484B"/>
    <w:rsid w:val="00CF0DEE"/>
    <w:rsid w:val="00D006AE"/>
    <w:rsid w:val="00D01896"/>
    <w:rsid w:val="00D01CF0"/>
    <w:rsid w:val="00D01EFD"/>
    <w:rsid w:val="00D0442A"/>
    <w:rsid w:val="00D11645"/>
    <w:rsid w:val="00D12A88"/>
    <w:rsid w:val="00D17683"/>
    <w:rsid w:val="00D22397"/>
    <w:rsid w:val="00D32877"/>
    <w:rsid w:val="00D33C4E"/>
    <w:rsid w:val="00D35873"/>
    <w:rsid w:val="00D362F3"/>
    <w:rsid w:val="00D45694"/>
    <w:rsid w:val="00D53A59"/>
    <w:rsid w:val="00D61388"/>
    <w:rsid w:val="00D61A54"/>
    <w:rsid w:val="00D64DEA"/>
    <w:rsid w:val="00D71555"/>
    <w:rsid w:val="00D7168E"/>
    <w:rsid w:val="00D71E57"/>
    <w:rsid w:val="00D72505"/>
    <w:rsid w:val="00D80893"/>
    <w:rsid w:val="00D84854"/>
    <w:rsid w:val="00D848B4"/>
    <w:rsid w:val="00D87DF8"/>
    <w:rsid w:val="00D92CF1"/>
    <w:rsid w:val="00D92D38"/>
    <w:rsid w:val="00D950F5"/>
    <w:rsid w:val="00D96361"/>
    <w:rsid w:val="00DA0423"/>
    <w:rsid w:val="00DA049C"/>
    <w:rsid w:val="00DA2F83"/>
    <w:rsid w:val="00DA4752"/>
    <w:rsid w:val="00DA61F3"/>
    <w:rsid w:val="00DA6B93"/>
    <w:rsid w:val="00DB0F93"/>
    <w:rsid w:val="00DB1A67"/>
    <w:rsid w:val="00DB5074"/>
    <w:rsid w:val="00DB5B21"/>
    <w:rsid w:val="00DC7981"/>
    <w:rsid w:val="00DE1093"/>
    <w:rsid w:val="00DE23C4"/>
    <w:rsid w:val="00DE2B40"/>
    <w:rsid w:val="00DE4EFA"/>
    <w:rsid w:val="00DE5520"/>
    <w:rsid w:val="00DE563D"/>
    <w:rsid w:val="00DE5E2E"/>
    <w:rsid w:val="00DE772C"/>
    <w:rsid w:val="00DE7B2B"/>
    <w:rsid w:val="00DF312A"/>
    <w:rsid w:val="00DF33B3"/>
    <w:rsid w:val="00E01798"/>
    <w:rsid w:val="00E04818"/>
    <w:rsid w:val="00E06442"/>
    <w:rsid w:val="00E06BCF"/>
    <w:rsid w:val="00E073CE"/>
    <w:rsid w:val="00E1001C"/>
    <w:rsid w:val="00E23993"/>
    <w:rsid w:val="00E2589C"/>
    <w:rsid w:val="00E25B8C"/>
    <w:rsid w:val="00E27CAB"/>
    <w:rsid w:val="00E31024"/>
    <w:rsid w:val="00E3375D"/>
    <w:rsid w:val="00E40187"/>
    <w:rsid w:val="00E51411"/>
    <w:rsid w:val="00E51D65"/>
    <w:rsid w:val="00E60945"/>
    <w:rsid w:val="00E6200B"/>
    <w:rsid w:val="00E62F6C"/>
    <w:rsid w:val="00E65C85"/>
    <w:rsid w:val="00E66199"/>
    <w:rsid w:val="00E667B6"/>
    <w:rsid w:val="00E711C7"/>
    <w:rsid w:val="00E74397"/>
    <w:rsid w:val="00E755EC"/>
    <w:rsid w:val="00E7595F"/>
    <w:rsid w:val="00E7624D"/>
    <w:rsid w:val="00E96FB3"/>
    <w:rsid w:val="00E97E34"/>
    <w:rsid w:val="00EA3D42"/>
    <w:rsid w:val="00EA6B1B"/>
    <w:rsid w:val="00EB5BC8"/>
    <w:rsid w:val="00EB606C"/>
    <w:rsid w:val="00EB750F"/>
    <w:rsid w:val="00EC04F1"/>
    <w:rsid w:val="00EC2011"/>
    <w:rsid w:val="00ED4850"/>
    <w:rsid w:val="00ED7323"/>
    <w:rsid w:val="00EE2417"/>
    <w:rsid w:val="00EE28F3"/>
    <w:rsid w:val="00EE50D1"/>
    <w:rsid w:val="00EF5110"/>
    <w:rsid w:val="00F0334E"/>
    <w:rsid w:val="00F100A3"/>
    <w:rsid w:val="00F10411"/>
    <w:rsid w:val="00F10ED5"/>
    <w:rsid w:val="00F15882"/>
    <w:rsid w:val="00F171E0"/>
    <w:rsid w:val="00F17713"/>
    <w:rsid w:val="00F20BD3"/>
    <w:rsid w:val="00F2184E"/>
    <w:rsid w:val="00F2526A"/>
    <w:rsid w:val="00F3541D"/>
    <w:rsid w:val="00F373A5"/>
    <w:rsid w:val="00F465BD"/>
    <w:rsid w:val="00F47559"/>
    <w:rsid w:val="00F50DAD"/>
    <w:rsid w:val="00F5481A"/>
    <w:rsid w:val="00F601EE"/>
    <w:rsid w:val="00F61176"/>
    <w:rsid w:val="00F6169C"/>
    <w:rsid w:val="00F64C7B"/>
    <w:rsid w:val="00F64DEC"/>
    <w:rsid w:val="00F65B25"/>
    <w:rsid w:val="00F670DA"/>
    <w:rsid w:val="00F676DD"/>
    <w:rsid w:val="00F67A14"/>
    <w:rsid w:val="00F71667"/>
    <w:rsid w:val="00F75A26"/>
    <w:rsid w:val="00F76706"/>
    <w:rsid w:val="00F768C8"/>
    <w:rsid w:val="00F77053"/>
    <w:rsid w:val="00F81B8D"/>
    <w:rsid w:val="00F83FAD"/>
    <w:rsid w:val="00F8653A"/>
    <w:rsid w:val="00F86F7F"/>
    <w:rsid w:val="00F92349"/>
    <w:rsid w:val="00F941B2"/>
    <w:rsid w:val="00F952A0"/>
    <w:rsid w:val="00FA11AB"/>
    <w:rsid w:val="00FA3C7F"/>
    <w:rsid w:val="00FA42DB"/>
    <w:rsid w:val="00FB3570"/>
    <w:rsid w:val="00FB4402"/>
    <w:rsid w:val="00FB54C5"/>
    <w:rsid w:val="00FB60FE"/>
    <w:rsid w:val="00FB74E2"/>
    <w:rsid w:val="00FC5503"/>
    <w:rsid w:val="00FC71DC"/>
    <w:rsid w:val="00FD0617"/>
    <w:rsid w:val="00FD2ED2"/>
    <w:rsid w:val="00FD4C2C"/>
    <w:rsid w:val="00FD5614"/>
    <w:rsid w:val="00FD5E78"/>
    <w:rsid w:val="00FD761E"/>
    <w:rsid w:val="00FE0BE1"/>
    <w:rsid w:val="00FE1DE9"/>
    <w:rsid w:val="00FE36AF"/>
    <w:rsid w:val="00FE39C2"/>
    <w:rsid w:val="00FE3C32"/>
    <w:rsid w:val="00FE64AE"/>
    <w:rsid w:val="00FF4B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outlineLvl w:val="6"/>
    </w:pPr>
  </w:style>
  <w:style w:type="paragraph" w:styleId="Heading8">
    <w:name w:val="heading 8"/>
    <w:basedOn w:val="Heading2"/>
    <w:next w:val="Normal"/>
    <w:link w:val="Heading8Char"/>
    <w:qFormat/>
    <w:rsid w:val="00CB0279"/>
    <w:pPr>
      <w:numPr>
        <w:numId w:val="27"/>
      </w:numPr>
      <w:tabs>
        <w:tab w:val="clear" w:pos="680"/>
      </w:tabs>
      <w:outlineLvl w:val="7"/>
    </w:pPr>
  </w:style>
  <w:style w:type="paragraph" w:styleId="Heading9">
    <w:name w:val="heading 9"/>
    <w:basedOn w:val="Heading3"/>
    <w:next w:val="Normal"/>
    <w:link w:val="Heading9Char"/>
    <w:qFormat/>
    <w:rsid w:val="00CB0279"/>
    <w:pPr>
      <w:numPr>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outlineLvl w:val="6"/>
    </w:pPr>
  </w:style>
  <w:style w:type="paragraph" w:styleId="Heading8">
    <w:name w:val="heading 8"/>
    <w:basedOn w:val="Heading2"/>
    <w:next w:val="Normal"/>
    <w:link w:val="Heading8Char"/>
    <w:qFormat/>
    <w:rsid w:val="00CB0279"/>
    <w:pPr>
      <w:numPr>
        <w:numId w:val="27"/>
      </w:numPr>
      <w:tabs>
        <w:tab w:val="clear" w:pos="680"/>
      </w:tabs>
      <w:outlineLvl w:val="7"/>
    </w:pPr>
  </w:style>
  <w:style w:type="paragraph" w:styleId="Heading9">
    <w:name w:val="heading 9"/>
    <w:basedOn w:val="Heading3"/>
    <w:next w:val="Normal"/>
    <w:link w:val="Heading9Char"/>
    <w:qFormat/>
    <w:rsid w:val="00CB0279"/>
    <w:pPr>
      <w:numPr>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0616">
      <w:bodyDiv w:val="1"/>
      <w:marLeft w:val="0"/>
      <w:marRight w:val="0"/>
      <w:marTop w:val="0"/>
      <w:marBottom w:val="0"/>
      <w:divBdr>
        <w:top w:val="none" w:sz="0" w:space="0" w:color="auto"/>
        <w:left w:val="none" w:sz="0" w:space="0" w:color="auto"/>
        <w:bottom w:val="none" w:sz="0" w:space="0" w:color="auto"/>
        <w:right w:val="none" w:sz="0" w:space="0" w:color="auto"/>
      </w:divBdr>
    </w:div>
    <w:div w:id="10573304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9111601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79557776">
      <w:bodyDiv w:val="1"/>
      <w:marLeft w:val="0"/>
      <w:marRight w:val="0"/>
      <w:marTop w:val="0"/>
      <w:marBottom w:val="0"/>
      <w:divBdr>
        <w:top w:val="none" w:sz="0" w:space="0" w:color="auto"/>
        <w:left w:val="none" w:sz="0" w:space="0" w:color="auto"/>
        <w:bottom w:val="none" w:sz="0" w:space="0" w:color="auto"/>
        <w:right w:val="none" w:sz="0" w:space="0" w:color="auto"/>
      </w:divBdr>
    </w:div>
    <w:div w:id="17559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image" Target="media/image21.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0.png"/><Relationship Id="rId7" Type="http://schemas.openxmlformats.org/officeDocument/2006/relationships/webSettings" Target="webSetting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hyperlink" Target="mailto:AERInquiry@aer.gov.au"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1.jpe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7.bin"/><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oleObject" Target="embeddings/oleObject20.bin"/><Relationship Id="rId72"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smartmeters.vic.gov.au/about-smart-meters/end-of-rollout" TargetMode="External"/><Relationship Id="rId1" Type="http://schemas.openxmlformats.org/officeDocument/2006/relationships/hyperlink" Target="http://www.hays.com.au/salary-guide/HAYS_375078"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EBF9C6-C174-4662-90DE-A562DFD8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B858C77C</Template>
  <TotalTime>0</TotalTime>
  <Pages>67</Pages>
  <Words>18628</Words>
  <Characters>106185</Characters>
  <Application>Microsoft Office Word</Application>
  <DocSecurity>0</DocSecurity>
  <Lines>884</Lines>
  <Paragraphs>249</Paragraphs>
  <ScaleCrop>false</ScaleCrop>
  <Company/>
  <LinksUpToDate>false</LinksUpToDate>
  <CharactersWithSpaces>124564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2015-10-26T23:22:00Z</dcterms:created>
  <dcterms:modified xsi:type="dcterms:W3CDTF">2015-10-26T23:22:00Z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8428284</vt:lpwstr>
  </property>
</Properties>
</file>