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2252142B" wp14:editId="41DC7EFA">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A558C4">
            <w:t>FINAL</w:t>
          </w:r>
          <w:r w:rsidR="00DA4752">
            <w:t xml:space="preserve"> DECISION</w:t>
          </w:r>
        </w:p>
        <w:p w:rsidR="00415F31" w:rsidRDefault="000474DF" w:rsidP="008F07A3">
          <w:pPr>
            <w:pStyle w:val="ReportSubtitle"/>
          </w:pPr>
          <w:r>
            <w:t>Powerlink</w:t>
          </w:r>
          <w:r w:rsidR="006A66A1">
            <w:t xml:space="preserve"> transmission</w:t>
          </w:r>
          <w:r w:rsidR="00415F31">
            <w:t xml:space="preserve"> </w:t>
          </w:r>
          <w:r w:rsidR="00DA4752">
            <w:t>determination</w:t>
          </w:r>
        </w:p>
        <w:p w:rsidR="000A6C7B" w:rsidRDefault="00DA4752" w:rsidP="008F07A3">
          <w:pPr>
            <w:pStyle w:val="ReportSubtitle"/>
          </w:pPr>
          <w:r>
            <w:t xml:space="preserve"> 201</w:t>
          </w:r>
          <w:r w:rsidR="000474DF">
            <w:t>7</w:t>
          </w:r>
          <w:r>
            <w:rPr>
              <w:rFonts w:cs="Arial"/>
            </w:rPr>
            <w:t>−</w:t>
          </w:r>
          <w:r w:rsidR="000474DF">
            <w:t>22</w:t>
          </w:r>
        </w:p>
        <w:p w:rsidR="008F07A3" w:rsidRPr="000A6C7B" w:rsidRDefault="008F07A3" w:rsidP="008F07A3">
          <w:pPr>
            <w:pStyle w:val="ReportSubtitle"/>
          </w:pPr>
        </w:p>
        <w:p w:rsidR="000A6C7B" w:rsidRDefault="000474DF" w:rsidP="008F07A3">
          <w:pPr>
            <w:pStyle w:val="ReportSubtitle"/>
          </w:pPr>
          <w:r>
            <w:t>Attachment 1</w:t>
          </w:r>
          <w:r w:rsidR="00C33011">
            <w:t>3</w:t>
          </w:r>
          <w:r>
            <w:t xml:space="preserve"> </w:t>
          </w:r>
          <w:r w:rsidRPr="000474DF">
            <w:t>−</w:t>
          </w:r>
          <w:r>
            <w:t xml:space="preserve"> </w:t>
          </w:r>
          <w:r w:rsidR="00C33011">
            <w:t>Pass through events</w:t>
          </w:r>
        </w:p>
        <w:p w:rsidR="000A6C7B" w:rsidRPr="00327A1E" w:rsidRDefault="00A558C4" w:rsidP="00327A1E">
          <w:pPr>
            <w:pStyle w:val="ReportDate"/>
          </w:pPr>
          <w:r>
            <w:t>April 2017</w:t>
          </w:r>
        </w:p>
      </w:sdtContent>
    </w:sdt>
    <w:p w:rsidR="00327A1E" w:rsidRPr="00290C63" w:rsidRDefault="00327A1E" w:rsidP="00290C63">
      <w:r>
        <w:br w:type="page"/>
      </w:r>
    </w:p>
    <w:p w:rsidR="00CE2A23" w:rsidRDefault="00CE2A23" w:rsidP="00761454">
      <w:bookmarkStart w:id="0" w:name="_Toc411428008"/>
      <w:r>
        <w:lastRenderedPageBreak/>
        <w:t>© Commonwealth of Australia 201</w:t>
      </w:r>
      <w:r w:rsidR="000D08AE">
        <w:t>7</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 xml:space="preserve">Tel: </w:t>
      </w:r>
      <w:r w:rsidR="00962B3A">
        <w:t>1300 585 165</w:t>
      </w:r>
    </w:p>
    <w:p w:rsidR="00CE2A23" w:rsidRDefault="00CE2A23" w:rsidP="00761454">
      <w:r>
        <w:t xml:space="preserve">Email: </w:t>
      </w:r>
      <w:hyperlink r:id="rId11"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1" w:name="_Toc404153950"/>
      <w:bookmarkStart w:id="2" w:name="_Toc404437593"/>
      <w:bookmarkStart w:id="3" w:name="_Toc481048101"/>
      <w:r>
        <w:lastRenderedPageBreak/>
        <w:t>Note</w:t>
      </w:r>
      <w:bookmarkEnd w:id="1"/>
      <w:bookmarkEnd w:id="2"/>
      <w:bookmarkEnd w:id="3"/>
    </w:p>
    <w:p w:rsidR="00962B3A" w:rsidRDefault="00962B3A" w:rsidP="00962B3A">
      <w:pPr>
        <w:numPr>
          <w:ilvl w:val="0"/>
          <w:numId w:val="24"/>
        </w:numPr>
      </w:pPr>
      <w:r>
        <w:t>This attachment forms part of the AER's final decision on Powerlink's transmission determination for 2017</w:t>
      </w:r>
      <w:r w:rsidRPr="00F02D30">
        <w:t>–</w:t>
      </w:r>
      <w:r>
        <w:t>22. It should be read with all other parts of the final decision.</w:t>
      </w:r>
    </w:p>
    <w:p w:rsidR="00962B3A" w:rsidRDefault="00962B3A" w:rsidP="00962B3A">
      <w:pPr>
        <w:numPr>
          <w:ilvl w:val="0"/>
          <w:numId w:val="24"/>
        </w:numPr>
      </w:pPr>
      <w:r>
        <w:t xml:space="preserve">This final decision consists of an Overview </w:t>
      </w:r>
      <w:r w:rsidRPr="00F238A0">
        <w:t xml:space="preserve">and </w:t>
      </w:r>
      <w:r>
        <w:t>11</w:t>
      </w:r>
      <w:r w:rsidRPr="00F238A0">
        <w:t xml:space="preserve"> attachments. As</w:t>
      </w:r>
      <w:r>
        <w:t xml:space="preserve"> many issues were settled at the draft decision stage or required only minor updates we have not prepared final decision attachments for: </w:t>
      </w:r>
    </w:p>
    <w:p w:rsidR="00962B3A" w:rsidRDefault="00962B3A" w:rsidP="00962B3A">
      <w:pPr>
        <w:pStyle w:val="AERbulletlistfirststyle"/>
      </w:pPr>
      <w:r>
        <w:t>Regulatory depreciation</w:t>
      </w:r>
    </w:p>
    <w:p w:rsidR="00962B3A" w:rsidRDefault="00962B3A" w:rsidP="00962B3A">
      <w:pPr>
        <w:pStyle w:val="AERbulletlistfirststyle"/>
      </w:pPr>
      <w:r>
        <w:t>Operating expenditure; and</w:t>
      </w:r>
    </w:p>
    <w:p w:rsidR="00962B3A" w:rsidRDefault="00962B3A" w:rsidP="00962B3A">
      <w:pPr>
        <w:pStyle w:val="AERbulletlistfirststyle"/>
      </w:pPr>
      <w:r>
        <w:t xml:space="preserve">Corporate income tax. </w:t>
      </w:r>
    </w:p>
    <w:p w:rsidR="00962B3A" w:rsidRDefault="00962B3A" w:rsidP="00962B3A">
      <w:pPr>
        <w:numPr>
          <w:ilvl w:val="0"/>
          <w:numId w:val="24"/>
        </w:numPr>
      </w:pPr>
      <w:r>
        <w:t xml:space="preserve">The AER's final decision on these matters is set out in the Overview. For ease of reference the remaining attachments have been numbered consistently with the attachment numbering in our draft decision. </w:t>
      </w:r>
    </w:p>
    <w:p w:rsidR="00962B3A" w:rsidRDefault="00962B3A" w:rsidP="00962B3A">
      <w:pPr>
        <w:numPr>
          <w:ilvl w:val="0"/>
          <w:numId w:val="24"/>
        </w:numPr>
      </w:pPr>
      <w:r>
        <w:t>The final decision includes the following documents:</w:t>
      </w:r>
    </w:p>
    <w:p w:rsidR="00962B3A" w:rsidRDefault="00962B3A" w:rsidP="00962B3A">
      <w:pPr>
        <w:numPr>
          <w:ilvl w:val="0"/>
          <w:numId w:val="24"/>
        </w:numPr>
      </w:pPr>
      <w:r>
        <w:t>Overview</w:t>
      </w:r>
    </w:p>
    <w:p w:rsidR="00962B3A" w:rsidRDefault="00962B3A" w:rsidP="00962B3A">
      <w:pPr>
        <w:numPr>
          <w:ilvl w:val="0"/>
          <w:numId w:val="24"/>
        </w:numPr>
      </w:pPr>
      <w:r>
        <w:t>Attachment 1 – Maximum allowed revenue</w:t>
      </w:r>
    </w:p>
    <w:p w:rsidR="00962B3A" w:rsidRDefault="00962B3A" w:rsidP="00962B3A">
      <w:pPr>
        <w:numPr>
          <w:ilvl w:val="0"/>
          <w:numId w:val="24"/>
        </w:numPr>
      </w:pPr>
      <w:r>
        <w:t>Attachment 2 – Regulatory asset base</w:t>
      </w:r>
    </w:p>
    <w:p w:rsidR="00962B3A" w:rsidRDefault="00962B3A" w:rsidP="00962B3A">
      <w:pPr>
        <w:numPr>
          <w:ilvl w:val="0"/>
          <w:numId w:val="24"/>
        </w:numPr>
      </w:pPr>
      <w:r>
        <w:t>Attachment 3 – Rate of return</w:t>
      </w:r>
    </w:p>
    <w:p w:rsidR="00962B3A" w:rsidRDefault="00962B3A" w:rsidP="00962B3A">
      <w:pPr>
        <w:numPr>
          <w:ilvl w:val="0"/>
          <w:numId w:val="24"/>
        </w:numPr>
      </w:pPr>
      <w:r>
        <w:t>Attachment 4 – Value of imputation credits</w:t>
      </w:r>
    </w:p>
    <w:p w:rsidR="00962B3A" w:rsidRDefault="00962B3A" w:rsidP="00962B3A">
      <w:pPr>
        <w:numPr>
          <w:ilvl w:val="0"/>
          <w:numId w:val="24"/>
        </w:numPr>
      </w:pPr>
      <w:r>
        <w:t xml:space="preserve">Attachment 6 – Capital expenditure </w:t>
      </w:r>
    </w:p>
    <w:p w:rsidR="00962B3A" w:rsidRDefault="00962B3A" w:rsidP="00962B3A">
      <w:pPr>
        <w:numPr>
          <w:ilvl w:val="0"/>
          <w:numId w:val="24"/>
        </w:numPr>
      </w:pPr>
      <w:r>
        <w:t>Attachment 9 – Efficiency benefit sharing scheme</w:t>
      </w:r>
    </w:p>
    <w:p w:rsidR="00962B3A" w:rsidRDefault="00962B3A" w:rsidP="00962B3A">
      <w:pPr>
        <w:numPr>
          <w:ilvl w:val="0"/>
          <w:numId w:val="24"/>
        </w:numPr>
      </w:pPr>
      <w:r>
        <w:t>Attachment 10 – Capital expenditure sharing scheme</w:t>
      </w:r>
    </w:p>
    <w:p w:rsidR="00962B3A" w:rsidRDefault="00962B3A" w:rsidP="00962B3A">
      <w:pPr>
        <w:numPr>
          <w:ilvl w:val="0"/>
          <w:numId w:val="24"/>
        </w:numPr>
      </w:pPr>
      <w:r>
        <w:t>Attachment 11 – Service target performance incentive scheme</w:t>
      </w:r>
    </w:p>
    <w:p w:rsidR="00962B3A" w:rsidRPr="00F02D30" w:rsidRDefault="00962B3A" w:rsidP="00962B3A">
      <w:pPr>
        <w:numPr>
          <w:ilvl w:val="0"/>
          <w:numId w:val="24"/>
        </w:numPr>
      </w:pPr>
      <w:r>
        <w:t>Attachment 12 – P</w:t>
      </w:r>
      <w:r w:rsidRPr="00F02D30">
        <w:t>ricing methodology</w:t>
      </w:r>
    </w:p>
    <w:p w:rsidR="00962B3A" w:rsidRPr="00F02D30" w:rsidRDefault="00962B3A" w:rsidP="00962B3A">
      <w:pPr>
        <w:numPr>
          <w:ilvl w:val="0"/>
          <w:numId w:val="24"/>
        </w:numPr>
      </w:pPr>
      <w:r>
        <w:t>Attachment 13 – P</w:t>
      </w:r>
      <w:r w:rsidRPr="00F02D30">
        <w:t>ass through events</w:t>
      </w:r>
    </w:p>
    <w:p w:rsidR="00CE2A23" w:rsidRPr="00CE2A23" w:rsidRDefault="00962B3A" w:rsidP="00CE2A23">
      <w:r>
        <w:t>Attachment 14 – N</w:t>
      </w:r>
      <w:r w:rsidRPr="00F02D30">
        <w:t>egotiated services</w:t>
      </w:r>
      <w:bookmarkStart w:id="4" w:name="_Toc404354899"/>
      <w:bookmarkStart w:id="5" w:name="_Toc404353070"/>
      <w:bookmarkStart w:id="6" w:name="_Toc404684201"/>
      <w:bookmarkStart w:id="7" w:name="_Toc404700923"/>
      <w:r w:rsidR="00CE2A23">
        <w:br w:type="page"/>
      </w:r>
    </w:p>
    <w:bookmarkEnd w:id="4"/>
    <w:bookmarkEnd w:id="5"/>
    <w:bookmarkEnd w:id="6"/>
    <w:bookmarkEnd w:id="7"/>
    <w:p w:rsidR="00CE2A23" w:rsidRPr="008F07A3" w:rsidRDefault="00CE2A23" w:rsidP="00CE2A23">
      <w:pPr>
        <w:numPr>
          <w:ilvl w:val="0"/>
          <w:numId w:val="24"/>
        </w:numPr>
        <w:sectPr w:rsidR="00CE2A23" w:rsidRPr="008F07A3" w:rsidSect="00761EE4">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8" w:name="_Toc403144133"/>
      <w:bookmarkStart w:id="9" w:name="_Toc481048102"/>
      <w:r>
        <w:lastRenderedPageBreak/>
        <w:t>Contents</w:t>
      </w:r>
      <w:bookmarkEnd w:id="8"/>
      <w:bookmarkEnd w:id="9"/>
    </w:p>
    <w:p w:rsidR="00CE2A23" w:rsidRDefault="00CE2A23" w:rsidP="00CE2A23"/>
    <w:sdt>
      <w:sdtPr>
        <w:id w:val="1269200322"/>
        <w:docPartObj>
          <w:docPartGallery w:val="Table of Contents"/>
          <w:docPartUnique/>
        </w:docPartObj>
      </w:sdtPr>
      <w:sdtEndPr/>
      <w:sdtContent>
        <w:bookmarkStart w:id="10" w:name="_GoBack" w:displacedByCustomXml="prev"/>
        <w:bookmarkEnd w:id="10" w:displacedByCustomXml="prev"/>
        <w:p w:rsidR="004D5295"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81048101" w:history="1">
            <w:r w:rsidR="004D5295" w:rsidRPr="005F633E">
              <w:rPr>
                <w:rStyle w:val="Hyperlink"/>
              </w:rPr>
              <w:t>Note</w:t>
            </w:r>
            <w:r w:rsidR="004D5295">
              <w:rPr>
                <w:webHidden/>
              </w:rPr>
              <w:tab/>
            </w:r>
            <w:r w:rsidR="004D5295">
              <w:rPr>
                <w:webHidden/>
              </w:rPr>
              <w:fldChar w:fldCharType="begin"/>
            </w:r>
            <w:r w:rsidR="004D5295">
              <w:rPr>
                <w:webHidden/>
              </w:rPr>
              <w:instrText xml:space="preserve"> PAGEREF _Toc481048101 \h </w:instrText>
            </w:r>
            <w:r w:rsidR="004D5295">
              <w:rPr>
                <w:webHidden/>
              </w:rPr>
            </w:r>
            <w:r w:rsidR="004D5295">
              <w:rPr>
                <w:webHidden/>
              </w:rPr>
              <w:fldChar w:fldCharType="separate"/>
            </w:r>
            <w:r w:rsidR="004D5295">
              <w:rPr>
                <w:webHidden/>
              </w:rPr>
              <w:t>13-2</w:t>
            </w:r>
            <w:r w:rsidR="004D5295">
              <w:rPr>
                <w:webHidden/>
              </w:rPr>
              <w:fldChar w:fldCharType="end"/>
            </w:r>
          </w:hyperlink>
        </w:p>
        <w:p w:rsidR="004D5295" w:rsidRDefault="0090233E">
          <w:pPr>
            <w:pStyle w:val="TOC1"/>
            <w:rPr>
              <w:rFonts w:asciiTheme="minorHAnsi" w:eastAsiaTheme="minorEastAsia" w:hAnsiTheme="minorHAnsi"/>
              <w:b w:val="0"/>
              <w:color w:val="auto"/>
              <w:sz w:val="22"/>
              <w:lang w:val="en-AU" w:eastAsia="en-AU"/>
            </w:rPr>
          </w:pPr>
          <w:hyperlink w:anchor="_Toc481048102" w:history="1">
            <w:r w:rsidR="004D5295" w:rsidRPr="005F633E">
              <w:rPr>
                <w:rStyle w:val="Hyperlink"/>
              </w:rPr>
              <w:t>Contents</w:t>
            </w:r>
            <w:r w:rsidR="004D5295">
              <w:rPr>
                <w:webHidden/>
              </w:rPr>
              <w:tab/>
            </w:r>
            <w:r w:rsidR="004D5295">
              <w:rPr>
                <w:webHidden/>
              </w:rPr>
              <w:fldChar w:fldCharType="begin"/>
            </w:r>
            <w:r w:rsidR="004D5295">
              <w:rPr>
                <w:webHidden/>
              </w:rPr>
              <w:instrText xml:space="preserve"> PAGEREF _Toc481048102 \h </w:instrText>
            </w:r>
            <w:r w:rsidR="004D5295">
              <w:rPr>
                <w:webHidden/>
              </w:rPr>
            </w:r>
            <w:r w:rsidR="004D5295">
              <w:rPr>
                <w:webHidden/>
              </w:rPr>
              <w:fldChar w:fldCharType="separate"/>
            </w:r>
            <w:r w:rsidR="004D5295">
              <w:rPr>
                <w:webHidden/>
              </w:rPr>
              <w:t>13-3</w:t>
            </w:r>
            <w:r w:rsidR="004D5295">
              <w:rPr>
                <w:webHidden/>
              </w:rPr>
              <w:fldChar w:fldCharType="end"/>
            </w:r>
          </w:hyperlink>
        </w:p>
        <w:p w:rsidR="004D5295" w:rsidRDefault="0090233E">
          <w:pPr>
            <w:pStyle w:val="TOC1"/>
            <w:rPr>
              <w:rFonts w:asciiTheme="minorHAnsi" w:eastAsiaTheme="minorEastAsia" w:hAnsiTheme="minorHAnsi"/>
              <w:b w:val="0"/>
              <w:color w:val="auto"/>
              <w:sz w:val="22"/>
              <w:lang w:val="en-AU" w:eastAsia="en-AU"/>
            </w:rPr>
          </w:pPr>
          <w:hyperlink w:anchor="_Toc481048103" w:history="1">
            <w:r w:rsidR="004D5295" w:rsidRPr="005F633E">
              <w:rPr>
                <w:rStyle w:val="Hyperlink"/>
              </w:rPr>
              <w:t>Shortened forms</w:t>
            </w:r>
            <w:r w:rsidR="004D5295">
              <w:rPr>
                <w:webHidden/>
              </w:rPr>
              <w:tab/>
            </w:r>
            <w:r w:rsidR="004D5295">
              <w:rPr>
                <w:webHidden/>
              </w:rPr>
              <w:fldChar w:fldCharType="begin"/>
            </w:r>
            <w:r w:rsidR="004D5295">
              <w:rPr>
                <w:webHidden/>
              </w:rPr>
              <w:instrText xml:space="preserve"> PAGEREF _Toc481048103 \h </w:instrText>
            </w:r>
            <w:r w:rsidR="004D5295">
              <w:rPr>
                <w:webHidden/>
              </w:rPr>
            </w:r>
            <w:r w:rsidR="004D5295">
              <w:rPr>
                <w:webHidden/>
              </w:rPr>
              <w:fldChar w:fldCharType="separate"/>
            </w:r>
            <w:r w:rsidR="004D5295">
              <w:rPr>
                <w:webHidden/>
              </w:rPr>
              <w:t>13-4</w:t>
            </w:r>
            <w:r w:rsidR="004D5295">
              <w:rPr>
                <w:webHidden/>
              </w:rPr>
              <w:fldChar w:fldCharType="end"/>
            </w:r>
          </w:hyperlink>
        </w:p>
        <w:p w:rsidR="004D5295" w:rsidRDefault="0090233E">
          <w:pPr>
            <w:pStyle w:val="TOC1"/>
            <w:rPr>
              <w:rFonts w:asciiTheme="minorHAnsi" w:eastAsiaTheme="minorEastAsia" w:hAnsiTheme="minorHAnsi"/>
              <w:b w:val="0"/>
              <w:color w:val="auto"/>
              <w:sz w:val="22"/>
              <w:lang w:val="en-AU" w:eastAsia="en-AU"/>
            </w:rPr>
          </w:pPr>
          <w:hyperlink w:anchor="_Toc481048104" w:history="1">
            <w:r w:rsidR="004D5295" w:rsidRPr="005F633E">
              <w:rPr>
                <w:rStyle w:val="Hyperlink"/>
              </w:rPr>
              <w:t>13</w:t>
            </w:r>
            <w:r w:rsidR="004D5295">
              <w:rPr>
                <w:rFonts w:asciiTheme="minorHAnsi" w:eastAsiaTheme="minorEastAsia" w:hAnsiTheme="minorHAnsi"/>
                <w:b w:val="0"/>
                <w:color w:val="auto"/>
                <w:sz w:val="22"/>
                <w:lang w:val="en-AU" w:eastAsia="en-AU"/>
              </w:rPr>
              <w:tab/>
            </w:r>
            <w:r w:rsidR="004D5295" w:rsidRPr="005F633E">
              <w:rPr>
                <w:rStyle w:val="Hyperlink"/>
              </w:rPr>
              <w:t>Pass through events</w:t>
            </w:r>
            <w:r w:rsidR="004D5295">
              <w:rPr>
                <w:webHidden/>
              </w:rPr>
              <w:tab/>
            </w:r>
            <w:r w:rsidR="004D5295">
              <w:rPr>
                <w:webHidden/>
              </w:rPr>
              <w:fldChar w:fldCharType="begin"/>
            </w:r>
            <w:r w:rsidR="004D5295">
              <w:rPr>
                <w:webHidden/>
              </w:rPr>
              <w:instrText xml:space="preserve"> PAGEREF _Toc481048104 \h </w:instrText>
            </w:r>
            <w:r w:rsidR="004D5295">
              <w:rPr>
                <w:webHidden/>
              </w:rPr>
            </w:r>
            <w:r w:rsidR="004D5295">
              <w:rPr>
                <w:webHidden/>
              </w:rPr>
              <w:fldChar w:fldCharType="separate"/>
            </w:r>
            <w:r w:rsidR="004D5295">
              <w:rPr>
                <w:webHidden/>
              </w:rPr>
              <w:t>13-6</w:t>
            </w:r>
            <w:r w:rsidR="004D5295">
              <w:rPr>
                <w:webHidden/>
              </w:rPr>
              <w:fldChar w:fldCharType="end"/>
            </w:r>
          </w:hyperlink>
        </w:p>
        <w:p w:rsidR="004D5295" w:rsidRDefault="0090233E">
          <w:pPr>
            <w:pStyle w:val="TOC2"/>
            <w:tabs>
              <w:tab w:val="left" w:pos="1276"/>
            </w:tabs>
            <w:rPr>
              <w:rFonts w:asciiTheme="minorHAnsi" w:eastAsiaTheme="minorEastAsia" w:hAnsiTheme="minorHAnsi"/>
              <w:b w:val="0"/>
              <w:color w:val="auto"/>
              <w:sz w:val="22"/>
              <w:lang w:eastAsia="en-AU"/>
            </w:rPr>
          </w:pPr>
          <w:hyperlink w:anchor="_Toc481048105" w:history="1">
            <w:r w:rsidR="004D5295" w:rsidRPr="005F633E">
              <w:rPr>
                <w:rStyle w:val="Hyperlink"/>
              </w:rPr>
              <w:t>13.1</w:t>
            </w:r>
            <w:r w:rsidR="004D5295">
              <w:rPr>
                <w:rFonts w:asciiTheme="minorHAnsi" w:eastAsiaTheme="minorEastAsia" w:hAnsiTheme="minorHAnsi"/>
                <w:b w:val="0"/>
                <w:color w:val="auto"/>
                <w:sz w:val="22"/>
                <w:lang w:eastAsia="en-AU"/>
              </w:rPr>
              <w:tab/>
            </w:r>
            <w:r w:rsidR="004D5295" w:rsidRPr="005F633E">
              <w:rPr>
                <w:rStyle w:val="Hyperlink"/>
              </w:rPr>
              <w:t>Final decision</w:t>
            </w:r>
            <w:r w:rsidR="004D5295">
              <w:rPr>
                <w:webHidden/>
              </w:rPr>
              <w:tab/>
            </w:r>
            <w:r w:rsidR="004D5295">
              <w:rPr>
                <w:webHidden/>
              </w:rPr>
              <w:fldChar w:fldCharType="begin"/>
            </w:r>
            <w:r w:rsidR="004D5295">
              <w:rPr>
                <w:webHidden/>
              </w:rPr>
              <w:instrText xml:space="preserve"> PAGEREF _Toc481048105 \h </w:instrText>
            </w:r>
            <w:r w:rsidR="004D5295">
              <w:rPr>
                <w:webHidden/>
              </w:rPr>
            </w:r>
            <w:r w:rsidR="004D5295">
              <w:rPr>
                <w:webHidden/>
              </w:rPr>
              <w:fldChar w:fldCharType="separate"/>
            </w:r>
            <w:r w:rsidR="004D5295">
              <w:rPr>
                <w:webHidden/>
              </w:rPr>
              <w:t>13-6</w:t>
            </w:r>
            <w:r w:rsidR="004D5295">
              <w:rPr>
                <w:webHidden/>
              </w:rPr>
              <w:fldChar w:fldCharType="end"/>
            </w:r>
          </w:hyperlink>
        </w:p>
        <w:p w:rsidR="004D5295" w:rsidRDefault="0090233E">
          <w:pPr>
            <w:pStyle w:val="TOC2"/>
            <w:tabs>
              <w:tab w:val="left" w:pos="1276"/>
            </w:tabs>
            <w:rPr>
              <w:rFonts w:asciiTheme="minorHAnsi" w:eastAsiaTheme="minorEastAsia" w:hAnsiTheme="minorHAnsi"/>
              <w:b w:val="0"/>
              <w:color w:val="auto"/>
              <w:sz w:val="22"/>
              <w:lang w:eastAsia="en-AU"/>
            </w:rPr>
          </w:pPr>
          <w:hyperlink w:anchor="_Toc481048106" w:history="1">
            <w:r w:rsidR="004D5295" w:rsidRPr="005F633E">
              <w:rPr>
                <w:rStyle w:val="Hyperlink"/>
              </w:rPr>
              <w:t>13.2</w:t>
            </w:r>
            <w:r w:rsidR="004D5295">
              <w:rPr>
                <w:rFonts w:asciiTheme="minorHAnsi" w:eastAsiaTheme="minorEastAsia" w:hAnsiTheme="minorHAnsi"/>
                <w:b w:val="0"/>
                <w:color w:val="auto"/>
                <w:sz w:val="22"/>
                <w:lang w:eastAsia="en-AU"/>
              </w:rPr>
              <w:tab/>
            </w:r>
            <w:r w:rsidR="004D5295" w:rsidRPr="005F633E">
              <w:rPr>
                <w:rStyle w:val="Hyperlink"/>
              </w:rPr>
              <w:t>Powerlink's revised proposal</w:t>
            </w:r>
            <w:r w:rsidR="004D5295">
              <w:rPr>
                <w:webHidden/>
              </w:rPr>
              <w:tab/>
            </w:r>
            <w:r w:rsidR="004D5295">
              <w:rPr>
                <w:webHidden/>
              </w:rPr>
              <w:fldChar w:fldCharType="begin"/>
            </w:r>
            <w:r w:rsidR="004D5295">
              <w:rPr>
                <w:webHidden/>
              </w:rPr>
              <w:instrText xml:space="preserve"> PAGEREF _Toc481048106 \h </w:instrText>
            </w:r>
            <w:r w:rsidR="004D5295">
              <w:rPr>
                <w:webHidden/>
              </w:rPr>
            </w:r>
            <w:r w:rsidR="004D5295">
              <w:rPr>
                <w:webHidden/>
              </w:rPr>
              <w:fldChar w:fldCharType="separate"/>
            </w:r>
            <w:r w:rsidR="004D5295">
              <w:rPr>
                <w:webHidden/>
              </w:rPr>
              <w:t>13-8</w:t>
            </w:r>
            <w:r w:rsidR="004D5295">
              <w:rPr>
                <w:webHidden/>
              </w:rPr>
              <w:fldChar w:fldCharType="end"/>
            </w:r>
          </w:hyperlink>
        </w:p>
        <w:p w:rsidR="004D5295" w:rsidRDefault="0090233E">
          <w:pPr>
            <w:pStyle w:val="TOC2"/>
            <w:tabs>
              <w:tab w:val="left" w:pos="1276"/>
            </w:tabs>
            <w:rPr>
              <w:rFonts w:asciiTheme="minorHAnsi" w:eastAsiaTheme="minorEastAsia" w:hAnsiTheme="minorHAnsi"/>
              <w:b w:val="0"/>
              <w:color w:val="auto"/>
              <w:sz w:val="22"/>
              <w:lang w:eastAsia="en-AU"/>
            </w:rPr>
          </w:pPr>
          <w:hyperlink w:anchor="_Toc481048107" w:history="1">
            <w:r w:rsidR="004D5295" w:rsidRPr="005F633E">
              <w:rPr>
                <w:rStyle w:val="Hyperlink"/>
              </w:rPr>
              <w:t>13.3</w:t>
            </w:r>
            <w:r w:rsidR="004D5295">
              <w:rPr>
                <w:rFonts w:asciiTheme="minorHAnsi" w:eastAsiaTheme="minorEastAsia" w:hAnsiTheme="minorHAnsi"/>
                <w:b w:val="0"/>
                <w:color w:val="auto"/>
                <w:sz w:val="22"/>
                <w:lang w:eastAsia="en-AU"/>
              </w:rPr>
              <w:tab/>
            </w:r>
            <w:r w:rsidR="004D5295" w:rsidRPr="005F633E">
              <w:rPr>
                <w:rStyle w:val="Hyperlink"/>
              </w:rPr>
              <w:t>Our assessment approach</w:t>
            </w:r>
            <w:r w:rsidR="004D5295">
              <w:rPr>
                <w:webHidden/>
              </w:rPr>
              <w:tab/>
            </w:r>
            <w:r w:rsidR="004D5295">
              <w:rPr>
                <w:webHidden/>
              </w:rPr>
              <w:fldChar w:fldCharType="begin"/>
            </w:r>
            <w:r w:rsidR="004D5295">
              <w:rPr>
                <w:webHidden/>
              </w:rPr>
              <w:instrText xml:space="preserve"> PAGEREF _Toc481048107 \h </w:instrText>
            </w:r>
            <w:r w:rsidR="004D5295">
              <w:rPr>
                <w:webHidden/>
              </w:rPr>
            </w:r>
            <w:r w:rsidR="004D5295">
              <w:rPr>
                <w:webHidden/>
              </w:rPr>
              <w:fldChar w:fldCharType="separate"/>
            </w:r>
            <w:r w:rsidR="004D5295">
              <w:rPr>
                <w:webHidden/>
              </w:rPr>
              <w:t>13-8</w:t>
            </w:r>
            <w:r w:rsidR="004D5295">
              <w:rPr>
                <w:webHidden/>
              </w:rPr>
              <w:fldChar w:fldCharType="end"/>
            </w:r>
          </w:hyperlink>
        </w:p>
        <w:p w:rsidR="004D5295" w:rsidRDefault="0090233E">
          <w:pPr>
            <w:pStyle w:val="TOC3"/>
            <w:rPr>
              <w:rFonts w:asciiTheme="minorHAnsi" w:eastAsiaTheme="minorEastAsia" w:hAnsiTheme="minorHAnsi"/>
              <w:lang w:eastAsia="en-AU"/>
            </w:rPr>
          </w:pPr>
          <w:hyperlink w:anchor="_Toc481048108" w:history="1">
            <w:r w:rsidR="004D5295" w:rsidRPr="005F633E">
              <w:rPr>
                <w:rStyle w:val="Hyperlink"/>
              </w:rPr>
              <w:t>13.3.1</w:t>
            </w:r>
            <w:r w:rsidR="004D5295">
              <w:rPr>
                <w:rFonts w:asciiTheme="minorHAnsi" w:eastAsiaTheme="minorEastAsia" w:hAnsiTheme="minorHAnsi"/>
                <w:lang w:eastAsia="en-AU"/>
              </w:rPr>
              <w:tab/>
            </w:r>
            <w:r w:rsidR="004D5295" w:rsidRPr="005F633E">
              <w:rPr>
                <w:rStyle w:val="Hyperlink"/>
              </w:rPr>
              <w:t>Interrelationships</w:t>
            </w:r>
            <w:r w:rsidR="004D5295">
              <w:rPr>
                <w:webHidden/>
              </w:rPr>
              <w:tab/>
            </w:r>
            <w:r w:rsidR="004D5295">
              <w:rPr>
                <w:webHidden/>
              </w:rPr>
              <w:fldChar w:fldCharType="begin"/>
            </w:r>
            <w:r w:rsidR="004D5295">
              <w:rPr>
                <w:webHidden/>
              </w:rPr>
              <w:instrText xml:space="preserve"> PAGEREF _Toc481048108 \h </w:instrText>
            </w:r>
            <w:r w:rsidR="004D5295">
              <w:rPr>
                <w:webHidden/>
              </w:rPr>
            </w:r>
            <w:r w:rsidR="004D5295">
              <w:rPr>
                <w:webHidden/>
              </w:rPr>
              <w:fldChar w:fldCharType="separate"/>
            </w:r>
            <w:r w:rsidR="004D5295">
              <w:rPr>
                <w:webHidden/>
              </w:rPr>
              <w:t>13-10</w:t>
            </w:r>
            <w:r w:rsidR="004D5295">
              <w:rPr>
                <w:webHidden/>
              </w:rPr>
              <w:fldChar w:fldCharType="end"/>
            </w:r>
          </w:hyperlink>
        </w:p>
        <w:p w:rsidR="004D5295" w:rsidRDefault="0090233E">
          <w:pPr>
            <w:pStyle w:val="TOC2"/>
            <w:tabs>
              <w:tab w:val="left" w:pos="1276"/>
            </w:tabs>
            <w:rPr>
              <w:rFonts w:asciiTheme="minorHAnsi" w:eastAsiaTheme="minorEastAsia" w:hAnsiTheme="minorHAnsi"/>
              <w:b w:val="0"/>
              <w:color w:val="auto"/>
              <w:sz w:val="22"/>
              <w:lang w:eastAsia="en-AU"/>
            </w:rPr>
          </w:pPr>
          <w:hyperlink w:anchor="_Toc481048109" w:history="1">
            <w:r w:rsidR="004D5295" w:rsidRPr="005F633E">
              <w:rPr>
                <w:rStyle w:val="Hyperlink"/>
              </w:rPr>
              <w:t>13.4</w:t>
            </w:r>
            <w:r w:rsidR="004D5295">
              <w:rPr>
                <w:rFonts w:asciiTheme="minorHAnsi" w:eastAsiaTheme="minorEastAsia" w:hAnsiTheme="minorHAnsi"/>
                <w:b w:val="0"/>
                <w:color w:val="auto"/>
                <w:sz w:val="22"/>
                <w:lang w:eastAsia="en-AU"/>
              </w:rPr>
              <w:tab/>
            </w:r>
            <w:r w:rsidR="004D5295" w:rsidRPr="005F633E">
              <w:rPr>
                <w:rStyle w:val="Hyperlink"/>
              </w:rPr>
              <w:t>Reasons for final decision</w:t>
            </w:r>
            <w:r w:rsidR="004D5295">
              <w:rPr>
                <w:webHidden/>
              </w:rPr>
              <w:tab/>
            </w:r>
            <w:r w:rsidR="004D5295">
              <w:rPr>
                <w:webHidden/>
              </w:rPr>
              <w:fldChar w:fldCharType="begin"/>
            </w:r>
            <w:r w:rsidR="004D5295">
              <w:rPr>
                <w:webHidden/>
              </w:rPr>
              <w:instrText xml:space="preserve"> PAGEREF _Toc481048109 \h </w:instrText>
            </w:r>
            <w:r w:rsidR="004D5295">
              <w:rPr>
                <w:webHidden/>
              </w:rPr>
            </w:r>
            <w:r w:rsidR="004D5295">
              <w:rPr>
                <w:webHidden/>
              </w:rPr>
              <w:fldChar w:fldCharType="separate"/>
            </w:r>
            <w:r w:rsidR="004D5295">
              <w:rPr>
                <w:webHidden/>
              </w:rPr>
              <w:t>13-11</w:t>
            </w:r>
            <w:r w:rsidR="004D5295">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81048103"/>
      <w:r>
        <w:lastRenderedPageBreak/>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87648F" w:rsidTr="000474DF">
        <w:tc>
          <w:tcPr>
            <w:tcW w:w="4340" w:type="dxa"/>
          </w:tcPr>
          <w:p w:rsidR="0087648F" w:rsidRDefault="0087648F" w:rsidP="0053603C">
            <w:pPr>
              <w:numPr>
                <w:ilvl w:val="0"/>
                <w:numId w:val="24"/>
              </w:numPr>
            </w:pPr>
            <w:r>
              <w:t>AARR</w:t>
            </w:r>
          </w:p>
        </w:tc>
        <w:tc>
          <w:tcPr>
            <w:tcW w:w="4353" w:type="dxa"/>
          </w:tcPr>
          <w:p w:rsidR="0087648F" w:rsidRDefault="0087648F" w:rsidP="0053603C">
            <w:pPr>
              <w:numPr>
                <w:ilvl w:val="0"/>
                <w:numId w:val="24"/>
              </w:numPr>
            </w:pPr>
            <w:r>
              <w:t>aggregate annual revenue requirement</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AEMC</w:t>
            </w:r>
          </w:p>
        </w:tc>
        <w:tc>
          <w:tcPr>
            <w:tcW w:w="4353" w:type="dxa"/>
          </w:tcPr>
          <w:p w:rsidR="0053603C" w:rsidRDefault="0053603C" w:rsidP="0053603C">
            <w:pPr>
              <w:numPr>
                <w:ilvl w:val="0"/>
                <w:numId w:val="24"/>
              </w:numPr>
            </w:pPr>
            <w:r>
              <w:t>Australian Energy Market Commission</w:t>
            </w:r>
          </w:p>
        </w:tc>
      </w:tr>
      <w:tr w:rsidR="0053603C" w:rsidTr="000474DF">
        <w:tc>
          <w:tcPr>
            <w:tcW w:w="4340" w:type="dxa"/>
          </w:tcPr>
          <w:p w:rsidR="0053603C" w:rsidRDefault="0053603C" w:rsidP="0053603C">
            <w:pPr>
              <w:numPr>
                <w:ilvl w:val="0"/>
                <w:numId w:val="24"/>
              </w:numPr>
            </w:pPr>
            <w:r>
              <w:t>AEMO</w:t>
            </w:r>
          </w:p>
        </w:tc>
        <w:tc>
          <w:tcPr>
            <w:tcW w:w="4353" w:type="dxa"/>
          </w:tcPr>
          <w:p w:rsidR="0053603C" w:rsidRDefault="0053603C" w:rsidP="0053603C">
            <w:pPr>
              <w:numPr>
                <w:ilvl w:val="0"/>
                <w:numId w:val="24"/>
              </w:numPr>
            </w:pPr>
            <w:r>
              <w:t>Australian Energy Market Operator</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AER</w:t>
            </w:r>
          </w:p>
        </w:tc>
        <w:tc>
          <w:tcPr>
            <w:tcW w:w="4353" w:type="dxa"/>
          </w:tcPr>
          <w:p w:rsidR="0053603C" w:rsidRDefault="0053603C" w:rsidP="0053603C">
            <w:pPr>
              <w:numPr>
                <w:ilvl w:val="0"/>
                <w:numId w:val="24"/>
              </w:numPr>
            </w:pPr>
            <w:r>
              <w:t>Australian Energy Regulator</w:t>
            </w:r>
          </w:p>
        </w:tc>
      </w:tr>
      <w:tr w:rsidR="0053603C" w:rsidTr="000474DF">
        <w:tc>
          <w:tcPr>
            <w:tcW w:w="4340" w:type="dxa"/>
          </w:tcPr>
          <w:p w:rsidR="0053603C" w:rsidRDefault="0053603C" w:rsidP="0053603C">
            <w:pPr>
              <w:numPr>
                <w:ilvl w:val="0"/>
                <w:numId w:val="24"/>
              </w:numPr>
            </w:pPr>
            <w:r>
              <w:t>ASRR</w:t>
            </w:r>
          </w:p>
        </w:tc>
        <w:tc>
          <w:tcPr>
            <w:tcW w:w="4353" w:type="dxa"/>
          </w:tcPr>
          <w:p w:rsidR="0053603C" w:rsidRDefault="0053603C" w:rsidP="0053603C">
            <w:pPr>
              <w:numPr>
                <w:ilvl w:val="0"/>
                <w:numId w:val="24"/>
              </w:numPr>
            </w:pPr>
            <w:r>
              <w:t>annual service revenue requirement</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augex</w:t>
            </w:r>
          </w:p>
        </w:tc>
        <w:tc>
          <w:tcPr>
            <w:tcW w:w="4353" w:type="dxa"/>
          </w:tcPr>
          <w:p w:rsidR="0053603C" w:rsidRDefault="0053603C" w:rsidP="0053603C">
            <w:pPr>
              <w:numPr>
                <w:ilvl w:val="0"/>
                <w:numId w:val="24"/>
              </w:numPr>
            </w:pPr>
            <w:r>
              <w:t>augmentation expenditure</w:t>
            </w:r>
          </w:p>
        </w:tc>
      </w:tr>
      <w:tr w:rsidR="0053603C" w:rsidTr="000474DF">
        <w:tc>
          <w:tcPr>
            <w:tcW w:w="4340" w:type="dxa"/>
          </w:tcPr>
          <w:p w:rsidR="0053603C" w:rsidRDefault="0053603C" w:rsidP="0053603C">
            <w:pPr>
              <w:numPr>
                <w:ilvl w:val="0"/>
                <w:numId w:val="24"/>
              </w:numPr>
            </w:pPr>
            <w:r>
              <w:t>capex</w:t>
            </w:r>
          </w:p>
        </w:tc>
        <w:tc>
          <w:tcPr>
            <w:tcW w:w="4353" w:type="dxa"/>
          </w:tcPr>
          <w:p w:rsidR="0053603C" w:rsidRDefault="0053603C" w:rsidP="0053603C">
            <w:pPr>
              <w:numPr>
                <w:ilvl w:val="0"/>
                <w:numId w:val="24"/>
              </w:numPr>
            </w:pPr>
            <w:r>
              <w:t>capital expenditure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CCP</w:t>
            </w:r>
          </w:p>
        </w:tc>
        <w:tc>
          <w:tcPr>
            <w:tcW w:w="4353" w:type="dxa"/>
          </w:tcPr>
          <w:p w:rsidR="0053603C" w:rsidRDefault="0053603C" w:rsidP="0053603C">
            <w:pPr>
              <w:numPr>
                <w:ilvl w:val="0"/>
                <w:numId w:val="24"/>
              </w:numPr>
            </w:pPr>
            <w:r>
              <w:t>Consumer Challenge Panel</w:t>
            </w:r>
          </w:p>
        </w:tc>
      </w:tr>
      <w:tr w:rsidR="0053603C" w:rsidTr="000474DF">
        <w:tc>
          <w:tcPr>
            <w:tcW w:w="4340" w:type="dxa"/>
          </w:tcPr>
          <w:p w:rsidR="0053603C" w:rsidRDefault="0053603C" w:rsidP="0053603C">
            <w:pPr>
              <w:numPr>
                <w:ilvl w:val="0"/>
                <w:numId w:val="24"/>
              </w:numPr>
            </w:pPr>
            <w:r>
              <w:t>CESS</w:t>
            </w:r>
          </w:p>
        </w:tc>
        <w:tc>
          <w:tcPr>
            <w:tcW w:w="4353" w:type="dxa"/>
          </w:tcPr>
          <w:p w:rsidR="0053603C" w:rsidRDefault="0053603C" w:rsidP="0053603C">
            <w:pPr>
              <w:numPr>
                <w:ilvl w:val="0"/>
                <w:numId w:val="24"/>
              </w:numPr>
            </w:pPr>
            <w:r>
              <w:t>capital expenditure sharing scheme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CPI</w:t>
            </w:r>
          </w:p>
        </w:tc>
        <w:tc>
          <w:tcPr>
            <w:tcW w:w="4353" w:type="dxa"/>
          </w:tcPr>
          <w:p w:rsidR="0053603C" w:rsidRDefault="0053603C" w:rsidP="0053603C">
            <w:pPr>
              <w:numPr>
                <w:ilvl w:val="0"/>
                <w:numId w:val="24"/>
              </w:numPr>
            </w:pPr>
            <w:r>
              <w:t>consumer price index</w:t>
            </w:r>
          </w:p>
        </w:tc>
      </w:tr>
      <w:tr w:rsidR="00F62A14" w:rsidTr="000474DF">
        <w:tc>
          <w:tcPr>
            <w:tcW w:w="4340" w:type="dxa"/>
          </w:tcPr>
          <w:p w:rsidR="00F62A14" w:rsidRDefault="00F62A14" w:rsidP="0053603C">
            <w:pPr>
              <w:numPr>
                <w:ilvl w:val="0"/>
                <w:numId w:val="24"/>
              </w:numPr>
            </w:pPr>
            <w:r>
              <w:t>DMIA</w:t>
            </w:r>
          </w:p>
        </w:tc>
        <w:tc>
          <w:tcPr>
            <w:tcW w:w="4353" w:type="dxa"/>
          </w:tcPr>
          <w:p w:rsidR="00F62A14" w:rsidRDefault="00F62A14" w:rsidP="0053603C">
            <w:pPr>
              <w:numPr>
                <w:ilvl w:val="0"/>
                <w:numId w:val="24"/>
              </w:numPr>
            </w:pPr>
            <w:r>
              <w:t>demand management innovation allowance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DRP</w:t>
            </w:r>
          </w:p>
        </w:tc>
        <w:tc>
          <w:tcPr>
            <w:tcW w:w="4353" w:type="dxa"/>
          </w:tcPr>
          <w:p w:rsidR="0053603C" w:rsidRDefault="0053603C" w:rsidP="0053603C">
            <w:pPr>
              <w:numPr>
                <w:ilvl w:val="0"/>
                <w:numId w:val="24"/>
              </w:numPr>
            </w:pPr>
            <w:r>
              <w:t>debt risk premium</w:t>
            </w:r>
          </w:p>
        </w:tc>
      </w:tr>
      <w:tr w:rsidR="0053603C" w:rsidTr="000474DF">
        <w:tc>
          <w:tcPr>
            <w:tcW w:w="4340" w:type="dxa"/>
          </w:tcPr>
          <w:p w:rsidR="0053603C" w:rsidRDefault="0053603C" w:rsidP="0053603C">
            <w:pPr>
              <w:numPr>
                <w:ilvl w:val="0"/>
                <w:numId w:val="24"/>
              </w:numPr>
            </w:pPr>
            <w:r>
              <w:t>EBSS</w:t>
            </w:r>
          </w:p>
        </w:tc>
        <w:tc>
          <w:tcPr>
            <w:tcW w:w="4353" w:type="dxa"/>
          </w:tcPr>
          <w:p w:rsidR="0053603C" w:rsidRDefault="0053603C" w:rsidP="0053603C">
            <w:pPr>
              <w:numPr>
                <w:ilvl w:val="0"/>
                <w:numId w:val="24"/>
              </w:numPr>
            </w:pPr>
            <w:r>
              <w:t>efficiency benefit sharing scheme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ERP</w:t>
            </w:r>
          </w:p>
        </w:tc>
        <w:tc>
          <w:tcPr>
            <w:tcW w:w="4353" w:type="dxa"/>
          </w:tcPr>
          <w:p w:rsidR="0053603C" w:rsidRDefault="0053603C" w:rsidP="0053603C">
            <w:pPr>
              <w:numPr>
                <w:ilvl w:val="0"/>
                <w:numId w:val="24"/>
              </w:numPr>
            </w:pPr>
            <w:r>
              <w:t>equity risk premium</w:t>
            </w:r>
          </w:p>
        </w:tc>
      </w:tr>
      <w:tr w:rsidR="0053603C" w:rsidTr="000474DF">
        <w:tc>
          <w:tcPr>
            <w:tcW w:w="4340" w:type="dxa"/>
          </w:tcPr>
          <w:p w:rsidR="0053603C" w:rsidRDefault="0053603C" w:rsidP="0053603C">
            <w:pPr>
              <w:numPr>
                <w:ilvl w:val="0"/>
                <w:numId w:val="24"/>
              </w:numPr>
            </w:pPr>
            <w:r>
              <w:t>MAR</w:t>
            </w:r>
          </w:p>
        </w:tc>
        <w:tc>
          <w:tcPr>
            <w:tcW w:w="4353" w:type="dxa"/>
          </w:tcPr>
          <w:p w:rsidR="0053603C" w:rsidRDefault="0053603C" w:rsidP="0053603C">
            <w:pPr>
              <w:numPr>
                <w:ilvl w:val="0"/>
                <w:numId w:val="24"/>
              </w:numPr>
            </w:pPr>
            <w:r>
              <w:t>maximum allowed revenue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MRP</w:t>
            </w:r>
          </w:p>
        </w:tc>
        <w:tc>
          <w:tcPr>
            <w:tcW w:w="4353" w:type="dxa"/>
          </w:tcPr>
          <w:p w:rsidR="0053603C" w:rsidRDefault="0053603C" w:rsidP="0053603C">
            <w:pPr>
              <w:numPr>
                <w:ilvl w:val="0"/>
                <w:numId w:val="24"/>
              </w:numPr>
            </w:pPr>
            <w:r>
              <w:t>market risk premium</w:t>
            </w:r>
          </w:p>
        </w:tc>
      </w:tr>
      <w:tr w:rsidR="0053603C" w:rsidTr="000474DF">
        <w:tc>
          <w:tcPr>
            <w:tcW w:w="4340" w:type="dxa"/>
          </w:tcPr>
          <w:p w:rsidR="0053603C" w:rsidRDefault="0053603C" w:rsidP="0053603C">
            <w:pPr>
              <w:numPr>
                <w:ilvl w:val="0"/>
                <w:numId w:val="24"/>
              </w:numPr>
            </w:pPr>
            <w:r>
              <w:t>NEL</w:t>
            </w:r>
          </w:p>
        </w:tc>
        <w:tc>
          <w:tcPr>
            <w:tcW w:w="4353" w:type="dxa"/>
          </w:tcPr>
          <w:p w:rsidR="0053603C" w:rsidRDefault="0053603C" w:rsidP="0053603C">
            <w:pPr>
              <w:numPr>
                <w:ilvl w:val="0"/>
                <w:numId w:val="24"/>
              </w:numPr>
            </w:pPr>
            <w:r>
              <w:t>national electricity law</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NEM</w:t>
            </w:r>
          </w:p>
        </w:tc>
        <w:tc>
          <w:tcPr>
            <w:tcW w:w="4353" w:type="dxa"/>
          </w:tcPr>
          <w:p w:rsidR="0053603C" w:rsidRDefault="0053603C" w:rsidP="0053603C">
            <w:pPr>
              <w:numPr>
                <w:ilvl w:val="0"/>
                <w:numId w:val="24"/>
              </w:numPr>
            </w:pPr>
            <w:r>
              <w:t>national electricity market</w:t>
            </w:r>
          </w:p>
        </w:tc>
      </w:tr>
      <w:tr w:rsidR="0053603C" w:rsidTr="000474DF">
        <w:tc>
          <w:tcPr>
            <w:tcW w:w="4340" w:type="dxa"/>
          </w:tcPr>
          <w:p w:rsidR="0053603C" w:rsidRDefault="0053603C" w:rsidP="0053603C">
            <w:pPr>
              <w:numPr>
                <w:ilvl w:val="0"/>
                <w:numId w:val="24"/>
              </w:numPr>
            </w:pPr>
            <w:r>
              <w:t>NEO</w:t>
            </w:r>
          </w:p>
        </w:tc>
        <w:tc>
          <w:tcPr>
            <w:tcW w:w="4353" w:type="dxa"/>
          </w:tcPr>
          <w:p w:rsidR="0053603C" w:rsidRDefault="0053603C" w:rsidP="0053603C">
            <w:pPr>
              <w:numPr>
                <w:ilvl w:val="0"/>
                <w:numId w:val="24"/>
              </w:numPr>
            </w:pPr>
            <w:r>
              <w:t>national electricity objective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NER</w:t>
            </w:r>
          </w:p>
        </w:tc>
        <w:tc>
          <w:tcPr>
            <w:tcW w:w="4353" w:type="dxa"/>
          </w:tcPr>
          <w:p w:rsidR="0053603C" w:rsidRDefault="0053603C" w:rsidP="0053603C">
            <w:pPr>
              <w:numPr>
                <w:ilvl w:val="0"/>
                <w:numId w:val="24"/>
              </w:numPr>
            </w:pPr>
            <w:r>
              <w:t>national electricity rules</w:t>
            </w:r>
          </w:p>
        </w:tc>
      </w:tr>
      <w:tr w:rsidR="0053603C" w:rsidTr="000474DF">
        <w:tc>
          <w:tcPr>
            <w:tcW w:w="4340" w:type="dxa"/>
          </w:tcPr>
          <w:p w:rsidR="0053603C" w:rsidRDefault="0053603C" w:rsidP="0053603C">
            <w:pPr>
              <w:numPr>
                <w:ilvl w:val="0"/>
                <w:numId w:val="24"/>
              </w:numPr>
            </w:pPr>
            <w:r>
              <w:t>NSP</w:t>
            </w:r>
          </w:p>
        </w:tc>
        <w:tc>
          <w:tcPr>
            <w:tcW w:w="4353" w:type="dxa"/>
          </w:tcPr>
          <w:p w:rsidR="0053603C" w:rsidRDefault="0053603C" w:rsidP="0053603C">
            <w:pPr>
              <w:numPr>
                <w:ilvl w:val="0"/>
                <w:numId w:val="24"/>
              </w:numPr>
            </w:pPr>
            <w:r>
              <w:t>network service provider</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NTSC</w:t>
            </w:r>
          </w:p>
        </w:tc>
        <w:tc>
          <w:tcPr>
            <w:tcW w:w="4353" w:type="dxa"/>
          </w:tcPr>
          <w:p w:rsidR="0053603C" w:rsidRDefault="0053603C" w:rsidP="0053603C">
            <w:pPr>
              <w:numPr>
                <w:ilvl w:val="0"/>
                <w:numId w:val="24"/>
              </w:numPr>
            </w:pPr>
            <w:r>
              <w:t>negotiated transmission service criteria</w:t>
            </w:r>
          </w:p>
        </w:tc>
      </w:tr>
      <w:tr w:rsidR="0053603C" w:rsidTr="000474DF">
        <w:tc>
          <w:tcPr>
            <w:tcW w:w="4340" w:type="dxa"/>
          </w:tcPr>
          <w:p w:rsidR="0053603C" w:rsidRDefault="0053603C" w:rsidP="0053603C">
            <w:pPr>
              <w:numPr>
                <w:ilvl w:val="0"/>
                <w:numId w:val="24"/>
              </w:numPr>
            </w:pPr>
            <w:r>
              <w:t>opex</w:t>
            </w:r>
          </w:p>
        </w:tc>
        <w:tc>
          <w:tcPr>
            <w:tcW w:w="4353" w:type="dxa"/>
          </w:tcPr>
          <w:p w:rsidR="0053603C" w:rsidRDefault="0053603C" w:rsidP="0053603C">
            <w:pPr>
              <w:numPr>
                <w:ilvl w:val="0"/>
                <w:numId w:val="24"/>
              </w:numPr>
            </w:pPr>
            <w:r>
              <w:t>operating expenditure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PPI</w:t>
            </w:r>
          </w:p>
        </w:tc>
        <w:tc>
          <w:tcPr>
            <w:tcW w:w="4353" w:type="dxa"/>
          </w:tcPr>
          <w:p w:rsidR="0053603C" w:rsidRDefault="0053603C" w:rsidP="0053603C">
            <w:pPr>
              <w:numPr>
                <w:ilvl w:val="0"/>
                <w:numId w:val="24"/>
              </w:numPr>
            </w:pPr>
            <w:r>
              <w:t>partial performance indicators</w:t>
            </w:r>
          </w:p>
        </w:tc>
      </w:tr>
      <w:tr w:rsidR="0053603C" w:rsidTr="000474DF">
        <w:tc>
          <w:tcPr>
            <w:tcW w:w="4340" w:type="dxa"/>
          </w:tcPr>
          <w:p w:rsidR="0053603C" w:rsidRDefault="0053603C" w:rsidP="0053603C">
            <w:pPr>
              <w:numPr>
                <w:ilvl w:val="0"/>
                <w:numId w:val="24"/>
              </w:numPr>
            </w:pPr>
            <w:r>
              <w:t>PTRM</w:t>
            </w:r>
          </w:p>
        </w:tc>
        <w:tc>
          <w:tcPr>
            <w:tcW w:w="4353" w:type="dxa"/>
          </w:tcPr>
          <w:p w:rsidR="0053603C" w:rsidRDefault="0053603C" w:rsidP="0053603C">
            <w:pPr>
              <w:numPr>
                <w:ilvl w:val="0"/>
                <w:numId w:val="24"/>
              </w:numPr>
            </w:pPr>
            <w:r>
              <w:t>post-tax revenue model</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RAB</w:t>
            </w:r>
          </w:p>
        </w:tc>
        <w:tc>
          <w:tcPr>
            <w:tcW w:w="4353" w:type="dxa"/>
          </w:tcPr>
          <w:p w:rsidR="0053603C" w:rsidRDefault="0053603C" w:rsidP="0053603C">
            <w:pPr>
              <w:numPr>
                <w:ilvl w:val="0"/>
                <w:numId w:val="24"/>
              </w:numPr>
            </w:pPr>
            <w:r>
              <w:t>regulatory asset base</w:t>
            </w:r>
          </w:p>
        </w:tc>
      </w:tr>
      <w:tr w:rsidR="0053603C" w:rsidTr="000474DF">
        <w:tc>
          <w:tcPr>
            <w:tcW w:w="4340" w:type="dxa"/>
          </w:tcPr>
          <w:p w:rsidR="0053603C" w:rsidRDefault="0053603C" w:rsidP="0053603C">
            <w:pPr>
              <w:numPr>
                <w:ilvl w:val="0"/>
                <w:numId w:val="24"/>
              </w:numPr>
            </w:pPr>
            <w:r>
              <w:t>RBA</w:t>
            </w:r>
          </w:p>
        </w:tc>
        <w:tc>
          <w:tcPr>
            <w:tcW w:w="4353" w:type="dxa"/>
          </w:tcPr>
          <w:p w:rsidR="0053603C" w:rsidRDefault="0053603C" w:rsidP="0053603C">
            <w:pPr>
              <w:numPr>
                <w:ilvl w:val="0"/>
                <w:numId w:val="24"/>
              </w:numPr>
            </w:pPr>
            <w:r>
              <w:t>Reserve Bank of Australia</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repex</w:t>
            </w:r>
          </w:p>
        </w:tc>
        <w:tc>
          <w:tcPr>
            <w:tcW w:w="4353" w:type="dxa"/>
          </w:tcPr>
          <w:p w:rsidR="0053603C" w:rsidRDefault="0053603C" w:rsidP="0053603C">
            <w:pPr>
              <w:numPr>
                <w:ilvl w:val="0"/>
                <w:numId w:val="24"/>
              </w:numPr>
            </w:pPr>
            <w:r>
              <w:t>replacement expenditure</w:t>
            </w:r>
          </w:p>
        </w:tc>
      </w:tr>
      <w:tr w:rsidR="0053603C" w:rsidTr="000474DF">
        <w:tc>
          <w:tcPr>
            <w:tcW w:w="4340" w:type="dxa"/>
          </w:tcPr>
          <w:p w:rsidR="0053603C" w:rsidRDefault="0053603C" w:rsidP="0053603C">
            <w:pPr>
              <w:numPr>
                <w:ilvl w:val="0"/>
                <w:numId w:val="24"/>
              </w:numPr>
            </w:pPr>
            <w:r>
              <w:t>RFM</w:t>
            </w:r>
          </w:p>
        </w:tc>
        <w:tc>
          <w:tcPr>
            <w:tcW w:w="4353" w:type="dxa"/>
          </w:tcPr>
          <w:p w:rsidR="0053603C" w:rsidRDefault="0053603C" w:rsidP="0053603C">
            <w:pPr>
              <w:numPr>
                <w:ilvl w:val="0"/>
                <w:numId w:val="24"/>
              </w:numPr>
            </w:pPr>
            <w:r>
              <w:t>roll forward model</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RIN</w:t>
            </w:r>
          </w:p>
        </w:tc>
        <w:tc>
          <w:tcPr>
            <w:tcW w:w="4353" w:type="dxa"/>
          </w:tcPr>
          <w:p w:rsidR="0053603C" w:rsidRDefault="0053603C" w:rsidP="0053603C">
            <w:pPr>
              <w:numPr>
                <w:ilvl w:val="0"/>
                <w:numId w:val="24"/>
              </w:numPr>
            </w:pPr>
            <w:r>
              <w:t>regulatory information notice</w:t>
            </w:r>
          </w:p>
        </w:tc>
      </w:tr>
      <w:tr w:rsidR="0053603C" w:rsidTr="000474DF">
        <w:tc>
          <w:tcPr>
            <w:tcW w:w="4340" w:type="dxa"/>
          </w:tcPr>
          <w:p w:rsidR="0053603C" w:rsidRDefault="0053603C" w:rsidP="0053603C">
            <w:pPr>
              <w:numPr>
                <w:ilvl w:val="0"/>
                <w:numId w:val="24"/>
              </w:numPr>
            </w:pPr>
            <w:r>
              <w:lastRenderedPageBreak/>
              <w:t>RPP</w:t>
            </w:r>
          </w:p>
        </w:tc>
        <w:tc>
          <w:tcPr>
            <w:tcW w:w="4353" w:type="dxa"/>
          </w:tcPr>
          <w:p w:rsidR="0053603C" w:rsidRDefault="0053603C" w:rsidP="0053603C">
            <w:pPr>
              <w:numPr>
                <w:ilvl w:val="0"/>
                <w:numId w:val="24"/>
              </w:numPr>
            </w:pPr>
            <w:r>
              <w:t>revenue and pricing principles</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SLCAPM</w:t>
            </w:r>
          </w:p>
        </w:tc>
        <w:tc>
          <w:tcPr>
            <w:tcW w:w="4353" w:type="dxa"/>
          </w:tcPr>
          <w:p w:rsidR="0053603C" w:rsidRDefault="0053603C" w:rsidP="0053603C">
            <w:pPr>
              <w:numPr>
                <w:ilvl w:val="0"/>
                <w:numId w:val="24"/>
              </w:numPr>
            </w:pPr>
            <w:r>
              <w:t>Sharpe-Lintner capital asset pricing model</w:t>
            </w:r>
          </w:p>
        </w:tc>
      </w:tr>
      <w:tr w:rsidR="0053603C" w:rsidTr="000474DF">
        <w:tc>
          <w:tcPr>
            <w:tcW w:w="4340" w:type="dxa"/>
          </w:tcPr>
          <w:p w:rsidR="0053603C" w:rsidRDefault="0053603C" w:rsidP="0053603C">
            <w:pPr>
              <w:numPr>
                <w:ilvl w:val="0"/>
                <w:numId w:val="24"/>
              </w:numPr>
            </w:pPr>
            <w:r>
              <w:t>STPIS</w:t>
            </w:r>
          </w:p>
        </w:tc>
        <w:tc>
          <w:tcPr>
            <w:tcW w:w="4353" w:type="dxa"/>
          </w:tcPr>
          <w:p w:rsidR="0053603C" w:rsidRDefault="0053603C" w:rsidP="0053603C">
            <w:pPr>
              <w:numPr>
                <w:ilvl w:val="0"/>
                <w:numId w:val="24"/>
              </w:numPr>
            </w:pPr>
            <w:r>
              <w:t>service target performance incentive scheme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TNSP</w:t>
            </w:r>
          </w:p>
        </w:tc>
        <w:tc>
          <w:tcPr>
            <w:tcW w:w="4353" w:type="dxa"/>
          </w:tcPr>
          <w:p w:rsidR="0053603C" w:rsidRDefault="0053603C" w:rsidP="0053603C">
            <w:pPr>
              <w:numPr>
                <w:ilvl w:val="0"/>
                <w:numId w:val="24"/>
              </w:numPr>
            </w:pPr>
            <w:r>
              <w:t>transmission network service provider</w:t>
            </w:r>
          </w:p>
        </w:tc>
      </w:tr>
      <w:tr w:rsidR="0053603C" w:rsidTr="000474DF">
        <w:tc>
          <w:tcPr>
            <w:tcW w:w="4340" w:type="dxa"/>
          </w:tcPr>
          <w:p w:rsidR="0053603C" w:rsidRDefault="0053603C" w:rsidP="0053603C">
            <w:pPr>
              <w:numPr>
                <w:ilvl w:val="0"/>
                <w:numId w:val="24"/>
              </w:numPr>
            </w:pPr>
            <w:r>
              <w:t>TUoS</w:t>
            </w:r>
          </w:p>
        </w:tc>
        <w:tc>
          <w:tcPr>
            <w:tcW w:w="4353" w:type="dxa"/>
          </w:tcPr>
          <w:p w:rsidR="0053603C" w:rsidRDefault="0053603C" w:rsidP="0053603C">
            <w:pPr>
              <w:numPr>
                <w:ilvl w:val="0"/>
                <w:numId w:val="24"/>
              </w:numPr>
            </w:pPr>
            <w:r>
              <w:t>transmission use of system</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WACC</w:t>
            </w:r>
          </w:p>
        </w:tc>
        <w:tc>
          <w:tcPr>
            <w:tcW w:w="4353" w:type="dxa"/>
          </w:tcPr>
          <w:p w:rsidR="0053603C" w:rsidRDefault="0053603C" w:rsidP="0053603C">
            <w:pPr>
              <w:numPr>
                <w:ilvl w:val="0"/>
                <w:numId w:val="24"/>
              </w:numPr>
            </w:pPr>
            <w:r>
              <w:t>weighted average cost of capital</w:t>
            </w:r>
          </w:p>
        </w:tc>
      </w:tr>
    </w:tbl>
    <w:p w:rsidR="00DE563D" w:rsidRDefault="00C33011" w:rsidP="00C33011">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81048104"/>
      <w:bookmarkEnd w:id="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Pass through events</w:t>
      </w:r>
      <w:bookmarkEnd w:id="71"/>
    </w:p>
    <w:p w:rsidR="003653E1" w:rsidRDefault="003653E1" w:rsidP="003653E1">
      <w:pPr>
        <w:numPr>
          <w:ilvl w:val="0"/>
          <w:numId w:val="24"/>
        </w:numPr>
      </w:pPr>
      <w:r>
        <w:t>During the regulatory control period, a service provider can apply to us to pass material changes in its costs arising from p</w:t>
      </w:r>
      <w:r w:rsidR="00C43212">
        <w:t xml:space="preserve">re-defined </w:t>
      </w:r>
      <w:r>
        <w:t>events through to customers, in the form of higher or lower network charges.</w:t>
      </w:r>
      <w:r w:rsidRPr="006502ED">
        <w:t xml:space="preserve"> </w:t>
      </w:r>
      <w:r>
        <w:t>These events are called cost pass through events. Positive pass throughs exist in the rules as a mechanism to allow service providers to recover their efficient costs incurred as a result of events that could not be forecast as part of their proposal that otherwise would have a significant financial effect on the ability of networks to invest in and operate their networks.</w:t>
      </w:r>
      <w:r>
        <w:rPr>
          <w:rStyle w:val="FootnoteReference"/>
        </w:rPr>
        <w:footnoteReference w:id="1"/>
      </w:r>
    </w:p>
    <w:p w:rsidR="003653E1" w:rsidRPr="006502ED" w:rsidRDefault="003653E1" w:rsidP="003653E1">
      <w:r w:rsidRPr="006502ED">
        <w:t>The NER include the following pass through events</w:t>
      </w:r>
      <w:r>
        <w:t xml:space="preserve"> for all transmission determinations</w:t>
      </w:r>
      <w:r w:rsidRPr="006502ED">
        <w:t>:</w:t>
      </w:r>
      <w:r>
        <w:rPr>
          <w:rStyle w:val="FootnoteReference"/>
        </w:rPr>
        <w:footnoteReference w:id="2"/>
      </w:r>
    </w:p>
    <w:p w:rsidR="003653E1" w:rsidRPr="006502ED" w:rsidRDefault="003653E1" w:rsidP="003653E1">
      <w:pPr>
        <w:pStyle w:val="AERbulletlistfirststyle"/>
      </w:pPr>
      <w:r w:rsidRPr="006502ED">
        <w:t>a regulatory change event</w:t>
      </w:r>
      <w:r>
        <w:t>,</w:t>
      </w:r>
    </w:p>
    <w:p w:rsidR="003653E1" w:rsidRPr="006502ED" w:rsidRDefault="003653E1" w:rsidP="003653E1">
      <w:pPr>
        <w:pStyle w:val="AERbulletlistfirststyle"/>
      </w:pPr>
      <w:r w:rsidRPr="006502ED">
        <w:t>a service standard event</w:t>
      </w:r>
      <w:r>
        <w:t>,</w:t>
      </w:r>
    </w:p>
    <w:p w:rsidR="003653E1" w:rsidRPr="00196CE3" w:rsidRDefault="003653E1" w:rsidP="003653E1">
      <w:pPr>
        <w:pStyle w:val="AERbulletlistfirststyle"/>
      </w:pPr>
      <w:r w:rsidRPr="00196CE3">
        <w:t>a tax change event</w:t>
      </w:r>
      <w:r>
        <w:t>, and</w:t>
      </w:r>
    </w:p>
    <w:p w:rsidR="003653E1" w:rsidRPr="006502ED" w:rsidRDefault="003653E1" w:rsidP="003653E1">
      <w:pPr>
        <w:pStyle w:val="AERbulletlistfirststyle"/>
      </w:pPr>
      <w:r>
        <w:t>an insurance event.</w:t>
      </w:r>
    </w:p>
    <w:p w:rsidR="003653E1" w:rsidRDefault="003653E1" w:rsidP="003653E1">
      <w:r>
        <w:t>I</w:t>
      </w:r>
      <w:r w:rsidRPr="00DB150D">
        <w:t>n addition to these prescribed events, other (nominated) pass through events may be specified in a determination for a regulatory control period.</w:t>
      </w:r>
      <w:r w:rsidRPr="00DB150D">
        <w:rPr>
          <w:rStyle w:val="FootnoteReference"/>
        </w:rPr>
        <w:footnoteReference w:id="3"/>
      </w:r>
      <w:r w:rsidRPr="00DB150D">
        <w:t xml:space="preserve"> </w:t>
      </w:r>
    </w:p>
    <w:p w:rsidR="003653E1" w:rsidRPr="00DB150D" w:rsidRDefault="003653E1" w:rsidP="003653E1">
      <w:r>
        <w:t>Our final decision must include a decision on the nominated pass through events that are to apply for the regulatory control period.</w:t>
      </w:r>
      <w:r>
        <w:rPr>
          <w:rStyle w:val="FootnoteReference"/>
        </w:rPr>
        <w:footnoteReference w:id="4"/>
      </w:r>
    </w:p>
    <w:p w:rsidR="00EB3345" w:rsidRPr="006502ED" w:rsidRDefault="003653E1" w:rsidP="003653E1">
      <w:r w:rsidRPr="006502ED">
        <w:t xml:space="preserve">This attachment sets out our </w:t>
      </w:r>
      <w:r>
        <w:t>final</w:t>
      </w:r>
      <w:r w:rsidRPr="006502ED">
        <w:t xml:space="preserve"> decision on the </w:t>
      </w:r>
      <w:r>
        <w:t>nominated</w:t>
      </w:r>
      <w:r w:rsidRPr="006502ED">
        <w:t xml:space="preserve"> pass through events </w:t>
      </w:r>
      <w:r>
        <w:t xml:space="preserve">that will apply to </w:t>
      </w:r>
      <w:r w:rsidR="00EB3345">
        <w:t>Powerlink</w:t>
      </w:r>
      <w:r w:rsidR="00EB3345" w:rsidRPr="006502ED">
        <w:t xml:space="preserve"> </w:t>
      </w:r>
      <w:r w:rsidR="00EB3345">
        <w:t>for</w:t>
      </w:r>
      <w:r w:rsidR="00EB3345" w:rsidRPr="006502ED">
        <w:t xml:space="preserve"> the </w:t>
      </w:r>
      <w:r w:rsidR="00EB3345">
        <w:t xml:space="preserve">2017-22 </w:t>
      </w:r>
      <w:r w:rsidR="00EB3345" w:rsidRPr="006502ED">
        <w:t>regulatory control period.</w:t>
      </w:r>
    </w:p>
    <w:p w:rsidR="00132D43" w:rsidRDefault="00A558C4" w:rsidP="00132D43">
      <w:pPr>
        <w:pStyle w:val="Heading2"/>
      </w:pPr>
      <w:bookmarkStart w:id="72" w:name="_Toc481048105"/>
      <w:r>
        <w:t>Final</w:t>
      </w:r>
      <w:r w:rsidR="00132D43">
        <w:t xml:space="preserve"> decision</w:t>
      </w:r>
      <w:bookmarkEnd w:id="72"/>
    </w:p>
    <w:p w:rsidR="00132D43" w:rsidRDefault="00434917" w:rsidP="00132D43">
      <w:r>
        <w:t xml:space="preserve">Our final decision is that the nominated pass through events detailed in </w:t>
      </w:r>
      <w:r>
        <w:fldChar w:fldCharType="begin"/>
      </w:r>
      <w:r>
        <w:instrText xml:space="preserve"> REF _Ref436748663 \h </w:instrText>
      </w:r>
      <w:r>
        <w:fldChar w:fldCharType="separate"/>
      </w:r>
      <w:r w:rsidR="00962B3A">
        <w:t xml:space="preserve">Table </w:t>
      </w:r>
      <w:r w:rsidR="00962B3A">
        <w:rPr>
          <w:noProof/>
        </w:rPr>
        <w:t>13</w:t>
      </w:r>
      <w:r w:rsidR="00962B3A">
        <w:noBreakHyphen/>
      </w:r>
      <w:r w:rsidR="00962B3A">
        <w:rPr>
          <w:noProof/>
        </w:rPr>
        <w:t>1</w:t>
      </w:r>
      <w:r>
        <w:fldChar w:fldCharType="end"/>
      </w:r>
      <w:r>
        <w:t xml:space="preserve">  will apply to Powerlink for the 2017</w:t>
      </w:r>
      <w:r w:rsidRPr="00180BEB">
        <w:t>–</w:t>
      </w:r>
      <w:r>
        <w:t xml:space="preserve">22 </w:t>
      </w:r>
      <w:r w:rsidRPr="006502ED">
        <w:t>regulatory control period.</w:t>
      </w:r>
    </w:p>
    <w:p w:rsidR="00EB3345" w:rsidRDefault="00EB3345" w:rsidP="00EB3345">
      <w:pPr>
        <w:pStyle w:val="Caption"/>
      </w:pPr>
      <w:bookmarkStart w:id="73" w:name="_Ref436748663"/>
      <w:r>
        <w:t xml:space="preserve">Table </w:t>
      </w:r>
      <w:r w:rsidRPr="00EB3345">
        <w:fldChar w:fldCharType="begin"/>
      </w:r>
      <w:r>
        <w:instrText xml:space="preserve"> STYLEREF 1 \s </w:instrText>
      </w:r>
      <w:r w:rsidRPr="00EB3345">
        <w:fldChar w:fldCharType="separate"/>
      </w:r>
      <w:r w:rsidR="00962B3A">
        <w:rPr>
          <w:noProof/>
        </w:rPr>
        <w:t>13</w:t>
      </w:r>
      <w:r w:rsidRPr="00EB3345">
        <w:fldChar w:fldCharType="end"/>
      </w:r>
      <w:r>
        <w:noBreakHyphen/>
      </w:r>
      <w:r w:rsidRPr="00EB3345">
        <w:fldChar w:fldCharType="begin"/>
      </w:r>
      <w:r>
        <w:instrText xml:space="preserve"> SEQ Table \* ARABIC \s 1 </w:instrText>
      </w:r>
      <w:r w:rsidRPr="00EB3345">
        <w:fldChar w:fldCharType="separate"/>
      </w:r>
      <w:r w:rsidR="00962B3A">
        <w:rPr>
          <w:noProof/>
        </w:rPr>
        <w:t>1</w:t>
      </w:r>
      <w:r w:rsidRPr="00EB3345">
        <w:fldChar w:fldCharType="end"/>
      </w:r>
      <w:bookmarkEnd w:id="73"/>
      <w:r w:rsidRPr="00C4578E">
        <w:tab/>
      </w:r>
      <w:r w:rsidR="00C43212">
        <w:t>Pass through events applying to Powerlink for the 2017-22 regulatory control period</w:t>
      </w:r>
    </w:p>
    <w:tbl>
      <w:tblPr>
        <w:tblStyle w:val="AERtable-text0"/>
        <w:tblW w:w="0" w:type="auto"/>
        <w:tblLook w:val="04A0" w:firstRow="1" w:lastRow="0" w:firstColumn="1" w:lastColumn="0" w:noHBand="0" w:noVBand="1"/>
      </w:tblPr>
      <w:tblGrid>
        <w:gridCol w:w="3085"/>
        <w:gridCol w:w="5608"/>
      </w:tblGrid>
      <w:tr w:rsidR="00EB3345" w:rsidTr="00F47594">
        <w:trPr>
          <w:cnfStyle w:val="100000000000" w:firstRow="1" w:lastRow="0" w:firstColumn="0" w:lastColumn="0" w:oddVBand="0" w:evenVBand="0" w:oddHBand="0" w:evenHBand="0" w:firstRowFirstColumn="0" w:firstRowLastColumn="0" w:lastRowFirstColumn="0" w:lastRowLastColumn="0"/>
          <w:tblHeader/>
        </w:trPr>
        <w:tc>
          <w:tcPr>
            <w:tcW w:w="3085" w:type="dxa"/>
          </w:tcPr>
          <w:p w:rsidR="00EB3345" w:rsidRPr="00EB3345" w:rsidRDefault="0009297F" w:rsidP="0009297F">
            <w:r>
              <w:t>E</w:t>
            </w:r>
            <w:r w:rsidR="00EB3345">
              <w:t>vent</w:t>
            </w:r>
          </w:p>
        </w:tc>
        <w:tc>
          <w:tcPr>
            <w:tcW w:w="5608" w:type="dxa"/>
          </w:tcPr>
          <w:p w:rsidR="00EB3345" w:rsidRPr="00EB3345" w:rsidRDefault="0009297F" w:rsidP="00EB3345">
            <w:r>
              <w:t>D</w:t>
            </w:r>
            <w:r w:rsidR="00EB3345" w:rsidRPr="00EB3345">
              <w:t xml:space="preserve">efinition </w:t>
            </w:r>
          </w:p>
        </w:tc>
      </w:tr>
      <w:tr w:rsidR="00EB3345" w:rsidTr="00F47594">
        <w:tc>
          <w:tcPr>
            <w:tcW w:w="3085" w:type="dxa"/>
          </w:tcPr>
          <w:p w:rsidR="00EB3345" w:rsidRPr="00EB3345" w:rsidRDefault="00434917" w:rsidP="00EB3345">
            <w:r>
              <w:t>Insurance cap</w:t>
            </w:r>
          </w:p>
        </w:tc>
        <w:tc>
          <w:tcPr>
            <w:tcW w:w="5608" w:type="dxa"/>
          </w:tcPr>
          <w:p w:rsidR="00434917" w:rsidRPr="00434917" w:rsidRDefault="00434917" w:rsidP="00434917">
            <w:r>
              <w:t xml:space="preserve">An insurance cap </w:t>
            </w:r>
            <w:r w:rsidRPr="00434917">
              <w:t>event occurs if:</w:t>
            </w:r>
          </w:p>
          <w:p w:rsidR="00434917" w:rsidRPr="00434917" w:rsidRDefault="00434917" w:rsidP="00434917">
            <w:pPr>
              <w:pStyle w:val="ListNumber"/>
            </w:pPr>
            <w:r w:rsidRPr="00F81ADF">
              <w:t>Powerlink makes a claim or claims and receives the benefit of a payment or payments under a relevant insurance policy;</w:t>
            </w:r>
          </w:p>
          <w:p w:rsidR="00434917" w:rsidRPr="00434917" w:rsidRDefault="00434917" w:rsidP="00434917">
            <w:pPr>
              <w:pStyle w:val="ListNumber"/>
            </w:pPr>
            <w:r w:rsidRPr="00696AF7">
              <w:lastRenderedPageBreak/>
              <w:t xml:space="preserve">Powerlink incurs costs beyond the </w:t>
            </w:r>
            <w:r w:rsidRPr="00434917">
              <w:t>relevant policy limit of the relevant insurance policy at the time of the event that gives rise to the relevant claim; and</w:t>
            </w:r>
          </w:p>
          <w:p w:rsidR="00434917" w:rsidRPr="00434917" w:rsidRDefault="00434917" w:rsidP="00434917">
            <w:pPr>
              <w:pStyle w:val="ListNumber"/>
            </w:pPr>
            <w:r w:rsidRPr="00696AF7">
              <w:t xml:space="preserve">The costs beyond the relevant policy limit </w:t>
            </w:r>
            <w:r w:rsidRPr="00434917">
              <w:t>materially increase the costs to Powerlink of providing prescribed transmission services.</w:t>
            </w:r>
          </w:p>
          <w:p w:rsidR="00434917" w:rsidRPr="00434917" w:rsidRDefault="00434917" w:rsidP="00434917">
            <w:r w:rsidRPr="00696AF7">
              <w:t>For this Insurance Cap Event:</w:t>
            </w:r>
          </w:p>
          <w:p w:rsidR="00434917" w:rsidRPr="00434917" w:rsidRDefault="00434917" w:rsidP="00434917">
            <w:pPr>
              <w:pStyle w:val="ListNumber"/>
            </w:pPr>
            <w:r w:rsidRPr="00434917">
              <w:t>The relevant policy limit is the greater of:</w:t>
            </w:r>
          </w:p>
          <w:p w:rsidR="00434917" w:rsidRPr="00434917" w:rsidRDefault="00434917" w:rsidP="00434917">
            <w:pPr>
              <w:pStyle w:val="AERnumberedlistsecondstyle"/>
            </w:pPr>
            <w:r w:rsidRPr="00434917">
              <w:t>Powerlink’s actual policy limit at the time of the event that gives, or would have given rise to a claim; and</w:t>
            </w:r>
          </w:p>
          <w:p w:rsidR="00434917" w:rsidRPr="00434917" w:rsidRDefault="00434917" w:rsidP="00434917">
            <w:pPr>
              <w:pStyle w:val="AERnumberedlistsecondstyle"/>
            </w:pPr>
            <w:r w:rsidRPr="00434917">
              <w:t>the policy limit that is explicitly or implicitly commensurate with the allowance for insurance premiums that is included in the forecast operating expenditure allowance approved in the AER’s final decision for the regulatory period in which the insurance policy is issued.</w:t>
            </w:r>
          </w:p>
          <w:p w:rsidR="00434917" w:rsidRDefault="00434917" w:rsidP="00434917">
            <w:pPr>
              <w:pStyle w:val="ListNumber"/>
            </w:pPr>
            <w:r w:rsidRPr="00CD5270">
              <w:t xml:space="preserve">A relevant insurance policy is an insurance policy held during the </w:t>
            </w:r>
            <w:r w:rsidRPr="00434917">
              <w:t>201</w:t>
            </w:r>
            <w:r>
              <w:t>7</w:t>
            </w:r>
            <w:r w:rsidRPr="00434917">
              <w:t>/1</w:t>
            </w:r>
            <w:r>
              <w:t>8</w:t>
            </w:r>
            <w:r w:rsidRPr="00434917">
              <w:t xml:space="preserve"> to 2021/22 regulatory control period or a previous regulatory control  period in which Powerlink was regulated, and</w:t>
            </w:r>
          </w:p>
          <w:p w:rsidR="00434917" w:rsidRPr="00434917" w:rsidRDefault="00434917" w:rsidP="00434917">
            <w:pPr>
              <w:pStyle w:val="ListNumber"/>
            </w:pPr>
            <w:r>
              <w:t>Powerlink will be deemed to have made a claim on a relevant insurance policy if the claim made by a related body corporate of Powerlink in relation to any aspects of Powerlink's prescribed transmission services.</w:t>
            </w:r>
          </w:p>
          <w:p w:rsidR="00434917" w:rsidRPr="00434917" w:rsidRDefault="00434917" w:rsidP="00434917">
            <w:r w:rsidRPr="00696AF7">
              <w:t xml:space="preserve">Note: </w:t>
            </w:r>
            <w:r w:rsidRPr="00434917">
              <w:t>in making a determination on an Insurance Cap Event, the AER will have regard to, amongst other things:</w:t>
            </w:r>
          </w:p>
          <w:p w:rsidR="00434917" w:rsidRPr="00434917" w:rsidRDefault="00434917" w:rsidP="00434917">
            <w:r w:rsidRPr="00696AF7">
              <w:t>i. the insurance policy for the event;</w:t>
            </w:r>
          </w:p>
          <w:p w:rsidR="00434917" w:rsidRPr="00434917" w:rsidRDefault="00434917" w:rsidP="00434917">
            <w:r w:rsidRPr="00696AF7">
              <w:t>ii. the level of insurance that an efficient and prudent NSP would obtain in respect of the event; and</w:t>
            </w:r>
          </w:p>
          <w:p w:rsidR="00434917" w:rsidRPr="00434917" w:rsidRDefault="00434917" w:rsidP="00434917">
            <w:r w:rsidRPr="00434917">
              <w:t>iii. any assessment by the AER of Powerlink’s insurance documented in respect of its transmission determination for the relevant period.</w:t>
            </w:r>
          </w:p>
          <w:p w:rsidR="00EB3345" w:rsidRPr="00EB3345" w:rsidRDefault="00EB3345" w:rsidP="00EB3345"/>
        </w:tc>
      </w:tr>
      <w:tr w:rsidR="00EB3345" w:rsidTr="00F47594">
        <w:trPr>
          <w:cnfStyle w:val="000000010000" w:firstRow="0" w:lastRow="0" w:firstColumn="0" w:lastColumn="0" w:oddVBand="0" w:evenVBand="0" w:oddHBand="0" w:evenHBand="1" w:firstRowFirstColumn="0" w:firstRowLastColumn="0" w:lastRowFirstColumn="0" w:lastRowLastColumn="0"/>
        </w:trPr>
        <w:tc>
          <w:tcPr>
            <w:tcW w:w="3085" w:type="dxa"/>
          </w:tcPr>
          <w:p w:rsidR="00EB3345" w:rsidRPr="00EB3345" w:rsidRDefault="00434917" w:rsidP="00EB3345">
            <w:r>
              <w:lastRenderedPageBreak/>
              <w:t>Terrorism event</w:t>
            </w:r>
          </w:p>
        </w:tc>
        <w:tc>
          <w:tcPr>
            <w:tcW w:w="5608" w:type="dxa"/>
          </w:tcPr>
          <w:p w:rsidR="00C43212" w:rsidRDefault="00434917" w:rsidP="00434917">
            <w:r w:rsidRPr="00434917">
              <w:t>A terrorism event is:</w:t>
            </w:r>
          </w:p>
          <w:p w:rsidR="00434917" w:rsidRPr="00434917" w:rsidRDefault="00434917" w:rsidP="00434917">
            <w:r w:rsidRPr="00434917">
              <w:t>An act (including, but not limited to, the use of force or violence or the threat of force or violence) of any person or group of persons (whether acting alone or on behalf of or in connection with any organisation or government), which  from its nature or context is done for, or in connection with, political, religious, ideological, ethnic or similar purposes or reasons (including the intention to influence or intimidate any government and/or put the public, or any section of the public, in fear) and</w:t>
            </w:r>
            <w:r>
              <w:t xml:space="preserve"> which</w:t>
            </w:r>
            <w:r w:rsidRPr="00434917">
              <w:t xml:space="preserve"> increases the costs to Powerlink in providing prescribed transmission services.</w:t>
            </w:r>
          </w:p>
          <w:p w:rsidR="00434917" w:rsidRPr="00434917" w:rsidRDefault="00434917" w:rsidP="00434917">
            <w:r w:rsidRPr="00434917">
              <w:t>Note: In assessing a terrorism event pass through application, the AER will have regard to, amongst other things:</w:t>
            </w:r>
          </w:p>
          <w:p w:rsidR="00434917" w:rsidRPr="00434917" w:rsidRDefault="00434917" w:rsidP="00434917">
            <w:r w:rsidRPr="00434917">
              <w:t>(i) whether Powerlink has insurance against the event;</w:t>
            </w:r>
          </w:p>
          <w:p w:rsidR="00434917" w:rsidRPr="00434917" w:rsidRDefault="00434917" w:rsidP="00434917">
            <w:r w:rsidRPr="00434917">
              <w:t>(ii) the level of insurance that an efficient and prudent NSP would obtain in respect of the event; and</w:t>
            </w:r>
          </w:p>
          <w:p w:rsidR="00434917" w:rsidRPr="00434917" w:rsidRDefault="00434917" w:rsidP="00434917">
            <w:r w:rsidRPr="00434917">
              <w:t>(iii) Whether a declaration has been made by a relevant government authority that an act of terrorism event has occurred.</w:t>
            </w:r>
          </w:p>
          <w:p w:rsidR="00EB3345" w:rsidRPr="00EB3345" w:rsidRDefault="00EB3345" w:rsidP="00EB3345"/>
        </w:tc>
      </w:tr>
      <w:tr w:rsidR="00EB3345" w:rsidTr="00F47594">
        <w:tc>
          <w:tcPr>
            <w:tcW w:w="3085" w:type="dxa"/>
          </w:tcPr>
          <w:p w:rsidR="00EB3345" w:rsidRPr="00EB3345" w:rsidRDefault="00566D22" w:rsidP="00EB3345">
            <w:r>
              <w:t>Insurer credit risk event</w:t>
            </w:r>
          </w:p>
        </w:tc>
        <w:tc>
          <w:tcPr>
            <w:tcW w:w="5608" w:type="dxa"/>
          </w:tcPr>
          <w:p w:rsidR="00566D22" w:rsidRPr="00566D22" w:rsidRDefault="00566D22" w:rsidP="00566D22">
            <w:r w:rsidRPr="00696AF7">
              <w:t>An insurer credit risk event occurs if</w:t>
            </w:r>
            <w:r w:rsidRPr="00566D22">
              <w:t>:</w:t>
            </w:r>
          </w:p>
          <w:p w:rsidR="00566D22" w:rsidRPr="00566D22" w:rsidRDefault="00566D22" w:rsidP="00566D22">
            <w:r>
              <w:t>A</w:t>
            </w:r>
            <w:r w:rsidRPr="00566D22">
              <w:t xml:space="preserve"> nominated insurer of Powerlink becomes insolvent, and as a result, in respect of an existing, or potential, claim for a risk that was insured by the insolvent insurer, Powerlink:</w:t>
            </w:r>
          </w:p>
          <w:p w:rsidR="00566D22" w:rsidRPr="00566D22" w:rsidRDefault="00566D22" w:rsidP="00566D22">
            <w:pPr>
              <w:pStyle w:val="AERnumberedlistthirdstyle"/>
            </w:pPr>
            <w:r w:rsidRPr="002163F7">
              <w:lastRenderedPageBreak/>
              <w:t>i</w:t>
            </w:r>
            <w:r w:rsidRPr="00566D22">
              <w:t>s subject to a materially higher or lower claim limit or a materially higher or lower deductible than would have otherwise applied under the insolvent insurer’s policy; or</w:t>
            </w:r>
          </w:p>
          <w:p w:rsidR="00566D22" w:rsidRPr="00566D22" w:rsidRDefault="00566D22" w:rsidP="00566D22">
            <w:pPr>
              <w:pStyle w:val="AERnumberedlistthirdstyle"/>
            </w:pPr>
            <w:r w:rsidRPr="00696AF7">
              <w:t>Incurs additional costs associated with self-funding an insurance claim, which would otherwise have been covered by the insolvent</w:t>
            </w:r>
            <w:r w:rsidRPr="00566D22">
              <w:t xml:space="preserve"> insurer.</w:t>
            </w:r>
          </w:p>
          <w:p w:rsidR="00566D22" w:rsidRPr="00566D22" w:rsidRDefault="00566D22" w:rsidP="00566D22">
            <w:r w:rsidRPr="00696AF7">
              <w:t>Note: In assessing an insurer’s credit risk event pass through application, the AER will have</w:t>
            </w:r>
            <w:r w:rsidRPr="00566D22">
              <w:t xml:space="preserve"> regard to, amongst other things:</w:t>
            </w:r>
          </w:p>
          <w:p w:rsidR="00566D22" w:rsidRPr="00027C77" w:rsidRDefault="00566D22" w:rsidP="004D5295">
            <w:pPr>
              <w:pStyle w:val="AERnumberedlistsecondstyle"/>
              <w:numPr>
                <w:ilvl w:val="0"/>
                <w:numId w:val="40"/>
              </w:numPr>
              <w:rPr>
                <w:rFonts w:eastAsiaTheme="minorHAnsi" w:cstheme="minorBidi"/>
                <w:sz w:val="22"/>
                <w:szCs w:val="22"/>
                <w:lang w:eastAsia="en-US"/>
              </w:rPr>
            </w:pPr>
            <w:r w:rsidRPr="00962B3A">
              <w:t>Powerlink’s attempts to mitigate and prevent the event from occurring by reviewing and considering the insurer’s track record, size, credit rating and reputation, and</w:t>
            </w:r>
          </w:p>
          <w:p w:rsidR="00EB3345" w:rsidRPr="00EB3345" w:rsidRDefault="00566D22" w:rsidP="00962B3A">
            <w:pPr>
              <w:pStyle w:val="AERnumberedlistsecondstyle"/>
            </w:pPr>
            <w:r w:rsidRPr="00696AF7">
              <w:t>In the event that a claim would have been made after the insurance provider became insolvent, whether Powerlink had reasonable opportunity to insure the risk with a different provider.</w:t>
            </w:r>
          </w:p>
        </w:tc>
      </w:tr>
    </w:tbl>
    <w:p w:rsidR="003653E1" w:rsidRDefault="003653E1" w:rsidP="003653E1">
      <w:pPr>
        <w:pStyle w:val="Heading2"/>
      </w:pPr>
      <w:bookmarkStart w:id="74" w:name="_Toc481048106"/>
      <w:r>
        <w:lastRenderedPageBreak/>
        <w:t>Powerlink's revised proposal</w:t>
      </w:r>
      <w:bookmarkEnd w:id="74"/>
    </w:p>
    <w:p w:rsidR="003653E1" w:rsidRDefault="003653E1" w:rsidP="003653E1">
      <w:r>
        <w:t xml:space="preserve">Our draft decision approved Powerlink's proposed insurer's credit risk event. We also approved Powerlink's proposed insurance cap and terrorism event with minor amendments.  </w:t>
      </w:r>
    </w:p>
    <w:p w:rsidR="003653E1" w:rsidRDefault="007244BB" w:rsidP="00132D43">
      <w:r>
        <w:t xml:space="preserve">In its revised proposal, submitted on 1 December 2016, </w:t>
      </w:r>
      <w:r w:rsidR="003653E1">
        <w:t xml:space="preserve">Powerlink accepted our draft decision on pass throughs. In its revised proposal Powerlink highlighted the need to correct the regulatory period in the definition of the insurance cap event </w:t>
      </w:r>
      <w:r w:rsidR="00A463B0">
        <w:t>for</w:t>
      </w:r>
      <w:r w:rsidR="003653E1">
        <w:t xml:space="preserve"> the </w:t>
      </w:r>
      <w:r w:rsidR="00A463B0">
        <w:t>final</w:t>
      </w:r>
      <w:r w:rsidR="003653E1">
        <w:t xml:space="preserve"> decision. </w:t>
      </w:r>
    </w:p>
    <w:p w:rsidR="00027C77" w:rsidRDefault="00027C77" w:rsidP="004D5295">
      <w:pPr>
        <w:pStyle w:val="Heading2"/>
      </w:pPr>
      <w:bookmarkStart w:id="75" w:name="_Toc481048107"/>
      <w:r>
        <w:t>Our assessment approach</w:t>
      </w:r>
      <w:bookmarkEnd w:id="75"/>
    </w:p>
    <w:p w:rsidR="003653E1" w:rsidRDefault="003653E1" w:rsidP="003653E1">
      <w:r>
        <w:t>The NER set out how we must assess an application from a service provider to pass through changes in costs where an event occurs.</w:t>
      </w:r>
      <w:r>
        <w:rPr>
          <w:rStyle w:val="FootnoteReference"/>
        </w:rPr>
        <w:footnoteReference w:id="5"/>
      </w:r>
    </w:p>
    <w:p w:rsidR="003653E1" w:rsidRPr="002B285B" w:rsidRDefault="003653E1" w:rsidP="003653E1">
      <w:r>
        <w:t xml:space="preserve">Our approach to assessing nominated pass through events proposed by service providers is </w:t>
      </w:r>
      <w:r w:rsidRPr="002B285B">
        <w:t xml:space="preserve">guided by the National Electricity Objective (NEO) and the Revenue and Pricing Principles. </w:t>
      </w:r>
      <w:r>
        <w:t>These provide</w:t>
      </w:r>
      <w:r w:rsidRPr="002B285B">
        <w:t xml:space="preserve"> the </w:t>
      </w:r>
      <w:r>
        <w:t>service provider</w:t>
      </w:r>
      <w:r w:rsidRPr="002B285B">
        <w:t xml:space="preserve"> with a reasonable opportunity to recover at least the efficient costs </w:t>
      </w:r>
      <w:r>
        <w:t>incurred in providing services and complying with its obligations.</w:t>
      </w:r>
      <w:r w:rsidRPr="002B285B">
        <w:rPr>
          <w:rStyle w:val="AERsuperscript"/>
        </w:rPr>
        <w:footnoteReference w:id="6"/>
      </w:r>
      <w:r w:rsidRPr="002B285B">
        <w:t xml:space="preserve"> </w:t>
      </w:r>
      <w:r>
        <w:t xml:space="preserve">They </w:t>
      </w:r>
      <w:r w:rsidRPr="002B285B">
        <w:t xml:space="preserve">also </w:t>
      </w:r>
      <w:r>
        <w:t>provide</w:t>
      </w:r>
      <w:r w:rsidRPr="002B285B">
        <w:t xml:space="preserve"> incentives to promote economic efficiency.</w:t>
      </w:r>
      <w:r w:rsidRPr="002B285B">
        <w:rPr>
          <w:rStyle w:val="AERsuperscript"/>
        </w:rPr>
        <w:footnoteReference w:id="7"/>
      </w:r>
      <w:r>
        <w:t xml:space="preserve"> </w:t>
      </w:r>
      <w:r>
        <w:rPr>
          <w:rStyle w:val="AERsuperscript"/>
        </w:rPr>
        <w:t xml:space="preserve"> </w:t>
      </w:r>
      <w:r>
        <w:t xml:space="preserve">Together, they </w:t>
      </w:r>
      <w:r w:rsidRPr="002B285B">
        <w:t>promote a balance between the economic costs and risk</w:t>
      </w:r>
      <w:r>
        <w:t>s of the potential for under and over investment by a service provider, to</w:t>
      </w:r>
      <w:r w:rsidRPr="002B285B">
        <w:t xml:space="preserve"> promot</w:t>
      </w:r>
      <w:r>
        <w:t>e</w:t>
      </w:r>
      <w:r w:rsidRPr="002B285B">
        <w:t xml:space="preserve"> efficient investment.</w:t>
      </w:r>
      <w:r w:rsidRPr="002B285B">
        <w:rPr>
          <w:rStyle w:val="AERsuperscript"/>
        </w:rPr>
        <w:footnoteReference w:id="8"/>
      </w:r>
      <w:r w:rsidRPr="002B285B">
        <w:t xml:space="preserve"> </w:t>
      </w:r>
      <w:r>
        <w:t xml:space="preserve">In the context of pass through events, we have particular regard to the impact on price, quality, reliability and security of supply that may arise as a result of any change in the </w:t>
      </w:r>
      <w:r>
        <w:lastRenderedPageBreak/>
        <w:t>efficient operation of, and ability and incentive of, a service provider to invest in its network.</w:t>
      </w:r>
      <w:r>
        <w:rPr>
          <w:rStyle w:val="FootnoteReference"/>
        </w:rPr>
        <w:footnoteReference w:id="9"/>
      </w:r>
    </w:p>
    <w:p w:rsidR="003653E1" w:rsidRPr="002B285B" w:rsidRDefault="003653E1" w:rsidP="003653E1">
      <w:r>
        <w:t xml:space="preserve">In determining whether we accept a nominated pass through event, we must take into account the </w:t>
      </w:r>
      <w:r w:rsidRPr="002B285B">
        <w:t>nominated pass through event considerations</w:t>
      </w:r>
      <w:r>
        <w:t>:</w:t>
      </w:r>
      <w:r>
        <w:rPr>
          <w:rStyle w:val="FootnoteReference"/>
        </w:rPr>
        <w:footnoteReference w:id="10"/>
      </w:r>
      <w:r w:rsidRPr="002B285B">
        <w:t xml:space="preserve"> </w:t>
      </w:r>
    </w:p>
    <w:p w:rsidR="003653E1" w:rsidRPr="0053614D" w:rsidRDefault="003653E1" w:rsidP="003653E1">
      <w:pPr>
        <w:pStyle w:val="AERquote"/>
      </w:pPr>
      <w:r w:rsidRPr="0053614D">
        <w:t xml:space="preserve">The </w:t>
      </w:r>
      <w:r w:rsidRPr="0053614D">
        <w:rPr>
          <w:rStyle w:val="AERtextitalic"/>
        </w:rPr>
        <w:t>nominated pass through event considerations</w:t>
      </w:r>
      <w:r w:rsidRPr="0053614D">
        <w:t xml:space="preserve"> are:</w:t>
      </w:r>
    </w:p>
    <w:p w:rsidR="003653E1" w:rsidRPr="00930CEF" w:rsidRDefault="003653E1" w:rsidP="003653E1">
      <w:pPr>
        <w:pStyle w:val="AERquote"/>
      </w:pPr>
      <w:r w:rsidRPr="00930CEF">
        <w:t xml:space="preserve">(a) whether the event proposed is an event covered by a category of </w:t>
      </w:r>
      <w:r w:rsidRPr="003855FF">
        <w:rPr>
          <w:rStyle w:val="AERtextitalic"/>
        </w:rPr>
        <w:t>pass through event</w:t>
      </w:r>
      <w:r w:rsidRPr="004646BB">
        <w:t xml:space="preserve"> </w:t>
      </w:r>
      <w:r w:rsidRPr="00930CEF">
        <w:t>specified in clause 6.6.1(a1)(1) to (4) (in the case of a distribution determination) or clause 6A.7.3(a1)(1) to</w:t>
      </w:r>
      <w:r>
        <w:t xml:space="preserve"> </w:t>
      </w:r>
      <w:r w:rsidRPr="00930CEF">
        <w:t xml:space="preserve">(4) (in the case of a </w:t>
      </w:r>
      <w:r w:rsidRPr="0053614D">
        <w:rPr>
          <w:rStyle w:val="AERtextitalic"/>
        </w:rPr>
        <w:t>transmission determination</w:t>
      </w:r>
      <w:r w:rsidRPr="00930CEF">
        <w:t>);</w:t>
      </w:r>
    </w:p>
    <w:p w:rsidR="003653E1" w:rsidRPr="00930CEF" w:rsidRDefault="003653E1" w:rsidP="003653E1">
      <w:pPr>
        <w:pStyle w:val="AERquote"/>
      </w:pPr>
      <w:r w:rsidRPr="00930CEF">
        <w:t>(b) whether the nature or type of event can be clearly identified at the time the determination is made for the service provider;</w:t>
      </w:r>
    </w:p>
    <w:p w:rsidR="003653E1" w:rsidRPr="00930CEF" w:rsidRDefault="003653E1" w:rsidP="003653E1">
      <w:pPr>
        <w:pStyle w:val="AERquote"/>
      </w:pPr>
      <w:r w:rsidRPr="00930CEF">
        <w:t>(c) whether a prudent service provider could reasonably prevent an event of that nature or type from occurring or substantially mitigate the cost impact of such an event;</w:t>
      </w:r>
    </w:p>
    <w:p w:rsidR="003653E1" w:rsidRDefault="003653E1" w:rsidP="003653E1">
      <w:pPr>
        <w:pStyle w:val="AERquote"/>
      </w:pPr>
      <w:r w:rsidRPr="00930CEF">
        <w:t>(d) whether the relevant service provider could insure against the event, having regard to:</w:t>
      </w:r>
    </w:p>
    <w:p w:rsidR="003653E1" w:rsidRPr="00930CEF" w:rsidRDefault="003653E1" w:rsidP="003653E1">
      <w:pPr>
        <w:pStyle w:val="AERquoteindent2"/>
      </w:pPr>
      <w:r w:rsidRPr="00930CEF">
        <w:t>(1) the availability (including the extent of availability in terms of liability limits) of insurance against the event on reasonable commercial terms; or</w:t>
      </w:r>
    </w:p>
    <w:p w:rsidR="003653E1" w:rsidRPr="00930CEF" w:rsidRDefault="003653E1" w:rsidP="003653E1">
      <w:pPr>
        <w:pStyle w:val="AERquoteindent2"/>
      </w:pPr>
      <w:r w:rsidRPr="00930CEF">
        <w:t>(2) whether the event can be self-insured on the basis that:</w:t>
      </w:r>
    </w:p>
    <w:p w:rsidR="003653E1" w:rsidRPr="00034A56" w:rsidRDefault="003653E1" w:rsidP="003653E1">
      <w:pPr>
        <w:pStyle w:val="AERquoteindent3"/>
      </w:pPr>
      <w:r w:rsidRPr="00930CEF">
        <w:t>(i)</w:t>
      </w:r>
      <w:r>
        <w:tab/>
      </w:r>
      <w:r w:rsidRPr="00930CEF">
        <w:t xml:space="preserve">it is </w:t>
      </w:r>
      <w:r w:rsidRPr="00034A56">
        <w:t>possible to calculate the self-insurance premium; and</w:t>
      </w:r>
    </w:p>
    <w:p w:rsidR="003653E1" w:rsidRPr="00930CEF" w:rsidRDefault="003653E1" w:rsidP="003653E1">
      <w:pPr>
        <w:pStyle w:val="AERquoteindent3"/>
      </w:pPr>
      <w:r w:rsidRPr="00034A56">
        <w:t>(ii)</w:t>
      </w:r>
      <w:r>
        <w:tab/>
      </w:r>
      <w:r w:rsidRPr="00034A56">
        <w:t>the potential cost to the relevant service provider would not have a significant impact</w:t>
      </w:r>
      <w:r w:rsidRPr="00930CEF">
        <w:t xml:space="preserve"> on the service provider’s ability to provide </w:t>
      </w:r>
      <w:r w:rsidRPr="003855FF">
        <w:rPr>
          <w:rStyle w:val="AERtextitalic"/>
        </w:rPr>
        <w:t>network services</w:t>
      </w:r>
      <w:r w:rsidRPr="00930CEF">
        <w:t>; and.</w:t>
      </w:r>
    </w:p>
    <w:p w:rsidR="003653E1" w:rsidRPr="00930CEF" w:rsidRDefault="003653E1" w:rsidP="003653E1">
      <w:pPr>
        <w:pStyle w:val="AERquote"/>
      </w:pPr>
      <w:r w:rsidRPr="00930CEF">
        <w:t xml:space="preserve">(e) any other matter the AER considers relevant and which the AER has notified </w:t>
      </w:r>
      <w:r w:rsidRPr="0053614D">
        <w:rPr>
          <w:rStyle w:val="AERtextitalic"/>
        </w:rPr>
        <w:t>Network Service Providers</w:t>
      </w:r>
      <w:r w:rsidRPr="00930CEF">
        <w:t xml:space="preserve"> is a nominated pass through event consideration</w:t>
      </w:r>
      <w:r>
        <w:t>.</w:t>
      </w:r>
    </w:p>
    <w:p w:rsidR="003653E1" w:rsidRDefault="003653E1" w:rsidP="003653E1">
      <w:r>
        <w:t>The AEMC described the purpose of the nominated pass through event considerations as:</w:t>
      </w:r>
    </w:p>
    <w:p w:rsidR="003653E1" w:rsidRPr="004646BB" w:rsidRDefault="003653E1" w:rsidP="003653E1">
      <w:pPr>
        <w:pStyle w:val="AERbulletlistfirststyle"/>
      </w:pPr>
      <w:r>
        <w:t>t</w:t>
      </w:r>
      <w:r w:rsidRPr="004646BB">
        <w:t xml:space="preserve">o incorporate and reflect the essential components of a cost pass through regime in the NER. It was intended that in order for appropriate incentives to be maintained, any nominated pass through event should only be accepted when event avoidance, mitigation, commercial insurance and self-insurance are </w:t>
      </w:r>
      <w:r w:rsidRPr="004646BB">
        <w:lastRenderedPageBreak/>
        <w:t>unavailable. That is, a cost pass through event is the least efficient option for managing the risk of unforeseen events.</w:t>
      </w:r>
      <w:r w:rsidRPr="004646BB">
        <w:rPr>
          <w:rStyle w:val="FootnoteReference"/>
        </w:rPr>
        <w:footnoteReference w:id="11"/>
      </w:r>
    </w:p>
    <w:p w:rsidR="003653E1" w:rsidRPr="004646BB" w:rsidRDefault="003653E1" w:rsidP="003653E1">
      <w:pPr>
        <w:pStyle w:val="AERbulletlistfirststyle"/>
      </w:pPr>
      <w:r>
        <w:t xml:space="preserve">that a pass through event should only be accepted when it is the least inefficient </w:t>
      </w:r>
      <w:r w:rsidRPr="004646BB">
        <w:t>option and event avoidance, mitigation, commercial insurance and self-insurance are found to be inappropriate. That is, it is included after ascertaining the most efficient allocation of risks between a service provider and end customers.</w:t>
      </w:r>
      <w:r w:rsidRPr="004646BB">
        <w:rPr>
          <w:rStyle w:val="FootnoteReference"/>
        </w:rPr>
        <w:footnoteReference w:id="12"/>
      </w:r>
    </w:p>
    <w:p w:rsidR="003653E1" w:rsidRDefault="003653E1" w:rsidP="003653E1">
      <w:r>
        <w:t>In turn, this protects the incentive regime under the NER by limiting the erosion of incentives on service providers to use market based mechanisms to mitigate the cost impacts that would arise.</w:t>
      </w:r>
      <w:r>
        <w:rPr>
          <w:rStyle w:val="FootnoteReference"/>
        </w:rPr>
        <w:footnoteReference w:id="13"/>
      </w:r>
      <w:r>
        <w:t xml:space="preserve"> This promotes the efficient investment in, and efficient operation and use of, network services for the long term interests of consumers with respect to price</w:t>
      </w:r>
      <w:r w:rsidR="005F662C">
        <w:t>,</w:t>
      </w:r>
      <w:r>
        <w:rPr>
          <w:rStyle w:val="FootnoteReference"/>
        </w:rPr>
        <w:footnoteReference w:id="14"/>
      </w:r>
      <w:r>
        <w:t xml:space="preserve"> </w:t>
      </w:r>
      <w:r w:rsidR="005F662C">
        <w:t>in accordance with the NEO and Revenue and Pricing Principles.</w:t>
      </w:r>
    </w:p>
    <w:p w:rsidR="003653E1" w:rsidRPr="004646BB" w:rsidRDefault="003653E1" w:rsidP="003653E1">
      <w:r w:rsidRPr="004646BB">
        <w:t>As a matter of good regulatory practice, one additional matter</w:t>
      </w:r>
      <w:r w:rsidRPr="004646BB">
        <w:rPr>
          <w:rStyle w:val="FootnoteReference"/>
        </w:rPr>
        <w:footnoteReference w:id="15"/>
      </w:r>
      <w:r w:rsidRPr="004646BB">
        <w:t xml:space="preserve"> we take into account is consistency in our approach to assessing nominated pass through events across our electricity determinations and gas access arrangements.</w:t>
      </w:r>
      <w:r w:rsidRPr="004646BB">
        <w:rPr>
          <w:rStyle w:val="FootnoteReference"/>
        </w:rPr>
        <w:footnoteReference w:id="16"/>
      </w:r>
      <w:r w:rsidRPr="004646BB">
        <w:t xml:space="preserve"> </w:t>
      </w:r>
    </w:p>
    <w:p w:rsidR="003653E1" w:rsidRPr="003653E1" w:rsidRDefault="003653E1" w:rsidP="004D5295">
      <w:pPr>
        <w:pStyle w:val="Heading3"/>
        <w:ind w:left="720"/>
      </w:pPr>
      <w:bookmarkStart w:id="76" w:name="_Toc419287638"/>
      <w:bookmarkStart w:id="77" w:name="_Toc432762767"/>
      <w:bookmarkStart w:id="78" w:name="_Toc468446386"/>
      <w:bookmarkStart w:id="79" w:name="_Toc481048108"/>
      <w:r>
        <w:t>Interrelationships</w:t>
      </w:r>
      <w:bookmarkEnd w:id="76"/>
      <w:bookmarkEnd w:id="77"/>
      <w:bookmarkEnd w:id="78"/>
      <w:bookmarkEnd w:id="79"/>
    </w:p>
    <w:p w:rsidR="003653E1" w:rsidRDefault="003653E1" w:rsidP="003653E1">
      <w:r>
        <w:t xml:space="preserve">The pass through mechanism is not the only way in which service providers can manage their risks under a transmission determination. It is interrelated </w:t>
      </w:r>
      <w:r w:rsidRPr="00930CEF">
        <w:t xml:space="preserve">with other parts of this </w:t>
      </w:r>
      <w:r>
        <w:t>decision</w:t>
      </w:r>
      <w:r w:rsidRPr="00930CEF">
        <w:t xml:space="preserve">, in particular with </w:t>
      </w:r>
      <w:r>
        <w:t>the forecast</w:t>
      </w:r>
      <w:r w:rsidRPr="00930CEF">
        <w:t xml:space="preserve"> opex and capex</w:t>
      </w:r>
      <w:r>
        <w:t xml:space="preserve"> and </w:t>
      </w:r>
      <w:r w:rsidRPr="00930CEF">
        <w:t>rate of return</w:t>
      </w:r>
      <w:r>
        <w:t xml:space="preserve"> included in our revenue determination</w:t>
      </w:r>
      <w:r w:rsidRPr="00930CEF">
        <w:t xml:space="preserve">. These interrelationships require </w:t>
      </w:r>
      <w:r>
        <w:t>us</w:t>
      </w:r>
      <w:r w:rsidRPr="00930CEF">
        <w:t xml:space="preserve"> to balance the incentives in the various parts of </w:t>
      </w:r>
      <w:r>
        <w:t>our</w:t>
      </w:r>
      <w:r w:rsidRPr="00930CEF">
        <w:t xml:space="preserve"> decision.</w:t>
      </w:r>
    </w:p>
    <w:p w:rsidR="003653E1" w:rsidRPr="004646BB" w:rsidRDefault="003653E1" w:rsidP="003653E1">
      <w:r w:rsidRPr="004646BB">
        <w:t xml:space="preserve">For systemic risks, service providers are compensated through the allowed rate of return. Service providers also face business-specific, or residual, risks. Service </w:t>
      </w:r>
      <w:r>
        <w:t>p</w:t>
      </w:r>
      <w:r w:rsidRPr="004646BB">
        <w:t>roviders are compensated for the prudent and efficient management of these risks through the forecast opex and capex we include in our revenue determination for strategies such as:</w:t>
      </w:r>
    </w:p>
    <w:p w:rsidR="003653E1" w:rsidRPr="004646BB" w:rsidRDefault="003653E1" w:rsidP="003653E1">
      <w:pPr>
        <w:pStyle w:val="AERbulletlistfirststyle"/>
      </w:pPr>
      <w:r w:rsidRPr="004646BB">
        <w:t>prevention (avoiding the risk)</w:t>
      </w:r>
    </w:p>
    <w:p w:rsidR="003653E1" w:rsidRPr="004646BB" w:rsidRDefault="003653E1" w:rsidP="003653E1">
      <w:pPr>
        <w:pStyle w:val="AERbulletlistfirststyle"/>
      </w:pPr>
      <w:r w:rsidRPr="004646BB">
        <w:t>mitigation (reducing the probability and impact of the risk)</w:t>
      </w:r>
    </w:p>
    <w:p w:rsidR="003653E1" w:rsidRPr="004646BB" w:rsidRDefault="003653E1" w:rsidP="003653E1">
      <w:pPr>
        <w:pStyle w:val="AERbulletlistfirststyle"/>
      </w:pPr>
      <w:r w:rsidRPr="004646BB">
        <w:t>insurance (transferring the risk to another party)</w:t>
      </w:r>
    </w:p>
    <w:p w:rsidR="003653E1" w:rsidRPr="004646BB" w:rsidRDefault="003653E1" w:rsidP="003653E1">
      <w:pPr>
        <w:pStyle w:val="AERbulletlistfirststyle"/>
      </w:pPr>
      <w:r w:rsidRPr="004646BB">
        <w:lastRenderedPageBreak/>
        <w:t>self-insurance (putting aside funds to manage the likely costs associated with a risk event).</w:t>
      </w:r>
    </w:p>
    <w:p w:rsidR="003653E1" w:rsidRDefault="003653E1" w:rsidP="003653E1">
      <w:r w:rsidRPr="00930CEF">
        <w:t xml:space="preserve">An efficient business will manage its risk by employing the most cost effective combination of these strategies. </w:t>
      </w:r>
      <w:r>
        <w:t>In order to maintain appropriate incentives under our determinations, we only accept nominated pass through events where we are satisfied that event avoidance, mitigation, commercial insurance and self-insurance under approved forecasts of prudent and efficient opex and capex are either unavailable or inappropriate.</w:t>
      </w:r>
      <w:r>
        <w:rPr>
          <w:rStyle w:val="FootnoteReference"/>
        </w:rPr>
        <w:footnoteReference w:id="17"/>
      </w:r>
      <w:r>
        <w:t xml:space="preserve"> </w:t>
      </w:r>
    </w:p>
    <w:p w:rsidR="003653E1" w:rsidRDefault="003653E1" w:rsidP="003653E1">
      <w:r w:rsidRPr="00DA452C">
        <w:t xml:space="preserve">In general, </w:t>
      </w:r>
      <w:r>
        <w:t xml:space="preserve">in respect of smaller projects a service provider </w:t>
      </w:r>
      <w:r w:rsidRPr="00DA452C">
        <w:t>should be using up its existing expenditure</w:t>
      </w:r>
      <w:r>
        <w:t xml:space="preserve"> </w:t>
      </w:r>
      <w:r w:rsidRPr="00DA452C">
        <w:t>allowance, or reprioritising or substituting its projects, to avoid seeking cost recovery</w:t>
      </w:r>
      <w:r>
        <w:t xml:space="preserve"> </w:t>
      </w:r>
      <w:r w:rsidRPr="00DA452C">
        <w:t xml:space="preserve">through the </w:t>
      </w:r>
      <w:r>
        <w:t>pass through</w:t>
      </w:r>
      <w:r w:rsidRPr="00DA452C">
        <w:t xml:space="preserve"> mechanisms</w:t>
      </w:r>
      <w:r>
        <w:t>.</w:t>
      </w:r>
      <w:r>
        <w:rPr>
          <w:rStyle w:val="FootnoteReference"/>
        </w:rPr>
        <w:footnoteReference w:id="18"/>
      </w:r>
      <w:r w:rsidRPr="00DA452C">
        <w:t xml:space="preserve"> </w:t>
      </w:r>
      <w:r>
        <w:t>This is reflected in the materiality threshold that applies to applications for cost pass through determinations.</w:t>
      </w:r>
      <w:r>
        <w:rPr>
          <w:rStyle w:val="FootnoteReference"/>
        </w:rPr>
        <w:footnoteReference w:id="19"/>
      </w:r>
      <w:r>
        <w:t xml:space="preserve"> </w:t>
      </w:r>
    </w:p>
    <w:p w:rsidR="003653E1" w:rsidRDefault="003653E1" w:rsidP="003653E1">
      <w:r>
        <w:t>Cost pass through amounts approved in a regulatory control period are added to (or in the case of a negative pass through deducted from) forecast opex and capex for the purpose of calculating efficiency carryover amounts under the EBSS and CESS.</w:t>
      </w:r>
      <w:r>
        <w:rPr>
          <w:rStyle w:val="FootnoteReference"/>
        </w:rPr>
        <w:footnoteReference w:id="20"/>
      </w:r>
      <w:r>
        <w:t xml:space="preserve"> </w:t>
      </w:r>
    </w:p>
    <w:p w:rsidR="003653E1" w:rsidRDefault="003653E1" w:rsidP="003653E1">
      <w:r>
        <w:t>C</w:t>
      </w:r>
      <w:r w:rsidRPr="00672FF5">
        <w:t>ost pass through amounts that have</w:t>
      </w:r>
      <w:r>
        <w:t xml:space="preserve"> </w:t>
      </w:r>
      <w:r w:rsidRPr="00672FF5">
        <w:t>already been recovered in a regulatory period cannot be recovered again in the</w:t>
      </w:r>
      <w:r>
        <w:t xml:space="preserve"> </w:t>
      </w:r>
      <w:r w:rsidRPr="00672FF5">
        <w:t xml:space="preserve">roll-forward of the </w:t>
      </w:r>
      <w:r>
        <w:t>regulatory asset base (</w:t>
      </w:r>
      <w:r w:rsidRPr="00672FF5">
        <w:t>RAB</w:t>
      </w:r>
      <w:r>
        <w:t>)</w:t>
      </w:r>
      <w:r w:rsidRPr="00672FF5">
        <w:t xml:space="preserve"> for the next regulatory period</w:t>
      </w:r>
      <w:r>
        <w:t>.</w:t>
      </w:r>
      <w:r w:rsidR="00027C77">
        <w:rPr>
          <w:rStyle w:val="FootnoteReference"/>
        </w:rPr>
        <w:footnoteReference w:id="21"/>
      </w:r>
      <w:r>
        <w:t xml:space="preserve"> </w:t>
      </w:r>
    </w:p>
    <w:p w:rsidR="00132D43" w:rsidRDefault="00132D43" w:rsidP="00132D43">
      <w:pPr>
        <w:pStyle w:val="Heading2"/>
      </w:pPr>
      <w:bookmarkStart w:id="80" w:name="_Toc481048109"/>
      <w:r>
        <w:t xml:space="preserve">Reasons for </w:t>
      </w:r>
      <w:r w:rsidR="00A558C4">
        <w:t>final</w:t>
      </w:r>
      <w:r>
        <w:t xml:space="preserve"> decision</w:t>
      </w:r>
      <w:bookmarkEnd w:id="80"/>
    </w:p>
    <w:p w:rsidR="00EB3345" w:rsidRDefault="00EB3345" w:rsidP="00EB3345">
      <w:r w:rsidRPr="00930CEF">
        <w:t xml:space="preserve">In this section we set out the reasons for our </w:t>
      </w:r>
      <w:r w:rsidR="00A558C4">
        <w:t>final</w:t>
      </w:r>
      <w:r w:rsidRPr="00930CEF">
        <w:t xml:space="preserve"> decisions on each of </w:t>
      </w:r>
      <w:r w:rsidR="00A558C4">
        <w:t>Powerlink</w:t>
      </w:r>
      <w:r w:rsidRPr="00930CEF">
        <w:t>’</w:t>
      </w:r>
      <w:r w:rsidR="00A558C4">
        <w:t>s</w:t>
      </w:r>
      <w:r w:rsidRPr="00930CEF">
        <w:t xml:space="preserve"> proposed pass through events. </w:t>
      </w:r>
    </w:p>
    <w:p w:rsidR="003653E1" w:rsidRDefault="003653E1" w:rsidP="003653E1">
      <w:r>
        <w:t xml:space="preserve">Our final decision accepts </w:t>
      </w:r>
      <w:r w:rsidR="00A77EF6">
        <w:t xml:space="preserve">Powerlink's </w:t>
      </w:r>
      <w:r>
        <w:t>proposed insurance cap event</w:t>
      </w:r>
      <w:r w:rsidR="00765838">
        <w:t xml:space="preserve"> (including its correction to the regulatory control period)</w:t>
      </w:r>
      <w:r w:rsidR="00A77EF6">
        <w:t xml:space="preserve">, terrorism event and </w:t>
      </w:r>
      <w:r>
        <w:t>insurer credit risk event</w:t>
      </w:r>
      <w:r w:rsidR="0093622C">
        <w:t>, as set out in its revised proposal</w:t>
      </w:r>
      <w:r>
        <w:t xml:space="preserve">. </w:t>
      </w:r>
    </w:p>
    <w:p w:rsidR="003653E1" w:rsidRDefault="003653E1" w:rsidP="003653E1">
      <w:r>
        <w:t xml:space="preserve">We are satisfied that these </w:t>
      </w:r>
      <w:r w:rsidR="00A77EF6">
        <w:t>three</w:t>
      </w:r>
      <w:r>
        <w:t xml:space="preserve"> nominated pass through events </w:t>
      </w:r>
      <w:r w:rsidR="004D2319">
        <w:t xml:space="preserve">satisfy the matters set out in </w:t>
      </w:r>
      <w:r>
        <w:t>the nominated pass through event considerations because:</w:t>
      </w:r>
    </w:p>
    <w:p w:rsidR="003653E1" w:rsidRPr="004646BB" w:rsidRDefault="003653E1" w:rsidP="003653E1">
      <w:pPr>
        <w:pStyle w:val="AERbulletlistfirststyle"/>
      </w:pPr>
      <w:r>
        <w:t>these events are not covered by the prescribed pass through events under the NER.</w:t>
      </w:r>
      <w:r>
        <w:rPr>
          <w:rStyle w:val="FootnoteReference"/>
        </w:rPr>
        <w:footnoteReference w:id="22"/>
      </w:r>
    </w:p>
    <w:p w:rsidR="003653E1" w:rsidRPr="004646BB" w:rsidRDefault="003653E1" w:rsidP="003653E1">
      <w:pPr>
        <w:pStyle w:val="AERbulletlistfirststyle"/>
      </w:pPr>
      <w:r>
        <w:lastRenderedPageBreak/>
        <w:t>the nature and type of events can be clearly identified at the time of our decision, and where there is room for doubt appropriate parameters can be applied through our assessment of a pass through application.</w:t>
      </w:r>
      <w:r>
        <w:rPr>
          <w:rStyle w:val="FootnoteReference"/>
        </w:rPr>
        <w:footnoteReference w:id="23"/>
      </w:r>
    </w:p>
    <w:p w:rsidR="00EB3345" w:rsidRDefault="003653E1" w:rsidP="004D5295">
      <w:pPr>
        <w:pStyle w:val="AERbulletlistfirststyle"/>
      </w:pPr>
      <w:r>
        <w:t>while a prudent service provider could take steps to reduce the likelihood of these events and the cost impact of the events should they occur,</w:t>
      </w:r>
      <w:r>
        <w:rPr>
          <w:rStyle w:val="FootnoteReference"/>
        </w:rPr>
        <w:footnoteReference w:id="24"/>
      </w:r>
      <w:r>
        <w:t xml:space="preserve"> and could insure or self-insure against the event,</w:t>
      </w:r>
      <w:r>
        <w:rPr>
          <w:rStyle w:val="FootnoteReference"/>
        </w:rPr>
        <w:footnoteReference w:id="25"/>
      </w:r>
      <w:r>
        <w:t xml:space="preserve"> expenditure beyond a certain point (e.g. to eliminate, rather than manage, risk) is likely to be imprudent or inefficient. In such circumstances we consider a sharing of risk between </w:t>
      </w:r>
      <w:r w:rsidR="00A77EF6">
        <w:t>Powerlink</w:t>
      </w:r>
      <w:r>
        <w:t xml:space="preserve"> and its customers is appropriate and more likely to be in the long term interest of consumers with respect to price.</w:t>
      </w:r>
    </w:p>
    <w:sectPr w:rsidR="00EB3345" w:rsidSect="00761EE4">
      <w:headerReference w:type="default" r:id="rId15"/>
      <w:footerReference w:type="even" r:id="rId16"/>
      <w:footerReference w:type="default" r:id="rId17"/>
      <w:footerReference w:type="first" r:id="rId18"/>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DF" w:rsidRPr="00290C63" w:rsidRDefault="000474DF" w:rsidP="00290C63">
      <w:r>
        <w:separator/>
      </w:r>
    </w:p>
    <w:p w:rsidR="000474DF" w:rsidRDefault="000474DF"/>
  </w:endnote>
  <w:endnote w:type="continuationSeparator" w:id="0">
    <w:p w:rsidR="000474DF" w:rsidRPr="00290C63" w:rsidRDefault="000474DF" w:rsidP="00290C63">
      <w:r>
        <w:continuationSeparator/>
      </w:r>
    </w:p>
    <w:p w:rsidR="000474DF" w:rsidRDefault="000474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0474DF" w:rsidRPr="009B6F84" w:rsidRDefault="000474DF">
        <w:pPr>
          <w:pStyle w:val="Footer"/>
          <w:rPr>
            <w:sz w:val="20"/>
          </w:rPr>
        </w:pPr>
        <w:r>
          <w:fldChar w:fldCharType="begin"/>
        </w:r>
        <w:r>
          <w:instrText xml:space="preserve"> PAGE   \* MERGEFORMAT </w:instrText>
        </w:r>
        <w:r>
          <w:fldChar w:fldCharType="separate"/>
        </w:r>
        <w:r w:rsidR="0090233E">
          <w:rPr>
            <w:noProof/>
          </w:rPr>
          <w:t>13-0</w:t>
        </w:r>
        <w:r>
          <w:rPr>
            <w:noProof/>
          </w:rPr>
          <w:fldChar w:fldCharType="end"/>
        </w:r>
        <w:r>
          <w:rPr>
            <w:noProof/>
          </w:rPr>
          <w:t xml:space="preserve">          </w:t>
        </w:r>
        <w:r>
          <w:t>Attachment 1</w:t>
        </w:r>
        <w:r w:rsidR="00C33011">
          <w:t>3</w:t>
        </w:r>
        <w:r>
          <w:t xml:space="preserve"> </w:t>
        </w:r>
        <w:r w:rsidRPr="000474DF">
          <w:t>−</w:t>
        </w:r>
        <w:r>
          <w:t xml:space="preserve"> </w:t>
        </w:r>
        <w:r w:rsidR="00C33011">
          <w:t>Pass through events</w:t>
        </w:r>
        <w:r w:rsidRPr="009B6F84">
          <w:rPr>
            <w:rFonts w:cs="Gautami"/>
            <w:noProof/>
            <w:szCs w:val="16"/>
          </w:rPr>
          <w:t xml:space="preserve"> | </w:t>
        </w:r>
        <w:r>
          <w:t xml:space="preserve">Powerlink transmission </w:t>
        </w:r>
        <w:r w:rsidR="00CF03AE">
          <w:t>final</w:t>
        </w:r>
        <w:r>
          <w:t xml:space="preserve"> determination</w:t>
        </w:r>
        <w:r w:rsidRPr="009B6F84">
          <w:rPr>
            <w:sz w:val="20"/>
          </w:rPr>
          <w:t xml:space="preserve"> </w:t>
        </w:r>
        <w:r w:rsidRPr="009B6F84">
          <w:rPr>
            <w:rFonts w:cs="Gautami"/>
            <w:noProof/>
            <w:szCs w:val="16"/>
          </w:rPr>
          <w:t>201</w:t>
        </w:r>
        <w:r>
          <w:t>7</w:t>
        </w:r>
        <w:r>
          <w:rPr>
            <w:rFonts w:cs="Gautami"/>
            <w:noProof/>
            <w:szCs w:val="16"/>
          </w:rPr>
          <w:t>–</w:t>
        </w:r>
        <w:r>
          <w:t>22</w:t>
        </w:r>
      </w:p>
    </w:sdtContent>
  </w:sdt>
  <w:p w:rsidR="000474DF" w:rsidRDefault="000474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0474DF" w:rsidRDefault="000474DF">
    <w:pPr>
      <w:pStyle w:val="Footer"/>
    </w:pP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0474DF" w:rsidRPr="009B6F84" w:rsidRDefault="000474DF">
        <w:pPr>
          <w:pStyle w:val="Footer"/>
          <w:rPr>
            <w:sz w:val="20"/>
          </w:rPr>
        </w:pPr>
        <w:r>
          <w:fldChar w:fldCharType="begin"/>
        </w:r>
        <w:r>
          <w:instrText xml:space="preserve"> PAGE   \* MERGEFORMAT </w:instrText>
        </w:r>
        <w:r>
          <w:fldChar w:fldCharType="separate"/>
        </w:r>
        <w:r w:rsidR="0090233E">
          <w:rPr>
            <w:noProof/>
          </w:rPr>
          <w:t>13-12</w:t>
        </w:r>
        <w:r>
          <w:rPr>
            <w:noProof/>
          </w:rPr>
          <w:fldChar w:fldCharType="end"/>
        </w:r>
        <w:r>
          <w:rPr>
            <w:noProof/>
          </w:rPr>
          <w:t xml:space="preserve">          </w:t>
        </w:r>
        <w:r w:rsidR="00132D43">
          <w:t>Attachment 1</w:t>
        </w:r>
        <w:r w:rsidR="00C33011">
          <w:t>3</w:t>
        </w:r>
        <w:r w:rsidR="00132D43">
          <w:t xml:space="preserve"> </w:t>
        </w:r>
        <w:r w:rsidR="00C33011">
          <w:t>–</w:t>
        </w:r>
        <w:r w:rsidR="00132D43">
          <w:t xml:space="preserve"> </w:t>
        </w:r>
        <w:r w:rsidR="00C33011">
          <w:t>Pass through events</w:t>
        </w:r>
        <w:r w:rsidR="00132D43" w:rsidRPr="00132D43">
          <w:t xml:space="preserve"> | </w:t>
        </w:r>
        <w:r w:rsidR="00132D43">
          <w:t xml:space="preserve">Powerlink transmission </w:t>
        </w:r>
        <w:r w:rsidR="00A558C4">
          <w:t>final</w:t>
        </w:r>
        <w:r w:rsidR="00132D43">
          <w:t xml:space="preserve"> determination</w:t>
        </w:r>
        <w:r w:rsidR="00132D43" w:rsidRPr="00132D43">
          <w:t xml:space="preserve"> 201</w:t>
        </w:r>
        <w:r w:rsidR="00132D43">
          <w:t>7</w:t>
        </w:r>
        <w:r w:rsidR="00132D43" w:rsidRPr="00132D43">
          <w:t>–</w:t>
        </w:r>
        <w:r w:rsidR="00132D43">
          <w:t>22</w:t>
        </w:r>
      </w:p>
    </w:sdtContent>
  </w:sdt>
  <w:p w:rsidR="000474DF" w:rsidRDefault="000474D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0474DF" w:rsidRDefault="000474DF">
    <w:pPr>
      <w:pStyle w:val="Footer"/>
    </w:pP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DF" w:rsidRPr="00290C63" w:rsidRDefault="000474DF" w:rsidP="00290C63">
      <w:r>
        <w:separator/>
      </w:r>
    </w:p>
    <w:p w:rsidR="000474DF" w:rsidRDefault="000474DF"/>
  </w:footnote>
  <w:footnote w:type="continuationSeparator" w:id="0">
    <w:p w:rsidR="000474DF" w:rsidRPr="00290C63" w:rsidRDefault="000474DF" w:rsidP="00290C63">
      <w:r>
        <w:continuationSeparator/>
      </w:r>
    </w:p>
    <w:p w:rsidR="000474DF" w:rsidRDefault="000474DF"/>
  </w:footnote>
  <w:footnote w:id="1">
    <w:p w:rsidR="003653E1" w:rsidRDefault="003653E1" w:rsidP="003653E1">
      <w:pPr>
        <w:pStyle w:val="FootnoteText"/>
      </w:pPr>
      <w:r>
        <w:rPr>
          <w:rStyle w:val="FootnoteReference"/>
        </w:rPr>
        <w:footnoteRef/>
      </w:r>
      <w:r>
        <w:t xml:space="preserve"> </w:t>
      </w:r>
      <w:r>
        <w:tab/>
        <w:t xml:space="preserve">AEMC 2012, </w:t>
      </w:r>
      <w:r>
        <w:rPr>
          <w:i/>
        </w:rPr>
        <w:t xml:space="preserve">Cost pass through arrangements for Network Service Providers, Rule Determination, </w:t>
      </w:r>
      <w:r>
        <w:t>2 August 2012, Sydney, p. 2.</w:t>
      </w:r>
    </w:p>
  </w:footnote>
  <w:footnote w:id="2">
    <w:p w:rsidR="003653E1" w:rsidRDefault="003653E1" w:rsidP="003653E1">
      <w:pPr>
        <w:pStyle w:val="FootnoteText"/>
      </w:pPr>
      <w:r>
        <w:rPr>
          <w:rStyle w:val="FootnoteReference"/>
        </w:rPr>
        <w:footnoteRef/>
      </w:r>
      <w:r>
        <w:t xml:space="preserve"> </w:t>
      </w:r>
      <w:r>
        <w:tab/>
        <w:t>NER, cl. 6A.7.3(a1)(1)–(4). Each of these prescribed events is defined in Chapter 10 (Glossary) of the NER.</w:t>
      </w:r>
    </w:p>
  </w:footnote>
  <w:footnote w:id="3">
    <w:p w:rsidR="003653E1" w:rsidRDefault="003653E1" w:rsidP="003653E1">
      <w:pPr>
        <w:pStyle w:val="FootnoteText"/>
      </w:pPr>
      <w:r>
        <w:rPr>
          <w:rStyle w:val="FootnoteReference"/>
        </w:rPr>
        <w:footnoteRef/>
      </w:r>
      <w:r>
        <w:t xml:space="preserve"> </w:t>
      </w:r>
      <w:r>
        <w:tab/>
      </w:r>
      <w:r w:rsidRPr="000F74F9">
        <w:t>NER, cl</w:t>
      </w:r>
      <w:r>
        <w:t>.</w:t>
      </w:r>
      <w:r w:rsidRPr="000F74F9">
        <w:t xml:space="preserve"> </w:t>
      </w:r>
      <w:r>
        <w:t>6A.7.3(a1)(5).</w:t>
      </w:r>
    </w:p>
  </w:footnote>
  <w:footnote w:id="4">
    <w:p w:rsidR="003653E1" w:rsidRDefault="003653E1" w:rsidP="003653E1">
      <w:pPr>
        <w:pStyle w:val="FootnoteText"/>
      </w:pPr>
      <w:r>
        <w:rPr>
          <w:rStyle w:val="FootnoteReference"/>
        </w:rPr>
        <w:footnoteRef/>
      </w:r>
      <w:r>
        <w:t xml:space="preserve"> </w:t>
      </w:r>
      <w:r>
        <w:tab/>
        <w:t>NER, cl. 6A.14.1(9).</w:t>
      </w:r>
    </w:p>
  </w:footnote>
  <w:footnote w:id="5">
    <w:p w:rsidR="003653E1" w:rsidRDefault="003653E1" w:rsidP="003653E1">
      <w:pPr>
        <w:pStyle w:val="FootnoteText"/>
      </w:pPr>
      <w:r>
        <w:rPr>
          <w:rStyle w:val="FootnoteReference"/>
        </w:rPr>
        <w:footnoteRef/>
      </w:r>
      <w:r>
        <w:t xml:space="preserve"> </w:t>
      </w:r>
      <w:r>
        <w:tab/>
        <w:t>NER, cl. 6A.7.3.</w:t>
      </w:r>
    </w:p>
  </w:footnote>
  <w:footnote w:id="6">
    <w:p w:rsidR="003653E1" w:rsidRDefault="003653E1" w:rsidP="003653E1">
      <w:pPr>
        <w:pStyle w:val="FootnoteText"/>
      </w:pPr>
      <w:r>
        <w:rPr>
          <w:rStyle w:val="FootnoteReference"/>
        </w:rPr>
        <w:footnoteRef/>
      </w:r>
      <w:r>
        <w:t xml:space="preserve"> </w:t>
      </w:r>
      <w:r>
        <w:tab/>
        <w:t>NEL, s</w:t>
      </w:r>
      <w:r w:rsidRPr="00CE34CA">
        <w:t>.</w:t>
      </w:r>
      <w:r>
        <w:t xml:space="preserve"> </w:t>
      </w:r>
      <w:r w:rsidRPr="00CE34CA">
        <w:t>7A(2).</w:t>
      </w:r>
    </w:p>
  </w:footnote>
  <w:footnote w:id="7">
    <w:p w:rsidR="003653E1" w:rsidRDefault="003653E1" w:rsidP="003653E1">
      <w:pPr>
        <w:pStyle w:val="FootnoteText"/>
      </w:pPr>
      <w:r>
        <w:rPr>
          <w:rStyle w:val="FootnoteReference"/>
        </w:rPr>
        <w:footnoteRef/>
      </w:r>
      <w:r>
        <w:t xml:space="preserve"> </w:t>
      </w:r>
      <w:r>
        <w:tab/>
        <w:t>NEL, s</w:t>
      </w:r>
      <w:r w:rsidRPr="00CE34CA">
        <w:t>.</w:t>
      </w:r>
      <w:r>
        <w:t xml:space="preserve"> </w:t>
      </w:r>
      <w:r w:rsidRPr="00CE34CA">
        <w:t>7A(3)</w:t>
      </w:r>
      <w:r>
        <w:t>.</w:t>
      </w:r>
    </w:p>
  </w:footnote>
  <w:footnote w:id="8">
    <w:p w:rsidR="003653E1" w:rsidRDefault="003653E1" w:rsidP="003653E1">
      <w:pPr>
        <w:pStyle w:val="FootnoteText"/>
      </w:pPr>
      <w:r>
        <w:rPr>
          <w:rStyle w:val="FootnoteReference"/>
        </w:rPr>
        <w:footnoteRef/>
      </w:r>
      <w:r>
        <w:t xml:space="preserve"> </w:t>
      </w:r>
      <w:r>
        <w:tab/>
        <w:t>NEL, s</w:t>
      </w:r>
      <w:r w:rsidRPr="005D0FD3">
        <w:t>.</w:t>
      </w:r>
      <w:r>
        <w:t xml:space="preserve"> </w:t>
      </w:r>
      <w:r w:rsidRPr="005D0FD3">
        <w:t>7A(6)</w:t>
      </w:r>
      <w:r>
        <w:t>.</w:t>
      </w:r>
    </w:p>
  </w:footnote>
  <w:footnote w:id="9">
    <w:p w:rsidR="003653E1" w:rsidRDefault="003653E1" w:rsidP="003653E1">
      <w:pPr>
        <w:pStyle w:val="FootnoteText"/>
      </w:pPr>
      <w:r>
        <w:rPr>
          <w:rStyle w:val="FootnoteReference"/>
        </w:rPr>
        <w:footnoteRef/>
      </w:r>
      <w:r>
        <w:t xml:space="preserve"> </w:t>
      </w:r>
      <w:r>
        <w:tab/>
        <w:t xml:space="preserve">NEL, s. 7; AEMC 2012, </w:t>
      </w:r>
      <w:r>
        <w:rPr>
          <w:i/>
        </w:rPr>
        <w:t xml:space="preserve">Cost pass through arrangements for Network Service Providers, Rule Determination, </w:t>
      </w:r>
      <w:r>
        <w:t>2 August 2012, Sydney, p. 6.</w:t>
      </w:r>
    </w:p>
  </w:footnote>
  <w:footnote w:id="10">
    <w:p w:rsidR="003653E1" w:rsidRDefault="003653E1" w:rsidP="003653E1">
      <w:pPr>
        <w:pStyle w:val="FootnoteText"/>
      </w:pPr>
      <w:r>
        <w:rPr>
          <w:rStyle w:val="FootnoteReference"/>
        </w:rPr>
        <w:footnoteRef/>
      </w:r>
      <w:r>
        <w:t xml:space="preserve"> </w:t>
      </w:r>
      <w:r>
        <w:tab/>
      </w:r>
      <w:r w:rsidRPr="00930CEF">
        <w:t xml:space="preserve">NER, cl. </w:t>
      </w:r>
      <w:r>
        <w:t>6A.6.9(b)</w:t>
      </w:r>
      <w:r w:rsidRPr="00930CEF">
        <w:t xml:space="preserve">; NER </w:t>
      </w:r>
      <w:r>
        <w:t>Chapter 10: G</w:t>
      </w:r>
      <w:r w:rsidRPr="00930CEF">
        <w:t>lossary, definition of 'nominated pass through event considerations'.</w:t>
      </w:r>
    </w:p>
  </w:footnote>
  <w:footnote w:id="11">
    <w:p w:rsidR="003653E1" w:rsidRDefault="003653E1" w:rsidP="003653E1">
      <w:pPr>
        <w:pStyle w:val="FootnoteText"/>
      </w:pPr>
      <w:r>
        <w:rPr>
          <w:rStyle w:val="FootnoteReference"/>
        </w:rPr>
        <w:footnoteRef/>
      </w:r>
      <w:r>
        <w:t xml:space="preserve"> </w:t>
      </w:r>
      <w:r>
        <w:tab/>
        <w:t xml:space="preserve">AEMC 2012, </w:t>
      </w:r>
      <w:r>
        <w:rPr>
          <w:i/>
        </w:rPr>
        <w:t xml:space="preserve">Cost pass through arrangements for Network Service Providers, Rule Determination, </w:t>
      </w:r>
      <w:r>
        <w:t>2 August 2012, Sydney, p. 19.</w:t>
      </w:r>
    </w:p>
  </w:footnote>
  <w:footnote w:id="12">
    <w:p w:rsidR="003653E1" w:rsidRDefault="003653E1" w:rsidP="003653E1">
      <w:pPr>
        <w:pStyle w:val="FootnoteText"/>
      </w:pPr>
      <w:r>
        <w:rPr>
          <w:rStyle w:val="FootnoteReference"/>
        </w:rPr>
        <w:footnoteRef/>
      </w:r>
      <w:r>
        <w:t xml:space="preserve"> </w:t>
      </w:r>
      <w:r>
        <w:tab/>
        <w:t xml:space="preserve">AEMC 2012, </w:t>
      </w:r>
      <w:r>
        <w:rPr>
          <w:i/>
        </w:rPr>
        <w:t xml:space="preserve">Cost pass through arrangements for Network Service Providers, Rule Determination, </w:t>
      </w:r>
      <w:r>
        <w:t>2 August 2012, Sydney, p. 20.</w:t>
      </w:r>
    </w:p>
  </w:footnote>
  <w:footnote w:id="13">
    <w:p w:rsidR="003653E1" w:rsidRDefault="003653E1" w:rsidP="003653E1">
      <w:pPr>
        <w:pStyle w:val="FootnoteText"/>
      </w:pPr>
      <w:r>
        <w:rPr>
          <w:rStyle w:val="FootnoteReference"/>
        </w:rPr>
        <w:footnoteRef/>
      </w:r>
      <w:r>
        <w:t xml:space="preserve"> </w:t>
      </w:r>
      <w:r>
        <w:tab/>
        <w:t xml:space="preserve">AEMC 2012, </w:t>
      </w:r>
      <w:r>
        <w:rPr>
          <w:i/>
        </w:rPr>
        <w:t xml:space="preserve">Cost pass through arrangements for Network Service Providers, Rule Determination, </w:t>
      </w:r>
      <w:r>
        <w:t>2 August 2012, Sydney, p.8.</w:t>
      </w:r>
    </w:p>
  </w:footnote>
  <w:footnote w:id="14">
    <w:p w:rsidR="003653E1" w:rsidRDefault="003653E1" w:rsidP="003653E1">
      <w:pPr>
        <w:pStyle w:val="FootnoteText"/>
      </w:pPr>
      <w:r>
        <w:rPr>
          <w:rStyle w:val="FootnoteReference"/>
        </w:rPr>
        <w:footnoteRef/>
      </w:r>
      <w:r>
        <w:t xml:space="preserve"> </w:t>
      </w:r>
      <w:r>
        <w:tab/>
        <w:t xml:space="preserve">AEMC 2012, </w:t>
      </w:r>
      <w:r>
        <w:rPr>
          <w:i/>
        </w:rPr>
        <w:t xml:space="preserve">Cost pass through arrangements for Network Service Providers, Rule Determination, </w:t>
      </w:r>
      <w:r>
        <w:t>2 August 2012, Sydney, p.8.</w:t>
      </w:r>
    </w:p>
  </w:footnote>
  <w:footnote w:id="15">
    <w:p w:rsidR="003653E1" w:rsidRDefault="003653E1" w:rsidP="003653E1">
      <w:pPr>
        <w:pStyle w:val="FootnoteText"/>
      </w:pPr>
      <w:r>
        <w:rPr>
          <w:rStyle w:val="FootnoteReference"/>
        </w:rPr>
        <w:footnoteRef/>
      </w:r>
      <w:r>
        <w:t xml:space="preserve"> </w:t>
      </w:r>
      <w:r>
        <w:tab/>
      </w:r>
      <w:r w:rsidRPr="00930CEF">
        <w:t>NER</w:t>
      </w:r>
      <w:r>
        <w:t>, Chapter 10: G</w:t>
      </w:r>
      <w:r w:rsidRPr="00930CEF">
        <w:t>lossary, definition of 'nominated pas</w:t>
      </w:r>
      <w:r>
        <w:t>s through event considerations', cl. (e).</w:t>
      </w:r>
    </w:p>
  </w:footnote>
  <w:footnote w:id="16">
    <w:p w:rsidR="003653E1" w:rsidRDefault="003653E1" w:rsidP="003653E1">
      <w:pPr>
        <w:pStyle w:val="FootnoteText"/>
      </w:pPr>
      <w:r>
        <w:rPr>
          <w:rStyle w:val="FootnoteReference"/>
        </w:rPr>
        <w:footnoteRef/>
      </w:r>
      <w:r>
        <w:t xml:space="preserve"> </w:t>
      </w:r>
      <w:r>
        <w:tab/>
        <w:t xml:space="preserve">AEMC 2012, </w:t>
      </w:r>
      <w:r>
        <w:rPr>
          <w:i/>
        </w:rPr>
        <w:t xml:space="preserve">Cost pass through arrangements for Network Service Providers, Rule Determination, </w:t>
      </w:r>
      <w:r>
        <w:t>2 August 2012, Sydney, p. 18.</w:t>
      </w:r>
    </w:p>
  </w:footnote>
  <w:footnote w:id="17">
    <w:p w:rsidR="003653E1" w:rsidRDefault="003653E1" w:rsidP="003653E1">
      <w:pPr>
        <w:pStyle w:val="FootnoteText"/>
      </w:pPr>
      <w:r>
        <w:rPr>
          <w:rStyle w:val="FootnoteReference"/>
        </w:rPr>
        <w:footnoteRef/>
      </w:r>
      <w:r>
        <w:t xml:space="preserve"> </w:t>
      </w:r>
      <w:r>
        <w:tab/>
        <w:t xml:space="preserve">AEMC 2012, </w:t>
      </w:r>
      <w:r>
        <w:rPr>
          <w:i/>
        </w:rPr>
        <w:t xml:space="preserve">Cost pass through arrangements for Network Service Providers, Rule Determination, </w:t>
      </w:r>
      <w:r>
        <w:t>2 August 2012, Sydney, pp. 19–20.</w:t>
      </w:r>
    </w:p>
  </w:footnote>
  <w:footnote w:id="18">
    <w:p w:rsidR="003653E1" w:rsidRDefault="003653E1" w:rsidP="003653E1">
      <w:pPr>
        <w:pStyle w:val="FootnoteText"/>
      </w:pPr>
      <w:r>
        <w:rPr>
          <w:rStyle w:val="FootnoteReference"/>
        </w:rPr>
        <w:footnoteRef/>
      </w:r>
      <w:r>
        <w:t xml:space="preserve"> </w:t>
      </w:r>
      <w:r>
        <w:tab/>
      </w:r>
      <w:r w:rsidRPr="007075A1">
        <w:t xml:space="preserve">AEMC 2012, </w:t>
      </w:r>
      <w:r w:rsidRPr="007075A1">
        <w:rPr>
          <w:rStyle w:val="AERtextitalic"/>
        </w:rPr>
        <w:t>Economic Regulation of Network Service Providers, and Price and Revenue Regulation of Gas Services, Final Position Paper</w:t>
      </w:r>
      <w:r w:rsidRPr="007075A1">
        <w:t>, 29 November 2012, Sydney</w:t>
      </w:r>
      <w:r>
        <w:t>, p. 186.</w:t>
      </w:r>
    </w:p>
  </w:footnote>
  <w:footnote w:id="19">
    <w:p w:rsidR="003653E1" w:rsidRDefault="003653E1" w:rsidP="003653E1">
      <w:pPr>
        <w:pStyle w:val="FootnoteText"/>
      </w:pPr>
      <w:r>
        <w:rPr>
          <w:rStyle w:val="FootnoteReference"/>
        </w:rPr>
        <w:footnoteRef/>
      </w:r>
      <w:r>
        <w:t xml:space="preserve"> </w:t>
      </w:r>
      <w:r>
        <w:tab/>
        <w:t>NER, Chapter 10: Glossary, definition of ‘materially’.</w:t>
      </w:r>
    </w:p>
  </w:footnote>
  <w:footnote w:id="20">
    <w:p w:rsidR="003653E1" w:rsidRDefault="003653E1" w:rsidP="003653E1">
      <w:pPr>
        <w:pStyle w:val="FootnoteText"/>
      </w:pPr>
      <w:r>
        <w:rPr>
          <w:rStyle w:val="FootnoteReference"/>
        </w:rPr>
        <w:footnoteRef/>
      </w:r>
      <w:r>
        <w:t xml:space="preserve"> </w:t>
      </w:r>
      <w:r>
        <w:tab/>
        <w:t xml:space="preserve">AER, </w:t>
      </w:r>
      <w:r w:rsidRPr="00EA0C7F">
        <w:rPr>
          <w:rStyle w:val="AERtextitalic"/>
        </w:rPr>
        <w:t>Efficiency Benefit Sharing Scheme for Electricity Network Service Providers</w:t>
      </w:r>
      <w:r>
        <w:t>, November 2013, p. 9;</w:t>
      </w:r>
      <w:r w:rsidRPr="00EA0C7F">
        <w:t xml:space="preserve"> </w:t>
      </w:r>
      <w:r>
        <w:t xml:space="preserve">AER, </w:t>
      </w:r>
      <w:r w:rsidRPr="00EA0C7F">
        <w:rPr>
          <w:rStyle w:val="AERtextitalic"/>
        </w:rPr>
        <w:t>Capital Expenditure Incentive Guideline for Electricity Network Service Providers</w:t>
      </w:r>
      <w:r>
        <w:t>, November 2013, p. 18.</w:t>
      </w:r>
    </w:p>
  </w:footnote>
  <w:footnote w:id="21">
    <w:p w:rsidR="00027C77" w:rsidRDefault="00027C77">
      <w:pPr>
        <w:pStyle w:val="FootnoteText"/>
      </w:pPr>
      <w:r>
        <w:rPr>
          <w:rStyle w:val="FootnoteReference"/>
        </w:rPr>
        <w:footnoteRef/>
      </w:r>
      <w:r>
        <w:t xml:space="preserve"> </w:t>
      </w:r>
      <w:r>
        <w:tab/>
      </w:r>
      <w:r w:rsidR="007A1687">
        <w:t xml:space="preserve">NER, cl. </w:t>
      </w:r>
      <w:proofErr w:type="gramStart"/>
      <w:r w:rsidR="007A1687">
        <w:t>S6A.2.1(</w:t>
      </w:r>
      <w:proofErr w:type="gramEnd"/>
      <w:r w:rsidR="007A1687">
        <w:t>f)(1)(ii).</w:t>
      </w:r>
    </w:p>
  </w:footnote>
  <w:footnote w:id="22">
    <w:p w:rsidR="003653E1" w:rsidRDefault="003653E1" w:rsidP="003653E1">
      <w:pPr>
        <w:pStyle w:val="FootnoteText"/>
      </w:pPr>
      <w:r>
        <w:rPr>
          <w:rStyle w:val="FootnoteReference"/>
        </w:rPr>
        <w:footnoteRef/>
      </w:r>
      <w:r>
        <w:t xml:space="preserve"> </w:t>
      </w:r>
      <w:r>
        <w:tab/>
      </w:r>
      <w:r w:rsidRPr="00930CEF">
        <w:t>NER</w:t>
      </w:r>
      <w:r>
        <w:t>, Chapter 10: G</w:t>
      </w:r>
      <w:r w:rsidRPr="00930CEF">
        <w:t>lossary, definition of 'nominated pas</w:t>
      </w:r>
      <w:r>
        <w:t>s through event considerations', cl. (a).</w:t>
      </w:r>
    </w:p>
  </w:footnote>
  <w:footnote w:id="23">
    <w:p w:rsidR="003653E1" w:rsidRDefault="003653E1" w:rsidP="003653E1">
      <w:pPr>
        <w:pStyle w:val="FootnoteText"/>
      </w:pPr>
      <w:r>
        <w:rPr>
          <w:rStyle w:val="FootnoteReference"/>
        </w:rPr>
        <w:footnoteRef/>
      </w:r>
      <w:r>
        <w:t xml:space="preserve"> </w:t>
      </w:r>
      <w:r>
        <w:tab/>
      </w:r>
      <w:r w:rsidRPr="00930CEF">
        <w:t>NER</w:t>
      </w:r>
      <w:r>
        <w:t>, Chapter 10: G</w:t>
      </w:r>
      <w:r w:rsidRPr="00930CEF">
        <w:t>lossary, definition of 'nominated pas</w:t>
      </w:r>
      <w:r>
        <w:t>s through event considerations', cl. (b).</w:t>
      </w:r>
    </w:p>
  </w:footnote>
  <w:footnote w:id="24">
    <w:p w:rsidR="003653E1" w:rsidRDefault="003653E1" w:rsidP="003653E1">
      <w:pPr>
        <w:pStyle w:val="FootnoteText"/>
      </w:pPr>
      <w:r>
        <w:rPr>
          <w:rStyle w:val="FootnoteReference"/>
        </w:rPr>
        <w:footnoteRef/>
      </w:r>
      <w:r>
        <w:t xml:space="preserve"> </w:t>
      </w:r>
      <w:r>
        <w:tab/>
      </w:r>
      <w:r w:rsidRPr="00930CEF">
        <w:t>NER</w:t>
      </w:r>
      <w:r>
        <w:t>, Chapter 10: G</w:t>
      </w:r>
      <w:r w:rsidRPr="00930CEF">
        <w:t>lossary, definition of 'nominated pas</w:t>
      </w:r>
      <w:r>
        <w:t>s through event considerations', cl. (c).</w:t>
      </w:r>
    </w:p>
  </w:footnote>
  <w:footnote w:id="25">
    <w:p w:rsidR="003653E1" w:rsidRDefault="003653E1" w:rsidP="003653E1">
      <w:pPr>
        <w:pStyle w:val="FootnoteText"/>
      </w:pPr>
      <w:r>
        <w:rPr>
          <w:rStyle w:val="FootnoteReference"/>
        </w:rPr>
        <w:footnoteRef/>
      </w:r>
      <w:r>
        <w:t xml:space="preserve"> </w:t>
      </w:r>
      <w:r>
        <w:tab/>
      </w:r>
      <w:r w:rsidRPr="00930CEF">
        <w:t>NER</w:t>
      </w:r>
      <w:r>
        <w:t>, Chapter 10: G</w:t>
      </w:r>
      <w:r w:rsidRPr="00930CEF">
        <w:t>lossary, definition of 'nominated pas</w:t>
      </w:r>
      <w:r>
        <w:t>s through event considerations', cl. (d).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Default="000474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6F825988"/>
    <w:lvl w:ilvl="0">
      <w:start w:val="13"/>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8"/>
    <w:lvlOverride w:ilvl="0">
      <w:startOverride w:val="4"/>
    </w:lvlOverride>
  </w:num>
  <w:num w:numId="37">
    <w:abstractNumId w:val="8"/>
    <w:lvlOverride w:ilvl="0">
      <w:startOverride w:val="1"/>
    </w:lvlOverride>
  </w:num>
  <w:num w:numId="38">
    <w:abstractNumId w:val="28"/>
    <w:lvlOverride w:ilvl="0">
      <w:startOverride w:val="1"/>
    </w:lvlOverride>
  </w:num>
  <w:num w:numId="39">
    <w:abstractNumId w:val="7"/>
    <w:lvlOverride w:ilvl="0">
      <w:startOverride w:val="1"/>
    </w:lvlOverride>
  </w:num>
  <w:num w:numId="40">
    <w:abstractNumId w:val="16"/>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qXcMuemAxXRNggGwNoB6rcB1knf7SKdycAIEkm+SMSY=" w:saltValue="pnd3TwsvIhJexGZEOUyFpg==" w:algorithmName="SHA-256"/>
  <w:defaultTabStop w:val="340"/>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mleco\aer - final decision powerlink transmission determination - attachment 13 - pass through events - april 2017 (AER2016-000040).docx"/>
  </w:docVars>
  <w:rsids>
    <w:rsidRoot w:val="00961A4A"/>
    <w:rsid w:val="000051DC"/>
    <w:rsid w:val="0000658F"/>
    <w:rsid w:val="0001507B"/>
    <w:rsid w:val="00020016"/>
    <w:rsid w:val="00021202"/>
    <w:rsid w:val="00021C2B"/>
    <w:rsid w:val="0002498B"/>
    <w:rsid w:val="0002517F"/>
    <w:rsid w:val="00026187"/>
    <w:rsid w:val="000266FC"/>
    <w:rsid w:val="000273B3"/>
    <w:rsid w:val="00027C77"/>
    <w:rsid w:val="00027E2D"/>
    <w:rsid w:val="0003578C"/>
    <w:rsid w:val="00044DA3"/>
    <w:rsid w:val="000474DF"/>
    <w:rsid w:val="00055A67"/>
    <w:rsid w:val="00063247"/>
    <w:rsid w:val="0006624E"/>
    <w:rsid w:val="00070F9F"/>
    <w:rsid w:val="0007137B"/>
    <w:rsid w:val="00073B74"/>
    <w:rsid w:val="00076416"/>
    <w:rsid w:val="000805A8"/>
    <w:rsid w:val="0008190B"/>
    <w:rsid w:val="000836D9"/>
    <w:rsid w:val="00085663"/>
    <w:rsid w:val="00085EBF"/>
    <w:rsid w:val="00091B15"/>
    <w:rsid w:val="0009297F"/>
    <w:rsid w:val="00095186"/>
    <w:rsid w:val="000A0E71"/>
    <w:rsid w:val="000A1C0C"/>
    <w:rsid w:val="000A3020"/>
    <w:rsid w:val="000A4840"/>
    <w:rsid w:val="000A62C1"/>
    <w:rsid w:val="000A6A79"/>
    <w:rsid w:val="000A6C7B"/>
    <w:rsid w:val="000B0A7B"/>
    <w:rsid w:val="000B1173"/>
    <w:rsid w:val="000B5827"/>
    <w:rsid w:val="000B7037"/>
    <w:rsid w:val="000C02D1"/>
    <w:rsid w:val="000C2B40"/>
    <w:rsid w:val="000C5255"/>
    <w:rsid w:val="000D07A7"/>
    <w:rsid w:val="000D08AE"/>
    <w:rsid w:val="000D122C"/>
    <w:rsid w:val="000D75B0"/>
    <w:rsid w:val="000E1819"/>
    <w:rsid w:val="000E4821"/>
    <w:rsid w:val="000E4AA9"/>
    <w:rsid w:val="000E6C72"/>
    <w:rsid w:val="000E7F39"/>
    <w:rsid w:val="00100EA2"/>
    <w:rsid w:val="00101AA1"/>
    <w:rsid w:val="00102338"/>
    <w:rsid w:val="00104566"/>
    <w:rsid w:val="00104FF6"/>
    <w:rsid w:val="001114AA"/>
    <w:rsid w:val="00116EB2"/>
    <w:rsid w:val="0012132C"/>
    <w:rsid w:val="00124609"/>
    <w:rsid w:val="00126A4C"/>
    <w:rsid w:val="001270E3"/>
    <w:rsid w:val="00132D43"/>
    <w:rsid w:val="00133366"/>
    <w:rsid w:val="00133F47"/>
    <w:rsid w:val="00134029"/>
    <w:rsid w:val="00142C2D"/>
    <w:rsid w:val="00144C96"/>
    <w:rsid w:val="0014573B"/>
    <w:rsid w:val="001463A3"/>
    <w:rsid w:val="0015073A"/>
    <w:rsid w:val="001573E4"/>
    <w:rsid w:val="00160756"/>
    <w:rsid w:val="00161DC8"/>
    <w:rsid w:val="00166760"/>
    <w:rsid w:val="0017232E"/>
    <w:rsid w:val="00174102"/>
    <w:rsid w:val="001754EE"/>
    <w:rsid w:val="00180157"/>
    <w:rsid w:val="001809BC"/>
    <w:rsid w:val="00180E97"/>
    <w:rsid w:val="001820B4"/>
    <w:rsid w:val="00184351"/>
    <w:rsid w:val="00184AC8"/>
    <w:rsid w:val="00185CB9"/>
    <w:rsid w:val="00185DBE"/>
    <w:rsid w:val="00186ADC"/>
    <w:rsid w:val="00186F77"/>
    <w:rsid w:val="001877A4"/>
    <w:rsid w:val="001926A4"/>
    <w:rsid w:val="00192AD5"/>
    <w:rsid w:val="00194597"/>
    <w:rsid w:val="00194E00"/>
    <w:rsid w:val="0019745E"/>
    <w:rsid w:val="001A0EFD"/>
    <w:rsid w:val="001A530D"/>
    <w:rsid w:val="001A5FB3"/>
    <w:rsid w:val="001A7155"/>
    <w:rsid w:val="001B45A0"/>
    <w:rsid w:val="001B680E"/>
    <w:rsid w:val="001D055E"/>
    <w:rsid w:val="001E1B3F"/>
    <w:rsid w:val="001E7161"/>
    <w:rsid w:val="001F05A4"/>
    <w:rsid w:val="001F3D4A"/>
    <w:rsid w:val="001F492E"/>
    <w:rsid w:val="001F64EF"/>
    <w:rsid w:val="001F6DA3"/>
    <w:rsid w:val="002010BC"/>
    <w:rsid w:val="002016E7"/>
    <w:rsid w:val="00202E03"/>
    <w:rsid w:val="002033B9"/>
    <w:rsid w:val="002043D0"/>
    <w:rsid w:val="0020492C"/>
    <w:rsid w:val="00204EC9"/>
    <w:rsid w:val="00206505"/>
    <w:rsid w:val="0020743F"/>
    <w:rsid w:val="00216C93"/>
    <w:rsid w:val="00223051"/>
    <w:rsid w:val="00224DB9"/>
    <w:rsid w:val="0022569A"/>
    <w:rsid w:val="00231012"/>
    <w:rsid w:val="00233775"/>
    <w:rsid w:val="0023414B"/>
    <w:rsid w:val="00243635"/>
    <w:rsid w:val="00247079"/>
    <w:rsid w:val="00251745"/>
    <w:rsid w:val="002552BA"/>
    <w:rsid w:val="00260016"/>
    <w:rsid w:val="00263AC0"/>
    <w:rsid w:val="00264264"/>
    <w:rsid w:val="0026689B"/>
    <w:rsid w:val="0026772D"/>
    <w:rsid w:val="002730B2"/>
    <w:rsid w:val="00274C7E"/>
    <w:rsid w:val="002777CF"/>
    <w:rsid w:val="002810F2"/>
    <w:rsid w:val="00286874"/>
    <w:rsid w:val="00290C63"/>
    <w:rsid w:val="00291A99"/>
    <w:rsid w:val="00293B6D"/>
    <w:rsid w:val="00294B08"/>
    <w:rsid w:val="0029518C"/>
    <w:rsid w:val="002963DD"/>
    <w:rsid w:val="00296B65"/>
    <w:rsid w:val="002A7DEF"/>
    <w:rsid w:val="002B0696"/>
    <w:rsid w:val="002C0222"/>
    <w:rsid w:val="002C1499"/>
    <w:rsid w:val="002C233C"/>
    <w:rsid w:val="002C517B"/>
    <w:rsid w:val="002D3509"/>
    <w:rsid w:val="002D5457"/>
    <w:rsid w:val="002D72E8"/>
    <w:rsid w:val="002D79AD"/>
    <w:rsid w:val="002E1C23"/>
    <w:rsid w:val="002E268F"/>
    <w:rsid w:val="002E78DD"/>
    <w:rsid w:val="002E7B22"/>
    <w:rsid w:val="002F0E07"/>
    <w:rsid w:val="002F12EC"/>
    <w:rsid w:val="002F7986"/>
    <w:rsid w:val="00301B40"/>
    <w:rsid w:val="00301C82"/>
    <w:rsid w:val="003029EE"/>
    <w:rsid w:val="00304D38"/>
    <w:rsid w:val="00305CC8"/>
    <w:rsid w:val="00307F6D"/>
    <w:rsid w:val="00314D83"/>
    <w:rsid w:val="0031571F"/>
    <w:rsid w:val="003177A2"/>
    <w:rsid w:val="003271B5"/>
    <w:rsid w:val="00327A1E"/>
    <w:rsid w:val="00327E28"/>
    <w:rsid w:val="00331264"/>
    <w:rsid w:val="00334C8D"/>
    <w:rsid w:val="003378BD"/>
    <w:rsid w:val="003424EA"/>
    <w:rsid w:val="00342C2F"/>
    <w:rsid w:val="003436EB"/>
    <w:rsid w:val="00343A18"/>
    <w:rsid w:val="00345744"/>
    <w:rsid w:val="003518B3"/>
    <w:rsid w:val="00353E79"/>
    <w:rsid w:val="00364EA0"/>
    <w:rsid w:val="003653E1"/>
    <w:rsid w:val="00366981"/>
    <w:rsid w:val="00370678"/>
    <w:rsid w:val="0037214E"/>
    <w:rsid w:val="00372C85"/>
    <w:rsid w:val="00373845"/>
    <w:rsid w:val="003744E3"/>
    <w:rsid w:val="00375F71"/>
    <w:rsid w:val="00376219"/>
    <w:rsid w:val="0037663E"/>
    <w:rsid w:val="00377A29"/>
    <w:rsid w:val="00377C69"/>
    <w:rsid w:val="0038415D"/>
    <w:rsid w:val="0038461C"/>
    <w:rsid w:val="003846F1"/>
    <w:rsid w:val="00390E6A"/>
    <w:rsid w:val="00393ABE"/>
    <w:rsid w:val="00395DB6"/>
    <w:rsid w:val="00397398"/>
    <w:rsid w:val="003A371A"/>
    <w:rsid w:val="003A59CD"/>
    <w:rsid w:val="003A6B00"/>
    <w:rsid w:val="003B30B2"/>
    <w:rsid w:val="003B484F"/>
    <w:rsid w:val="003B504B"/>
    <w:rsid w:val="003B5179"/>
    <w:rsid w:val="003B685C"/>
    <w:rsid w:val="003B7FBA"/>
    <w:rsid w:val="003C6537"/>
    <w:rsid w:val="003C6A13"/>
    <w:rsid w:val="003C764A"/>
    <w:rsid w:val="003C78BA"/>
    <w:rsid w:val="003D41F1"/>
    <w:rsid w:val="003D42AB"/>
    <w:rsid w:val="003D5B94"/>
    <w:rsid w:val="003E0D3A"/>
    <w:rsid w:val="003E3AAB"/>
    <w:rsid w:val="003E7FE9"/>
    <w:rsid w:val="003F07D4"/>
    <w:rsid w:val="003F174D"/>
    <w:rsid w:val="003F2329"/>
    <w:rsid w:val="00400FD2"/>
    <w:rsid w:val="00403711"/>
    <w:rsid w:val="00404C52"/>
    <w:rsid w:val="004156D5"/>
    <w:rsid w:val="00415BA9"/>
    <w:rsid w:val="00415F31"/>
    <w:rsid w:val="0041691D"/>
    <w:rsid w:val="0042000C"/>
    <w:rsid w:val="0042090E"/>
    <w:rsid w:val="00421F27"/>
    <w:rsid w:val="004238D8"/>
    <w:rsid w:val="00423A77"/>
    <w:rsid w:val="004324F4"/>
    <w:rsid w:val="00434544"/>
    <w:rsid w:val="00434917"/>
    <w:rsid w:val="00445D43"/>
    <w:rsid w:val="00446CD2"/>
    <w:rsid w:val="0045777E"/>
    <w:rsid w:val="00465258"/>
    <w:rsid w:val="00476221"/>
    <w:rsid w:val="004766F5"/>
    <w:rsid w:val="00480B4B"/>
    <w:rsid w:val="004838D8"/>
    <w:rsid w:val="00485DC4"/>
    <w:rsid w:val="00494D04"/>
    <w:rsid w:val="004A40BA"/>
    <w:rsid w:val="004A43D1"/>
    <w:rsid w:val="004B4412"/>
    <w:rsid w:val="004C348C"/>
    <w:rsid w:val="004C462E"/>
    <w:rsid w:val="004C6CA3"/>
    <w:rsid w:val="004C7F5E"/>
    <w:rsid w:val="004D2319"/>
    <w:rsid w:val="004D343C"/>
    <w:rsid w:val="004D372A"/>
    <w:rsid w:val="004D5295"/>
    <w:rsid w:val="004D55BA"/>
    <w:rsid w:val="004D720C"/>
    <w:rsid w:val="004E0FA7"/>
    <w:rsid w:val="004E22EC"/>
    <w:rsid w:val="004F0BFA"/>
    <w:rsid w:val="004F4D69"/>
    <w:rsid w:val="004F6883"/>
    <w:rsid w:val="004F6A0E"/>
    <w:rsid w:val="004F6BB3"/>
    <w:rsid w:val="005009CD"/>
    <w:rsid w:val="00504E5F"/>
    <w:rsid w:val="0051337E"/>
    <w:rsid w:val="00513FA7"/>
    <w:rsid w:val="0051768F"/>
    <w:rsid w:val="00522DC2"/>
    <w:rsid w:val="00530128"/>
    <w:rsid w:val="00532467"/>
    <w:rsid w:val="005332A9"/>
    <w:rsid w:val="0053603C"/>
    <w:rsid w:val="00537871"/>
    <w:rsid w:val="00542FE9"/>
    <w:rsid w:val="00544598"/>
    <w:rsid w:val="00544C8D"/>
    <w:rsid w:val="00544DFD"/>
    <w:rsid w:val="00556B1E"/>
    <w:rsid w:val="00564A4D"/>
    <w:rsid w:val="0056598C"/>
    <w:rsid w:val="00566D22"/>
    <w:rsid w:val="00566E0B"/>
    <w:rsid w:val="00567BA5"/>
    <w:rsid w:val="00571B35"/>
    <w:rsid w:val="00571B43"/>
    <w:rsid w:val="00571D57"/>
    <w:rsid w:val="00573A3B"/>
    <w:rsid w:val="00577716"/>
    <w:rsid w:val="00577A09"/>
    <w:rsid w:val="005829C2"/>
    <w:rsid w:val="00584D8F"/>
    <w:rsid w:val="00587A18"/>
    <w:rsid w:val="005A0BEC"/>
    <w:rsid w:val="005A404D"/>
    <w:rsid w:val="005B1E3C"/>
    <w:rsid w:val="005B6518"/>
    <w:rsid w:val="005B704A"/>
    <w:rsid w:val="005B72D7"/>
    <w:rsid w:val="005C045F"/>
    <w:rsid w:val="005C16FE"/>
    <w:rsid w:val="005C1FAB"/>
    <w:rsid w:val="005C21A4"/>
    <w:rsid w:val="005C26CC"/>
    <w:rsid w:val="005D3D88"/>
    <w:rsid w:val="005D48C4"/>
    <w:rsid w:val="005D6208"/>
    <w:rsid w:val="005D6366"/>
    <w:rsid w:val="005D7BA2"/>
    <w:rsid w:val="005E36C2"/>
    <w:rsid w:val="005E4AF4"/>
    <w:rsid w:val="005F387E"/>
    <w:rsid w:val="005F662C"/>
    <w:rsid w:val="00601E0B"/>
    <w:rsid w:val="0060258B"/>
    <w:rsid w:val="00610EF9"/>
    <w:rsid w:val="00612F4F"/>
    <w:rsid w:val="00614EA0"/>
    <w:rsid w:val="00615C6B"/>
    <w:rsid w:val="00617D4C"/>
    <w:rsid w:val="00621DCE"/>
    <w:rsid w:val="00621FC5"/>
    <w:rsid w:val="00624F2C"/>
    <w:rsid w:val="00632D6D"/>
    <w:rsid w:val="00636569"/>
    <w:rsid w:val="00636EF9"/>
    <w:rsid w:val="00642C3E"/>
    <w:rsid w:val="00644A01"/>
    <w:rsid w:val="00651E2D"/>
    <w:rsid w:val="00652324"/>
    <w:rsid w:val="006577FB"/>
    <w:rsid w:val="0066104A"/>
    <w:rsid w:val="00663066"/>
    <w:rsid w:val="00663DAD"/>
    <w:rsid w:val="00664206"/>
    <w:rsid w:val="006649E7"/>
    <w:rsid w:val="00666634"/>
    <w:rsid w:val="00671692"/>
    <w:rsid w:val="00675E20"/>
    <w:rsid w:val="00676679"/>
    <w:rsid w:val="00683C89"/>
    <w:rsid w:val="00691B53"/>
    <w:rsid w:val="00697D0B"/>
    <w:rsid w:val="006A12BA"/>
    <w:rsid w:val="006A66A1"/>
    <w:rsid w:val="006B032D"/>
    <w:rsid w:val="006B2395"/>
    <w:rsid w:val="006B40AC"/>
    <w:rsid w:val="006B4CF9"/>
    <w:rsid w:val="006B797C"/>
    <w:rsid w:val="006B7AC8"/>
    <w:rsid w:val="006C1736"/>
    <w:rsid w:val="006C329B"/>
    <w:rsid w:val="006C6303"/>
    <w:rsid w:val="006D550F"/>
    <w:rsid w:val="006D6146"/>
    <w:rsid w:val="006D7F7E"/>
    <w:rsid w:val="006E0CFF"/>
    <w:rsid w:val="006F0D92"/>
    <w:rsid w:val="006F267D"/>
    <w:rsid w:val="0070011E"/>
    <w:rsid w:val="00701CAB"/>
    <w:rsid w:val="007023BB"/>
    <w:rsid w:val="00704DD7"/>
    <w:rsid w:val="00707563"/>
    <w:rsid w:val="00715F61"/>
    <w:rsid w:val="00722132"/>
    <w:rsid w:val="007228F7"/>
    <w:rsid w:val="0072348C"/>
    <w:rsid w:val="007244BB"/>
    <w:rsid w:val="00724A37"/>
    <w:rsid w:val="007303C3"/>
    <w:rsid w:val="00731188"/>
    <w:rsid w:val="007356CC"/>
    <w:rsid w:val="007368E6"/>
    <w:rsid w:val="007375DF"/>
    <w:rsid w:val="007429BE"/>
    <w:rsid w:val="00743223"/>
    <w:rsid w:val="00743349"/>
    <w:rsid w:val="0074403A"/>
    <w:rsid w:val="00746E01"/>
    <w:rsid w:val="00751DCD"/>
    <w:rsid w:val="00755084"/>
    <w:rsid w:val="00757364"/>
    <w:rsid w:val="00757BDF"/>
    <w:rsid w:val="007609D0"/>
    <w:rsid w:val="00761454"/>
    <w:rsid w:val="0076193D"/>
    <w:rsid w:val="00761EE4"/>
    <w:rsid w:val="00763E5D"/>
    <w:rsid w:val="00765838"/>
    <w:rsid w:val="00767740"/>
    <w:rsid w:val="00767B5E"/>
    <w:rsid w:val="00775460"/>
    <w:rsid w:val="00777EE6"/>
    <w:rsid w:val="00782EEA"/>
    <w:rsid w:val="007909B4"/>
    <w:rsid w:val="00790E86"/>
    <w:rsid w:val="007949D7"/>
    <w:rsid w:val="007A0143"/>
    <w:rsid w:val="007A1687"/>
    <w:rsid w:val="007A34C2"/>
    <w:rsid w:val="007A396C"/>
    <w:rsid w:val="007B0BE3"/>
    <w:rsid w:val="007B1816"/>
    <w:rsid w:val="007B186E"/>
    <w:rsid w:val="007B25DC"/>
    <w:rsid w:val="007B2C72"/>
    <w:rsid w:val="007B3789"/>
    <w:rsid w:val="007B651F"/>
    <w:rsid w:val="007B7BB5"/>
    <w:rsid w:val="007C1C53"/>
    <w:rsid w:val="007C284C"/>
    <w:rsid w:val="007C4B82"/>
    <w:rsid w:val="007C74BB"/>
    <w:rsid w:val="007C7F64"/>
    <w:rsid w:val="007D0A95"/>
    <w:rsid w:val="007D0EB5"/>
    <w:rsid w:val="007D456E"/>
    <w:rsid w:val="007D5837"/>
    <w:rsid w:val="007E4904"/>
    <w:rsid w:val="007E4CB5"/>
    <w:rsid w:val="007E4DAE"/>
    <w:rsid w:val="007F066B"/>
    <w:rsid w:val="007F4EAB"/>
    <w:rsid w:val="007F5B16"/>
    <w:rsid w:val="007F7C9D"/>
    <w:rsid w:val="008033C4"/>
    <w:rsid w:val="00806731"/>
    <w:rsid w:val="00806C88"/>
    <w:rsid w:val="0081034E"/>
    <w:rsid w:val="00810806"/>
    <w:rsid w:val="00815882"/>
    <w:rsid w:val="00820454"/>
    <w:rsid w:val="00822AC7"/>
    <w:rsid w:val="00822E86"/>
    <w:rsid w:val="008344F6"/>
    <w:rsid w:val="0083510F"/>
    <w:rsid w:val="00837BF3"/>
    <w:rsid w:val="008415DE"/>
    <w:rsid w:val="008420DE"/>
    <w:rsid w:val="00845865"/>
    <w:rsid w:val="0084799B"/>
    <w:rsid w:val="00850C90"/>
    <w:rsid w:val="00851209"/>
    <w:rsid w:val="0085171F"/>
    <w:rsid w:val="008658A1"/>
    <w:rsid w:val="0086716A"/>
    <w:rsid w:val="00870613"/>
    <w:rsid w:val="0087380F"/>
    <w:rsid w:val="0087648F"/>
    <w:rsid w:val="00876612"/>
    <w:rsid w:val="00882BB1"/>
    <w:rsid w:val="008837AC"/>
    <w:rsid w:val="008909DC"/>
    <w:rsid w:val="00894255"/>
    <w:rsid w:val="008945AD"/>
    <w:rsid w:val="008A0645"/>
    <w:rsid w:val="008A1C02"/>
    <w:rsid w:val="008A370D"/>
    <w:rsid w:val="008A587D"/>
    <w:rsid w:val="008B16B0"/>
    <w:rsid w:val="008B1BD5"/>
    <w:rsid w:val="008B35CD"/>
    <w:rsid w:val="008B4093"/>
    <w:rsid w:val="008B5FCC"/>
    <w:rsid w:val="008B7F36"/>
    <w:rsid w:val="008C357F"/>
    <w:rsid w:val="008C5486"/>
    <w:rsid w:val="008D1661"/>
    <w:rsid w:val="008D27E0"/>
    <w:rsid w:val="008D5F90"/>
    <w:rsid w:val="008D6800"/>
    <w:rsid w:val="008D72F1"/>
    <w:rsid w:val="008E4089"/>
    <w:rsid w:val="008E5AFF"/>
    <w:rsid w:val="008E7031"/>
    <w:rsid w:val="008E77DE"/>
    <w:rsid w:val="008F040C"/>
    <w:rsid w:val="008F07A3"/>
    <w:rsid w:val="008F3322"/>
    <w:rsid w:val="008F3519"/>
    <w:rsid w:val="008F3A0D"/>
    <w:rsid w:val="009001B6"/>
    <w:rsid w:val="00900E1B"/>
    <w:rsid w:val="0090131F"/>
    <w:rsid w:val="0090233E"/>
    <w:rsid w:val="00907683"/>
    <w:rsid w:val="009132B7"/>
    <w:rsid w:val="00916A2C"/>
    <w:rsid w:val="009233EE"/>
    <w:rsid w:val="00930B1A"/>
    <w:rsid w:val="00932612"/>
    <w:rsid w:val="009327DC"/>
    <w:rsid w:val="009338D9"/>
    <w:rsid w:val="009339BD"/>
    <w:rsid w:val="009356CF"/>
    <w:rsid w:val="0093622C"/>
    <w:rsid w:val="00945E53"/>
    <w:rsid w:val="009460AA"/>
    <w:rsid w:val="00951978"/>
    <w:rsid w:val="00961A4A"/>
    <w:rsid w:val="00962B3A"/>
    <w:rsid w:val="009661DE"/>
    <w:rsid w:val="00972C7C"/>
    <w:rsid w:val="009776F4"/>
    <w:rsid w:val="00982DA2"/>
    <w:rsid w:val="00983C25"/>
    <w:rsid w:val="0098466D"/>
    <w:rsid w:val="009856B7"/>
    <w:rsid w:val="00985C86"/>
    <w:rsid w:val="009A5FC3"/>
    <w:rsid w:val="009B6F84"/>
    <w:rsid w:val="009B74B0"/>
    <w:rsid w:val="009C0152"/>
    <w:rsid w:val="009C1A74"/>
    <w:rsid w:val="009C3D42"/>
    <w:rsid w:val="009C491E"/>
    <w:rsid w:val="009D0DF1"/>
    <w:rsid w:val="009D22D6"/>
    <w:rsid w:val="009D2C84"/>
    <w:rsid w:val="009D3906"/>
    <w:rsid w:val="009D6B46"/>
    <w:rsid w:val="009E35B6"/>
    <w:rsid w:val="009E5ABC"/>
    <w:rsid w:val="009F43B4"/>
    <w:rsid w:val="009F4940"/>
    <w:rsid w:val="009F5BA1"/>
    <w:rsid w:val="00A02A88"/>
    <w:rsid w:val="00A04012"/>
    <w:rsid w:val="00A046FA"/>
    <w:rsid w:val="00A0562E"/>
    <w:rsid w:val="00A0726D"/>
    <w:rsid w:val="00A073AE"/>
    <w:rsid w:val="00A12204"/>
    <w:rsid w:val="00A12750"/>
    <w:rsid w:val="00A13CB0"/>
    <w:rsid w:val="00A1561F"/>
    <w:rsid w:val="00A16544"/>
    <w:rsid w:val="00A30BF5"/>
    <w:rsid w:val="00A31BE6"/>
    <w:rsid w:val="00A32FBB"/>
    <w:rsid w:val="00A40068"/>
    <w:rsid w:val="00A40BE9"/>
    <w:rsid w:val="00A428EE"/>
    <w:rsid w:val="00A443C2"/>
    <w:rsid w:val="00A4478A"/>
    <w:rsid w:val="00A44852"/>
    <w:rsid w:val="00A463B0"/>
    <w:rsid w:val="00A50502"/>
    <w:rsid w:val="00A53409"/>
    <w:rsid w:val="00A53796"/>
    <w:rsid w:val="00A53848"/>
    <w:rsid w:val="00A558C4"/>
    <w:rsid w:val="00A56945"/>
    <w:rsid w:val="00A56A6E"/>
    <w:rsid w:val="00A57D04"/>
    <w:rsid w:val="00A60295"/>
    <w:rsid w:val="00A60A26"/>
    <w:rsid w:val="00A61598"/>
    <w:rsid w:val="00A61777"/>
    <w:rsid w:val="00A63646"/>
    <w:rsid w:val="00A63914"/>
    <w:rsid w:val="00A77EF6"/>
    <w:rsid w:val="00A84A99"/>
    <w:rsid w:val="00A84F46"/>
    <w:rsid w:val="00A86AEA"/>
    <w:rsid w:val="00A871F4"/>
    <w:rsid w:val="00A9431A"/>
    <w:rsid w:val="00A95988"/>
    <w:rsid w:val="00A959DF"/>
    <w:rsid w:val="00A97A1B"/>
    <w:rsid w:val="00AA2927"/>
    <w:rsid w:val="00AB2CB8"/>
    <w:rsid w:val="00AB4617"/>
    <w:rsid w:val="00AC1B2C"/>
    <w:rsid w:val="00AC3264"/>
    <w:rsid w:val="00AC46AD"/>
    <w:rsid w:val="00AC4D2D"/>
    <w:rsid w:val="00AC58EC"/>
    <w:rsid w:val="00AC7282"/>
    <w:rsid w:val="00AC7961"/>
    <w:rsid w:val="00AD314E"/>
    <w:rsid w:val="00AD5FCD"/>
    <w:rsid w:val="00AD6B48"/>
    <w:rsid w:val="00AD7A3A"/>
    <w:rsid w:val="00AE1BF1"/>
    <w:rsid w:val="00AE23AB"/>
    <w:rsid w:val="00AE58FB"/>
    <w:rsid w:val="00AE5AF0"/>
    <w:rsid w:val="00AE663D"/>
    <w:rsid w:val="00AE73B3"/>
    <w:rsid w:val="00AF07E7"/>
    <w:rsid w:val="00AF0DD2"/>
    <w:rsid w:val="00AF31E1"/>
    <w:rsid w:val="00AF3BBA"/>
    <w:rsid w:val="00AF4231"/>
    <w:rsid w:val="00B00B0E"/>
    <w:rsid w:val="00B00B26"/>
    <w:rsid w:val="00B02385"/>
    <w:rsid w:val="00B02F9D"/>
    <w:rsid w:val="00B05766"/>
    <w:rsid w:val="00B13048"/>
    <w:rsid w:val="00B13883"/>
    <w:rsid w:val="00B1716D"/>
    <w:rsid w:val="00B17A1D"/>
    <w:rsid w:val="00B207A0"/>
    <w:rsid w:val="00B21C21"/>
    <w:rsid w:val="00B22F54"/>
    <w:rsid w:val="00B24A7E"/>
    <w:rsid w:val="00B25C0C"/>
    <w:rsid w:val="00B304B5"/>
    <w:rsid w:val="00B308A9"/>
    <w:rsid w:val="00B31047"/>
    <w:rsid w:val="00B33148"/>
    <w:rsid w:val="00B35CDF"/>
    <w:rsid w:val="00B405A1"/>
    <w:rsid w:val="00B4438A"/>
    <w:rsid w:val="00B45AA2"/>
    <w:rsid w:val="00B479CA"/>
    <w:rsid w:val="00B5084F"/>
    <w:rsid w:val="00B514DD"/>
    <w:rsid w:val="00B52AF0"/>
    <w:rsid w:val="00B53D5F"/>
    <w:rsid w:val="00B54051"/>
    <w:rsid w:val="00B561BD"/>
    <w:rsid w:val="00B56E03"/>
    <w:rsid w:val="00B62765"/>
    <w:rsid w:val="00B65DF5"/>
    <w:rsid w:val="00B730B6"/>
    <w:rsid w:val="00B7679F"/>
    <w:rsid w:val="00B77159"/>
    <w:rsid w:val="00B8080B"/>
    <w:rsid w:val="00B82223"/>
    <w:rsid w:val="00B87BA5"/>
    <w:rsid w:val="00B87C39"/>
    <w:rsid w:val="00B93891"/>
    <w:rsid w:val="00B9562D"/>
    <w:rsid w:val="00BA21DA"/>
    <w:rsid w:val="00BA2B60"/>
    <w:rsid w:val="00BA3C93"/>
    <w:rsid w:val="00BA4665"/>
    <w:rsid w:val="00BA7FD7"/>
    <w:rsid w:val="00BB1681"/>
    <w:rsid w:val="00BB2FB2"/>
    <w:rsid w:val="00BB3304"/>
    <w:rsid w:val="00BB6551"/>
    <w:rsid w:val="00BC4A10"/>
    <w:rsid w:val="00BD30F4"/>
    <w:rsid w:val="00BD3446"/>
    <w:rsid w:val="00BD59CF"/>
    <w:rsid w:val="00BE1312"/>
    <w:rsid w:val="00BE1F1B"/>
    <w:rsid w:val="00BE3F89"/>
    <w:rsid w:val="00BE47B5"/>
    <w:rsid w:val="00BE5FCE"/>
    <w:rsid w:val="00C0079E"/>
    <w:rsid w:val="00C0572A"/>
    <w:rsid w:val="00C13EBD"/>
    <w:rsid w:val="00C1631B"/>
    <w:rsid w:val="00C170F0"/>
    <w:rsid w:val="00C25962"/>
    <w:rsid w:val="00C25FA6"/>
    <w:rsid w:val="00C3099D"/>
    <w:rsid w:val="00C33011"/>
    <w:rsid w:val="00C362C1"/>
    <w:rsid w:val="00C41950"/>
    <w:rsid w:val="00C42C3B"/>
    <w:rsid w:val="00C43212"/>
    <w:rsid w:val="00C51672"/>
    <w:rsid w:val="00C538A9"/>
    <w:rsid w:val="00C53B5A"/>
    <w:rsid w:val="00C53E41"/>
    <w:rsid w:val="00C54909"/>
    <w:rsid w:val="00C54AF3"/>
    <w:rsid w:val="00C54F5A"/>
    <w:rsid w:val="00C569B4"/>
    <w:rsid w:val="00C57DDE"/>
    <w:rsid w:val="00C61468"/>
    <w:rsid w:val="00C61A97"/>
    <w:rsid w:val="00C61E44"/>
    <w:rsid w:val="00C64FF3"/>
    <w:rsid w:val="00C662AD"/>
    <w:rsid w:val="00C67A92"/>
    <w:rsid w:val="00C71280"/>
    <w:rsid w:val="00C717BF"/>
    <w:rsid w:val="00C76178"/>
    <w:rsid w:val="00C84560"/>
    <w:rsid w:val="00C86679"/>
    <w:rsid w:val="00C8792F"/>
    <w:rsid w:val="00C90472"/>
    <w:rsid w:val="00C91D6E"/>
    <w:rsid w:val="00CA489E"/>
    <w:rsid w:val="00CB0279"/>
    <w:rsid w:val="00CB666B"/>
    <w:rsid w:val="00CB734B"/>
    <w:rsid w:val="00CC41B6"/>
    <w:rsid w:val="00CC7ADA"/>
    <w:rsid w:val="00CC7F1D"/>
    <w:rsid w:val="00CD0A88"/>
    <w:rsid w:val="00CD125D"/>
    <w:rsid w:val="00CD283C"/>
    <w:rsid w:val="00CD3641"/>
    <w:rsid w:val="00CD66EA"/>
    <w:rsid w:val="00CD7432"/>
    <w:rsid w:val="00CE0FA5"/>
    <w:rsid w:val="00CE2A23"/>
    <w:rsid w:val="00CE31C8"/>
    <w:rsid w:val="00CE484B"/>
    <w:rsid w:val="00CE7CBA"/>
    <w:rsid w:val="00CF03AE"/>
    <w:rsid w:val="00CF0DEE"/>
    <w:rsid w:val="00CF5EAA"/>
    <w:rsid w:val="00CF6AE3"/>
    <w:rsid w:val="00CF77BB"/>
    <w:rsid w:val="00D006AE"/>
    <w:rsid w:val="00D00905"/>
    <w:rsid w:val="00D010C1"/>
    <w:rsid w:val="00D01CF0"/>
    <w:rsid w:val="00D0442A"/>
    <w:rsid w:val="00D06256"/>
    <w:rsid w:val="00D12A7B"/>
    <w:rsid w:val="00D12ADB"/>
    <w:rsid w:val="00D15E63"/>
    <w:rsid w:val="00D25A39"/>
    <w:rsid w:val="00D27CFA"/>
    <w:rsid w:val="00D310FA"/>
    <w:rsid w:val="00D325C6"/>
    <w:rsid w:val="00D37213"/>
    <w:rsid w:val="00D5607F"/>
    <w:rsid w:val="00D61388"/>
    <w:rsid w:val="00D61A54"/>
    <w:rsid w:val="00D62108"/>
    <w:rsid w:val="00D64AA4"/>
    <w:rsid w:val="00D64DEA"/>
    <w:rsid w:val="00D64F84"/>
    <w:rsid w:val="00D663CD"/>
    <w:rsid w:val="00D6726A"/>
    <w:rsid w:val="00D7001B"/>
    <w:rsid w:val="00D7160D"/>
    <w:rsid w:val="00D7168E"/>
    <w:rsid w:val="00D71E57"/>
    <w:rsid w:val="00D72D27"/>
    <w:rsid w:val="00D7786B"/>
    <w:rsid w:val="00D80893"/>
    <w:rsid w:val="00D82519"/>
    <w:rsid w:val="00D84854"/>
    <w:rsid w:val="00D924AE"/>
    <w:rsid w:val="00D92CF1"/>
    <w:rsid w:val="00D92D38"/>
    <w:rsid w:val="00D950F5"/>
    <w:rsid w:val="00D97379"/>
    <w:rsid w:val="00DA4752"/>
    <w:rsid w:val="00DA4C09"/>
    <w:rsid w:val="00DA61F3"/>
    <w:rsid w:val="00DA7CB3"/>
    <w:rsid w:val="00DB0D00"/>
    <w:rsid w:val="00DB0F93"/>
    <w:rsid w:val="00DB1A67"/>
    <w:rsid w:val="00DB3721"/>
    <w:rsid w:val="00DB5074"/>
    <w:rsid w:val="00DC0281"/>
    <w:rsid w:val="00DC1930"/>
    <w:rsid w:val="00DC1C76"/>
    <w:rsid w:val="00DC4DBF"/>
    <w:rsid w:val="00DC4E19"/>
    <w:rsid w:val="00DC65FE"/>
    <w:rsid w:val="00DC7981"/>
    <w:rsid w:val="00DD4C07"/>
    <w:rsid w:val="00DD577D"/>
    <w:rsid w:val="00DD5ADC"/>
    <w:rsid w:val="00DE1093"/>
    <w:rsid w:val="00DE4EFA"/>
    <w:rsid w:val="00DE5520"/>
    <w:rsid w:val="00DE563D"/>
    <w:rsid w:val="00DF0152"/>
    <w:rsid w:val="00DF1958"/>
    <w:rsid w:val="00E04818"/>
    <w:rsid w:val="00E06442"/>
    <w:rsid w:val="00E06952"/>
    <w:rsid w:val="00E157B2"/>
    <w:rsid w:val="00E16055"/>
    <w:rsid w:val="00E2332D"/>
    <w:rsid w:val="00E23993"/>
    <w:rsid w:val="00E2574F"/>
    <w:rsid w:val="00E25951"/>
    <w:rsid w:val="00E25B8C"/>
    <w:rsid w:val="00E31CF6"/>
    <w:rsid w:val="00E34A4A"/>
    <w:rsid w:val="00E35AFC"/>
    <w:rsid w:val="00E41D39"/>
    <w:rsid w:val="00E50A02"/>
    <w:rsid w:val="00E54106"/>
    <w:rsid w:val="00E54697"/>
    <w:rsid w:val="00E57A08"/>
    <w:rsid w:val="00E63631"/>
    <w:rsid w:val="00E64C2A"/>
    <w:rsid w:val="00E65C85"/>
    <w:rsid w:val="00E66199"/>
    <w:rsid w:val="00E70526"/>
    <w:rsid w:val="00E754B4"/>
    <w:rsid w:val="00E755EC"/>
    <w:rsid w:val="00E7624D"/>
    <w:rsid w:val="00E81724"/>
    <w:rsid w:val="00E819A4"/>
    <w:rsid w:val="00E833FA"/>
    <w:rsid w:val="00E84B74"/>
    <w:rsid w:val="00E87066"/>
    <w:rsid w:val="00E966BF"/>
    <w:rsid w:val="00EA0C04"/>
    <w:rsid w:val="00EA3D42"/>
    <w:rsid w:val="00EA6B1B"/>
    <w:rsid w:val="00EB1CBD"/>
    <w:rsid w:val="00EB3345"/>
    <w:rsid w:val="00EB3A34"/>
    <w:rsid w:val="00EB3C3F"/>
    <w:rsid w:val="00EC04F1"/>
    <w:rsid w:val="00EC237F"/>
    <w:rsid w:val="00EC4737"/>
    <w:rsid w:val="00EC573A"/>
    <w:rsid w:val="00ED35C8"/>
    <w:rsid w:val="00ED3968"/>
    <w:rsid w:val="00ED7323"/>
    <w:rsid w:val="00EE28F3"/>
    <w:rsid w:val="00EE50D1"/>
    <w:rsid w:val="00EE7614"/>
    <w:rsid w:val="00EF5110"/>
    <w:rsid w:val="00EF5890"/>
    <w:rsid w:val="00EF76BA"/>
    <w:rsid w:val="00F0231A"/>
    <w:rsid w:val="00F03463"/>
    <w:rsid w:val="00F036B7"/>
    <w:rsid w:val="00F0700F"/>
    <w:rsid w:val="00F07F1F"/>
    <w:rsid w:val="00F10411"/>
    <w:rsid w:val="00F10A9A"/>
    <w:rsid w:val="00F11B2D"/>
    <w:rsid w:val="00F121C2"/>
    <w:rsid w:val="00F1485B"/>
    <w:rsid w:val="00F15882"/>
    <w:rsid w:val="00F170C7"/>
    <w:rsid w:val="00F171E0"/>
    <w:rsid w:val="00F20BD3"/>
    <w:rsid w:val="00F2762E"/>
    <w:rsid w:val="00F322E9"/>
    <w:rsid w:val="00F3231B"/>
    <w:rsid w:val="00F33808"/>
    <w:rsid w:val="00F373A5"/>
    <w:rsid w:val="00F37864"/>
    <w:rsid w:val="00F404F9"/>
    <w:rsid w:val="00F44B0A"/>
    <w:rsid w:val="00F47559"/>
    <w:rsid w:val="00F50B30"/>
    <w:rsid w:val="00F51F5F"/>
    <w:rsid w:val="00F52D75"/>
    <w:rsid w:val="00F55582"/>
    <w:rsid w:val="00F57647"/>
    <w:rsid w:val="00F62A14"/>
    <w:rsid w:val="00F64C7B"/>
    <w:rsid w:val="00F676DD"/>
    <w:rsid w:val="00F67AB6"/>
    <w:rsid w:val="00F70028"/>
    <w:rsid w:val="00F70434"/>
    <w:rsid w:val="00F75A26"/>
    <w:rsid w:val="00F76706"/>
    <w:rsid w:val="00F76E2E"/>
    <w:rsid w:val="00F77D6D"/>
    <w:rsid w:val="00F80206"/>
    <w:rsid w:val="00F83034"/>
    <w:rsid w:val="00F83FAD"/>
    <w:rsid w:val="00F844C6"/>
    <w:rsid w:val="00F92FA6"/>
    <w:rsid w:val="00F9353B"/>
    <w:rsid w:val="00F937F1"/>
    <w:rsid w:val="00F952A0"/>
    <w:rsid w:val="00FA31B1"/>
    <w:rsid w:val="00FA3320"/>
    <w:rsid w:val="00FA3C7F"/>
    <w:rsid w:val="00FA6246"/>
    <w:rsid w:val="00FB24ED"/>
    <w:rsid w:val="00FB3304"/>
    <w:rsid w:val="00FB5005"/>
    <w:rsid w:val="00FB60FE"/>
    <w:rsid w:val="00FB74E2"/>
    <w:rsid w:val="00FB778B"/>
    <w:rsid w:val="00FD5614"/>
    <w:rsid w:val="00FD5E78"/>
    <w:rsid w:val="00FE0BE1"/>
    <w:rsid w:val="00FE11BB"/>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9AF9E4-7B44-4976-9416-084DBF59E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B03BEA10.dotm</Template>
  <TotalTime>0</TotalTime>
  <Pages>13</Pages>
  <Words>2672</Words>
  <Characters>15234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AER final decision - Powerlink - Pass through events</vt:lpstr>
    </vt:vector>
  </TitlesOfParts>
  <LinksUpToDate>false</LinksUpToDate>
  <CharactersWithSpaces>17871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final decision - Powerlink - Pass through events</dc:title>
  <dc:creator/>
  <cp:lastModifiedBy/>
  <cp:revision>1</cp:revision>
  <dcterms:created xsi:type="dcterms:W3CDTF">2017-04-26T23:20:00Z</dcterms:created>
  <dcterms:modified xsi:type="dcterms:W3CDTF">2017-04-26T23:20:00Z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\\cdchnas-evs02\home$\mleco\aer - final decision powerlink transmission determination - attachment 13 - pass through events - april 2017 (AER2016-000040).docx</vt:lpwstr>
  </property>
</Properties>
</file>