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90" w:rsidRPr="00091F90" w:rsidRDefault="00091F90" w:rsidP="00091F90">
      <w:pPr>
        <w:rPr>
          <w:b/>
        </w:rPr>
      </w:pPr>
      <w:bookmarkStart w:id="0" w:name="_GoBack"/>
      <w:bookmarkEnd w:id="0"/>
      <w:r w:rsidRPr="00091F90">
        <w:rPr>
          <w:b/>
        </w:rPr>
        <w:t>POWER</w:t>
      </w:r>
      <w:r w:rsidR="008F118C">
        <w:rPr>
          <w:b/>
        </w:rPr>
        <w:t>COR</w:t>
      </w:r>
      <w:r w:rsidRPr="00091F90">
        <w:rPr>
          <w:b/>
        </w:rPr>
        <w:t xml:space="preserve"> REVISED REGULATORY PROPOSAL – JAN 2016</w:t>
      </w:r>
    </w:p>
    <w:p w:rsidR="00091F90" w:rsidRPr="00091F90" w:rsidRDefault="00091F90" w:rsidP="00091F90">
      <w:pPr>
        <w:rPr>
          <w:b/>
        </w:rPr>
      </w:pPr>
      <w:r w:rsidRPr="00091F90">
        <w:rPr>
          <w:b/>
        </w:rPr>
        <w:t>Attachments not published on AER website</w:t>
      </w:r>
    </w:p>
    <w:p w:rsidR="00C90F21" w:rsidRDefault="00C90F21" w:rsidP="00C90F21">
      <w:pPr>
        <w:pStyle w:val="Default"/>
      </w:pPr>
    </w:p>
    <w:p w:rsidR="00C90F21" w:rsidRDefault="00C90F21" w:rsidP="00C90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Power</w:t>
      </w:r>
      <w:r w:rsidR="006847FE">
        <w:rPr>
          <w:sz w:val="22"/>
          <w:szCs w:val="22"/>
        </w:rPr>
        <w:t>cor</w:t>
      </w:r>
      <w:r>
        <w:rPr>
          <w:sz w:val="22"/>
          <w:szCs w:val="22"/>
        </w:rPr>
        <w:t xml:space="preserve"> provided further supporting information which we have not published on our website due to the number of documents. However, if you wish to obtain a copy of this material, please email VICElectricity2016@aer.gov.au. </w:t>
      </w:r>
    </w:p>
    <w:p w:rsidR="00C90F21" w:rsidRDefault="00C90F21" w:rsidP="00C90F21">
      <w:r>
        <w:t xml:space="preserve">We have listed the </w:t>
      </w:r>
      <w:r w:rsidR="006847FE">
        <w:t xml:space="preserve">public </w:t>
      </w:r>
      <w:r>
        <w:t>documents submitted by Power</w:t>
      </w:r>
      <w:r w:rsidR="006847FE">
        <w:t>cor</w:t>
      </w:r>
      <w:r>
        <w:t xml:space="preserve"> but not published on our website below:</w:t>
      </w:r>
    </w:p>
    <w:p w:rsidR="006847FE" w:rsidRDefault="006847FE" w:rsidP="006847FE">
      <w:r>
        <w:t>PAL PUBLIC RRP ATT 2.2 Powercor Certificate of reasonableness of key assumptions January 2016.pdf</w:t>
      </w:r>
    </w:p>
    <w:p w:rsidR="006847FE" w:rsidRDefault="006847FE" w:rsidP="006847FE">
      <w:r>
        <w:t>PAL PUBLIC RRP ATT 3.1 SCER, RIS limited merits review of decision-making in the electricity and gas reg frmwrks.pdf</w:t>
      </w:r>
    </w:p>
    <w:p w:rsidR="006847FE" w:rsidRDefault="006847FE" w:rsidP="006847FE">
      <w:r>
        <w:t>PAL PUBLIC RRP ATT 3.1 HoustonKemp, Economic review of ERA's draft decision, 27 November 2014.pdf</w:t>
      </w:r>
    </w:p>
    <w:p w:rsidR="006847FE" w:rsidRDefault="006847FE" w:rsidP="006847FE">
      <w:r>
        <w:t>PAL PUBLIC RRP ATT 3.11 Farrier Swier Consulting, Economic considerations for the interpretation of the NGO, May 2014.pdf</w:t>
      </w:r>
    </w:p>
    <w:p w:rsidR="006847FE" w:rsidRDefault="006847FE" w:rsidP="006847FE">
      <w:r>
        <w:t>PAL PUBLIC RRP ATT 3.12 Economic Insights, Regulation of suppliers of gas pipeline services.pdf</w:t>
      </w:r>
    </w:p>
    <w:p w:rsidR="006847FE" w:rsidRDefault="006847FE" w:rsidP="006847FE">
      <w:r>
        <w:t>PAL PUBLIC RRP ATT 3.13 Review of the limited merits review regime stage two report, 30 September 2012.pdf</w:t>
      </w:r>
    </w:p>
    <w:p w:rsidR="006847FE" w:rsidRDefault="006847FE" w:rsidP="006847FE">
      <w:r>
        <w:t>PAL PUBLIC RRP ATT 3.14 AEMC, Review of the electricity transmission revenue and pricing rules, February 2006.pdf</w:t>
      </w:r>
    </w:p>
    <w:p w:rsidR="006847FE" w:rsidRDefault="006847FE" w:rsidP="006847FE">
      <w:r>
        <w:t>PAL PUBLIC RRP ATT 3.2 Application by Energex Limited (No 4) [2011] ACompT 4.pdf</w:t>
      </w:r>
    </w:p>
    <w:p w:rsidR="006847FE" w:rsidRDefault="006847FE" w:rsidP="006847FE">
      <w:r>
        <w:t>PAL PUBLIC RRP ATT 3.3 Second reading speech for the National Electricity South Australia New NEL Amendment Bill 2005.pdf</w:t>
      </w:r>
    </w:p>
    <w:p w:rsidR="006847FE" w:rsidRDefault="006847FE" w:rsidP="006847FE">
      <w:r>
        <w:t>PAL PUBLIC RRP ATT 3.4 ReApplication by ElectraNet Pty Limited No 3 2008 ACompT 3.pdf</w:t>
      </w:r>
    </w:p>
    <w:p w:rsidR="006847FE" w:rsidRDefault="006847FE" w:rsidP="006847FE">
      <w:r>
        <w:t>PAL PUBLIC RRP ATT 3.5 ReSeven Network Limited No 4 2004 ACompT 11.pdf</w:t>
      </w:r>
    </w:p>
    <w:p w:rsidR="006847FE" w:rsidRDefault="006847FE" w:rsidP="006847FE">
      <w:r>
        <w:t>PAL PUBLIC RRP ATT 3.6 Application by Chime Communications Pty Ltd No 2 2009 ACompT 2.pdf</w:t>
      </w:r>
    </w:p>
    <w:p w:rsidR="006847FE" w:rsidRDefault="006847FE" w:rsidP="006847FE">
      <w:r>
        <w:t>PAL PUBLIC RRP ATT 3.7 NERA, Economic interpretation, supplementary report, Ausgrid 8 May 2014.pdf</w:t>
      </w:r>
    </w:p>
    <w:p w:rsidR="006847FE" w:rsidRDefault="006847FE" w:rsidP="006847FE">
      <w:r>
        <w:t>PAL PUBLIC RRP ATT 3.8 HoustonKemp, ActewAGL Distribution - preferable NEO decision, 13 Feb 2015.pdf</w:t>
      </w:r>
    </w:p>
    <w:p w:rsidR="006847FE" w:rsidRDefault="006847FE" w:rsidP="006847FE">
      <w:r>
        <w:t>PAL PUBLIC RRP ATT 3.9 HoustonKemp, Energex - contribution to NEO preferable decision, 3 July 2015.pdf</w:t>
      </w:r>
    </w:p>
    <w:p w:rsidR="006847FE" w:rsidRDefault="006847FE" w:rsidP="006847FE">
      <w:r>
        <w:t>PAL PUBLIC RRP ATT 4.1 AER, Final decision - appendices, Victorian distribution determination 2011-2015, October 2010.pdf</w:t>
      </w:r>
    </w:p>
    <w:p w:rsidR="006847FE" w:rsidRDefault="006847FE" w:rsidP="006847FE">
      <w:r>
        <w:lastRenderedPageBreak/>
        <w:t>PAL PUBLIC RRP ATT 4.1 United Energy Distribution, Regulatory proposal, 30 April 2015.pdf</w:t>
      </w:r>
    </w:p>
    <w:p w:rsidR="006847FE" w:rsidRDefault="006847FE" w:rsidP="006847FE">
      <w:r>
        <w:t>PAL PUBLIC RRP ATT 4.11 Tenix and ETU power construction maintenance enterprise agreement 2013GÇô2016, 15 October 2014.pdf</w:t>
      </w:r>
    </w:p>
    <w:p w:rsidR="006847FE" w:rsidRDefault="006847FE" w:rsidP="006847FE">
      <w:r>
        <w:t>PAL PUBLIC RRP ATT 4.12 ZNX Pty Ltd - ETU Victorian electricity enterprise agreement 2013, 17 June 2014.pdf</w:t>
      </w:r>
    </w:p>
    <w:p w:rsidR="006847FE" w:rsidRDefault="006847FE" w:rsidP="006847FE">
      <w:r>
        <w:t>PAL PUBLIC RRP ATT 4.13 ZNX Victorian staff enterprise agreement 2014, 3 February 2015.pdf</w:t>
      </w:r>
    </w:p>
    <w:p w:rsidR="006847FE" w:rsidRDefault="006847FE" w:rsidP="006847FE">
      <w:r>
        <w:t>PAL PUBLIC RRP ATT 4.14 SPI PowerNet SPI Electricity - ASUAPESMA enterprise agreement 2013, 14 October 2013.pdf</w:t>
      </w:r>
    </w:p>
    <w:p w:rsidR="006847FE" w:rsidRDefault="006847FE" w:rsidP="006847FE">
      <w:r>
        <w:t>PAL PUBLIC RRP ATT 4.15 SPI PowerNet SPI Electricity - ETU enterprise agreement 2013, 30 October 2013.pdf</w:t>
      </w:r>
    </w:p>
    <w:p w:rsidR="006847FE" w:rsidRDefault="006847FE" w:rsidP="006847FE">
      <w:r>
        <w:t>PAL PUBLIC RRP ATT 4.16 SPI PowerNet SPI Electricity - ETU enterprise agreement 2010-13, 8 November 2010.pdf</w:t>
      </w:r>
    </w:p>
    <w:p w:rsidR="006847FE" w:rsidRDefault="006847FE" w:rsidP="006847FE">
      <w:r>
        <w:t>PAL PUBLIC RRP ATT 4.17 Jemena Asset Management enterprise agreement (VIC) 2013, 23 August 2013.pdf</w:t>
      </w:r>
    </w:p>
    <w:p w:rsidR="006847FE" w:rsidRDefault="006847FE" w:rsidP="006847FE">
      <w:r>
        <w:t>PAL PUBLIC RRP ATT 4.18 Jemena Asset Management - ETU Victorian electricity enterprise agreement 2013, 12 June 2014.pdf</w:t>
      </w:r>
    </w:p>
    <w:p w:rsidR="006847FE" w:rsidRDefault="006847FE" w:rsidP="006847FE">
      <w:r>
        <w:t>PAL PUBLIC RRP ATT 4.19 Utilities Management Pty Ltd Enterprise Agreement 2014, 19 May 2014.pdf</w:t>
      </w:r>
    </w:p>
    <w:p w:rsidR="006847FE" w:rsidRDefault="006847FE" w:rsidP="006847FE">
      <w:r>
        <w:t>PAL PUBLIC RRP ATT 4.2 Economic Insights, Economic benchmarking of electricity network service providers, 25 June13.pdf</w:t>
      </w:r>
    </w:p>
    <w:p w:rsidR="006847FE" w:rsidRDefault="006847FE" w:rsidP="006847FE">
      <w:r>
        <w:t>PAL PUBLIC RRP ATT 4.2 AER, Final decision Ausgrid 2015GÇô16 to 2018GÇô19, April 2015, Attachment 7.pdf</w:t>
      </w:r>
    </w:p>
    <w:p w:rsidR="006847FE" w:rsidRDefault="006847FE" w:rsidP="006847FE">
      <w:r>
        <w:t>PAL PUBLIC RRP ATT 4.21 Frontier Economics, Review of AER's Preliminary Decision on Labour Price Growth, December15.pdf</w:t>
      </w:r>
    </w:p>
    <w:p w:rsidR="006847FE" w:rsidRDefault="006847FE" w:rsidP="006847FE">
      <w:r>
        <w:t>PAL PUBLIC RRP ATT 4.22 AER, Preliminary decision, AusNet Services 2016GÇô20, October 2015, Attachment 7.pdf</w:t>
      </w:r>
    </w:p>
    <w:p w:rsidR="006847FE" w:rsidRDefault="006847FE" w:rsidP="006847FE">
      <w:r>
        <w:t>PAL PUBLIC RRP ATT 4.23 AER, Preliminary decision, Jemena distribution determination 2016GÇô20, Oct 2015, Attachment 7.pdf</w:t>
      </w:r>
    </w:p>
    <w:p w:rsidR="006847FE" w:rsidRDefault="006847FE" w:rsidP="006847FE">
      <w:r>
        <w:t>PAL PUBLIC RRP ATT 4.24 DAE, Forecast growth in labour costs in NEM regions of Australia, 23 February 2015.pdf</w:t>
      </w:r>
    </w:p>
    <w:p w:rsidR="006847FE" w:rsidRDefault="006847FE" w:rsidP="006847FE">
      <w:r>
        <w:t>PAL PUBLIC RRP ATT 4.25 MOU between CitiPower, Powercor and the CEPU(undated).pdf</w:t>
      </w:r>
    </w:p>
    <w:p w:rsidR="006847FE" w:rsidRDefault="006847FE" w:rsidP="006847FE">
      <w:r>
        <w:t>PAL PUBLIC RRP ATT 4.26 NERA (UK), Expert report on expected inflation in labour costs, 23 June 2015.pdf</w:t>
      </w:r>
    </w:p>
    <w:p w:rsidR="006847FE" w:rsidRDefault="006847FE" w:rsidP="006847FE">
      <w:r>
        <w:t>PAL PUBLIC RRP ATT 4.27 AER, Final decision, SP AusNet transmission determination 2014-15 to 2016-17, January 2014.pdf</w:t>
      </w:r>
    </w:p>
    <w:p w:rsidR="006847FE" w:rsidRDefault="006847FE" w:rsidP="006847FE">
      <w:r>
        <w:t>PAL PUBLIC RRP ATT 4.28 AER, Final decision, Powerlink transmission determination 2012-13 to 2016-17, April 2012.pdf</w:t>
      </w:r>
    </w:p>
    <w:p w:rsidR="006847FE" w:rsidRDefault="006847FE" w:rsidP="006847FE">
      <w:r>
        <w:lastRenderedPageBreak/>
        <w:t>PAL PUBLIC RRP ATT 4.29 ASU, Log of Claims, June 2013.pdf</w:t>
      </w:r>
    </w:p>
    <w:p w:rsidR="006847FE" w:rsidRDefault="006847FE" w:rsidP="006847FE">
      <w:r>
        <w:t>PAL PUBLIC RRP ATT 4.3 Frontier Economics, Review of AER's preliminary decision on opex input weights, December 2015.pdf</w:t>
      </w:r>
    </w:p>
    <w:p w:rsidR="006847FE" w:rsidRDefault="006847FE" w:rsidP="006847FE">
      <w:r>
        <w:t>PAL PUBLIC RRP ATT 4.3 APESMA, Log of claims (undated).pdf</w:t>
      </w:r>
    </w:p>
    <w:p w:rsidR="006847FE" w:rsidRDefault="006847FE" w:rsidP="006847FE">
      <w:r>
        <w:t>PAL PUBLIC RRP ATT 4.31 NUW, Log of claims (undated).pdf</w:t>
      </w:r>
    </w:p>
    <w:p w:rsidR="006847FE" w:rsidRDefault="006847FE" w:rsidP="006847FE">
      <w:r>
        <w:t>PAL PUBLIC RRP ATT 4.32 The Centre for International Economics, Labour price forecasts, 20 November 2015.pdf</w:t>
      </w:r>
    </w:p>
    <w:p w:rsidR="006847FE" w:rsidRDefault="006847FE" w:rsidP="006847FE">
      <w:r>
        <w:t>PAL PUBLIC RRP ATT 4.34 Jacobs, Escalation indices forecast 2016GÇô2020, 17 November 2015.pdf</w:t>
      </w:r>
    </w:p>
    <w:p w:rsidR="006847FE" w:rsidRDefault="006847FE" w:rsidP="006847FE">
      <w:r>
        <w:t>PAL PUBLIC RRP ATT 4.35 AER, Explanatory statement Capital expenditure incentive guideline, November 2013.pdf</w:t>
      </w:r>
    </w:p>
    <w:p w:rsidR="006847FE" w:rsidRDefault="006847FE" w:rsidP="006847FE">
      <w:r>
        <w:t>PAL PUBLIC RRP ATT 4.36 BIS Shrapnel, Real Labour Cost Escalation Forecasts to 2017, October 2012.pdf</w:t>
      </w:r>
    </w:p>
    <w:p w:rsidR="006847FE" w:rsidRDefault="006847FE" w:rsidP="006847FE">
      <w:r>
        <w:t>PAL PUBLIC RRP ATT 4.37 Access Economics, Forecast growth in labour costs, March 2010.pdf</w:t>
      </w:r>
    </w:p>
    <w:p w:rsidR="006847FE" w:rsidRDefault="006847FE" w:rsidP="006847FE">
      <w:r>
        <w:t>PAL PUBLIC RRP ATT 4.38 Access Economics, Labour cost indices for the energy sector, April 2007.pdf</w:t>
      </w:r>
    </w:p>
    <w:p w:rsidR="006847FE" w:rsidRDefault="006847FE" w:rsidP="006847FE">
      <w:r>
        <w:t>PAL PUBLIC RRP ATT 4.39 AEMC, Distribution Network Pricing Arrangement, Rule Change, November 2014.PDF</w:t>
      </w:r>
    </w:p>
    <w:p w:rsidR="006847FE" w:rsidRDefault="006847FE" w:rsidP="006847FE">
      <w:r>
        <w:t>PAL PUBLIC RRP ATT 4.4 Pacific Economics Group, TFP research for Victoria's power distribution industry, December04.pdf</w:t>
      </w:r>
    </w:p>
    <w:p w:rsidR="006847FE" w:rsidRDefault="006847FE" w:rsidP="006847FE">
      <w:r>
        <w:t>PAL PUBLIC RRP ATT 4.4 AEMO, Detailed summary of 2015 electricity forecasts, 2015 NEFR, June 2015.pdf</w:t>
      </w:r>
    </w:p>
    <w:p w:rsidR="006847FE" w:rsidRDefault="006847FE" w:rsidP="006847FE">
      <w:r>
        <w:t>PAL PUBLIC RRP ATT 4.41 AER explanatory statement, Efficiency benefit sharing scheme, November 2013.pdf</w:t>
      </w:r>
    </w:p>
    <w:p w:rsidR="006847FE" w:rsidRDefault="006847FE" w:rsidP="006847FE">
      <w:r>
        <w:t>PAL PUBLIC RRP ATT 4.42 Armstrong, Combining forecasts, June 2001.pdf</w:t>
      </w:r>
    </w:p>
    <w:p w:rsidR="006847FE" w:rsidRDefault="006847FE" w:rsidP="006847FE">
      <w:r>
        <w:t>PAL PUBLIC RRP ATT 4.43 Borland, Recommendations for methodology for forecasts WPI, October 2012.pdf</w:t>
      </w:r>
    </w:p>
    <w:p w:rsidR="006847FE" w:rsidRDefault="006847FE" w:rsidP="006847FE">
      <w:r>
        <w:t>PAL PUBLIC RRP ATT 4.44 BIS Shrapnel, Real labour cost escalation forecasts to 2017, November 2012.pdf</w:t>
      </w:r>
    </w:p>
    <w:p w:rsidR="006847FE" w:rsidRDefault="006847FE" w:rsidP="006847FE">
      <w:r>
        <w:t>PAL PUBLIC RRP ATT 4.45 Deloitte, Forecast growth in labour costs, Victoria and South Australia, February 2013.pdf</w:t>
      </w:r>
    </w:p>
    <w:p w:rsidR="006847FE" w:rsidRDefault="006847FE" w:rsidP="006847FE">
      <w:r>
        <w:t>PAL PUBLIC RRP ATT 4.46 Deloitte, Forecast growth in labour costs in NEM regions of Australia, June 2015.PDF</w:t>
      </w:r>
    </w:p>
    <w:p w:rsidR="006847FE" w:rsidRDefault="006847FE" w:rsidP="006847FE">
      <w:r>
        <w:t>PAL PUBLIC RRP ATT 4.47 Deloitte, A response to submissions on AER preliminary decision, September 2015.PDF</w:t>
      </w:r>
    </w:p>
    <w:p w:rsidR="006847FE" w:rsidRDefault="006847FE" w:rsidP="006847FE">
      <w:r>
        <w:t>PAL PUBLIC RRP ATT 4.48 Deloitte, Forecast growth in labour costs in Victoria, June 2013.pdf</w:t>
      </w:r>
    </w:p>
    <w:p w:rsidR="006847FE" w:rsidRDefault="006847FE" w:rsidP="006847FE">
      <w:r>
        <w:lastRenderedPageBreak/>
        <w:t>PAL PUBLIC RRP ATT 4.49 BIS Shrapnel, Real labour and material cost escalation forecasts to 2020, November 2014.pdf</w:t>
      </w:r>
    </w:p>
    <w:p w:rsidR="006847FE" w:rsidRDefault="006847FE" w:rsidP="006847FE">
      <w:r>
        <w:t>PAL PUBLIC RRP ATT 4.5 Powercor 2012-2014 Resources Agreement.pdf</w:t>
      </w:r>
    </w:p>
    <w:p w:rsidR="006847FE" w:rsidRDefault="006847FE" w:rsidP="006847FE">
      <w:r>
        <w:t>PAL PUBLIC RRP ATT 4.5 AER, Economic benchmarking RIN for DNSP,  Instructions and Definitions, November 2013.pdf</w:t>
      </w:r>
    </w:p>
    <w:p w:rsidR="006847FE" w:rsidRDefault="006847FE" w:rsidP="006847FE">
      <w:r>
        <w:t>PAL PUBLIC RRP ATT 4.51 AER, Final Decision Ausgrid distribution determination, Attachment 7, April 2015.pdf</w:t>
      </w:r>
    </w:p>
    <w:p w:rsidR="006847FE" w:rsidRDefault="006847FE" w:rsidP="006847FE">
      <w:r>
        <w:t>PAL PUBLIC RRP ATT 4.52 Economic Insights, Response to Ergon Energy on Economic Benchmarking, October 2015.PDF</w:t>
      </w:r>
    </w:p>
    <w:p w:rsidR="006847FE" w:rsidRDefault="006847FE" w:rsidP="006847FE">
      <w:r>
        <w:t>PAL PUBLIC RRP ATT 4.53 BIS Shrapnel, Outlook for SA Power Networks real cost escalation forecasts, January 2014.pdf</w:t>
      </w:r>
    </w:p>
    <w:p w:rsidR="006847FE" w:rsidRDefault="006847FE" w:rsidP="006847FE">
      <w:r>
        <w:t>PAL PUBLIC RRP ATT 4.6 AER, Final decision, SAPN distribution determination 2015-16 to 2019-20, Oct15, Attachment 7.pdf</w:t>
      </w:r>
    </w:p>
    <w:p w:rsidR="006847FE" w:rsidRDefault="006847FE" w:rsidP="006847FE">
      <w:r>
        <w:t>PAL PUBLIC RRP ATT 4.7 DLA Piper, Legal Opinion, 16 December 2015.pdf</w:t>
      </w:r>
    </w:p>
    <w:p w:rsidR="006847FE" w:rsidRDefault="006847FE" w:rsidP="006847FE">
      <w:r>
        <w:t>PAL PUBLIC RRP ATT 4.8 Deloitte Access Economics, NSW DNSP labour analysis, Final addendum to 2014 report, April15.pdf</w:t>
      </w:r>
    </w:p>
    <w:p w:rsidR="006847FE" w:rsidRDefault="006847FE" w:rsidP="006847FE">
      <w:r>
        <w:t>PAL PUBLIC RRP ATT 4.9 SAPower Networks - Revised regulatory Proposal 2015-20 , 3 July 2015.pdf</w:t>
      </w:r>
    </w:p>
    <w:p w:rsidR="006847FE" w:rsidRDefault="006847FE" w:rsidP="006847FE">
      <w:r>
        <w:t>PAL PUBLIC RRP ATT 5.1 CEPA - Review of demand forecasting approaches, December 2015.pdf</w:t>
      </w:r>
    </w:p>
    <w:p w:rsidR="006847FE" w:rsidRDefault="006847FE" w:rsidP="006847FE">
      <w:r>
        <w:t>PAL PUBLIC RRP ATT 5.1 AEMO email to CitiPower and Powercor regarding demand forecasting, 17 November 2015.pdf</w:t>
      </w:r>
    </w:p>
    <w:p w:rsidR="006847FE" w:rsidRDefault="006847FE" w:rsidP="006847FE">
      <w:r>
        <w:t>PAL PUBLIC RRP ATT 5.11 Minister for Energy and Resources, Distribution network pricing arrangements, November 2015.pdf</w:t>
      </w:r>
    </w:p>
    <w:p w:rsidR="006847FE" w:rsidRDefault="006847FE" w:rsidP="006847FE">
      <w:r>
        <w:t>PAL PUBLIC RRP ATT 5.12 AER, Preliminary decision, Jemena distribution determination, Attachment 6, October 2015.pdf</w:t>
      </w:r>
    </w:p>
    <w:p w:rsidR="006847FE" w:rsidRDefault="006847FE" w:rsidP="006847FE">
      <w:r>
        <w:t>PAL PUBLIC RRP ATT 5.13 AEMO, 2015 Transmission Connection Point Forecasting Report for Victoria, September 2015.pdf</w:t>
      </w:r>
    </w:p>
    <w:p w:rsidR="006847FE" w:rsidRDefault="006847FE" w:rsidP="006847FE">
      <w:r>
        <w:t>PAL PUBLIC RRP ATT 5.14 AEMO, 2015 NEFR forecasting methodology information paper, July 2015.pdf</w:t>
      </w:r>
    </w:p>
    <w:p w:rsidR="006847FE" w:rsidRDefault="006847FE" w:rsidP="006847FE">
      <w:r>
        <w:t>PAL PUBLIC RRP ATT 5.15 AEMO, 2014 Transmission connection point forecasting action plan, October 2014.pdf</w:t>
      </w:r>
    </w:p>
    <w:p w:rsidR="006847FE" w:rsidRDefault="006847FE" w:rsidP="006847FE">
      <w:r>
        <w:t>PAL PUBLIC RRP ATT 5.16 AEMO, Forecast Accuracy Report 2015 for 2015 NEFR, November 2015.pdf</w:t>
      </w:r>
    </w:p>
    <w:p w:rsidR="006847FE" w:rsidRDefault="006847FE" w:rsidP="006847FE">
      <w:r>
        <w:t>PAL PUBLIC RRP ATT 5.17 Forecasting long-term peak half-hourly electricity demand for Victoria, June 2015.pdf</w:t>
      </w:r>
    </w:p>
    <w:p w:rsidR="006847FE" w:rsidRDefault="006847FE" w:rsidP="006847FE">
      <w:r>
        <w:t>PAL PUBLIC RRP ATT 5.18 Fan, Hyndman, Monash University forecasting model, June 2015.pdf</w:t>
      </w:r>
    </w:p>
    <w:p w:rsidR="006847FE" w:rsidRDefault="006847FE" w:rsidP="006847FE">
      <w:r>
        <w:lastRenderedPageBreak/>
        <w:t>PAL PUBLIC RRP ATT 5.19 AEMO, 2014 Transmission connection point forecasts for NSW and ACT.csv</w:t>
      </w:r>
    </w:p>
    <w:p w:rsidR="006847FE" w:rsidRDefault="006847FE" w:rsidP="006847FE">
      <w:r>
        <w:t>PAL PUBLIC RRP ATT 5.2 CIE, Maximum Demand Forecasting for CitiPower and Powercor - 2015 update, July 2015.pdf</w:t>
      </w:r>
    </w:p>
    <w:p w:rsidR="006847FE" w:rsidRDefault="006847FE" w:rsidP="006847FE">
      <w:r>
        <w:t>PAL PUBLIC RRP ATT 5.2 AEMO, 2015 Transmission connection point forecasts for QLD.csv</w:t>
      </w:r>
    </w:p>
    <w:p w:rsidR="006847FE" w:rsidRDefault="006847FE" w:rsidP="006847FE">
      <w:r>
        <w:t>PAL PUBLIC RRP ATT 5.21 AEMO, 2015 Transmission connection point forecasts for VIC.csv</w:t>
      </w:r>
    </w:p>
    <w:p w:rsidR="006847FE" w:rsidRDefault="006847FE" w:rsidP="006847FE">
      <w:r>
        <w:t>PAL PUBLIC RRP ATT 5.22 Ergon Energy, 2015-16 to 2019-20 Reset RIN.xlsm</w:t>
      </w:r>
    </w:p>
    <w:p w:rsidR="006847FE" w:rsidRDefault="006847FE" w:rsidP="006847FE">
      <w:r>
        <w:t>PAL PUBLIC RRP ATT 5.23 Energex, 2015-16 to 2019-20 Reset RIN.xlsm</w:t>
      </w:r>
    </w:p>
    <w:p w:rsidR="006847FE" w:rsidRDefault="006847FE" w:rsidP="006847FE">
      <w:r>
        <w:t>PAL PUBLIC RRP ATT 5.24 Essential Energy, 2014-15 to 2018-19 Reset RIN.xlsx</w:t>
      </w:r>
    </w:p>
    <w:p w:rsidR="006847FE" w:rsidRDefault="006847FE" w:rsidP="006847FE">
      <w:r>
        <w:t>PAL PUBLIC RRP ATT 5.25 Endeavour Energy, 2014-15 to 2018-19 Reset RIN.xlsx</w:t>
      </w:r>
    </w:p>
    <w:p w:rsidR="006847FE" w:rsidRDefault="006847FE" w:rsidP="006847FE">
      <w:r>
        <w:t>PAL PUBLIC RRP ATT 5.26 Ausgrid, 2014-15 to 2018-19 Reset RIN.XLSX</w:t>
      </w:r>
    </w:p>
    <w:p w:rsidR="006847FE" w:rsidRDefault="006847FE" w:rsidP="006847FE">
      <w:r>
        <w:t>PAL PUBLIC RRP ATT 5.27 ActewAGL, 2014-15 to 2018-19 Reset RIN.xlsx</w:t>
      </w:r>
    </w:p>
    <w:p w:rsidR="006847FE" w:rsidRDefault="006847FE" w:rsidP="006847FE">
      <w:r>
        <w:t>PAL PUBLIC RRP ATT 5.28 AER, Final Decision Ausgrid distribution determination, Attachment 6, April 2015.pdf</w:t>
      </w:r>
    </w:p>
    <w:p w:rsidR="006847FE" w:rsidRDefault="006847FE" w:rsidP="006847FE">
      <w:r>
        <w:t>PAL PUBLIC RRP ATT 5.29 AER, Final Decision Endeavour Energy distribution determination, Attachment 6, April 2015.pdf</w:t>
      </w:r>
    </w:p>
    <w:p w:rsidR="006847FE" w:rsidRDefault="006847FE" w:rsidP="006847FE">
      <w:r>
        <w:t>PAL PUBLIC RRP ATT 5.3 Oakley Greenwood, Metadata analysis of disruptive technologies on demand forecasts, June 2015.pdf</w:t>
      </w:r>
    </w:p>
    <w:p w:rsidR="006847FE" w:rsidRDefault="006847FE" w:rsidP="006847FE">
      <w:r>
        <w:t>PAL PUBLIC RRP ATT 5.3 AER, Final Decision Essential Energy distribution determination, Attachment 6, April 2015.pdf</w:t>
      </w:r>
    </w:p>
    <w:p w:rsidR="006847FE" w:rsidRDefault="006847FE" w:rsidP="006847FE">
      <w:r>
        <w:t>PAL PUBLIC RRP ATT 5.31 AER, Final decision Ergon Energy distribution determination, Attachment 6, October 2015.pdf</w:t>
      </w:r>
    </w:p>
    <w:p w:rsidR="006847FE" w:rsidRDefault="006847FE" w:rsidP="006847FE">
      <w:r>
        <w:t>PAL PUBLIC RRP ATT 5.32 AER, Final decision Energex distribution determination, Attachment 6, October 2015.pdf</w:t>
      </w:r>
    </w:p>
    <w:p w:rsidR="006847FE" w:rsidRDefault="006847FE" w:rsidP="006847FE">
      <w:r>
        <w:t>PAL PUBLIC RRP ATT 5.33 AER, Final Decision ActewAGL distribution determination, Attachment 6, April 2015.pdf</w:t>
      </w:r>
    </w:p>
    <w:p w:rsidR="006847FE" w:rsidRDefault="006847FE" w:rsidP="006847FE">
      <w:r>
        <w:t>PAL PUBLIC RRP ATT 5.34 CIE demand model code - Data preparation, adding cogen and wind farms 2015 update.pdf</w:t>
      </w:r>
    </w:p>
    <w:p w:rsidR="006847FE" w:rsidRDefault="006847FE" w:rsidP="006847FE">
      <w:r>
        <w:t>PAL PUBLIC RRP ATT 5.35 CIE demand model code - Data preparation, adding melbourne water cogen.pdf</w:t>
      </w:r>
    </w:p>
    <w:p w:rsidR="006847FE" w:rsidRDefault="006847FE" w:rsidP="006847FE">
      <w:r>
        <w:t>PAL PUBLIC RRP ATT 5.36 CIE demand model code - Data preparation, append old electricity data.pdf</w:t>
      </w:r>
    </w:p>
    <w:p w:rsidR="006847FE" w:rsidRDefault="006847FE" w:rsidP="006847FE">
      <w:r>
        <w:t>PAL PUBLIC RRP ATT 5.37 CIE demand model code - Data preparation, append old electricty data to new.pdf</w:t>
      </w:r>
    </w:p>
    <w:p w:rsidR="006847FE" w:rsidRDefault="006847FE" w:rsidP="006847FE">
      <w:r>
        <w:t>PAL PUBLIC RRP ATT 5.38 CIE demand model code - Data preparation, maximum actual demand max cogen coincidence.pdf</w:t>
      </w:r>
    </w:p>
    <w:p w:rsidR="006847FE" w:rsidRDefault="006847FE" w:rsidP="006847FE">
      <w:r>
        <w:lastRenderedPageBreak/>
        <w:t>PAL PUBLIC RRP ATT 5.39 CIE demand model code - Modelling, Average quartery demand model.pdf</w:t>
      </w:r>
    </w:p>
    <w:p w:rsidR="006847FE" w:rsidRDefault="006847FE" w:rsidP="006847FE">
      <w:r>
        <w:t>PAL PUBLIC RRP ATT 5.4 CIE, Review of Assessment of Forecasts by Darryl Biggar and AER, December 2015.pdf</w:t>
      </w:r>
    </w:p>
    <w:p w:rsidR="006847FE" w:rsidRDefault="006847FE" w:rsidP="006847FE">
      <w:r>
        <w:t>PAL PUBLIC RRP ATT 5.4 CIE demand model code - Modelling, max demand model.pdf</w:t>
      </w:r>
    </w:p>
    <w:p w:rsidR="006847FE" w:rsidRDefault="006847FE" w:rsidP="006847FE">
      <w:r>
        <w:t>PAL PUBLIC RRP ATT 5.5 CIE, Review of 2015 AEMO Transmission Connection Point Forecasts and Methodology, Dec 2015.pdf</w:t>
      </w:r>
    </w:p>
    <w:p w:rsidR="006847FE" w:rsidRDefault="006847FE" w:rsidP="006847FE">
      <w:r>
        <w:t>PAL PUBLIC RRP ATT 5.6 Powercor Tariff Structure Statement 2017-2020, Overview paper, September2015.pdf</w:t>
      </w:r>
    </w:p>
    <w:p w:rsidR="006847FE" w:rsidRDefault="006847FE" w:rsidP="006847FE">
      <w:r>
        <w:t>PAL PUBLIC RRP ATT 5.7 Oakley Greenwood, Powercor pricing comparisons 1995-2014, December 2014.pdf</w:t>
      </w:r>
    </w:p>
    <w:p w:rsidR="006847FE" w:rsidRDefault="006847FE" w:rsidP="006847FE">
      <w:r>
        <w:t>PAL PUBLIC RRP ATT 5.8 GHD, AEMO Demand Forecast Review (2015 update), December 2015.pdf</w:t>
      </w:r>
    </w:p>
    <w:p w:rsidR="006847FE" w:rsidRDefault="006847FE" w:rsidP="006847FE">
      <w:r>
        <w:t>PAL PUBLIC RRP ATT 5.9 AEMO, NEFR September Feedback Workshops, October 2015.pdf</w:t>
      </w:r>
    </w:p>
    <w:p w:rsidR="006847FE" w:rsidRDefault="006847FE" w:rsidP="006847FE">
      <w:r>
        <w:t>PAL PUBLIC RRP ATT 6.1 AER, Expenditure forecast assessment guideline distribution, Nov 2013.pdf</w:t>
      </w:r>
    </w:p>
    <w:p w:rsidR="006847FE" w:rsidRDefault="006847FE" w:rsidP="006847FE">
      <w:r>
        <w:t>PAL PUBLIC RRP ATT 6.1 Gartner, Attack on Sony Pictures is a digital business game changer, 9 Feb 2015.pdf</w:t>
      </w:r>
    </w:p>
    <w:p w:rsidR="006847FE" w:rsidRDefault="006847FE" w:rsidP="006847FE">
      <w:r>
        <w:t>PAL PUBLIC RRP ATT 6.11 ABC News report (online), Cyber attack on Bureau of Meteorology computer, 2 Dec 2015.pdf</w:t>
      </w:r>
    </w:p>
    <w:p w:rsidR="006847FE" w:rsidRDefault="006847FE" w:rsidP="006847FE">
      <w:r>
        <w:t>PAL PUBLIC RRP ATT 6.12 ABC News report (online), BOM report recommends computer system overhaul, 3 Dec 2015.pdf</w:t>
      </w:r>
    </w:p>
    <w:p w:rsidR="006847FE" w:rsidRDefault="006847FE" w:rsidP="006847FE">
      <w:r>
        <w:t>PAL PUBLIC RRP ATT 6.13 Gartner, Recommended life spans for mobile devices, 11 Sep 2015.pdf</w:t>
      </w:r>
    </w:p>
    <w:p w:rsidR="006847FE" w:rsidRDefault="006847FE" w:rsidP="006847FE">
      <w:r>
        <w:t>PAL PUBLIC RRP ATT 6.14 AEMC, Distribution Network Pricing Arrangements Rule.pdf</w:t>
      </w:r>
    </w:p>
    <w:p w:rsidR="006847FE" w:rsidRDefault="006847FE" w:rsidP="006847FE">
      <w:r>
        <w:t>PAL PUBLIC RRP ATT 6.15 Powercor, Tariff structure statement 2017-2020, 25 Sep 2015.pdf</w:t>
      </w:r>
    </w:p>
    <w:p w:rsidR="006847FE" w:rsidRDefault="006847FE" w:rsidP="006847FE">
      <w:r>
        <w:t>PAL PUBLIC RRP ATT 6.16 CitiPower and Powercor, RIN reporting compliance, December 2015.pdf</w:t>
      </w:r>
    </w:p>
    <w:p w:rsidR="006847FE" w:rsidRDefault="006847FE" w:rsidP="006847FE">
      <w:r>
        <w:t>PAL PUBLIC RRP ATT 6.17 AER, Final category analysis RIN for DNSPs, Mar 2014.pdf</w:t>
      </w:r>
    </w:p>
    <w:p w:rsidR="006847FE" w:rsidRDefault="006847FE" w:rsidP="006847FE">
      <w:r>
        <w:t>PAL PUBLIC RRP ATT 6.18 AER, Final economic benchmarking RIN for DNSPs, Nov 2013.pdf</w:t>
      </w:r>
    </w:p>
    <w:p w:rsidR="006847FE" w:rsidRDefault="006847FE" w:rsidP="006847FE">
      <w:r>
        <w:t>PAL PUBLIC RRP ATT 6.19 AER, Explanatory statement economic benchmarking RIN, Nov 2013.pdf</w:t>
      </w:r>
    </w:p>
    <w:p w:rsidR="006847FE" w:rsidRDefault="006847FE" w:rsidP="006847FE">
      <w:r>
        <w:t>PAL PUBLIC RRP ATT 6.2 ESCV, Review of the Victorian electricity distributors' GSL payment scheme, final decision.pdf</w:t>
      </w:r>
    </w:p>
    <w:p w:rsidR="006847FE" w:rsidRDefault="006847FE" w:rsidP="006847FE">
      <w:r>
        <w:t>PAL PUBLIC RRP ATT 6.2 AASB, Auditing standard ASA 805, Oct 2009.pdf</w:t>
      </w:r>
    </w:p>
    <w:p w:rsidR="006847FE" w:rsidRDefault="006847FE" w:rsidP="006847FE">
      <w:r>
        <w:lastRenderedPageBreak/>
        <w:t>PAL PUBLIC RRP ATT 6.21 AASB, Standard on review engagements ASRE 2405, Aug 2008.pdf</w:t>
      </w:r>
    </w:p>
    <w:p w:rsidR="006847FE" w:rsidRDefault="006847FE" w:rsidP="006847FE">
      <w:r>
        <w:t>PAL PUBLIC RRP ATT 6.22 Minister for Energy and Resources, Letter regarding chapter 5A, 18 Sep 2015.pdf</w:t>
      </w:r>
    </w:p>
    <w:p w:rsidR="006847FE" w:rsidRDefault="006847FE" w:rsidP="006847FE">
      <w:r>
        <w:t>PAL PUBLIC RRP ATT 6.23 National Electricity (Victoria) Further Amendment Bill.pdf</w:t>
      </w:r>
    </w:p>
    <w:p w:rsidR="006847FE" w:rsidRDefault="006847FE" w:rsidP="006847FE">
      <w:r>
        <w:t>PAL PUBLIC RRP ATT 6.24 Explanatory Memorandum, National Electricity (Victoria) Further Amendment Bill.pdf</w:t>
      </w:r>
    </w:p>
    <w:p w:rsidR="006847FE" w:rsidRDefault="006847FE" w:rsidP="006847FE">
      <w:r>
        <w:t>PAL PUBLIC RRP ATT 6.25 Second reading, National Electricity (Victoria) Further Amendment Bill.pdf</w:t>
      </w:r>
    </w:p>
    <w:p w:rsidR="006847FE" w:rsidRDefault="006847FE" w:rsidP="006847FE">
      <w:r>
        <w:t>PAL PUBLIC RRP ATT 6.26 Electricity Safety (Electric Line Clearance) Regulations (2015).pdf</w:t>
      </w:r>
    </w:p>
    <w:p w:rsidR="006847FE" w:rsidRDefault="006847FE" w:rsidP="006847FE">
      <w:r>
        <w:t>PAL PUBLIC RRP ATT 6.27 Electricity Safety (Electric Line Clearance) Regulations (2005).pdf</w:t>
      </w:r>
    </w:p>
    <w:p w:rsidR="006847FE" w:rsidRDefault="006847FE" w:rsidP="006847FE">
      <w:r>
        <w:t>PAL PUBLIC RRP ATT 6.28 ESV, Exemption Electricity Safety (Electric Line Clearance) Regulations 2010.pdf</w:t>
      </w:r>
    </w:p>
    <w:p w:rsidR="006847FE" w:rsidRDefault="006847FE" w:rsidP="006847FE">
      <w:r>
        <w:t>PAL PUBLIC RRP ATT 6.29 ESV, Exemption, Electricity Safety (Electric Line Clearance) Regulations 2010.pdf</w:t>
      </w:r>
    </w:p>
    <w:p w:rsidR="006847FE" w:rsidRDefault="006847FE" w:rsidP="006847FE">
      <w:r>
        <w:t>PAL PUBLIC RRP ATT 6.3 CitiPower and Powercor, Submission on ESCV draft GSL decision, 4 Dec 2015.pdf</w:t>
      </w:r>
    </w:p>
    <w:p w:rsidR="006847FE" w:rsidRDefault="006847FE" w:rsidP="006847FE">
      <w:r>
        <w:t>PAL PUBLIC RRP ATT 6.3 ESCV, Review of the Victorian electricity distributors' GSL payment scheme, draft decision.pdf</w:t>
      </w:r>
    </w:p>
    <w:p w:rsidR="006847FE" w:rsidRDefault="006847FE" w:rsidP="006847FE">
      <w:r>
        <w:t>PAL PUBLIC RRP ATT 6.31 DEDJTR submission to Victorian electricity distribution pricing review 2016 to 2020, Jul15.pdf</w:t>
      </w:r>
    </w:p>
    <w:p w:rsidR="006847FE" w:rsidRDefault="006847FE" w:rsidP="006847FE">
      <w:r>
        <w:t>PAL PUBLIC RRP ATT 6.4 Powercor, 2014 Annual Reporting RIN, Appendix B (public).xlsm</w:t>
      </w:r>
    </w:p>
    <w:p w:rsidR="006847FE" w:rsidRDefault="006847FE" w:rsidP="006847FE">
      <w:r>
        <w:t>PAL PUBLIC RRP ATT 6.5 Ofgem, Final determination for slow track electricity companies, 5 Nov 2014.pdf</w:t>
      </w:r>
    </w:p>
    <w:p w:rsidR="006847FE" w:rsidRDefault="006847FE" w:rsidP="006847FE">
      <w:r>
        <w:t>PAL PUBLIC RRP ATT 6.6 CMA, Northern Powergrid v GEMA, final determination, 29 Sep 2015.pdf</w:t>
      </w:r>
    </w:p>
    <w:p w:rsidR="006847FE" w:rsidRDefault="006847FE" w:rsidP="006847FE">
      <w:r>
        <w:t>PAL PUBLIC RRP ATT 6.7 AEMC, Rule Determination, Expanding competition in metering and related services, 26 Nov 2015.pdf</w:t>
      </w:r>
    </w:p>
    <w:p w:rsidR="006847FE" w:rsidRDefault="006847FE" w:rsidP="006847FE">
      <w:r>
        <w:t>PAL PUBLIC RRP ATT 6.8 AEMC, Expanding competition in metering and related services.pdf</w:t>
      </w:r>
    </w:p>
    <w:p w:rsidR="006847FE" w:rsidRDefault="006847FE" w:rsidP="006847FE">
      <w:r>
        <w:t>PAL PUBLIC RRP ATT 6.9 Australian Cyber Security Centre, 2015 Threat Report, Jul 2015.pdf</w:t>
      </w:r>
    </w:p>
    <w:p w:rsidR="006847FE" w:rsidRDefault="006847FE" w:rsidP="006847FE">
      <w:r>
        <w:t>PAL PUBLIC RRP ATT 7.11 Powercor, New Torquay zone substation updated business case, December 2015.pdf</w:t>
      </w:r>
    </w:p>
    <w:p w:rsidR="006847FE" w:rsidRDefault="006847FE" w:rsidP="006847FE">
      <w:r>
        <w:t>PAL PUBLIC RRP ATT 7.2 Powercor, Proactive conductor replacement program - updated, December 2015.pdf</w:t>
      </w:r>
    </w:p>
    <w:p w:rsidR="006847FE" w:rsidRDefault="006847FE" w:rsidP="006847FE">
      <w:r>
        <w:t>PAL PUBLIC RRP ATT 7.3 Hon L D'Ambrosio MP, Letter to Powercor, 9 October 2015.pdf</w:t>
      </w:r>
    </w:p>
    <w:p w:rsidR="006847FE" w:rsidRDefault="006847FE" w:rsidP="006847FE">
      <w:r>
        <w:lastRenderedPageBreak/>
        <w:t>PAL PUBLIC RRP ATT 7.4 -Mr Tim Rourke, Letter to Hon L. D'Ambrosio MP, 26 October 2015.pdf</w:t>
      </w:r>
    </w:p>
    <w:p w:rsidR="006847FE" w:rsidRDefault="006847FE" w:rsidP="006847FE">
      <w:r>
        <w:t>PAL PUBLIC RRP ATT 7.5 -AusNet Services, Bushfire Mitigation Plan, Electricity Distribution Network, 22 July 2014.pdf</w:t>
      </w:r>
    </w:p>
    <w:p w:rsidR="006847FE" w:rsidRDefault="006847FE" w:rsidP="006847FE">
      <w:r>
        <w:t>PAL PUBLIC RRP ATT 7.6 -AusNet Services, Appendix 7A Network Capital Expenditure Overview 2016-2020, April 2015.pdf</w:t>
      </w:r>
    </w:p>
    <w:p w:rsidR="006847FE" w:rsidRDefault="006847FE" w:rsidP="006847FE">
      <w:r>
        <w:t>PAL PUBLIC RRP ATT 7.7 -Jacobs, Powercor Repex Other Support, December 2015.pdf</w:t>
      </w:r>
    </w:p>
    <w:p w:rsidR="006847FE" w:rsidRDefault="006847FE" w:rsidP="006847FE">
      <w:r>
        <w:t>PAL PUBLIC RRP ATT 7.8 -R. Scott MP, ESC Inquiry into the true value of distributed generation, 11 September 2015.pdf</w:t>
      </w:r>
    </w:p>
    <w:p w:rsidR="006847FE" w:rsidRDefault="006847FE" w:rsidP="006847FE">
      <w:r>
        <w:t>PAL PUBLIC RRP ATT 7.9 -Powercor, Voltage compliance program, December 2015.pdf</w:t>
      </w:r>
    </w:p>
    <w:p w:rsidR="006847FE" w:rsidRDefault="006847FE" w:rsidP="006847FE">
      <w:r>
        <w:t>PAL PUBLIC RRP ATT 8.1 AER, Preliminary decision, Jemena distribution determination 2016-20, attachment 6, Oct15.pdf</w:t>
      </w:r>
    </w:p>
    <w:p w:rsidR="006847FE" w:rsidRDefault="006847FE" w:rsidP="006847FE">
      <w:r>
        <w:t>PAL PUBLIC RRP ATT 8.2 AER, Final decision, SA Power Networks determination 2015-16 to 2019-20, attachment 6, Oct15.pdf</w:t>
      </w:r>
    </w:p>
    <w:p w:rsidR="006847FE" w:rsidRDefault="006847FE" w:rsidP="006847FE">
      <w:r>
        <w:t>PAL PUBLIC RRP ATT 8.3 CitiPower and Powercor, Submission to AER on draft regulatory information notice, January 2014.pdf</w:t>
      </w:r>
    </w:p>
    <w:p w:rsidR="006847FE" w:rsidRDefault="006847FE" w:rsidP="006847FE">
      <w:r>
        <w:t>PAL PUBLIC RRP ATT 8.4 AEMC, Information sheet, Competition in metering services, 26 November 2015.pdf</w:t>
      </w:r>
    </w:p>
    <w:p w:rsidR="006847FE" w:rsidRDefault="006847FE" w:rsidP="006847FE">
      <w:r>
        <w:t>PAL PUBLIC RRP ATT 8.5 Accenture, Metering contestability - process and system impacts, 23 October 2015.pdf</w:t>
      </w:r>
    </w:p>
    <w:p w:rsidR="006847FE" w:rsidRDefault="006847FE" w:rsidP="006847FE">
      <w:r>
        <w:t>PAL PUBLIC RRP ATT 8.6 AEMO, B2B procedure, Service order process, version 2.2, 15 May 2015.pdf</w:t>
      </w:r>
    </w:p>
    <w:p w:rsidR="006847FE" w:rsidRDefault="006847FE" w:rsidP="006847FE">
      <w:r>
        <w:t>PAL PUBLIC RRP ATT 8.7 CitiPower and Powercor, Metering contestability - pre-gate approval, December 2015.pdf</w:t>
      </w:r>
    </w:p>
    <w:p w:rsidR="006847FE" w:rsidRDefault="006847FE" w:rsidP="006847FE">
      <w:r>
        <w:t>PAL PUBLIC RRP ATT 9.1 AER, Final decision, Amendment, Electricity DNSP, Post-tax revenue model handbook, 29 Jan15.pdf</w:t>
      </w:r>
    </w:p>
    <w:p w:rsidR="006847FE" w:rsidRDefault="006847FE" w:rsidP="006847FE">
      <w:r>
        <w:t>PAL PUBLIC RRP ATT 9.2 AER, Electricity distribution network service providers, Roll forward model handbook, June 20.pdf</w:t>
      </w:r>
    </w:p>
    <w:p w:rsidR="006847FE" w:rsidRDefault="006847FE" w:rsidP="006847FE">
      <w:r>
        <w:t>PAL PUBLIC RRP ATT 9.3 Powercor, Pass through application response to 2009 VBRC as incl in revised ESMS of 10 Aug11.pdf</w:t>
      </w:r>
    </w:p>
    <w:p w:rsidR="006847FE" w:rsidRDefault="006847FE" w:rsidP="006847FE">
      <w:r>
        <w:t>PAL PUBLIC RRP ATT 9.4 Incenta, Calculation of straight line depreciation GÇô review of the AER's approx calc, JuL15.pdf</w:t>
      </w:r>
    </w:p>
    <w:p w:rsidR="006847FE" w:rsidRDefault="006847FE" w:rsidP="006847FE">
      <w:r>
        <w:t>PAL PUBLIC RRP ATT 9.5 The AER's Outline of Submissions on Indexation of the Regulatory Asset Base, Mar11.pdf</w:t>
      </w:r>
    </w:p>
    <w:p w:rsidR="006847FE" w:rsidRDefault="006847FE" w:rsidP="006847FE">
      <w:r>
        <w:t>PAL PUBLIC RRP ATT 9.6 Outline of Joint Submissions in Reply on RAB Escalation for Inflation Ground for Review, Jun11.pdf</w:t>
      </w:r>
    </w:p>
    <w:p w:rsidR="006847FE" w:rsidRDefault="006847FE" w:rsidP="006847FE">
      <w:r>
        <w:t>PAL PUBLIC RRP ATT 9.7 AER, Explanatory statement Proposed amendment Electricity TNSP Roll forward model, July 2015.pdf</w:t>
      </w:r>
    </w:p>
    <w:p w:rsidR="006847FE" w:rsidRDefault="006847FE" w:rsidP="006847FE">
      <w:r>
        <w:lastRenderedPageBreak/>
        <w:t>PAL PUBLIC RRP ATT 10.1 AER, Better Regulation, Explanatory Statement, Rate of Return Guideline, December 2013.pdf</w:t>
      </w:r>
    </w:p>
    <w:p w:rsidR="006847FE" w:rsidRDefault="006847FE" w:rsidP="006847FE">
      <w:r>
        <w:t>PAL PUBLIC RRP ATT 10.1 -Handley, Advice on return on equity, 16 October 2014.pdf</w:t>
      </w:r>
    </w:p>
    <w:p w:rsidR="006847FE" w:rsidRDefault="006847FE" w:rsidP="006847FE">
      <w:r>
        <w:t>PAL PUBLIC RRP ATT 10.1 -McKenzie, Partington, Report to AER, Report on the market risk premium, 22 Feb 2012.pdf</w:t>
      </w:r>
    </w:p>
    <w:p w:rsidR="006847FE" w:rsidRDefault="006847FE" w:rsidP="006847FE">
      <w:r>
        <w:t>PAL PUBLIC RRP ATT 10.101 -NERA, The cost of equity for a regulated energy utility, a report for multinet, Feb13.pdf</w:t>
      </w:r>
    </w:p>
    <w:p w:rsidR="006847FE" w:rsidRDefault="006847FE" w:rsidP="006847FE">
      <w:r>
        <w:t>PAL PUBLIC RRP ATT 10.104 -Ernst and Young, Advice on aspects of the cost of equity, Nov 2012.pdf</w:t>
      </w:r>
    </w:p>
    <w:p w:rsidR="006847FE" w:rsidRDefault="006847FE" w:rsidP="006847FE">
      <w:r>
        <w:t>PAL PUBLIC RRP ATT 10.105 -Samuel, Independent experts report, pipeline partners offer, 3 August 2012.pdf</w:t>
      </w:r>
    </w:p>
    <w:p w:rsidR="006847FE" w:rsidRDefault="006847FE" w:rsidP="006847FE">
      <w:r>
        <w:t>PAL PUBLIC RRP ATT 10.106 -Ernst and Young, Independent Experts Report and Financial Services Guide, 14 January 2013.pdf</w:t>
      </w:r>
    </w:p>
    <w:p w:rsidR="006847FE" w:rsidRDefault="006847FE" w:rsidP="006847FE">
      <w:r>
        <w:t>PAL PUBLIC RRP ATT 10.107 -Grant Thornton, Independent expert report for oOh!media Group Limited, January 2012 .pdf</w:t>
      </w:r>
    </w:p>
    <w:p w:rsidR="006847FE" w:rsidRDefault="006847FE" w:rsidP="006847FE">
      <w:r>
        <w:t>PAL PUBLIC RRP ATT 10.108 -Partington, Report to the AER return on equity (updated), April 2015.pdf</w:t>
      </w:r>
    </w:p>
    <w:p w:rsidR="006847FE" w:rsidRDefault="006847FE" w:rsidP="006847FE">
      <w:r>
        <w:t>PAL PUBLIC RRP ATT 10.109 -CEG, Measuring risk free rates and expected inflation, April 2015.pdf</w:t>
      </w:r>
    </w:p>
    <w:p w:rsidR="006847FE" w:rsidRDefault="006847FE" w:rsidP="006847FE">
      <w:r>
        <w:t>PAL PUBLIC RRP ATT 10.11 -PwC, A cost of debt estimation methodology for businesses regulated by the QCA, June 2013.pdf</w:t>
      </w:r>
    </w:p>
    <w:p w:rsidR="006847FE" w:rsidRDefault="006847FE" w:rsidP="006847FE">
      <w:r>
        <w:t>PAL PUBLIC RRP ATT 10.111 -CEG, The Hybrid method for the transition to the trailing average, July 2015.pdf</w:t>
      </w:r>
    </w:p>
    <w:p w:rsidR="006847FE" w:rsidRDefault="006847FE" w:rsidP="006847FE">
      <w:r>
        <w:t>PAL PUBLIC RRP ATT 10.112 -CEG, WACC estimates, a report for NSW DNSPs, May 2014.pdf</w:t>
      </w:r>
    </w:p>
    <w:p w:rsidR="006847FE" w:rsidRDefault="006847FE" w:rsidP="006847FE">
      <w:r>
        <w:t>PAL PUBLIC RRP ATT 10.113 -RBA, Statement on Monetary Policy, May 2014.pdf</w:t>
      </w:r>
    </w:p>
    <w:p w:rsidR="006847FE" w:rsidRDefault="006847FE" w:rsidP="006847FE">
      <w:r>
        <w:t>PAL PUBLIC RRP ATT 10.114 -Chairmont, ERA Hedging costs in the cost of debt, 13 May 2015.PDF</w:t>
      </w:r>
    </w:p>
    <w:p w:rsidR="006847FE" w:rsidRDefault="006847FE" w:rsidP="006847FE">
      <w:r>
        <w:t>PAL PUBLIC RRP ATT 10.115 -Frontier, Estimating the equity beta for the BEE, Jan 2016.pdf</w:t>
      </w:r>
    </w:p>
    <w:p w:rsidR="006847FE" w:rsidRDefault="006847FE" w:rsidP="006847FE">
      <w:r>
        <w:t>PAL PUBLIC RRP ATT 10.116 -Frontier, the appropriate use of tax statistics when estimating gamma, Jan 2016.pdf</w:t>
      </w:r>
    </w:p>
    <w:p w:rsidR="006847FE" w:rsidRDefault="006847FE" w:rsidP="006847FE">
      <w:r>
        <w:t>PAL PUBLIC RRP ATT 10.117 -CEG, Critique of AER analysis of New Issue Premium, Dec 2015.pdf</w:t>
      </w:r>
    </w:p>
    <w:p w:rsidR="006847FE" w:rsidRDefault="006847FE" w:rsidP="006847FE">
      <w:r>
        <w:t>PAL PUBLIC RRP ATT 10.118 -Henry (2009) Estimating beta, 2009.pdf</w:t>
      </w:r>
    </w:p>
    <w:p w:rsidR="006847FE" w:rsidRDefault="006847FE" w:rsidP="006847FE">
      <w:r>
        <w:t>PAL PUBLIC RRP ATT 10.119 -SFG Consulting (2013) Regression based estimates - June 2013.pdf</w:t>
      </w:r>
    </w:p>
    <w:p w:rsidR="006847FE" w:rsidRDefault="006847FE" w:rsidP="006847FE">
      <w:r>
        <w:t>PAL PUBLIC RRP ATT 10.12 -Skeskin (2003) Handbook of parametric ch13, 2003.pdf</w:t>
      </w:r>
    </w:p>
    <w:p w:rsidR="006847FE" w:rsidRDefault="006847FE" w:rsidP="006847FE">
      <w:r>
        <w:lastRenderedPageBreak/>
        <w:t>PAL PUBLIC RRP ATT 10.121 -Vasicek,Note on Using Cross-Sectional Information in Bayesian Est of Security Betas,1973.pdf</w:t>
      </w:r>
    </w:p>
    <w:p w:rsidR="006847FE" w:rsidRDefault="006847FE" w:rsidP="006847FE">
      <w:r>
        <w:t>PAL PUBLIC RRP ATT 10.122 -Brooks et al (2013) Assessing the reliability of regression-based est of risk, Jun13.pdf</w:t>
      </w:r>
    </w:p>
    <w:p w:rsidR="006847FE" w:rsidRDefault="006847FE" w:rsidP="006847FE">
      <w:r>
        <w:t>PAL PUBLIC RRP ATT 10.123 -Brooks et al, Comparison of OLS and LAD regression techniques for est beta, Jun13.pdf</w:t>
      </w:r>
    </w:p>
    <w:p w:rsidR="006847FE" w:rsidRDefault="006847FE" w:rsidP="006847FE">
      <w:r>
        <w:t>PAL PUBLIC RRP ATT 10.124 -Brooks et al, The Vasicek adjustment to beta est in the Capital Asset Pricing Model, 2013.pdf</w:t>
      </w:r>
    </w:p>
    <w:p w:rsidR="006847FE" w:rsidRDefault="006847FE" w:rsidP="006847FE">
      <w:r>
        <w:t>PAL PUBLIC RRP ATT 10.125 -CEG (2013) Information on equity beta from US companies, June 2013.pdf</w:t>
      </w:r>
    </w:p>
    <w:p w:rsidR="006847FE" w:rsidRDefault="006847FE" w:rsidP="006847FE">
      <w:r>
        <w:t>PAL PUBLIC RRP ATT 10.126 -SFG (2013) Regression based estimates of risk parameters, 2013.pdf</w:t>
      </w:r>
    </w:p>
    <w:p w:rsidR="006847FE" w:rsidRDefault="006847FE" w:rsidP="006847FE">
      <w:r>
        <w:t>PAL PUBLIC RRP ATT 10.127 -SFG (2014)  Equity beta, May 2014.pdf</w:t>
      </w:r>
    </w:p>
    <w:p w:rsidR="006847FE" w:rsidRDefault="006847FE" w:rsidP="006847FE">
      <w:r>
        <w:t>PAL PUBLIC RRP ATT 10.128 -SFG (2014) Fama French Model, May 2014.pdf</w:t>
      </w:r>
    </w:p>
    <w:p w:rsidR="006847FE" w:rsidRDefault="006847FE" w:rsidP="006847FE">
      <w:r>
        <w:t>PAL PUBLIC RRP ATT 10.129 -SFG (2015) Beta and the Black Capital Asset Pricing Model, Feb 2015.pdf</w:t>
      </w:r>
    </w:p>
    <w:p w:rsidR="006847FE" w:rsidRDefault="006847FE" w:rsidP="006847FE">
      <w:r>
        <w:t>PAL PUBLIC RRP ATT 10.13 -SFG (2015) Required return on equity for benchmark efficient  entity, February 2015.pdf</w:t>
      </w:r>
    </w:p>
    <w:p w:rsidR="006847FE" w:rsidRDefault="006847FE" w:rsidP="006847FE">
      <w:r>
        <w:t>PAL PUBLIC RRP ATT 10.131 -SFG (2015) Share Prices The Dividend Discount Model and the Cost of Equity, February 2015.pdf</w:t>
      </w:r>
    </w:p>
    <w:p w:rsidR="006847FE" w:rsidRDefault="006847FE" w:rsidP="006847FE">
      <w:r>
        <w:t>PAL PUBLIC RRP ATT 10.132 -SFG (2015) Using the Fama French model to estimate the required return on equity, Feb 2015.pdf</w:t>
      </w:r>
    </w:p>
    <w:p w:rsidR="006847FE" w:rsidRDefault="006847FE" w:rsidP="006847FE">
      <w:r>
        <w:t>PAL PUBLIC RRP ATT 10.133 -SFG Divident Discount Model, May 2014.pdf</w:t>
      </w:r>
    </w:p>
    <w:p w:rsidR="006847FE" w:rsidRDefault="006847FE" w:rsidP="006847FE">
      <w:r>
        <w:t>PAL PUBLIC RRP ATT 10.134 -SFG, Required return on equity for regulated gas and electricity network businesses, Jun14.pdf</w:t>
      </w:r>
    </w:p>
    <w:p w:rsidR="006847FE" w:rsidRDefault="006847FE" w:rsidP="006847FE">
      <w:r>
        <w:t>PAL PUBLIC RRP ATT 10.135 -AEMC (2012) Final-Rule-Determination, 2012.pdf</w:t>
      </w:r>
    </w:p>
    <w:p w:rsidR="006847FE" w:rsidRDefault="006847FE" w:rsidP="006847FE">
      <w:r>
        <w:t>PAL PUBLIC RRP ATT 10.136 -Alberta Utilities Commission, Generic Cost of Capital, 2011.pdf</w:t>
      </w:r>
    </w:p>
    <w:p w:rsidR="006847FE" w:rsidRDefault="006847FE" w:rsidP="006847FE">
      <w:r>
        <w:t>PAL PUBLIC RRP ATT 10.137 -Brattle, The WACC for Dutch TSOs,DSOs, water companies and the Dutch Pilotage Org, 2013.pdf</w:t>
      </w:r>
    </w:p>
    <w:p w:rsidR="006847FE" w:rsidRDefault="006847FE" w:rsidP="006847FE">
      <w:r>
        <w:t>PAL PUBLIC RRP ATT 10.138 -CEG Beta Parameters, 2013.pdf</w:t>
      </w:r>
    </w:p>
    <w:p w:rsidR="006847FE" w:rsidRDefault="006847FE" w:rsidP="006847FE">
      <w:r>
        <w:t>PAL PUBLIC RRP ATT 10.139 -FTI (2012) Cost of capital study, 2012.pdf</w:t>
      </w:r>
    </w:p>
    <w:p w:rsidR="006847FE" w:rsidRDefault="006847FE" w:rsidP="006847FE">
      <w:r>
        <w:t>PAL PUBLIC RRP ATT 10.14 -Grant Samuel (2015) Response to AER decision, 2015.pdf</w:t>
      </w:r>
    </w:p>
    <w:p w:rsidR="006847FE" w:rsidRDefault="006847FE" w:rsidP="006847FE">
      <w:r>
        <w:t>PAL PUBLIC RRP ATT 10.141 -Handley (2015) Advice on rate of return, 2015.pdf</w:t>
      </w:r>
    </w:p>
    <w:p w:rsidR="006847FE" w:rsidRDefault="006847FE" w:rsidP="006847FE">
      <w:r>
        <w:t>PAL PUBLIC RRP ATT 10.142 -Henry (2014) Estimating beta update, 2014.pdf</w:t>
      </w:r>
    </w:p>
    <w:p w:rsidR="006847FE" w:rsidRDefault="006847FE" w:rsidP="006847FE">
      <w:r>
        <w:t>PAL PUBLIC RRP ATT 10.143 -Lewellen Nagel Shanken (2010) Skeptical appraisal of asset pricing, 2010.pdf</w:t>
      </w:r>
    </w:p>
    <w:p w:rsidR="006847FE" w:rsidRDefault="006847FE" w:rsidP="006847FE">
      <w:r>
        <w:lastRenderedPageBreak/>
        <w:t>PAL PUBLIC RRP ATT 10.144 -NERA (2015) Empirical performance of Sharpe Lintner, 2015.pdf</w:t>
      </w:r>
    </w:p>
    <w:p w:rsidR="006847FE" w:rsidRDefault="006847FE" w:rsidP="006847FE">
      <w:r>
        <w:t>PAL PUBLIC RRP ATT 10.145 -NERA (2015) Review of literature in suppoty of Sharpe Lintner, 2015.pdf</w:t>
      </w:r>
    </w:p>
    <w:p w:rsidR="006847FE" w:rsidRDefault="006847FE" w:rsidP="006847FE">
      <w:r>
        <w:t>PAL PUBLIC RRP ATT 10.146 -Nobel Prize Committee (2013) Understanding asset prices, 2013.pdf</w:t>
      </w:r>
    </w:p>
    <w:p w:rsidR="006847FE" w:rsidRDefault="006847FE" w:rsidP="006847FE">
      <w:r>
        <w:t>PAL PUBLIC RRP ATT 10.147 -Ofgem (2012) RIIO-T1, 2012.pdf</w:t>
      </w:r>
    </w:p>
    <w:p w:rsidR="006847FE" w:rsidRDefault="006847FE" w:rsidP="006847FE">
      <w:r>
        <w:t>PAL PUBLIC RRP ATT 10.148 -PWC (2014) Appreciating value New Zealand, 2014.pdf</w:t>
      </w:r>
    </w:p>
    <w:p w:rsidR="006847FE" w:rsidRDefault="006847FE" w:rsidP="006847FE">
      <w:r>
        <w:t>PAL PUBLIC RRP ATT 10.149 -RBA (2015) Statement on monetary policy, Feb 2015.pdf</w:t>
      </w:r>
    </w:p>
    <w:p w:rsidR="006847FE" w:rsidRDefault="006847FE" w:rsidP="006847FE">
      <w:r>
        <w:t>PAL PUBLIC RRP ATT 10.15 -Brailsford, Gaunt, Obrien (2012) AJM, 2012.pdf</w:t>
      </w:r>
    </w:p>
    <w:p w:rsidR="006847FE" w:rsidRDefault="006847FE" w:rsidP="006847FE">
      <w:r>
        <w:t>PAL PUBLIC RRP ATT 10.151 -Gray, Hall, Klease, McCrystal (2009) Bias stability and predictive ability, 2009.pdf</w:t>
      </w:r>
    </w:p>
    <w:p w:rsidR="006847FE" w:rsidRDefault="006847FE" w:rsidP="006847FE">
      <w:r>
        <w:t>PAL PUBLIC RRP ATT 10.152 -NERA (2013) Payout Ratio, 2013.pdf</w:t>
      </w:r>
    </w:p>
    <w:p w:rsidR="006847FE" w:rsidRDefault="006847FE" w:rsidP="006847FE">
      <w:r>
        <w:t>PAL PUBLIC RRP ATT 10.153 -NERA (2015) Estimating distribution and redemption rates from taxation statistics, 2015.pdf</w:t>
      </w:r>
    </w:p>
    <w:p w:rsidR="006847FE" w:rsidRDefault="006847FE" w:rsidP="006847FE">
      <w:r>
        <w:t>PAL PUBLIC RRP ATT 10.154 -Officer (1994) Cost of capital of a company, 1994.pdf</w:t>
      </w:r>
    </w:p>
    <w:p w:rsidR="006847FE" w:rsidRDefault="006847FE" w:rsidP="006847FE">
      <w:r>
        <w:t>PAL PUBLIC RRP ATT 10.155 -SFG 2014 QCA gamma, 2014.pdf</w:t>
      </w:r>
    </w:p>
    <w:p w:rsidR="006847FE" w:rsidRDefault="006847FE" w:rsidP="006847FE">
      <w:r>
        <w:t>PAL PUBLIC RRP ATT 10.156 -SFG Jemena gamma reply, Feb 2015.pdf</w:t>
      </w:r>
    </w:p>
    <w:p w:rsidR="006847FE" w:rsidRDefault="006847FE" w:rsidP="006847FE">
      <w:r>
        <w:t>PAL PUBLIC RRP ATT 10.157 -SFG Jemena gamma submission, May 2014.pdf</w:t>
      </w:r>
    </w:p>
    <w:p w:rsidR="006847FE" w:rsidRDefault="006847FE" w:rsidP="006847FE">
      <w:r>
        <w:t>PAL PUBLIC RRP ATT 10.158 -ACT, Application by Energex Ltd, 2010.pdf</w:t>
      </w:r>
    </w:p>
    <w:p w:rsidR="006847FE" w:rsidRDefault="006847FE" w:rsidP="006847FE">
      <w:r>
        <w:t>PAL PUBLIC RRP ATT 10.159 -Handley (2015) Advice on the NERA report - taxation statistics, 2015.pdf</w:t>
      </w:r>
    </w:p>
    <w:p w:rsidR="006847FE" w:rsidRDefault="006847FE" w:rsidP="006847FE">
      <w:r>
        <w:t>PAL PUBLIC RRP ATT 10.16 -Handley 2014 Advice on the value of imputation credits, 2014.pdf</w:t>
      </w:r>
    </w:p>
    <w:p w:rsidR="006847FE" w:rsidRDefault="006847FE" w:rsidP="006847FE">
      <w:r>
        <w:t>PAL PUBLIC RRP ATT 10.161 -Hathaway (2013) Franking credit redemption ATO data 1988-2011, 2013.pdf</w:t>
      </w:r>
    </w:p>
    <w:p w:rsidR="006847FE" w:rsidRDefault="006847FE" w:rsidP="006847FE">
      <w:r>
        <w:t>PAL PUBLIC RRP ATT 10.162 -Hathaway (2014) Franking credit redemption ATO data 1988-2012, 2014.pdf</w:t>
      </w:r>
    </w:p>
    <w:p w:rsidR="006847FE" w:rsidRDefault="006847FE" w:rsidP="006847FE">
      <w:r>
        <w:t>PAL PUBLIC RRP ATT 10.163 -Lally (2013) Estimation of gamma, 2013.pdf</w:t>
      </w:r>
    </w:p>
    <w:p w:rsidR="006847FE" w:rsidRDefault="006847FE" w:rsidP="006847FE">
      <w:r>
        <w:t>PAL PUBLIC RRP ATT 10.164 -Lally (2014) Review of submissions to the QCA on MRP, 2014.pdf</w:t>
      </w:r>
    </w:p>
    <w:p w:rsidR="006847FE" w:rsidRDefault="006847FE" w:rsidP="006847FE">
      <w:r>
        <w:t>PAL PUBLIC RRP ATT 10.165 -IPART WACC Update, August 2015.pdf</w:t>
      </w:r>
    </w:p>
    <w:p w:rsidR="006847FE" w:rsidRDefault="006847FE" w:rsidP="006847FE">
      <w:r>
        <w:t>PAL PUBLIC RRP ATT 10.166 -Lonergan Edwards Stanmore Coal, 2012.pdf</w:t>
      </w:r>
    </w:p>
    <w:p w:rsidR="006847FE" w:rsidRDefault="006847FE" w:rsidP="006847FE">
      <w:r>
        <w:t>PAL PUBLIC RRP ATT 10.167 -McKinsey - Dobbs, Koller, Lund, Quantative easing, 2014.pdf</w:t>
      </w:r>
    </w:p>
    <w:p w:rsidR="006847FE" w:rsidRDefault="006847FE" w:rsidP="006847FE">
      <w:r>
        <w:lastRenderedPageBreak/>
        <w:t>PAL PUBLIC RRP ATT 10.168 -Partington and Satchell, Analysis of criticism of 2015 Determinations, Oct 2015.pdf</w:t>
      </w:r>
    </w:p>
    <w:p w:rsidR="006847FE" w:rsidRDefault="006847FE" w:rsidP="006847FE">
      <w:r>
        <w:t>PAL PUBLIC RRP ATT 10.169 -RBA Stevens Speech, 2015.pdf</w:t>
      </w:r>
    </w:p>
    <w:p w:rsidR="006847FE" w:rsidRDefault="006847FE" w:rsidP="006847FE">
      <w:r>
        <w:t>PAL PUBLIC RRP ATT 10.17 -SFG, The required return on equity for the benchmark efficient entity, March 2015.pdf</w:t>
      </w:r>
    </w:p>
    <w:p w:rsidR="006847FE" w:rsidRDefault="006847FE" w:rsidP="006847FE">
      <w:r>
        <w:t>PAL PUBLIC RRP ATT 10.171 -SFG, Required return on equity for regulated gas and electricity network businesses, Jun14.pdf</w:t>
      </w:r>
    </w:p>
    <w:p w:rsidR="006847FE" w:rsidRDefault="006847FE" w:rsidP="006847FE">
      <w:r>
        <w:t>PAL PUBLIC RRP ATT 10.172 -Wright Mason Miles, Cost of capital for regulated utilities in the UK, 2003.pdf</w:t>
      </w:r>
    </w:p>
    <w:p w:rsidR="006847FE" w:rsidRDefault="006847FE" w:rsidP="006847FE">
      <w:r>
        <w:t>PAL PUBLIC RRP ATT 10.173 -Wright Smithers, The Cost of Equity Capital for Regulated Companies, 2015.pdf</w:t>
      </w:r>
    </w:p>
    <w:p w:rsidR="006847FE" w:rsidRDefault="006847FE" w:rsidP="006847FE">
      <w:r>
        <w:t>PAL PUBLIC RRP ATT 10.174 -Zenner and Junak, Musings on low cost of debt, 2012.pdf</w:t>
      </w:r>
    </w:p>
    <w:p w:rsidR="006847FE" w:rsidRDefault="006847FE" w:rsidP="006847FE">
      <w:r>
        <w:t>PAL PUBLIC RRP ATT 10.175 -AEMC (2012) Final-Rule-Determination, 2012.pdf</w:t>
      </w:r>
    </w:p>
    <w:p w:rsidR="006847FE" w:rsidRDefault="006847FE" w:rsidP="006847FE">
      <w:r>
        <w:t>PAL PUBLIC RRP ATT 10.176 -Debelle 2015 low yields, 2015.pdf</w:t>
      </w:r>
    </w:p>
    <w:p w:rsidR="006847FE" w:rsidRDefault="006847FE" w:rsidP="006847FE">
      <w:r>
        <w:t>PAL PUBLIC RRP ATT 10.177 -ERA ATCO Gas Final, 2015.pdf</w:t>
      </w:r>
    </w:p>
    <w:p w:rsidR="006847FE" w:rsidRDefault="006847FE" w:rsidP="006847FE">
      <w:r>
        <w:t>PAL PUBLIC RRP ATT 10.178 -FERC Opinion 531, 2014.pdf</w:t>
      </w:r>
    </w:p>
    <w:p w:rsidR="006847FE" w:rsidRDefault="006847FE" w:rsidP="006847FE">
      <w:r>
        <w:t>PAL PUBLIC RRP ATT 10.179 -Grant Thornton 2012, Independent expert report on Oh!media Scheme, 2012.pdf</w:t>
      </w:r>
    </w:p>
    <w:p w:rsidR="006847FE" w:rsidRDefault="006847FE" w:rsidP="006847FE">
      <w:r>
        <w:t>PAL PUBLIC RRP ATT 10.18 -Economic Sciences Prize Committee of the Royal Swedish Academy of Sciences,Oct 2013.pdf</w:t>
      </w:r>
    </w:p>
    <w:p w:rsidR="006847FE" w:rsidRDefault="006847FE" w:rsidP="006847FE">
      <w:r>
        <w:t>PAL PUBLIC RRP ATT 10.18 -Handley, Advice on the Return on Equity, Oct 2014.pdf</w:t>
      </w:r>
    </w:p>
    <w:p w:rsidR="006847FE" w:rsidRDefault="006847FE" w:rsidP="006847FE">
      <w:r>
        <w:t>PAL PUBLIC RRP ATT 10.181 -IPART, Review of WACC Methodology, 2013.pdf</w:t>
      </w:r>
    </w:p>
    <w:p w:rsidR="006847FE" w:rsidRDefault="006847FE" w:rsidP="006847FE">
      <w:r>
        <w:t>PAL PUBLIC RRP ATT 10.182 -Ernst and Young, Independent expert report for MacMahon Holdings, 2013.pdf</w:t>
      </w:r>
    </w:p>
    <w:p w:rsidR="006847FE" w:rsidRDefault="006847FE" w:rsidP="006847FE">
      <w:r>
        <w:t>PAL PUBLIC RRP ATT 10.19 -Statement of Dr J Robert Malko, 16 June 2015.pdf</w:t>
      </w:r>
    </w:p>
    <w:p w:rsidR="006847FE" w:rsidRDefault="006847FE" w:rsidP="006847FE">
      <w:r>
        <w:t>PAL PUBLIC RRP ATT 10.2 CEG, Efficiency of Staggered Debt Issuance, February 2013.pdf</w:t>
      </w:r>
    </w:p>
    <w:p w:rsidR="006847FE" w:rsidRDefault="006847FE" w:rsidP="006847FE">
      <w:r>
        <w:t>PAL PUBLIC RRP ATT 10.2 -ENA, Response to the Equity Beta Issues Paper of the AER, 28 October 2013.pdf</w:t>
      </w:r>
    </w:p>
    <w:p w:rsidR="006847FE" w:rsidRDefault="006847FE" w:rsidP="006847FE">
      <w:r>
        <w:t>PAL PUBLIC RRP ATT 10.21 -Frontier, Review of the AERs conceptual analysis for equity beta, June 2015.pdf</w:t>
      </w:r>
    </w:p>
    <w:p w:rsidR="006847FE" w:rsidRDefault="006847FE" w:rsidP="006847FE">
      <w:r>
        <w:t>PAL PUBLIC RRP ATT 10.22 -HoustonKemp, The Cost of equity, Response to AER.pdf</w:t>
      </w:r>
    </w:p>
    <w:p w:rsidR="006847FE" w:rsidRDefault="006847FE" w:rsidP="006847FE">
      <w:r>
        <w:t>PAL PUBLIC RRP ATT 10.23 -FERC, Order accpeting tariff filing subject to condition and denying waiver, January 2014.pdf</w:t>
      </w:r>
    </w:p>
    <w:p w:rsidR="006847FE" w:rsidRDefault="006847FE" w:rsidP="006847FE">
      <w:r>
        <w:t>PAL PUBLIC RRP ATT 10.24 -Ofgem, RIIO-T1 and GD1 financial issues, 2011.pdf</w:t>
      </w:r>
    </w:p>
    <w:p w:rsidR="006847FE" w:rsidRDefault="006847FE" w:rsidP="006847FE">
      <w:r>
        <w:lastRenderedPageBreak/>
        <w:t>PAL PUBLIC RRP ATT 10.25 -Oxera, Agenda, Advancing economics in business, What WACC for a crisis, February 2013.pdf</w:t>
      </w:r>
    </w:p>
    <w:p w:rsidR="006847FE" w:rsidRDefault="006847FE" w:rsidP="006847FE">
      <w:r>
        <w:t>PAL PUBLIC RRP ATT 10.26 -Stevens, The world economy and Australia, 21 April 2015.pdf</w:t>
      </w:r>
    </w:p>
    <w:p w:rsidR="006847FE" w:rsidRDefault="006847FE" w:rsidP="006847FE">
      <w:r>
        <w:t>PAL PUBLIC RRP ATT 10.27 -ERA, Final decision on proposed revisions to the access arrangement, June 2015.pdf</w:t>
      </w:r>
    </w:p>
    <w:p w:rsidR="006847FE" w:rsidRDefault="006847FE" w:rsidP="006847FE">
      <w:r>
        <w:t>PAL PUBLIC RRP ATT 10.28 -NERA, Further Assessment of the Historical MRP, June 2015.pdf</w:t>
      </w:r>
    </w:p>
    <w:p w:rsidR="006847FE" w:rsidRDefault="006847FE" w:rsidP="006847FE">
      <w:r>
        <w:t>PAL PUBLIC RRP ATT 10.29 -Wright, Review of Risk Free Rate and Cost of Equity Estimates, 25 October 2012.pdf</w:t>
      </w:r>
    </w:p>
    <w:p w:rsidR="006847FE" w:rsidRDefault="006847FE" w:rsidP="006847FE">
      <w:r>
        <w:t>PAL PUBLIC RRP ATT 10.3 Chairmont, Financing practices under regulation, past and transitional, October 2015.PDF</w:t>
      </w:r>
    </w:p>
    <w:p w:rsidR="006847FE" w:rsidRDefault="006847FE" w:rsidP="006847FE">
      <w:r>
        <w:t>PAL PUBLIC RRP ATT 10.31 -SFG, Share prices, the DDM and the cost of equity for the mkt and bmk energy network, Feb15.pdf</w:t>
      </w:r>
    </w:p>
    <w:p w:rsidR="006847FE" w:rsidRDefault="006847FE" w:rsidP="006847FE">
      <w:r>
        <w:t>PAL PUBLIC RRP ATT 10.32 -Frontier, The required return on equity under a foundation model approach, Jan 2016.pdf</w:t>
      </w:r>
    </w:p>
    <w:p w:rsidR="006847FE" w:rsidRDefault="006847FE" w:rsidP="006847FE">
      <w:r>
        <w:t>PAL PUBLIC RRP ATT 10.33 -SFG, Regression based estimates of risk parameters for the benchmark firm, 24 June 2013.pdf</w:t>
      </w:r>
    </w:p>
    <w:p w:rsidR="006847FE" w:rsidRDefault="006847FE" w:rsidP="006847FE">
      <w:r>
        <w:t>PAL PUBLIC RRP ATT 10.34 -Henry, Estimating beta, an update, April 2014.pdf</w:t>
      </w:r>
    </w:p>
    <w:p w:rsidR="006847FE" w:rsidRDefault="006847FE" w:rsidP="006847FE">
      <w:r>
        <w:t>PAL PUBLIC RRP ATT 10.35 -Brooks, Diamond, Gray, Hall, Assessing the reliability of estimates of risk, June 2013.pdf</w:t>
      </w:r>
    </w:p>
    <w:p w:rsidR="006847FE" w:rsidRDefault="006847FE" w:rsidP="006847FE">
      <w:r>
        <w:t>PAL PUBLIC RRP ATT 10.36 -ACCC, Public inquiry into final access determinations for fixed line services, Oct 2015.pdf</w:t>
      </w:r>
    </w:p>
    <w:p w:rsidR="006847FE" w:rsidRDefault="006847FE" w:rsidP="006847FE">
      <w:r>
        <w:t>PAL PUBLIC RRP ATT 10.37 -QCA, draft decision, aurizon network 2014 draft access undertaking, September 2014.pdf</w:t>
      </w:r>
    </w:p>
    <w:p w:rsidR="006847FE" w:rsidRDefault="006847FE" w:rsidP="006847FE">
      <w:r>
        <w:t>PAL PUBLIC RRP ATT 10.38 -Incenta, Review of reg capital structure and asset equity beta for Aurizon Network, Dec 2013.pdf</w:t>
      </w:r>
    </w:p>
    <w:p w:rsidR="006847FE" w:rsidRDefault="006847FE" w:rsidP="006847FE">
      <w:r>
        <w:t>PAL PUBLIC RRP ATT 10.39 -SFG, Equity beta, 12 May 2014.pdf</w:t>
      </w:r>
    </w:p>
    <w:p w:rsidR="006847FE" w:rsidRDefault="006847FE" w:rsidP="006847FE">
      <w:r>
        <w:t>PAL PUBLIC RRP ATT 10.4 Yarrow, Egan, Tamblyn, Review of the limited merits review regime, stage one report, Jun12.pdf</w:t>
      </w:r>
    </w:p>
    <w:p w:rsidR="006847FE" w:rsidRDefault="006847FE" w:rsidP="006847FE">
      <w:r>
        <w:t>PAL PUBLIC RRP ATT 10.4 -Commerce Commission, Input methodologies, reasons paper, Dec 2010.pdf</w:t>
      </w:r>
    </w:p>
    <w:p w:rsidR="006847FE" w:rsidRDefault="006847FE" w:rsidP="006847FE">
      <w:r>
        <w:t>PAL PUBLIC RRP ATT 10.41 -Samuel, Financial Services Guide and Independent Experts Report, 3 Mar 2014.pdf</w:t>
      </w:r>
    </w:p>
    <w:p w:rsidR="006847FE" w:rsidRDefault="006847FE" w:rsidP="006847FE">
      <w:r>
        <w:t>PAL PUBLIC RRP ATT 10.42 -AER, Draft rate of return guideline, explanatory statement, August 2013.pdf</w:t>
      </w:r>
    </w:p>
    <w:p w:rsidR="006847FE" w:rsidRDefault="006847FE" w:rsidP="006847FE">
      <w:r>
        <w:t>PAL PUBLIC RRP ATT 10.43 -CEG, Estimating the cost of equity, equity beta and MRP, January 2015.pdf</w:t>
      </w:r>
    </w:p>
    <w:p w:rsidR="006847FE" w:rsidRDefault="006847FE" w:rsidP="006847FE">
      <w:r>
        <w:t>PAL PUBLIC RRP ATT 10.44 -Frontier, The relationship between government bond yields and MRP, Jan 2016.pdf</w:t>
      </w:r>
    </w:p>
    <w:p w:rsidR="006847FE" w:rsidRDefault="006847FE" w:rsidP="006847FE">
      <w:r>
        <w:lastRenderedPageBreak/>
        <w:t>PAL PUBLIC RRP ATT 10.45 -Chairmont, Cost of Debt, Transitional Analysis, April 2015.pdf</w:t>
      </w:r>
    </w:p>
    <w:p w:rsidR="006847FE" w:rsidRDefault="006847FE" w:rsidP="006847FE">
      <w:r>
        <w:t>PAL PUBLIC RRP ATT 10.46 -UBS, UBS Response to the TransGrid Request following the AER draft decision, undated.pdf</w:t>
      </w:r>
    </w:p>
    <w:p w:rsidR="006847FE" w:rsidRDefault="006847FE" w:rsidP="006847FE">
      <w:r>
        <w:t>PAL PUBLIC RRP ATT 10.47 -Frontier, Cost of debt transition for NSW distribution networks, January 2015.pdf</w:t>
      </w:r>
    </w:p>
    <w:p w:rsidR="006847FE" w:rsidRDefault="006847FE" w:rsidP="006847FE">
      <w:r>
        <w:t>PAL PUBLIC RRP ATT 10.48 -Lally, Review of submissions on the cost of debt, April 2015.pdf</w:t>
      </w:r>
    </w:p>
    <w:p w:rsidR="006847FE" w:rsidRDefault="006847FE" w:rsidP="006847FE">
      <w:r>
        <w:t>PAL PUBLIC RRP ATT 10.49 -SFG, Return on Debt Transition Arrangements under the NGR and NER, 27 February 2015.pdf</w:t>
      </w:r>
    </w:p>
    <w:p w:rsidR="006847FE" w:rsidRDefault="006847FE" w:rsidP="006847FE">
      <w:r>
        <w:t>PAL PUBLIC RRP ATT 10.5 Expert Panel on Energy Access Pricing, Report to the Ministerial Council on Energy, Apr06.pdf</w:t>
      </w:r>
    </w:p>
    <w:p w:rsidR="006847FE" w:rsidRDefault="006847FE" w:rsidP="006847FE">
      <w:r>
        <w:t>PAL PUBLIC RRP ATT 10.5 -Lally, Transitional arrangements for cost of debt, 24 November 2014.pdf</w:t>
      </w:r>
    </w:p>
    <w:p w:rsidR="006847FE" w:rsidRDefault="006847FE" w:rsidP="006847FE">
      <w:r>
        <w:t>PAL PUBLIC RRP ATT 10.51 -CEG, Efficient use of interest rate swaps to manage interest rate risk, June 2015.pdf</w:t>
      </w:r>
    </w:p>
    <w:p w:rsidR="006847FE" w:rsidRDefault="006847FE" w:rsidP="006847FE">
      <w:r>
        <w:t>PAL PUBLIC RRP ATT 10.52 -Lally, Implementation issues for the cost of debt,  November 2014.pdf</w:t>
      </w:r>
    </w:p>
    <w:p w:rsidR="006847FE" w:rsidRDefault="006847FE" w:rsidP="006847FE">
      <w:r>
        <w:t>PAL PUBLIC RRP ATT 10.53 -CEG, Critique of AER's approach to transition, Jan 2016.pdf</w:t>
      </w:r>
    </w:p>
    <w:p w:rsidR="006847FE" w:rsidRDefault="006847FE" w:rsidP="006847FE">
      <w:r>
        <w:t>PAL PUBLIC RRP ATT 10.54 -PwC, Benchmark term of debt assumption, June 2013.pdf</w:t>
      </w:r>
    </w:p>
    <w:p w:rsidR="006847FE" w:rsidRDefault="006847FE" w:rsidP="006847FE">
      <w:r>
        <w:t>PAL PUBLIC RRP ATT 10.55 -Arsov, Brooks, Kosev, New Measures of Australian Corporate Credit Spreads, December 2013.pdf</w:t>
      </w:r>
    </w:p>
    <w:p w:rsidR="006847FE" w:rsidRDefault="006847FE" w:rsidP="006847FE">
      <w:r>
        <w:t>PAL PUBLIC RRP ATT 10.56 -AER, Return on debt, choice of third party data service provider, issues paper, April 2014.pdf</w:t>
      </w:r>
    </w:p>
    <w:p w:rsidR="006847FE" w:rsidRDefault="006847FE" w:rsidP="006847FE">
      <w:r>
        <w:t>PAL PUBLIC RRP ATT 10.57 -CEG, Criteria for assessing fair value curves, Jan 2016.pdf</w:t>
      </w:r>
    </w:p>
    <w:p w:rsidR="006847FE" w:rsidRDefault="006847FE" w:rsidP="006847FE">
      <w:r>
        <w:t>PAL PUBLIC RRP ATT 10.58 -Hathaway, Imputation Credit Redemption ATO data 1988-2011, September 2013.pdf</w:t>
      </w:r>
    </w:p>
    <w:p w:rsidR="006847FE" w:rsidRDefault="006847FE" w:rsidP="006847FE">
      <w:r>
        <w:t>PAL PUBLIC RRP ATT 10.59 -Application by Energex Limited (No 2) [2010] ACompT 7, 2010.pdf</w:t>
      </w:r>
    </w:p>
    <w:p w:rsidR="006847FE" w:rsidRDefault="006847FE" w:rsidP="006847FE">
      <w:r>
        <w:t>PAL PUBLIC RRP ATT 10.6 Application by Envestra Ltd (No 2) [2012] A CompT 3, 2012.pdf</w:t>
      </w:r>
    </w:p>
    <w:p w:rsidR="006847FE" w:rsidRDefault="006847FE" w:rsidP="006847FE">
      <w:r>
        <w:t>PAL PUBLIC RRP ATT 10.6 -RBA, Statement on Monetary Policy, November 2015.pdf</w:t>
      </w:r>
    </w:p>
    <w:p w:rsidR="006847FE" w:rsidRDefault="006847FE" w:rsidP="006847FE">
      <w:r>
        <w:t>PAL PUBLIC RRP ATT 10.61 -CEG, Measuring expected inflation for the PTRM, June 15.pdf</w:t>
      </w:r>
    </w:p>
    <w:p w:rsidR="006847FE" w:rsidRDefault="006847FE" w:rsidP="006847FE">
      <w:r>
        <w:t>PAL PUBLIC RRP ATT 10.62 -AER, Final Decision, AP AusNet transmission determination 2008-09 to 2013-14, January 2008.pdf</w:t>
      </w:r>
    </w:p>
    <w:p w:rsidR="006847FE" w:rsidRDefault="006847FE" w:rsidP="006847FE">
      <w:r>
        <w:t>PAL PUBLIC RRP ATT 10.63 -Handley, Advice on AER energy network determination for JGN, May 2015.pdf</w:t>
      </w:r>
    </w:p>
    <w:p w:rsidR="006847FE" w:rsidRDefault="006847FE" w:rsidP="006847FE">
      <w:r>
        <w:t>PAL PUBLIC RRP ATT 10.64 -Alberta Utilities Commission, Generic Cost of Capital, December 2011.pdf</w:t>
      </w:r>
    </w:p>
    <w:p w:rsidR="006847FE" w:rsidRDefault="006847FE" w:rsidP="006847FE">
      <w:r>
        <w:lastRenderedPageBreak/>
        <w:t>PAL PUBLIC RRP ATT 10.65 -AER, Rate of return guideline, Equity beta issues paper, October 2013.PDF</w:t>
      </w:r>
    </w:p>
    <w:p w:rsidR="006847FE" w:rsidRDefault="006847FE" w:rsidP="006847FE">
      <w:r>
        <w:t>PAL PUBLIC RRP ATT 10.66 -Statement by Ronald Knecht, 19 June 2015.pdf</w:t>
      </w:r>
    </w:p>
    <w:p w:rsidR="006847FE" w:rsidRDefault="006847FE" w:rsidP="006847FE">
      <w:r>
        <w:t>PAL PUBLIC RRP ATT 10.67 -Frontier, Key issues in estimating the return on equity for the BEE, June 2015.pdf</w:t>
      </w:r>
    </w:p>
    <w:p w:rsidR="006847FE" w:rsidRDefault="006847FE" w:rsidP="006847FE">
      <w:r>
        <w:t>PAL PUBLIC RRP ATT 10.68 -NERA, Cost of Equity, June 2015.pdf</w:t>
      </w:r>
    </w:p>
    <w:p w:rsidR="006847FE" w:rsidRDefault="006847FE" w:rsidP="006847FE">
      <w:r>
        <w:t>PAL PUBLIC RRP ATT 10.69 -NERA, Dist and Redemp Rates Response to the AERs decisions for the NSW and ACT, June 2015.pdf</w:t>
      </w:r>
    </w:p>
    <w:p w:rsidR="006847FE" w:rsidRDefault="006847FE" w:rsidP="006847FE">
      <w:r>
        <w:t>PAL PUBLIC RRP ATT 10.7 House of Assembly Hansard, 9 February 2005.pdf</w:t>
      </w:r>
    </w:p>
    <w:p w:rsidR="006847FE" w:rsidRDefault="006847FE" w:rsidP="006847FE">
      <w:r>
        <w:t>PAL PUBLIC RRP ATT 10.7 -Frontier, An appropriate regulatory estimate of gamma, June 2015.pdf</w:t>
      </w:r>
    </w:p>
    <w:p w:rsidR="006847FE" w:rsidRDefault="006847FE" w:rsidP="006847FE">
      <w:r>
        <w:t>PAL PUBLIC RRP ATT 10.71 -Brattle Group, The WACC for the Dutch TSOs, DSOs, water companies and the DPO, March 2013.pdf</w:t>
      </w:r>
    </w:p>
    <w:p w:rsidR="006847FE" w:rsidRDefault="006847FE" w:rsidP="006847FE">
      <w:r>
        <w:t>PAL PUBLIC RRP ATT 10.72 -FTI, Cost of capital study for the RIIO-T1 and GD1 price controls, July 2012.pdf</w:t>
      </w:r>
    </w:p>
    <w:p w:rsidR="006847FE" w:rsidRDefault="006847FE" w:rsidP="006847FE">
      <w:r>
        <w:t>PAL PUBLIC RRP ATT 10.73 -Samuel, Grant Samuel response to AER draft decision, January 2015.pdf</w:t>
      </w:r>
    </w:p>
    <w:p w:rsidR="006847FE" w:rsidRDefault="006847FE" w:rsidP="006847FE">
      <w:r>
        <w:t>PAL PUBLIC RRP ATT 10.74 -Ofgem,RIIO-T1, 17 Dec 2012.pdf</w:t>
      </w:r>
    </w:p>
    <w:p w:rsidR="006847FE" w:rsidRDefault="006847FE" w:rsidP="006847FE">
      <w:r>
        <w:t>PAL PUBLIC RRP ATT 10.75 -PwC, Appreciating Value New Zealand, June 2014.pdf</w:t>
      </w:r>
    </w:p>
    <w:p w:rsidR="006847FE" w:rsidRDefault="006847FE" w:rsidP="006847FE">
      <w:r>
        <w:t>PAL PUBLIC RRP ATT 10.76 -CEG, Efficient Debt Financing Costs, 19 January 2015.pdf</w:t>
      </w:r>
    </w:p>
    <w:p w:rsidR="006847FE" w:rsidRDefault="006847FE" w:rsidP="006847FE">
      <w:r>
        <w:t>PAL PUBLIC RRP ATT 10.77 -Lally, Review of the submissions on transition issues for the cost of debt, October 2015.PDF</w:t>
      </w:r>
    </w:p>
    <w:p w:rsidR="006847FE" w:rsidRDefault="006847FE" w:rsidP="006847FE">
      <w:r>
        <w:t>PAL PUBLIC RRP ATT 10.78 -Lally, cost of debt and the TAMRP for UCLL and UBA services, June 2014.pdf</w:t>
      </w:r>
    </w:p>
    <w:p w:rsidR="006847FE" w:rsidRDefault="006847FE" w:rsidP="006847FE">
      <w:r>
        <w:t>PAL PUBLIC RRP ATT 10.79 -RBA, Statement on the Conduct of Monetary Policy, 1996.pdf</w:t>
      </w:r>
    </w:p>
    <w:p w:rsidR="006847FE" w:rsidRDefault="006847FE" w:rsidP="006847FE">
      <w:r>
        <w:t>PAL PUBLIC RRP ATT 10.8 ACCC, Estimating the Cost of Debt, A Possible Way Forward, April 2013.pdf</w:t>
      </w:r>
    </w:p>
    <w:p w:rsidR="006847FE" w:rsidRDefault="006847FE" w:rsidP="006847FE">
      <w:r>
        <w:t>PAL PUBLIC RRP ATT 10.8 -Rosenberg, Maurer, Signal or Noise, July 2008.pdf</w:t>
      </w:r>
    </w:p>
    <w:p w:rsidR="006847FE" w:rsidRDefault="006847FE" w:rsidP="006847FE">
      <w:r>
        <w:t>PAL PUBLIC RRP ATT 10.81 -Statement of Sim Buck Khim, undated.pdf</w:t>
      </w:r>
    </w:p>
    <w:p w:rsidR="006847FE" w:rsidRDefault="006847FE" w:rsidP="006847FE">
      <w:r>
        <w:t>PAL PUBLIC RRP ATT 10.82 -JIA, Submission on the explanatory statement. WACC review, February 2009.pdf</w:t>
      </w:r>
    </w:p>
    <w:p w:rsidR="006847FE" w:rsidRDefault="006847FE" w:rsidP="006847FE">
      <w:r>
        <w:t>PAL PUBLIC RRP ATT 10.83 -NERA, Hedging for regulated businesses, April 2007.pdf</w:t>
      </w:r>
    </w:p>
    <w:p w:rsidR="006847FE" w:rsidRDefault="006847FE" w:rsidP="006847FE">
      <w:r>
        <w:t>PAL PUBLIC RRP ATT 10.84 -AER, draft decision, TransGrid transmission determination 2015-16 to 2017-18, Nov 2014.pdf</w:t>
      </w:r>
    </w:p>
    <w:p w:rsidR="006847FE" w:rsidRDefault="006847FE" w:rsidP="006847FE">
      <w:r>
        <w:t>PAL PUBLIC RRP ATT 10.85 -Wright, Smithers, The cost of equity capital for regulated companies, review of Ofgem, 2014.pdf</w:t>
      </w:r>
    </w:p>
    <w:p w:rsidR="006847FE" w:rsidRDefault="006847FE" w:rsidP="006847FE">
      <w:r>
        <w:lastRenderedPageBreak/>
        <w:t>PAL PUBLIC RRP ATT 10.86 -Partington, Satchell, Report to the AER, October 2015.PDF</w:t>
      </w:r>
    </w:p>
    <w:p w:rsidR="006847FE" w:rsidRDefault="006847FE" w:rsidP="006847FE">
      <w:r>
        <w:t>PAL PUBLIC RRP ATT 10.87 -Lonergan Edwards, Independent expert report for Stanmore Coal Limited, October 2012.pdf</w:t>
      </w:r>
    </w:p>
    <w:p w:rsidR="006847FE" w:rsidRDefault="006847FE" w:rsidP="006847FE">
      <w:r>
        <w:t>PAL PUBLIC RRP ATT 10.88 -Dobbs, Koller, Lund, What effect has quantitative easing had on your share price, 2014.pdf</w:t>
      </w:r>
    </w:p>
    <w:p w:rsidR="006847FE" w:rsidRDefault="006847FE" w:rsidP="006847FE">
      <w:r>
        <w:t>PAL PUBLIC RRP ATT 10.89 -NERA, The relation between the market risk premium and risk-free rate.pdf</w:t>
      </w:r>
    </w:p>
    <w:p w:rsidR="006847FE" w:rsidRDefault="006847FE" w:rsidP="006847FE">
      <w:r>
        <w:t>PAL PUBLIC RRP ATT 10.9 McKenzie,  Partington, Report to the AER, Part A, Return on Equity, October 2014.pdf</w:t>
      </w:r>
    </w:p>
    <w:p w:rsidR="006847FE" w:rsidRDefault="006847FE" w:rsidP="006847FE">
      <w:r>
        <w:t>PAL PUBLIC RRP ATT 10.92 -Roll, A critique of the asset pricing theorys tests part I, 1977.pdf</w:t>
      </w:r>
    </w:p>
    <w:p w:rsidR="006847FE" w:rsidRDefault="006847FE" w:rsidP="006847FE">
      <w:r>
        <w:t>PAL PUBLIC RRP ATT 10.93 -Partington, Satchell, Report to the AER, Return of equity, May 2015.pdf</w:t>
      </w:r>
    </w:p>
    <w:p w:rsidR="006847FE" w:rsidRDefault="006847FE" w:rsidP="006847FE">
      <w:r>
        <w:t>PAL PUBLIC RRP ATT 10.94 -Campbell, Vuolteenaho, Bad beta, good beta, 2003.pdf</w:t>
      </w:r>
    </w:p>
    <w:p w:rsidR="006847FE" w:rsidRDefault="006847FE" w:rsidP="006847FE">
      <w:r>
        <w:t>PAL PUBLIC RRP ATT 10.96 -NERA, The market risk premium, Analysis in response to the AERs guideline, Oct 2013.pdf</w:t>
      </w:r>
    </w:p>
    <w:p w:rsidR="006847FE" w:rsidRDefault="006847FE" w:rsidP="006847FE">
      <w:r>
        <w:t>PAL PUBLIC RRP ATT 10.97 -NERA, Prevailing conditions and the market risk premium, March 2012.pdf</w:t>
      </w:r>
    </w:p>
    <w:p w:rsidR="006847FE" w:rsidRDefault="006847FE" w:rsidP="006847FE">
      <w:r>
        <w:t>PAL PUBLIC RRP ATT 10.98 -Lally, The cost of equity and the market risk premium, 25 July 2012.pdf</w:t>
      </w:r>
    </w:p>
    <w:p w:rsidR="006847FE" w:rsidRDefault="006847FE" w:rsidP="006847FE">
      <w:r>
        <w:t>PAL PUBLIC RRP ATT 10.99 -McKenzie Partington, Report to Corrs Chambers Westgarth, 21 December 2011.pdf</w:t>
      </w:r>
    </w:p>
    <w:p w:rsidR="006847FE" w:rsidRDefault="006847FE" w:rsidP="006847FE">
      <w:r>
        <w:t>PAL PUBLIC RRP ATT 11.1 AER, Better Regulation, Shared Asset Guideline, November 2013.pdf</w:t>
      </w:r>
    </w:p>
    <w:p w:rsidR="006847FE" w:rsidRDefault="006847FE" w:rsidP="006847FE">
      <w:r>
        <w:t>PAL PUBLIC RRP ATT 12.1 AER, Errors in distribution determination for Powercor regarding STPIS, November 2015.pdf</w:t>
      </w:r>
    </w:p>
    <w:p w:rsidR="006847FE" w:rsidRDefault="006847FE" w:rsidP="006847FE">
      <w:r>
        <w:t>PAL PUBLIC RRP ATT 12.2 ACIL Allen, RIS Bushfire Mitigation Regulations, November 2015.pdf</w:t>
      </w:r>
    </w:p>
    <w:p w:rsidR="006847FE" w:rsidRDefault="006847FE" w:rsidP="006847FE">
      <w:r>
        <w:t>PAL PUBLIC RRP ATT 12.3 Ofgem, Electricity Network Innovation Competition, December 2015.pdf</w:t>
      </w:r>
    </w:p>
    <w:p w:rsidR="006847FE" w:rsidRDefault="006847FE" w:rsidP="006847FE">
      <w:r>
        <w:t>PAL PUBLIC RRP ATT 13.1 -Target area 21, basemap with feeders.jpg</w:t>
      </w:r>
    </w:p>
    <w:p w:rsidR="006847FE" w:rsidRDefault="006847FE" w:rsidP="006847FE">
      <w:r>
        <w:t>PAL PUBLIC RRP ATT 13.11 -Target area 29, basemap with feeders.jpg</w:t>
      </w:r>
    </w:p>
    <w:p w:rsidR="006847FE" w:rsidRDefault="006847FE" w:rsidP="006847FE">
      <w:r>
        <w:t>PAL PUBLIC RRP ATT 13.12 ô Powercor, Response to Regulatory Impact Statement, 30 December 2015.pdf</w:t>
      </w:r>
    </w:p>
    <w:p w:rsidR="006847FE" w:rsidRDefault="006847FE" w:rsidP="006847FE">
      <w:r>
        <w:t>PAL PUBLIC RRP ATT 13.2 Target area 3, basemap with feeders.jpg</w:t>
      </w:r>
    </w:p>
    <w:p w:rsidR="006847FE" w:rsidRDefault="006847FE" w:rsidP="006847FE">
      <w:r>
        <w:t>PAL PUBLIC RRP ATT 13.3 Target area 4, basemap with feeders.jpg</w:t>
      </w:r>
    </w:p>
    <w:p w:rsidR="006847FE" w:rsidRDefault="006847FE" w:rsidP="006847FE">
      <w:r>
        <w:t>PAL PUBLIC RRP ATT 13.4 Target area 6, basemap with feeders.jpg</w:t>
      </w:r>
    </w:p>
    <w:p w:rsidR="006847FE" w:rsidRDefault="006847FE" w:rsidP="006847FE">
      <w:r>
        <w:lastRenderedPageBreak/>
        <w:t>PAL PUBLIC RRP ATT 13.5 Target area 7, basemap with feeders.jpg</w:t>
      </w:r>
    </w:p>
    <w:p w:rsidR="006847FE" w:rsidRDefault="006847FE" w:rsidP="006847FE">
      <w:r>
        <w:t>PAL PUBLIC RRP ATT 13.6 Target area 11, basemap with feeders.jpg</w:t>
      </w:r>
    </w:p>
    <w:p w:rsidR="006847FE" w:rsidRDefault="006847FE" w:rsidP="006847FE">
      <w:r>
        <w:t>PAL PUBLIC RRP ATT 13.7 Target area 12, basemap with feeders.jpg</w:t>
      </w:r>
    </w:p>
    <w:p w:rsidR="006847FE" w:rsidRDefault="006847FE" w:rsidP="006847FE">
      <w:r>
        <w:t>PAL PUBLIC RRP ATT 13.8 Target area 16, basemap with feeders.jpg</w:t>
      </w:r>
    </w:p>
    <w:p w:rsidR="006847FE" w:rsidRDefault="006847FE" w:rsidP="006847FE">
      <w:r>
        <w:t>PAL PUBLIC RRP ATT 13.9 Target area 17, basemap with feeders.jpg</w:t>
      </w:r>
    </w:p>
    <w:p w:rsidR="006847FE" w:rsidRDefault="006847FE" w:rsidP="006847FE">
      <w:r>
        <w:t>PAL PUBLIC RRP ATT 14.1 Secure, Proposal for supply of Smart Meters BAU to PNS, August 2014.pdf</w:t>
      </w:r>
    </w:p>
    <w:p w:rsidR="006847FE" w:rsidRDefault="006847FE" w:rsidP="006847FE">
      <w:r>
        <w:t>PAL PUBLIC RRP ATT 14.2 Landis and Gyr, Request for Quotation, November 2014.pdf</w:t>
      </w:r>
    </w:p>
    <w:p w:rsidR="006847FE" w:rsidRDefault="006847FE" w:rsidP="006847FE">
      <w:r>
        <w:t>PAL PUBLIC RRP ATT 14.3 Energeia Review Review of VIC DNSP's AMI 2015 Charges Revision Applications,November 2014.pdf</w:t>
      </w:r>
    </w:p>
    <w:p w:rsidR="006847FE" w:rsidRDefault="006847FE" w:rsidP="006847FE">
      <w:r>
        <w:t>PAL PUBLIC RRP ATT 14.4 DEDJTR, Submission to Victorian electricity distribution pricing review GÇô 2016 to 2020, July 2015.pdf</w:t>
      </w:r>
    </w:p>
    <w:p w:rsidR="006847FE" w:rsidRDefault="006847FE" w:rsidP="006847FE">
      <w:r>
        <w:t>PAL PUBLIC RRP ATT 15.1 CitiPower and Powercor, RE Victorian public lighting reclassification, 14 August 2015.pdf</w:t>
      </w:r>
    </w:p>
    <w:p w:rsidR="006847FE" w:rsidRDefault="006847FE" w:rsidP="006847FE">
      <w:r>
        <w:t>PAL PUBLIC RRP ATT 13.1 -Email from A Cody (Powerline Replacement Fund - Project Manager) to Powercor, 12 October 2015.pdf</w:t>
      </w:r>
    </w:p>
    <w:p w:rsidR="006847FE" w:rsidRDefault="006847FE" w:rsidP="006847FE">
      <w:r>
        <w:t>PAL PUBLIC RRP ATT 7.1 -AER, Preliminary decision AusNet distribution determination, Capital expenditure, October 2015.pdf</w:t>
      </w:r>
    </w:p>
    <w:p w:rsidR="006847FE" w:rsidRDefault="006847FE" w:rsidP="006847FE">
      <w:r>
        <w:t>PAL PUBLIC RRP ATT 7.1 -Powercor, Distribution Annual Planning Report, December 2015.pdf</w:t>
      </w:r>
    </w:p>
    <w:p w:rsidR="006847FE" w:rsidRDefault="006847FE" w:rsidP="006847FE">
      <w:r>
        <w:t>PAL PUBLIC RRP ATT 7.12 -Powercor, TNA third transformer updated business case, December 2015.pdf</w:t>
      </w:r>
    </w:p>
    <w:p w:rsidR="006847FE" w:rsidRDefault="006847FE" w:rsidP="006847FE">
      <w:r>
        <w:t>PAL PUBLIC RRP ATT 7.13 -Powercor, WETS to RVL reconductor business case, December 2015.pdf</w:t>
      </w:r>
    </w:p>
    <w:p w:rsidR="006847FE" w:rsidRDefault="006847FE" w:rsidP="006847FE">
      <w:r>
        <w:t>PAL PUBLIC RRP ATT 7.14 -Powercor, HV Feeder Expenditure Review, November 2015.pdf</w:t>
      </w:r>
    </w:p>
    <w:p w:rsidR="006847FE" w:rsidRDefault="006847FE" w:rsidP="006847FE">
      <w:r>
        <w:t>PAL PUBLIC RRP ATT 7.15 -AusNet Services, Reset RIN templates, April 2015.xlsm</w:t>
      </w:r>
    </w:p>
    <w:p w:rsidR="006847FE" w:rsidRDefault="006847FE" w:rsidP="006847FE">
      <w:r>
        <w:t>PAL PUBLIC RRP ATT 7.16 -AER, Preliminary decision Powercor Repex (historical unit costs), October 2015.xlsm</w:t>
      </w:r>
    </w:p>
    <w:p w:rsidR="006847FE" w:rsidRDefault="006847FE" w:rsidP="006847FE">
      <w:r>
        <w:t>PAL PUBLIC RRP ATT 7.17 -AER, Preliminary decision - AusNet Services Repex (forecast unit costs), October 2015.xlsm</w:t>
      </w:r>
    </w:p>
    <w:sectPr w:rsidR="006847FE" w:rsidSect="00691616">
      <w:footerReference w:type="default" r:id="rId10"/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90" w:rsidRDefault="00091F90" w:rsidP="004B4412">
      <w:pPr>
        <w:spacing w:before="0"/>
      </w:pPr>
      <w:r>
        <w:separator/>
      </w:r>
    </w:p>
  </w:endnote>
  <w:endnote w:type="continuationSeparator" w:id="0">
    <w:p w:rsidR="00091F90" w:rsidRDefault="00091F9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92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F90" w:rsidRDefault="0009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F90" w:rsidRDefault="00091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90" w:rsidRDefault="00091F90" w:rsidP="004B4412">
      <w:pPr>
        <w:spacing w:before="0"/>
      </w:pPr>
      <w:r>
        <w:separator/>
      </w:r>
    </w:p>
  </w:footnote>
  <w:footnote w:type="continuationSeparator" w:id="0">
    <w:p w:rsidR="00091F90" w:rsidRDefault="00091F90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AER\Vic EDPR - 2016-20\Revised proposals - 6 Jan 2016\CitiPower\FOR WEB 7JAN2016\AER - CitiPower revised proposal unpublished documents - Jan 2016.docx"/>
  </w:docVars>
  <w:rsids>
    <w:rsidRoot w:val="00091F90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91F90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847FE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8F118C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90F21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C90F2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C90F2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FA433B-D45B-49C7-A361-5FB39D9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FE27B12</Template>
  <TotalTime>3</TotalTime>
  <Pages>17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Manahan, Jess</dc:creator>
  <cp:lastModifiedBy>Manahan, Jess</cp:lastModifiedBy>
  <cp:revision>3</cp:revision>
  <dcterms:created xsi:type="dcterms:W3CDTF">2016-01-07T08:30:00Z</dcterms:created>
  <dcterms:modified xsi:type="dcterms:W3CDTF">2016-01-07T08:32:00Z</dcterms:modified>
</cp:coreProperties>
</file>