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52777455"/>
        <w:docPartObj>
          <w:docPartGallery w:val="Cover Pages"/>
          <w:docPartUnique/>
        </w:docPartObj>
      </w:sdtPr>
      <w:sdtEndPr/>
      <w:sdtContent>
        <w:p w:rsidR="00207D22" w:rsidRDefault="00166F28" w:rsidP="00207D22">
          <w:pPr>
            <w:pStyle w:val="ReportTitle"/>
            <w:spacing w:before="4800"/>
            <w:ind w:left="360"/>
            <w:rPr>
              <w:noProof/>
              <w:lang w:eastAsia="en-AU"/>
            </w:rPr>
          </w:pPr>
          <w:r>
            <w:rPr>
              <w:noProof/>
              <w:lang w:eastAsia="en-AU"/>
            </w:rPr>
            <w:drawing>
              <wp:anchor distT="0" distB="0" distL="114300" distR="114300" simplePos="0" relativeHeight="251660288" behindDoc="1" locked="0" layoutInCell="1" allowOverlap="1" wp14:anchorId="018480AD" wp14:editId="53490B58">
                <wp:simplePos x="0" y="0"/>
                <wp:positionH relativeFrom="column">
                  <wp:posOffset>-933450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197A0D">
            <w:rPr>
              <w:noProof/>
              <w:lang w:eastAsia="en-AU"/>
            </w:rPr>
            <w:t xml:space="preserve">Notice of </w:t>
          </w:r>
          <w:r w:rsidR="00E01B54">
            <w:rPr>
              <w:noProof/>
              <w:lang w:eastAsia="en-AU"/>
            </w:rPr>
            <w:t>draft</w:t>
          </w:r>
          <w:r w:rsidR="00197A0D">
            <w:rPr>
              <w:noProof/>
              <w:lang w:eastAsia="en-AU"/>
            </w:rPr>
            <w:t xml:space="preserve"> instrument</w:t>
          </w:r>
        </w:p>
        <w:p w:rsidR="002956ED" w:rsidRPr="002956ED" w:rsidRDefault="00197A0D" w:rsidP="00207D22">
          <w:pPr>
            <w:pStyle w:val="ReportTitle"/>
            <w:spacing w:before="4800"/>
            <w:ind w:left="360"/>
            <w:rPr>
              <w:noProof/>
              <w:lang w:eastAsia="en-AU"/>
            </w:rPr>
          </w:pPr>
          <w:r>
            <w:rPr>
              <w:noProof/>
            </w:rPr>
            <w:t>Amendments to AER Compliance Procedures and Guidelines</w:t>
          </w:r>
        </w:p>
        <w:p w:rsidR="00847401" w:rsidRPr="00197A0D" w:rsidRDefault="00B37186" w:rsidP="00197A0D">
          <w:pPr>
            <w:pStyle w:val="ReportDate"/>
            <w:spacing w:before="360" w:after="6240"/>
            <w:ind w:left="360"/>
            <w:rPr>
              <w:b/>
            </w:rPr>
            <w:sectPr w:rsidR="00847401" w:rsidRPr="00197A0D" w:rsidSect="00C95315">
              <w:footerReference w:type="default" r:id="rId10"/>
              <w:pgSz w:w="11906" w:h="16838"/>
              <w:pgMar w:top="1440" w:right="1440" w:bottom="1440" w:left="1440" w:header="708" w:footer="708" w:gutter="0"/>
              <w:pgNumType w:start="0"/>
              <w:cols w:space="708"/>
              <w:titlePg/>
              <w:docGrid w:linePitch="360"/>
            </w:sectPr>
          </w:pPr>
          <w:r>
            <w:t xml:space="preserve">9 </w:t>
          </w:r>
          <w:r w:rsidR="007A136E">
            <w:t xml:space="preserve">December </w:t>
          </w:r>
          <w:r w:rsidR="00E01B54">
            <w:t>2016</w:t>
          </w:r>
        </w:p>
        <w:p w:rsidR="00EF456F" w:rsidRDefault="00421B18" w:rsidP="00E01B54">
          <w:pPr>
            <w:pStyle w:val="ReportTitle"/>
            <w:spacing w:before="5040"/>
          </w:pPr>
        </w:p>
      </w:sdtContent>
    </w:sdt>
    <w:p w:rsidR="00E01B54" w:rsidRDefault="00E01B54" w:rsidP="00E01B54">
      <w:pPr>
        <w:pStyle w:val="Copyright"/>
        <w:spacing w:before="3720"/>
      </w:pPr>
      <w:r>
        <w:t>© Commonwealth of Australia 2016</w:t>
      </w:r>
    </w:p>
    <w:p w:rsidR="00E01B54" w:rsidRDefault="00E01B54" w:rsidP="00E01B54">
      <w:pPr>
        <w:pStyle w:val="Copyright"/>
      </w:pPr>
      <w:r>
        <w:t>This work is copyright. In addition to any use permitted under the Copyright Act 1968, all material contained within this work is provided under a Creative Commons Attributions 3.0 Australia licence, with the exception of:</w:t>
      </w:r>
    </w:p>
    <w:p w:rsidR="00E01B54" w:rsidRDefault="00E01B54" w:rsidP="001D5901">
      <w:pPr>
        <w:pStyle w:val="StyleCopyrightBefore0pt"/>
        <w:numPr>
          <w:ilvl w:val="0"/>
          <w:numId w:val="10"/>
        </w:numPr>
      </w:pPr>
      <w:r>
        <w:t>the Commonwealth Coat of Arms</w:t>
      </w:r>
    </w:p>
    <w:p w:rsidR="00E01B54" w:rsidRDefault="00E01B54" w:rsidP="001D5901">
      <w:pPr>
        <w:pStyle w:val="StyleCopyrightBefore0pt"/>
        <w:numPr>
          <w:ilvl w:val="0"/>
          <w:numId w:val="10"/>
        </w:numPr>
      </w:pPr>
      <w:r>
        <w:t>the ACCC and AER logos</w:t>
      </w:r>
    </w:p>
    <w:p w:rsidR="00E01B54" w:rsidRPr="00B927D8" w:rsidRDefault="00E01B54" w:rsidP="001D5901">
      <w:pPr>
        <w:pStyle w:val="ListBullet"/>
        <w:numPr>
          <w:ilvl w:val="0"/>
          <w:numId w:val="10"/>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E01B54" w:rsidRDefault="00E01B54" w:rsidP="00E01B54">
      <w:pPr>
        <w:pStyle w:val="Copyright"/>
        <w:spacing w:before="120"/>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 xml:space="preserve">or </w:t>
      </w:r>
      <w:hyperlink r:id="rId11" w:history="1">
        <w:r w:rsidR="00AA7F0F" w:rsidRPr="0080203F">
          <w:rPr>
            <w:rStyle w:val="Hyperlink"/>
          </w:rPr>
          <w:t>publishing.unit@accc.gov.au</w:t>
        </w:r>
      </w:hyperlink>
      <w:r>
        <w:t>.</w:t>
      </w:r>
      <w:r w:rsidR="00AA7F0F">
        <w:t xml:space="preserve"> </w:t>
      </w:r>
    </w:p>
    <w:p w:rsidR="00E01B54" w:rsidRDefault="00AA7F0F" w:rsidP="00E01B54">
      <w:pPr>
        <w:pStyle w:val="Copyright"/>
      </w:pPr>
      <w:r>
        <w:br/>
      </w:r>
      <w:r w:rsidR="00E01B54">
        <w:t>Inquiries about this publication should be addressed to:</w:t>
      </w:r>
    </w:p>
    <w:p w:rsidR="00E01B54" w:rsidRDefault="00E01B54" w:rsidP="00E01B54">
      <w:pPr>
        <w:pStyle w:val="Copyright"/>
      </w:pPr>
      <w:r>
        <w:t xml:space="preserve">Australian Energy </w:t>
      </w:r>
      <w:r w:rsidRPr="00F171E0">
        <w:t>Regulator</w:t>
      </w:r>
      <w:r>
        <w:br/>
        <w:t>GPO Box 520</w:t>
      </w:r>
      <w:r>
        <w:br/>
      </w:r>
      <w:proofErr w:type="gramStart"/>
      <w:r>
        <w:t>Melbourne  Vic</w:t>
      </w:r>
      <w:proofErr w:type="gramEnd"/>
      <w:r>
        <w:t xml:space="preserve">  3001</w:t>
      </w:r>
    </w:p>
    <w:p w:rsidR="00E01B54" w:rsidRDefault="00E01B54" w:rsidP="00E01B54">
      <w:pPr>
        <w:pStyle w:val="Copyright"/>
      </w:pPr>
      <w:r>
        <w:t>Tel: (03) 9290 1444</w:t>
      </w:r>
      <w:r>
        <w:br/>
        <w:t>Fax: (03) 9290 1457</w:t>
      </w:r>
    </w:p>
    <w:p w:rsidR="00E01B54" w:rsidRPr="00951978" w:rsidRDefault="00E01B54" w:rsidP="00E01B54">
      <w:pPr>
        <w:pStyle w:val="Copyright"/>
        <w:rPr>
          <w:color w:val="0000FF"/>
          <w:sz w:val="22"/>
          <w:u w:val="single"/>
        </w:rPr>
      </w:pPr>
      <w:r>
        <w:t xml:space="preserve">Email: </w:t>
      </w:r>
      <w:hyperlink r:id="rId12" w:history="1">
        <w:r w:rsidRPr="00D64888">
          <w:rPr>
            <w:rStyle w:val="Hyperlink"/>
          </w:rPr>
          <w:t>AERInquiry@aer.gov.au</w:t>
        </w:r>
      </w:hyperlink>
      <w:r>
        <w:rPr>
          <w:rStyle w:val="Hyperlink"/>
        </w:rPr>
        <w:br/>
      </w:r>
      <w:r>
        <w:t>AER Reference: 60458</w:t>
      </w:r>
    </w:p>
    <w:p w:rsidR="00EF456F" w:rsidRDefault="00EF456F" w:rsidP="009C613C"/>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080"/>
        <w:gridCol w:w="3081"/>
        <w:gridCol w:w="3081"/>
      </w:tblGrid>
      <w:tr w:rsidR="005875FD" w:rsidTr="005875FD">
        <w:trPr>
          <w:cnfStyle w:val="100000000000" w:firstRow="1" w:lastRow="0" w:firstColumn="0" w:lastColumn="0" w:oddVBand="0" w:evenVBand="0" w:oddHBand="0" w:evenHBand="0" w:firstRowFirstColumn="0" w:firstRowLastColumn="0" w:lastRowFirstColumn="0" w:lastRowLastColumn="0"/>
        </w:trPr>
        <w:tc>
          <w:tcPr>
            <w:tcW w:w="3080" w:type="dxa"/>
          </w:tcPr>
          <w:p w:rsidR="005875FD" w:rsidRDefault="005875FD">
            <w:pPr>
              <w:spacing w:before="0" w:after="200"/>
            </w:pPr>
            <w:r>
              <w:t>Version</w:t>
            </w:r>
          </w:p>
        </w:tc>
        <w:tc>
          <w:tcPr>
            <w:tcW w:w="3081" w:type="dxa"/>
          </w:tcPr>
          <w:p w:rsidR="005875FD" w:rsidRDefault="005875FD">
            <w:pPr>
              <w:spacing w:before="0" w:after="200"/>
            </w:pPr>
            <w:r>
              <w:t>Date</w:t>
            </w:r>
          </w:p>
        </w:tc>
        <w:tc>
          <w:tcPr>
            <w:tcW w:w="3081" w:type="dxa"/>
          </w:tcPr>
          <w:p w:rsidR="005875FD" w:rsidRDefault="005875FD">
            <w:pPr>
              <w:spacing w:before="0" w:after="200"/>
            </w:pPr>
            <w:r>
              <w:t>Pages</w:t>
            </w:r>
          </w:p>
        </w:tc>
      </w:tr>
      <w:tr w:rsidR="005875FD" w:rsidTr="005875FD">
        <w:tc>
          <w:tcPr>
            <w:tcW w:w="3080" w:type="dxa"/>
          </w:tcPr>
          <w:p w:rsidR="005875FD" w:rsidRDefault="00D31F1F">
            <w:pPr>
              <w:spacing w:before="0" w:after="200"/>
            </w:pPr>
            <w:r>
              <w:t>1.0</w:t>
            </w:r>
          </w:p>
        </w:tc>
        <w:tc>
          <w:tcPr>
            <w:tcW w:w="3081" w:type="dxa"/>
          </w:tcPr>
          <w:p w:rsidR="005875FD" w:rsidRPr="00B96495" w:rsidRDefault="00B37186">
            <w:pPr>
              <w:spacing w:before="0" w:after="200"/>
              <w:rPr>
                <w:highlight w:val="green"/>
              </w:rPr>
            </w:pPr>
            <w:r w:rsidRPr="00B37186">
              <w:t>9</w:t>
            </w:r>
            <w:r w:rsidR="007A136E" w:rsidRPr="00B37186">
              <w:t xml:space="preserve"> December </w:t>
            </w:r>
            <w:r w:rsidR="00E01B54" w:rsidRPr="00B37186">
              <w:t>2016</w:t>
            </w:r>
          </w:p>
        </w:tc>
        <w:tc>
          <w:tcPr>
            <w:tcW w:w="3081" w:type="dxa"/>
          </w:tcPr>
          <w:p w:rsidR="005875FD" w:rsidRPr="00B96495" w:rsidRDefault="005875FD">
            <w:pPr>
              <w:spacing w:before="0" w:after="200"/>
              <w:rPr>
                <w:highlight w:val="green"/>
              </w:rPr>
            </w:pPr>
          </w:p>
        </w:tc>
      </w:tr>
    </w:tbl>
    <w:sdt>
      <w:sdtPr>
        <w:rPr>
          <w:rFonts w:cstheme="minorBidi"/>
          <w:b w:val="0"/>
          <w:color w:val="auto"/>
          <w:sz w:val="22"/>
          <w:szCs w:val="22"/>
        </w:rPr>
        <w:id w:val="1632598432"/>
        <w:docPartObj>
          <w:docPartGallery w:val="Table of Contents"/>
          <w:docPartUnique/>
        </w:docPartObj>
      </w:sdtPr>
      <w:sdtEndPr>
        <w:rPr>
          <w:bCs/>
          <w:noProof/>
        </w:rPr>
      </w:sdtEndPr>
      <w:sdtContent>
        <w:p w:rsidR="00A117E4" w:rsidRDefault="00A117E4">
          <w:pPr>
            <w:pStyle w:val="TOCHeading"/>
          </w:pPr>
          <w:r>
            <w:t>Table of Contents</w:t>
          </w:r>
        </w:p>
        <w:p w:rsidR="00421B18" w:rsidRDefault="00A117E4">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469301457" w:history="1">
            <w:r w:rsidR="00421B18" w:rsidRPr="005242EE">
              <w:rPr>
                <w:rStyle w:val="Hyperlink"/>
                <w:noProof/>
              </w:rPr>
              <w:t>1</w:t>
            </w:r>
            <w:r w:rsidR="00421B18">
              <w:rPr>
                <w:rFonts w:asciiTheme="minorHAnsi" w:eastAsiaTheme="minorEastAsia" w:hAnsiTheme="minorHAnsi"/>
                <w:b w:val="0"/>
                <w:noProof/>
                <w:color w:val="auto"/>
                <w:sz w:val="22"/>
                <w:lang w:eastAsia="en-AU"/>
              </w:rPr>
              <w:tab/>
            </w:r>
            <w:r w:rsidR="00421B18" w:rsidRPr="005242EE">
              <w:rPr>
                <w:rStyle w:val="Hyperlink"/>
                <w:noProof/>
              </w:rPr>
              <w:t>Overview</w:t>
            </w:r>
            <w:r w:rsidR="00421B18">
              <w:rPr>
                <w:noProof/>
                <w:webHidden/>
              </w:rPr>
              <w:tab/>
            </w:r>
            <w:r w:rsidR="00421B18">
              <w:rPr>
                <w:noProof/>
                <w:webHidden/>
              </w:rPr>
              <w:fldChar w:fldCharType="begin"/>
            </w:r>
            <w:r w:rsidR="00421B18">
              <w:rPr>
                <w:noProof/>
                <w:webHidden/>
              </w:rPr>
              <w:instrText xml:space="preserve"> PAGEREF _Toc469301457 \h </w:instrText>
            </w:r>
            <w:r w:rsidR="00421B18">
              <w:rPr>
                <w:noProof/>
                <w:webHidden/>
              </w:rPr>
            </w:r>
            <w:r w:rsidR="00421B18">
              <w:rPr>
                <w:noProof/>
                <w:webHidden/>
              </w:rPr>
              <w:fldChar w:fldCharType="separate"/>
            </w:r>
            <w:r w:rsidR="00421B18">
              <w:rPr>
                <w:noProof/>
                <w:webHidden/>
              </w:rPr>
              <w:t>2</w:t>
            </w:r>
            <w:r w:rsidR="00421B18">
              <w:rPr>
                <w:noProof/>
                <w:webHidden/>
              </w:rPr>
              <w:fldChar w:fldCharType="end"/>
            </w:r>
          </w:hyperlink>
        </w:p>
        <w:p w:rsidR="00421B18" w:rsidRDefault="00421B18">
          <w:pPr>
            <w:pStyle w:val="TOC1"/>
            <w:rPr>
              <w:rFonts w:asciiTheme="minorHAnsi" w:eastAsiaTheme="minorEastAsia" w:hAnsiTheme="minorHAnsi"/>
              <w:b w:val="0"/>
              <w:noProof/>
              <w:color w:val="auto"/>
              <w:sz w:val="22"/>
              <w:lang w:eastAsia="en-AU"/>
            </w:rPr>
          </w:pPr>
          <w:hyperlink w:anchor="_Toc469301458" w:history="1">
            <w:r w:rsidRPr="005242EE">
              <w:rPr>
                <w:rStyle w:val="Hyperlink"/>
                <w:noProof/>
              </w:rPr>
              <w:t>2</w:t>
            </w:r>
            <w:r>
              <w:rPr>
                <w:rFonts w:asciiTheme="minorHAnsi" w:eastAsiaTheme="minorEastAsia" w:hAnsiTheme="minorHAnsi"/>
                <w:b w:val="0"/>
                <w:noProof/>
                <w:color w:val="auto"/>
                <w:sz w:val="22"/>
                <w:lang w:eastAsia="en-AU"/>
              </w:rPr>
              <w:tab/>
            </w:r>
            <w:r w:rsidRPr="005242EE">
              <w:rPr>
                <w:rStyle w:val="Hyperlink"/>
                <w:noProof/>
              </w:rPr>
              <w:t>Consultation process</w:t>
            </w:r>
            <w:r>
              <w:rPr>
                <w:noProof/>
                <w:webHidden/>
              </w:rPr>
              <w:tab/>
            </w:r>
            <w:r>
              <w:rPr>
                <w:noProof/>
                <w:webHidden/>
              </w:rPr>
              <w:fldChar w:fldCharType="begin"/>
            </w:r>
            <w:r>
              <w:rPr>
                <w:noProof/>
                <w:webHidden/>
              </w:rPr>
              <w:instrText xml:space="preserve"> PAGEREF _Toc469301458 \h </w:instrText>
            </w:r>
            <w:r>
              <w:rPr>
                <w:noProof/>
                <w:webHidden/>
              </w:rPr>
            </w:r>
            <w:r>
              <w:rPr>
                <w:noProof/>
                <w:webHidden/>
              </w:rPr>
              <w:fldChar w:fldCharType="separate"/>
            </w:r>
            <w:r>
              <w:rPr>
                <w:noProof/>
                <w:webHidden/>
              </w:rPr>
              <w:t>3</w:t>
            </w:r>
            <w:r>
              <w:rPr>
                <w:noProof/>
                <w:webHidden/>
              </w:rPr>
              <w:fldChar w:fldCharType="end"/>
            </w:r>
          </w:hyperlink>
        </w:p>
        <w:p w:rsidR="00421B18" w:rsidRDefault="00421B18">
          <w:pPr>
            <w:pStyle w:val="TOC1"/>
            <w:rPr>
              <w:rFonts w:asciiTheme="minorHAnsi" w:eastAsiaTheme="minorEastAsia" w:hAnsiTheme="minorHAnsi"/>
              <w:b w:val="0"/>
              <w:noProof/>
              <w:color w:val="auto"/>
              <w:sz w:val="22"/>
              <w:lang w:eastAsia="en-AU"/>
            </w:rPr>
          </w:pPr>
          <w:hyperlink w:anchor="_Toc469301459" w:history="1">
            <w:r w:rsidRPr="005242EE">
              <w:rPr>
                <w:rStyle w:val="Hyperlink"/>
                <w:noProof/>
              </w:rPr>
              <w:t>3</w:t>
            </w:r>
            <w:r>
              <w:rPr>
                <w:rFonts w:asciiTheme="minorHAnsi" w:eastAsiaTheme="minorEastAsia" w:hAnsiTheme="minorHAnsi"/>
                <w:b w:val="0"/>
                <w:noProof/>
                <w:color w:val="auto"/>
                <w:sz w:val="22"/>
                <w:lang w:eastAsia="en-AU"/>
              </w:rPr>
              <w:tab/>
            </w:r>
            <w:r w:rsidRPr="005242EE">
              <w:rPr>
                <w:rStyle w:val="Hyperlink"/>
                <w:noProof/>
              </w:rPr>
              <w:t>Background</w:t>
            </w:r>
            <w:r>
              <w:rPr>
                <w:noProof/>
                <w:webHidden/>
              </w:rPr>
              <w:tab/>
            </w:r>
            <w:r>
              <w:rPr>
                <w:noProof/>
                <w:webHidden/>
              </w:rPr>
              <w:fldChar w:fldCharType="begin"/>
            </w:r>
            <w:r>
              <w:rPr>
                <w:noProof/>
                <w:webHidden/>
              </w:rPr>
              <w:instrText xml:space="preserve"> PAGEREF _Toc469301459 \h </w:instrText>
            </w:r>
            <w:r>
              <w:rPr>
                <w:noProof/>
                <w:webHidden/>
              </w:rPr>
            </w:r>
            <w:r>
              <w:rPr>
                <w:noProof/>
                <w:webHidden/>
              </w:rPr>
              <w:fldChar w:fldCharType="separate"/>
            </w:r>
            <w:r>
              <w:rPr>
                <w:noProof/>
                <w:webHidden/>
              </w:rPr>
              <w:t>4</w:t>
            </w:r>
            <w:r>
              <w:rPr>
                <w:noProof/>
                <w:webHidden/>
              </w:rPr>
              <w:fldChar w:fldCharType="end"/>
            </w:r>
          </w:hyperlink>
        </w:p>
        <w:bookmarkStart w:id="0" w:name="_GoBack"/>
        <w:p w:rsidR="00421B18" w:rsidRDefault="00421B18">
          <w:pPr>
            <w:pStyle w:val="TOC2"/>
            <w:rPr>
              <w:rFonts w:asciiTheme="minorHAnsi" w:eastAsiaTheme="minorEastAsia" w:hAnsiTheme="minorHAnsi"/>
              <w:noProof/>
              <w:sz w:val="22"/>
              <w:lang w:eastAsia="en-AU"/>
            </w:rPr>
          </w:pPr>
          <w:r w:rsidRPr="005242EE">
            <w:rPr>
              <w:rStyle w:val="Hyperlink"/>
              <w:noProof/>
            </w:rPr>
            <w:fldChar w:fldCharType="begin"/>
          </w:r>
          <w:r w:rsidRPr="005242EE">
            <w:rPr>
              <w:rStyle w:val="Hyperlink"/>
              <w:noProof/>
            </w:rPr>
            <w:instrText xml:space="preserve"> </w:instrText>
          </w:r>
          <w:r>
            <w:rPr>
              <w:noProof/>
            </w:rPr>
            <w:instrText>HYPERLINK \l "_Toc469301460"</w:instrText>
          </w:r>
          <w:r w:rsidRPr="005242EE">
            <w:rPr>
              <w:rStyle w:val="Hyperlink"/>
              <w:noProof/>
            </w:rPr>
            <w:instrText xml:space="preserve"> </w:instrText>
          </w:r>
          <w:r w:rsidRPr="005242EE">
            <w:rPr>
              <w:rStyle w:val="Hyperlink"/>
              <w:noProof/>
            </w:rPr>
          </w:r>
          <w:r w:rsidRPr="005242EE">
            <w:rPr>
              <w:rStyle w:val="Hyperlink"/>
              <w:noProof/>
            </w:rPr>
            <w:fldChar w:fldCharType="separate"/>
          </w:r>
          <w:r w:rsidRPr="005242EE">
            <w:rPr>
              <w:rStyle w:val="Hyperlink"/>
              <w:noProof/>
            </w:rPr>
            <w:t>3.1</w:t>
          </w:r>
          <w:r>
            <w:rPr>
              <w:rFonts w:asciiTheme="minorHAnsi" w:eastAsiaTheme="minorEastAsia" w:hAnsiTheme="minorHAnsi"/>
              <w:noProof/>
              <w:sz w:val="22"/>
              <w:lang w:eastAsia="en-AU"/>
            </w:rPr>
            <w:tab/>
          </w:r>
          <w:r w:rsidRPr="005242EE">
            <w:rPr>
              <w:rStyle w:val="Hyperlink"/>
              <w:noProof/>
            </w:rPr>
            <w:t>Relevant provisions under the NERL</w:t>
          </w:r>
          <w:r>
            <w:rPr>
              <w:noProof/>
              <w:webHidden/>
            </w:rPr>
            <w:tab/>
          </w:r>
          <w:r>
            <w:rPr>
              <w:noProof/>
              <w:webHidden/>
            </w:rPr>
            <w:fldChar w:fldCharType="begin"/>
          </w:r>
          <w:r>
            <w:rPr>
              <w:noProof/>
              <w:webHidden/>
            </w:rPr>
            <w:instrText xml:space="preserve"> PAGEREF _Toc469301460 \h </w:instrText>
          </w:r>
          <w:r>
            <w:rPr>
              <w:noProof/>
              <w:webHidden/>
            </w:rPr>
          </w:r>
          <w:r>
            <w:rPr>
              <w:noProof/>
              <w:webHidden/>
            </w:rPr>
            <w:fldChar w:fldCharType="separate"/>
          </w:r>
          <w:r>
            <w:rPr>
              <w:noProof/>
              <w:webHidden/>
            </w:rPr>
            <w:t>4</w:t>
          </w:r>
          <w:r>
            <w:rPr>
              <w:noProof/>
              <w:webHidden/>
            </w:rPr>
            <w:fldChar w:fldCharType="end"/>
          </w:r>
          <w:r w:rsidRPr="005242EE">
            <w:rPr>
              <w:rStyle w:val="Hyperlink"/>
              <w:noProof/>
            </w:rPr>
            <w:fldChar w:fldCharType="end"/>
          </w:r>
        </w:p>
        <w:bookmarkEnd w:id="0"/>
        <w:p w:rsidR="00421B18" w:rsidRDefault="00421B18">
          <w:pPr>
            <w:pStyle w:val="TOC2"/>
            <w:rPr>
              <w:rFonts w:asciiTheme="minorHAnsi" w:eastAsiaTheme="minorEastAsia" w:hAnsiTheme="minorHAnsi"/>
              <w:noProof/>
              <w:sz w:val="22"/>
              <w:lang w:eastAsia="en-AU"/>
            </w:rPr>
          </w:pPr>
          <w:r w:rsidRPr="005242EE">
            <w:rPr>
              <w:rStyle w:val="Hyperlink"/>
              <w:noProof/>
            </w:rPr>
            <w:fldChar w:fldCharType="begin"/>
          </w:r>
          <w:r w:rsidRPr="005242EE">
            <w:rPr>
              <w:rStyle w:val="Hyperlink"/>
              <w:noProof/>
            </w:rPr>
            <w:instrText xml:space="preserve"> </w:instrText>
          </w:r>
          <w:r>
            <w:rPr>
              <w:noProof/>
            </w:rPr>
            <w:instrText>HYPERLINK \l "_Toc469301461"</w:instrText>
          </w:r>
          <w:r w:rsidRPr="005242EE">
            <w:rPr>
              <w:rStyle w:val="Hyperlink"/>
              <w:noProof/>
            </w:rPr>
            <w:instrText xml:space="preserve"> </w:instrText>
          </w:r>
          <w:r w:rsidRPr="005242EE">
            <w:rPr>
              <w:rStyle w:val="Hyperlink"/>
              <w:noProof/>
            </w:rPr>
          </w:r>
          <w:r w:rsidRPr="005242EE">
            <w:rPr>
              <w:rStyle w:val="Hyperlink"/>
              <w:noProof/>
            </w:rPr>
            <w:fldChar w:fldCharType="separate"/>
          </w:r>
          <w:r w:rsidRPr="005242EE">
            <w:rPr>
              <w:rStyle w:val="Hyperlink"/>
              <w:noProof/>
            </w:rPr>
            <w:t>3.2</w:t>
          </w:r>
          <w:r>
            <w:rPr>
              <w:rFonts w:asciiTheme="minorHAnsi" w:eastAsiaTheme="minorEastAsia" w:hAnsiTheme="minorHAnsi"/>
              <w:noProof/>
              <w:sz w:val="22"/>
              <w:lang w:eastAsia="en-AU"/>
            </w:rPr>
            <w:tab/>
          </w:r>
          <w:r w:rsidRPr="005242EE">
            <w:rPr>
              <w:rStyle w:val="Hyperlink"/>
              <w:noProof/>
            </w:rPr>
            <w:t>New rules</w:t>
          </w:r>
          <w:r>
            <w:rPr>
              <w:noProof/>
              <w:webHidden/>
            </w:rPr>
            <w:tab/>
          </w:r>
          <w:r>
            <w:rPr>
              <w:noProof/>
              <w:webHidden/>
            </w:rPr>
            <w:fldChar w:fldCharType="begin"/>
          </w:r>
          <w:r>
            <w:rPr>
              <w:noProof/>
              <w:webHidden/>
            </w:rPr>
            <w:instrText xml:space="preserve"> PAGEREF _Toc469301461 \h </w:instrText>
          </w:r>
          <w:r>
            <w:rPr>
              <w:noProof/>
              <w:webHidden/>
            </w:rPr>
          </w:r>
          <w:r>
            <w:rPr>
              <w:noProof/>
              <w:webHidden/>
            </w:rPr>
            <w:fldChar w:fldCharType="separate"/>
          </w:r>
          <w:r>
            <w:rPr>
              <w:noProof/>
              <w:webHidden/>
            </w:rPr>
            <w:t>5</w:t>
          </w:r>
          <w:r>
            <w:rPr>
              <w:noProof/>
              <w:webHidden/>
            </w:rPr>
            <w:fldChar w:fldCharType="end"/>
          </w:r>
          <w:r w:rsidRPr="005242EE">
            <w:rPr>
              <w:rStyle w:val="Hyperlink"/>
              <w:noProof/>
            </w:rPr>
            <w:fldChar w:fldCharType="end"/>
          </w:r>
        </w:p>
        <w:p w:rsidR="00421B18" w:rsidRDefault="00421B18">
          <w:pPr>
            <w:pStyle w:val="TOC1"/>
            <w:rPr>
              <w:rFonts w:asciiTheme="minorHAnsi" w:eastAsiaTheme="minorEastAsia" w:hAnsiTheme="minorHAnsi"/>
              <w:b w:val="0"/>
              <w:noProof/>
              <w:color w:val="auto"/>
              <w:sz w:val="22"/>
              <w:lang w:eastAsia="en-AU"/>
            </w:rPr>
          </w:pPr>
          <w:hyperlink w:anchor="_Toc469301462" w:history="1">
            <w:r w:rsidRPr="005242EE">
              <w:rPr>
                <w:rStyle w:val="Hyperlink"/>
                <w:noProof/>
              </w:rPr>
              <w:t>4</w:t>
            </w:r>
            <w:r>
              <w:rPr>
                <w:rFonts w:asciiTheme="minorHAnsi" w:eastAsiaTheme="minorEastAsia" w:hAnsiTheme="minorHAnsi"/>
                <w:b w:val="0"/>
                <w:noProof/>
                <w:color w:val="auto"/>
                <w:sz w:val="22"/>
                <w:lang w:eastAsia="en-AU"/>
              </w:rPr>
              <w:tab/>
            </w:r>
            <w:r w:rsidRPr="005242EE">
              <w:rPr>
                <w:rStyle w:val="Hyperlink"/>
                <w:noProof/>
              </w:rPr>
              <w:t>Review of the self-reporting framework</w:t>
            </w:r>
            <w:r>
              <w:rPr>
                <w:noProof/>
                <w:webHidden/>
              </w:rPr>
              <w:tab/>
            </w:r>
            <w:r>
              <w:rPr>
                <w:noProof/>
                <w:webHidden/>
              </w:rPr>
              <w:fldChar w:fldCharType="begin"/>
            </w:r>
            <w:r>
              <w:rPr>
                <w:noProof/>
                <w:webHidden/>
              </w:rPr>
              <w:instrText xml:space="preserve"> PAGEREF _Toc469301462 \h </w:instrText>
            </w:r>
            <w:r>
              <w:rPr>
                <w:noProof/>
                <w:webHidden/>
              </w:rPr>
            </w:r>
            <w:r>
              <w:rPr>
                <w:noProof/>
                <w:webHidden/>
              </w:rPr>
              <w:fldChar w:fldCharType="separate"/>
            </w:r>
            <w:r>
              <w:rPr>
                <w:noProof/>
                <w:webHidden/>
              </w:rPr>
              <w:t>7</w:t>
            </w:r>
            <w:r>
              <w:rPr>
                <w:noProof/>
                <w:webHidden/>
              </w:rPr>
              <w:fldChar w:fldCharType="end"/>
            </w:r>
          </w:hyperlink>
        </w:p>
        <w:p w:rsidR="00421B18" w:rsidRDefault="00421B18">
          <w:pPr>
            <w:pStyle w:val="TOC2"/>
            <w:rPr>
              <w:rFonts w:asciiTheme="minorHAnsi" w:eastAsiaTheme="minorEastAsia" w:hAnsiTheme="minorHAnsi"/>
              <w:noProof/>
              <w:sz w:val="22"/>
              <w:lang w:eastAsia="en-AU"/>
            </w:rPr>
          </w:pPr>
          <w:hyperlink w:anchor="_Toc469301463" w:history="1">
            <w:r w:rsidRPr="005242EE">
              <w:rPr>
                <w:rStyle w:val="Hyperlink"/>
                <w:noProof/>
              </w:rPr>
              <w:t>4.1</w:t>
            </w:r>
            <w:r>
              <w:rPr>
                <w:rFonts w:asciiTheme="minorHAnsi" w:eastAsiaTheme="minorEastAsia" w:hAnsiTheme="minorHAnsi"/>
                <w:noProof/>
                <w:sz w:val="22"/>
                <w:lang w:eastAsia="en-AU"/>
              </w:rPr>
              <w:tab/>
            </w:r>
            <w:r w:rsidRPr="005242EE">
              <w:rPr>
                <w:rStyle w:val="Hyperlink"/>
                <w:noProof/>
              </w:rPr>
              <w:t>AEMC rule changes</w:t>
            </w:r>
            <w:r>
              <w:rPr>
                <w:noProof/>
                <w:webHidden/>
              </w:rPr>
              <w:tab/>
            </w:r>
            <w:r>
              <w:rPr>
                <w:noProof/>
                <w:webHidden/>
              </w:rPr>
              <w:fldChar w:fldCharType="begin"/>
            </w:r>
            <w:r>
              <w:rPr>
                <w:noProof/>
                <w:webHidden/>
              </w:rPr>
              <w:instrText xml:space="preserve"> PAGEREF _Toc469301463 \h </w:instrText>
            </w:r>
            <w:r>
              <w:rPr>
                <w:noProof/>
                <w:webHidden/>
              </w:rPr>
            </w:r>
            <w:r>
              <w:rPr>
                <w:noProof/>
                <w:webHidden/>
              </w:rPr>
              <w:fldChar w:fldCharType="separate"/>
            </w:r>
            <w:r>
              <w:rPr>
                <w:noProof/>
                <w:webHidden/>
              </w:rPr>
              <w:t>7</w:t>
            </w:r>
            <w:r>
              <w:rPr>
                <w:noProof/>
                <w:webHidden/>
              </w:rPr>
              <w:fldChar w:fldCharType="end"/>
            </w:r>
          </w:hyperlink>
        </w:p>
        <w:p w:rsidR="00421B18" w:rsidRDefault="00421B18">
          <w:pPr>
            <w:pStyle w:val="TOC3"/>
            <w:rPr>
              <w:rFonts w:asciiTheme="minorHAnsi" w:eastAsiaTheme="minorEastAsia" w:hAnsiTheme="minorHAnsi"/>
              <w:noProof/>
              <w:lang w:eastAsia="en-AU"/>
            </w:rPr>
          </w:pPr>
          <w:hyperlink w:anchor="_Toc469301464" w:history="1">
            <w:r w:rsidRPr="005242EE">
              <w:rPr>
                <w:rStyle w:val="Hyperlink"/>
                <w:iCs/>
                <w:noProof/>
              </w:rPr>
              <w:t>4.1.1</w:t>
            </w:r>
            <w:r>
              <w:rPr>
                <w:rFonts w:asciiTheme="minorHAnsi" w:eastAsiaTheme="minorEastAsia" w:hAnsiTheme="minorHAnsi"/>
                <w:noProof/>
                <w:lang w:eastAsia="en-AU"/>
              </w:rPr>
              <w:tab/>
            </w:r>
            <w:r w:rsidRPr="005242EE">
              <w:rPr>
                <w:rStyle w:val="Hyperlink"/>
                <w:iCs/>
                <w:noProof/>
              </w:rPr>
              <w:t>Billing frequency rule change</w:t>
            </w:r>
            <w:r>
              <w:rPr>
                <w:noProof/>
                <w:webHidden/>
              </w:rPr>
              <w:tab/>
            </w:r>
            <w:r>
              <w:rPr>
                <w:noProof/>
                <w:webHidden/>
              </w:rPr>
              <w:fldChar w:fldCharType="begin"/>
            </w:r>
            <w:r>
              <w:rPr>
                <w:noProof/>
                <w:webHidden/>
              </w:rPr>
              <w:instrText xml:space="preserve"> PAGEREF _Toc469301464 \h </w:instrText>
            </w:r>
            <w:r>
              <w:rPr>
                <w:noProof/>
                <w:webHidden/>
              </w:rPr>
            </w:r>
            <w:r>
              <w:rPr>
                <w:noProof/>
                <w:webHidden/>
              </w:rPr>
              <w:fldChar w:fldCharType="separate"/>
            </w:r>
            <w:r>
              <w:rPr>
                <w:noProof/>
                <w:webHidden/>
              </w:rPr>
              <w:t>7</w:t>
            </w:r>
            <w:r>
              <w:rPr>
                <w:noProof/>
                <w:webHidden/>
              </w:rPr>
              <w:fldChar w:fldCharType="end"/>
            </w:r>
          </w:hyperlink>
        </w:p>
        <w:p w:rsidR="00421B18" w:rsidRDefault="00421B18">
          <w:pPr>
            <w:pStyle w:val="TOC3"/>
            <w:rPr>
              <w:rFonts w:asciiTheme="minorHAnsi" w:eastAsiaTheme="minorEastAsia" w:hAnsiTheme="minorHAnsi"/>
              <w:noProof/>
              <w:lang w:eastAsia="en-AU"/>
            </w:rPr>
          </w:pPr>
          <w:hyperlink w:anchor="_Toc469301465" w:history="1">
            <w:r w:rsidRPr="005242EE">
              <w:rPr>
                <w:rStyle w:val="Hyperlink"/>
                <w:iCs/>
                <w:noProof/>
              </w:rPr>
              <w:t>4.1.2</w:t>
            </w:r>
            <w:r>
              <w:rPr>
                <w:rFonts w:asciiTheme="minorHAnsi" w:eastAsiaTheme="minorEastAsia" w:hAnsiTheme="minorHAnsi"/>
                <w:noProof/>
                <w:lang w:eastAsia="en-AU"/>
              </w:rPr>
              <w:tab/>
            </w:r>
            <w:r w:rsidRPr="005242EE">
              <w:rPr>
                <w:rStyle w:val="Hyperlink"/>
                <w:iCs/>
                <w:noProof/>
              </w:rPr>
              <w:t>Metering rule change</w:t>
            </w:r>
            <w:r>
              <w:rPr>
                <w:noProof/>
                <w:webHidden/>
              </w:rPr>
              <w:tab/>
            </w:r>
            <w:r>
              <w:rPr>
                <w:noProof/>
                <w:webHidden/>
              </w:rPr>
              <w:fldChar w:fldCharType="begin"/>
            </w:r>
            <w:r>
              <w:rPr>
                <w:noProof/>
                <w:webHidden/>
              </w:rPr>
              <w:instrText xml:space="preserve"> PAGEREF _Toc469301465 \h </w:instrText>
            </w:r>
            <w:r>
              <w:rPr>
                <w:noProof/>
                <w:webHidden/>
              </w:rPr>
            </w:r>
            <w:r>
              <w:rPr>
                <w:noProof/>
                <w:webHidden/>
              </w:rPr>
              <w:fldChar w:fldCharType="separate"/>
            </w:r>
            <w:r>
              <w:rPr>
                <w:noProof/>
                <w:webHidden/>
              </w:rPr>
              <w:t>8</w:t>
            </w:r>
            <w:r>
              <w:rPr>
                <w:noProof/>
                <w:webHidden/>
              </w:rPr>
              <w:fldChar w:fldCharType="end"/>
            </w:r>
          </w:hyperlink>
        </w:p>
        <w:p w:rsidR="00421B18" w:rsidRDefault="00421B18">
          <w:pPr>
            <w:pStyle w:val="TOC3"/>
            <w:rPr>
              <w:rFonts w:asciiTheme="minorHAnsi" w:eastAsiaTheme="minorEastAsia" w:hAnsiTheme="minorHAnsi"/>
              <w:noProof/>
              <w:lang w:eastAsia="en-AU"/>
            </w:rPr>
          </w:pPr>
          <w:hyperlink w:anchor="_Toc469301466" w:history="1">
            <w:r w:rsidRPr="005242EE">
              <w:rPr>
                <w:rStyle w:val="Hyperlink"/>
                <w:iCs/>
                <w:noProof/>
              </w:rPr>
              <w:t>4.1.3</w:t>
            </w:r>
            <w:r>
              <w:rPr>
                <w:rFonts w:asciiTheme="minorHAnsi" w:eastAsiaTheme="minorEastAsia" w:hAnsiTheme="minorHAnsi"/>
                <w:noProof/>
                <w:lang w:eastAsia="en-AU"/>
              </w:rPr>
              <w:tab/>
            </w:r>
            <w:r w:rsidRPr="005242EE">
              <w:rPr>
                <w:rStyle w:val="Hyperlink"/>
                <w:iCs/>
                <w:noProof/>
              </w:rPr>
              <w:t>Energy consumption information rule change</w:t>
            </w:r>
            <w:r>
              <w:rPr>
                <w:noProof/>
                <w:webHidden/>
              </w:rPr>
              <w:tab/>
            </w:r>
            <w:r>
              <w:rPr>
                <w:noProof/>
                <w:webHidden/>
              </w:rPr>
              <w:fldChar w:fldCharType="begin"/>
            </w:r>
            <w:r>
              <w:rPr>
                <w:noProof/>
                <w:webHidden/>
              </w:rPr>
              <w:instrText xml:space="preserve"> PAGEREF _Toc469301466 \h </w:instrText>
            </w:r>
            <w:r>
              <w:rPr>
                <w:noProof/>
                <w:webHidden/>
              </w:rPr>
            </w:r>
            <w:r>
              <w:rPr>
                <w:noProof/>
                <w:webHidden/>
              </w:rPr>
              <w:fldChar w:fldCharType="separate"/>
            </w:r>
            <w:r>
              <w:rPr>
                <w:noProof/>
                <w:webHidden/>
              </w:rPr>
              <w:t>10</w:t>
            </w:r>
            <w:r>
              <w:rPr>
                <w:noProof/>
                <w:webHidden/>
              </w:rPr>
              <w:fldChar w:fldCharType="end"/>
            </w:r>
          </w:hyperlink>
        </w:p>
        <w:p w:rsidR="00421B18" w:rsidRDefault="00421B18">
          <w:pPr>
            <w:pStyle w:val="TOC2"/>
            <w:rPr>
              <w:rFonts w:asciiTheme="minorHAnsi" w:eastAsiaTheme="minorEastAsia" w:hAnsiTheme="minorHAnsi"/>
              <w:noProof/>
              <w:sz w:val="22"/>
              <w:lang w:eastAsia="en-AU"/>
            </w:rPr>
          </w:pPr>
          <w:hyperlink w:anchor="_Toc469301467" w:history="1">
            <w:r w:rsidRPr="005242EE">
              <w:rPr>
                <w:rStyle w:val="Hyperlink"/>
                <w:noProof/>
              </w:rPr>
              <w:t>4.2</w:t>
            </w:r>
            <w:r>
              <w:rPr>
                <w:rFonts w:asciiTheme="minorHAnsi" w:eastAsiaTheme="minorEastAsia" w:hAnsiTheme="minorHAnsi"/>
                <w:noProof/>
                <w:sz w:val="22"/>
                <w:lang w:eastAsia="en-AU"/>
              </w:rPr>
              <w:tab/>
            </w:r>
            <w:r w:rsidRPr="005242EE">
              <w:rPr>
                <w:rStyle w:val="Hyperlink"/>
                <w:noProof/>
              </w:rPr>
              <w:t>Classification of obligations and timing of reports</w:t>
            </w:r>
            <w:r>
              <w:rPr>
                <w:noProof/>
                <w:webHidden/>
              </w:rPr>
              <w:tab/>
            </w:r>
            <w:r>
              <w:rPr>
                <w:noProof/>
                <w:webHidden/>
              </w:rPr>
              <w:fldChar w:fldCharType="begin"/>
            </w:r>
            <w:r>
              <w:rPr>
                <w:noProof/>
                <w:webHidden/>
              </w:rPr>
              <w:instrText xml:space="preserve"> PAGEREF _Toc469301467 \h </w:instrText>
            </w:r>
            <w:r>
              <w:rPr>
                <w:noProof/>
                <w:webHidden/>
              </w:rPr>
            </w:r>
            <w:r>
              <w:rPr>
                <w:noProof/>
                <w:webHidden/>
              </w:rPr>
              <w:fldChar w:fldCharType="separate"/>
            </w:r>
            <w:r>
              <w:rPr>
                <w:noProof/>
                <w:webHidden/>
              </w:rPr>
              <w:t>11</w:t>
            </w:r>
            <w:r>
              <w:rPr>
                <w:noProof/>
                <w:webHidden/>
              </w:rPr>
              <w:fldChar w:fldCharType="end"/>
            </w:r>
          </w:hyperlink>
        </w:p>
        <w:p w:rsidR="00421B18" w:rsidRDefault="00421B18">
          <w:pPr>
            <w:pStyle w:val="TOC3"/>
            <w:rPr>
              <w:rFonts w:asciiTheme="minorHAnsi" w:eastAsiaTheme="minorEastAsia" w:hAnsiTheme="minorHAnsi"/>
              <w:noProof/>
              <w:lang w:eastAsia="en-AU"/>
            </w:rPr>
          </w:pPr>
          <w:hyperlink w:anchor="_Toc469301468" w:history="1">
            <w:r w:rsidRPr="005242EE">
              <w:rPr>
                <w:rStyle w:val="Hyperlink"/>
                <w:noProof/>
              </w:rPr>
              <w:t>4.2.1</w:t>
            </w:r>
            <w:r>
              <w:rPr>
                <w:rFonts w:asciiTheme="minorHAnsi" w:eastAsiaTheme="minorEastAsia" w:hAnsiTheme="minorHAnsi"/>
                <w:noProof/>
                <w:lang w:eastAsia="en-AU"/>
              </w:rPr>
              <w:tab/>
            </w:r>
            <w:r w:rsidRPr="005242EE">
              <w:rPr>
                <w:rStyle w:val="Hyperlink"/>
                <w:noProof/>
              </w:rPr>
              <w:t>Current classification of obligations</w:t>
            </w:r>
            <w:r>
              <w:rPr>
                <w:noProof/>
                <w:webHidden/>
              </w:rPr>
              <w:tab/>
            </w:r>
            <w:r>
              <w:rPr>
                <w:noProof/>
                <w:webHidden/>
              </w:rPr>
              <w:fldChar w:fldCharType="begin"/>
            </w:r>
            <w:r>
              <w:rPr>
                <w:noProof/>
                <w:webHidden/>
              </w:rPr>
              <w:instrText xml:space="preserve"> PAGEREF _Toc469301468 \h </w:instrText>
            </w:r>
            <w:r>
              <w:rPr>
                <w:noProof/>
                <w:webHidden/>
              </w:rPr>
            </w:r>
            <w:r>
              <w:rPr>
                <w:noProof/>
                <w:webHidden/>
              </w:rPr>
              <w:fldChar w:fldCharType="separate"/>
            </w:r>
            <w:r>
              <w:rPr>
                <w:noProof/>
                <w:webHidden/>
              </w:rPr>
              <w:t>11</w:t>
            </w:r>
            <w:r>
              <w:rPr>
                <w:noProof/>
                <w:webHidden/>
              </w:rPr>
              <w:fldChar w:fldCharType="end"/>
            </w:r>
          </w:hyperlink>
        </w:p>
        <w:p w:rsidR="00421B18" w:rsidRDefault="00421B18">
          <w:pPr>
            <w:pStyle w:val="TOC3"/>
            <w:rPr>
              <w:rFonts w:asciiTheme="minorHAnsi" w:eastAsiaTheme="minorEastAsia" w:hAnsiTheme="minorHAnsi"/>
              <w:noProof/>
              <w:lang w:eastAsia="en-AU"/>
            </w:rPr>
          </w:pPr>
          <w:hyperlink w:anchor="_Toc469301469" w:history="1">
            <w:r w:rsidRPr="005242EE">
              <w:rPr>
                <w:rStyle w:val="Hyperlink"/>
                <w:noProof/>
              </w:rPr>
              <w:t>4.2.2</w:t>
            </w:r>
            <w:r>
              <w:rPr>
                <w:rFonts w:asciiTheme="minorHAnsi" w:eastAsiaTheme="minorEastAsia" w:hAnsiTheme="minorHAnsi"/>
                <w:noProof/>
                <w:lang w:eastAsia="en-AU"/>
              </w:rPr>
              <w:tab/>
            </w:r>
            <w:r w:rsidRPr="005242EE">
              <w:rPr>
                <w:rStyle w:val="Hyperlink"/>
                <w:noProof/>
              </w:rPr>
              <w:t>Proposed amendments</w:t>
            </w:r>
            <w:r>
              <w:rPr>
                <w:noProof/>
                <w:webHidden/>
              </w:rPr>
              <w:tab/>
            </w:r>
            <w:r>
              <w:rPr>
                <w:noProof/>
                <w:webHidden/>
              </w:rPr>
              <w:fldChar w:fldCharType="begin"/>
            </w:r>
            <w:r>
              <w:rPr>
                <w:noProof/>
                <w:webHidden/>
              </w:rPr>
              <w:instrText xml:space="preserve"> PAGEREF _Toc469301469 \h </w:instrText>
            </w:r>
            <w:r>
              <w:rPr>
                <w:noProof/>
                <w:webHidden/>
              </w:rPr>
            </w:r>
            <w:r>
              <w:rPr>
                <w:noProof/>
                <w:webHidden/>
              </w:rPr>
              <w:fldChar w:fldCharType="separate"/>
            </w:r>
            <w:r>
              <w:rPr>
                <w:noProof/>
                <w:webHidden/>
              </w:rPr>
              <w:t>12</w:t>
            </w:r>
            <w:r>
              <w:rPr>
                <w:noProof/>
                <w:webHidden/>
              </w:rPr>
              <w:fldChar w:fldCharType="end"/>
            </w:r>
          </w:hyperlink>
        </w:p>
        <w:p w:rsidR="00421B18" w:rsidRDefault="00421B18">
          <w:pPr>
            <w:pStyle w:val="TOC2"/>
            <w:rPr>
              <w:rFonts w:asciiTheme="minorHAnsi" w:eastAsiaTheme="minorEastAsia" w:hAnsiTheme="minorHAnsi"/>
              <w:noProof/>
              <w:sz w:val="22"/>
              <w:lang w:eastAsia="en-AU"/>
            </w:rPr>
          </w:pPr>
          <w:hyperlink w:anchor="_Toc469301470" w:history="1">
            <w:r w:rsidRPr="005242EE">
              <w:rPr>
                <w:rStyle w:val="Hyperlink"/>
                <w:noProof/>
              </w:rPr>
              <w:t>4.3</w:t>
            </w:r>
            <w:r>
              <w:rPr>
                <w:rFonts w:asciiTheme="minorHAnsi" w:eastAsiaTheme="minorEastAsia" w:hAnsiTheme="minorHAnsi"/>
                <w:noProof/>
                <w:sz w:val="22"/>
                <w:lang w:eastAsia="en-AU"/>
              </w:rPr>
              <w:tab/>
            </w:r>
            <w:r w:rsidRPr="005242EE">
              <w:rPr>
                <w:rStyle w:val="Hyperlink"/>
                <w:noProof/>
              </w:rPr>
              <w:t>Other proposed amendments</w:t>
            </w:r>
            <w:r>
              <w:rPr>
                <w:noProof/>
                <w:webHidden/>
              </w:rPr>
              <w:tab/>
            </w:r>
            <w:r>
              <w:rPr>
                <w:noProof/>
                <w:webHidden/>
              </w:rPr>
              <w:fldChar w:fldCharType="begin"/>
            </w:r>
            <w:r>
              <w:rPr>
                <w:noProof/>
                <w:webHidden/>
              </w:rPr>
              <w:instrText xml:space="preserve"> PAGEREF _Toc469301470 \h </w:instrText>
            </w:r>
            <w:r>
              <w:rPr>
                <w:noProof/>
                <w:webHidden/>
              </w:rPr>
            </w:r>
            <w:r>
              <w:rPr>
                <w:noProof/>
                <w:webHidden/>
              </w:rPr>
              <w:fldChar w:fldCharType="separate"/>
            </w:r>
            <w:r>
              <w:rPr>
                <w:noProof/>
                <w:webHidden/>
              </w:rPr>
              <w:t>15</w:t>
            </w:r>
            <w:r>
              <w:rPr>
                <w:noProof/>
                <w:webHidden/>
              </w:rPr>
              <w:fldChar w:fldCharType="end"/>
            </w:r>
          </w:hyperlink>
        </w:p>
        <w:p w:rsidR="00421B18" w:rsidRDefault="00421B18">
          <w:pPr>
            <w:pStyle w:val="TOC1"/>
            <w:rPr>
              <w:rFonts w:asciiTheme="minorHAnsi" w:eastAsiaTheme="minorEastAsia" w:hAnsiTheme="minorHAnsi"/>
              <w:b w:val="0"/>
              <w:noProof/>
              <w:color w:val="auto"/>
              <w:sz w:val="22"/>
              <w:lang w:eastAsia="en-AU"/>
            </w:rPr>
          </w:pPr>
          <w:hyperlink w:anchor="_Toc469301471" w:history="1">
            <w:r w:rsidRPr="005242EE">
              <w:rPr>
                <w:rStyle w:val="Hyperlink"/>
                <w:noProof/>
              </w:rPr>
              <w:t>5</w:t>
            </w:r>
            <w:r>
              <w:rPr>
                <w:rFonts w:asciiTheme="minorHAnsi" w:eastAsiaTheme="minorEastAsia" w:hAnsiTheme="minorHAnsi"/>
                <w:b w:val="0"/>
                <w:noProof/>
                <w:color w:val="auto"/>
                <w:sz w:val="22"/>
                <w:lang w:eastAsia="en-AU"/>
              </w:rPr>
              <w:tab/>
            </w:r>
            <w:r w:rsidRPr="005242EE">
              <w:rPr>
                <w:rStyle w:val="Hyperlink"/>
                <w:noProof/>
              </w:rPr>
              <w:t>Compliance audits</w:t>
            </w:r>
            <w:r>
              <w:rPr>
                <w:noProof/>
                <w:webHidden/>
              </w:rPr>
              <w:tab/>
            </w:r>
            <w:r>
              <w:rPr>
                <w:noProof/>
                <w:webHidden/>
              </w:rPr>
              <w:fldChar w:fldCharType="begin"/>
            </w:r>
            <w:r>
              <w:rPr>
                <w:noProof/>
                <w:webHidden/>
              </w:rPr>
              <w:instrText xml:space="preserve"> PAGEREF _Toc469301471 \h </w:instrText>
            </w:r>
            <w:r>
              <w:rPr>
                <w:noProof/>
                <w:webHidden/>
              </w:rPr>
            </w:r>
            <w:r>
              <w:rPr>
                <w:noProof/>
                <w:webHidden/>
              </w:rPr>
              <w:fldChar w:fldCharType="separate"/>
            </w:r>
            <w:r>
              <w:rPr>
                <w:noProof/>
                <w:webHidden/>
              </w:rPr>
              <w:t>18</w:t>
            </w:r>
            <w:r>
              <w:rPr>
                <w:noProof/>
                <w:webHidden/>
              </w:rPr>
              <w:fldChar w:fldCharType="end"/>
            </w:r>
          </w:hyperlink>
        </w:p>
        <w:p w:rsidR="00421B18" w:rsidRDefault="00421B18">
          <w:pPr>
            <w:pStyle w:val="TOC2"/>
            <w:rPr>
              <w:rFonts w:asciiTheme="minorHAnsi" w:eastAsiaTheme="minorEastAsia" w:hAnsiTheme="minorHAnsi"/>
              <w:noProof/>
              <w:sz w:val="22"/>
              <w:lang w:eastAsia="en-AU"/>
            </w:rPr>
          </w:pPr>
          <w:hyperlink w:anchor="_Toc469301472" w:history="1">
            <w:r w:rsidRPr="005242EE">
              <w:rPr>
                <w:rStyle w:val="Hyperlink"/>
                <w:noProof/>
              </w:rPr>
              <w:t>5.1</w:t>
            </w:r>
            <w:r>
              <w:rPr>
                <w:rFonts w:asciiTheme="minorHAnsi" w:eastAsiaTheme="minorEastAsia" w:hAnsiTheme="minorHAnsi"/>
                <w:noProof/>
                <w:sz w:val="22"/>
                <w:lang w:eastAsia="en-AU"/>
              </w:rPr>
              <w:tab/>
            </w:r>
            <w:r w:rsidRPr="005242EE">
              <w:rPr>
                <w:rStyle w:val="Hyperlink"/>
                <w:noProof/>
              </w:rPr>
              <w:t>Approach to compliance audits</w:t>
            </w:r>
            <w:r>
              <w:rPr>
                <w:noProof/>
                <w:webHidden/>
              </w:rPr>
              <w:tab/>
            </w:r>
            <w:r>
              <w:rPr>
                <w:noProof/>
                <w:webHidden/>
              </w:rPr>
              <w:fldChar w:fldCharType="begin"/>
            </w:r>
            <w:r>
              <w:rPr>
                <w:noProof/>
                <w:webHidden/>
              </w:rPr>
              <w:instrText xml:space="preserve"> PAGEREF _Toc469301472 \h </w:instrText>
            </w:r>
            <w:r>
              <w:rPr>
                <w:noProof/>
                <w:webHidden/>
              </w:rPr>
            </w:r>
            <w:r>
              <w:rPr>
                <w:noProof/>
                <w:webHidden/>
              </w:rPr>
              <w:fldChar w:fldCharType="separate"/>
            </w:r>
            <w:r>
              <w:rPr>
                <w:noProof/>
                <w:webHidden/>
              </w:rPr>
              <w:t>18</w:t>
            </w:r>
            <w:r>
              <w:rPr>
                <w:noProof/>
                <w:webHidden/>
              </w:rPr>
              <w:fldChar w:fldCharType="end"/>
            </w:r>
          </w:hyperlink>
        </w:p>
        <w:p w:rsidR="00421B18" w:rsidRDefault="00421B18">
          <w:pPr>
            <w:pStyle w:val="TOC1"/>
            <w:rPr>
              <w:rFonts w:asciiTheme="minorHAnsi" w:eastAsiaTheme="minorEastAsia" w:hAnsiTheme="minorHAnsi"/>
              <w:b w:val="0"/>
              <w:noProof/>
              <w:color w:val="auto"/>
              <w:sz w:val="22"/>
              <w:lang w:eastAsia="en-AU"/>
            </w:rPr>
          </w:pPr>
          <w:hyperlink w:anchor="_Toc469301473" w:history="1">
            <w:r w:rsidRPr="005242EE">
              <w:rPr>
                <w:rStyle w:val="Hyperlink"/>
                <w:noProof/>
              </w:rPr>
              <w:t>Appendix One – Consultation Questions</w:t>
            </w:r>
            <w:r>
              <w:rPr>
                <w:noProof/>
                <w:webHidden/>
              </w:rPr>
              <w:tab/>
            </w:r>
            <w:r>
              <w:rPr>
                <w:noProof/>
                <w:webHidden/>
              </w:rPr>
              <w:fldChar w:fldCharType="begin"/>
            </w:r>
            <w:r>
              <w:rPr>
                <w:noProof/>
                <w:webHidden/>
              </w:rPr>
              <w:instrText xml:space="preserve"> PAGEREF _Toc469301473 \h </w:instrText>
            </w:r>
            <w:r>
              <w:rPr>
                <w:noProof/>
                <w:webHidden/>
              </w:rPr>
            </w:r>
            <w:r>
              <w:rPr>
                <w:noProof/>
                <w:webHidden/>
              </w:rPr>
              <w:fldChar w:fldCharType="separate"/>
            </w:r>
            <w:r>
              <w:rPr>
                <w:noProof/>
                <w:webHidden/>
              </w:rPr>
              <w:t>20</w:t>
            </w:r>
            <w:r>
              <w:rPr>
                <w:noProof/>
                <w:webHidden/>
              </w:rPr>
              <w:fldChar w:fldCharType="end"/>
            </w:r>
          </w:hyperlink>
        </w:p>
        <w:p w:rsidR="00A117E4" w:rsidRDefault="00A117E4">
          <w:r>
            <w:rPr>
              <w:b/>
              <w:bCs/>
              <w:noProof/>
            </w:rPr>
            <w:fldChar w:fldCharType="end"/>
          </w:r>
        </w:p>
      </w:sdtContent>
    </w:sdt>
    <w:p w:rsidR="00233865" w:rsidRDefault="00233865">
      <w:pPr>
        <w:spacing w:after="200"/>
      </w:pPr>
    </w:p>
    <w:p w:rsidR="00E367C0" w:rsidRDefault="00E367C0">
      <w:pPr>
        <w:spacing w:after="200"/>
      </w:pPr>
    </w:p>
    <w:p w:rsidR="00E367C0" w:rsidRDefault="00E367C0">
      <w:pPr>
        <w:spacing w:after="200"/>
      </w:pPr>
    </w:p>
    <w:p w:rsidR="00E367C0" w:rsidRDefault="00E367C0">
      <w:pPr>
        <w:spacing w:after="200"/>
      </w:pPr>
    </w:p>
    <w:p w:rsidR="00197A0D" w:rsidRDefault="00D95AC8" w:rsidP="00525FA4">
      <w:pPr>
        <w:pStyle w:val="Heading1"/>
      </w:pPr>
      <w:bookmarkStart w:id="1" w:name="_Toc469301457"/>
      <w:r>
        <w:lastRenderedPageBreak/>
        <w:t>Overview</w:t>
      </w:r>
      <w:bookmarkEnd w:id="1"/>
      <w:r w:rsidR="002024A7">
        <w:t xml:space="preserve"> </w:t>
      </w:r>
    </w:p>
    <w:p w:rsidR="005B6E30" w:rsidRDefault="00065BEC" w:rsidP="00065BEC">
      <w:r w:rsidRPr="00F76463">
        <w:t>The Australian Energ</w:t>
      </w:r>
      <w:r>
        <w:t>y</w:t>
      </w:r>
      <w:r w:rsidRPr="00F76463">
        <w:t xml:space="preserve"> Regulator (AER) is </w:t>
      </w:r>
      <w:r w:rsidR="003D7984">
        <w:t xml:space="preserve">responsible for </w:t>
      </w:r>
      <w:r w:rsidRPr="00F76463">
        <w:t>energy market</w:t>
      </w:r>
      <w:r w:rsidR="003D7984">
        <w:t xml:space="preserve"> regulation</w:t>
      </w:r>
      <w:r w:rsidRPr="00F76463">
        <w:t xml:space="preserve">. Among </w:t>
      </w:r>
      <w:r w:rsidR="003D7984">
        <w:t>our</w:t>
      </w:r>
      <w:r w:rsidR="003D7984" w:rsidRPr="00F76463">
        <w:t xml:space="preserve"> </w:t>
      </w:r>
      <w:r w:rsidRPr="00F76463">
        <w:t xml:space="preserve">functions, </w:t>
      </w:r>
      <w:r w:rsidR="003D7984">
        <w:t>we</w:t>
      </w:r>
      <w:r w:rsidR="005B6E30">
        <w:t xml:space="preserve"> monitor</w:t>
      </w:r>
      <w:r w:rsidRPr="00F76463">
        <w:t>, investigat</w:t>
      </w:r>
      <w:r w:rsidR="005B6E30">
        <w:t>e</w:t>
      </w:r>
      <w:r w:rsidRPr="00F76463">
        <w:t xml:space="preserve"> and enforc</w:t>
      </w:r>
      <w:r w:rsidR="005B6E30">
        <w:t>e</w:t>
      </w:r>
      <w:r w:rsidRPr="00F76463">
        <w:t xml:space="preserve"> compliance with obligations under the </w:t>
      </w:r>
      <w:r w:rsidRPr="00BD154F">
        <w:rPr>
          <w:i/>
        </w:rPr>
        <w:t xml:space="preserve">National Energy </w:t>
      </w:r>
      <w:r w:rsidR="00CE0CC8">
        <w:rPr>
          <w:i/>
        </w:rPr>
        <w:t>Retail Law</w:t>
      </w:r>
      <w:r w:rsidR="00B5195B">
        <w:rPr>
          <w:i/>
        </w:rPr>
        <w:t xml:space="preserve"> </w:t>
      </w:r>
      <w:r w:rsidR="004A68D0">
        <w:t>(</w:t>
      </w:r>
      <w:r w:rsidR="009D62AB">
        <w:t>NERL</w:t>
      </w:r>
      <w:r w:rsidR="004A68D0">
        <w:t>)</w:t>
      </w:r>
      <w:r>
        <w:t>,</w:t>
      </w:r>
      <w:r w:rsidRPr="00F76463">
        <w:t xml:space="preserve"> </w:t>
      </w:r>
      <w:r w:rsidR="005B6E30">
        <w:t xml:space="preserve">the </w:t>
      </w:r>
      <w:r w:rsidR="005B6E30" w:rsidRPr="00BD154F">
        <w:rPr>
          <w:i/>
        </w:rPr>
        <w:t xml:space="preserve">National Energy </w:t>
      </w:r>
      <w:r w:rsidR="009D7ED6">
        <w:rPr>
          <w:i/>
        </w:rPr>
        <w:t>Retail Rules</w:t>
      </w:r>
      <w:r w:rsidR="004A68D0">
        <w:t xml:space="preserve"> (</w:t>
      </w:r>
      <w:r w:rsidR="009D62AB">
        <w:t>NERR</w:t>
      </w:r>
      <w:r w:rsidR="004A68D0">
        <w:t>)</w:t>
      </w:r>
      <w:r>
        <w:t xml:space="preserve"> and </w:t>
      </w:r>
      <w:r w:rsidR="005B6E30">
        <w:t xml:space="preserve">applicable </w:t>
      </w:r>
      <w:r w:rsidRPr="00F76463">
        <w:t>Regulations.</w:t>
      </w:r>
      <w:r>
        <w:t xml:space="preserve"> </w:t>
      </w:r>
    </w:p>
    <w:p w:rsidR="009B5EC9" w:rsidRDefault="004A68D0" w:rsidP="00065BEC">
      <w:r>
        <w:t>To support this role</w:t>
      </w:r>
      <w:r w:rsidR="009B5EC9">
        <w:t xml:space="preserve">, </w:t>
      </w:r>
      <w:r w:rsidR="00654C20">
        <w:t>w</w:t>
      </w:r>
      <w:r w:rsidR="003D7984">
        <w:t>e have</w:t>
      </w:r>
      <w:r w:rsidR="009B5EC9">
        <w:t xml:space="preserve"> developed the AER Compliance Procedures and Guidelines (Guidelines</w:t>
      </w:r>
      <w:r w:rsidR="009B5EC9" w:rsidRPr="00065BEC">
        <w:rPr>
          <w:rFonts w:cs="Arial"/>
        </w:rPr>
        <w:t>). The Guidelines establish</w:t>
      </w:r>
      <w:r w:rsidR="00220EA3">
        <w:rPr>
          <w:rFonts w:cs="Arial"/>
        </w:rPr>
        <w:t>es</w:t>
      </w:r>
      <w:r w:rsidR="009B5EC9" w:rsidRPr="00065BEC">
        <w:rPr>
          <w:rFonts w:cs="Arial"/>
        </w:rPr>
        <w:t xml:space="preserve"> a </w:t>
      </w:r>
      <w:r w:rsidR="00BD154F">
        <w:rPr>
          <w:rFonts w:cs="Arial"/>
        </w:rPr>
        <w:t>self-</w:t>
      </w:r>
      <w:r w:rsidR="009B5EC9" w:rsidRPr="00065BEC">
        <w:rPr>
          <w:rFonts w:cs="Arial"/>
        </w:rPr>
        <w:t xml:space="preserve">reporting framework that applies to all retailers and distributors in jurisdictions that have adopted the </w:t>
      </w:r>
      <w:r w:rsidR="009D62AB">
        <w:rPr>
          <w:rFonts w:cs="Arial"/>
        </w:rPr>
        <w:t>NERL</w:t>
      </w:r>
      <w:r w:rsidR="009B5EC9" w:rsidRPr="00065BEC">
        <w:rPr>
          <w:rFonts w:cs="Arial"/>
        </w:rPr>
        <w:t>.</w:t>
      </w:r>
      <w:r w:rsidR="009B5EC9">
        <w:rPr>
          <w:rFonts w:cs="Arial"/>
        </w:rPr>
        <w:t xml:space="preserve"> </w:t>
      </w:r>
      <w:r w:rsidR="009B5EC9" w:rsidRPr="00065BEC">
        <w:rPr>
          <w:rFonts w:cs="Arial"/>
        </w:rPr>
        <w:t xml:space="preserve">Under that framework, information and data </w:t>
      </w:r>
      <w:r w:rsidR="000D021D">
        <w:rPr>
          <w:rFonts w:cs="Arial"/>
        </w:rPr>
        <w:t xml:space="preserve">must be </w:t>
      </w:r>
      <w:r w:rsidR="003D7984">
        <w:rPr>
          <w:rFonts w:cs="Arial"/>
        </w:rPr>
        <w:t xml:space="preserve">submitted </w:t>
      </w:r>
      <w:r w:rsidR="009B5EC9" w:rsidRPr="00065BEC">
        <w:rPr>
          <w:rFonts w:cs="Arial"/>
        </w:rPr>
        <w:t>about the</w:t>
      </w:r>
      <w:r w:rsidR="000D021D">
        <w:rPr>
          <w:rFonts w:cs="Arial"/>
        </w:rPr>
        <w:t xml:space="preserve"> businesses’</w:t>
      </w:r>
      <w:r>
        <w:rPr>
          <w:rFonts w:cs="Arial"/>
        </w:rPr>
        <w:t xml:space="preserve"> compliance with obligations under the </w:t>
      </w:r>
      <w:r w:rsidR="009D62AB">
        <w:rPr>
          <w:rFonts w:cs="Arial"/>
        </w:rPr>
        <w:t>NERL</w:t>
      </w:r>
      <w:r>
        <w:rPr>
          <w:rFonts w:cs="Arial"/>
        </w:rPr>
        <w:t xml:space="preserve"> and </w:t>
      </w:r>
      <w:r w:rsidR="009D62AB">
        <w:rPr>
          <w:rFonts w:cs="Arial"/>
        </w:rPr>
        <w:t>NERR</w:t>
      </w:r>
      <w:r w:rsidR="009B5EC9" w:rsidRPr="00065BEC">
        <w:rPr>
          <w:rFonts w:cs="Arial"/>
        </w:rPr>
        <w:t xml:space="preserve">, at </w:t>
      </w:r>
      <w:r w:rsidR="003D7984">
        <w:rPr>
          <w:rFonts w:cs="Arial"/>
        </w:rPr>
        <w:t>timeframes</w:t>
      </w:r>
      <w:r w:rsidR="003D7984" w:rsidRPr="00065BEC">
        <w:rPr>
          <w:rFonts w:cs="Arial"/>
        </w:rPr>
        <w:t xml:space="preserve"> </w:t>
      </w:r>
      <w:r w:rsidR="009B5EC9" w:rsidRPr="00065BEC">
        <w:rPr>
          <w:rFonts w:cs="Arial"/>
        </w:rPr>
        <w:t>specified in the Guidelines.</w:t>
      </w:r>
    </w:p>
    <w:p w:rsidR="00BD154F" w:rsidRDefault="00BD154F" w:rsidP="00065BEC">
      <w:r>
        <w:t xml:space="preserve">The current Guidelines </w:t>
      </w:r>
      <w:r w:rsidR="00654C20">
        <w:t xml:space="preserve">were </w:t>
      </w:r>
      <w:r>
        <w:t>last revised in September 2014. Since th</w:t>
      </w:r>
      <w:r w:rsidR="000D021D">
        <w:t>en</w:t>
      </w:r>
      <w:r>
        <w:t>, the Australian Energy Market Commission (AEMC) has made</w:t>
      </w:r>
      <w:r w:rsidR="00220EA3">
        <w:t xml:space="preserve"> </w:t>
      </w:r>
      <w:r>
        <w:t xml:space="preserve">changes to the </w:t>
      </w:r>
      <w:r>
        <w:rPr>
          <w:i/>
        </w:rPr>
        <w:t>National Electricity Rules</w:t>
      </w:r>
      <w:r>
        <w:t xml:space="preserve"> </w:t>
      </w:r>
      <w:r w:rsidR="00B2580F">
        <w:t xml:space="preserve">(NEL) </w:t>
      </w:r>
      <w:r>
        <w:t xml:space="preserve">and the </w:t>
      </w:r>
      <w:r w:rsidR="00B5195B">
        <w:t>NERR</w:t>
      </w:r>
      <w:r>
        <w:t>. Relevantly, these include rule</w:t>
      </w:r>
      <w:r w:rsidR="00220EA3">
        <w:t>s</w:t>
      </w:r>
      <w:r>
        <w:t xml:space="preserve"> to expand competition in metering and related services</w:t>
      </w:r>
      <w:r w:rsidRPr="001A3C00">
        <w:rPr>
          <w:rFonts w:cs="Arial"/>
          <w:szCs w:val="24"/>
          <w:vertAlign w:val="superscript"/>
        </w:rPr>
        <w:footnoteReference w:id="1"/>
      </w:r>
      <w:r w:rsidRPr="001A3C00">
        <w:rPr>
          <w:rFonts w:cs="Arial"/>
        </w:rPr>
        <w:t xml:space="preserve"> </w:t>
      </w:r>
      <w:r>
        <w:t>and changes to make it easier for consumer</w:t>
      </w:r>
      <w:r w:rsidR="00CA5DBE">
        <w:t>s</w:t>
      </w:r>
      <w:r>
        <w:t xml:space="preserve"> to obtain information about their energy consumption and billing information from </w:t>
      </w:r>
      <w:r w:rsidR="00D3486D">
        <w:t>retailers and distributors</w:t>
      </w:r>
      <w:r>
        <w:t>.</w:t>
      </w:r>
      <w:r>
        <w:rPr>
          <w:rStyle w:val="FootnoteReference"/>
        </w:rPr>
        <w:footnoteReference w:id="2"/>
      </w:r>
      <w:r>
        <w:t xml:space="preserve"> </w:t>
      </w:r>
    </w:p>
    <w:p w:rsidR="00BF7C35" w:rsidRDefault="00BD154F" w:rsidP="00BD154F">
      <w:r>
        <w:t xml:space="preserve">Notably, the metering rule change determination introduces obligations on retailers in relation to planned interruptions. These obligations mirror </w:t>
      </w:r>
      <w:r w:rsidR="006063E2">
        <w:t xml:space="preserve">existing </w:t>
      </w:r>
      <w:r>
        <w:t>distributor obligations</w:t>
      </w:r>
      <w:r w:rsidR="006063E2">
        <w:t xml:space="preserve"> </w:t>
      </w:r>
      <w:r>
        <w:t xml:space="preserve">currently reportable under the Guidelines. </w:t>
      </w:r>
    </w:p>
    <w:p w:rsidR="00BD154F" w:rsidRDefault="00BF7C35" w:rsidP="00BD154F">
      <w:r>
        <w:t>Given these developments</w:t>
      </w:r>
      <w:r w:rsidR="00BD154F">
        <w:t>, we consider there is a need to re-open the Guideline</w:t>
      </w:r>
      <w:r w:rsidR="00CA5DBE">
        <w:t>s</w:t>
      </w:r>
      <w:r w:rsidR="00BD154F">
        <w:t xml:space="preserve"> to</w:t>
      </w:r>
      <w:r>
        <w:t xml:space="preserve"> incorporate</w:t>
      </w:r>
      <w:r w:rsidR="00BD154F">
        <w:t xml:space="preserve"> these </w:t>
      </w:r>
      <w:r w:rsidR="00CA5DBE">
        <w:t>new</w:t>
      </w:r>
      <w:r w:rsidR="00BD154F">
        <w:t xml:space="preserve"> provisions</w:t>
      </w:r>
      <w:r w:rsidR="001A3C00">
        <w:t xml:space="preserve"> and</w:t>
      </w:r>
      <w:r>
        <w:t xml:space="preserve"> to consult on new rules for possible inclusion in the reporting framework. </w:t>
      </w:r>
    </w:p>
    <w:p w:rsidR="00480CEA" w:rsidRDefault="00480CEA" w:rsidP="00BF7C35">
      <w:r>
        <w:t xml:space="preserve">Moreover, since the last review of the Guidelines, we have further developed our compliance program and the way the AER undertakes its role to monitor, investigate and enforce provisions under the legal framework. We consider the reporting obligations under the Guidelines can be refined, and the guidance material in relation to compliance audits updated, to better </w:t>
      </w:r>
      <w:r w:rsidR="00364E32">
        <w:t>reflect</w:t>
      </w:r>
      <w:r>
        <w:t xml:space="preserve"> the AER’s compliance objectives. </w:t>
      </w:r>
    </w:p>
    <w:p w:rsidR="000A6C53" w:rsidRDefault="00C50256" w:rsidP="00BF7C35">
      <w:r>
        <w:t>T</w:t>
      </w:r>
      <w:r w:rsidR="00BF7C35">
        <w:t xml:space="preserve">his notice </w:t>
      </w:r>
      <w:r w:rsidR="00C01901">
        <w:t xml:space="preserve">therefore </w:t>
      </w:r>
      <w:r w:rsidR="00AB3C96">
        <w:t>sets</w:t>
      </w:r>
      <w:r w:rsidR="00C01901">
        <w:t xml:space="preserve"> </w:t>
      </w:r>
      <w:r w:rsidR="006063E2">
        <w:t xml:space="preserve">out </w:t>
      </w:r>
      <w:r w:rsidR="00C01901">
        <w:t>our views on incorporating</w:t>
      </w:r>
      <w:r w:rsidR="00AB3C96">
        <w:t xml:space="preserve"> the</w:t>
      </w:r>
      <w:r w:rsidR="00C01901">
        <w:t xml:space="preserve"> new rules in the reporting framework, but also </w:t>
      </w:r>
      <w:r w:rsidR="00BF7C35">
        <w:t xml:space="preserve">discusses proposed amendments </w:t>
      </w:r>
      <w:r w:rsidR="00C01901">
        <w:t>to the Guidelines</w:t>
      </w:r>
      <w:r w:rsidR="00AB3C96">
        <w:t xml:space="preserve"> that </w:t>
      </w:r>
      <w:r w:rsidR="000A6C53">
        <w:t xml:space="preserve">seek to: </w:t>
      </w:r>
    </w:p>
    <w:p w:rsidR="00FA3305" w:rsidRDefault="000A6C53" w:rsidP="001D5901">
      <w:pPr>
        <w:pStyle w:val="AERbulletlistfirststyle"/>
        <w:numPr>
          <w:ilvl w:val="0"/>
          <w:numId w:val="14"/>
        </w:numPr>
        <w:tabs>
          <w:tab w:val="clear" w:pos="567"/>
        </w:tabs>
        <w:spacing w:after="200"/>
        <w:jc w:val="both"/>
        <w:rPr>
          <w:rFonts w:ascii="Arial" w:hAnsi="Arial" w:cs="Arial"/>
          <w:sz w:val="22"/>
          <w:szCs w:val="22"/>
        </w:rPr>
      </w:pPr>
      <w:r w:rsidRPr="00065BEC">
        <w:rPr>
          <w:rFonts w:ascii="Arial" w:hAnsi="Arial" w:cs="Arial"/>
          <w:sz w:val="22"/>
          <w:szCs w:val="22"/>
        </w:rPr>
        <w:t>Refine the reporting framework</w:t>
      </w:r>
      <w:r w:rsidR="00C01901">
        <w:rPr>
          <w:rFonts w:ascii="Arial" w:hAnsi="Arial" w:cs="Arial"/>
          <w:sz w:val="22"/>
          <w:szCs w:val="22"/>
        </w:rPr>
        <w:t xml:space="preserve"> </w:t>
      </w:r>
      <w:r w:rsidRPr="00065BEC">
        <w:rPr>
          <w:rFonts w:ascii="Arial" w:hAnsi="Arial" w:cs="Arial"/>
          <w:sz w:val="22"/>
          <w:szCs w:val="22"/>
        </w:rPr>
        <w:t>to</w:t>
      </w:r>
      <w:r w:rsidR="00505E4C">
        <w:rPr>
          <w:rFonts w:ascii="Arial" w:hAnsi="Arial" w:cs="Arial"/>
          <w:sz w:val="22"/>
          <w:szCs w:val="22"/>
        </w:rPr>
        <w:t xml:space="preserve"> ensure </w:t>
      </w:r>
      <w:r w:rsidR="006776B4">
        <w:rPr>
          <w:rFonts w:ascii="Arial" w:hAnsi="Arial" w:cs="Arial"/>
          <w:sz w:val="22"/>
          <w:szCs w:val="22"/>
        </w:rPr>
        <w:t>it</w:t>
      </w:r>
      <w:r w:rsidR="00505E4C">
        <w:rPr>
          <w:rFonts w:ascii="Arial" w:hAnsi="Arial" w:cs="Arial"/>
          <w:sz w:val="22"/>
          <w:szCs w:val="22"/>
        </w:rPr>
        <w:t xml:space="preserve"> remains consistent with the AER’s</w:t>
      </w:r>
      <w:r w:rsidR="00364E32">
        <w:rPr>
          <w:rFonts w:ascii="Arial" w:hAnsi="Arial" w:cs="Arial"/>
          <w:sz w:val="22"/>
          <w:szCs w:val="22"/>
        </w:rPr>
        <w:t xml:space="preserve"> compli</w:t>
      </w:r>
      <w:r w:rsidR="00D85A06">
        <w:rPr>
          <w:rFonts w:ascii="Arial" w:hAnsi="Arial" w:cs="Arial"/>
          <w:sz w:val="22"/>
          <w:szCs w:val="22"/>
        </w:rPr>
        <w:t xml:space="preserve">ance objectives. </w:t>
      </w:r>
      <w:r w:rsidR="00B026AF">
        <w:rPr>
          <w:rFonts w:ascii="Arial" w:hAnsi="Arial" w:cs="Arial"/>
          <w:sz w:val="22"/>
          <w:szCs w:val="22"/>
        </w:rPr>
        <w:t>This includes balancing</w:t>
      </w:r>
      <w:r w:rsidR="00D85A06">
        <w:rPr>
          <w:rFonts w:ascii="Arial" w:hAnsi="Arial" w:cs="Arial"/>
          <w:sz w:val="22"/>
          <w:szCs w:val="22"/>
        </w:rPr>
        <w:t xml:space="preserve"> the</w:t>
      </w:r>
      <w:r w:rsidR="00505E4C">
        <w:rPr>
          <w:rFonts w:ascii="Arial" w:hAnsi="Arial" w:cs="Arial"/>
          <w:sz w:val="22"/>
          <w:szCs w:val="22"/>
        </w:rPr>
        <w:t xml:space="preserve"> </w:t>
      </w:r>
      <w:r w:rsidR="000D7CD1">
        <w:rPr>
          <w:rFonts w:ascii="Arial" w:hAnsi="Arial" w:cs="Arial"/>
          <w:sz w:val="22"/>
          <w:szCs w:val="22"/>
        </w:rPr>
        <w:t>need to monitor compliance</w:t>
      </w:r>
      <w:r w:rsidR="00D85A06">
        <w:rPr>
          <w:rFonts w:ascii="Arial" w:hAnsi="Arial" w:cs="Arial"/>
          <w:sz w:val="22"/>
          <w:szCs w:val="22"/>
        </w:rPr>
        <w:t xml:space="preserve"> and </w:t>
      </w:r>
      <w:r w:rsidR="00505E4C">
        <w:rPr>
          <w:rFonts w:ascii="Arial" w:hAnsi="Arial" w:cs="Arial"/>
          <w:sz w:val="22"/>
          <w:szCs w:val="22"/>
        </w:rPr>
        <w:t xml:space="preserve">the impact on businesses to respond to and report on breaches of the </w:t>
      </w:r>
      <w:r w:rsidR="00B5195B">
        <w:rPr>
          <w:rFonts w:ascii="Arial" w:hAnsi="Arial" w:cs="Arial"/>
          <w:sz w:val="22"/>
          <w:szCs w:val="22"/>
        </w:rPr>
        <w:t xml:space="preserve">NERL </w:t>
      </w:r>
      <w:r w:rsidR="00505E4C">
        <w:rPr>
          <w:rFonts w:ascii="Arial" w:hAnsi="Arial" w:cs="Arial"/>
          <w:sz w:val="22"/>
          <w:szCs w:val="22"/>
        </w:rPr>
        <w:t xml:space="preserve">and </w:t>
      </w:r>
      <w:r w:rsidR="00B5195B">
        <w:rPr>
          <w:rFonts w:ascii="Arial" w:hAnsi="Arial" w:cs="Arial"/>
          <w:sz w:val="22"/>
          <w:szCs w:val="22"/>
        </w:rPr>
        <w:t>NERR</w:t>
      </w:r>
      <w:r w:rsidR="00505E4C">
        <w:rPr>
          <w:rFonts w:ascii="Arial" w:hAnsi="Arial" w:cs="Arial"/>
          <w:sz w:val="22"/>
          <w:szCs w:val="22"/>
        </w:rPr>
        <w:t xml:space="preserve">. </w:t>
      </w:r>
    </w:p>
    <w:p w:rsidR="000A6C53" w:rsidRDefault="000A6C53" w:rsidP="001D5901">
      <w:pPr>
        <w:pStyle w:val="AERbulletlistfirststyle"/>
        <w:numPr>
          <w:ilvl w:val="0"/>
          <w:numId w:val="14"/>
        </w:numPr>
        <w:tabs>
          <w:tab w:val="clear" w:pos="567"/>
        </w:tabs>
        <w:spacing w:after="200"/>
        <w:jc w:val="both"/>
        <w:rPr>
          <w:rFonts w:ascii="Arial" w:hAnsi="Arial" w:cs="Arial"/>
          <w:sz w:val="22"/>
          <w:szCs w:val="22"/>
        </w:rPr>
      </w:pPr>
      <w:r w:rsidRPr="00505E4C">
        <w:rPr>
          <w:rFonts w:ascii="Arial" w:hAnsi="Arial" w:cs="Arial"/>
          <w:sz w:val="22"/>
          <w:szCs w:val="22"/>
        </w:rPr>
        <w:t>Improve the quality of reports submitted</w:t>
      </w:r>
      <w:r w:rsidR="00505E4C" w:rsidRPr="00505E4C">
        <w:rPr>
          <w:rFonts w:ascii="Arial" w:hAnsi="Arial" w:cs="Arial"/>
          <w:sz w:val="22"/>
          <w:szCs w:val="22"/>
        </w:rPr>
        <w:t xml:space="preserve"> so that the information provided is reliable and allows </w:t>
      </w:r>
      <w:r w:rsidRPr="00505E4C">
        <w:rPr>
          <w:rFonts w:ascii="Arial" w:hAnsi="Arial" w:cs="Arial"/>
          <w:sz w:val="22"/>
          <w:szCs w:val="22"/>
        </w:rPr>
        <w:t xml:space="preserve">informed comparison of compliance levels over time and between businesses. </w:t>
      </w:r>
    </w:p>
    <w:p w:rsidR="00A80F73" w:rsidRDefault="00016498" w:rsidP="001D5901">
      <w:pPr>
        <w:pStyle w:val="AERbulletlistfirststyle"/>
        <w:numPr>
          <w:ilvl w:val="0"/>
          <w:numId w:val="14"/>
        </w:numPr>
        <w:tabs>
          <w:tab w:val="clear" w:pos="567"/>
        </w:tabs>
        <w:spacing w:after="200"/>
        <w:jc w:val="both"/>
        <w:rPr>
          <w:rFonts w:ascii="Arial" w:hAnsi="Arial" w:cs="Arial"/>
          <w:sz w:val="22"/>
          <w:szCs w:val="22"/>
        </w:rPr>
      </w:pPr>
      <w:r>
        <w:rPr>
          <w:rFonts w:ascii="Arial" w:hAnsi="Arial" w:cs="Arial"/>
          <w:sz w:val="22"/>
          <w:szCs w:val="22"/>
        </w:rPr>
        <w:t xml:space="preserve">Revise the guidance material on compliance audits to reflect the AER’s approach to </w:t>
      </w:r>
      <w:r w:rsidR="00B026AF">
        <w:rPr>
          <w:rFonts w:ascii="Arial" w:hAnsi="Arial" w:cs="Arial"/>
          <w:sz w:val="22"/>
          <w:szCs w:val="22"/>
        </w:rPr>
        <w:t>utilising</w:t>
      </w:r>
      <w:r>
        <w:rPr>
          <w:rFonts w:ascii="Arial" w:hAnsi="Arial" w:cs="Arial"/>
          <w:sz w:val="22"/>
          <w:szCs w:val="22"/>
        </w:rPr>
        <w:t xml:space="preserve"> its powers under the </w:t>
      </w:r>
      <w:r w:rsidR="00B026AF">
        <w:rPr>
          <w:rFonts w:ascii="Arial" w:hAnsi="Arial" w:cs="Arial"/>
          <w:sz w:val="22"/>
          <w:szCs w:val="22"/>
        </w:rPr>
        <w:t>NERL</w:t>
      </w:r>
      <w:r>
        <w:rPr>
          <w:rFonts w:ascii="Arial" w:hAnsi="Arial" w:cs="Arial"/>
          <w:sz w:val="22"/>
          <w:szCs w:val="22"/>
        </w:rPr>
        <w:t>.</w:t>
      </w:r>
    </w:p>
    <w:p w:rsidR="00B17A22" w:rsidRDefault="00B17A22" w:rsidP="00197A0D"/>
    <w:p w:rsidR="00BC63DE" w:rsidRDefault="00D3486D" w:rsidP="00525FA4">
      <w:pPr>
        <w:pStyle w:val="Heading1"/>
      </w:pPr>
      <w:bookmarkStart w:id="2" w:name="_Toc469301458"/>
      <w:r>
        <w:lastRenderedPageBreak/>
        <w:t>Consultation process</w:t>
      </w:r>
      <w:bookmarkEnd w:id="2"/>
      <w:r>
        <w:t xml:space="preserve"> </w:t>
      </w:r>
    </w:p>
    <w:p w:rsidR="00654C20" w:rsidRDefault="00654C20" w:rsidP="00654C20">
      <w:r>
        <w:t xml:space="preserve">We encourage stakeholders to comment on the proposed amendments by responding to the questions raised throughout this </w:t>
      </w:r>
      <w:r w:rsidR="006063E2">
        <w:t>document</w:t>
      </w:r>
      <w:r>
        <w:t xml:space="preserve">. A full list of the consultation questions can be found in </w:t>
      </w:r>
      <w:r w:rsidRPr="004C2BE5">
        <w:rPr>
          <w:b/>
        </w:rPr>
        <w:t xml:space="preserve">Appendix </w:t>
      </w:r>
      <w:r w:rsidR="00C573A5" w:rsidRPr="004C2BE5">
        <w:rPr>
          <w:b/>
        </w:rPr>
        <w:t>One</w:t>
      </w:r>
      <w:r>
        <w:t xml:space="preserve">. </w:t>
      </w:r>
    </w:p>
    <w:p w:rsidR="00654C20" w:rsidRDefault="00654C20" w:rsidP="00654C20">
      <w:r w:rsidRPr="00C947B3">
        <w:t xml:space="preserve">At this time, </w:t>
      </w:r>
      <w:r w:rsidR="00AB3C96">
        <w:t>we are not receiving</w:t>
      </w:r>
      <w:r w:rsidRPr="00C947B3">
        <w:t xml:space="preserve"> submissions or recommendations relating to other elements of the Guidelines, or other aspects of the AER’s approach to its compliance and enforcement functions that are outside the scope of this consultation.</w:t>
      </w:r>
      <w:r>
        <w:t xml:space="preserve"> </w:t>
      </w:r>
    </w:p>
    <w:p w:rsidR="00BC63DE" w:rsidRDefault="00BC63DE" w:rsidP="00BC63DE">
      <w:pPr>
        <w:pStyle w:val="AERbulletlistfirststyle"/>
        <w:numPr>
          <w:ilvl w:val="0"/>
          <w:numId w:val="0"/>
        </w:numPr>
        <w:tabs>
          <w:tab w:val="clear" w:pos="567"/>
        </w:tabs>
        <w:rPr>
          <w:rFonts w:ascii="Arial" w:eastAsiaTheme="minorHAnsi" w:hAnsi="Arial" w:cstheme="minorBidi"/>
          <w:sz w:val="22"/>
          <w:szCs w:val="22"/>
        </w:rPr>
      </w:pPr>
      <w:r>
        <w:rPr>
          <w:rFonts w:ascii="Arial" w:eastAsiaTheme="minorHAnsi" w:hAnsi="Arial" w:cstheme="minorBidi"/>
          <w:sz w:val="22"/>
          <w:szCs w:val="22"/>
        </w:rPr>
        <w:t xml:space="preserve">This notice, including draft amendments to </w:t>
      </w:r>
      <w:r w:rsidR="00C07406">
        <w:rPr>
          <w:rFonts w:ascii="Arial" w:eastAsiaTheme="minorHAnsi" w:hAnsi="Arial" w:cstheme="minorBidi"/>
          <w:sz w:val="22"/>
          <w:szCs w:val="22"/>
        </w:rPr>
        <w:t>the AER</w:t>
      </w:r>
      <w:r>
        <w:rPr>
          <w:rFonts w:ascii="Arial" w:eastAsiaTheme="minorHAnsi" w:hAnsi="Arial" w:cstheme="minorBidi"/>
          <w:sz w:val="22"/>
          <w:szCs w:val="22"/>
        </w:rPr>
        <w:t xml:space="preserve"> Compliance Procedures and Guidelines has been published in accordance with the retail consultation procedure set out in rule 173 of the </w:t>
      </w:r>
      <w:r w:rsidR="00B5195B">
        <w:rPr>
          <w:rFonts w:ascii="Arial" w:eastAsiaTheme="minorHAnsi" w:hAnsi="Arial" w:cstheme="minorBidi"/>
          <w:sz w:val="22"/>
          <w:szCs w:val="22"/>
        </w:rPr>
        <w:t>NERR</w:t>
      </w:r>
      <w:r>
        <w:rPr>
          <w:rFonts w:ascii="Arial" w:eastAsiaTheme="minorHAnsi" w:hAnsi="Arial" w:cstheme="minorBidi"/>
          <w:sz w:val="22"/>
          <w:szCs w:val="22"/>
        </w:rPr>
        <w:t xml:space="preserve">. </w:t>
      </w:r>
    </w:p>
    <w:p w:rsidR="00BC63DE" w:rsidRDefault="00BC63DE" w:rsidP="00BC63DE">
      <w:pPr>
        <w:pStyle w:val="AERbulletlistfirststyle"/>
        <w:numPr>
          <w:ilvl w:val="0"/>
          <w:numId w:val="0"/>
        </w:numPr>
        <w:tabs>
          <w:tab w:val="clear" w:pos="567"/>
        </w:tabs>
        <w:rPr>
          <w:rFonts w:ascii="Arial" w:eastAsiaTheme="minorHAnsi" w:hAnsi="Arial" w:cstheme="minorBidi"/>
          <w:sz w:val="22"/>
          <w:szCs w:val="22"/>
        </w:rPr>
      </w:pPr>
      <w:r>
        <w:rPr>
          <w:rFonts w:ascii="Arial" w:eastAsiaTheme="minorHAnsi" w:hAnsi="Arial" w:cstheme="minorBidi"/>
          <w:sz w:val="22"/>
          <w:szCs w:val="22"/>
        </w:rPr>
        <w:t>Interested parties are invited to make written submissions on the draft am</w:t>
      </w:r>
      <w:r w:rsidR="00B37186">
        <w:rPr>
          <w:rFonts w:ascii="Arial" w:eastAsiaTheme="minorHAnsi" w:hAnsi="Arial" w:cstheme="minorBidi"/>
          <w:sz w:val="22"/>
          <w:szCs w:val="22"/>
        </w:rPr>
        <w:t xml:space="preserve">endments by close of business, </w:t>
      </w:r>
      <w:r w:rsidR="00B37186" w:rsidRPr="00B37186">
        <w:rPr>
          <w:rFonts w:ascii="Arial" w:eastAsiaTheme="minorHAnsi" w:hAnsi="Arial" w:cstheme="minorBidi"/>
          <w:b/>
          <w:sz w:val="22"/>
          <w:szCs w:val="22"/>
        </w:rPr>
        <w:t>23 January 2017</w:t>
      </w:r>
      <w:r>
        <w:rPr>
          <w:rFonts w:ascii="Arial" w:eastAsiaTheme="minorHAnsi" w:hAnsi="Arial" w:cstheme="minorBidi"/>
          <w:sz w:val="22"/>
          <w:szCs w:val="22"/>
        </w:rPr>
        <w:t xml:space="preserve">. </w:t>
      </w:r>
    </w:p>
    <w:p w:rsidR="00BC63DE" w:rsidRDefault="00BC63DE" w:rsidP="00BC63DE">
      <w:pPr>
        <w:pStyle w:val="AERbulletlistfirststyle"/>
        <w:numPr>
          <w:ilvl w:val="0"/>
          <w:numId w:val="0"/>
        </w:numPr>
        <w:tabs>
          <w:tab w:val="clear" w:pos="567"/>
        </w:tabs>
        <w:rPr>
          <w:rFonts w:ascii="Arial" w:eastAsiaTheme="minorHAnsi" w:hAnsi="Arial" w:cstheme="minorBidi"/>
          <w:sz w:val="22"/>
          <w:szCs w:val="22"/>
        </w:rPr>
      </w:pPr>
      <w:r>
        <w:rPr>
          <w:rFonts w:ascii="Arial" w:eastAsiaTheme="minorHAnsi" w:hAnsi="Arial" w:cstheme="minorBidi"/>
          <w:sz w:val="22"/>
          <w:szCs w:val="22"/>
        </w:rPr>
        <w:t xml:space="preserve">Submissions should be sent electronically to </w:t>
      </w:r>
      <w:hyperlink r:id="rId13" w:history="1">
        <w:r w:rsidR="00C07406" w:rsidRPr="00407AB3">
          <w:rPr>
            <w:rStyle w:val="Hyperlink"/>
            <w:rFonts w:ascii="Arial" w:eastAsiaTheme="minorHAnsi" w:hAnsi="Arial" w:cstheme="minorBidi"/>
            <w:sz w:val="22"/>
            <w:szCs w:val="22"/>
          </w:rPr>
          <w:t>retailcompliance@aer.gov.au</w:t>
        </w:r>
      </w:hyperlink>
      <w:r w:rsidR="00C07406">
        <w:rPr>
          <w:rFonts w:ascii="Arial" w:eastAsiaTheme="minorHAnsi" w:hAnsi="Arial" w:cstheme="minorBidi"/>
          <w:sz w:val="22"/>
          <w:szCs w:val="22"/>
        </w:rPr>
        <w:t xml:space="preserve"> </w:t>
      </w:r>
      <w:r>
        <w:rPr>
          <w:rFonts w:ascii="Arial" w:eastAsiaTheme="minorHAnsi" w:hAnsi="Arial" w:cstheme="minorBidi"/>
          <w:sz w:val="22"/>
          <w:szCs w:val="22"/>
        </w:rPr>
        <w:t xml:space="preserve">with the subject line “Draft amendments to AER Compliance Procedures and Guidelines”. Alternatively, submissions can be mailed to: </w:t>
      </w:r>
    </w:p>
    <w:p w:rsidR="00BC63DE" w:rsidRDefault="00BC63DE" w:rsidP="000749F6">
      <w:pPr>
        <w:pStyle w:val="AERbulletlistfirststyle"/>
        <w:numPr>
          <w:ilvl w:val="0"/>
          <w:numId w:val="0"/>
        </w:numPr>
        <w:tabs>
          <w:tab w:val="clear" w:pos="567"/>
        </w:tabs>
        <w:rPr>
          <w:rFonts w:ascii="Arial" w:eastAsiaTheme="minorHAnsi" w:hAnsi="Arial" w:cstheme="minorBidi"/>
          <w:sz w:val="22"/>
          <w:szCs w:val="22"/>
        </w:rPr>
      </w:pPr>
      <w:r>
        <w:rPr>
          <w:rFonts w:ascii="Arial" w:eastAsiaTheme="minorHAnsi" w:hAnsi="Arial" w:cstheme="minorBidi"/>
          <w:sz w:val="22"/>
          <w:szCs w:val="22"/>
        </w:rPr>
        <w:t xml:space="preserve">Ms Sarah Proudfoot </w:t>
      </w:r>
      <w:r>
        <w:rPr>
          <w:rFonts w:ascii="Arial" w:eastAsiaTheme="minorHAnsi" w:hAnsi="Arial" w:cstheme="minorBidi"/>
          <w:sz w:val="22"/>
          <w:szCs w:val="22"/>
        </w:rPr>
        <w:br/>
        <w:t xml:space="preserve">General Manager, Retail Markets </w:t>
      </w:r>
      <w:r>
        <w:rPr>
          <w:rFonts w:ascii="Arial" w:eastAsiaTheme="minorHAnsi" w:hAnsi="Arial" w:cstheme="minorBidi"/>
          <w:sz w:val="22"/>
          <w:szCs w:val="22"/>
        </w:rPr>
        <w:br/>
        <w:t xml:space="preserve">Australian Energy Regulator </w:t>
      </w:r>
      <w:r>
        <w:rPr>
          <w:rFonts w:ascii="Arial" w:eastAsiaTheme="minorHAnsi" w:hAnsi="Arial" w:cstheme="minorBidi"/>
          <w:sz w:val="22"/>
          <w:szCs w:val="22"/>
        </w:rPr>
        <w:br/>
        <w:t>GPO Box 520</w:t>
      </w:r>
      <w:r>
        <w:rPr>
          <w:rFonts w:ascii="Arial" w:eastAsiaTheme="minorHAnsi" w:hAnsi="Arial" w:cstheme="minorBidi"/>
          <w:sz w:val="22"/>
          <w:szCs w:val="22"/>
        </w:rPr>
        <w:br/>
        <w:t>Melbourne VIC 3001</w:t>
      </w:r>
    </w:p>
    <w:p w:rsidR="00BC63DE" w:rsidRDefault="00C07406" w:rsidP="00BC63DE">
      <w:pPr>
        <w:pStyle w:val="AERbulletlistfirststyle"/>
        <w:numPr>
          <w:ilvl w:val="0"/>
          <w:numId w:val="0"/>
        </w:numPr>
        <w:tabs>
          <w:tab w:val="clear" w:pos="567"/>
        </w:tabs>
        <w:rPr>
          <w:rFonts w:ascii="Arial" w:eastAsiaTheme="minorHAnsi" w:hAnsi="Arial" w:cstheme="minorBidi"/>
          <w:sz w:val="22"/>
          <w:szCs w:val="22"/>
        </w:rPr>
      </w:pPr>
      <w:r>
        <w:rPr>
          <w:rFonts w:ascii="Arial" w:eastAsiaTheme="minorHAnsi" w:hAnsi="Arial" w:cstheme="minorBidi"/>
          <w:sz w:val="22"/>
          <w:szCs w:val="22"/>
        </w:rPr>
        <w:t>We prefer</w:t>
      </w:r>
      <w:r w:rsidR="00BC63DE" w:rsidRPr="001A246A">
        <w:rPr>
          <w:rFonts w:ascii="Arial" w:eastAsiaTheme="minorHAnsi" w:hAnsi="Arial" w:cstheme="minorBidi"/>
          <w:sz w:val="22"/>
          <w:szCs w:val="22"/>
        </w:rPr>
        <w:t xml:space="preserve"> that all submissions be publicly available to facilitate an informed and transparent consultative process. Submissions will therefore be treated as public documents unless otherwise requested</w:t>
      </w:r>
      <w:r w:rsidR="00BC63DE">
        <w:rPr>
          <w:rFonts w:ascii="Arial" w:eastAsiaTheme="minorHAnsi" w:hAnsi="Arial" w:cstheme="minorBidi"/>
          <w:sz w:val="22"/>
          <w:szCs w:val="22"/>
        </w:rPr>
        <w:t xml:space="preserve">. Parties wishing to submit confidential information are requested to: </w:t>
      </w:r>
    </w:p>
    <w:p w:rsidR="00BC63DE" w:rsidRPr="00BC63DE" w:rsidRDefault="00BC63DE" w:rsidP="001D5901">
      <w:pPr>
        <w:pStyle w:val="AERbulletlistfirststyle"/>
        <w:numPr>
          <w:ilvl w:val="0"/>
          <w:numId w:val="13"/>
        </w:numPr>
        <w:tabs>
          <w:tab w:val="clear" w:pos="567"/>
        </w:tabs>
        <w:rPr>
          <w:rFonts w:ascii="Arial" w:eastAsiaTheme="minorHAnsi" w:hAnsi="Arial" w:cstheme="minorBidi"/>
          <w:sz w:val="22"/>
          <w:szCs w:val="22"/>
        </w:rPr>
      </w:pPr>
      <w:r w:rsidRPr="00BC63DE">
        <w:rPr>
          <w:rFonts w:ascii="Arial" w:eastAsiaTheme="minorHAnsi" w:hAnsi="Arial" w:cstheme="minorBidi"/>
          <w:sz w:val="22"/>
          <w:szCs w:val="22"/>
        </w:rPr>
        <w:t>clearly identify the information that is subject of the confidentiality claim;</w:t>
      </w:r>
    </w:p>
    <w:p w:rsidR="00BC63DE" w:rsidRPr="00BC63DE" w:rsidRDefault="00BC63DE" w:rsidP="001D5901">
      <w:pPr>
        <w:pStyle w:val="AERbulletlistfirststyle"/>
        <w:numPr>
          <w:ilvl w:val="0"/>
          <w:numId w:val="13"/>
        </w:numPr>
        <w:tabs>
          <w:tab w:val="clear" w:pos="567"/>
        </w:tabs>
        <w:rPr>
          <w:rFonts w:ascii="Arial" w:eastAsiaTheme="minorHAnsi" w:hAnsi="Arial" w:cstheme="minorBidi"/>
          <w:sz w:val="22"/>
          <w:szCs w:val="22"/>
        </w:rPr>
      </w:pPr>
      <w:proofErr w:type="gramStart"/>
      <w:r w:rsidRPr="00BC63DE">
        <w:rPr>
          <w:rFonts w:ascii="Arial" w:eastAsiaTheme="minorHAnsi" w:hAnsi="Arial" w:cstheme="minorBidi"/>
          <w:sz w:val="22"/>
          <w:szCs w:val="22"/>
        </w:rPr>
        <w:t>provide</w:t>
      </w:r>
      <w:proofErr w:type="gramEnd"/>
      <w:r w:rsidRPr="00BC63DE">
        <w:rPr>
          <w:rFonts w:ascii="Arial" w:eastAsiaTheme="minorHAnsi" w:hAnsi="Arial" w:cstheme="minorBidi"/>
          <w:sz w:val="22"/>
          <w:szCs w:val="22"/>
        </w:rPr>
        <w:t xml:space="preserve"> a non-confidential version of the submission for publication, in addition to the confidential one.</w:t>
      </w:r>
    </w:p>
    <w:p w:rsidR="00BC63DE" w:rsidRDefault="00BC63DE" w:rsidP="00BC63DE">
      <w:pPr>
        <w:pStyle w:val="AERbulletlistfirststyle"/>
        <w:numPr>
          <w:ilvl w:val="0"/>
          <w:numId w:val="0"/>
        </w:numPr>
        <w:tabs>
          <w:tab w:val="clear" w:pos="567"/>
        </w:tabs>
        <w:rPr>
          <w:rFonts w:ascii="Arial" w:eastAsiaTheme="minorHAnsi" w:hAnsi="Arial" w:cstheme="minorBidi"/>
          <w:sz w:val="22"/>
          <w:szCs w:val="22"/>
        </w:rPr>
      </w:pPr>
      <w:r>
        <w:rPr>
          <w:rFonts w:ascii="Arial" w:eastAsiaTheme="minorHAnsi" w:hAnsi="Arial" w:cstheme="minorBidi"/>
          <w:sz w:val="22"/>
          <w:szCs w:val="22"/>
        </w:rPr>
        <w:t xml:space="preserve">All non-confidential submissions will be placed on the AER’s website at </w:t>
      </w:r>
      <w:hyperlink r:id="rId14" w:history="1">
        <w:r w:rsidRPr="00407AB3">
          <w:rPr>
            <w:rStyle w:val="Hyperlink"/>
            <w:rFonts w:ascii="Arial" w:eastAsiaTheme="minorHAnsi" w:hAnsi="Arial" w:cstheme="minorBidi"/>
            <w:sz w:val="22"/>
            <w:szCs w:val="22"/>
          </w:rPr>
          <w:t>www.aer.gov.au</w:t>
        </w:r>
      </w:hyperlink>
      <w:r>
        <w:rPr>
          <w:rFonts w:ascii="Arial" w:eastAsiaTheme="minorHAnsi" w:hAnsi="Arial" w:cstheme="minorBidi"/>
          <w:sz w:val="22"/>
          <w:szCs w:val="22"/>
        </w:rPr>
        <w:t xml:space="preserve">. For further information regarding the AER’s use and disclosure of information provided to it, see the ACCC/AER Information Policy, June 2014, available on the AER’s website. </w:t>
      </w:r>
    </w:p>
    <w:p w:rsidR="00C07406" w:rsidRDefault="00BC63DE" w:rsidP="00C07406">
      <w:pPr>
        <w:pStyle w:val="AERbulletlistfirststyle"/>
        <w:numPr>
          <w:ilvl w:val="0"/>
          <w:numId w:val="0"/>
        </w:numPr>
        <w:tabs>
          <w:tab w:val="clear" w:pos="567"/>
        </w:tabs>
        <w:rPr>
          <w:rFonts w:ascii="Arial" w:eastAsiaTheme="minorHAnsi" w:hAnsi="Arial" w:cstheme="minorBidi"/>
          <w:sz w:val="22"/>
          <w:szCs w:val="22"/>
        </w:rPr>
      </w:pPr>
      <w:r>
        <w:rPr>
          <w:rFonts w:ascii="Arial" w:eastAsiaTheme="minorHAnsi" w:hAnsi="Arial" w:cstheme="minorBidi"/>
          <w:sz w:val="22"/>
          <w:szCs w:val="22"/>
        </w:rPr>
        <w:t xml:space="preserve">Enquiries about this notice, the draft instrument or about lodging </w:t>
      </w:r>
      <w:r w:rsidR="00C07406">
        <w:rPr>
          <w:rFonts w:ascii="Arial" w:eastAsiaTheme="minorHAnsi" w:hAnsi="Arial" w:cstheme="minorBidi"/>
          <w:sz w:val="22"/>
          <w:szCs w:val="22"/>
        </w:rPr>
        <w:t xml:space="preserve">submissions should be directed to </w:t>
      </w:r>
      <w:hyperlink r:id="rId15" w:history="1">
        <w:r w:rsidR="00C07406" w:rsidRPr="00407AB3">
          <w:rPr>
            <w:rStyle w:val="Hyperlink"/>
            <w:rFonts w:ascii="Arial" w:eastAsiaTheme="minorHAnsi" w:hAnsi="Arial" w:cstheme="minorBidi"/>
            <w:sz w:val="22"/>
            <w:szCs w:val="22"/>
          </w:rPr>
          <w:t>retailcompliance@aer.gov.au</w:t>
        </w:r>
      </w:hyperlink>
      <w:r w:rsidR="00C07406">
        <w:rPr>
          <w:rFonts w:ascii="Arial" w:eastAsiaTheme="minorHAnsi" w:hAnsi="Arial" w:cstheme="minorBidi"/>
          <w:sz w:val="22"/>
          <w:szCs w:val="22"/>
        </w:rPr>
        <w:t xml:space="preserve">.  </w:t>
      </w:r>
      <w:r>
        <w:rPr>
          <w:rFonts w:ascii="Arial" w:eastAsiaTheme="minorHAnsi" w:hAnsi="Arial" w:cstheme="minorBidi"/>
          <w:sz w:val="22"/>
          <w:szCs w:val="22"/>
        </w:rPr>
        <w:t xml:space="preserve"> </w:t>
      </w:r>
    </w:p>
    <w:p w:rsidR="00D3486D" w:rsidRDefault="00D3486D" w:rsidP="00C07406">
      <w:pPr>
        <w:pStyle w:val="AERbulletlistfirststyle"/>
        <w:numPr>
          <w:ilvl w:val="0"/>
          <w:numId w:val="0"/>
        </w:numPr>
        <w:tabs>
          <w:tab w:val="clear" w:pos="567"/>
        </w:tabs>
        <w:rPr>
          <w:rFonts w:ascii="Arial" w:eastAsiaTheme="minorHAnsi" w:hAnsi="Arial" w:cstheme="minorBidi"/>
          <w:sz w:val="22"/>
          <w:szCs w:val="22"/>
        </w:rPr>
      </w:pPr>
    </w:p>
    <w:p w:rsidR="00197A0D" w:rsidRDefault="00197A0D" w:rsidP="00525FA4">
      <w:pPr>
        <w:pStyle w:val="Heading1"/>
      </w:pPr>
      <w:bookmarkStart w:id="3" w:name="_Toc469301459"/>
      <w:r>
        <w:lastRenderedPageBreak/>
        <w:t>Background</w:t>
      </w:r>
      <w:bookmarkEnd w:id="3"/>
    </w:p>
    <w:p w:rsidR="00CC0944" w:rsidRDefault="00AF3EA1" w:rsidP="00CC0944">
      <w:r>
        <w:t xml:space="preserve">The AER is responsible for monitoring, investigating, enforcing and reporting on compliance with the </w:t>
      </w:r>
      <w:r w:rsidR="00C26833">
        <w:t>NERL</w:t>
      </w:r>
      <w:r>
        <w:t xml:space="preserve">, </w:t>
      </w:r>
      <w:r w:rsidR="00B5195B">
        <w:t>NERR</w:t>
      </w:r>
      <w:r>
        <w:t xml:space="preserve"> and National Regulations.</w:t>
      </w:r>
      <w:r>
        <w:rPr>
          <w:rStyle w:val="FootnoteReference"/>
        </w:rPr>
        <w:footnoteReference w:id="3"/>
      </w:r>
      <w:r w:rsidR="003E58BD">
        <w:t xml:space="preserve"> </w:t>
      </w:r>
      <w:r>
        <w:t xml:space="preserve">To support these roles, </w:t>
      </w:r>
      <w:r w:rsidR="008E44A6">
        <w:t xml:space="preserve">the </w:t>
      </w:r>
      <w:r w:rsidR="00B5195B">
        <w:t xml:space="preserve">NERL </w:t>
      </w:r>
      <w:r w:rsidR="008E44A6">
        <w:t xml:space="preserve">requires the </w:t>
      </w:r>
      <w:r w:rsidR="00BF4EB2">
        <w:t>AER to make procedures and guidelines: the AER Compliance Procedures and Guidelines (the Guidelines).</w:t>
      </w:r>
      <w:r w:rsidR="007B5F44">
        <w:rPr>
          <w:rStyle w:val="FootnoteReference"/>
        </w:rPr>
        <w:footnoteReference w:id="4"/>
      </w:r>
      <w:r w:rsidR="00BF4EB2">
        <w:t xml:space="preserve"> </w:t>
      </w:r>
      <w:r w:rsidR="00650144">
        <w:t xml:space="preserve"> </w:t>
      </w:r>
    </w:p>
    <w:p w:rsidR="00CA4E43" w:rsidRDefault="00EA61B9" w:rsidP="009232D8">
      <w:r>
        <w:t xml:space="preserve">While the AER is not limited </w:t>
      </w:r>
      <w:r w:rsidR="00A779B8">
        <w:t>in</w:t>
      </w:r>
      <w:r>
        <w:t xml:space="preserve"> </w:t>
      </w:r>
      <w:r w:rsidR="00CA4E43">
        <w:t xml:space="preserve">the information it may include in the Guidelines, the </w:t>
      </w:r>
      <w:r w:rsidR="00B5195B">
        <w:t xml:space="preserve">NERL </w:t>
      </w:r>
      <w:r w:rsidR="00CA4E43">
        <w:t>requires that the Guidelines establish:</w:t>
      </w:r>
      <w:r>
        <w:t xml:space="preserve"> </w:t>
      </w:r>
    </w:p>
    <w:p w:rsidR="00CA4E43" w:rsidRDefault="00EA61B9" w:rsidP="001D5901">
      <w:pPr>
        <w:pStyle w:val="ListParagraph"/>
        <w:numPr>
          <w:ilvl w:val="0"/>
          <w:numId w:val="15"/>
        </w:numPr>
      </w:pPr>
      <w:r>
        <w:t xml:space="preserve">a reporting framework that specifies how and when </w:t>
      </w:r>
      <w:r w:rsidR="00D3486D">
        <w:t>businesses</w:t>
      </w:r>
      <w:r>
        <w:t xml:space="preserve"> must submit information and data on their compliance to the AER;</w:t>
      </w:r>
      <w:r w:rsidR="00D3486D">
        <w:rPr>
          <w:rStyle w:val="FootnoteReference"/>
        </w:rPr>
        <w:footnoteReference w:id="5"/>
      </w:r>
      <w:r>
        <w:t xml:space="preserve"> and</w:t>
      </w:r>
    </w:p>
    <w:p w:rsidR="00EA61B9" w:rsidRDefault="00EA61B9" w:rsidP="001D5901">
      <w:pPr>
        <w:pStyle w:val="ListParagraph"/>
        <w:numPr>
          <w:ilvl w:val="0"/>
          <w:numId w:val="15"/>
        </w:numPr>
      </w:pPr>
      <w:proofErr w:type="gramStart"/>
      <w:r>
        <w:t>a</w:t>
      </w:r>
      <w:proofErr w:type="gramEnd"/>
      <w:r>
        <w:t xml:space="preserve"> process for the management of compliance audits under the </w:t>
      </w:r>
      <w:r w:rsidR="00B026AF">
        <w:t>NERL</w:t>
      </w:r>
      <w:r>
        <w:t>, in particular how the costs of an audit conducted by or on behalf of the AER will be recovered from the relevant business.</w:t>
      </w:r>
    </w:p>
    <w:p w:rsidR="00D3486D" w:rsidRDefault="00D3486D" w:rsidP="00D3486D">
      <w:r>
        <w:t>The Guidelines therefore serves two primary purposes within the AER's compliance monitoring program, to:</w:t>
      </w:r>
    </w:p>
    <w:p w:rsidR="00D3486D" w:rsidRDefault="00D3486D" w:rsidP="00D3486D">
      <w:pPr>
        <w:pStyle w:val="ListParagraph"/>
        <w:numPr>
          <w:ilvl w:val="0"/>
          <w:numId w:val="19"/>
        </w:numPr>
      </w:pPr>
      <w:r>
        <w:t>monitor the extent to which retailers and distributors have complied with key obligations under the NERL and NERR; and</w:t>
      </w:r>
    </w:p>
    <w:p w:rsidR="00D3486D" w:rsidRDefault="00D3486D" w:rsidP="00D3486D">
      <w:pPr>
        <w:pStyle w:val="ListParagraph"/>
        <w:numPr>
          <w:ilvl w:val="0"/>
          <w:numId w:val="19"/>
        </w:numPr>
      </w:pPr>
      <w:proofErr w:type="gramStart"/>
      <w:r>
        <w:t>highlight</w:t>
      </w:r>
      <w:proofErr w:type="gramEnd"/>
      <w:r>
        <w:t xml:space="preserve"> emerging or systemic compliance issues that may warrant further attention.</w:t>
      </w:r>
    </w:p>
    <w:p w:rsidR="00E16564" w:rsidRDefault="007819C5" w:rsidP="003A5F7D">
      <w:r>
        <w:t>In July 2011, t</w:t>
      </w:r>
      <w:r w:rsidR="00650144">
        <w:t xml:space="preserve">he first version of the Guidelines was </w:t>
      </w:r>
      <w:r>
        <w:t xml:space="preserve">established prior to the commencement of the </w:t>
      </w:r>
      <w:r w:rsidR="00B5195B">
        <w:t xml:space="preserve">NERL </w:t>
      </w:r>
      <w:r w:rsidR="00650144">
        <w:t>on 1 July 2012.</w:t>
      </w:r>
      <w:r w:rsidR="003E58BD">
        <w:rPr>
          <w:rStyle w:val="FootnoteReference"/>
        </w:rPr>
        <w:footnoteReference w:id="6"/>
      </w:r>
      <w:r w:rsidR="00650144">
        <w:t xml:space="preserve"> </w:t>
      </w:r>
      <w:r w:rsidR="00E16564">
        <w:t>M</w:t>
      </w:r>
      <w:r w:rsidR="00650144">
        <w:t xml:space="preserve">inor amendments were made </w:t>
      </w:r>
      <w:r w:rsidR="00E16564">
        <w:t>in June 2012 to clarify relevant re</w:t>
      </w:r>
      <w:r w:rsidR="005226D8">
        <w:t>quirements and reinforce the</w:t>
      </w:r>
      <w:r w:rsidR="00E16564">
        <w:t xml:space="preserve"> application </w:t>
      </w:r>
      <w:r>
        <w:t>of the gu</w:t>
      </w:r>
      <w:r w:rsidR="00E16564">
        <w:t xml:space="preserve">idelines to </w:t>
      </w:r>
      <w:r w:rsidR="00D3486D">
        <w:t>businesse</w:t>
      </w:r>
      <w:r w:rsidR="00E16564">
        <w:t xml:space="preserve">s. </w:t>
      </w:r>
      <w:r>
        <w:t>These amendments were incorporated to form Version 2 of the Guidelines.</w:t>
      </w:r>
      <w:r w:rsidR="00F86A1B">
        <w:rPr>
          <w:rStyle w:val="FootnoteReference"/>
        </w:rPr>
        <w:footnoteReference w:id="7"/>
      </w:r>
    </w:p>
    <w:p w:rsidR="005226D8" w:rsidRDefault="00F90D53" w:rsidP="005226D8">
      <w:r>
        <w:t>In</w:t>
      </w:r>
      <w:r w:rsidR="000533A7">
        <w:t xml:space="preserve"> June 2014, </w:t>
      </w:r>
      <w:r w:rsidR="00DF253E">
        <w:t>we</w:t>
      </w:r>
      <w:r w:rsidR="000533A7">
        <w:t xml:space="preserve"> </w:t>
      </w:r>
      <w:r w:rsidR="008B71B8">
        <w:t>undertook</w:t>
      </w:r>
      <w:r w:rsidR="000533A7">
        <w:t xml:space="preserve"> a consultation </w:t>
      </w:r>
      <w:r w:rsidR="005226D8">
        <w:t xml:space="preserve">process </w:t>
      </w:r>
      <w:r w:rsidR="00C26833">
        <w:t>to amend</w:t>
      </w:r>
      <w:r w:rsidR="005226D8">
        <w:t xml:space="preserve"> </w:t>
      </w:r>
      <w:r w:rsidR="00C26833">
        <w:t>Version 2 of the G</w:t>
      </w:r>
      <w:r w:rsidR="005226D8">
        <w:t xml:space="preserve">uidelines </w:t>
      </w:r>
      <w:r w:rsidR="00A55D47">
        <w:t xml:space="preserve">to </w:t>
      </w:r>
      <w:r w:rsidR="00DE6262">
        <w:t xml:space="preserve">further </w:t>
      </w:r>
      <w:r w:rsidR="00A55D47">
        <w:t xml:space="preserve">refine the reporting framework and improve the quality of reports submitted by </w:t>
      </w:r>
      <w:r w:rsidR="00DE6262">
        <w:t>businesses</w:t>
      </w:r>
      <w:r w:rsidR="00A55D47">
        <w:t>.</w:t>
      </w:r>
      <w:r w:rsidR="00C26833">
        <w:t xml:space="preserve"> Following consideration of </w:t>
      </w:r>
      <w:r w:rsidR="00A55D47">
        <w:t xml:space="preserve">submissions and discussions with stakeholders, </w:t>
      </w:r>
      <w:r w:rsidR="00EA61B9">
        <w:t>Version 3 of the Guidelines</w:t>
      </w:r>
      <w:r w:rsidR="000D5C1F">
        <w:t xml:space="preserve"> (</w:t>
      </w:r>
      <w:r w:rsidR="00EA61B9">
        <w:t>the current G</w:t>
      </w:r>
      <w:r w:rsidR="000D5C1F">
        <w:t>uideline</w:t>
      </w:r>
      <w:r w:rsidR="00F86A1B">
        <w:t>s</w:t>
      </w:r>
      <w:r w:rsidR="000D5C1F">
        <w:t>)</w:t>
      </w:r>
      <w:r w:rsidR="00EA61B9">
        <w:t xml:space="preserve"> was released in September 2014.</w:t>
      </w:r>
      <w:r w:rsidR="00F86A1B">
        <w:rPr>
          <w:rStyle w:val="FootnoteReference"/>
        </w:rPr>
        <w:footnoteReference w:id="8"/>
      </w:r>
      <w:r w:rsidR="00EA61B9">
        <w:t xml:space="preserve"> </w:t>
      </w:r>
    </w:p>
    <w:p w:rsidR="00253017" w:rsidRDefault="00253017" w:rsidP="00253017">
      <w:pPr>
        <w:pStyle w:val="Heading2"/>
      </w:pPr>
      <w:bookmarkStart w:id="4" w:name="_Toc469301460"/>
      <w:r>
        <w:t xml:space="preserve">Relevant provisions under the </w:t>
      </w:r>
      <w:r w:rsidR="00B5195B">
        <w:t>NERL</w:t>
      </w:r>
      <w:bookmarkEnd w:id="4"/>
    </w:p>
    <w:p w:rsidR="00E9084C" w:rsidRDefault="00D56425" w:rsidP="00D56425">
      <w:r>
        <w:t xml:space="preserve">The AER is required to make the Guidelines under section 281 of the </w:t>
      </w:r>
      <w:r w:rsidR="00B026AF">
        <w:t>NERL</w:t>
      </w:r>
      <w:r>
        <w:t xml:space="preserve">. </w:t>
      </w:r>
      <w:r w:rsidR="002A6F12">
        <w:t xml:space="preserve">The Guidelines outline the manner and form (including dates) in which </w:t>
      </w:r>
      <w:r w:rsidR="00B2580F">
        <w:t>businesses</w:t>
      </w:r>
      <w:r w:rsidR="002A6F12">
        <w:t xml:space="preserve"> must submit information and data on compliance to the AER.</w:t>
      </w:r>
    </w:p>
    <w:p w:rsidR="00D56425" w:rsidRDefault="00D56425" w:rsidP="00D56425">
      <w:r>
        <w:t xml:space="preserve">Section 273 of the </w:t>
      </w:r>
      <w:r w:rsidR="00B5195B">
        <w:t xml:space="preserve">NERL </w:t>
      </w:r>
      <w:r>
        <w:t xml:space="preserve">requires </w:t>
      </w:r>
      <w:r w:rsidR="00DE6262">
        <w:t>businesses</w:t>
      </w:r>
      <w:r>
        <w:t xml:space="preserve"> to establish policies, systems and procedures to enable them to efficiently and effectively monitor their compliance with the requirements of the </w:t>
      </w:r>
      <w:r w:rsidR="00B5195B">
        <w:t xml:space="preserve">NERL </w:t>
      </w:r>
      <w:r>
        <w:t xml:space="preserve">and </w:t>
      </w:r>
      <w:r w:rsidR="00B5195B">
        <w:t>NERR</w:t>
      </w:r>
      <w:r>
        <w:t xml:space="preserve"> in accordance with the Guidelines. </w:t>
      </w:r>
    </w:p>
    <w:p w:rsidR="00D56425" w:rsidRDefault="00D56425" w:rsidP="00D56425">
      <w:r>
        <w:lastRenderedPageBreak/>
        <w:t xml:space="preserve">Related to this, section 274 of the </w:t>
      </w:r>
      <w:r w:rsidR="00B5195B">
        <w:t xml:space="preserve">NERL </w:t>
      </w:r>
      <w:r>
        <w:t xml:space="preserve">requires </w:t>
      </w:r>
      <w:r w:rsidR="00DE6262">
        <w:t>businesses</w:t>
      </w:r>
      <w:r>
        <w:t xml:space="preserve"> to submit compliance information and data to the AER in the manner and form required by the Guidelines. </w:t>
      </w:r>
    </w:p>
    <w:p w:rsidR="00EE5C52" w:rsidRDefault="002A6F12" w:rsidP="002A6F12">
      <w:r>
        <w:t xml:space="preserve">In addition, </w:t>
      </w:r>
      <w:r w:rsidR="00EE5C52">
        <w:t>the AER is able to carry out or arrange for</w:t>
      </w:r>
      <w:r w:rsidR="008F4959">
        <w:t xml:space="preserve"> a third party to carry out </w:t>
      </w:r>
      <w:r w:rsidR="00EE5C52">
        <w:t xml:space="preserve">compliance audits on a </w:t>
      </w:r>
      <w:r w:rsidR="00F11BCE">
        <w:t>business</w:t>
      </w:r>
      <w:r w:rsidR="00EE5C52">
        <w:t xml:space="preserve"> under section 275 of the </w:t>
      </w:r>
      <w:r w:rsidR="00042365">
        <w:t>NERL</w:t>
      </w:r>
      <w:r w:rsidR="00EE5C52">
        <w:t>.</w:t>
      </w:r>
      <w:r w:rsidR="00600629">
        <w:t xml:space="preserve"> </w:t>
      </w:r>
      <w:r w:rsidR="00B37886">
        <w:t>A compliance audit under this section can be used to assess any or all the activities</w:t>
      </w:r>
      <w:r w:rsidR="00F11BCE">
        <w:t xml:space="preserve"> of a business </w:t>
      </w:r>
      <w:r w:rsidR="00B37886">
        <w:t xml:space="preserve">for the purpose of assessing the requirements of the legal framework. </w:t>
      </w:r>
      <w:r w:rsidR="00600629">
        <w:t xml:space="preserve">The AER may also require </w:t>
      </w:r>
      <w:r w:rsidR="00FD06BD">
        <w:t xml:space="preserve">a compliance audit to be carried out by the </w:t>
      </w:r>
      <w:r w:rsidR="00B2580F">
        <w:t xml:space="preserve">business </w:t>
      </w:r>
      <w:r w:rsidR="00600629">
        <w:t xml:space="preserve">under section 276 of the </w:t>
      </w:r>
      <w:r w:rsidR="00B37886">
        <w:t>NERL; the business can be required to carry out a compliance audit in connection with specified aspects of the activities of the business in relation to its compliance with the legal framework.</w:t>
      </w:r>
    </w:p>
    <w:p w:rsidR="002A6F12" w:rsidRPr="002A6F12" w:rsidRDefault="00600629" w:rsidP="002A6F12">
      <w:r>
        <w:t xml:space="preserve">Section 277 </w:t>
      </w:r>
      <w:r w:rsidR="00F46C12">
        <w:t xml:space="preserve">and 278 </w:t>
      </w:r>
      <w:r>
        <w:t xml:space="preserve">of the </w:t>
      </w:r>
      <w:r w:rsidR="00B5195B">
        <w:t xml:space="preserve">NERL </w:t>
      </w:r>
      <w:r>
        <w:t xml:space="preserve">provides that </w:t>
      </w:r>
      <w:r w:rsidR="00F46C12">
        <w:t>a compl</w:t>
      </w:r>
      <w:r w:rsidR="00FD06BD">
        <w:t xml:space="preserve">iance audit must be carried out, and the costs of conducting the audit to be determined, </w:t>
      </w:r>
      <w:r w:rsidR="00F46C12">
        <w:t xml:space="preserve">in accordance with the Guidelines. </w:t>
      </w:r>
      <w:r w:rsidR="00FD06BD">
        <w:t xml:space="preserve">The Guidelines must therefore include guidance on the carrying out of compliance audits, and the costs payable by </w:t>
      </w:r>
      <w:r w:rsidR="00F11BCE">
        <w:t>businesses</w:t>
      </w:r>
      <w:r w:rsidR="00FD06BD">
        <w:t xml:space="preserve"> in relation to conducting the audits.  </w:t>
      </w:r>
    </w:p>
    <w:p w:rsidR="00FD06BD" w:rsidRDefault="00FD06BD" w:rsidP="00FD06BD">
      <w:r>
        <w:t xml:space="preserve">Requirements under the Guidelines are binding on </w:t>
      </w:r>
      <w:r w:rsidR="00DE6262">
        <w:t>businesses</w:t>
      </w:r>
      <w:r>
        <w:t xml:space="preserve"> operating in states that apply the </w:t>
      </w:r>
      <w:r w:rsidR="00042365">
        <w:t>NERL</w:t>
      </w:r>
      <w:r w:rsidR="00DE6262">
        <w:t xml:space="preserve"> and any failure in these requirements is </w:t>
      </w:r>
      <w:r>
        <w:t xml:space="preserve">a breach of the </w:t>
      </w:r>
      <w:r w:rsidR="00042365">
        <w:t>NERL</w:t>
      </w:r>
      <w:r>
        <w:t>. In the event of a contravention, the AER may utilise its investigation and enforcement powers, including for example, infringement notices, enforceable undertakings and civil proceedings.</w:t>
      </w:r>
    </w:p>
    <w:p w:rsidR="00480CEA" w:rsidRDefault="00480CEA" w:rsidP="00480CEA">
      <w:r>
        <w:t xml:space="preserve">The AER can amend the Guidelines at any time, but must do so in accordance with the retail consultation procedure set out in rule 173 of the </w:t>
      </w:r>
      <w:r w:rsidR="00B5195B">
        <w:t>NERR</w:t>
      </w:r>
      <w:r>
        <w:t xml:space="preserve">. The notice of draft instrument and Draft Guidelines are the first step in this process. </w:t>
      </w:r>
    </w:p>
    <w:p w:rsidR="001307CD" w:rsidRDefault="009232D8" w:rsidP="001307CD">
      <w:pPr>
        <w:pStyle w:val="Heading2"/>
      </w:pPr>
      <w:bookmarkStart w:id="5" w:name="_Toc469301461"/>
      <w:r>
        <w:t>New rules</w:t>
      </w:r>
      <w:bookmarkEnd w:id="5"/>
    </w:p>
    <w:p w:rsidR="00250106" w:rsidRDefault="00250106" w:rsidP="00C7456B">
      <w:r>
        <w:t>Since the 2014 review of the Guideline</w:t>
      </w:r>
      <w:r w:rsidR="00481B20">
        <w:t>s</w:t>
      </w:r>
      <w:r>
        <w:t>, the</w:t>
      </w:r>
      <w:r w:rsidR="00654C20">
        <w:t xml:space="preserve"> AEMC</w:t>
      </w:r>
      <w:r>
        <w:t xml:space="preserve"> ha</w:t>
      </w:r>
      <w:r w:rsidR="00AE390E">
        <w:t>s made a numb</w:t>
      </w:r>
      <w:r w:rsidR="00C730C7">
        <w:t xml:space="preserve">er of rule changes to the NERR. </w:t>
      </w:r>
      <w:r w:rsidR="00481B20">
        <w:t xml:space="preserve">These </w:t>
      </w:r>
      <w:r w:rsidR="00C730C7">
        <w:t>have arisen out of the following rule determinations:</w:t>
      </w:r>
    </w:p>
    <w:p w:rsidR="000D1955" w:rsidRPr="000D1955" w:rsidRDefault="000D1955" w:rsidP="001D5901">
      <w:pPr>
        <w:pStyle w:val="ListParagraph"/>
        <w:numPr>
          <w:ilvl w:val="0"/>
          <w:numId w:val="18"/>
        </w:numPr>
      </w:pPr>
      <w:r>
        <w:rPr>
          <w:i/>
        </w:rPr>
        <w:t>Meter read and billing frequency</w:t>
      </w:r>
      <w:r>
        <w:t>, Rule Determination, 23 June 2016 (</w:t>
      </w:r>
      <w:r w:rsidR="00A12EAE">
        <w:t>B</w:t>
      </w:r>
      <w:r>
        <w:t>illing frequency rule change)</w:t>
      </w:r>
    </w:p>
    <w:p w:rsidR="00AE390E" w:rsidRDefault="00AE390E" w:rsidP="001D5901">
      <w:pPr>
        <w:pStyle w:val="ListParagraph"/>
        <w:numPr>
          <w:ilvl w:val="0"/>
          <w:numId w:val="18"/>
        </w:numPr>
      </w:pPr>
      <w:r w:rsidRPr="007D084B">
        <w:rPr>
          <w:i/>
        </w:rPr>
        <w:t>Expanding competition in metering and related services</w:t>
      </w:r>
      <w:r>
        <w:t>, Rule Determination, 26 November 2015 (</w:t>
      </w:r>
      <w:r w:rsidR="00C573A5">
        <w:t>Metering r</w:t>
      </w:r>
      <w:r>
        <w:t xml:space="preserve">ule </w:t>
      </w:r>
      <w:r w:rsidR="00C573A5">
        <w:t>c</w:t>
      </w:r>
      <w:r>
        <w:t>hange)</w:t>
      </w:r>
    </w:p>
    <w:p w:rsidR="00C730C7" w:rsidRDefault="00C730C7" w:rsidP="001D5901">
      <w:pPr>
        <w:pStyle w:val="ListParagraph"/>
        <w:numPr>
          <w:ilvl w:val="0"/>
          <w:numId w:val="18"/>
        </w:numPr>
      </w:pPr>
      <w:r w:rsidRPr="007D084B">
        <w:rPr>
          <w:i/>
        </w:rPr>
        <w:t>Customer access to information</w:t>
      </w:r>
      <w:r w:rsidR="007D084B" w:rsidRPr="007D084B">
        <w:rPr>
          <w:i/>
        </w:rPr>
        <w:t xml:space="preserve"> about their energy consumption</w:t>
      </w:r>
      <w:r w:rsidR="00F4030C">
        <w:t xml:space="preserve">, Rule Determination, </w:t>
      </w:r>
      <w:r>
        <w:t>6 November 2014</w:t>
      </w:r>
      <w:r w:rsidR="00B45974">
        <w:t xml:space="preserve"> (Energy consumption information rule change)</w:t>
      </w:r>
    </w:p>
    <w:p w:rsidR="00481B20" w:rsidRDefault="00481B20" w:rsidP="00481B20">
      <w:r>
        <w:t xml:space="preserve">These rule changes introduces a number of new obligations on retailers and distributors under the NERR. </w:t>
      </w:r>
    </w:p>
    <w:p w:rsidR="000D1955" w:rsidRDefault="00A12EAE" w:rsidP="00C7456B">
      <w:pPr>
        <w:rPr>
          <w:rStyle w:val="IntenseEmphasis"/>
          <w:b w:val="0"/>
          <w:i w:val="0"/>
        </w:rPr>
      </w:pPr>
      <w:r>
        <w:rPr>
          <w:rStyle w:val="IntenseEmphasis"/>
        </w:rPr>
        <w:t>B</w:t>
      </w:r>
      <w:r w:rsidR="000D1955">
        <w:rPr>
          <w:rStyle w:val="IntenseEmphasis"/>
        </w:rPr>
        <w:t>illing frequency rule change</w:t>
      </w:r>
    </w:p>
    <w:p w:rsidR="000D1955" w:rsidRDefault="009569C1" w:rsidP="00C7456B">
      <w:pPr>
        <w:rPr>
          <w:rStyle w:val="IntenseEmphasis"/>
          <w:b w:val="0"/>
          <w:i w:val="0"/>
        </w:rPr>
      </w:pPr>
      <w:r>
        <w:rPr>
          <w:rStyle w:val="IntenseEmphasis"/>
          <w:b w:val="0"/>
          <w:i w:val="0"/>
        </w:rPr>
        <w:t xml:space="preserve">In June 2016, </w:t>
      </w:r>
      <w:r w:rsidR="008B0D1F">
        <w:rPr>
          <w:rStyle w:val="IntenseEmphasis"/>
          <w:b w:val="0"/>
          <w:i w:val="0"/>
        </w:rPr>
        <w:t xml:space="preserve">the AEMC made a determination to change the frequency </w:t>
      </w:r>
      <w:r w:rsidR="00E2428D">
        <w:rPr>
          <w:rStyle w:val="IntenseEmphasis"/>
          <w:b w:val="0"/>
          <w:i w:val="0"/>
        </w:rPr>
        <w:t>with which</w:t>
      </w:r>
      <w:r w:rsidR="008B0D1F">
        <w:rPr>
          <w:rStyle w:val="IntenseEmphasis"/>
          <w:b w:val="0"/>
          <w:i w:val="0"/>
        </w:rPr>
        <w:t xml:space="preserve"> a retailer must issue bills to customers on standard retail contracts.</w:t>
      </w:r>
      <w:r w:rsidR="008B0D1F">
        <w:rPr>
          <w:rStyle w:val="FootnoteReference"/>
          <w:bCs/>
          <w:iCs/>
        </w:rPr>
        <w:footnoteReference w:id="9"/>
      </w:r>
      <w:r w:rsidR="008B0D1F">
        <w:rPr>
          <w:rStyle w:val="IntenseEmphasis"/>
          <w:b w:val="0"/>
          <w:i w:val="0"/>
        </w:rPr>
        <w:t xml:space="preserve"> The determination changed the previous requirement of</w:t>
      </w:r>
      <w:r w:rsidR="00CA5DBE">
        <w:rPr>
          <w:rStyle w:val="IntenseEmphasis"/>
          <w:b w:val="0"/>
          <w:i w:val="0"/>
        </w:rPr>
        <w:t xml:space="preserve"> </w:t>
      </w:r>
      <w:r w:rsidR="00E2428D">
        <w:rPr>
          <w:rStyle w:val="IntenseEmphasis"/>
          <w:b w:val="0"/>
          <w:i w:val="0"/>
        </w:rPr>
        <w:t>‘</w:t>
      </w:r>
      <w:r w:rsidR="00CA5DBE" w:rsidRPr="00A779B8">
        <w:rPr>
          <w:rStyle w:val="IntenseEmphasis"/>
          <w:b w:val="0"/>
        </w:rPr>
        <w:t>every</w:t>
      </w:r>
      <w:r w:rsidR="008B0D1F" w:rsidRPr="00A779B8">
        <w:rPr>
          <w:rStyle w:val="IntenseEmphasis"/>
          <w:b w:val="0"/>
        </w:rPr>
        <w:t xml:space="preserve"> </w:t>
      </w:r>
      <w:r w:rsidR="00AA50BB">
        <w:rPr>
          <w:rStyle w:val="IntenseEmphasis"/>
          <w:b w:val="0"/>
        </w:rPr>
        <w:t>3</w:t>
      </w:r>
      <w:r w:rsidR="00AA50BB" w:rsidRPr="00A779B8">
        <w:rPr>
          <w:rStyle w:val="IntenseEmphasis"/>
          <w:b w:val="0"/>
        </w:rPr>
        <w:t xml:space="preserve"> </w:t>
      </w:r>
      <w:r w:rsidR="008B0D1F" w:rsidRPr="00A779B8">
        <w:rPr>
          <w:rStyle w:val="IntenseEmphasis"/>
          <w:b w:val="0"/>
        </w:rPr>
        <w:t>months</w:t>
      </w:r>
      <w:r w:rsidR="00E2428D">
        <w:rPr>
          <w:rStyle w:val="IntenseEmphasis"/>
          <w:b w:val="0"/>
          <w:i w:val="0"/>
        </w:rPr>
        <w:t>’</w:t>
      </w:r>
      <w:r w:rsidR="00AA50BB">
        <w:rPr>
          <w:rStyle w:val="IntenseEmphasis"/>
          <w:b w:val="0"/>
          <w:i w:val="0"/>
        </w:rPr>
        <w:t>,</w:t>
      </w:r>
      <w:r w:rsidR="008B0D1F">
        <w:rPr>
          <w:rStyle w:val="IntenseEmphasis"/>
          <w:b w:val="0"/>
          <w:i w:val="0"/>
        </w:rPr>
        <w:t xml:space="preserve"> to allow a </w:t>
      </w:r>
      <w:r w:rsidR="008B0D1F" w:rsidRPr="00A779B8">
        <w:rPr>
          <w:rStyle w:val="IntenseEmphasis"/>
          <w:b w:val="0"/>
        </w:rPr>
        <w:t xml:space="preserve">retailer at least 100 days </w:t>
      </w:r>
      <w:r w:rsidR="008B0D1F">
        <w:rPr>
          <w:rStyle w:val="IntenseEmphasis"/>
          <w:b w:val="0"/>
          <w:i w:val="0"/>
        </w:rPr>
        <w:t>to issue a bill to its customers.</w:t>
      </w:r>
      <w:r w:rsidR="008B0D1F">
        <w:rPr>
          <w:rStyle w:val="FootnoteReference"/>
          <w:bCs/>
          <w:iCs/>
        </w:rPr>
        <w:footnoteReference w:id="10"/>
      </w:r>
      <w:r w:rsidR="008B0D1F">
        <w:rPr>
          <w:rStyle w:val="IntenseEmphasis"/>
          <w:b w:val="0"/>
          <w:i w:val="0"/>
        </w:rPr>
        <w:t xml:space="preserve"> </w:t>
      </w:r>
    </w:p>
    <w:p w:rsidR="00826CC6" w:rsidRDefault="009569C1" w:rsidP="00C7456B">
      <w:pPr>
        <w:rPr>
          <w:rStyle w:val="IntenseEmphasis"/>
          <w:b w:val="0"/>
          <w:i w:val="0"/>
        </w:rPr>
      </w:pPr>
      <w:r>
        <w:rPr>
          <w:rStyle w:val="IntenseEmphasis"/>
          <w:b w:val="0"/>
          <w:i w:val="0"/>
        </w:rPr>
        <w:t xml:space="preserve">While most customers will continue to receive a bill once every three months, the effect of the rule change is that a customer may receive a bill that is delayed by up to eight days </w:t>
      </w:r>
      <w:r w:rsidR="00A12EAE">
        <w:rPr>
          <w:rStyle w:val="IntenseEmphasis"/>
          <w:b w:val="0"/>
          <w:i w:val="0"/>
        </w:rPr>
        <w:t>where actual data is available</w:t>
      </w:r>
      <w:r>
        <w:rPr>
          <w:rStyle w:val="IntenseEmphasis"/>
          <w:b w:val="0"/>
          <w:i w:val="0"/>
        </w:rPr>
        <w:t xml:space="preserve">. The rule change is therefore intended to </w:t>
      </w:r>
      <w:r w:rsidR="008B0D1F">
        <w:rPr>
          <w:rStyle w:val="IntenseEmphasis"/>
          <w:b w:val="0"/>
          <w:i w:val="0"/>
        </w:rPr>
        <w:t>clarify the</w:t>
      </w:r>
      <w:r w:rsidR="00CA5DBE">
        <w:rPr>
          <w:rStyle w:val="IntenseEmphasis"/>
          <w:b w:val="0"/>
          <w:i w:val="0"/>
        </w:rPr>
        <w:t xml:space="preserve"> maximum</w:t>
      </w:r>
      <w:r w:rsidR="008B0D1F">
        <w:rPr>
          <w:rStyle w:val="IntenseEmphasis"/>
          <w:b w:val="0"/>
          <w:i w:val="0"/>
        </w:rPr>
        <w:t xml:space="preserve"> </w:t>
      </w:r>
      <w:r w:rsidR="008B0D1F">
        <w:rPr>
          <w:rStyle w:val="IntenseEmphasis"/>
          <w:b w:val="0"/>
          <w:i w:val="0"/>
        </w:rPr>
        <w:lastRenderedPageBreak/>
        <w:t xml:space="preserve">timeframe for when a retailer must issue a bill and reduce </w:t>
      </w:r>
      <w:r>
        <w:rPr>
          <w:rStyle w:val="IntenseEmphasis"/>
          <w:b w:val="0"/>
          <w:i w:val="0"/>
        </w:rPr>
        <w:t>the use of estimated bills</w:t>
      </w:r>
      <w:r w:rsidR="008B0D1F">
        <w:rPr>
          <w:rStyle w:val="IntenseEmphasis"/>
          <w:b w:val="0"/>
          <w:i w:val="0"/>
        </w:rPr>
        <w:t xml:space="preserve">. </w:t>
      </w:r>
      <w:r w:rsidR="00A12EAE">
        <w:rPr>
          <w:rStyle w:val="IntenseEmphasis"/>
          <w:b w:val="0"/>
          <w:i w:val="0"/>
        </w:rPr>
        <w:t>The new r</w:t>
      </w:r>
      <w:r>
        <w:rPr>
          <w:rStyle w:val="IntenseEmphasis"/>
          <w:b w:val="0"/>
          <w:i w:val="0"/>
        </w:rPr>
        <w:t>ule c</w:t>
      </w:r>
      <w:r w:rsidR="00A12EAE">
        <w:rPr>
          <w:rStyle w:val="IntenseEmphasis"/>
          <w:b w:val="0"/>
          <w:i w:val="0"/>
        </w:rPr>
        <w:t>ommenced on</w:t>
      </w:r>
      <w:r>
        <w:rPr>
          <w:rStyle w:val="IntenseEmphasis"/>
          <w:b w:val="0"/>
          <w:i w:val="0"/>
        </w:rPr>
        <w:t xml:space="preserve"> 23 June 2016</w:t>
      </w:r>
      <w:r w:rsidR="00826CC6">
        <w:rPr>
          <w:rStyle w:val="IntenseEmphasis"/>
          <w:b w:val="0"/>
          <w:i w:val="0"/>
        </w:rPr>
        <w:t>.</w:t>
      </w:r>
    </w:p>
    <w:p w:rsidR="00481B20" w:rsidRPr="00481B20" w:rsidRDefault="00B45974" w:rsidP="00C7456B">
      <w:pPr>
        <w:rPr>
          <w:rStyle w:val="IntenseEmphasis"/>
        </w:rPr>
      </w:pPr>
      <w:r>
        <w:rPr>
          <w:rStyle w:val="IntenseEmphasis"/>
        </w:rPr>
        <w:t xml:space="preserve">The Metering </w:t>
      </w:r>
      <w:r w:rsidR="00C573A5">
        <w:rPr>
          <w:rStyle w:val="IntenseEmphasis"/>
        </w:rPr>
        <w:t>r</w:t>
      </w:r>
      <w:r w:rsidR="00481B20" w:rsidRPr="00481B20">
        <w:rPr>
          <w:rStyle w:val="IntenseEmphasis"/>
        </w:rPr>
        <w:t xml:space="preserve">ule </w:t>
      </w:r>
      <w:r w:rsidR="00C573A5">
        <w:rPr>
          <w:rStyle w:val="IntenseEmphasis"/>
        </w:rPr>
        <w:t>c</w:t>
      </w:r>
      <w:r w:rsidR="00481B20" w:rsidRPr="00481B20">
        <w:rPr>
          <w:rStyle w:val="IntenseEmphasis"/>
        </w:rPr>
        <w:t>hange</w:t>
      </w:r>
    </w:p>
    <w:p w:rsidR="00623851" w:rsidRDefault="000263DC" w:rsidP="00D50D3E">
      <w:r w:rsidRPr="000263DC">
        <w:t xml:space="preserve">In November 2015, the AEMC </w:t>
      </w:r>
      <w:r w:rsidR="00826CC6">
        <w:t xml:space="preserve">made a final </w:t>
      </w:r>
      <w:r w:rsidRPr="000263DC">
        <w:t>rule to expand competition in metering and related services.</w:t>
      </w:r>
      <w:r w:rsidRPr="000263DC">
        <w:rPr>
          <w:vertAlign w:val="superscript"/>
        </w:rPr>
        <w:footnoteReference w:id="11"/>
      </w:r>
      <w:r w:rsidR="00623851">
        <w:t xml:space="preserve"> </w:t>
      </w:r>
      <w:r w:rsidR="00D50D3E">
        <w:t xml:space="preserve">The </w:t>
      </w:r>
      <w:r w:rsidR="00826CC6">
        <w:t>new rule</w:t>
      </w:r>
      <w:r w:rsidR="00D50D3E">
        <w:t xml:space="preserve"> seeks to </w:t>
      </w:r>
      <w:r w:rsidR="00826CC6">
        <w:t>promote the</w:t>
      </w:r>
      <w:r w:rsidR="00D50D3E">
        <w:t xml:space="preserve"> deployment of advanced meters</w:t>
      </w:r>
      <w:r w:rsidR="00826CC6">
        <w:t xml:space="preserve"> </w:t>
      </w:r>
      <w:r w:rsidR="00D50D3E">
        <w:t>or smart meters</w:t>
      </w:r>
      <w:r w:rsidR="00826CC6">
        <w:t xml:space="preserve"> that can provide consumers with new </w:t>
      </w:r>
      <w:r w:rsidR="00D50D3E">
        <w:t xml:space="preserve">products and services options. To facilitate this, a number of changes were made to the </w:t>
      </w:r>
      <w:r w:rsidR="006D690C">
        <w:t>NEL</w:t>
      </w:r>
      <w:r w:rsidR="00D50D3E">
        <w:t xml:space="preserve"> and to the NERR.  </w:t>
      </w:r>
    </w:p>
    <w:p w:rsidR="00623851" w:rsidRDefault="00D50D3E" w:rsidP="00C7456B">
      <w:r>
        <w:t>For the pur</w:t>
      </w:r>
      <w:r w:rsidR="00B2580F">
        <w:t>poses of this consultation, the changes</w:t>
      </w:r>
      <w:r>
        <w:t xml:space="preserve"> to the NERR </w:t>
      </w:r>
      <w:r w:rsidR="00B2580F">
        <w:t>include amendments</w:t>
      </w:r>
      <w:r>
        <w:t xml:space="preserve">: </w:t>
      </w:r>
    </w:p>
    <w:p w:rsidR="00C87698" w:rsidRDefault="00D50D3E" w:rsidP="001D5901">
      <w:pPr>
        <w:pStyle w:val="ListParagraph"/>
        <w:numPr>
          <w:ilvl w:val="0"/>
          <w:numId w:val="23"/>
        </w:numPr>
      </w:pPr>
      <w:r>
        <w:t xml:space="preserve">to reflect the introduction </w:t>
      </w:r>
      <w:r w:rsidR="00826CC6">
        <w:t xml:space="preserve">of a new </w:t>
      </w:r>
      <w:r w:rsidR="00B2580F">
        <w:t xml:space="preserve">role, the </w:t>
      </w:r>
      <w:r w:rsidR="00826CC6">
        <w:t>Metering C</w:t>
      </w:r>
      <w:r w:rsidR="00B2580F">
        <w:t xml:space="preserve">o-ordinator, </w:t>
      </w:r>
      <w:r w:rsidR="00826CC6">
        <w:t xml:space="preserve">that will </w:t>
      </w:r>
      <w:r>
        <w:t>a</w:t>
      </w:r>
      <w:r w:rsidR="00C87698">
        <w:t>ssume existing and new</w:t>
      </w:r>
      <w:r>
        <w:t xml:space="preserve"> responsibilit</w:t>
      </w:r>
      <w:r w:rsidR="00C87698">
        <w:t xml:space="preserve">ies </w:t>
      </w:r>
      <w:r w:rsidR="00826CC6">
        <w:t>for</w:t>
      </w:r>
      <w:r w:rsidR="00B2580F">
        <w:t xml:space="preserve"> metering services</w:t>
      </w:r>
      <w:r w:rsidR="00F11BCE">
        <w:t>;</w:t>
      </w:r>
    </w:p>
    <w:p w:rsidR="00D50D3E" w:rsidRPr="00C87698" w:rsidRDefault="00B2580F" w:rsidP="001D5901">
      <w:pPr>
        <w:pStyle w:val="ListParagraph"/>
        <w:numPr>
          <w:ilvl w:val="0"/>
          <w:numId w:val="23"/>
        </w:numPr>
        <w:rPr>
          <w:rStyle w:val="IntenseEmphasis"/>
          <w:b w:val="0"/>
          <w:bCs w:val="0"/>
          <w:i w:val="0"/>
          <w:iCs w:val="0"/>
          <w:color w:val="auto"/>
        </w:rPr>
      </w:pPr>
      <w:r>
        <w:t>enable</w:t>
      </w:r>
      <w:r w:rsidR="00C87698">
        <w:t xml:space="preserve"> retailers to </w:t>
      </w:r>
      <w:r w:rsidR="00AB3C96">
        <w:t>undertake</w:t>
      </w:r>
      <w:r w:rsidR="00826CC6">
        <w:t xml:space="preserve"> </w:t>
      </w:r>
      <w:r w:rsidR="00C87698">
        <w:t xml:space="preserve">planned interruption </w:t>
      </w:r>
      <w:r w:rsidR="00C87698">
        <w:rPr>
          <w:rStyle w:val="IntenseEmphasis"/>
          <w:b w:val="0"/>
          <w:i w:val="0"/>
        </w:rPr>
        <w:t>for the purpose of installing, maintaining, repairing or</w:t>
      </w:r>
      <w:r>
        <w:rPr>
          <w:rStyle w:val="IntenseEmphasis"/>
          <w:b w:val="0"/>
          <w:i w:val="0"/>
        </w:rPr>
        <w:t xml:space="preserve"> replacing an electricity meter; and</w:t>
      </w:r>
    </w:p>
    <w:p w:rsidR="00C87698" w:rsidRDefault="00B2580F" w:rsidP="001D5901">
      <w:pPr>
        <w:pStyle w:val="ListParagraph"/>
        <w:numPr>
          <w:ilvl w:val="0"/>
          <w:numId w:val="23"/>
        </w:numPr>
      </w:pPr>
      <w:proofErr w:type="gramStart"/>
      <w:r>
        <w:rPr>
          <w:rStyle w:val="IntenseEmphasis"/>
          <w:b w:val="0"/>
          <w:i w:val="0"/>
        </w:rPr>
        <w:t>to</w:t>
      </w:r>
      <w:proofErr w:type="gramEnd"/>
      <w:r>
        <w:rPr>
          <w:rStyle w:val="IntenseEmphasis"/>
          <w:b w:val="0"/>
          <w:i w:val="0"/>
        </w:rPr>
        <w:t xml:space="preserve"> require </w:t>
      </w:r>
      <w:r w:rsidR="00692271">
        <w:rPr>
          <w:rStyle w:val="IntenseEmphasis"/>
          <w:b w:val="0"/>
          <w:i w:val="0"/>
        </w:rPr>
        <w:t>retailers to prov</w:t>
      </w:r>
      <w:r>
        <w:rPr>
          <w:rStyle w:val="IntenseEmphasis"/>
          <w:b w:val="0"/>
          <w:i w:val="0"/>
        </w:rPr>
        <w:t>ide notice to small customers in relation to the</w:t>
      </w:r>
      <w:r w:rsidR="00692271">
        <w:rPr>
          <w:rStyle w:val="IntenseEmphasis"/>
          <w:b w:val="0"/>
          <w:i w:val="0"/>
        </w:rPr>
        <w:t xml:space="preserve"> deployment of new electricity meters. </w:t>
      </w:r>
    </w:p>
    <w:p w:rsidR="00250106" w:rsidRPr="0057797C" w:rsidRDefault="00250106" w:rsidP="0057797C">
      <w:r w:rsidRPr="0057797C">
        <w:t>The new rules will be effective from 1 December 2017.</w:t>
      </w:r>
    </w:p>
    <w:p w:rsidR="00250106" w:rsidRPr="00B45974" w:rsidRDefault="00B45974" w:rsidP="00C7456B">
      <w:pPr>
        <w:rPr>
          <w:b/>
          <w:i/>
        </w:rPr>
      </w:pPr>
      <w:r>
        <w:rPr>
          <w:b/>
          <w:i/>
        </w:rPr>
        <w:t>Energy consumption information rule change</w:t>
      </w:r>
    </w:p>
    <w:p w:rsidR="009B14F2" w:rsidRDefault="009B14F2" w:rsidP="009B14F2">
      <w:pPr>
        <w:tabs>
          <w:tab w:val="left" w:pos="340"/>
        </w:tabs>
        <w:spacing w:after="0" w:line="240" w:lineRule="auto"/>
      </w:pPr>
      <w:r>
        <w:t>I</w:t>
      </w:r>
      <w:r w:rsidRPr="008525AB">
        <w:t xml:space="preserve">n November 2014, the AEMC </w:t>
      </w:r>
      <w:r w:rsidR="00826CC6">
        <w:t>amended</w:t>
      </w:r>
      <w:r w:rsidRPr="008525AB">
        <w:t xml:space="preserve"> the </w:t>
      </w:r>
      <w:r>
        <w:t>NERR</w:t>
      </w:r>
      <w:r w:rsidRPr="008525AB">
        <w:t xml:space="preserve"> to make it easier for consumers to obtain information about their energy consumption and billing information from distributors and retailers</w:t>
      </w:r>
      <w:r>
        <w:t>.</w:t>
      </w:r>
      <w:r>
        <w:rPr>
          <w:rStyle w:val="FootnoteReference"/>
        </w:rPr>
        <w:footnoteReference w:id="12"/>
      </w:r>
      <w:r>
        <w:t xml:space="preserve"> </w:t>
      </w:r>
    </w:p>
    <w:p w:rsidR="009B14F2" w:rsidRDefault="009B14F2" w:rsidP="009B14F2">
      <w:pPr>
        <w:tabs>
          <w:tab w:val="left" w:pos="340"/>
        </w:tabs>
        <w:spacing w:after="0" w:line="240" w:lineRule="auto"/>
      </w:pPr>
      <w:r>
        <w:t>Relevant to this consultation, the amendments to the NERR include:</w:t>
      </w:r>
    </w:p>
    <w:p w:rsidR="009B14F2" w:rsidRDefault="009B14F2" w:rsidP="00443DDC">
      <w:pPr>
        <w:pStyle w:val="ListParagraph"/>
        <w:numPr>
          <w:ilvl w:val="0"/>
          <w:numId w:val="24"/>
        </w:numPr>
        <w:tabs>
          <w:tab w:val="left" w:pos="340"/>
        </w:tabs>
        <w:spacing w:after="0" w:line="240" w:lineRule="auto"/>
      </w:pPr>
      <w:r>
        <w:t xml:space="preserve">Provisions to allow customers to obtain their electricity consumption data from their distributor </w:t>
      </w:r>
      <w:r w:rsidR="00CA5DBE">
        <w:t>as well as their</w:t>
      </w:r>
      <w:r>
        <w:t xml:space="preserve"> retailer. These rules commenced on 1 December 2014. </w:t>
      </w:r>
    </w:p>
    <w:p w:rsidR="009B14F2" w:rsidRDefault="009B14F2" w:rsidP="00443DDC">
      <w:pPr>
        <w:pStyle w:val="ListParagraph"/>
        <w:numPr>
          <w:ilvl w:val="0"/>
          <w:numId w:val="24"/>
        </w:numPr>
        <w:tabs>
          <w:tab w:val="left" w:pos="340"/>
        </w:tabs>
        <w:spacing w:after="0" w:line="240" w:lineRule="auto"/>
      </w:pPr>
      <w:r>
        <w:t>Changes requiring retailers and distributors to comply with minimum requirements relating to the format, timeframes and costs when a customer requests their electricity consumption data. These new rules took effect on 1 March 2016.</w:t>
      </w:r>
    </w:p>
    <w:p w:rsidR="007F2C13" w:rsidRDefault="007F2C13" w:rsidP="007F2C13">
      <w:pPr>
        <w:tabs>
          <w:tab w:val="left" w:pos="340"/>
        </w:tabs>
        <w:spacing w:after="0" w:line="240" w:lineRule="auto"/>
      </w:pPr>
      <w:r>
        <w:rPr>
          <w:rStyle w:val="IntenseEmphasis"/>
        </w:rPr>
        <w:t>Other rule change proposals</w:t>
      </w:r>
    </w:p>
    <w:p w:rsidR="00AD2962" w:rsidRDefault="008F2B22" w:rsidP="007F2C13">
      <w:pPr>
        <w:tabs>
          <w:tab w:val="left" w:pos="340"/>
        </w:tabs>
        <w:spacing w:after="0" w:line="240" w:lineRule="auto"/>
      </w:pPr>
      <w:r>
        <w:t xml:space="preserve">The AEMC is consulting on its proposal to place new obligations on electricity and gas retailers who transfer small customers without informed consent. </w:t>
      </w:r>
      <w:r w:rsidR="002D525E">
        <w:t>On 27 October 201</w:t>
      </w:r>
      <w:r w:rsidR="00E2428D">
        <w:t>6</w:t>
      </w:r>
      <w:r w:rsidR="002D525E">
        <w:t>, t</w:t>
      </w:r>
      <w:r w:rsidR="00AD2962">
        <w:t xml:space="preserve">he draft rule determination, </w:t>
      </w:r>
      <w:proofErr w:type="gramStart"/>
      <w:r w:rsidR="00AD2962">
        <w:rPr>
          <w:i/>
        </w:rPr>
        <w:t>Improving</w:t>
      </w:r>
      <w:proofErr w:type="gramEnd"/>
      <w:r w:rsidR="00AD2962">
        <w:rPr>
          <w:i/>
        </w:rPr>
        <w:t xml:space="preserve"> the accuracy of customer transfers, </w:t>
      </w:r>
      <w:r w:rsidR="00AD2962">
        <w:t>was released</w:t>
      </w:r>
      <w:r w:rsidR="002D525E">
        <w:t xml:space="preserve"> for </w:t>
      </w:r>
      <w:r w:rsidR="00B802C8">
        <w:t>stakeholder comment</w:t>
      </w:r>
      <w:r w:rsidR="002D525E">
        <w:t xml:space="preserve">; submissions close 22 December 2016. </w:t>
      </w:r>
      <w:r w:rsidR="00AD2962">
        <w:t xml:space="preserve"> </w:t>
      </w:r>
    </w:p>
    <w:p w:rsidR="008F2B22" w:rsidRDefault="00AD2962" w:rsidP="007F2C13">
      <w:pPr>
        <w:tabs>
          <w:tab w:val="left" w:pos="340"/>
        </w:tabs>
        <w:spacing w:after="0" w:line="240" w:lineRule="auto"/>
      </w:pPr>
      <w:r>
        <w:t xml:space="preserve">The proposed rule change seeks to improve processes for addressing transfers that occur without consent, including erroneous transfers. The draft rule </w:t>
      </w:r>
      <w:r w:rsidR="00B802C8">
        <w:t>provides</w:t>
      </w:r>
      <w:r>
        <w:t xml:space="preserve"> that once a retailer is informed by a small customer that they have been transferred without the customer’s explicit informed </w:t>
      </w:r>
      <w:proofErr w:type="gramStart"/>
      <w:r>
        <w:t>consent,</w:t>
      </w:r>
      <w:proofErr w:type="gramEnd"/>
      <w:r>
        <w:t xml:space="preserve"> the </w:t>
      </w:r>
      <w:r w:rsidR="002D525E">
        <w:t xml:space="preserve">relevant </w:t>
      </w:r>
      <w:r>
        <w:t xml:space="preserve">retailer </w:t>
      </w:r>
      <w:r w:rsidR="002D525E">
        <w:t xml:space="preserve">is </w:t>
      </w:r>
      <w:r>
        <w:t>required</w:t>
      </w:r>
      <w:r w:rsidR="002D525E">
        <w:t xml:space="preserve"> to take specific steps to resolve the situation. These steps involve requiring retailers, amongst other things, to have processes in place to record a customer’s explicit informed consent and to re-transfer the customer.  </w:t>
      </w:r>
    </w:p>
    <w:p w:rsidR="00525FA4" w:rsidRDefault="00331A87" w:rsidP="00525FA4">
      <w:pPr>
        <w:tabs>
          <w:tab w:val="left" w:pos="340"/>
        </w:tabs>
        <w:spacing w:after="0" w:line="240" w:lineRule="auto"/>
      </w:pPr>
      <w:r>
        <w:t xml:space="preserve">As </w:t>
      </w:r>
      <w:r w:rsidR="009232D8">
        <w:t xml:space="preserve">consultation is still ongoing we </w:t>
      </w:r>
      <w:r>
        <w:t xml:space="preserve">will monitor developments </w:t>
      </w:r>
      <w:r w:rsidR="006933C6">
        <w:t>and may consider any proposed changes to the NERR as par</w:t>
      </w:r>
      <w:r w:rsidR="00525FA4">
        <w:t>t of this consultation process.</w:t>
      </w:r>
    </w:p>
    <w:p w:rsidR="002D525E" w:rsidRDefault="002D525E" w:rsidP="00525FA4">
      <w:pPr>
        <w:tabs>
          <w:tab w:val="left" w:pos="340"/>
        </w:tabs>
        <w:spacing w:after="0" w:line="240" w:lineRule="auto"/>
      </w:pPr>
      <w:r>
        <w:t xml:space="preserve">Similarly, the AER may also consider other proposed changes to the NERR that arise during this consultation period. </w:t>
      </w:r>
    </w:p>
    <w:p w:rsidR="00197A0D" w:rsidRPr="00525FA4" w:rsidRDefault="00B0740F" w:rsidP="00525FA4">
      <w:pPr>
        <w:pStyle w:val="Heading1"/>
      </w:pPr>
      <w:bookmarkStart w:id="6" w:name="_Toc469301462"/>
      <w:r w:rsidRPr="00525FA4">
        <w:lastRenderedPageBreak/>
        <w:t xml:space="preserve">Review of the </w:t>
      </w:r>
      <w:r w:rsidR="00B2580F">
        <w:t>self-</w:t>
      </w:r>
      <w:r w:rsidRPr="00525FA4">
        <w:t>reporting framework</w:t>
      </w:r>
      <w:bookmarkEnd w:id="6"/>
      <w:r w:rsidRPr="00525FA4">
        <w:t xml:space="preserve"> </w:t>
      </w:r>
    </w:p>
    <w:p w:rsidR="009232D8" w:rsidRDefault="00B2580F" w:rsidP="00D95BD5">
      <w:r>
        <w:t>Scope of this review:</w:t>
      </w:r>
    </w:p>
    <w:p w:rsidR="00E83B72" w:rsidRDefault="00E83B72" w:rsidP="001D5901">
      <w:pPr>
        <w:pStyle w:val="AERbulletlistfirststyle"/>
        <w:numPr>
          <w:ilvl w:val="0"/>
          <w:numId w:val="14"/>
        </w:numPr>
        <w:tabs>
          <w:tab w:val="clear" w:pos="567"/>
        </w:tabs>
        <w:spacing w:after="200"/>
        <w:jc w:val="both"/>
        <w:rPr>
          <w:rFonts w:ascii="Arial" w:hAnsi="Arial" w:cs="Arial"/>
          <w:sz w:val="22"/>
          <w:szCs w:val="22"/>
        </w:rPr>
      </w:pPr>
      <w:r>
        <w:rPr>
          <w:rFonts w:ascii="Arial" w:hAnsi="Arial" w:cs="Arial"/>
          <w:sz w:val="22"/>
          <w:szCs w:val="22"/>
        </w:rPr>
        <w:t>Review new rules arising fro</w:t>
      </w:r>
      <w:r w:rsidR="00D43370">
        <w:rPr>
          <w:rFonts w:ascii="Arial" w:hAnsi="Arial" w:cs="Arial"/>
          <w:sz w:val="22"/>
          <w:szCs w:val="22"/>
        </w:rPr>
        <w:t xml:space="preserve">m the AEMC rule determinations and consider whether there are any new key consumer protection provisions that need to be captured under the self-reporting framework. </w:t>
      </w:r>
    </w:p>
    <w:p w:rsidR="00C14AE7" w:rsidRDefault="00C14AE7" w:rsidP="001D5901">
      <w:pPr>
        <w:pStyle w:val="AERbulletlistfirststyle"/>
        <w:numPr>
          <w:ilvl w:val="0"/>
          <w:numId w:val="14"/>
        </w:numPr>
        <w:tabs>
          <w:tab w:val="clear" w:pos="567"/>
        </w:tabs>
        <w:spacing w:after="200"/>
        <w:jc w:val="both"/>
        <w:rPr>
          <w:rFonts w:ascii="Arial" w:hAnsi="Arial" w:cs="Arial"/>
          <w:sz w:val="22"/>
          <w:szCs w:val="22"/>
        </w:rPr>
      </w:pPr>
      <w:r w:rsidRPr="00065BEC">
        <w:rPr>
          <w:rFonts w:ascii="Arial" w:hAnsi="Arial" w:cs="Arial"/>
          <w:sz w:val="22"/>
          <w:szCs w:val="22"/>
        </w:rPr>
        <w:t>Refine the reporting framework</w:t>
      </w:r>
      <w:r>
        <w:rPr>
          <w:rFonts w:ascii="Arial" w:hAnsi="Arial" w:cs="Arial"/>
          <w:sz w:val="22"/>
          <w:szCs w:val="22"/>
        </w:rPr>
        <w:t xml:space="preserve"> </w:t>
      </w:r>
      <w:r w:rsidRPr="00065BEC">
        <w:rPr>
          <w:rFonts w:ascii="Arial" w:hAnsi="Arial" w:cs="Arial"/>
          <w:sz w:val="22"/>
          <w:szCs w:val="22"/>
        </w:rPr>
        <w:t>to</w:t>
      </w:r>
      <w:r>
        <w:rPr>
          <w:rFonts w:ascii="Arial" w:hAnsi="Arial" w:cs="Arial"/>
          <w:sz w:val="22"/>
          <w:szCs w:val="22"/>
        </w:rPr>
        <w:t xml:space="preserve"> ensure it remains consistent with the AER’s approach to compliance and need to monitor compliance, yet recognises the impact on businesses to respond to and report on breaches of the NERL and NERR. </w:t>
      </w:r>
    </w:p>
    <w:p w:rsidR="00C14AE7" w:rsidRPr="008E4A2E" w:rsidRDefault="00C14AE7" w:rsidP="001D5901">
      <w:pPr>
        <w:pStyle w:val="AERbulletlistfirststyle"/>
        <w:numPr>
          <w:ilvl w:val="0"/>
          <w:numId w:val="14"/>
        </w:numPr>
        <w:tabs>
          <w:tab w:val="clear" w:pos="567"/>
        </w:tabs>
        <w:spacing w:after="200"/>
        <w:jc w:val="both"/>
        <w:rPr>
          <w:rFonts w:ascii="Arial" w:hAnsi="Arial" w:cs="Arial"/>
          <w:sz w:val="22"/>
          <w:szCs w:val="22"/>
        </w:rPr>
      </w:pPr>
      <w:r w:rsidRPr="008E4A2E">
        <w:rPr>
          <w:rFonts w:ascii="Arial" w:hAnsi="Arial" w:cs="Arial"/>
          <w:sz w:val="22"/>
          <w:szCs w:val="22"/>
        </w:rPr>
        <w:t xml:space="preserve">Improve the quality of reports submitted so that the information provided is reliable and allows informed comparison of compliance levels over time and between businesses. </w:t>
      </w:r>
    </w:p>
    <w:p w:rsidR="00442D80" w:rsidRDefault="00442D80" w:rsidP="00442D80">
      <w:r>
        <w:t>As not all provisions under the NERL and NERR will attract a reportable obligation under the Guidelines, the AER intends to adopt a principle</w:t>
      </w:r>
      <w:r w:rsidR="00CA5DBE">
        <w:t>s</w:t>
      </w:r>
      <w:r>
        <w:t xml:space="preserve"> </w:t>
      </w:r>
      <w:r w:rsidR="00CA5DBE">
        <w:t xml:space="preserve">based </w:t>
      </w:r>
      <w:r>
        <w:t xml:space="preserve">approach to </w:t>
      </w:r>
      <w:r w:rsidR="00081D40">
        <w:t xml:space="preserve">determining the scope and elements of the self-reporting framework. </w:t>
      </w:r>
      <w:r>
        <w:t>Consistent with</w:t>
      </w:r>
      <w:r w:rsidR="00081D40">
        <w:t xml:space="preserve"> the AER’s</w:t>
      </w:r>
      <w:r w:rsidR="008E4A2E">
        <w:t xml:space="preserve"> previous review </w:t>
      </w:r>
      <w:r>
        <w:t xml:space="preserve">of the reporting framework, the following principles continue to guide proposed amendments to the Guideline: </w:t>
      </w:r>
    </w:p>
    <w:p w:rsidR="00081D40" w:rsidRPr="008E4A2E" w:rsidRDefault="008E4A2E" w:rsidP="001D5901">
      <w:pPr>
        <w:pStyle w:val="AERbulletlistfirststyle"/>
        <w:numPr>
          <w:ilvl w:val="0"/>
          <w:numId w:val="21"/>
        </w:numPr>
        <w:tabs>
          <w:tab w:val="clear" w:pos="567"/>
        </w:tabs>
        <w:spacing w:after="200"/>
        <w:jc w:val="both"/>
        <w:rPr>
          <w:rFonts w:ascii="Arial" w:hAnsi="Arial" w:cs="Arial"/>
          <w:sz w:val="22"/>
          <w:szCs w:val="22"/>
        </w:rPr>
      </w:pPr>
      <w:r w:rsidRPr="008E4A2E">
        <w:rPr>
          <w:rFonts w:ascii="Arial" w:hAnsi="Arial" w:cs="Arial"/>
          <w:sz w:val="22"/>
          <w:szCs w:val="22"/>
        </w:rPr>
        <w:t xml:space="preserve">ensure </w:t>
      </w:r>
      <w:r w:rsidR="00C573A5">
        <w:rPr>
          <w:rFonts w:ascii="Arial" w:hAnsi="Arial" w:cs="Arial"/>
          <w:sz w:val="22"/>
          <w:szCs w:val="22"/>
        </w:rPr>
        <w:t>businesses</w:t>
      </w:r>
      <w:r w:rsidR="00442D80" w:rsidRPr="008E4A2E">
        <w:rPr>
          <w:rFonts w:ascii="Arial" w:hAnsi="Arial" w:cs="Arial"/>
          <w:sz w:val="22"/>
          <w:szCs w:val="22"/>
        </w:rPr>
        <w:t xml:space="preserve"> are providing complete and adequate information to the AER to allow us to effectively measure compliance levels;</w:t>
      </w:r>
    </w:p>
    <w:p w:rsidR="00081D40" w:rsidRPr="008E4A2E" w:rsidRDefault="00442D80" w:rsidP="001D5901">
      <w:pPr>
        <w:pStyle w:val="AERbulletlistfirststyle"/>
        <w:numPr>
          <w:ilvl w:val="0"/>
          <w:numId w:val="21"/>
        </w:numPr>
        <w:tabs>
          <w:tab w:val="clear" w:pos="567"/>
        </w:tabs>
        <w:spacing w:after="200"/>
        <w:jc w:val="both"/>
        <w:rPr>
          <w:rFonts w:ascii="Arial" w:hAnsi="Arial" w:cs="Arial"/>
          <w:sz w:val="22"/>
          <w:szCs w:val="22"/>
        </w:rPr>
      </w:pPr>
      <w:r w:rsidRPr="008E4A2E">
        <w:rPr>
          <w:rFonts w:ascii="Arial" w:hAnsi="Arial" w:cs="Arial"/>
          <w:sz w:val="22"/>
          <w:szCs w:val="22"/>
        </w:rPr>
        <w:t>recognis</w:t>
      </w:r>
      <w:r w:rsidR="008E4A2E" w:rsidRPr="008E4A2E">
        <w:rPr>
          <w:rFonts w:ascii="Arial" w:hAnsi="Arial" w:cs="Arial"/>
          <w:sz w:val="22"/>
          <w:szCs w:val="22"/>
        </w:rPr>
        <w:t>e</w:t>
      </w:r>
      <w:r w:rsidRPr="008E4A2E">
        <w:rPr>
          <w:rFonts w:ascii="Arial" w:hAnsi="Arial" w:cs="Arial"/>
          <w:sz w:val="22"/>
          <w:szCs w:val="22"/>
        </w:rPr>
        <w:t xml:space="preserve"> that compliance with certain obligations can be effectively monitored via other mechanisms without imposing additional reporting obligations on </w:t>
      </w:r>
      <w:r w:rsidR="00C573A5">
        <w:rPr>
          <w:rFonts w:ascii="Arial" w:hAnsi="Arial" w:cs="Arial"/>
          <w:sz w:val="22"/>
          <w:szCs w:val="22"/>
        </w:rPr>
        <w:t>businesses</w:t>
      </w:r>
      <w:r w:rsidRPr="008E4A2E">
        <w:rPr>
          <w:rFonts w:ascii="Arial" w:hAnsi="Arial" w:cs="Arial"/>
          <w:sz w:val="22"/>
          <w:szCs w:val="22"/>
        </w:rPr>
        <w:t xml:space="preserve">; </w:t>
      </w:r>
      <w:r w:rsidR="008E4A2E" w:rsidRPr="008E4A2E">
        <w:rPr>
          <w:rFonts w:ascii="Arial" w:hAnsi="Arial" w:cs="Arial"/>
          <w:sz w:val="22"/>
          <w:szCs w:val="22"/>
        </w:rPr>
        <w:t>and</w:t>
      </w:r>
    </w:p>
    <w:p w:rsidR="00442D80" w:rsidRPr="008E4A2E" w:rsidRDefault="008E4A2E" w:rsidP="001D5901">
      <w:pPr>
        <w:pStyle w:val="AERbulletlistfirststyle"/>
        <w:numPr>
          <w:ilvl w:val="0"/>
          <w:numId w:val="21"/>
        </w:numPr>
        <w:tabs>
          <w:tab w:val="clear" w:pos="567"/>
        </w:tabs>
        <w:spacing w:after="200"/>
        <w:jc w:val="both"/>
        <w:rPr>
          <w:rFonts w:ascii="Arial" w:hAnsi="Arial" w:cs="Arial"/>
          <w:sz w:val="22"/>
          <w:szCs w:val="22"/>
        </w:rPr>
      </w:pPr>
      <w:proofErr w:type="gramStart"/>
      <w:r w:rsidRPr="008E4A2E">
        <w:rPr>
          <w:rFonts w:ascii="Arial" w:hAnsi="Arial" w:cs="Arial"/>
          <w:sz w:val="22"/>
          <w:szCs w:val="22"/>
        </w:rPr>
        <w:t>align</w:t>
      </w:r>
      <w:proofErr w:type="gramEnd"/>
      <w:r w:rsidRPr="008E4A2E">
        <w:rPr>
          <w:rFonts w:ascii="Arial" w:hAnsi="Arial" w:cs="Arial"/>
          <w:sz w:val="22"/>
          <w:szCs w:val="22"/>
        </w:rPr>
        <w:t xml:space="preserve"> the</w:t>
      </w:r>
      <w:r w:rsidR="00442D80" w:rsidRPr="008E4A2E">
        <w:rPr>
          <w:rFonts w:ascii="Arial" w:hAnsi="Arial" w:cs="Arial"/>
          <w:sz w:val="22"/>
          <w:szCs w:val="22"/>
        </w:rPr>
        <w:t xml:space="preserve"> reporting requirements with AER internal processes for investiga</w:t>
      </w:r>
      <w:r w:rsidRPr="008E4A2E">
        <w:rPr>
          <w:rFonts w:ascii="Arial" w:hAnsi="Arial" w:cs="Arial"/>
          <w:sz w:val="22"/>
          <w:szCs w:val="22"/>
        </w:rPr>
        <w:t xml:space="preserve">ting and responding to breaches. </w:t>
      </w:r>
      <w:r w:rsidR="00442D80" w:rsidRPr="008E4A2E">
        <w:rPr>
          <w:rFonts w:ascii="Arial" w:hAnsi="Arial" w:cs="Arial"/>
          <w:sz w:val="22"/>
          <w:szCs w:val="22"/>
        </w:rPr>
        <w:t xml:space="preserve"> </w:t>
      </w:r>
    </w:p>
    <w:p w:rsidR="00AB3C96" w:rsidRDefault="00442D80" w:rsidP="00442D80">
      <w:pPr>
        <w:rPr>
          <w:rFonts w:cs="Arial"/>
        </w:rPr>
      </w:pPr>
      <w:r w:rsidRPr="00065BEC">
        <w:rPr>
          <w:rFonts w:cs="Arial"/>
        </w:rPr>
        <w:t>In doing so, the amendments are intended to improve the efficiency and effectiveness of the reporting process as a compliance monitoring tool for retailers, distributors and the AER.</w:t>
      </w:r>
      <w:r w:rsidR="00CC0944">
        <w:rPr>
          <w:rFonts w:cs="Arial"/>
        </w:rPr>
        <w:t xml:space="preserve"> </w:t>
      </w:r>
      <w:r w:rsidR="00FD6B32">
        <w:rPr>
          <w:rFonts w:cs="Arial"/>
        </w:rPr>
        <w:t xml:space="preserve">Recognising that </w:t>
      </w:r>
      <w:r w:rsidR="00070C0D">
        <w:rPr>
          <w:rFonts w:cs="Arial"/>
        </w:rPr>
        <w:t>businesses will require a transition period to make the necessary changes to their reporting systems, any amendments to the reporting framework under the Guidelines will be effective from 1 July 2017.</w:t>
      </w:r>
    </w:p>
    <w:p w:rsidR="00070C0D" w:rsidRPr="001170BD" w:rsidRDefault="00070C0D" w:rsidP="00070C0D">
      <w:pPr>
        <w:pBdr>
          <w:top w:val="single" w:sz="4" w:space="1" w:color="auto"/>
          <w:left w:val="single" w:sz="4" w:space="4" w:color="auto"/>
          <w:bottom w:val="single" w:sz="4" w:space="1" w:color="auto"/>
          <w:right w:val="single" w:sz="4" w:space="4" w:color="auto"/>
        </w:pBdr>
        <w:shd w:val="clear" w:color="auto" w:fill="D9D9D9" w:themeFill="background2" w:themeFillShade="D9"/>
        <w:rPr>
          <w:rStyle w:val="IntenseEmphasis"/>
        </w:rPr>
      </w:pPr>
      <w:r w:rsidRPr="001170BD">
        <w:rPr>
          <w:rStyle w:val="IntenseEmphasis"/>
        </w:rPr>
        <w:t>Consultation questions</w:t>
      </w:r>
    </w:p>
    <w:p w:rsidR="00070C0D" w:rsidRPr="00081D40" w:rsidRDefault="0040208C" w:rsidP="00070C0D">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Pr>
          <w:rFonts w:ascii="Arial" w:hAnsi="Arial" w:cs="Arial"/>
          <w:sz w:val="22"/>
          <w:szCs w:val="22"/>
        </w:rPr>
        <w:t xml:space="preserve">Are there any </w:t>
      </w:r>
      <w:r w:rsidR="00A779B8">
        <w:rPr>
          <w:rFonts w:ascii="Arial" w:hAnsi="Arial" w:cs="Arial"/>
          <w:sz w:val="22"/>
          <w:szCs w:val="22"/>
        </w:rPr>
        <w:t xml:space="preserve">concerns </w:t>
      </w:r>
      <w:r>
        <w:rPr>
          <w:rFonts w:ascii="Arial" w:hAnsi="Arial" w:cs="Arial"/>
          <w:sz w:val="22"/>
          <w:szCs w:val="22"/>
        </w:rPr>
        <w:t>with</w:t>
      </w:r>
      <w:r w:rsidR="00070C0D">
        <w:rPr>
          <w:rFonts w:ascii="Arial" w:hAnsi="Arial" w:cs="Arial"/>
          <w:sz w:val="22"/>
          <w:szCs w:val="22"/>
        </w:rPr>
        <w:t xml:space="preserve"> </w:t>
      </w:r>
      <w:r w:rsidR="007838E4">
        <w:rPr>
          <w:rFonts w:ascii="Arial" w:hAnsi="Arial" w:cs="Arial"/>
          <w:sz w:val="22"/>
          <w:szCs w:val="22"/>
        </w:rPr>
        <w:t xml:space="preserve">implementing the </w:t>
      </w:r>
      <w:r w:rsidR="00070C0D">
        <w:rPr>
          <w:rFonts w:ascii="Arial" w:hAnsi="Arial" w:cs="Arial"/>
          <w:sz w:val="22"/>
          <w:szCs w:val="22"/>
        </w:rPr>
        <w:t xml:space="preserve">proposed amendments </w:t>
      </w:r>
      <w:r w:rsidR="007838E4">
        <w:rPr>
          <w:rFonts w:ascii="Arial" w:hAnsi="Arial" w:cs="Arial"/>
          <w:sz w:val="22"/>
          <w:szCs w:val="22"/>
        </w:rPr>
        <w:t>to</w:t>
      </w:r>
      <w:r>
        <w:rPr>
          <w:rFonts w:ascii="Arial" w:hAnsi="Arial" w:cs="Arial"/>
          <w:sz w:val="22"/>
          <w:szCs w:val="22"/>
        </w:rPr>
        <w:t xml:space="preserve"> </w:t>
      </w:r>
      <w:r w:rsidR="00070C0D">
        <w:rPr>
          <w:rFonts w:ascii="Arial" w:hAnsi="Arial" w:cs="Arial"/>
          <w:sz w:val="22"/>
          <w:szCs w:val="22"/>
        </w:rPr>
        <w:t xml:space="preserve">the reporting framework by 1 July 2017? </w:t>
      </w:r>
    </w:p>
    <w:p w:rsidR="009157F7" w:rsidRDefault="00E14CEA" w:rsidP="00D95BD5">
      <w:pPr>
        <w:pStyle w:val="Heading2"/>
      </w:pPr>
      <w:bookmarkStart w:id="7" w:name="_Toc469301463"/>
      <w:r>
        <w:t>AEMC rule changes</w:t>
      </w:r>
      <w:bookmarkEnd w:id="7"/>
    </w:p>
    <w:p w:rsidR="00DD258C" w:rsidRDefault="001B1D71" w:rsidP="001170BD">
      <w:pPr>
        <w:rPr>
          <w:rStyle w:val="IntenseEmphasis"/>
          <w:b w:val="0"/>
          <w:i w:val="0"/>
        </w:rPr>
      </w:pPr>
      <w:r>
        <w:rPr>
          <w:rStyle w:val="IntenseEmphasis"/>
          <w:b w:val="0"/>
          <w:i w:val="0"/>
        </w:rPr>
        <w:t xml:space="preserve">As discussed in </w:t>
      </w:r>
      <w:r w:rsidRPr="007A136E">
        <w:rPr>
          <w:rStyle w:val="IntenseEmphasis"/>
          <w:b w:val="0"/>
          <w:i w:val="0"/>
        </w:rPr>
        <w:t xml:space="preserve">section </w:t>
      </w:r>
      <w:r w:rsidR="00EC1373" w:rsidRPr="007A136E">
        <w:rPr>
          <w:rStyle w:val="IntenseEmphasis"/>
          <w:b w:val="0"/>
          <w:i w:val="0"/>
        </w:rPr>
        <w:t>3</w:t>
      </w:r>
      <w:r w:rsidRPr="007A136E">
        <w:rPr>
          <w:rStyle w:val="IntenseEmphasis"/>
          <w:b w:val="0"/>
          <w:i w:val="0"/>
        </w:rPr>
        <w:t>.2</w:t>
      </w:r>
      <w:r>
        <w:rPr>
          <w:rStyle w:val="IntenseEmphasis"/>
          <w:b w:val="0"/>
          <w:i w:val="0"/>
        </w:rPr>
        <w:t xml:space="preserve">, the AEMC has made a number of rule determinations </w:t>
      </w:r>
      <w:r w:rsidR="001170BD">
        <w:rPr>
          <w:rStyle w:val="IntenseEmphasis"/>
          <w:b w:val="0"/>
          <w:i w:val="0"/>
        </w:rPr>
        <w:t>since the Guideline</w:t>
      </w:r>
      <w:r w:rsidR="00EC1373">
        <w:rPr>
          <w:rStyle w:val="IntenseEmphasis"/>
          <w:b w:val="0"/>
          <w:i w:val="0"/>
        </w:rPr>
        <w:t>s</w:t>
      </w:r>
      <w:r w:rsidR="001170BD">
        <w:rPr>
          <w:rStyle w:val="IntenseEmphasis"/>
          <w:b w:val="0"/>
          <w:i w:val="0"/>
        </w:rPr>
        <w:t xml:space="preserve"> was last revised in J</w:t>
      </w:r>
      <w:r w:rsidR="00B45974">
        <w:rPr>
          <w:rStyle w:val="IntenseEmphasis"/>
          <w:b w:val="0"/>
          <w:i w:val="0"/>
        </w:rPr>
        <w:t>une 2014</w:t>
      </w:r>
      <w:r w:rsidR="00817115">
        <w:rPr>
          <w:rStyle w:val="IntenseEmphasis"/>
          <w:b w:val="0"/>
          <w:i w:val="0"/>
        </w:rPr>
        <w:t xml:space="preserve">. </w:t>
      </w:r>
    </w:p>
    <w:p w:rsidR="00A12EAE" w:rsidRDefault="00A12EAE" w:rsidP="00DD258C">
      <w:pPr>
        <w:pStyle w:val="Heading3"/>
        <w:rPr>
          <w:bCs w:val="0"/>
          <w:iCs/>
        </w:rPr>
      </w:pPr>
      <w:bookmarkStart w:id="8" w:name="_Toc469301464"/>
      <w:r>
        <w:rPr>
          <w:bCs w:val="0"/>
          <w:iCs/>
        </w:rPr>
        <w:t>Billing frequency rule change</w:t>
      </w:r>
      <w:bookmarkEnd w:id="8"/>
      <w:r>
        <w:rPr>
          <w:bCs w:val="0"/>
          <w:iCs/>
        </w:rPr>
        <w:t xml:space="preserve"> </w:t>
      </w:r>
    </w:p>
    <w:p w:rsidR="00E2606B" w:rsidRDefault="00E2606B" w:rsidP="00A12EAE">
      <w:r>
        <w:t>The</w:t>
      </w:r>
      <w:r w:rsidR="004B256D">
        <w:t xml:space="preserve"> effect of the</w:t>
      </w:r>
      <w:r>
        <w:t xml:space="preserve"> Billing frequency rule change </w:t>
      </w:r>
      <w:r w:rsidR="004B256D">
        <w:t>substituted the</w:t>
      </w:r>
      <w:r>
        <w:t xml:space="preserve"> words ‘3 months’ with ‘100 days’ in rule 29(1). </w:t>
      </w:r>
    </w:p>
    <w:p w:rsidR="00A12EAE" w:rsidRDefault="00E2606B" w:rsidP="00A12EAE">
      <w:r>
        <w:t xml:space="preserve">Rule 29(1) is already a reportable obligations under </w:t>
      </w:r>
      <w:r w:rsidR="002F106A">
        <w:t>the current Guideline</w:t>
      </w:r>
      <w:r w:rsidR="00244E3F">
        <w:t>s</w:t>
      </w:r>
      <w:r w:rsidR="002F106A">
        <w:t xml:space="preserve">; specifically, as a Type 2 obligation. We do not propose to make any amendments to the existing requirement </w:t>
      </w:r>
      <w:r w:rsidR="002F106A">
        <w:lastRenderedPageBreak/>
        <w:t>for regulated businesses to submit to the AER any potential breach</w:t>
      </w:r>
      <w:r w:rsidR="00666670">
        <w:t xml:space="preserve">es of rule 29(1) on a half </w:t>
      </w:r>
      <w:r w:rsidR="002F106A">
        <w:t xml:space="preserve">yearly basis. </w:t>
      </w:r>
    </w:p>
    <w:p w:rsidR="002F106A" w:rsidRDefault="002F106A" w:rsidP="002F106A">
      <w:pPr>
        <w:spacing w:line="240" w:lineRule="auto"/>
        <w:rPr>
          <w:sz w:val="2"/>
        </w:rPr>
      </w:pPr>
    </w:p>
    <w:p w:rsidR="002F106A" w:rsidRPr="001170BD" w:rsidRDefault="002F106A" w:rsidP="002F106A">
      <w:pPr>
        <w:pBdr>
          <w:top w:val="single" w:sz="4" w:space="1" w:color="auto"/>
          <w:left w:val="single" w:sz="4" w:space="4" w:color="auto"/>
          <w:bottom w:val="single" w:sz="4" w:space="1" w:color="auto"/>
          <w:right w:val="single" w:sz="4" w:space="4" w:color="auto"/>
        </w:pBdr>
        <w:shd w:val="clear" w:color="auto" w:fill="D9D9D9" w:themeFill="background2" w:themeFillShade="D9"/>
        <w:rPr>
          <w:rStyle w:val="IntenseEmphasis"/>
        </w:rPr>
      </w:pPr>
      <w:r w:rsidRPr="001170BD">
        <w:rPr>
          <w:rStyle w:val="IntenseEmphasis"/>
        </w:rPr>
        <w:t>Consultation questions</w:t>
      </w:r>
    </w:p>
    <w:p w:rsidR="002F106A" w:rsidRPr="00081D40" w:rsidRDefault="002F106A" w:rsidP="008610A1">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Pr>
          <w:rFonts w:ascii="Arial" w:hAnsi="Arial" w:cs="Arial"/>
          <w:sz w:val="22"/>
          <w:szCs w:val="22"/>
        </w:rPr>
        <w:t>Are there any</w:t>
      </w:r>
      <w:r w:rsidR="00C573A5">
        <w:rPr>
          <w:rFonts w:ascii="Arial" w:hAnsi="Arial" w:cs="Arial"/>
          <w:sz w:val="22"/>
          <w:szCs w:val="22"/>
        </w:rPr>
        <w:t xml:space="preserve"> issues arising out of the B</w:t>
      </w:r>
      <w:r w:rsidR="004B256D">
        <w:rPr>
          <w:rFonts w:ascii="Arial" w:hAnsi="Arial" w:cs="Arial"/>
          <w:sz w:val="22"/>
          <w:szCs w:val="22"/>
        </w:rPr>
        <w:t xml:space="preserve">illing frequency rule change that may require </w:t>
      </w:r>
      <w:r w:rsidR="009232D8">
        <w:rPr>
          <w:rFonts w:ascii="Arial" w:hAnsi="Arial" w:cs="Arial"/>
          <w:sz w:val="22"/>
          <w:szCs w:val="22"/>
        </w:rPr>
        <w:t>changes to</w:t>
      </w:r>
      <w:r w:rsidR="004B256D">
        <w:rPr>
          <w:rFonts w:ascii="Arial" w:hAnsi="Arial" w:cs="Arial"/>
          <w:sz w:val="22"/>
          <w:szCs w:val="22"/>
        </w:rPr>
        <w:t xml:space="preserve"> the </w:t>
      </w:r>
      <w:r w:rsidR="009232D8">
        <w:rPr>
          <w:rFonts w:ascii="Arial" w:hAnsi="Arial" w:cs="Arial"/>
          <w:sz w:val="22"/>
          <w:szCs w:val="22"/>
        </w:rPr>
        <w:t xml:space="preserve">current </w:t>
      </w:r>
      <w:r w:rsidR="004B256D">
        <w:rPr>
          <w:rFonts w:ascii="Arial" w:hAnsi="Arial" w:cs="Arial"/>
          <w:sz w:val="22"/>
          <w:szCs w:val="22"/>
        </w:rPr>
        <w:t xml:space="preserve">classification/frequency of reporting in relation to rule 29(1)? </w:t>
      </w:r>
    </w:p>
    <w:p w:rsidR="00DD258C" w:rsidRPr="00DD258C" w:rsidRDefault="000B02A3" w:rsidP="00DD258C">
      <w:pPr>
        <w:pStyle w:val="Heading3"/>
        <w:rPr>
          <w:bCs w:val="0"/>
          <w:iCs/>
        </w:rPr>
      </w:pPr>
      <w:bookmarkStart w:id="9" w:name="_Toc469301465"/>
      <w:r>
        <w:rPr>
          <w:bCs w:val="0"/>
          <w:iCs/>
        </w:rPr>
        <w:t xml:space="preserve">Metering </w:t>
      </w:r>
      <w:r w:rsidR="00C573A5">
        <w:rPr>
          <w:bCs w:val="0"/>
          <w:iCs/>
        </w:rPr>
        <w:t>r</w:t>
      </w:r>
      <w:r>
        <w:rPr>
          <w:bCs w:val="0"/>
          <w:iCs/>
        </w:rPr>
        <w:t xml:space="preserve">ule </w:t>
      </w:r>
      <w:r w:rsidR="00C573A5">
        <w:rPr>
          <w:bCs w:val="0"/>
          <w:iCs/>
        </w:rPr>
        <w:t>c</w:t>
      </w:r>
      <w:r w:rsidR="00DD258C" w:rsidRPr="00DD258C">
        <w:rPr>
          <w:bCs w:val="0"/>
          <w:iCs/>
        </w:rPr>
        <w:t>hange</w:t>
      </w:r>
      <w:bookmarkEnd w:id="9"/>
    </w:p>
    <w:p w:rsidR="001B1D71" w:rsidRDefault="000903F0" w:rsidP="001170BD">
      <w:pPr>
        <w:rPr>
          <w:rStyle w:val="IntenseEmphasis"/>
          <w:b w:val="0"/>
          <w:i w:val="0"/>
        </w:rPr>
      </w:pPr>
      <w:r>
        <w:rPr>
          <w:rStyle w:val="IntenseEmphasis"/>
          <w:b w:val="0"/>
          <w:i w:val="0"/>
        </w:rPr>
        <w:t>Some</w:t>
      </w:r>
      <w:r w:rsidR="00B45974">
        <w:rPr>
          <w:rStyle w:val="IntenseEmphasis"/>
          <w:b w:val="0"/>
          <w:i w:val="0"/>
        </w:rPr>
        <w:t xml:space="preserve"> of the </w:t>
      </w:r>
      <w:r>
        <w:rPr>
          <w:rStyle w:val="IntenseEmphasis"/>
          <w:b w:val="0"/>
          <w:i w:val="0"/>
        </w:rPr>
        <w:t xml:space="preserve">new obligations </w:t>
      </w:r>
      <w:r w:rsidR="00B45974">
        <w:rPr>
          <w:rStyle w:val="IntenseEmphasis"/>
          <w:b w:val="0"/>
          <w:i w:val="0"/>
        </w:rPr>
        <w:t>introduced by the AEMC</w:t>
      </w:r>
      <w:r w:rsidR="001170BD">
        <w:rPr>
          <w:rStyle w:val="IntenseEmphasis"/>
          <w:b w:val="0"/>
          <w:i w:val="0"/>
        </w:rPr>
        <w:t xml:space="preserve"> through the Metering </w:t>
      </w:r>
      <w:r w:rsidR="00C573A5">
        <w:rPr>
          <w:rStyle w:val="IntenseEmphasis"/>
          <w:b w:val="0"/>
          <w:i w:val="0"/>
        </w:rPr>
        <w:t>r</w:t>
      </w:r>
      <w:r w:rsidR="001170BD">
        <w:rPr>
          <w:rStyle w:val="IntenseEmphasis"/>
          <w:b w:val="0"/>
          <w:i w:val="0"/>
        </w:rPr>
        <w:t xml:space="preserve">ule </w:t>
      </w:r>
      <w:r w:rsidR="00C573A5">
        <w:rPr>
          <w:rStyle w:val="IntenseEmphasis"/>
          <w:b w:val="0"/>
          <w:i w:val="0"/>
        </w:rPr>
        <w:t>c</w:t>
      </w:r>
      <w:r w:rsidR="001170BD">
        <w:rPr>
          <w:rStyle w:val="IntenseEmphasis"/>
          <w:b w:val="0"/>
          <w:i w:val="0"/>
        </w:rPr>
        <w:t xml:space="preserve">hange </w:t>
      </w:r>
      <w:r w:rsidR="00913D75">
        <w:rPr>
          <w:rStyle w:val="IntenseEmphasis"/>
          <w:b w:val="0"/>
          <w:i w:val="0"/>
        </w:rPr>
        <w:t>include</w:t>
      </w:r>
      <w:r w:rsidR="001170BD">
        <w:rPr>
          <w:rStyle w:val="IntenseEmphasis"/>
          <w:b w:val="0"/>
          <w:i w:val="0"/>
        </w:rPr>
        <w:t xml:space="preserve"> </w:t>
      </w:r>
      <w:r w:rsidR="00B45974">
        <w:rPr>
          <w:rStyle w:val="IntenseEmphasis"/>
          <w:b w:val="0"/>
          <w:i w:val="0"/>
        </w:rPr>
        <w:t>key provisions intended to protect consumers.</w:t>
      </w:r>
      <w:r w:rsidR="001170BD">
        <w:rPr>
          <w:rStyle w:val="IntenseEmphasis"/>
          <w:b w:val="0"/>
          <w:i w:val="0"/>
        </w:rPr>
        <w:t xml:space="preserve"> </w:t>
      </w:r>
      <w:r w:rsidR="00B45974">
        <w:rPr>
          <w:rStyle w:val="IntenseEmphasis"/>
          <w:b w:val="0"/>
          <w:i w:val="0"/>
        </w:rPr>
        <w:t>Broadly</w:t>
      </w:r>
      <w:r w:rsidR="00913D75">
        <w:rPr>
          <w:rStyle w:val="IntenseEmphasis"/>
          <w:b w:val="0"/>
          <w:i w:val="0"/>
        </w:rPr>
        <w:t xml:space="preserve">, </w:t>
      </w:r>
      <w:r>
        <w:rPr>
          <w:rStyle w:val="IntenseEmphasis"/>
          <w:b w:val="0"/>
          <w:i w:val="0"/>
        </w:rPr>
        <w:t xml:space="preserve">these </w:t>
      </w:r>
      <w:r w:rsidR="00913D75">
        <w:rPr>
          <w:rStyle w:val="IntenseEmphasis"/>
          <w:b w:val="0"/>
          <w:i w:val="0"/>
        </w:rPr>
        <w:t xml:space="preserve">include: </w:t>
      </w:r>
      <w:r w:rsidR="001170BD">
        <w:rPr>
          <w:rStyle w:val="IntenseEmphasis"/>
          <w:b w:val="0"/>
          <w:i w:val="0"/>
        </w:rPr>
        <w:t xml:space="preserve"> </w:t>
      </w:r>
    </w:p>
    <w:p w:rsidR="001170BD" w:rsidRDefault="001170BD" w:rsidP="001D5901">
      <w:pPr>
        <w:pStyle w:val="ListNumber2"/>
        <w:numPr>
          <w:ilvl w:val="0"/>
          <w:numId w:val="17"/>
        </w:numPr>
        <w:tabs>
          <w:tab w:val="clear" w:pos="680"/>
        </w:tabs>
        <w:spacing w:after="120"/>
        <w:rPr>
          <w:rFonts w:cs="Arial"/>
        </w:rPr>
      </w:pPr>
      <w:r w:rsidRPr="001170BD">
        <w:rPr>
          <w:rFonts w:cs="Arial"/>
        </w:rPr>
        <w:t>New obligations on retailers for planned interruptions. These provisions</w:t>
      </w:r>
      <w:r w:rsidR="00E2392D">
        <w:rPr>
          <w:rFonts w:cs="Arial"/>
        </w:rPr>
        <w:t xml:space="preserve"> broadly</w:t>
      </w:r>
      <w:r w:rsidRPr="001170BD">
        <w:rPr>
          <w:rFonts w:cs="Arial"/>
        </w:rPr>
        <w:t xml:space="preserve"> mirror existing distributor obligations</w:t>
      </w:r>
      <w:r w:rsidR="00E2392D">
        <w:rPr>
          <w:rFonts w:cs="Arial"/>
        </w:rPr>
        <w:t>.</w:t>
      </w:r>
      <w:r w:rsidRPr="001170BD">
        <w:rPr>
          <w:rFonts w:cs="Arial"/>
        </w:rPr>
        <w:t xml:space="preserve"> </w:t>
      </w:r>
    </w:p>
    <w:p w:rsidR="001170BD" w:rsidRPr="001170BD" w:rsidRDefault="001170BD" w:rsidP="001D5901">
      <w:pPr>
        <w:pStyle w:val="ListNumber2"/>
        <w:numPr>
          <w:ilvl w:val="0"/>
          <w:numId w:val="17"/>
        </w:numPr>
        <w:tabs>
          <w:tab w:val="clear" w:pos="680"/>
        </w:tabs>
        <w:spacing w:after="120"/>
        <w:rPr>
          <w:rFonts w:cs="Arial"/>
        </w:rPr>
      </w:pPr>
      <w:r w:rsidRPr="001170BD">
        <w:rPr>
          <w:rFonts w:cs="Arial"/>
        </w:rPr>
        <w:t xml:space="preserve">New obligations on retailers to provide notice to small customers on deployment of new electricity meters.  </w:t>
      </w:r>
    </w:p>
    <w:p w:rsidR="001170BD" w:rsidRDefault="001170BD" w:rsidP="001170BD">
      <w:pPr>
        <w:rPr>
          <w:rStyle w:val="IntenseEmphasis"/>
          <w:b w:val="0"/>
          <w:i w:val="0"/>
        </w:rPr>
      </w:pPr>
      <w:r w:rsidRPr="001170BD">
        <w:rPr>
          <w:rStyle w:val="IntenseEmphasis"/>
          <w:b w:val="0"/>
          <w:i w:val="0"/>
        </w:rPr>
        <w:t>We note that the AEMC made recommendations to COAG Energy Council that some of the</w:t>
      </w:r>
      <w:r w:rsidR="00913D75">
        <w:rPr>
          <w:rStyle w:val="IntenseEmphasis"/>
          <w:b w:val="0"/>
          <w:i w:val="0"/>
        </w:rPr>
        <w:t>se</w:t>
      </w:r>
      <w:r w:rsidRPr="001170BD">
        <w:rPr>
          <w:rStyle w:val="IntenseEmphasis"/>
          <w:b w:val="0"/>
          <w:i w:val="0"/>
        </w:rPr>
        <w:t xml:space="preserve"> new obligations be classified as civil penalty provisions.  In making these recommendations, the AEMC </w:t>
      </w:r>
      <w:r w:rsidR="009E3F55">
        <w:rPr>
          <w:rStyle w:val="IntenseEmphasis"/>
          <w:b w:val="0"/>
          <w:i w:val="0"/>
        </w:rPr>
        <w:t xml:space="preserve">formed a view that the </w:t>
      </w:r>
      <w:r w:rsidRPr="001170BD">
        <w:rPr>
          <w:rStyle w:val="IntenseEmphasis"/>
          <w:b w:val="0"/>
          <w:i w:val="0"/>
        </w:rPr>
        <w:t>obligations are key consumer protections and would be essential to the effective operation of the National Energy Market.</w:t>
      </w:r>
      <w:r w:rsidRPr="001170BD">
        <w:rPr>
          <w:rStyle w:val="IntenseEmphasis"/>
          <w:b w:val="0"/>
          <w:i w:val="0"/>
          <w:vertAlign w:val="superscript"/>
        </w:rPr>
        <w:footnoteReference w:id="13"/>
      </w:r>
      <w:r w:rsidRPr="001170BD">
        <w:rPr>
          <w:rStyle w:val="IntenseEmphasis"/>
          <w:b w:val="0"/>
          <w:i w:val="0"/>
        </w:rPr>
        <w:t xml:space="preserve"> </w:t>
      </w:r>
    </w:p>
    <w:p w:rsidR="00B45974" w:rsidRDefault="00B45974" w:rsidP="001170BD">
      <w:pPr>
        <w:rPr>
          <w:rStyle w:val="IntenseEmphasis"/>
          <w:b w:val="0"/>
          <w:i w:val="0"/>
        </w:rPr>
      </w:pPr>
      <w:r>
        <w:rPr>
          <w:rStyle w:val="IntenseEmphasis"/>
          <w:b w:val="0"/>
          <w:i w:val="0"/>
          <w:u w:val="single"/>
        </w:rPr>
        <w:t>Retailer planned interruptions</w:t>
      </w:r>
    </w:p>
    <w:p w:rsidR="00B45974" w:rsidRDefault="00A951FB" w:rsidP="00B45974">
      <w:pPr>
        <w:rPr>
          <w:rStyle w:val="IntenseEmphasis"/>
          <w:b w:val="0"/>
          <w:i w:val="0"/>
        </w:rPr>
      </w:pPr>
      <w:r>
        <w:rPr>
          <w:rStyle w:val="IntenseEmphasis"/>
          <w:b w:val="0"/>
          <w:i w:val="0"/>
        </w:rPr>
        <w:t xml:space="preserve">Prior to the Metering </w:t>
      </w:r>
      <w:r w:rsidR="00C573A5">
        <w:rPr>
          <w:rStyle w:val="IntenseEmphasis"/>
          <w:b w:val="0"/>
          <w:i w:val="0"/>
        </w:rPr>
        <w:t>r</w:t>
      </w:r>
      <w:r>
        <w:rPr>
          <w:rStyle w:val="IntenseEmphasis"/>
          <w:b w:val="0"/>
          <w:i w:val="0"/>
        </w:rPr>
        <w:t xml:space="preserve">ule </w:t>
      </w:r>
      <w:r w:rsidR="00C573A5">
        <w:rPr>
          <w:rStyle w:val="IntenseEmphasis"/>
          <w:b w:val="0"/>
          <w:i w:val="0"/>
        </w:rPr>
        <w:t>c</w:t>
      </w:r>
      <w:r>
        <w:rPr>
          <w:rStyle w:val="IntenseEmphasis"/>
          <w:b w:val="0"/>
          <w:i w:val="0"/>
        </w:rPr>
        <w:t>hange, r</w:t>
      </w:r>
      <w:r w:rsidR="000D204B">
        <w:rPr>
          <w:rStyle w:val="IntenseEmphasis"/>
          <w:b w:val="0"/>
          <w:i w:val="0"/>
        </w:rPr>
        <w:t xml:space="preserve">etailers </w:t>
      </w:r>
      <w:r w:rsidR="00EC1373">
        <w:rPr>
          <w:rStyle w:val="IntenseEmphasis"/>
          <w:b w:val="0"/>
          <w:i w:val="0"/>
        </w:rPr>
        <w:t>could not</w:t>
      </w:r>
      <w:r w:rsidR="000D204B">
        <w:rPr>
          <w:rStyle w:val="IntenseEmphasis"/>
          <w:b w:val="0"/>
          <w:i w:val="0"/>
        </w:rPr>
        <w:t xml:space="preserve"> arrange an interruption of supply</w:t>
      </w:r>
      <w:r w:rsidR="00EC1373">
        <w:rPr>
          <w:rStyle w:val="IntenseEmphasis"/>
          <w:b w:val="0"/>
          <w:i w:val="0"/>
        </w:rPr>
        <w:t xml:space="preserve"> under the NERR</w:t>
      </w:r>
      <w:r w:rsidR="00716AD7">
        <w:rPr>
          <w:rStyle w:val="IntenseEmphasis"/>
          <w:b w:val="0"/>
          <w:i w:val="0"/>
        </w:rPr>
        <w:t xml:space="preserve">. </w:t>
      </w:r>
      <w:r w:rsidR="00CE4217">
        <w:rPr>
          <w:rStyle w:val="IntenseEmphasis"/>
          <w:b w:val="0"/>
          <w:i w:val="0"/>
        </w:rPr>
        <w:t>The</w:t>
      </w:r>
      <w:r w:rsidR="00BE65E5">
        <w:rPr>
          <w:rStyle w:val="IntenseEmphasis"/>
          <w:b w:val="0"/>
          <w:i w:val="0"/>
        </w:rPr>
        <w:t xml:space="preserve"> </w:t>
      </w:r>
      <w:r>
        <w:rPr>
          <w:rStyle w:val="IntenseEmphasis"/>
          <w:b w:val="0"/>
          <w:i w:val="0"/>
        </w:rPr>
        <w:t>rule change</w:t>
      </w:r>
      <w:r w:rsidR="00BE65E5">
        <w:rPr>
          <w:rStyle w:val="IntenseEmphasis"/>
          <w:b w:val="0"/>
          <w:i w:val="0"/>
        </w:rPr>
        <w:t xml:space="preserve"> introduces</w:t>
      </w:r>
      <w:r w:rsidR="00CE4217">
        <w:rPr>
          <w:rStyle w:val="IntenseEmphasis"/>
          <w:b w:val="0"/>
          <w:i w:val="0"/>
        </w:rPr>
        <w:t xml:space="preserve"> provisions in the NERR</w:t>
      </w:r>
      <w:r w:rsidR="00686268">
        <w:rPr>
          <w:rStyle w:val="IntenseEmphasis"/>
          <w:b w:val="0"/>
          <w:i w:val="0"/>
        </w:rPr>
        <w:t xml:space="preserve"> </w:t>
      </w:r>
      <w:r w:rsidR="00CE4217">
        <w:rPr>
          <w:rStyle w:val="IntenseEmphasis"/>
          <w:b w:val="0"/>
          <w:i w:val="0"/>
        </w:rPr>
        <w:t>to enable retailers to</w:t>
      </w:r>
      <w:r w:rsidR="00981DB4">
        <w:rPr>
          <w:rStyle w:val="IntenseEmphasis"/>
          <w:b w:val="0"/>
          <w:i w:val="0"/>
        </w:rPr>
        <w:t xml:space="preserve"> interrupt the supply of electricity to a customer for the purpose of installing, maintaining, repairing or replacing an electricity meter</w:t>
      </w:r>
      <w:r w:rsidR="00225E89">
        <w:rPr>
          <w:rStyle w:val="IntenseEmphasis"/>
          <w:b w:val="0"/>
          <w:i w:val="0"/>
        </w:rPr>
        <w:t xml:space="preserve"> (a retailer planned interruption)</w:t>
      </w:r>
      <w:r w:rsidR="00981DB4">
        <w:rPr>
          <w:rStyle w:val="IntenseEmphasis"/>
          <w:b w:val="0"/>
          <w:i w:val="0"/>
        </w:rPr>
        <w:t>.</w:t>
      </w:r>
      <w:r w:rsidR="00981DB4">
        <w:rPr>
          <w:rStyle w:val="FootnoteReference"/>
          <w:bCs/>
          <w:iCs/>
        </w:rPr>
        <w:footnoteReference w:id="14"/>
      </w:r>
      <w:r w:rsidR="00981DB4">
        <w:rPr>
          <w:rStyle w:val="IntenseEmphasis"/>
          <w:b w:val="0"/>
          <w:i w:val="0"/>
        </w:rPr>
        <w:t xml:space="preserve"> </w:t>
      </w:r>
      <w:r>
        <w:rPr>
          <w:rStyle w:val="IntenseEmphasis"/>
          <w:b w:val="0"/>
          <w:i w:val="0"/>
        </w:rPr>
        <w:t>In doing so, t</w:t>
      </w:r>
      <w:r w:rsidR="0016715A">
        <w:rPr>
          <w:rStyle w:val="IntenseEmphasis"/>
          <w:b w:val="0"/>
          <w:i w:val="0"/>
        </w:rPr>
        <w:t xml:space="preserve">he new rules </w:t>
      </w:r>
      <w:r>
        <w:rPr>
          <w:rStyle w:val="IntenseEmphasis"/>
          <w:b w:val="0"/>
          <w:i w:val="0"/>
        </w:rPr>
        <w:t xml:space="preserve">also </w:t>
      </w:r>
      <w:r w:rsidR="0016715A">
        <w:rPr>
          <w:rStyle w:val="IntenseEmphasis"/>
          <w:b w:val="0"/>
          <w:i w:val="0"/>
        </w:rPr>
        <w:t xml:space="preserve">set out processes retailers must follow when arranging such an </w:t>
      </w:r>
      <w:r w:rsidR="000D204B">
        <w:rPr>
          <w:rStyle w:val="IntenseEmphasis"/>
          <w:b w:val="0"/>
          <w:i w:val="0"/>
        </w:rPr>
        <w:t>interruption</w:t>
      </w:r>
      <w:r>
        <w:rPr>
          <w:rStyle w:val="IntenseEmphasis"/>
          <w:b w:val="0"/>
          <w:i w:val="0"/>
        </w:rPr>
        <w:t>.</w:t>
      </w:r>
      <w:r w:rsidR="00686268">
        <w:rPr>
          <w:rStyle w:val="IntenseEmphasis"/>
          <w:b w:val="0"/>
          <w:i w:val="0"/>
        </w:rPr>
        <w:t xml:space="preserve"> These provisions mirror existing </w:t>
      </w:r>
      <w:r w:rsidR="00716AD7">
        <w:rPr>
          <w:rStyle w:val="IntenseEmphasis"/>
          <w:b w:val="0"/>
          <w:i w:val="0"/>
        </w:rPr>
        <w:t>distributor</w:t>
      </w:r>
      <w:r w:rsidR="00686268">
        <w:rPr>
          <w:rStyle w:val="IntenseEmphasis"/>
          <w:b w:val="0"/>
          <w:i w:val="0"/>
        </w:rPr>
        <w:t xml:space="preserve"> obligations for planned interruptions under the NERR</w:t>
      </w:r>
      <w:r w:rsidR="00EF2B7E">
        <w:rPr>
          <w:rStyle w:val="IntenseEmphasis"/>
          <w:b w:val="0"/>
          <w:i w:val="0"/>
        </w:rPr>
        <w:t>.</w:t>
      </w:r>
      <w:r w:rsidR="00686268">
        <w:rPr>
          <w:rStyle w:val="IntenseEmphasis"/>
          <w:b w:val="0"/>
          <w:i w:val="0"/>
        </w:rPr>
        <w:t xml:space="preserve"> </w:t>
      </w:r>
    </w:p>
    <w:p w:rsidR="00A874E1" w:rsidRDefault="00A874E1" w:rsidP="00B45974">
      <w:pPr>
        <w:rPr>
          <w:rStyle w:val="IntenseEmphasis"/>
          <w:b w:val="0"/>
          <w:i w:val="0"/>
        </w:rPr>
      </w:pPr>
      <w:r>
        <w:rPr>
          <w:rStyle w:val="IntenseEmphasis"/>
          <w:b w:val="0"/>
          <w:i w:val="0"/>
        </w:rPr>
        <w:t xml:space="preserve">For example, under </w:t>
      </w:r>
      <w:r w:rsidR="00EF2B7E">
        <w:rPr>
          <w:rStyle w:val="IntenseEmphasis"/>
          <w:b w:val="0"/>
          <w:i w:val="0"/>
        </w:rPr>
        <w:t xml:space="preserve">the </w:t>
      </w:r>
      <w:r>
        <w:rPr>
          <w:rStyle w:val="IntenseEmphasis"/>
          <w:b w:val="0"/>
          <w:i w:val="0"/>
        </w:rPr>
        <w:t xml:space="preserve">new rule </w:t>
      </w:r>
      <w:proofErr w:type="gramStart"/>
      <w:r>
        <w:rPr>
          <w:rStyle w:val="IntenseEmphasis"/>
          <w:b w:val="0"/>
          <w:i w:val="0"/>
        </w:rPr>
        <w:t>59C(</w:t>
      </w:r>
      <w:proofErr w:type="gramEnd"/>
      <w:r>
        <w:rPr>
          <w:rStyle w:val="IntenseEmphasis"/>
          <w:b w:val="0"/>
          <w:i w:val="0"/>
        </w:rPr>
        <w:t>2), a retailer must notify affected customers at least 4 business days before the date of the interruption. The notice must provide details of the planned interruption (i.e. expected date, time and duration of the interruption) and contact details for the customer to make inquiries.</w:t>
      </w:r>
      <w:r>
        <w:rPr>
          <w:rStyle w:val="FootnoteReference"/>
          <w:bCs/>
          <w:iCs/>
        </w:rPr>
        <w:footnoteReference w:id="15"/>
      </w:r>
      <w:r>
        <w:rPr>
          <w:rStyle w:val="IntenseEmphasis"/>
          <w:b w:val="0"/>
          <w:i w:val="0"/>
        </w:rPr>
        <w:t xml:space="preserve"> The retailer must also use its best endeavours to restore the customer’s supply as soon as possible.</w:t>
      </w:r>
      <w:r>
        <w:rPr>
          <w:rStyle w:val="FootnoteReference"/>
          <w:bCs/>
          <w:iCs/>
        </w:rPr>
        <w:footnoteReference w:id="16"/>
      </w:r>
    </w:p>
    <w:p w:rsidR="00A874E1" w:rsidRDefault="00225E89" w:rsidP="00B45974">
      <w:pPr>
        <w:rPr>
          <w:rStyle w:val="IntenseEmphasis"/>
          <w:b w:val="0"/>
          <w:i w:val="0"/>
        </w:rPr>
      </w:pPr>
      <w:r>
        <w:rPr>
          <w:rStyle w:val="IntenseEmphasis"/>
          <w:b w:val="0"/>
          <w:i w:val="0"/>
        </w:rPr>
        <w:t xml:space="preserve">Retailers also have new obligations in relation to life support customers. In the case of a retailer planned interruption, life support customers must be provided at least 4 business </w:t>
      </w:r>
      <w:r w:rsidR="00EC1373">
        <w:rPr>
          <w:rStyle w:val="IntenseEmphasis"/>
          <w:b w:val="0"/>
          <w:i w:val="0"/>
        </w:rPr>
        <w:t>day’s</w:t>
      </w:r>
      <w:r>
        <w:rPr>
          <w:rStyle w:val="IntenseEmphasis"/>
          <w:b w:val="0"/>
          <w:i w:val="0"/>
        </w:rPr>
        <w:t xml:space="preserve"> written notice before the date of the interruption.</w:t>
      </w:r>
      <w:r>
        <w:rPr>
          <w:rStyle w:val="FootnoteReference"/>
          <w:bCs/>
          <w:iCs/>
        </w:rPr>
        <w:footnoteReference w:id="17"/>
      </w:r>
      <w:r>
        <w:rPr>
          <w:rStyle w:val="IntenseEmphasis"/>
          <w:b w:val="0"/>
          <w:i w:val="0"/>
        </w:rPr>
        <w:t xml:space="preserve"> A retailer must also ensure that life support registration details are kept up to date.</w:t>
      </w:r>
      <w:r>
        <w:rPr>
          <w:rStyle w:val="FootnoteReference"/>
          <w:bCs/>
          <w:iCs/>
        </w:rPr>
        <w:footnoteReference w:id="18"/>
      </w:r>
      <w:r w:rsidR="00A874E1">
        <w:rPr>
          <w:rStyle w:val="IntenseEmphasis"/>
          <w:b w:val="0"/>
          <w:i w:val="0"/>
        </w:rPr>
        <w:t xml:space="preserve"> </w:t>
      </w:r>
    </w:p>
    <w:p w:rsidR="00686268" w:rsidRDefault="00686268" w:rsidP="00AC7726">
      <w:pPr>
        <w:rPr>
          <w:rStyle w:val="IntenseEmphasis"/>
          <w:b w:val="0"/>
          <w:i w:val="0"/>
        </w:rPr>
      </w:pPr>
      <w:r>
        <w:rPr>
          <w:rStyle w:val="IntenseEmphasis"/>
          <w:b w:val="0"/>
          <w:i w:val="0"/>
        </w:rPr>
        <w:lastRenderedPageBreak/>
        <w:t xml:space="preserve">Obligations </w:t>
      </w:r>
      <w:r w:rsidR="00AC7726">
        <w:rPr>
          <w:rStyle w:val="IntenseEmphasis"/>
          <w:b w:val="0"/>
          <w:i w:val="0"/>
        </w:rPr>
        <w:t xml:space="preserve">relating to the de-energisation of customers are key consumer protection provisions that ensure consumers are confident in their </w:t>
      </w:r>
      <w:r>
        <w:rPr>
          <w:rStyle w:val="IntenseEmphasis"/>
          <w:b w:val="0"/>
          <w:i w:val="0"/>
        </w:rPr>
        <w:t>energy supply. T</w:t>
      </w:r>
      <w:r w:rsidR="00AC7726">
        <w:rPr>
          <w:rStyle w:val="IntenseEmphasis"/>
          <w:b w:val="0"/>
          <w:i w:val="0"/>
        </w:rPr>
        <w:t xml:space="preserve">his is </w:t>
      </w:r>
      <w:r w:rsidR="00EF2B7E">
        <w:rPr>
          <w:rStyle w:val="IntenseEmphasis"/>
          <w:b w:val="0"/>
          <w:i w:val="0"/>
        </w:rPr>
        <w:t xml:space="preserve">particularly </w:t>
      </w:r>
      <w:r w:rsidR="00AC7726">
        <w:rPr>
          <w:rStyle w:val="IntenseEmphasis"/>
          <w:b w:val="0"/>
          <w:i w:val="0"/>
        </w:rPr>
        <w:t>significant for life support customers w</w:t>
      </w:r>
      <w:r w:rsidR="000C49B3">
        <w:rPr>
          <w:rStyle w:val="IntenseEmphasis"/>
          <w:b w:val="0"/>
          <w:i w:val="0"/>
        </w:rPr>
        <w:t>ho may rely on</w:t>
      </w:r>
      <w:r>
        <w:rPr>
          <w:rStyle w:val="IntenseEmphasis"/>
          <w:b w:val="0"/>
          <w:i w:val="0"/>
        </w:rPr>
        <w:t xml:space="preserve"> ongoing energy supply and require adequate notice to seek alternative supply in the event of a planned interruption. </w:t>
      </w:r>
      <w:r w:rsidR="00AC7726">
        <w:rPr>
          <w:rStyle w:val="IntenseEmphasis"/>
          <w:b w:val="0"/>
          <w:i w:val="0"/>
        </w:rPr>
        <w:t xml:space="preserve"> </w:t>
      </w:r>
    </w:p>
    <w:p w:rsidR="000C49B3" w:rsidRDefault="000C49B3" w:rsidP="00716AD7">
      <w:pPr>
        <w:rPr>
          <w:rStyle w:val="IntenseEmphasis"/>
          <w:b w:val="0"/>
          <w:i w:val="0"/>
        </w:rPr>
      </w:pPr>
      <w:r>
        <w:rPr>
          <w:rStyle w:val="IntenseEmphasis"/>
          <w:b w:val="0"/>
          <w:i w:val="0"/>
        </w:rPr>
        <w:t xml:space="preserve">As these new retailer rules mirror existing </w:t>
      </w:r>
      <w:r w:rsidR="00716AD7">
        <w:rPr>
          <w:rStyle w:val="IntenseEmphasis"/>
          <w:b w:val="0"/>
          <w:i w:val="0"/>
        </w:rPr>
        <w:t>distributor</w:t>
      </w:r>
      <w:r>
        <w:rPr>
          <w:rStyle w:val="IntenseEmphasis"/>
          <w:b w:val="0"/>
          <w:i w:val="0"/>
        </w:rPr>
        <w:t xml:space="preserve"> </w:t>
      </w:r>
      <w:r w:rsidR="00716AD7">
        <w:rPr>
          <w:rStyle w:val="IntenseEmphasis"/>
          <w:b w:val="0"/>
          <w:i w:val="0"/>
        </w:rPr>
        <w:t>obligations</w:t>
      </w:r>
      <w:r>
        <w:rPr>
          <w:rStyle w:val="IntenseEmphasis"/>
          <w:b w:val="0"/>
          <w:i w:val="0"/>
        </w:rPr>
        <w:t xml:space="preserve">, we consider that these </w:t>
      </w:r>
      <w:r w:rsidR="00716AD7">
        <w:rPr>
          <w:rStyle w:val="IntenseEmphasis"/>
          <w:b w:val="0"/>
          <w:i w:val="0"/>
        </w:rPr>
        <w:t>provisions</w:t>
      </w:r>
      <w:r>
        <w:rPr>
          <w:rStyle w:val="IntenseEmphasis"/>
          <w:b w:val="0"/>
          <w:i w:val="0"/>
        </w:rPr>
        <w:t xml:space="preserve"> should be treated consistently in the Guidelines.</w:t>
      </w:r>
      <w:r w:rsidR="00716AD7">
        <w:rPr>
          <w:rStyle w:val="IntenseEmphasis"/>
          <w:b w:val="0"/>
          <w:i w:val="0"/>
        </w:rPr>
        <w:t xml:space="preserve"> Distributor obligations in relation to planned interruptions are currently Type 1 and 3 reportable obligations under the Guidelines. </w:t>
      </w:r>
    </w:p>
    <w:p w:rsidR="00B45974" w:rsidRPr="00B45974" w:rsidRDefault="00B45974" w:rsidP="001170BD">
      <w:pPr>
        <w:rPr>
          <w:rStyle w:val="IntenseEmphasis"/>
          <w:b w:val="0"/>
          <w:i w:val="0"/>
          <w:u w:val="single"/>
        </w:rPr>
      </w:pPr>
      <w:r>
        <w:rPr>
          <w:rStyle w:val="IntenseEmphasis"/>
          <w:b w:val="0"/>
          <w:i w:val="0"/>
          <w:u w:val="single"/>
        </w:rPr>
        <w:t>Deployment of new electricity meters</w:t>
      </w:r>
    </w:p>
    <w:p w:rsidR="00976065" w:rsidRDefault="00C573A5" w:rsidP="00473892">
      <w:pPr>
        <w:rPr>
          <w:rStyle w:val="IntenseEmphasis"/>
          <w:b w:val="0"/>
          <w:i w:val="0"/>
        </w:rPr>
      </w:pPr>
      <w:r>
        <w:rPr>
          <w:rStyle w:val="IntenseEmphasis"/>
          <w:b w:val="0"/>
          <w:i w:val="0"/>
        </w:rPr>
        <w:t>The Metering r</w:t>
      </w:r>
      <w:r w:rsidR="00E2392D">
        <w:rPr>
          <w:rStyle w:val="IntenseEmphasis"/>
          <w:b w:val="0"/>
          <w:i w:val="0"/>
        </w:rPr>
        <w:t xml:space="preserve">ule </w:t>
      </w:r>
      <w:r>
        <w:rPr>
          <w:rStyle w:val="IntenseEmphasis"/>
          <w:b w:val="0"/>
          <w:i w:val="0"/>
        </w:rPr>
        <w:t>c</w:t>
      </w:r>
      <w:r w:rsidR="00E2392D">
        <w:rPr>
          <w:rStyle w:val="IntenseEmphasis"/>
          <w:b w:val="0"/>
          <w:i w:val="0"/>
        </w:rPr>
        <w:t>hange</w:t>
      </w:r>
      <w:r w:rsidR="00692271">
        <w:rPr>
          <w:rStyle w:val="IntenseEmphasis"/>
          <w:b w:val="0"/>
          <w:i w:val="0"/>
        </w:rPr>
        <w:t xml:space="preserve"> introduces </w:t>
      </w:r>
      <w:r w:rsidR="001D5901">
        <w:rPr>
          <w:rStyle w:val="IntenseEmphasis"/>
          <w:b w:val="0"/>
          <w:i w:val="0"/>
        </w:rPr>
        <w:t>rule 59A</w:t>
      </w:r>
      <w:r w:rsidR="00E2428D">
        <w:rPr>
          <w:rStyle w:val="IntenseEmphasis"/>
          <w:b w:val="0"/>
          <w:i w:val="0"/>
        </w:rPr>
        <w:t>, which</w:t>
      </w:r>
      <w:r w:rsidR="001D5901">
        <w:rPr>
          <w:rStyle w:val="IntenseEmphasis"/>
          <w:b w:val="0"/>
          <w:i w:val="0"/>
        </w:rPr>
        <w:t xml:space="preserve"> requir</w:t>
      </w:r>
      <w:r w:rsidR="00E2428D">
        <w:rPr>
          <w:rStyle w:val="IntenseEmphasis"/>
          <w:b w:val="0"/>
          <w:i w:val="0"/>
        </w:rPr>
        <w:t>es</w:t>
      </w:r>
      <w:r w:rsidR="001D5901">
        <w:rPr>
          <w:rStyle w:val="IntenseEmphasis"/>
          <w:b w:val="0"/>
          <w:i w:val="0"/>
        </w:rPr>
        <w:t xml:space="preserve"> </w:t>
      </w:r>
      <w:r w:rsidR="00692271">
        <w:rPr>
          <w:rStyle w:val="IntenseEmphasis"/>
          <w:b w:val="0"/>
          <w:i w:val="0"/>
        </w:rPr>
        <w:t xml:space="preserve">retailers to provide notice to small customers on </w:t>
      </w:r>
      <w:r w:rsidR="00547D87">
        <w:rPr>
          <w:rStyle w:val="IntenseEmphasis"/>
          <w:b w:val="0"/>
          <w:i w:val="0"/>
        </w:rPr>
        <w:t xml:space="preserve">the </w:t>
      </w:r>
      <w:r w:rsidR="00692271">
        <w:rPr>
          <w:rStyle w:val="IntenseEmphasis"/>
          <w:b w:val="0"/>
          <w:i w:val="0"/>
        </w:rPr>
        <w:t>deployment of new electricity meters</w:t>
      </w:r>
      <w:r w:rsidR="00547D87">
        <w:rPr>
          <w:rStyle w:val="IntenseEmphasis"/>
          <w:b w:val="0"/>
          <w:i w:val="0"/>
        </w:rPr>
        <w:t xml:space="preserve"> on their premises</w:t>
      </w:r>
      <w:r w:rsidR="00692271">
        <w:rPr>
          <w:rStyle w:val="IntenseEmphasis"/>
          <w:b w:val="0"/>
          <w:i w:val="0"/>
        </w:rPr>
        <w:t>.</w:t>
      </w:r>
      <w:r w:rsidR="00692271">
        <w:rPr>
          <w:rStyle w:val="FootnoteReference"/>
          <w:bCs/>
          <w:iCs/>
        </w:rPr>
        <w:footnoteReference w:id="19"/>
      </w:r>
      <w:r w:rsidR="00692271">
        <w:rPr>
          <w:rStyle w:val="IntenseEmphasis"/>
          <w:b w:val="0"/>
          <w:i w:val="0"/>
        </w:rPr>
        <w:t xml:space="preserve"> </w:t>
      </w:r>
      <w:r w:rsidR="00CC0944">
        <w:rPr>
          <w:rStyle w:val="IntenseEmphasis"/>
          <w:b w:val="0"/>
          <w:i w:val="0"/>
        </w:rPr>
        <w:t xml:space="preserve">Written notice </w:t>
      </w:r>
      <w:r w:rsidR="00976065">
        <w:rPr>
          <w:rStyle w:val="IntenseEmphasis"/>
          <w:b w:val="0"/>
          <w:i w:val="0"/>
        </w:rPr>
        <w:t xml:space="preserve">is to be provided to the customer on two separate occasions prior to the </w:t>
      </w:r>
      <w:r w:rsidR="00CC0944">
        <w:rPr>
          <w:rStyle w:val="IntenseEmphasis"/>
          <w:b w:val="0"/>
          <w:i w:val="0"/>
        </w:rPr>
        <w:t xml:space="preserve">proposed </w:t>
      </w:r>
      <w:r w:rsidR="00976065">
        <w:rPr>
          <w:rStyle w:val="IntenseEmphasis"/>
          <w:b w:val="0"/>
          <w:i w:val="0"/>
        </w:rPr>
        <w:t xml:space="preserve">date </w:t>
      </w:r>
      <w:r w:rsidR="00CC0944">
        <w:rPr>
          <w:rStyle w:val="IntenseEmphasis"/>
          <w:b w:val="0"/>
          <w:i w:val="0"/>
        </w:rPr>
        <w:t>for</w:t>
      </w:r>
      <w:r w:rsidR="00976065">
        <w:rPr>
          <w:rStyle w:val="IntenseEmphasis"/>
          <w:b w:val="0"/>
          <w:i w:val="0"/>
        </w:rPr>
        <w:t xml:space="preserve"> </w:t>
      </w:r>
      <w:r w:rsidR="00CC0944">
        <w:rPr>
          <w:rStyle w:val="IntenseEmphasis"/>
          <w:b w:val="0"/>
          <w:i w:val="0"/>
        </w:rPr>
        <w:t>replaci</w:t>
      </w:r>
      <w:r w:rsidR="00EC1373">
        <w:rPr>
          <w:rStyle w:val="IntenseEmphasis"/>
          <w:b w:val="0"/>
          <w:i w:val="0"/>
        </w:rPr>
        <w:t>ng</w:t>
      </w:r>
      <w:r w:rsidR="00CC0944">
        <w:rPr>
          <w:rStyle w:val="IntenseEmphasis"/>
          <w:b w:val="0"/>
          <w:i w:val="0"/>
        </w:rPr>
        <w:t xml:space="preserve"> </w:t>
      </w:r>
      <w:r w:rsidR="00976065">
        <w:rPr>
          <w:rStyle w:val="IntenseEmphasis"/>
          <w:b w:val="0"/>
          <w:i w:val="0"/>
        </w:rPr>
        <w:t>the meter.</w:t>
      </w:r>
      <w:r w:rsidR="00976065">
        <w:rPr>
          <w:rStyle w:val="FootnoteReference"/>
          <w:bCs/>
          <w:iCs/>
        </w:rPr>
        <w:footnoteReference w:id="20"/>
      </w:r>
      <w:r w:rsidR="00976065">
        <w:rPr>
          <w:rStyle w:val="IntenseEmphasis"/>
          <w:b w:val="0"/>
          <w:i w:val="0"/>
        </w:rPr>
        <w:t xml:space="preserve"> </w:t>
      </w:r>
      <w:r w:rsidR="001D5901">
        <w:rPr>
          <w:rStyle w:val="IntenseEmphasis"/>
          <w:b w:val="0"/>
          <w:i w:val="0"/>
        </w:rPr>
        <w:t>Both</w:t>
      </w:r>
      <w:r w:rsidR="00976065">
        <w:rPr>
          <w:rStyle w:val="IntenseEmphasis"/>
          <w:b w:val="0"/>
          <w:i w:val="0"/>
        </w:rPr>
        <w:t xml:space="preserve"> notices must include details relating to the customer’s ability to opt-out</w:t>
      </w:r>
      <w:r w:rsidR="001D5901">
        <w:rPr>
          <w:rStyle w:val="IntenseEmphasis"/>
          <w:b w:val="0"/>
          <w:i w:val="0"/>
        </w:rPr>
        <w:t>, any upfront charges, the expected date and time on which the retailer proposes to replace the customer’s meter and relevant contact details.</w:t>
      </w:r>
      <w:r w:rsidR="001D5901">
        <w:rPr>
          <w:rStyle w:val="FootnoteReference"/>
          <w:bCs/>
          <w:iCs/>
        </w:rPr>
        <w:footnoteReference w:id="21"/>
      </w:r>
      <w:r w:rsidR="001D5901">
        <w:rPr>
          <w:rStyle w:val="IntenseEmphasis"/>
          <w:b w:val="0"/>
          <w:i w:val="0"/>
        </w:rPr>
        <w:t xml:space="preserve"> The notices are intended to give customers the opportunity to elect not to have their meter replaced. </w:t>
      </w:r>
    </w:p>
    <w:p w:rsidR="001D5901" w:rsidRDefault="001D5901" w:rsidP="00473892">
      <w:pPr>
        <w:rPr>
          <w:rStyle w:val="IntenseEmphasis"/>
          <w:b w:val="0"/>
          <w:i w:val="0"/>
        </w:rPr>
      </w:pPr>
      <w:r>
        <w:rPr>
          <w:rStyle w:val="IntenseEmphasis"/>
          <w:b w:val="0"/>
          <w:i w:val="0"/>
        </w:rPr>
        <w:t xml:space="preserve">Obligations under rule 59A are also significant </w:t>
      </w:r>
      <w:r w:rsidR="00567099">
        <w:rPr>
          <w:rStyle w:val="IntenseEmphasis"/>
          <w:b w:val="0"/>
          <w:i w:val="0"/>
        </w:rPr>
        <w:t>a</w:t>
      </w:r>
      <w:r w:rsidR="00324A14">
        <w:rPr>
          <w:rStyle w:val="IntenseEmphasis"/>
          <w:b w:val="0"/>
          <w:i w:val="0"/>
        </w:rPr>
        <w:t xml:space="preserve">s a retailer can satisfy the notice requirements under rule 59C for retailer planned interruptions (discussed above) by providing the relevant details of the planned interruption in the second notice required to be given under rule 59A. </w:t>
      </w:r>
    </w:p>
    <w:p w:rsidR="009D56D5" w:rsidRDefault="00302118" w:rsidP="001170BD">
      <w:pPr>
        <w:rPr>
          <w:rStyle w:val="IntenseEmphasis"/>
          <w:b w:val="0"/>
          <w:i w:val="0"/>
        </w:rPr>
      </w:pPr>
      <w:r>
        <w:rPr>
          <w:rStyle w:val="IntenseEmphasis"/>
          <w:b w:val="0"/>
          <w:i w:val="0"/>
        </w:rPr>
        <w:t>T</w:t>
      </w:r>
      <w:r w:rsidR="00473892">
        <w:rPr>
          <w:rStyle w:val="IntenseEmphasis"/>
          <w:b w:val="0"/>
          <w:i w:val="0"/>
        </w:rPr>
        <w:t>he AEMC’s recommendations to COAG to classify some of the new rules</w:t>
      </w:r>
      <w:r w:rsidR="00261936">
        <w:rPr>
          <w:rStyle w:val="IntenseEmphasis"/>
          <w:b w:val="0"/>
          <w:i w:val="0"/>
        </w:rPr>
        <w:t xml:space="preserve"> under the Metering r</w:t>
      </w:r>
      <w:r w:rsidR="00547D87">
        <w:rPr>
          <w:rStyle w:val="IntenseEmphasis"/>
          <w:b w:val="0"/>
          <w:i w:val="0"/>
        </w:rPr>
        <w:t xml:space="preserve">ule </w:t>
      </w:r>
      <w:r w:rsidR="00261936">
        <w:rPr>
          <w:rStyle w:val="IntenseEmphasis"/>
          <w:b w:val="0"/>
          <w:i w:val="0"/>
        </w:rPr>
        <w:t>c</w:t>
      </w:r>
      <w:r w:rsidR="00547D87">
        <w:rPr>
          <w:rStyle w:val="IntenseEmphasis"/>
          <w:b w:val="0"/>
          <w:i w:val="0"/>
        </w:rPr>
        <w:t>hange</w:t>
      </w:r>
      <w:r w:rsidR="00473892">
        <w:rPr>
          <w:rStyle w:val="IntenseEmphasis"/>
          <w:b w:val="0"/>
          <w:i w:val="0"/>
        </w:rPr>
        <w:t xml:space="preserve"> as civil penalty </w:t>
      </w:r>
      <w:r w:rsidR="008A1C04">
        <w:rPr>
          <w:rStyle w:val="IntenseEmphasis"/>
          <w:b w:val="0"/>
          <w:i w:val="0"/>
        </w:rPr>
        <w:t xml:space="preserve">provisions include </w:t>
      </w:r>
      <w:r w:rsidR="009D56D5">
        <w:rPr>
          <w:rStyle w:val="IntenseEmphasis"/>
          <w:b w:val="0"/>
          <w:i w:val="0"/>
        </w:rPr>
        <w:t>the retailers’</w:t>
      </w:r>
      <w:r w:rsidR="00547D87">
        <w:rPr>
          <w:rStyle w:val="IntenseEmphasis"/>
          <w:b w:val="0"/>
          <w:i w:val="0"/>
        </w:rPr>
        <w:t xml:space="preserve"> obligations </w:t>
      </w:r>
      <w:r w:rsidR="009D56D5">
        <w:rPr>
          <w:rStyle w:val="IntenseEmphasis"/>
          <w:b w:val="0"/>
          <w:i w:val="0"/>
        </w:rPr>
        <w:t>to provide</w:t>
      </w:r>
      <w:r w:rsidR="00547D87">
        <w:rPr>
          <w:rStyle w:val="IntenseEmphasis"/>
          <w:b w:val="0"/>
          <w:i w:val="0"/>
        </w:rPr>
        <w:t xml:space="preserve"> </w:t>
      </w:r>
      <w:r w:rsidR="008A1C04">
        <w:rPr>
          <w:rStyle w:val="IntenseEmphasis"/>
          <w:b w:val="0"/>
          <w:i w:val="0"/>
        </w:rPr>
        <w:t>notice to customers o</w:t>
      </w:r>
      <w:r w:rsidR="00547D87">
        <w:rPr>
          <w:rStyle w:val="IntenseEmphasis"/>
          <w:b w:val="0"/>
          <w:i w:val="0"/>
        </w:rPr>
        <w:t>n</w:t>
      </w:r>
      <w:r w:rsidR="008A1C04">
        <w:rPr>
          <w:rStyle w:val="IntenseEmphasis"/>
          <w:b w:val="0"/>
          <w:i w:val="0"/>
        </w:rPr>
        <w:t xml:space="preserve"> new meter deployment</w:t>
      </w:r>
      <w:r w:rsidR="00473892">
        <w:rPr>
          <w:rStyle w:val="IntenseEmphasis"/>
          <w:b w:val="0"/>
          <w:i w:val="0"/>
        </w:rPr>
        <w:t xml:space="preserve">. </w:t>
      </w:r>
      <w:r w:rsidR="009D56D5">
        <w:rPr>
          <w:rStyle w:val="IntenseEmphasis"/>
          <w:b w:val="0"/>
          <w:i w:val="0"/>
        </w:rPr>
        <w:t xml:space="preserve">Given the significance of these provisions and the potential detriment to consumers, we consider that </w:t>
      </w:r>
      <w:r w:rsidR="008F51EB">
        <w:rPr>
          <w:rStyle w:val="IntenseEmphasis"/>
          <w:b w:val="0"/>
          <w:i w:val="0"/>
        </w:rPr>
        <w:t xml:space="preserve">any potential breaches of </w:t>
      </w:r>
      <w:r w:rsidR="009D56D5">
        <w:rPr>
          <w:rStyle w:val="IntenseEmphasis"/>
          <w:b w:val="0"/>
          <w:i w:val="0"/>
        </w:rPr>
        <w:t>these provisions</w:t>
      </w:r>
      <w:r w:rsidR="008F51EB">
        <w:rPr>
          <w:rStyle w:val="IntenseEmphasis"/>
          <w:b w:val="0"/>
          <w:i w:val="0"/>
        </w:rPr>
        <w:t xml:space="preserve"> should</w:t>
      </w:r>
      <w:r w:rsidR="009D56D5">
        <w:rPr>
          <w:rStyle w:val="IntenseEmphasis"/>
          <w:b w:val="0"/>
          <w:i w:val="0"/>
        </w:rPr>
        <w:t xml:space="preserve"> be reportable</w:t>
      </w:r>
      <w:r w:rsidR="008F51EB">
        <w:rPr>
          <w:rStyle w:val="IntenseEmphasis"/>
          <w:b w:val="0"/>
          <w:i w:val="0"/>
        </w:rPr>
        <w:t xml:space="preserve"> on a half yearly basis</w:t>
      </w:r>
      <w:r w:rsidR="009D56D5">
        <w:rPr>
          <w:rStyle w:val="IntenseEmphasis"/>
          <w:b w:val="0"/>
          <w:i w:val="0"/>
        </w:rPr>
        <w:t xml:space="preserve"> under the Compliance Guideline.</w:t>
      </w:r>
      <w:r w:rsidR="008F51EB">
        <w:rPr>
          <w:rStyle w:val="IntenseEmphasis"/>
          <w:b w:val="0"/>
          <w:i w:val="0"/>
        </w:rPr>
        <w:t xml:space="preserve"> We consider that receiving potential breaches of these rules every six months is appropriate given the notice timeframes (i.e. the first notice is to be provided no earlier than 60 business days </w:t>
      </w:r>
      <w:r w:rsidR="00A47E47">
        <w:rPr>
          <w:rStyle w:val="IntenseEmphasis"/>
          <w:b w:val="0"/>
          <w:i w:val="0"/>
        </w:rPr>
        <w:t xml:space="preserve">and no later than 25 business days </w:t>
      </w:r>
      <w:r w:rsidR="008F51EB">
        <w:rPr>
          <w:rStyle w:val="IntenseEmphasis"/>
          <w:b w:val="0"/>
          <w:i w:val="0"/>
        </w:rPr>
        <w:t>before the retailer proposes to replace the meter)</w:t>
      </w:r>
      <w:r w:rsidR="00A47E47">
        <w:rPr>
          <w:rStyle w:val="FootnoteReference"/>
          <w:bCs/>
          <w:iCs/>
        </w:rPr>
        <w:footnoteReference w:id="22"/>
      </w:r>
      <w:r w:rsidR="00A47E47">
        <w:rPr>
          <w:rStyle w:val="IntenseEmphasis"/>
          <w:b w:val="0"/>
          <w:i w:val="0"/>
        </w:rPr>
        <w:t xml:space="preserve"> but also allows us to </w:t>
      </w:r>
      <w:r w:rsidR="00601F45">
        <w:rPr>
          <w:rStyle w:val="IntenseEmphasis"/>
          <w:b w:val="0"/>
          <w:i w:val="0"/>
        </w:rPr>
        <w:t xml:space="preserve">detect and potentially address any issues that may arise.  </w:t>
      </w:r>
    </w:p>
    <w:p w:rsidR="009157F7" w:rsidRPr="00A117E4" w:rsidRDefault="009157F7" w:rsidP="002E678E">
      <w:pPr>
        <w:pBdr>
          <w:top w:val="single" w:sz="4" w:space="1" w:color="auto"/>
          <w:left w:val="single" w:sz="4" w:space="4" w:color="auto"/>
          <w:bottom w:val="single" w:sz="4" w:space="1" w:color="auto"/>
          <w:right w:val="single" w:sz="4" w:space="4" w:color="auto"/>
        </w:pBdr>
        <w:shd w:val="clear" w:color="auto" w:fill="FFB380" w:themeFill="accent2" w:themeFillTint="66"/>
        <w:rPr>
          <w:rStyle w:val="IntenseEmphasis"/>
        </w:rPr>
      </w:pPr>
      <w:r>
        <w:rPr>
          <w:rStyle w:val="IntenseEmphasis"/>
        </w:rPr>
        <w:t xml:space="preserve">Proposed </w:t>
      </w:r>
      <w:r w:rsidR="001170BD">
        <w:rPr>
          <w:rStyle w:val="IntenseEmphasis"/>
        </w:rPr>
        <w:t xml:space="preserve">amendments </w:t>
      </w:r>
    </w:p>
    <w:p w:rsidR="001C6ACF" w:rsidRDefault="00BC2312" w:rsidP="008610A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 xml:space="preserve">Where the new obligations on retailers in relation to ‘retailer planned interruptions’ mirror existing distributor obligations, these obligations should be treated consistently in the Guideline. </w:t>
      </w:r>
      <w:r w:rsidR="001C6ACF">
        <w:t xml:space="preserve">Specifically, </w:t>
      </w:r>
      <w:r w:rsidR="000347C6">
        <w:t xml:space="preserve">the new </w:t>
      </w:r>
      <w:r w:rsidR="00375B30">
        <w:t xml:space="preserve">rules </w:t>
      </w:r>
      <w:proofErr w:type="gramStart"/>
      <w:r w:rsidR="003C388D">
        <w:t>59</w:t>
      </w:r>
      <w:r w:rsidR="000347C6">
        <w:t>C(</w:t>
      </w:r>
      <w:proofErr w:type="gramEnd"/>
      <w:r w:rsidR="000347C6">
        <w:t>2)-(5)</w:t>
      </w:r>
      <w:r w:rsidR="00223520">
        <w:t>, 124 and 124A(1) should be reportable under the Guidelines.</w:t>
      </w:r>
      <w:r w:rsidR="003C388D">
        <w:t xml:space="preserve"> </w:t>
      </w:r>
    </w:p>
    <w:p w:rsidR="003C388D" w:rsidRDefault="003C388D" w:rsidP="003C388D">
      <w:p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709" w:hanging="709"/>
      </w:pPr>
      <w:r>
        <w:t xml:space="preserve">      (a) Rules 124, </w:t>
      </w:r>
      <w:proofErr w:type="gramStart"/>
      <w:r>
        <w:t>124A(</w:t>
      </w:r>
      <w:proofErr w:type="gramEnd"/>
      <w:r>
        <w:t xml:space="preserve">1) relating to life support customers should require immediate reporting; </w:t>
      </w:r>
    </w:p>
    <w:p w:rsidR="003C388D" w:rsidRDefault="003C388D" w:rsidP="003C388D">
      <w:p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709" w:hanging="709"/>
      </w:pPr>
      <w:r>
        <w:t xml:space="preserve">      (b) </w:t>
      </w:r>
      <w:r w:rsidR="00617FAA">
        <w:t xml:space="preserve">In relation to rules </w:t>
      </w:r>
      <w:proofErr w:type="gramStart"/>
      <w:r w:rsidR="00617FAA">
        <w:t>59C(</w:t>
      </w:r>
      <w:proofErr w:type="gramEnd"/>
      <w:r w:rsidR="00617FAA">
        <w:t xml:space="preserve">2)-(5), see discussion in section </w:t>
      </w:r>
      <w:r w:rsidR="00892A98" w:rsidRPr="007A136E">
        <w:t>4</w:t>
      </w:r>
      <w:r w:rsidR="008E1075" w:rsidRPr="007A136E">
        <w:t>.2.2(d)</w:t>
      </w:r>
      <w:r w:rsidR="00617FAA" w:rsidRPr="007A136E">
        <w:t xml:space="preserve"> and </w:t>
      </w:r>
      <w:r w:rsidRPr="007A136E">
        <w:t xml:space="preserve">proposed amendment </w:t>
      </w:r>
      <w:r w:rsidR="008E1075" w:rsidRPr="007A136E">
        <w:t>1</w:t>
      </w:r>
      <w:r w:rsidR="00892A98" w:rsidRPr="007A136E">
        <w:t>1</w:t>
      </w:r>
      <w:r w:rsidRPr="007A136E">
        <w:t>.</w:t>
      </w:r>
      <w:r>
        <w:t xml:space="preserve"> </w:t>
      </w:r>
    </w:p>
    <w:p w:rsidR="002E678E" w:rsidRDefault="00DB6CFF" w:rsidP="008610A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lastRenderedPageBreak/>
        <w:t>Attach half yearly reporting obligations on new retailer notice requirements relating to the deployment of new electricity meters. Specifically, we propose to include t</w:t>
      </w:r>
      <w:r w:rsidR="00261936">
        <w:t xml:space="preserve">he new rules </w:t>
      </w:r>
      <w:proofErr w:type="gramStart"/>
      <w:r w:rsidR="00261936">
        <w:t>59A(</w:t>
      </w:r>
      <w:proofErr w:type="gramEnd"/>
      <w:r w:rsidR="00261936">
        <w:t>1)-(3) and (7) under the Guidelines.</w:t>
      </w:r>
    </w:p>
    <w:p w:rsidR="001170BD" w:rsidRDefault="001170BD" w:rsidP="0066672C">
      <w:pPr>
        <w:spacing w:line="240" w:lineRule="auto"/>
        <w:rPr>
          <w:sz w:val="2"/>
        </w:rPr>
      </w:pPr>
    </w:p>
    <w:p w:rsidR="007255D7" w:rsidRPr="001170BD" w:rsidRDefault="007255D7" w:rsidP="007255D7">
      <w:pPr>
        <w:pBdr>
          <w:top w:val="single" w:sz="4" w:space="1" w:color="auto"/>
          <w:left w:val="single" w:sz="4" w:space="4" w:color="auto"/>
          <w:bottom w:val="single" w:sz="4" w:space="1" w:color="auto"/>
          <w:right w:val="single" w:sz="4" w:space="4" w:color="auto"/>
        </w:pBdr>
        <w:shd w:val="clear" w:color="auto" w:fill="D9D9D9" w:themeFill="background2" w:themeFillShade="D9"/>
        <w:rPr>
          <w:rStyle w:val="IntenseEmphasis"/>
        </w:rPr>
      </w:pPr>
      <w:r w:rsidRPr="001170BD">
        <w:rPr>
          <w:rStyle w:val="IntenseEmphasis"/>
        </w:rPr>
        <w:t>Consultation questions</w:t>
      </w:r>
    </w:p>
    <w:p w:rsidR="002F092C" w:rsidRDefault="002F092C">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sidRPr="004F1742">
        <w:rPr>
          <w:rFonts w:ascii="Arial" w:hAnsi="Arial" w:cs="Arial"/>
          <w:sz w:val="22"/>
          <w:szCs w:val="22"/>
        </w:rPr>
        <w:t xml:space="preserve">Are there any </w:t>
      </w:r>
      <w:r w:rsidR="00E2428D">
        <w:rPr>
          <w:rFonts w:ascii="Arial" w:hAnsi="Arial" w:cs="Arial"/>
          <w:sz w:val="22"/>
          <w:szCs w:val="22"/>
        </w:rPr>
        <w:t>risks</w:t>
      </w:r>
      <w:r w:rsidR="00E2428D" w:rsidRPr="004F1742">
        <w:rPr>
          <w:rFonts w:ascii="Arial" w:hAnsi="Arial" w:cs="Arial"/>
          <w:sz w:val="22"/>
          <w:szCs w:val="22"/>
        </w:rPr>
        <w:t xml:space="preserve"> </w:t>
      </w:r>
      <w:r w:rsidRPr="004F1742">
        <w:rPr>
          <w:rFonts w:ascii="Arial" w:hAnsi="Arial" w:cs="Arial"/>
          <w:sz w:val="22"/>
          <w:szCs w:val="22"/>
        </w:rPr>
        <w:t>with making</w:t>
      </w:r>
      <w:r w:rsidR="006D410E" w:rsidRPr="004F1742">
        <w:rPr>
          <w:rFonts w:ascii="Arial" w:hAnsi="Arial" w:cs="Arial"/>
          <w:sz w:val="22"/>
          <w:szCs w:val="22"/>
        </w:rPr>
        <w:t xml:space="preserve"> </w:t>
      </w:r>
      <w:r w:rsidRPr="004F1742">
        <w:rPr>
          <w:rFonts w:ascii="Arial" w:hAnsi="Arial" w:cs="Arial"/>
          <w:sz w:val="22"/>
          <w:szCs w:val="22"/>
        </w:rPr>
        <w:t xml:space="preserve">the reportable obligations for </w:t>
      </w:r>
      <w:r w:rsidR="006D410E" w:rsidRPr="004F1742">
        <w:rPr>
          <w:rFonts w:ascii="Arial" w:hAnsi="Arial" w:cs="Arial"/>
          <w:sz w:val="22"/>
          <w:szCs w:val="22"/>
        </w:rPr>
        <w:t>retailer planned interruption</w:t>
      </w:r>
      <w:r w:rsidR="00617FAA" w:rsidRPr="004F1742">
        <w:rPr>
          <w:rFonts w:ascii="Arial" w:hAnsi="Arial" w:cs="Arial"/>
          <w:sz w:val="22"/>
          <w:szCs w:val="22"/>
        </w:rPr>
        <w:t xml:space="preserve"> rules</w:t>
      </w:r>
      <w:r w:rsidR="006D410E" w:rsidRPr="004F1742">
        <w:rPr>
          <w:rFonts w:ascii="Arial" w:hAnsi="Arial" w:cs="Arial"/>
          <w:sz w:val="22"/>
          <w:szCs w:val="22"/>
        </w:rPr>
        <w:t xml:space="preserve"> </w:t>
      </w:r>
      <w:r w:rsidR="00617FAA" w:rsidRPr="004F1742">
        <w:rPr>
          <w:rFonts w:ascii="Arial" w:hAnsi="Arial" w:cs="Arial"/>
          <w:sz w:val="22"/>
          <w:szCs w:val="22"/>
        </w:rPr>
        <w:t>the same as distributor planned interruption rules</w:t>
      </w:r>
      <w:r w:rsidR="003B4C0F" w:rsidRPr="004F1742">
        <w:rPr>
          <w:rFonts w:ascii="Arial" w:hAnsi="Arial" w:cs="Arial"/>
          <w:sz w:val="22"/>
          <w:szCs w:val="22"/>
        </w:rPr>
        <w:t xml:space="preserve"> in the Guidelines</w:t>
      </w:r>
      <w:r>
        <w:rPr>
          <w:rFonts w:ascii="Arial" w:hAnsi="Arial" w:cs="Arial"/>
          <w:sz w:val="22"/>
          <w:szCs w:val="22"/>
        </w:rPr>
        <w:t>?</w:t>
      </w:r>
    </w:p>
    <w:p w:rsidR="007255D7" w:rsidRPr="00CC5419" w:rsidRDefault="00B8310D">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sidRPr="00CC5419">
        <w:rPr>
          <w:rFonts w:ascii="Arial" w:hAnsi="Arial" w:cs="Arial"/>
          <w:sz w:val="22"/>
          <w:szCs w:val="22"/>
        </w:rPr>
        <w:t>Should the</w:t>
      </w:r>
      <w:r w:rsidR="00203A67" w:rsidRPr="00CC5419">
        <w:rPr>
          <w:rFonts w:ascii="Arial" w:hAnsi="Arial" w:cs="Arial"/>
          <w:sz w:val="22"/>
          <w:szCs w:val="22"/>
        </w:rPr>
        <w:t xml:space="preserve"> new retailer notice obligations (</w:t>
      </w:r>
      <w:r w:rsidRPr="00CC5419">
        <w:rPr>
          <w:rFonts w:ascii="Arial" w:hAnsi="Arial" w:cs="Arial"/>
          <w:sz w:val="22"/>
          <w:szCs w:val="22"/>
        </w:rPr>
        <w:t xml:space="preserve">specifically </w:t>
      </w:r>
      <w:r w:rsidR="00203A67" w:rsidRPr="00CC5419">
        <w:rPr>
          <w:rFonts w:ascii="Arial" w:hAnsi="Arial" w:cs="Arial"/>
          <w:sz w:val="22"/>
          <w:szCs w:val="22"/>
        </w:rPr>
        <w:t xml:space="preserve">rules </w:t>
      </w:r>
      <w:r w:rsidR="00DB6CFF" w:rsidRPr="00CC5419">
        <w:rPr>
          <w:rFonts w:ascii="Arial" w:hAnsi="Arial" w:cs="Arial"/>
          <w:sz w:val="22"/>
          <w:szCs w:val="22"/>
        </w:rPr>
        <w:t>59A</w:t>
      </w:r>
      <w:r w:rsidR="00203A67" w:rsidRPr="00CC5419">
        <w:rPr>
          <w:rFonts w:ascii="Arial" w:hAnsi="Arial" w:cs="Arial"/>
          <w:sz w:val="22"/>
          <w:szCs w:val="22"/>
        </w:rPr>
        <w:t xml:space="preserve">) </w:t>
      </w:r>
      <w:r w:rsidRPr="00CC5419">
        <w:rPr>
          <w:rFonts w:ascii="Arial" w:hAnsi="Arial" w:cs="Arial"/>
          <w:sz w:val="22"/>
          <w:szCs w:val="22"/>
        </w:rPr>
        <w:t xml:space="preserve">be made </w:t>
      </w:r>
      <w:r w:rsidR="00203A67" w:rsidRPr="00CC5419">
        <w:rPr>
          <w:rFonts w:ascii="Arial" w:hAnsi="Arial" w:cs="Arial"/>
          <w:sz w:val="22"/>
          <w:szCs w:val="22"/>
        </w:rPr>
        <w:t xml:space="preserve">reportable under the reporting framework? If so, </w:t>
      </w:r>
      <w:r w:rsidR="00CC0944">
        <w:rPr>
          <w:rFonts w:ascii="Arial" w:hAnsi="Arial" w:cs="Arial"/>
          <w:sz w:val="22"/>
          <w:szCs w:val="22"/>
        </w:rPr>
        <w:t xml:space="preserve">is the </w:t>
      </w:r>
      <w:r w:rsidR="00203A67" w:rsidRPr="00CC5419">
        <w:rPr>
          <w:rFonts w:ascii="Arial" w:hAnsi="Arial" w:cs="Arial"/>
          <w:sz w:val="22"/>
          <w:szCs w:val="22"/>
        </w:rPr>
        <w:t xml:space="preserve">obligation to report on a six month basis appropriate? </w:t>
      </w:r>
    </w:p>
    <w:p w:rsidR="00B8310D" w:rsidRDefault="00B8310D" w:rsidP="008610A1">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Pr>
          <w:rFonts w:ascii="Arial" w:hAnsi="Arial" w:cs="Arial"/>
          <w:sz w:val="22"/>
          <w:szCs w:val="22"/>
        </w:rPr>
        <w:t xml:space="preserve">Are there </w:t>
      </w:r>
      <w:r w:rsidR="003B2F0E">
        <w:rPr>
          <w:rFonts w:ascii="Arial" w:hAnsi="Arial" w:cs="Arial"/>
          <w:sz w:val="22"/>
          <w:szCs w:val="22"/>
        </w:rPr>
        <w:t xml:space="preserve">any other </w:t>
      </w:r>
      <w:r>
        <w:rPr>
          <w:rFonts w:ascii="Arial" w:hAnsi="Arial" w:cs="Arial"/>
          <w:sz w:val="22"/>
          <w:szCs w:val="22"/>
        </w:rPr>
        <w:t>r</w:t>
      </w:r>
      <w:r w:rsidR="00C573A5">
        <w:rPr>
          <w:rFonts w:ascii="Arial" w:hAnsi="Arial" w:cs="Arial"/>
          <w:sz w:val="22"/>
          <w:szCs w:val="22"/>
        </w:rPr>
        <w:t>ules arising from the Metering rule ch</w:t>
      </w:r>
      <w:r>
        <w:rPr>
          <w:rFonts w:ascii="Arial" w:hAnsi="Arial" w:cs="Arial"/>
          <w:sz w:val="22"/>
          <w:szCs w:val="22"/>
        </w:rPr>
        <w:t xml:space="preserve">ange that should </w:t>
      </w:r>
      <w:r w:rsidR="003B2F0E">
        <w:rPr>
          <w:rFonts w:ascii="Arial" w:hAnsi="Arial" w:cs="Arial"/>
          <w:sz w:val="22"/>
          <w:szCs w:val="22"/>
        </w:rPr>
        <w:t xml:space="preserve">be </w:t>
      </w:r>
      <w:r>
        <w:rPr>
          <w:rFonts w:ascii="Arial" w:hAnsi="Arial" w:cs="Arial"/>
          <w:sz w:val="22"/>
          <w:szCs w:val="22"/>
        </w:rPr>
        <w:t>reportable under the Guidelines?</w:t>
      </w:r>
    </w:p>
    <w:p w:rsidR="007255D7" w:rsidRPr="007255D7" w:rsidRDefault="007255D7" w:rsidP="007255D7">
      <w:pPr>
        <w:pStyle w:val="Heading3"/>
        <w:rPr>
          <w:bCs w:val="0"/>
          <w:iCs/>
        </w:rPr>
      </w:pPr>
      <w:bookmarkStart w:id="10" w:name="_Toc469301466"/>
      <w:r w:rsidRPr="007255D7">
        <w:rPr>
          <w:bCs w:val="0"/>
          <w:iCs/>
        </w:rPr>
        <w:t>Energy consumption information rule change</w:t>
      </w:r>
      <w:bookmarkEnd w:id="10"/>
      <w:r w:rsidRPr="007255D7">
        <w:rPr>
          <w:bCs w:val="0"/>
          <w:iCs/>
        </w:rPr>
        <w:t xml:space="preserve"> </w:t>
      </w:r>
    </w:p>
    <w:p w:rsidR="008348B2" w:rsidRDefault="00230546" w:rsidP="00230546">
      <w:r>
        <w:t>Under this AEMC</w:t>
      </w:r>
      <w:r w:rsidR="008348B2">
        <w:t xml:space="preserve"> rule change, both retailers and distributors are required, on request by a customer or authorised representative, to provide </w:t>
      </w:r>
      <w:r>
        <w:t xml:space="preserve">information about the </w:t>
      </w:r>
      <w:r w:rsidR="008348B2">
        <w:t>customer’s electricity consumption for the previous two years</w:t>
      </w:r>
      <w:r w:rsidR="00EC1373">
        <w:t xml:space="preserve"> and do so</w:t>
      </w:r>
      <w:r w:rsidR="008348B2">
        <w:t xml:space="preserve"> in </w:t>
      </w:r>
      <w:r>
        <w:t xml:space="preserve">accordance with minimum </w:t>
      </w:r>
      <w:r w:rsidR="005127AB">
        <w:t xml:space="preserve">format </w:t>
      </w:r>
      <w:r>
        <w:t xml:space="preserve">requirements established by AEMO under its </w:t>
      </w:r>
      <w:r w:rsidRPr="00230546">
        <w:t>metering data provision procedures</w:t>
      </w:r>
      <w:r>
        <w:t>.</w:t>
      </w:r>
      <w:r w:rsidRPr="00230546">
        <w:rPr>
          <w:rStyle w:val="FootnoteReference"/>
        </w:rPr>
        <w:t xml:space="preserve"> </w:t>
      </w:r>
      <w:r>
        <w:rPr>
          <w:rStyle w:val="FootnoteReference"/>
        </w:rPr>
        <w:footnoteReference w:id="23"/>
      </w:r>
      <w:r w:rsidR="005079D1">
        <w:t xml:space="preserve"> </w:t>
      </w:r>
      <w:r>
        <w:t xml:space="preserve">For distributors, the customer or authorised </w:t>
      </w:r>
      <w:r w:rsidR="007B1D93">
        <w:t>representative</w:t>
      </w:r>
      <w:r>
        <w:t xml:space="preserve"> may also request information on the distributor’s charges.</w:t>
      </w:r>
      <w:r>
        <w:rPr>
          <w:rStyle w:val="FootnoteReference"/>
        </w:rPr>
        <w:footnoteReference w:id="24"/>
      </w:r>
    </w:p>
    <w:p w:rsidR="00230546" w:rsidRDefault="00EC1373" w:rsidP="005079D1">
      <w:r>
        <w:t>The</w:t>
      </w:r>
      <w:r w:rsidR="005079D1">
        <w:t xml:space="preserve"> rules also provide that energy consumption information </w:t>
      </w:r>
      <w:r w:rsidR="00230546">
        <w:t xml:space="preserve">must be provided without charge unless the information has been requested: </w:t>
      </w:r>
    </w:p>
    <w:p w:rsidR="005079D1" w:rsidRDefault="005079D1" w:rsidP="00B216B0">
      <w:pPr>
        <w:pStyle w:val="ListParagraph"/>
        <w:numPr>
          <w:ilvl w:val="0"/>
          <w:numId w:val="26"/>
        </w:numPr>
      </w:pPr>
      <w:r>
        <w:t xml:space="preserve">More than </w:t>
      </w:r>
      <w:r w:rsidR="005127AB">
        <w:t>four</w:t>
      </w:r>
      <w:r>
        <w:t xml:space="preserve"> times in any</w:t>
      </w:r>
      <w:r w:rsidR="006C55EC">
        <w:t xml:space="preserve"> 12 month period</w:t>
      </w:r>
    </w:p>
    <w:p w:rsidR="005079D1" w:rsidRDefault="005079D1" w:rsidP="00B216B0">
      <w:pPr>
        <w:pStyle w:val="ListParagraph"/>
        <w:numPr>
          <w:ilvl w:val="0"/>
          <w:numId w:val="26"/>
        </w:numPr>
      </w:pPr>
      <w:r>
        <w:t xml:space="preserve">In a different manner or form than that specified in AEMO’s metering data provision procedures; or </w:t>
      </w:r>
    </w:p>
    <w:p w:rsidR="005079D1" w:rsidRDefault="005079D1" w:rsidP="00B216B0">
      <w:pPr>
        <w:pStyle w:val="ListParagraph"/>
        <w:numPr>
          <w:ilvl w:val="0"/>
          <w:numId w:val="26"/>
        </w:numPr>
      </w:pPr>
      <w:r>
        <w:t xml:space="preserve">Where the information has been requested by the customer’s authorised representative as part of a request for information about more than one customer. </w:t>
      </w:r>
    </w:p>
    <w:p w:rsidR="008348B2" w:rsidRDefault="008348B2" w:rsidP="005079D1">
      <w:r>
        <w:t>T</w:t>
      </w:r>
      <w:r w:rsidR="005079D1">
        <w:t xml:space="preserve">he changes requiring </w:t>
      </w:r>
      <w:r w:rsidR="005127AB">
        <w:t>businesses</w:t>
      </w:r>
      <w:r w:rsidR="005079D1">
        <w:t xml:space="preserve"> to comply with minimum requirements relating to format, timeframes and costs </w:t>
      </w:r>
      <w:r>
        <w:t>have</w:t>
      </w:r>
      <w:r w:rsidR="005079D1">
        <w:t xml:space="preserve"> only</w:t>
      </w:r>
      <w:r>
        <w:t xml:space="preserve"> been effective since 1 </w:t>
      </w:r>
      <w:r w:rsidR="005079D1">
        <w:t>March 2016</w:t>
      </w:r>
      <w:r>
        <w:t xml:space="preserve">. </w:t>
      </w:r>
      <w:r w:rsidR="00443DDC">
        <w:t>The relevant rules, rule 56A</w:t>
      </w:r>
      <w:r w:rsidR="00C556EB">
        <w:t xml:space="preserve"> and rule 56B</w:t>
      </w:r>
      <w:r w:rsidR="00443DDC">
        <w:t xml:space="preserve"> for retailers </w:t>
      </w:r>
      <w:r w:rsidR="00C556EB">
        <w:t>are</w:t>
      </w:r>
      <w:r w:rsidR="00443DDC">
        <w:t xml:space="preserve"> currently reportable under type 3 of the Guidelines;</w:t>
      </w:r>
      <w:r w:rsidR="00E72375">
        <w:rPr>
          <w:rStyle w:val="FootnoteReference"/>
        </w:rPr>
        <w:footnoteReference w:id="25"/>
      </w:r>
      <w:r w:rsidR="00443DDC">
        <w:t xml:space="preserve"> </w:t>
      </w:r>
      <w:r w:rsidR="005079D1">
        <w:t xml:space="preserve">and </w:t>
      </w:r>
      <w:r w:rsidR="00443DDC">
        <w:t xml:space="preserve">rule </w:t>
      </w:r>
      <w:r w:rsidR="005079D1">
        <w:t>86A</w:t>
      </w:r>
      <w:r w:rsidR="00443DDC">
        <w:t xml:space="preserve"> for distributors, is</w:t>
      </w:r>
      <w:r w:rsidR="005079D1">
        <w:t xml:space="preserve"> currently </w:t>
      </w:r>
      <w:r w:rsidR="00443DDC">
        <w:t xml:space="preserve">not </w:t>
      </w:r>
      <w:r w:rsidR="005079D1">
        <w:t>reportable under</w:t>
      </w:r>
      <w:r w:rsidR="00255911">
        <w:t xml:space="preserve"> the</w:t>
      </w:r>
      <w:r w:rsidR="005079D1">
        <w:t xml:space="preserve"> Guideline</w:t>
      </w:r>
      <w:r w:rsidR="00244E3F">
        <w:t>s</w:t>
      </w:r>
      <w:r w:rsidR="00255911">
        <w:t xml:space="preserve">. </w:t>
      </w:r>
      <w:r w:rsidR="005079D1">
        <w:t xml:space="preserve"> </w:t>
      </w:r>
    </w:p>
    <w:p w:rsidR="00244E3F" w:rsidRDefault="00244E3F" w:rsidP="00DB6CFF">
      <w:r>
        <w:t>Similarly, the rule change also made changes to rule 28(2)</w:t>
      </w:r>
      <w:r w:rsidR="0008750B">
        <w:t xml:space="preserve"> </w:t>
      </w:r>
      <w:r w:rsidR="00C556EB">
        <w:t xml:space="preserve">and introduced rule 56B </w:t>
      </w:r>
      <w:r w:rsidR="0008750B">
        <w:t xml:space="preserve">to </w:t>
      </w:r>
      <w:r>
        <w:t xml:space="preserve">require retailers to provide historical billing data for the previous two years, on request, to small customers without charge. A reasonable charge may be requested where the data requested is for an earlier period or has been requested more than </w:t>
      </w:r>
      <w:r w:rsidR="005127AB">
        <w:t>four</w:t>
      </w:r>
      <w:r>
        <w:t xml:space="preserve"> times in a 12 month period (for electricity), or once in any 12 month period (of gas).</w:t>
      </w:r>
      <w:r>
        <w:rPr>
          <w:rStyle w:val="FootnoteReference"/>
        </w:rPr>
        <w:footnoteReference w:id="26"/>
      </w:r>
      <w:r>
        <w:t xml:space="preserve"> Rule 28(2) is curr</w:t>
      </w:r>
      <w:r w:rsidR="00261936">
        <w:t xml:space="preserve">ently a reportable type 2 (half </w:t>
      </w:r>
      <w:r>
        <w:t xml:space="preserve">yearly) </w:t>
      </w:r>
      <w:proofErr w:type="gramStart"/>
      <w:r>
        <w:t>obligation</w:t>
      </w:r>
      <w:proofErr w:type="gramEnd"/>
      <w:r>
        <w:t xml:space="preserve"> under the Guidelines</w:t>
      </w:r>
      <w:r w:rsidR="00C556EB">
        <w:t>.</w:t>
      </w:r>
    </w:p>
    <w:p w:rsidR="00DB6CFF" w:rsidRDefault="00255911" w:rsidP="00A454B9">
      <w:r>
        <w:lastRenderedPageBreak/>
        <w:t xml:space="preserve">To date, we have not identified any systemic issues in relation to the provision of historical billing or energy consumption information. As such, we do not propose to </w:t>
      </w:r>
      <w:r w:rsidR="00A454B9">
        <w:t>attach any reportable obligations on the new rules arising from this rule change or to amend</w:t>
      </w:r>
      <w:r>
        <w:t xml:space="preserve"> the existing classification of rule 28(2)</w:t>
      </w:r>
      <w:r w:rsidR="00C556EB">
        <w:t xml:space="preserve"> </w:t>
      </w:r>
      <w:r>
        <w:t xml:space="preserve">under the reporting framework. </w:t>
      </w:r>
      <w:r w:rsidR="00765CC4">
        <w:t>We will continue to monitor compliance with these provisions in accordance with our broader compliance strategy.</w:t>
      </w:r>
      <w:r>
        <w:t xml:space="preserve"> </w:t>
      </w:r>
    </w:p>
    <w:p w:rsidR="007255D7" w:rsidRPr="001170BD" w:rsidRDefault="007255D7" w:rsidP="007255D7">
      <w:pPr>
        <w:pBdr>
          <w:top w:val="single" w:sz="4" w:space="1" w:color="auto"/>
          <w:left w:val="single" w:sz="4" w:space="4" w:color="auto"/>
          <w:bottom w:val="single" w:sz="4" w:space="1" w:color="auto"/>
          <w:right w:val="single" w:sz="4" w:space="4" w:color="auto"/>
        </w:pBdr>
        <w:shd w:val="clear" w:color="auto" w:fill="D9D9D9" w:themeFill="background2" w:themeFillShade="D9"/>
        <w:rPr>
          <w:rStyle w:val="IntenseEmphasis"/>
        </w:rPr>
      </w:pPr>
      <w:r w:rsidRPr="001170BD">
        <w:rPr>
          <w:rStyle w:val="IntenseEmphasis"/>
        </w:rPr>
        <w:t>Consultation questions</w:t>
      </w:r>
    </w:p>
    <w:p w:rsidR="007255D7" w:rsidRDefault="00A454B9" w:rsidP="008610A1">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Pr>
          <w:rFonts w:ascii="Arial" w:hAnsi="Arial" w:cs="Arial"/>
          <w:sz w:val="22"/>
          <w:szCs w:val="22"/>
        </w:rPr>
        <w:t xml:space="preserve">Are there any </w:t>
      </w:r>
      <w:r w:rsidR="00765CC4">
        <w:rPr>
          <w:rFonts w:ascii="Arial" w:hAnsi="Arial" w:cs="Arial"/>
          <w:sz w:val="22"/>
          <w:szCs w:val="22"/>
        </w:rPr>
        <w:t xml:space="preserve">matters </w:t>
      </w:r>
      <w:r>
        <w:rPr>
          <w:rFonts w:ascii="Arial" w:hAnsi="Arial" w:cs="Arial"/>
          <w:sz w:val="22"/>
          <w:szCs w:val="22"/>
        </w:rPr>
        <w:t xml:space="preserve">arising </w:t>
      </w:r>
      <w:r w:rsidR="00765CC4">
        <w:rPr>
          <w:rFonts w:ascii="Arial" w:hAnsi="Arial" w:cs="Arial"/>
          <w:sz w:val="22"/>
          <w:szCs w:val="22"/>
        </w:rPr>
        <w:t>from</w:t>
      </w:r>
      <w:r>
        <w:rPr>
          <w:rFonts w:ascii="Arial" w:hAnsi="Arial" w:cs="Arial"/>
          <w:sz w:val="22"/>
          <w:szCs w:val="22"/>
        </w:rPr>
        <w:t xml:space="preserve"> the </w:t>
      </w:r>
      <w:r w:rsidR="005127AB">
        <w:rPr>
          <w:rFonts w:ascii="Arial" w:hAnsi="Arial" w:cs="Arial"/>
          <w:sz w:val="22"/>
          <w:szCs w:val="22"/>
        </w:rPr>
        <w:t>E</w:t>
      </w:r>
      <w:r w:rsidR="00D661AB">
        <w:rPr>
          <w:rFonts w:ascii="Arial" w:hAnsi="Arial" w:cs="Arial"/>
          <w:sz w:val="22"/>
          <w:szCs w:val="22"/>
        </w:rPr>
        <w:t xml:space="preserve">nergy </w:t>
      </w:r>
      <w:r>
        <w:rPr>
          <w:rFonts w:ascii="Arial" w:hAnsi="Arial" w:cs="Arial"/>
          <w:sz w:val="22"/>
          <w:szCs w:val="22"/>
        </w:rPr>
        <w:t xml:space="preserve">consumption rule change that may require </w:t>
      </w:r>
      <w:r w:rsidR="005127AB">
        <w:rPr>
          <w:rFonts w:ascii="Arial" w:hAnsi="Arial" w:cs="Arial"/>
          <w:sz w:val="22"/>
          <w:szCs w:val="22"/>
        </w:rPr>
        <w:t xml:space="preserve">a </w:t>
      </w:r>
      <w:r>
        <w:rPr>
          <w:rFonts w:ascii="Arial" w:hAnsi="Arial" w:cs="Arial"/>
          <w:sz w:val="22"/>
          <w:szCs w:val="22"/>
        </w:rPr>
        <w:t>reconsider</w:t>
      </w:r>
      <w:r w:rsidR="005127AB">
        <w:rPr>
          <w:rFonts w:ascii="Arial" w:hAnsi="Arial" w:cs="Arial"/>
          <w:sz w:val="22"/>
          <w:szCs w:val="22"/>
        </w:rPr>
        <w:t>ation of</w:t>
      </w:r>
      <w:r>
        <w:rPr>
          <w:rFonts w:ascii="Arial" w:hAnsi="Arial" w:cs="Arial"/>
          <w:sz w:val="22"/>
          <w:szCs w:val="22"/>
        </w:rPr>
        <w:t xml:space="preserve"> the classification/frequency of reporting in relation to rule 28(2)?</w:t>
      </w:r>
    </w:p>
    <w:p w:rsidR="00A454B9" w:rsidRPr="00081D40" w:rsidRDefault="00D661AB" w:rsidP="008610A1">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Pr>
          <w:rFonts w:ascii="Arial" w:hAnsi="Arial" w:cs="Arial"/>
          <w:sz w:val="22"/>
          <w:szCs w:val="22"/>
        </w:rPr>
        <w:t>What</w:t>
      </w:r>
      <w:r w:rsidR="00A454B9">
        <w:rPr>
          <w:rFonts w:ascii="Arial" w:hAnsi="Arial" w:cs="Arial"/>
          <w:sz w:val="22"/>
          <w:szCs w:val="22"/>
        </w:rPr>
        <w:t xml:space="preserve"> issues may require </w:t>
      </w:r>
      <w:r w:rsidR="009A6175">
        <w:rPr>
          <w:rFonts w:ascii="Arial" w:hAnsi="Arial" w:cs="Arial"/>
          <w:sz w:val="22"/>
          <w:szCs w:val="22"/>
        </w:rPr>
        <w:t>ame</w:t>
      </w:r>
      <w:r w:rsidR="00EA57C7">
        <w:rPr>
          <w:rFonts w:ascii="Arial" w:hAnsi="Arial" w:cs="Arial"/>
          <w:sz w:val="22"/>
          <w:szCs w:val="22"/>
        </w:rPr>
        <w:t>nding the reporting framework to capture the rules introduced</w:t>
      </w:r>
      <w:r w:rsidR="006F6BD1">
        <w:rPr>
          <w:rFonts w:ascii="Arial" w:hAnsi="Arial" w:cs="Arial"/>
          <w:sz w:val="22"/>
          <w:szCs w:val="22"/>
        </w:rPr>
        <w:t xml:space="preserve"> in </w:t>
      </w:r>
      <w:r w:rsidR="00EA57C7">
        <w:rPr>
          <w:rFonts w:ascii="Arial" w:hAnsi="Arial" w:cs="Arial"/>
          <w:sz w:val="22"/>
          <w:szCs w:val="22"/>
        </w:rPr>
        <w:t>the Energy consumptio</w:t>
      </w:r>
      <w:r w:rsidR="0059324C">
        <w:rPr>
          <w:rFonts w:ascii="Arial" w:hAnsi="Arial" w:cs="Arial"/>
          <w:sz w:val="22"/>
          <w:szCs w:val="22"/>
        </w:rPr>
        <w:t>n rule change?</w:t>
      </w:r>
    </w:p>
    <w:p w:rsidR="00E14CEA" w:rsidRDefault="001307CD" w:rsidP="00D95BD5">
      <w:pPr>
        <w:pStyle w:val="Heading2"/>
      </w:pPr>
      <w:bookmarkStart w:id="11" w:name="_Toc469301467"/>
      <w:r>
        <w:t>C</w:t>
      </w:r>
      <w:r w:rsidR="00E14CEA">
        <w:t xml:space="preserve">lassification of obligations </w:t>
      </w:r>
      <w:r w:rsidR="00375B30">
        <w:t>and timing of reports</w:t>
      </w:r>
      <w:bookmarkEnd w:id="11"/>
      <w:r w:rsidR="00375B30">
        <w:t xml:space="preserve"> </w:t>
      </w:r>
    </w:p>
    <w:p w:rsidR="004814C4" w:rsidRPr="00E335EE" w:rsidRDefault="004814C4" w:rsidP="004814C4">
      <w:pPr>
        <w:pStyle w:val="Heading3"/>
      </w:pPr>
      <w:bookmarkStart w:id="12" w:name="_Toc469301468"/>
      <w:r w:rsidRPr="00E335EE">
        <w:t>Current</w:t>
      </w:r>
      <w:r>
        <w:t xml:space="preserve"> classification of obligations</w:t>
      </w:r>
      <w:bookmarkEnd w:id="12"/>
    </w:p>
    <w:p w:rsidR="00773AF4" w:rsidRDefault="004814C4" w:rsidP="004814C4">
      <w:r>
        <w:t xml:space="preserve">Under the current Guidelines, the reporting framework establishes three tiers or </w:t>
      </w:r>
      <w:r w:rsidR="002B1166">
        <w:t>categories</w:t>
      </w:r>
      <w:r>
        <w:t xml:space="preserve"> for reportable obligations, type 1, 2 and 3, with the frequency of reporting reflecting the level of potential harm to consumers. The table below summarises the reporting framework.</w:t>
      </w:r>
    </w:p>
    <w:p w:rsidR="007A136E" w:rsidRDefault="007A136E" w:rsidP="004814C4">
      <w:pPr>
        <w:rPr>
          <w:b/>
          <w:i/>
        </w:rPr>
      </w:pPr>
    </w:p>
    <w:p w:rsidR="00607EB2" w:rsidRPr="00E72375" w:rsidRDefault="00607EB2" w:rsidP="004814C4">
      <w:r w:rsidRPr="005B51F7">
        <w:rPr>
          <w:b/>
          <w:i/>
        </w:rPr>
        <w:t>Table A</w:t>
      </w:r>
      <w:r>
        <w:rPr>
          <w:i/>
        </w:rPr>
        <w:t>: Summary of the</w:t>
      </w:r>
      <w:r w:rsidR="0038631D">
        <w:rPr>
          <w:i/>
        </w:rPr>
        <w:t xml:space="preserve"> current</w:t>
      </w:r>
      <w:r>
        <w:rPr>
          <w:i/>
        </w:rPr>
        <w:t xml:space="preserve"> reporting framework </w:t>
      </w:r>
    </w:p>
    <w:tbl>
      <w:tblPr>
        <w:tblStyle w:val="LightShading"/>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2"/>
        <w:gridCol w:w="4288"/>
        <w:gridCol w:w="3322"/>
      </w:tblGrid>
      <w:tr w:rsidR="004814C4" w:rsidTr="00E72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top w:val="none" w:sz="0" w:space="0" w:color="auto"/>
              <w:left w:val="none" w:sz="0" w:space="0" w:color="auto"/>
              <w:bottom w:val="none" w:sz="0" w:space="0" w:color="auto"/>
              <w:right w:val="none" w:sz="0" w:space="0" w:color="auto"/>
            </w:tcBorders>
            <w:shd w:val="clear" w:color="auto" w:fill="054E6D" w:themeFill="text1" w:themeFillShade="BF"/>
            <w:vAlign w:val="bottom"/>
          </w:tcPr>
          <w:p w:rsidR="004814C4" w:rsidRPr="00205AC0" w:rsidRDefault="004814C4" w:rsidP="00E72375">
            <w:pPr>
              <w:rPr>
                <w:color w:val="FFFFFF" w:themeColor="background1"/>
              </w:rPr>
            </w:pPr>
            <w:r w:rsidRPr="00205AC0">
              <w:rPr>
                <w:color w:val="FFFFFF" w:themeColor="background1"/>
              </w:rPr>
              <w:t xml:space="preserve">Classification </w:t>
            </w:r>
          </w:p>
        </w:tc>
        <w:tc>
          <w:tcPr>
            <w:tcW w:w="4288" w:type="dxa"/>
            <w:tcBorders>
              <w:top w:val="none" w:sz="0" w:space="0" w:color="auto"/>
              <w:left w:val="none" w:sz="0" w:space="0" w:color="auto"/>
              <w:bottom w:val="none" w:sz="0" w:space="0" w:color="auto"/>
              <w:right w:val="none" w:sz="0" w:space="0" w:color="auto"/>
            </w:tcBorders>
            <w:shd w:val="clear" w:color="auto" w:fill="054E6D" w:themeFill="text1" w:themeFillShade="BF"/>
            <w:vAlign w:val="bottom"/>
          </w:tcPr>
          <w:p w:rsidR="004814C4" w:rsidRPr="00205AC0" w:rsidRDefault="004814C4" w:rsidP="0038631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205AC0">
              <w:rPr>
                <w:color w:val="FFFFFF" w:themeColor="background1"/>
              </w:rPr>
              <w:t xml:space="preserve">Reportable </w:t>
            </w:r>
            <w:r w:rsidR="0038631D">
              <w:rPr>
                <w:color w:val="FFFFFF" w:themeColor="background1"/>
              </w:rPr>
              <w:t>provisions</w:t>
            </w:r>
          </w:p>
        </w:tc>
        <w:tc>
          <w:tcPr>
            <w:tcW w:w="3322" w:type="dxa"/>
            <w:tcBorders>
              <w:top w:val="none" w:sz="0" w:space="0" w:color="auto"/>
              <w:left w:val="none" w:sz="0" w:space="0" w:color="auto"/>
              <w:bottom w:val="none" w:sz="0" w:space="0" w:color="auto"/>
              <w:right w:val="none" w:sz="0" w:space="0" w:color="auto"/>
            </w:tcBorders>
            <w:shd w:val="clear" w:color="auto" w:fill="054E6D" w:themeFill="text1" w:themeFillShade="BF"/>
            <w:vAlign w:val="bottom"/>
          </w:tcPr>
          <w:p w:rsidR="004814C4" w:rsidRPr="00205AC0" w:rsidRDefault="004814C4" w:rsidP="00E7237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Frequency of reporting</w:t>
            </w:r>
          </w:p>
        </w:tc>
      </w:tr>
      <w:tr w:rsidR="004814C4" w:rsidTr="0090282A">
        <w:tc>
          <w:tcPr>
            <w:cnfStyle w:val="001000000000" w:firstRow="0" w:lastRow="0" w:firstColumn="1" w:lastColumn="0" w:oddVBand="0" w:evenVBand="0" w:oddHBand="0" w:evenHBand="0" w:firstRowFirstColumn="0" w:firstRowLastColumn="0" w:lastRowFirstColumn="0" w:lastRowLastColumn="0"/>
            <w:tcW w:w="1632" w:type="dxa"/>
            <w:shd w:val="clear" w:color="auto" w:fill="E3DFDC" w:themeFill="text2" w:themeFillTint="33"/>
          </w:tcPr>
          <w:p w:rsidR="004814C4" w:rsidRDefault="004814C4" w:rsidP="00E72375">
            <w:r>
              <w:t>Type 1</w:t>
            </w:r>
          </w:p>
        </w:tc>
        <w:tc>
          <w:tcPr>
            <w:tcW w:w="4288" w:type="dxa"/>
            <w:shd w:val="clear" w:color="auto" w:fill="E3DFDC" w:themeFill="text2" w:themeFillTint="33"/>
          </w:tcPr>
          <w:p w:rsidR="004814C4" w:rsidRDefault="004814C4" w:rsidP="00E72375">
            <w:pPr>
              <w:cnfStyle w:val="000000000000" w:firstRow="0" w:lastRow="0" w:firstColumn="0" w:lastColumn="0" w:oddVBand="0" w:evenVBand="0" w:oddHBand="0" w:evenHBand="0" w:firstRowFirstColumn="0" w:firstRowLastColumn="0" w:lastRowFirstColumn="0" w:lastRowLastColumn="0"/>
            </w:pPr>
            <w:r>
              <w:t xml:space="preserve">There are two categories of type 1 breaches: obligations that require an initial report, and other type 1 obligations. </w:t>
            </w:r>
          </w:p>
          <w:p w:rsidR="004814C4" w:rsidRDefault="004814C4" w:rsidP="00E72375">
            <w:pPr>
              <w:cnfStyle w:val="000000000000" w:firstRow="0" w:lastRow="0" w:firstColumn="0" w:lastColumn="0" w:oddVBand="0" w:evenVBand="0" w:oddHBand="0" w:evenHBand="0" w:firstRowFirstColumn="0" w:firstRowLastColumn="0" w:lastRowFirstColumn="0" w:lastRowLastColumn="0"/>
            </w:pPr>
            <w:r>
              <w:t xml:space="preserve">Immediate type 1 provisions – obligations which contain critical safeguards to protect vulnerable customers and which present risks for customer safety and wellbeing. Generally the provisions relates to life support and hardship customers. </w:t>
            </w:r>
          </w:p>
          <w:p w:rsidR="004814C4" w:rsidRDefault="004814C4" w:rsidP="00E72375">
            <w:pPr>
              <w:cnfStyle w:val="000000000000" w:firstRow="0" w:lastRow="0" w:firstColumn="0" w:lastColumn="0" w:oddVBand="0" w:evenVBand="0" w:oddHBand="0" w:evenHBand="0" w:firstRowFirstColumn="0" w:firstRowLastColumn="0" w:lastRowFirstColumn="0" w:lastRowLastColumn="0"/>
            </w:pPr>
            <w:r>
              <w:t>Other type 1 obligations include unlawful disconnections of customers or failure by businesses to re-energise premises.</w:t>
            </w:r>
          </w:p>
        </w:tc>
        <w:tc>
          <w:tcPr>
            <w:tcW w:w="3322" w:type="dxa"/>
            <w:shd w:val="clear" w:color="auto" w:fill="E3DFDC" w:themeFill="text2" w:themeFillTint="33"/>
          </w:tcPr>
          <w:p w:rsidR="004814C4" w:rsidRDefault="004814C4" w:rsidP="00E72375">
            <w:pPr>
              <w:cnfStyle w:val="000000000000" w:firstRow="0" w:lastRow="0" w:firstColumn="0" w:lastColumn="0" w:oddVBand="0" w:evenVBand="0" w:oddHBand="0" w:evenHBand="0" w:firstRowFirstColumn="0" w:firstRowLastColumn="0" w:lastRowFirstColumn="0" w:lastRowLastColumn="0"/>
            </w:pPr>
            <w:r>
              <w:t>Potential breaches of immediate type 1 provisions must be reported no later than</w:t>
            </w:r>
            <w:r w:rsidRPr="008D40A7">
              <w:rPr>
                <w:i/>
              </w:rPr>
              <w:t xml:space="preserve"> two busine</w:t>
            </w:r>
            <w:r>
              <w:rPr>
                <w:i/>
              </w:rPr>
              <w:t xml:space="preserve">ss days </w:t>
            </w:r>
            <w:r>
              <w:t xml:space="preserve">after the breach has been identified by the </w:t>
            </w:r>
            <w:r w:rsidR="005127AB">
              <w:t>business</w:t>
            </w:r>
            <w:r>
              <w:t xml:space="preserve">. </w:t>
            </w:r>
            <w:r w:rsidRPr="008D40A7">
              <w:rPr>
                <w:i/>
              </w:rPr>
              <w:t xml:space="preserve"> </w:t>
            </w:r>
          </w:p>
          <w:p w:rsidR="004814C4" w:rsidRDefault="004814C4" w:rsidP="00E72375">
            <w:pPr>
              <w:cnfStyle w:val="000000000000" w:firstRow="0" w:lastRow="0" w:firstColumn="0" w:lastColumn="0" w:oddVBand="0" w:evenVBand="0" w:oddHBand="0" w:evenHBand="0" w:firstRowFirstColumn="0" w:firstRowLastColumn="0" w:lastRowFirstColumn="0" w:lastRowLastColumn="0"/>
            </w:pPr>
          </w:p>
          <w:p w:rsidR="004814C4" w:rsidRPr="008D40A7" w:rsidRDefault="004814C4" w:rsidP="00E72375">
            <w:pPr>
              <w:cnfStyle w:val="000000000000" w:firstRow="0" w:lastRow="0" w:firstColumn="0" w:lastColumn="0" w:oddVBand="0" w:evenVBand="0" w:oddHBand="0" w:evenHBand="0" w:firstRowFirstColumn="0" w:firstRowLastColumn="0" w:lastRowFirstColumn="0" w:lastRowLastColumn="0"/>
            </w:pPr>
            <w:r>
              <w:t xml:space="preserve">Other potential type 1 breaches are reported </w:t>
            </w:r>
            <w:r>
              <w:rPr>
                <w:i/>
              </w:rPr>
              <w:t>quarterly</w:t>
            </w:r>
            <w:r>
              <w:t>.</w:t>
            </w:r>
          </w:p>
        </w:tc>
      </w:tr>
      <w:tr w:rsidR="004814C4" w:rsidTr="0090282A">
        <w:tc>
          <w:tcPr>
            <w:cnfStyle w:val="001000000000" w:firstRow="0" w:lastRow="0" w:firstColumn="1" w:lastColumn="0" w:oddVBand="0" w:evenVBand="0" w:oddHBand="0" w:evenHBand="0" w:firstRowFirstColumn="0" w:firstRowLastColumn="0" w:lastRowFirstColumn="0" w:lastRowLastColumn="0"/>
            <w:tcW w:w="1632" w:type="dxa"/>
            <w:shd w:val="clear" w:color="auto" w:fill="E3DFDC" w:themeFill="text2" w:themeFillTint="33"/>
          </w:tcPr>
          <w:p w:rsidR="004814C4" w:rsidRDefault="004814C4" w:rsidP="00E72375">
            <w:r>
              <w:t xml:space="preserve">Type 2 </w:t>
            </w:r>
          </w:p>
        </w:tc>
        <w:tc>
          <w:tcPr>
            <w:tcW w:w="4288" w:type="dxa"/>
            <w:shd w:val="clear" w:color="auto" w:fill="E3DFDC" w:themeFill="text2" w:themeFillTint="33"/>
          </w:tcPr>
          <w:p w:rsidR="004814C4" w:rsidRDefault="004814C4" w:rsidP="00E72375">
            <w:pPr>
              <w:cnfStyle w:val="000000000000" w:firstRow="0" w:lastRow="0" w:firstColumn="0" w:lastColumn="0" w:oddVBand="0" w:evenVBand="0" w:oddHBand="0" w:evenHBand="0" w:firstRowFirstColumn="0" w:firstRowLastColumn="0" w:lastRowFirstColumn="0" w:lastRowLastColumn="0"/>
            </w:pPr>
            <w:r>
              <w:t xml:space="preserve">Obligations </w:t>
            </w:r>
            <w:r w:rsidRPr="00474B4F">
              <w:t xml:space="preserve">relating to energy marketing, pre-contractual procedures, billing and </w:t>
            </w:r>
            <w:r>
              <w:t xml:space="preserve">general </w:t>
            </w:r>
            <w:r w:rsidRPr="00474B4F">
              <w:t>customer hardship</w:t>
            </w:r>
            <w:r>
              <w:t xml:space="preserve"> provisions. </w:t>
            </w:r>
          </w:p>
        </w:tc>
        <w:tc>
          <w:tcPr>
            <w:tcW w:w="3322" w:type="dxa"/>
            <w:shd w:val="clear" w:color="auto" w:fill="E3DFDC" w:themeFill="text2" w:themeFillTint="33"/>
          </w:tcPr>
          <w:p w:rsidR="004814C4" w:rsidRPr="00205AC0" w:rsidRDefault="004814C4" w:rsidP="00E72375">
            <w:pPr>
              <w:cnfStyle w:val="000000000000" w:firstRow="0" w:lastRow="0" w:firstColumn="0" w:lastColumn="0" w:oddVBand="0" w:evenVBand="0" w:oddHBand="0" w:evenHBand="0" w:firstRowFirstColumn="0" w:firstRowLastColumn="0" w:lastRowFirstColumn="0" w:lastRowLastColumn="0"/>
            </w:pPr>
            <w:r>
              <w:rPr>
                <w:i/>
              </w:rPr>
              <w:t>Bi-annually</w:t>
            </w:r>
          </w:p>
        </w:tc>
      </w:tr>
      <w:tr w:rsidR="004814C4" w:rsidTr="0090282A">
        <w:tc>
          <w:tcPr>
            <w:cnfStyle w:val="001000000000" w:firstRow="0" w:lastRow="0" w:firstColumn="1" w:lastColumn="0" w:oddVBand="0" w:evenVBand="0" w:oddHBand="0" w:evenHBand="0" w:firstRowFirstColumn="0" w:firstRowLastColumn="0" w:lastRowFirstColumn="0" w:lastRowLastColumn="0"/>
            <w:tcW w:w="1632" w:type="dxa"/>
            <w:shd w:val="clear" w:color="auto" w:fill="E3DFDC" w:themeFill="text2" w:themeFillTint="33"/>
          </w:tcPr>
          <w:p w:rsidR="004814C4" w:rsidRDefault="004814C4" w:rsidP="00E72375">
            <w:r>
              <w:t>Type 3</w:t>
            </w:r>
          </w:p>
        </w:tc>
        <w:tc>
          <w:tcPr>
            <w:tcW w:w="4288" w:type="dxa"/>
            <w:shd w:val="clear" w:color="auto" w:fill="E3DFDC" w:themeFill="text2" w:themeFillTint="33"/>
          </w:tcPr>
          <w:p w:rsidR="004814C4" w:rsidRDefault="004814C4" w:rsidP="00E72375">
            <w:pPr>
              <w:cnfStyle w:val="000000000000" w:firstRow="0" w:lastRow="0" w:firstColumn="0" w:lastColumn="0" w:oddVBand="0" w:evenVBand="0" w:oddHBand="0" w:evenHBand="0" w:firstRowFirstColumn="0" w:firstRowLastColumn="0" w:lastRowFirstColumn="0" w:lastRowLastColumn="0"/>
            </w:pPr>
            <w:r w:rsidRPr="00474B4F">
              <w:t>Obligations relating to customer classification, consumption threshold matters, disconnection requests and distributor interruptions to supply.</w:t>
            </w:r>
          </w:p>
        </w:tc>
        <w:tc>
          <w:tcPr>
            <w:tcW w:w="3322" w:type="dxa"/>
            <w:shd w:val="clear" w:color="auto" w:fill="E3DFDC" w:themeFill="text2" w:themeFillTint="33"/>
          </w:tcPr>
          <w:p w:rsidR="004814C4" w:rsidRPr="00205AC0" w:rsidRDefault="004814C4" w:rsidP="00E72375">
            <w:pPr>
              <w:cnfStyle w:val="000000000000" w:firstRow="0" w:lastRow="0" w:firstColumn="0" w:lastColumn="0" w:oddVBand="0" w:evenVBand="0" w:oddHBand="0" w:evenHBand="0" w:firstRowFirstColumn="0" w:firstRowLastColumn="0" w:lastRowFirstColumn="0" w:lastRowLastColumn="0"/>
            </w:pPr>
            <w:r>
              <w:rPr>
                <w:i/>
              </w:rPr>
              <w:t>Annually</w:t>
            </w:r>
          </w:p>
        </w:tc>
      </w:tr>
    </w:tbl>
    <w:p w:rsidR="000E064C" w:rsidRDefault="000E064C" w:rsidP="004814C4">
      <w:r>
        <w:t xml:space="preserve">Our experience </w:t>
      </w:r>
      <w:r w:rsidR="003B2F0E">
        <w:t>with</w:t>
      </w:r>
      <w:r>
        <w:t xml:space="preserve"> the Guidelines</w:t>
      </w:r>
      <w:r w:rsidR="002B1166">
        <w:t>,</w:t>
      </w:r>
      <w:r>
        <w:t xml:space="preserve"> in line with </w:t>
      </w:r>
      <w:r w:rsidR="00765CC4">
        <w:t>our</w:t>
      </w:r>
      <w:r>
        <w:t xml:space="preserve"> compliance work</w:t>
      </w:r>
      <w:r w:rsidR="002B1166">
        <w:t>,</w:t>
      </w:r>
      <w:r>
        <w:t xml:space="preserve"> has identified that amendments may be made to the reporting framework to improve its effectiveness as a compliance monitoring tool. These proposed amendments are discussed below. </w:t>
      </w:r>
    </w:p>
    <w:p w:rsidR="004814C4" w:rsidRDefault="004814C4" w:rsidP="004814C4">
      <w:pPr>
        <w:pStyle w:val="Heading3"/>
      </w:pPr>
      <w:bookmarkStart w:id="13" w:name="_Toc469301469"/>
      <w:r>
        <w:lastRenderedPageBreak/>
        <w:t>Proposed amendments</w:t>
      </w:r>
      <w:bookmarkEnd w:id="13"/>
    </w:p>
    <w:p w:rsidR="00C2729E" w:rsidRDefault="00C2729E" w:rsidP="00B216B0">
      <w:pPr>
        <w:pStyle w:val="ListParagraph"/>
        <w:numPr>
          <w:ilvl w:val="0"/>
          <w:numId w:val="27"/>
        </w:numPr>
        <w:ind w:left="284" w:hanging="284"/>
        <w:rPr>
          <w:b/>
          <w:i/>
          <w:sz w:val="24"/>
        </w:rPr>
      </w:pPr>
      <w:r>
        <w:rPr>
          <w:b/>
          <w:i/>
          <w:sz w:val="24"/>
        </w:rPr>
        <w:t>Changes to the classification of obligations</w:t>
      </w:r>
      <w:r w:rsidR="001101ED">
        <w:rPr>
          <w:b/>
          <w:i/>
          <w:sz w:val="24"/>
        </w:rPr>
        <w:t xml:space="preserve"> and type 3 provisions</w:t>
      </w:r>
    </w:p>
    <w:p w:rsidR="0038631D" w:rsidRDefault="009028D2" w:rsidP="004814C4">
      <w:r>
        <w:t>We propose to change the existing classification of obligations (</w:t>
      </w:r>
      <w:r w:rsidR="00F65EA0">
        <w:t>t</w:t>
      </w:r>
      <w:r>
        <w:t>ype 1, 2 and 3) to ‘immediate reports’, ‘quarterly reports’ and ‘half-yearly reports’.</w:t>
      </w:r>
    </w:p>
    <w:p w:rsidR="00607EB2" w:rsidRDefault="00607EB2" w:rsidP="004814C4">
      <w:r>
        <w:t xml:space="preserve">Effectively, the proposed amendment will </w:t>
      </w:r>
      <w:r w:rsidR="00883274">
        <w:t>clarify the reporting framework</w:t>
      </w:r>
      <w:r>
        <w:t xml:space="preserve"> by </w:t>
      </w:r>
      <w:r w:rsidR="00D11C03">
        <w:t>classifying the</w:t>
      </w:r>
      <w:r>
        <w:t xml:space="preserve"> reportable provisions according to the frequency of reporting. As noted in </w:t>
      </w:r>
      <w:r w:rsidRPr="008E1075">
        <w:t>Table A,</w:t>
      </w:r>
      <w:r>
        <w:t xml:space="preserve"> type 1 obligations currently include provisions that require immediate (within 2 days) reports and other provisions which are to be reported to the AER on a quarterly basis. The proposed change will mean that these provisions are more clearly delineated. </w:t>
      </w:r>
    </w:p>
    <w:p w:rsidR="00D11C03" w:rsidRDefault="001101ED" w:rsidP="00EB252E">
      <w:r>
        <w:t>In</w:t>
      </w:r>
      <w:r w:rsidR="00EB252E">
        <w:t xml:space="preserve"> relation to type 3 obligations, we propose to remove the </w:t>
      </w:r>
      <w:r w:rsidR="00883274">
        <w:t xml:space="preserve">reporting </w:t>
      </w:r>
      <w:r w:rsidR="00EB252E">
        <w:t xml:space="preserve">obligation on businesses </w:t>
      </w:r>
      <w:r w:rsidR="00D11C03">
        <w:t xml:space="preserve">in relation to those provisions with the exception of reclassifying: </w:t>
      </w:r>
    </w:p>
    <w:p w:rsidR="001F5C3E" w:rsidRDefault="00D11C03" w:rsidP="00B216B0">
      <w:pPr>
        <w:pStyle w:val="ListParagraph"/>
        <w:numPr>
          <w:ilvl w:val="0"/>
          <w:numId w:val="28"/>
        </w:numPr>
      </w:pPr>
      <w:r>
        <w:t>Distributor obligations in relation to</w:t>
      </w:r>
      <w:r w:rsidR="00883274">
        <w:t xml:space="preserve"> planned interruptions under Part 4, Division 6 of the </w:t>
      </w:r>
      <w:r w:rsidR="005127AB">
        <w:t>NERR</w:t>
      </w:r>
      <w:r w:rsidR="00883274">
        <w:t xml:space="preserve">. </w:t>
      </w:r>
      <w:r w:rsidR="001F5C3E">
        <w:t xml:space="preserve">This </w:t>
      </w:r>
      <w:r>
        <w:t xml:space="preserve">is </w:t>
      </w:r>
      <w:r w:rsidR="001F5C3E">
        <w:t>dis</w:t>
      </w:r>
      <w:r>
        <w:t xml:space="preserve">cussed below under section (d); and </w:t>
      </w:r>
    </w:p>
    <w:p w:rsidR="00D11C03" w:rsidRDefault="00D11C03" w:rsidP="00B216B0">
      <w:pPr>
        <w:pStyle w:val="ListParagraph"/>
        <w:numPr>
          <w:ilvl w:val="0"/>
          <w:numId w:val="28"/>
        </w:numPr>
      </w:pPr>
      <w:r>
        <w:t>Retailer obligation</w:t>
      </w:r>
      <w:r w:rsidR="003A3857">
        <w:t xml:space="preserve"> in relation to customer transfers under rule 57 of the </w:t>
      </w:r>
      <w:r w:rsidR="005127AB">
        <w:t>NERR</w:t>
      </w:r>
      <w:r w:rsidR="003A3857">
        <w:t xml:space="preserve">. This is discussed below under section (d). </w:t>
      </w:r>
    </w:p>
    <w:p w:rsidR="00D11C03" w:rsidRDefault="003A3857" w:rsidP="00BC2459">
      <w:pPr>
        <w:rPr>
          <w:rFonts w:eastAsia="Times New Roman" w:cs="Arial"/>
        </w:rPr>
      </w:pPr>
      <w:r>
        <w:t>Subject to the exceptions above, we</w:t>
      </w:r>
      <w:r w:rsidR="001F5C3E">
        <w:t xml:space="preserve"> propose to remove the </w:t>
      </w:r>
      <w:r>
        <w:t xml:space="preserve">other </w:t>
      </w:r>
      <w:r w:rsidR="001F5C3E">
        <w:t xml:space="preserve">reporting requirements </w:t>
      </w:r>
      <w:r w:rsidR="00D11C03">
        <w:t xml:space="preserve">for </w:t>
      </w:r>
      <w:r>
        <w:t xml:space="preserve">the remaining </w:t>
      </w:r>
      <w:r w:rsidR="00D11C03">
        <w:t>type 3 obligations</w:t>
      </w:r>
      <w:r>
        <w:t xml:space="preserve"> (rules 55-56</w:t>
      </w:r>
      <w:r w:rsidR="00E72375">
        <w:t>B</w:t>
      </w:r>
      <w:r>
        <w:t>, 58-59</w:t>
      </w:r>
      <w:r w:rsidR="00E72375">
        <w:t>)</w:t>
      </w:r>
      <w:r w:rsidR="002B1166">
        <w:t>; effectively removing the type 3 category</w:t>
      </w:r>
      <w:r>
        <w:t xml:space="preserve">. </w:t>
      </w:r>
      <w:r w:rsidR="00BC2459">
        <w:t xml:space="preserve">We have not identified any underlying issues arising from these provisions and consider that they can be effectively monitored via other mechanisms without imposing reporting obligations on </w:t>
      </w:r>
      <w:r w:rsidR="005127AB">
        <w:t>businesses</w:t>
      </w:r>
      <w:r w:rsidR="00BC2459">
        <w:t xml:space="preserve">. </w:t>
      </w:r>
    </w:p>
    <w:p w:rsidR="0038631D" w:rsidRDefault="00BC2459" w:rsidP="0038631D">
      <w:r>
        <w:t>A s</w:t>
      </w:r>
      <w:r w:rsidR="0038631D">
        <w:t xml:space="preserve">ummary of the proposed changes are depicted in </w:t>
      </w:r>
      <w:r w:rsidR="002B1166">
        <w:t xml:space="preserve">the </w:t>
      </w:r>
      <w:r w:rsidR="00617FAA">
        <w:t>table</w:t>
      </w:r>
      <w:r w:rsidR="0038631D">
        <w:t xml:space="preserve"> below. </w:t>
      </w:r>
    </w:p>
    <w:p w:rsidR="00892A98" w:rsidRDefault="00892A98" w:rsidP="0038631D">
      <w:pPr>
        <w:rPr>
          <w:b/>
          <w:i/>
        </w:rPr>
      </w:pPr>
    </w:p>
    <w:p w:rsidR="0038631D" w:rsidRPr="0038631D" w:rsidRDefault="0038631D" w:rsidP="0038631D">
      <w:pPr>
        <w:rPr>
          <w:i/>
        </w:rPr>
      </w:pPr>
      <w:r w:rsidRPr="005B51F7">
        <w:rPr>
          <w:b/>
          <w:i/>
        </w:rPr>
        <w:t>Table B</w:t>
      </w:r>
      <w:r>
        <w:rPr>
          <w:i/>
        </w:rPr>
        <w:t xml:space="preserve">: Proposed changes to the </w:t>
      </w:r>
      <w:r w:rsidRPr="005B51F7">
        <w:rPr>
          <w:i/>
        </w:rPr>
        <w:t>classification</w:t>
      </w:r>
      <w:r>
        <w:rPr>
          <w:i/>
        </w:rPr>
        <w:t xml:space="preserve"> of obligations</w:t>
      </w:r>
    </w:p>
    <w:tbl>
      <w:tblPr>
        <w:tblStyle w:val="LightShading"/>
        <w:tblW w:w="0" w:type="auto"/>
        <w:tblBorders>
          <w:top w:val="single" w:sz="4" w:space="0" w:color="ACA098" w:themeColor="text2" w:themeTint="99"/>
          <w:left w:val="single" w:sz="4" w:space="0" w:color="ACA098" w:themeColor="text2" w:themeTint="99"/>
          <w:bottom w:val="single" w:sz="4" w:space="0" w:color="ACA098" w:themeColor="text2" w:themeTint="99"/>
          <w:right w:val="single" w:sz="4" w:space="0" w:color="ACA098" w:themeColor="text2" w:themeTint="99"/>
          <w:insideH w:val="single" w:sz="4" w:space="0" w:color="ACA098" w:themeColor="text2" w:themeTint="99"/>
          <w:insideV w:val="single" w:sz="4" w:space="0" w:color="ACA098" w:themeColor="text2" w:themeTint="99"/>
        </w:tblBorders>
        <w:tblLook w:val="04A0" w:firstRow="1" w:lastRow="0" w:firstColumn="1" w:lastColumn="0" w:noHBand="0" w:noVBand="1"/>
      </w:tblPr>
      <w:tblGrid>
        <w:gridCol w:w="1526"/>
        <w:gridCol w:w="4394"/>
        <w:gridCol w:w="3322"/>
      </w:tblGrid>
      <w:tr w:rsidR="0038631D" w:rsidRPr="00205AC0" w:rsidTr="00CE1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right w:val="none" w:sz="0" w:space="0" w:color="auto"/>
            </w:tcBorders>
            <w:shd w:val="clear" w:color="auto" w:fill="054E6D" w:themeFill="text1" w:themeFillShade="BF"/>
            <w:vAlign w:val="bottom"/>
          </w:tcPr>
          <w:p w:rsidR="0038631D" w:rsidRPr="00205AC0" w:rsidRDefault="0038631D" w:rsidP="00E72375">
            <w:pPr>
              <w:rPr>
                <w:color w:val="FFFFFF" w:themeColor="background1"/>
              </w:rPr>
            </w:pPr>
            <w:r>
              <w:rPr>
                <w:color w:val="FFFFFF" w:themeColor="background1"/>
              </w:rPr>
              <w:t>Previous classification</w:t>
            </w:r>
            <w:r w:rsidRPr="00205AC0">
              <w:rPr>
                <w:color w:val="FFFFFF" w:themeColor="background1"/>
              </w:rPr>
              <w:t xml:space="preserve"> </w:t>
            </w:r>
          </w:p>
        </w:tc>
        <w:tc>
          <w:tcPr>
            <w:tcW w:w="4394" w:type="dxa"/>
            <w:tcBorders>
              <w:top w:val="none" w:sz="0" w:space="0" w:color="auto"/>
              <w:left w:val="none" w:sz="0" w:space="0" w:color="auto"/>
              <w:bottom w:val="single" w:sz="4" w:space="0" w:color="ACA098" w:themeColor="text2" w:themeTint="99"/>
              <w:right w:val="none" w:sz="0" w:space="0" w:color="auto"/>
            </w:tcBorders>
            <w:shd w:val="clear" w:color="auto" w:fill="054E6D" w:themeFill="text1" w:themeFillShade="BF"/>
            <w:vAlign w:val="bottom"/>
          </w:tcPr>
          <w:p w:rsidR="0038631D" w:rsidRPr="00205AC0" w:rsidRDefault="0038631D" w:rsidP="0038631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205AC0">
              <w:rPr>
                <w:color w:val="FFFFFF" w:themeColor="background1"/>
              </w:rPr>
              <w:t xml:space="preserve">Reportable </w:t>
            </w:r>
            <w:r>
              <w:rPr>
                <w:color w:val="FFFFFF" w:themeColor="background1"/>
              </w:rPr>
              <w:t>provisions</w:t>
            </w:r>
          </w:p>
        </w:tc>
        <w:tc>
          <w:tcPr>
            <w:tcW w:w="3322" w:type="dxa"/>
            <w:tcBorders>
              <w:top w:val="none" w:sz="0" w:space="0" w:color="auto"/>
              <w:left w:val="none" w:sz="0" w:space="0" w:color="auto"/>
              <w:bottom w:val="none" w:sz="0" w:space="0" w:color="auto"/>
              <w:right w:val="none" w:sz="0" w:space="0" w:color="auto"/>
            </w:tcBorders>
            <w:shd w:val="clear" w:color="auto" w:fill="054E6D" w:themeFill="text1" w:themeFillShade="BF"/>
            <w:vAlign w:val="bottom"/>
          </w:tcPr>
          <w:p w:rsidR="0038631D" w:rsidRPr="00205AC0" w:rsidRDefault="0038631D" w:rsidP="00E7237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Proposed amendment</w:t>
            </w:r>
          </w:p>
        </w:tc>
      </w:tr>
      <w:tr w:rsidR="0038631D" w:rsidRPr="008D40A7" w:rsidTr="00CE10AF">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E3DFDC" w:themeFill="text2" w:themeFillTint="33"/>
          </w:tcPr>
          <w:p w:rsidR="0038631D" w:rsidRPr="0038631D" w:rsidRDefault="0038631D" w:rsidP="00381F3F">
            <w:pPr>
              <w:jc w:val="center"/>
              <w:rPr>
                <w:b w:val="0"/>
              </w:rPr>
            </w:pPr>
            <w:r w:rsidRPr="0038631D">
              <w:rPr>
                <w:b w:val="0"/>
              </w:rPr>
              <w:t>Type 1</w:t>
            </w:r>
          </w:p>
        </w:tc>
        <w:tc>
          <w:tcPr>
            <w:tcW w:w="4394" w:type="dxa"/>
            <w:tcBorders>
              <w:bottom w:val="single" w:sz="4" w:space="0" w:color="ACA098" w:themeColor="text2" w:themeTint="99"/>
              <w:right w:val="nil"/>
            </w:tcBorders>
            <w:shd w:val="clear" w:color="auto" w:fill="E3DFDC" w:themeFill="text2" w:themeFillTint="33"/>
          </w:tcPr>
          <w:p w:rsidR="0038631D" w:rsidRDefault="0038631D" w:rsidP="00E72375">
            <w:pPr>
              <w:cnfStyle w:val="000000000000" w:firstRow="0" w:lastRow="0" w:firstColumn="0" w:lastColumn="0" w:oddVBand="0" w:evenVBand="0" w:oddHBand="0" w:evenHBand="0" w:firstRowFirstColumn="0" w:firstRowLastColumn="0" w:lastRowFirstColumn="0" w:lastRowLastColumn="0"/>
            </w:pPr>
            <w:r>
              <w:t xml:space="preserve">Immediate type 1 provisions – obligations which contain critical safeguards to protect vulnerable customers and which present risks for customer safety and wellbeing. Generally the provisions relates to life support and hardship customers. </w:t>
            </w:r>
          </w:p>
        </w:tc>
        <w:tc>
          <w:tcPr>
            <w:tcW w:w="3322" w:type="dxa"/>
            <w:tcBorders>
              <w:left w:val="nil"/>
            </w:tcBorders>
            <w:shd w:val="clear" w:color="auto" w:fill="BAE8FB" w:themeFill="text1" w:themeFillTint="33"/>
          </w:tcPr>
          <w:p w:rsidR="0038631D" w:rsidRPr="0038631D" w:rsidRDefault="0038631D" w:rsidP="00E72375">
            <w:pPr>
              <w:cnfStyle w:val="000000000000" w:firstRow="0" w:lastRow="0" w:firstColumn="0" w:lastColumn="0" w:oddVBand="0" w:evenVBand="0" w:oddHBand="0" w:evenHBand="0" w:firstRowFirstColumn="0" w:firstRowLastColumn="0" w:lastRowFirstColumn="0" w:lastRowLastColumn="0"/>
              <w:rPr>
                <w:b/>
              </w:rPr>
            </w:pPr>
            <w:r w:rsidRPr="0038631D">
              <w:rPr>
                <w:b/>
              </w:rPr>
              <w:t xml:space="preserve">Immediate reports </w:t>
            </w:r>
          </w:p>
        </w:tc>
      </w:tr>
      <w:tr w:rsidR="0038631D" w:rsidRPr="008D40A7" w:rsidTr="00CE10AF">
        <w:tc>
          <w:tcPr>
            <w:cnfStyle w:val="001000000000" w:firstRow="0" w:lastRow="0" w:firstColumn="1" w:lastColumn="0" w:oddVBand="0" w:evenVBand="0" w:oddHBand="0" w:evenHBand="0" w:firstRowFirstColumn="0" w:firstRowLastColumn="0" w:lastRowFirstColumn="0" w:lastRowLastColumn="0"/>
            <w:tcW w:w="1526" w:type="dxa"/>
            <w:vMerge/>
            <w:shd w:val="clear" w:color="auto" w:fill="E3DFDC" w:themeFill="text2" w:themeFillTint="33"/>
          </w:tcPr>
          <w:p w:rsidR="0038631D" w:rsidRPr="0038631D" w:rsidRDefault="0038631D" w:rsidP="00381F3F">
            <w:pPr>
              <w:jc w:val="center"/>
              <w:rPr>
                <w:b w:val="0"/>
              </w:rPr>
            </w:pPr>
          </w:p>
        </w:tc>
        <w:tc>
          <w:tcPr>
            <w:tcW w:w="4394" w:type="dxa"/>
            <w:tcBorders>
              <w:bottom w:val="single" w:sz="4" w:space="0" w:color="ACA098" w:themeColor="text2" w:themeTint="99"/>
              <w:right w:val="nil"/>
            </w:tcBorders>
            <w:shd w:val="clear" w:color="auto" w:fill="E3DFDC" w:themeFill="text2" w:themeFillTint="33"/>
          </w:tcPr>
          <w:p w:rsidR="0038631D" w:rsidRDefault="0038631D" w:rsidP="00E72375">
            <w:pPr>
              <w:cnfStyle w:val="000000000000" w:firstRow="0" w:lastRow="0" w:firstColumn="0" w:lastColumn="0" w:oddVBand="0" w:evenVBand="0" w:oddHBand="0" w:evenHBand="0" w:firstRowFirstColumn="0" w:firstRowLastColumn="0" w:lastRowFirstColumn="0" w:lastRowLastColumn="0"/>
            </w:pPr>
            <w:r>
              <w:t>Other type 1 obligations include unlawful disconnections of customers or failure by businesses to re-energise premises.</w:t>
            </w:r>
          </w:p>
        </w:tc>
        <w:tc>
          <w:tcPr>
            <w:tcW w:w="3322" w:type="dxa"/>
            <w:tcBorders>
              <w:left w:val="nil"/>
            </w:tcBorders>
            <w:shd w:val="clear" w:color="auto" w:fill="BAE8FB" w:themeFill="text1" w:themeFillTint="33"/>
          </w:tcPr>
          <w:p w:rsidR="0038631D" w:rsidRPr="0038631D" w:rsidRDefault="0038631D" w:rsidP="00E72375">
            <w:pPr>
              <w:cnfStyle w:val="000000000000" w:firstRow="0" w:lastRow="0" w:firstColumn="0" w:lastColumn="0" w:oddVBand="0" w:evenVBand="0" w:oddHBand="0" w:evenHBand="0" w:firstRowFirstColumn="0" w:firstRowLastColumn="0" w:lastRowFirstColumn="0" w:lastRowLastColumn="0"/>
              <w:rPr>
                <w:b/>
              </w:rPr>
            </w:pPr>
            <w:r w:rsidRPr="0038631D">
              <w:rPr>
                <w:b/>
              </w:rPr>
              <w:t xml:space="preserve">Quarterly reports </w:t>
            </w:r>
          </w:p>
        </w:tc>
      </w:tr>
      <w:tr w:rsidR="0038631D" w:rsidRPr="00205AC0" w:rsidTr="00CE10AF">
        <w:tc>
          <w:tcPr>
            <w:cnfStyle w:val="001000000000" w:firstRow="0" w:lastRow="0" w:firstColumn="1" w:lastColumn="0" w:oddVBand="0" w:evenVBand="0" w:oddHBand="0" w:evenHBand="0" w:firstRowFirstColumn="0" w:firstRowLastColumn="0" w:lastRowFirstColumn="0" w:lastRowLastColumn="0"/>
            <w:tcW w:w="1526" w:type="dxa"/>
            <w:shd w:val="clear" w:color="auto" w:fill="E3DFDC" w:themeFill="text2" w:themeFillTint="33"/>
          </w:tcPr>
          <w:p w:rsidR="0038631D" w:rsidRPr="0038631D" w:rsidRDefault="0038631D" w:rsidP="00381F3F">
            <w:pPr>
              <w:jc w:val="center"/>
              <w:rPr>
                <w:b w:val="0"/>
              </w:rPr>
            </w:pPr>
            <w:r w:rsidRPr="0038631D">
              <w:rPr>
                <w:b w:val="0"/>
              </w:rPr>
              <w:t>Type 2</w:t>
            </w:r>
          </w:p>
        </w:tc>
        <w:tc>
          <w:tcPr>
            <w:tcW w:w="4394" w:type="dxa"/>
            <w:tcBorders>
              <w:bottom w:val="single" w:sz="4" w:space="0" w:color="ACA098" w:themeColor="text2" w:themeTint="99"/>
              <w:right w:val="nil"/>
            </w:tcBorders>
            <w:shd w:val="clear" w:color="auto" w:fill="E3DFDC" w:themeFill="text2" w:themeFillTint="33"/>
          </w:tcPr>
          <w:p w:rsidR="0038631D" w:rsidRDefault="0038631D" w:rsidP="00E72375">
            <w:pPr>
              <w:cnfStyle w:val="000000000000" w:firstRow="0" w:lastRow="0" w:firstColumn="0" w:lastColumn="0" w:oddVBand="0" w:evenVBand="0" w:oddHBand="0" w:evenHBand="0" w:firstRowFirstColumn="0" w:firstRowLastColumn="0" w:lastRowFirstColumn="0" w:lastRowLastColumn="0"/>
            </w:pPr>
            <w:r>
              <w:t xml:space="preserve">Obligations </w:t>
            </w:r>
            <w:r w:rsidRPr="00474B4F">
              <w:t xml:space="preserve">relating to energy marketing, pre-contractual procedures, billing and </w:t>
            </w:r>
            <w:r>
              <w:t xml:space="preserve">general </w:t>
            </w:r>
            <w:r w:rsidRPr="00474B4F">
              <w:t>customer hardship</w:t>
            </w:r>
            <w:r>
              <w:t xml:space="preserve"> provisions. </w:t>
            </w:r>
          </w:p>
        </w:tc>
        <w:tc>
          <w:tcPr>
            <w:tcW w:w="3322" w:type="dxa"/>
            <w:tcBorders>
              <w:left w:val="nil"/>
            </w:tcBorders>
            <w:shd w:val="clear" w:color="auto" w:fill="BAE8FB" w:themeFill="text1" w:themeFillTint="33"/>
          </w:tcPr>
          <w:p w:rsidR="0038631D" w:rsidRPr="0038631D" w:rsidRDefault="0038631D" w:rsidP="00E72375">
            <w:pPr>
              <w:cnfStyle w:val="000000000000" w:firstRow="0" w:lastRow="0" w:firstColumn="0" w:lastColumn="0" w:oddVBand="0" w:evenVBand="0" w:oddHBand="0" w:evenHBand="0" w:firstRowFirstColumn="0" w:firstRowLastColumn="0" w:lastRowFirstColumn="0" w:lastRowLastColumn="0"/>
              <w:rPr>
                <w:b/>
              </w:rPr>
            </w:pPr>
            <w:r w:rsidRPr="0038631D">
              <w:rPr>
                <w:b/>
              </w:rPr>
              <w:t>Half yearly reports</w:t>
            </w:r>
          </w:p>
        </w:tc>
      </w:tr>
      <w:tr w:rsidR="0038631D" w:rsidRPr="00205AC0" w:rsidTr="00CE10AF">
        <w:tc>
          <w:tcPr>
            <w:cnfStyle w:val="001000000000" w:firstRow="0" w:lastRow="0" w:firstColumn="1" w:lastColumn="0" w:oddVBand="0" w:evenVBand="0" w:oddHBand="0" w:evenHBand="0" w:firstRowFirstColumn="0" w:firstRowLastColumn="0" w:lastRowFirstColumn="0" w:lastRowLastColumn="0"/>
            <w:tcW w:w="1526" w:type="dxa"/>
            <w:shd w:val="clear" w:color="auto" w:fill="E3DFDC" w:themeFill="text2" w:themeFillTint="33"/>
          </w:tcPr>
          <w:p w:rsidR="0038631D" w:rsidRPr="0038631D" w:rsidRDefault="0038631D" w:rsidP="00381F3F">
            <w:pPr>
              <w:jc w:val="center"/>
              <w:rPr>
                <w:b w:val="0"/>
              </w:rPr>
            </w:pPr>
            <w:r w:rsidRPr="0038631D">
              <w:rPr>
                <w:b w:val="0"/>
              </w:rPr>
              <w:t>Type 3</w:t>
            </w:r>
          </w:p>
        </w:tc>
        <w:tc>
          <w:tcPr>
            <w:tcW w:w="4394" w:type="dxa"/>
            <w:tcBorders>
              <w:right w:val="nil"/>
            </w:tcBorders>
            <w:shd w:val="clear" w:color="auto" w:fill="E3DFDC" w:themeFill="text2" w:themeFillTint="33"/>
          </w:tcPr>
          <w:p w:rsidR="0038631D" w:rsidRDefault="0038631D" w:rsidP="00E72375">
            <w:pPr>
              <w:cnfStyle w:val="000000000000" w:firstRow="0" w:lastRow="0" w:firstColumn="0" w:lastColumn="0" w:oddVBand="0" w:evenVBand="0" w:oddHBand="0" w:evenHBand="0" w:firstRowFirstColumn="0" w:firstRowLastColumn="0" w:lastRowFirstColumn="0" w:lastRowLastColumn="0"/>
            </w:pPr>
            <w:r w:rsidRPr="00474B4F">
              <w:t>Obligations relating to customer classification, consumption threshold matters, disconnection requests and distributor interruptions to supply.</w:t>
            </w:r>
          </w:p>
        </w:tc>
        <w:tc>
          <w:tcPr>
            <w:tcW w:w="3322" w:type="dxa"/>
            <w:tcBorders>
              <w:left w:val="nil"/>
            </w:tcBorders>
            <w:shd w:val="clear" w:color="auto" w:fill="BAE8FB" w:themeFill="text1" w:themeFillTint="33"/>
          </w:tcPr>
          <w:p w:rsidR="0038631D" w:rsidRDefault="003A3857" w:rsidP="003A3857">
            <w:pPr>
              <w:cnfStyle w:val="000000000000" w:firstRow="0" w:lastRow="0" w:firstColumn="0" w:lastColumn="0" w:oddVBand="0" w:evenVBand="0" w:oddHBand="0" w:evenHBand="0" w:firstRowFirstColumn="0" w:firstRowLastColumn="0" w:lastRowFirstColumn="0" w:lastRowLastColumn="0"/>
              <w:rPr>
                <w:b/>
              </w:rPr>
            </w:pPr>
            <w:r>
              <w:rPr>
                <w:b/>
              </w:rPr>
              <w:t>Distributor obligations in relation to planned interruptions and rule 57 to be reported on a half</w:t>
            </w:r>
            <w:r w:rsidRPr="0038631D">
              <w:rPr>
                <w:b/>
              </w:rPr>
              <w:t xml:space="preserve"> yearly</w:t>
            </w:r>
            <w:r w:rsidR="0038631D" w:rsidRPr="0038631D">
              <w:rPr>
                <w:b/>
              </w:rPr>
              <w:t xml:space="preserve"> basis. </w:t>
            </w:r>
          </w:p>
          <w:p w:rsidR="00BC2459" w:rsidRPr="0038631D" w:rsidRDefault="00BC2459" w:rsidP="003A3857">
            <w:pPr>
              <w:cnfStyle w:val="000000000000" w:firstRow="0" w:lastRow="0" w:firstColumn="0" w:lastColumn="0" w:oddVBand="0" w:evenVBand="0" w:oddHBand="0" w:evenHBand="0" w:firstRowFirstColumn="0" w:firstRowLastColumn="0" w:lastRowFirstColumn="0" w:lastRowLastColumn="0"/>
              <w:rPr>
                <w:b/>
              </w:rPr>
            </w:pPr>
            <w:r>
              <w:rPr>
                <w:b/>
              </w:rPr>
              <w:t>Remove reportable obligation on remaining provisions.</w:t>
            </w:r>
          </w:p>
        </w:tc>
      </w:tr>
    </w:tbl>
    <w:p w:rsidR="004814C4" w:rsidRDefault="004814C4" w:rsidP="00801BCF">
      <w:pPr>
        <w:spacing w:line="240" w:lineRule="auto"/>
        <w:rPr>
          <w:sz w:val="6"/>
        </w:rPr>
      </w:pPr>
    </w:p>
    <w:p w:rsidR="00550807" w:rsidRDefault="00550807" w:rsidP="00801BCF">
      <w:pPr>
        <w:spacing w:line="240" w:lineRule="auto"/>
        <w:rPr>
          <w:sz w:val="6"/>
        </w:rPr>
      </w:pPr>
    </w:p>
    <w:p w:rsidR="00550807" w:rsidRPr="00801BCF" w:rsidRDefault="00550807" w:rsidP="00801BCF">
      <w:pPr>
        <w:spacing w:line="240" w:lineRule="auto"/>
        <w:rPr>
          <w:sz w:val="6"/>
        </w:rPr>
      </w:pPr>
    </w:p>
    <w:p w:rsidR="004814C4" w:rsidRPr="00A117E4" w:rsidRDefault="004814C4" w:rsidP="004814C4">
      <w:pPr>
        <w:pBdr>
          <w:top w:val="single" w:sz="4" w:space="1" w:color="auto"/>
          <w:left w:val="single" w:sz="4" w:space="4" w:color="auto"/>
          <w:bottom w:val="single" w:sz="4" w:space="1" w:color="auto"/>
          <w:right w:val="single" w:sz="4" w:space="4" w:color="auto"/>
        </w:pBdr>
        <w:shd w:val="clear" w:color="auto" w:fill="FFB380" w:themeFill="accent2" w:themeFillTint="66"/>
        <w:rPr>
          <w:rStyle w:val="IntenseEmphasis"/>
        </w:rPr>
      </w:pPr>
      <w:r>
        <w:rPr>
          <w:rStyle w:val="IntenseEmphasis"/>
        </w:rPr>
        <w:lastRenderedPageBreak/>
        <w:t xml:space="preserve">Proposed amendments </w:t>
      </w:r>
    </w:p>
    <w:p w:rsidR="004814C4" w:rsidRDefault="005465D6" w:rsidP="008610A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Change</w:t>
      </w:r>
      <w:r w:rsidR="004814C4">
        <w:t xml:space="preserve"> the </w:t>
      </w:r>
      <w:r w:rsidR="00874FC7">
        <w:t xml:space="preserve">classifications or </w:t>
      </w:r>
      <w:r w:rsidR="00F65EA0">
        <w:t>reporting categories from t</w:t>
      </w:r>
      <w:r w:rsidR="004814C4">
        <w:t>ype 1, 2 and 3 to obligations requiring ‘immediate reports’</w:t>
      </w:r>
      <w:r w:rsidR="00F65EA0">
        <w:t xml:space="preserve">, ‘quarterly reports’ and ‘half </w:t>
      </w:r>
      <w:r w:rsidR="004814C4">
        <w:t xml:space="preserve">yearly reports’. </w:t>
      </w:r>
    </w:p>
    <w:p w:rsidR="004F1742" w:rsidRDefault="004F1742" w:rsidP="008610A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Removal of type 3 reporting category</w:t>
      </w:r>
      <w:r w:rsidR="005127AB">
        <w:t>.</w:t>
      </w:r>
    </w:p>
    <w:p w:rsidR="00325BC6" w:rsidRDefault="00617FAA" w:rsidP="005B51F7">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Remove the</w:t>
      </w:r>
      <w:r w:rsidR="004814C4">
        <w:t xml:space="preserve"> </w:t>
      </w:r>
      <w:r>
        <w:t>obligation on businesses to provide annual reports in relation to</w:t>
      </w:r>
      <w:r w:rsidR="004F674F">
        <w:t xml:space="preserve"> rules 55-56B, 58-59. </w:t>
      </w:r>
    </w:p>
    <w:p w:rsidR="004814C4" w:rsidRDefault="004814C4" w:rsidP="004814C4">
      <w:pPr>
        <w:spacing w:line="240" w:lineRule="auto"/>
        <w:rPr>
          <w:sz w:val="2"/>
        </w:rPr>
      </w:pPr>
    </w:p>
    <w:p w:rsidR="004814C4" w:rsidRPr="001170BD" w:rsidRDefault="004814C4" w:rsidP="004814C4">
      <w:pPr>
        <w:pBdr>
          <w:top w:val="single" w:sz="4" w:space="1" w:color="auto"/>
          <w:left w:val="single" w:sz="4" w:space="4" w:color="auto"/>
          <w:bottom w:val="single" w:sz="4" w:space="1" w:color="auto"/>
          <w:right w:val="single" w:sz="4" w:space="4" w:color="auto"/>
        </w:pBdr>
        <w:shd w:val="clear" w:color="auto" w:fill="D9D9D9" w:themeFill="background2" w:themeFillShade="D9"/>
        <w:rPr>
          <w:rStyle w:val="IntenseEmphasis"/>
        </w:rPr>
      </w:pPr>
      <w:r w:rsidRPr="001170BD">
        <w:rPr>
          <w:rStyle w:val="IntenseEmphasis"/>
        </w:rPr>
        <w:t>Consultation questions</w:t>
      </w:r>
    </w:p>
    <w:p w:rsidR="00C556EB" w:rsidRPr="00457457" w:rsidRDefault="00765CC4" w:rsidP="00457457">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Pr>
          <w:rFonts w:ascii="Arial" w:hAnsi="Arial" w:cs="Arial"/>
          <w:sz w:val="22"/>
          <w:szCs w:val="22"/>
        </w:rPr>
        <w:t>What, if any, are the implications of</w:t>
      </w:r>
      <w:r w:rsidR="00C556EB">
        <w:rPr>
          <w:rFonts w:ascii="Arial" w:hAnsi="Arial" w:cs="Arial"/>
          <w:sz w:val="22"/>
          <w:szCs w:val="22"/>
        </w:rPr>
        <w:t xml:space="preserve"> the AER removing the obligation on regulated businesses to report on rules 55-56B, 58-59 of the </w:t>
      </w:r>
      <w:r w:rsidR="00617FAA">
        <w:rPr>
          <w:rFonts w:ascii="Arial" w:hAnsi="Arial" w:cs="Arial"/>
          <w:sz w:val="22"/>
          <w:szCs w:val="22"/>
        </w:rPr>
        <w:t>NERR</w:t>
      </w:r>
      <w:r w:rsidR="00C556EB">
        <w:rPr>
          <w:rFonts w:ascii="Arial" w:hAnsi="Arial" w:cs="Arial"/>
          <w:sz w:val="22"/>
          <w:szCs w:val="22"/>
        </w:rPr>
        <w:t>?</w:t>
      </w:r>
    </w:p>
    <w:p w:rsidR="005127AB" w:rsidRPr="005127AB" w:rsidRDefault="005127AB" w:rsidP="005127AB">
      <w:pPr>
        <w:spacing w:line="240" w:lineRule="auto"/>
        <w:rPr>
          <w:sz w:val="2"/>
        </w:rPr>
      </w:pPr>
    </w:p>
    <w:p w:rsidR="004814C4" w:rsidRPr="00E335EE" w:rsidRDefault="00251D60" w:rsidP="00B216B0">
      <w:pPr>
        <w:pStyle w:val="ListParagraph"/>
        <w:numPr>
          <w:ilvl w:val="0"/>
          <w:numId w:val="27"/>
        </w:numPr>
        <w:ind w:left="284" w:hanging="284"/>
        <w:rPr>
          <w:b/>
          <w:i/>
          <w:sz w:val="24"/>
        </w:rPr>
      </w:pPr>
      <w:r>
        <w:rPr>
          <w:b/>
          <w:i/>
          <w:sz w:val="24"/>
        </w:rPr>
        <w:t>I</w:t>
      </w:r>
      <w:r w:rsidR="004814C4">
        <w:rPr>
          <w:b/>
          <w:i/>
          <w:sz w:val="24"/>
        </w:rPr>
        <w:t>mmediate reports</w:t>
      </w:r>
    </w:p>
    <w:p w:rsidR="00C471B9" w:rsidRDefault="00C471B9" w:rsidP="004814C4">
      <w:r>
        <w:t xml:space="preserve">As noted </w:t>
      </w:r>
      <w:r w:rsidR="0073287F">
        <w:t>in</w:t>
      </w:r>
      <w:r>
        <w:t xml:space="preserve"> Table B, this classification </w:t>
      </w:r>
      <w:r w:rsidR="00F71127">
        <w:t xml:space="preserve">will include current type 1 </w:t>
      </w:r>
      <w:r w:rsidR="00C45620">
        <w:t xml:space="preserve">reportable </w:t>
      </w:r>
      <w:r w:rsidR="00F71127">
        <w:t xml:space="preserve">obligations that require an initial report two business days after a </w:t>
      </w:r>
      <w:r w:rsidR="005127AB">
        <w:t>business</w:t>
      </w:r>
      <w:r w:rsidR="00F71127">
        <w:t xml:space="preserve"> identifies a breach or potential breach.</w:t>
      </w:r>
      <w:r w:rsidR="00C45620">
        <w:rPr>
          <w:rStyle w:val="FootnoteReference"/>
        </w:rPr>
        <w:footnoteReference w:id="27"/>
      </w:r>
      <w:r w:rsidR="00F71127">
        <w:t xml:space="preserve"> </w:t>
      </w:r>
    </w:p>
    <w:p w:rsidR="002B1166" w:rsidRDefault="00483E12" w:rsidP="004814C4">
      <w:r>
        <w:t xml:space="preserve">Aside from existing type 1 immediate obligations, we propose to include under ‘immediate reports’ </w:t>
      </w:r>
      <w:r w:rsidR="00F13BF4">
        <w:t>all sub-clauses under rule 116(1)</w:t>
      </w:r>
      <w:r w:rsidR="00313E6D">
        <w:t xml:space="preserve"> and rule 120(1)</w:t>
      </w:r>
      <w:r w:rsidR="002B1166">
        <w:t>; these rules set out circumstances where disconnections by a retailer or a distributor, respectively, are prohibited.</w:t>
      </w:r>
    </w:p>
    <w:p w:rsidR="004814C4" w:rsidRDefault="00F13BF4" w:rsidP="004814C4">
      <w:r>
        <w:t>Currently the Guidelines require immediate reporting of rules 116(1</w:t>
      </w:r>
      <w:proofErr w:type="gramStart"/>
      <w:r>
        <w:t>)(</w:t>
      </w:r>
      <w:proofErr w:type="gramEnd"/>
      <w:r>
        <w:t>a), (d) and (h)</w:t>
      </w:r>
      <w:r w:rsidR="00457457">
        <w:t>; the remaining sub-clauses under rule 116(1) are reported to the AER on a quarterly basis</w:t>
      </w:r>
      <w:r>
        <w:t xml:space="preserve">. </w:t>
      </w:r>
      <w:r w:rsidR="00313E6D">
        <w:t>Similarly, the current Guidelines require immediate reporting of rules 120(1</w:t>
      </w:r>
      <w:proofErr w:type="gramStart"/>
      <w:r w:rsidR="00313E6D">
        <w:t>)(</w:t>
      </w:r>
      <w:proofErr w:type="gramEnd"/>
      <w:r w:rsidR="00313E6D">
        <w:t xml:space="preserve">a) and (d) and then quarterly reporting for the remaining sub-clauses. </w:t>
      </w:r>
      <w:r>
        <w:t>We consider t</w:t>
      </w:r>
      <w:r w:rsidR="00313E6D">
        <w:t xml:space="preserve">hat prohibited </w:t>
      </w:r>
      <w:r>
        <w:t xml:space="preserve">disconnections </w:t>
      </w:r>
      <w:r w:rsidR="00313E6D">
        <w:t xml:space="preserve">by a retailer or a distributor </w:t>
      </w:r>
      <w:r>
        <w:t xml:space="preserve">under the </w:t>
      </w:r>
      <w:r w:rsidR="005127AB">
        <w:t>NERR</w:t>
      </w:r>
      <w:r>
        <w:t xml:space="preserve"> </w:t>
      </w:r>
      <w:r w:rsidR="00313E6D">
        <w:t xml:space="preserve">are </w:t>
      </w:r>
      <w:r>
        <w:t xml:space="preserve">key consumer protections and as such should be treated consistently.  </w:t>
      </w:r>
      <w:r w:rsidR="00313E6D">
        <w:t xml:space="preserve">Our proposed amendments </w:t>
      </w:r>
      <w:r>
        <w:t>will require retailers</w:t>
      </w:r>
      <w:r w:rsidR="00313E6D">
        <w:t xml:space="preserve"> and distributors</w:t>
      </w:r>
      <w:r>
        <w:t xml:space="preserve"> to provide the AER with a report within two </w:t>
      </w:r>
      <w:r w:rsidR="00313E6D">
        <w:t xml:space="preserve">business </w:t>
      </w:r>
      <w:r>
        <w:t xml:space="preserve">days of identifying that a breach or potential breach of any of the prohibited provision under rule 116(1) </w:t>
      </w:r>
      <w:r w:rsidR="00313E6D">
        <w:t xml:space="preserve">or 120(1) respectively, </w:t>
      </w:r>
      <w:r>
        <w:t xml:space="preserve">has occurred.  </w:t>
      </w:r>
    </w:p>
    <w:p w:rsidR="00313E6D" w:rsidRDefault="00313E6D" w:rsidP="004814C4">
      <w:r>
        <w:t xml:space="preserve">The Draft Instrument also includes the classification of new rule </w:t>
      </w:r>
      <w:proofErr w:type="gramStart"/>
      <w:r>
        <w:t>124A(</w:t>
      </w:r>
      <w:proofErr w:type="gramEnd"/>
      <w:r>
        <w:t xml:space="preserve">1) as a reportable obligation. As discussed in </w:t>
      </w:r>
      <w:r w:rsidRPr="007A136E">
        <w:t xml:space="preserve">section </w:t>
      </w:r>
      <w:r w:rsidR="005127AB" w:rsidRPr="007A136E">
        <w:t>4</w:t>
      </w:r>
      <w:r w:rsidR="000A51E1" w:rsidRPr="007A136E">
        <w:t>.1.2</w:t>
      </w:r>
      <w:r>
        <w:t xml:space="preserve">, rule </w:t>
      </w:r>
      <w:proofErr w:type="gramStart"/>
      <w:r>
        <w:t>124A(</w:t>
      </w:r>
      <w:proofErr w:type="gramEnd"/>
      <w:r>
        <w:t xml:space="preserve">1) relate to a retailer’s life support obligations in the event of a retailer planned interruption. Given the importance of life support obligations, we have included rule </w:t>
      </w:r>
      <w:proofErr w:type="gramStart"/>
      <w:r>
        <w:t>124A(</w:t>
      </w:r>
      <w:proofErr w:type="gramEnd"/>
      <w:r>
        <w:t>1) under the ‘immediate reports’ classification. This is consistent with the classification of distributor life support obligations</w:t>
      </w:r>
      <w:r w:rsidR="002B1166">
        <w:t xml:space="preserve">, to which </w:t>
      </w:r>
      <w:r>
        <w:t xml:space="preserve">rule </w:t>
      </w:r>
      <w:proofErr w:type="gramStart"/>
      <w:r>
        <w:t>124A(</w:t>
      </w:r>
      <w:proofErr w:type="gramEnd"/>
      <w:r w:rsidR="002B1166">
        <w:t xml:space="preserve">1) mirrors. </w:t>
      </w:r>
    </w:p>
    <w:p w:rsidR="004814C4" w:rsidRPr="00A117E4" w:rsidRDefault="004814C4" w:rsidP="004814C4">
      <w:pPr>
        <w:pBdr>
          <w:top w:val="single" w:sz="4" w:space="1" w:color="auto"/>
          <w:left w:val="single" w:sz="4" w:space="4" w:color="auto"/>
          <w:bottom w:val="single" w:sz="4" w:space="1" w:color="auto"/>
          <w:right w:val="single" w:sz="4" w:space="4" w:color="auto"/>
        </w:pBdr>
        <w:shd w:val="clear" w:color="auto" w:fill="FFB380" w:themeFill="accent2" w:themeFillTint="66"/>
        <w:rPr>
          <w:rStyle w:val="IntenseEmphasis"/>
        </w:rPr>
      </w:pPr>
      <w:r>
        <w:rPr>
          <w:rStyle w:val="IntenseEmphasis"/>
        </w:rPr>
        <w:t xml:space="preserve">Proposed amendments </w:t>
      </w:r>
    </w:p>
    <w:p w:rsidR="004814C4" w:rsidRDefault="00F13BF4" w:rsidP="008610A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Include rules 116(1</w:t>
      </w:r>
      <w:proofErr w:type="gramStart"/>
      <w:r>
        <w:t>)(</w:t>
      </w:r>
      <w:proofErr w:type="gramEnd"/>
      <w:r>
        <w:t>b), (c), (e), (f), (g) and (</w:t>
      </w:r>
      <w:proofErr w:type="spellStart"/>
      <w:r>
        <w:t>i</w:t>
      </w:r>
      <w:proofErr w:type="spellEnd"/>
      <w:r>
        <w:t xml:space="preserve">) under the ‘immediate reports’ classification. </w:t>
      </w:r>
    </w:p>
    <w:p w:rsidR="00EC34F6" w:rsidRDefault="00EC34F6" w:rsidP="008610A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Include rules 120(1</w:t>
      </w:r>
      <w:proofErr w:type="gramStart"/>
      <w:r>
        <w:t>)(</w:t>
      </w:r>
      <w:proofErr w:type="gramEnd"/>
      <w:r>
        <w:t>b), (c) and (e) under the ‘immediate reports’ classification.</w:t>
      </w:r>
    </w:p>
    <w:p w:rsidR="009B5325" w:rsidRDefault="00313E6D" w:rsidP="008610A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 xml:space="preserve">Include new rule </w:t>
      </w:r>
      <w:proofErr w:type="gramStart"/>
      <w:r>
        <w:t>124A(</w:t>
      </w:r>
      <w:proofErr w:type="gramEnd"/>
      <w:r>
        <w:t xml:space="preserve">1) as a reportable obligation under the ‘immediate reports’ classification. </w:t>
      </w:r>
    </w:p>
    <w:p w:rsidR="004814C4" w:rsidRDefault="004814C4" w:rsidP="004814C4">
      <w:pPr>
        <w:spacing w:line="240" w:lineRule="auto"/>
        <w:rPr>
          <w:sz w:val="2"/>
        </w:rPr>
      </w:pPr>
    </w:p>
    <w:p w:rsidR="00550807" w:rsidRDefault="00550807" w:rsidP="004814C4">
      <w:pPr>
        <w:spacing w:line="240" w:lineRule="auto"/>
        <w:rPr>
          <w:sz w:val="2"/>
        </w:rPr>
      </w:pPr>
    </w:p>
    <w:p w:rsidR="00550807" w:rsidRDefault="00550807" w:rsidP="004814C4">
      <w:pPr>
        <w:spacing w:line="240" w:lineRule="auto"/>
        <w:rPr>
          <w:sz w:val="2"/>
        </w:rPr>
      </w:pPr>
    </w:p>
    <w:p w:rsidR="00550807" w:rsidRDefault="00550807" w:rsidP="004814C4">
      <w:pPr>
        <w:spacing w:line="240" w:lineRule="auto"/>
        <w:rPr>
          <w:sz w:val="2"/>
        </w:rPr>
      </w:pPr>
    </w:p>
    <w:p w:rsidR="004814C4" w:rsidRPr="001170BD" w:rsidRDefault="004814C4" w:rsidP="00C24D3B">
      <w:pPr>
        <w:pBdr>
          <w:top w:val="single" w:sz="4" w:space="0" w:color="auto"/>
          <w:left w:val="single" w:sz="4" w:space="4" w:color="auto"/>
          <w:bottom w:val="single" w:sz="4" w:space="0" w:color="auto"/>
          <w:right w:val="single" w:sz="4" w:space="4" w:color="auto"/>
        </w:pBdr>
        <w:shd w:val="clear" w:color="auto" w:fill="D9D9D9" w:themeFill="background2" w:themeFillShade="D9"/>
        <w:rPr>
          <w:rStyle w:val="IntenseEmphasis"/>
        </w:rPr>
      </w:pPr>
      <w:r w:rsidRPr="001170BD">
        <w:rPr>
          <w:rStyle w:val="IntenseEmphasis"/>
        </w:rPr>
        <w:t>Consultation questions</w:t>
      </w:r>
    </w:p>
    <w:p w:rsidR="00617FAA" w:rsidRPr="00617FAA" w:rsidRDefault="00617FAA" w:rsidP="00617FAA">
      <w:pPr>
        <w:pStyle w:val="AERbulletlistfirststyle"/>
        <w:numPr>
          <w:ilvl w:val="0"/>
          <w:numId w:val="20"/>
        </w:numPr>
        <w:pBdr>
          <w:top w:val="single" w:sz="4" w:space="0" w:color="auto"/>
          <w:left w:val="single" w:sz="4" w:space="4" w:color="auto"/>
          <w:bottom w:val="single" w:sz="4" w:space="0"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Pr>
          <w:rFonts w:ascii="Arial" w:hAnsi="Arial" w:cs="Arial"/>
          <w:sz w:val="22"/>
          <w:szCs w:val="22"/>
        </w:rPr>
        <w:t xml:space="preserve">Are there any </w:t>
      </w:r>
      <w:r w:rsidR="00A779B8">
        <w:rPr>
          <w:rFonts w:ascii="Arial" w:hAnsi="Arial" w:cs="Arial"/>
          <w:sz w:val="22"/>
          <w:szCs w:val="22"/>
        </w:rPr>
        <w:t xml:space="preserve">concerns </w:t>
      </w:r>
      <w:r w:rsidR="0073287F">
        <w:rPr>
          <w:rFonts w:ascii="Arial" w:hAnsi="Arial" w:cs="Arial"/>
          <w:sz w:val="22"/>
          <w:szCs w:val="22"/>
        </w:rPr>
        <w:t>with the</w:t>
      </w:r>
      <w:r w:rsidR="008B6EA2">
        <w:rPr>
          <w:rFonts w:ascii="Arial" w:hAnsi="Arial" w:cs="Arial"/>
          <w:sz w:val="22"/>
          <w:szCs w:val="22"/>
        </w:rPr>
        <w:t xml:space="preserve"> proposed</w:t>
      </w:r>
      <w:r>
        <w:rPr>
          <w:rFonts w:ascii="Arial" w:hAnsi="Arial" w:cs="Arial"/>
          <w:sz w:val="22"/>
          <w:szCs w:val="22"/>
        </w:rPr>
        <w:t xml:space="preserve"> classification/frequency of reporting in relation to rules 116(1), 120(1) and </w:t>
      </w:r>
      <w:proofErr w:type="gramStart"/>
      <w:r>
        <w:rPr>
          <w:rFonts w:ascii="Arial" w:hAnsi="Arial" w:cs="Arial"/>
          <w:sz w:val="22"/>
          <w:szCs w:val="22"/>
        </w:rPr>
        <w:t>124A(</w:t>
      </w:r>
      <w:proofErr w:type="gramEnd"/>
      <w:r>
        <w:rPr>
          <w:rFonts w:ascii="Arial" w:hAnsi="Arial" w:cs="Arial"/>
          <w:sz w:val="22"/>
          <w:szCs w:val="22"/>
        </w:rPr>
        <w:t>1) of the NERR?</w:t>
      </w:r>
    </w:p>
    <w:p w:rsidR="004814C4" w:rsidRPr="00E335EE" w:rsidRDefault="00251D60" w:rsidP="00B216B0">
      <w:pPr>
        <w:pStyle w:val="ListParagraph"/>
        <w:numPr>
          <w:ilvl w:val="0"/>
          <w:numId w:val="27"/>
        </w:numPr>
        <w:ind w:left="284" w:hanging="284"/>
        <w:rPr>
          <w:b/>
          <w:i/>
          <w:sz w:val="24"/>
        </w:rPr>
      </w:pPr>
      <w:r>
        <w:rPr>
          <w:b/>
          <w:i/>
          <w:sz w:val="24"/>
        </w:rPr>
        <w:t>Q</w:t>
      </w:r>
      <w:r w:rsidR="000E064C">
        <w:rPr>
          <w:b/>
          <w:i/>
          <w:sz w:val="24"/>
        </w:rPr>
        <w:t>u</w:t>
      </w:r>
      <w:r w:rsidR="004814C4">
        <w:rPr>
          <w:b/>
          <w:i/>
          <w:sz w:val="24"/>
        </w:rPr>
        <w:t xml:space="preserve">arterly reports </w:t>
      </w:r>
    </w:p>
    <w:p w:rsidR="003422CE" w:rsidRDefault="00C54556" w:rsidP="004814C4">
      <w:r>
        <w:t xml:space="preserve">Subject to proposed </w:t>
      </w:r>
      <w:r w:rsidRPr="007A136E">
        <w:t>amendment</w:t>
      </w:r>
      <w:r w:rsidR="00C67AA3" w:rsidRPr="007A136E">
        <w:t>s</w:t>
      </w:r>
      <w:r w:rsidRPr="007A136E">
        <w:t xml:space="preserve"> </w:t>
      </w:r>
      <w:r w:rsidR="00892A98" w:rsidRPr="007A136E">
        <w:t>6</w:t>
      </w:r>
      <w:r w:rsidR="00C67AA3" w:rsidRPr="007A136E">
        <w:t xml:space="preserve"> and </w:t>
      </w:r>
      <w:r w:rsidR="00892A98" w:rsidRPr="007A136E">
        <w:t>7</w:t>
      </w:r>
      <w:r>
        <w:t>, t</w:t>
      </w:r>
      <w:r w:rsidR="00C45620">
        <w:t xml:space="preserve">he reportable obligations </w:t>
      </w:r>
      <w:r w:rsidR="00D81E84">
        <w:t xml:space="preserve">under this classification will </w:t>
      </w:r>
      <w:r w:rsidR="00662441">
        <w:t xml:space="preserve">include </w:t>
      </w:r>
      <w:r w:rsidR="00D81E84">
        <w:t>the other (</w:t>
      </w:r>
      <w:r>
        <w:t xml:space="preserve">i.e. </w:t>
      </w:r>
      <w:r w:rsidR="00D81E84">
        <w:t xml:space="preserve">non-immediate) </w:t>
      </w:r>
      <w:r>
        <w:t>t</w:t>
      </w:r>
      <w:r w:rsidR="00D81E84">
        <w:t>ype 1 obligations</w:t>
      </w:r>
      <w:r>
        <w:t xml:space="preserve"> currently</w:t>
      </w:r>
      <w:r w:rsidR="00D81E84">
        <w:t xml:space="preserve"> reportable to the AER on a quarterly basis.</w:t>
      </w:r>
      <w:r w:rsidR="00C67AA3">
        <w:rPr>
          <w:rStyle w:val="FootnoteReference"/>
        </w:rPr>
        <w:footnoteReference w:id="28"/>
      </w:r>
      <w:r w:rsidR="00D81E84">
        <w:t xml:space="preserve"> </w:t>
      </w:r>
      <w:r>
        <w:t xml:space="preserve">As such, no changes are made to the frequency to which businesses must report potential breaches or breaches of these </w:t>
      </w:r>
      <w:r w:rsidR="00C67AA3">
        <w:t>provisions</w:t>
      </w:r>
      <w:r>
        <w:t xml:space="preserve">. </w:t>
      </w:r>
    </w:p>
    <w:p w:rsidR="00862CA8" w:rsidRDefault="009B5325" w:rsidP="009B5325">
      <w:r>
        <w:t xml:space="preserve">Currently, businesses </w:t>
      </w:r>
      <w:r w:rsidR="00C67AA3">
        <w:t>are required to provide a consolidated report of all breaches of type 1 obligations (immediate and other non-immediate) in its quarterly r</w:t>
      </w:r>
      <w:r w:rsidR="00862CA8">
        <w:t xml:space="preserve">eports to the AER. </w:t>
      </w:r>
      <w:r w:rsidR="00E63178">
        <w:t>In our</w:t>
      </w:r>
      <w:r w:rsidR="00862CA8">
        <w:t xml:space="preserve"> administration of the reportin</w:t>
      </w:r>
      <w:r w:rsidR="00E63178">
        <w:t>g framework we consider this is no longer necessary, particula</w:t>
      </w:r>
      <w:r w:rsidR="005A027D">
        <w:t>rly with our proposed amendment</w:t>
      </w:r>
      <w:r w:rsidR="00E63178">
        <w:t xml:space="preserve"> to the classifications. </w:t>
      </w:r>
    </w:p>
    <w:p w:rsidR="004814C4" w:rsidRPr="00A117E4" w:rsidRDefault="004814C4" w:rsidP="004814C4">
      <w:pPr>
        <w:pBdr>
          <w:top w:val="single" w:sz="4" w:space="1" w:color="auto"/>
          <w:left w:val="single" w:sz="4" w:space="4" w:color="auto"/>
          <w:bottom w:val="single" w:sz="4" w:space="1" w:color="auto"/>
          <w:right w:val="single" w:sz="4" w:space="4" w:color="auto"/>
        </w:pBdr>
        <w:shd w:val="clear" w:color="auto" w:fill="FFB380" w:themeFill="accent2" w:themeFillTint="66"/>
        <w:rPr>
          <w:rStyle w:val="IntenseEmphasis"/>
        </w:rPr>
      </w:pPr>
      <w:r>
        <w:rPr>
          <w:rStyle w:val="IntenseEmphasis"/>
        </w:rPr>
        <w:t xml:space="preserve">Proposed amendments </w:t>
      </w:r>
    </w:p>
    <w:p w:rsidR="004814C4" w:rsidRDefault="00ED10E8" w:rsidP="008610A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Businesses</w:t>
      </w:r>
      <w:r w:rsidR="009B5325">
        <w:t xml:space="preserve"> </w:t>
      </w:r>
      <w:r w:rsidR="00395938">
        <w:t xml:space="preserve">do not need to include in </w:t>
      </w:r>
      <w:r w:rsidR="00765CC4">
        <w:t xml:space="preserve">their </w:t>
      </w:r>
      <w:r w:rsidR="00395938">
        <w:t>‘</w:t>
      </w:r>
      <w:r w:rsidR="005A027D">
        <w:t>q</w:t>
      </w:r>
      <w:r w:rsidR="00395938">
        <w:t>uarterly reports’ potential breaches or breaches already reported in its ‘</w:t>
      </w:r>
      <w:r w:rsidR="005A027D">
        <w:t>i</w:t>
      </w:r>
      <w:r w:rsidR="00395938">
        <w:t xml:space="preserve">mmediate reports’. </w:t>
      </w:r>
      <w:r w:rsidR="009B5325">
        <w:t xml:space="preserve"> </w:t>
      </w:r>
    </w:p>
    <w:p w:rsidR="004814C4" w:rsidRDefault="004814C4" w:rsidP="004814C4">
      <w:pPr>
        <w:spacing w:line="240" w:lineRule="auto"/>
        <w:rPr>
          <w:sz w:val="2"/>
        </w:rPr>
      </w:pPr>
    </w:p>
    <w:p w:rsidR="004814C4" w:rsidRPr="00E335EE" w:rsidRDefault="004814C4" w:rsidP="00B216B0">
      <w:pPr>
        <w:pStyle w:val="ListParagraph"/>
        <w:numPr>
          <w:ilvl w:val="0"/>
          <w:numId w:val="27"/>
        </w:numPr>
        <w:ind w:left="284" w:hanging="284"/>
        <w:rPr>
          <w:b/>
          <w:i/>
          <w:sz w:val="24"/>
        </w:rPr>
      </w:pPr>
      <w:r>
        <w:rPr>
          <w:b/>
          <w:i/>
          <w:sz w:val="24"/>
        </w:rPr>
        <w:t xml:space="preserve">Half yearly reports </w:t>
      </w:r>
    </w:p>
    <w:p w:rsidR="00395938" w:rsidRDefault="008F427B" w:rsidP="004814C4">
      <w:r>
        <w:t>Subject to the amendments discussed below, t</w:t>
      </w:r>
      <w:r w:rsidR="00102ADD">
        <w:t>he</w:t>
      </w:r>
      <w:r>
        <w:t xml:space="preserve"> ‘half yearly reports’ classification will capture reportable obligations </w:t>
      </w:r>
      <w:r w:rsidR="00F65EA0">
        <w:t>currently classified as t</w:t>
      </w:r>
      <w:r w:rsidR="00291749">
        <w:t>ype 2</w:t>
      </w:r>
      <w:r w:rsidR="00102ADD">
        <w:t>.</w:t>
      </w:r>
      <w:r w:rsidR="006F38B2">
        <w:rPr>
          <w:rStyle w:val="FootnoteReference"/>
        </w:rPr>
        <w:footnoteReference w:id="29"/>
      </w:r>
    </w:p>
    <w:p w:rsidR="00DC4FA3" w:rsidRPr="004A4AA9" w:rsidRDefault="00DC4FA3" w:rsidP="00102ADD">
      <w:pPr>
        <w:rPr>
          <w:u w:val="single"/>
        </w:rPr>
      </w:pPr>
      <w:r w:rsidRPr="004A4AA9">
        <w:rPr>
          <w:u w:val="single"/>
        </w:rPr>
        <w:t>Interruption to supply obligations</w:t>
      </w:r>
    </w:p>
    <w:p w:rsidR="00E92C26" w:rsidRDefault="00291749" w:rsidP="00E92C26">
      <w:r>
        <w:t xml:space="preserve">Currently distributor obligations in relation to the interruption of supply are reportable on an annual basis. </w:t>
      </w:r>
      <w:r w:rsidR="00737F29">
        <w:t xml:space="preserve">These obligations include providing four business </w:t>
      </w:r>
      <w:r w:rsidR="00ED10E8">
        <w:t>days’ notice</w:t>
      </w:r>
      <w:r w:rsidR="00737F29">
        <w:t xml:space="preserve"> to affected custo</w:t>
      </w:r>
      <w:r w:rsidR="00E92C26">
        <w:t>mers prior to the interruption. Similarly, under new rules introduced in the</w:t>
      </w:r>
      <w:r w:rsidR="00C24638">
        <w:t xml:space="preserve"> AEMC</w:t>
      </w:r>
      <w:r w:rsidR="00E92C26">
        <w:t xml:space="preserve"> Metering </w:t>
      </w:r>
      <w:r w:rsidR="007C6693">
        <w:t>rule c</w:t>
      </w:r>
      <w:r w:rsidR="00E92C26">
        <w:t>hange, retailers will also have obligations to small customers in the event of a retailer planned interruption; these obligations mirror distributor obligations.</w:t>
      </w:r>
      <w:r w:rsidR="00E92C26">
        <w:rPr>
          <w:rStyle w:val="FootnoteReference"/>
        </w:rPr>
        <w:footnoteReference w:id="30"/>
      </w:r>
    </w:p>
    <w:p w:rsidR="00737F29" w:rsidRDefault="00E92C26" w:rsidP="00102ADD">
      <w:r>
        <w:t>We consider that the</w:t>
      </w:r>
      <w:r w:rsidR="00C24638">
        <w:t>se</w:t>
      </w:r>
      <w:r>
        <w:t xml:space="preserve"> obligations </w:t>
      </w:r>
      <w:r w:rsidR="00C24638">
        <w:t>ensure</w:t>
      </w:r>
      <w:r>
        <w:t xml:space="preserve"> consumers have confidence in their energy supply (i.e. being notified of any planned interruptions)</w:t>
      </w:r>
      <w:r w:rsidR="00C24638">
        <w:t xml:space="preserve"> and</w:t>
      </w:r>
      <w:r>
        <w:t xml:space="preserve"> are essential to consumer confidence in the energy retail market. As such, there is a need to monitor trends in breaches or potential breaches in a timely manner. </w:t>
      </w:r>
    </w:p>
    <w:p w:rsidR="00291749" w:rsidRDefault="00C24638" w:rsidP="00291749">
      <w:r>
        <w:t>For these reasons, w</w:t>
      </w:r>
      <w:r w:rsidR="00291749">
        <w:t xml:space="preserve">e propose to reclassify </w:t>
      </w:r>
      <w:r>
        <w:t xml:space="preserve">distributor interruption to supply provisions under Part 4, Division 6 of the NERR </w:t>
      </w:r>
      <w:r w:rsidR="00291749">
        <w:t>to be reportable every six months under this new classification.</w:t>
      </w:r>
      <w:r>
        <w:t xml:space="preserve"> Consistently, we also propose to require </w:t>
      </w:r>
      <w:r w:rsidR="005E61FE">
        <w:t>retailers to report on breaches or potential breaches of rules 59C(2)-(5) under Part 2, Division 9A</w:t>
      </w:r>
      <w:r w:rsidR="007C6693">
        <w:t xml:space="preserve"> of the NERR</w:t>
      </w:r>
      <w:r w:rsidR="005E61FE">
        <w:t xml:space="preserve"> on a </w:t>
      </w:r>
      <w:r w:rsidR="00887C26">
        <w:t xml:space="preserve">half yearly basis. </w:t>
      </w:r>
    </w:p>
    <w:p w:rsidR="007C6693" w:rsidRDefault="007C6693" w:rsidP="00102ADD">
      <w:pPr>
        <w:rPr>
          <w:u w:val="single"/>
        </w:rPr>
      </w:pPr>
    </w:p>
    <w:p w:rsidR="007C6693" w:rsidRDefault="007C6693" w:rsidP="00102ADD">
      <w:pPr>
        <w:rPr>
          <w:u w:val="single"/>
        </w:rPr>
      </w:pPr>
    </w:p>
    <w:p w:rsidR="005E61FE" w:rsidRPr="004A4AA9" w:rsidRDefault="005E61FE" w:rsidP="00102ADD">
      <w:pPr>
        <w:rPr>
          <w:u w:val="single"/>
        </w:rPr>
      </w:pPr>
      <w:r w:rsidRPr="004A4AA9">
        <w:rPr>
          <w:u w:val="single"/>
        </w:rPr>
        <w:lastRenderedPageBreak/>
        <w:t>Customer hardship provisions, Part 2, Div</w:t>
      </w:r>
      <w:r w:rsidR="00801BCF">
        <w:rPr>
          <w:u w:val="single"/>
        </w:rPr>
        <w:t>ision</w:t>
      </w:r>
      <w:r w:rsidRPr="004A4AA9">
        <w:rPr>
          <w:u w:val="single"/>
        </w:rPr>
        <w:t xml:space="preserve"> 6 of the </w:t>
      </w:r>
      <w:r w:rsidR="00C24D3B">
        <w:rPr>
          <w:u w:val="single"/>
        </w:rPr>
        <w:t>NERL</w:t>
      </w:r>
    </w:p>
    <w:p w:rsidR="00C24D3B" w:rsidRDefault="00C24D3B" w:rsidP="004814C4">
      <w:r>
        <w:t>Part 2, Division 6 of the NERL includes obligations on retailers to develop and submit customer hardship p</w:t>
      </w:r>
      <w:r w:rsidR="007C6693">
        <w:t xml:space="preserve">olicies to the AER for approval, </w:t>
      </w:r>
      <w:r>
        <w:t xml:space="preserve">for the policy to be published on the retailer’s website and where appropriate, communicated to the customer. </w:t>
      </w:r>
    </w:p>
    <w:p w:rsidR="005843C9" w:rsidRDefault="00C24D3B" w:rsidP="004814C4">
      <w:r>
        <w:t>The provisions under this division are cur</w:t>
      </w:r>
      <w:r w:rsidR="00E221AE">
        <w:t xml:space="preserve">rently reportable to the AER on a six month basis. We consider that the reporting obligation on Part 2, Division 6 of the NERL should be removed as these provisions can be effectively monitored through other means. For example, the AER has processes to contact new authorised retailers (intending to sell energy to small customers) if a customer hardship policy has not been submitted within three months of the grant of authorisation. The AER can also go on the retailer’s website to ensure that the relevant approved customer hardship policy has been published online and is accessible to customers. </w:t>
      </w:r>
    </w:p>
    <w:p w:rsidR="005843C9" w:rsidRDefault="005843C9" w:rsidP="004814C4">
      <w:r>
        <w:rPr>
          <w:u w:val="single"/>
        </w:rPr>
        <w:t>Tariff changes, Part 2, Division 5 of the NERR</w:t>
      </w:r>
    </w:p>
    <w:p w:rsidR="00414EF1" w:rsidRDefault="00414EF1" w:rsidP="00414EF1">
      <w:r>
        <w:t xml:space="preserve">Part 2, Division 5 of the NERR includes retailer’s obligations to its customers on standard retail contracts in the event that the customer changes from one tariff type to another. The AER has not identified any systemic consumer issues relating to these provisions. </w:t>
      </w:r>
    </w:p>
    <w:p w:rsidR="00414EF1" w:rsidRDefault="00414EF1" w:rsidP="004814C4">
      <w:r>
        <w:t xml:space="preserve">As such, we propose to remove the obligation on retailers to report </w:t>
      </w:r>
      <w:r w:rsidR="00F44D9B">
        <w:t xml:space="preserve">on rules under Part 2 Division 5 of the NERR. </w:t>
      </w:r>
    </w:p>
    <w:p w:rsidR="004814C4" w:rsidRPr="00A117E4" w:rsidRDefault="004814C4" w:rsidP="004814C4">
      <w:pPr>
        <w:pBdr>
          <w:top w:val="single" w:sz="4" w:space="1" w:color="auto"/>
          <w:left w:val="single" w:sz="4" w:space="4" w:color="auto"/>
          <w:bottom w:val="single" w:sz="4" w:space="1" w:color="auto"/>
          <w:right w:val="single" w:sz="4" w:space="4" w:color="auto"/>
        </w:pBdr>
        <w:shd w:val="clear" w:color="auto" w:fill="FFB380" w:themeFill="accent2" w:themeFillTint="66"/>
        <w:rPr>
          <w:rStyle w:val="IntenseEmphasis"/>
        </w:rPr>
      </w:pPr>
      <w:r>
        <w:rPr>
          <w:rStyle w:val="IntenseEmphasis"/>
        </w:rPr>
        <w:t xml:space="preserve">Proposed amendments </w:t>
      </w:r>
    </w:p>
    <w:p w:rsidR="004814C4" w:rsidRDefault="004814C4" w:rsidP="008610A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Distributors to report on any potential breaches or breaches of</w:t>
      </w:r>
      <w:r w:rsidRPr="00D35B2A">
        <w:t xml:space="preserve"> </w:t>
      </w:r>
      <w:r>
        <w:t>Part 4</w:t>
      </w:r>
      <w:r w:rsidR="005A027D">
        <w:t>, Division 6</w:t>
      </w:r>
      <w:r>
        <w:t xml:space="preserve"> of the </w:t>
      </w:r>
      <w:r w:rsidR="005A027D">
        <w:t>NERR</w:t>
      </w:r>
      <w:r>
        <w:t xml:space="preserve"> on a half</w:t>
      </w:r>
      <w:r w:rsidR="0026325C">
        <w:t xml:space="preserve"> </w:t>
      </w:r>
      <w:r>
        <w:t xml:space="preserve">yearly basis. </w:t>
      </w:r>
    </w:p>
    <w:p w:rsidR="00887C26" w:rsidRDefault="00ED10E8" w:rsidP="008610A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 xml:space="preserve">To </w:t>
      </w:r>
      <w:r w:rsidR="00765CC4">
        <w:t>i</w:t>
      </w:r>
      <w:r w:rsidR="00887C26">
        <w:t xml:space="preserve">nclude rules </w:t>
      </w:r>
      <w:proofErr w:type="gramStart"/>
      <w:r w:rsidR="00887C26">
        <w:t>59C(</w:t>
      </w:r>
      <w:proofErr w:type="gramEnd"/>
      <w:r w:rsidR="00887C26">
        <w:t>2)-(5)</w:t>
      </w:r>
      <w:r w:rsidR="005A027D">
        <w:t xml:space="preserve"> </w:t>
      </w:r>
      <w:r w:rsidR="00887C26">
        <w:t xml:space="preserve">under the ‘half yearly report’ classification. </w:t>
      </w:r>
    </w:p>
    <w:p w:rsidR="004814C4" w:rsidRDefault="00102ADD" w:rsidP="008610A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 xml:space="preserve">Remove the obligation on retailers to report on </w:t>
      </w:r>
      <w:r w:rsidR="005843C9">
        <w:t>provisions</w:t>
      </w:r>
      <w:r>
        <w:t xml:space="preserve"> under Part 2, Division 6 of the </w:t>
      </w:r>
      <w:r w:rsidR="005A027D">
        <w:t>NERL</w:t>
      </w:r>
      <w:r w:rsidR="005843C9">
        <w:t xml:space="preserve">, and the rules under Part 2, Division 5 of the NERR. </w:t>
      </w:r>
    </w:p>
    <w:p w:rsidR="004814C4" w:rsidRDefault="004814C4" w:rsidP="004814C4">
      <w:pPr>
        <w:spacing w:line="240" w:lineRule="auto"/>
        <w:rPr>
          <w:sz w:val="2"/>
        </w:rPr>
      </w:pPr>
    </w:p>
    <w:p w:rsidR="004814C4" w:rsidRPr="001170BD" w:rsidRDefault="004814C4" w:rsidP="004814C4">
      <w:pPr>
        <w:pBdr>
          <w:top w:val="single" w:sz="4" w:space="1" w:color="auto"/>
          <w:left w:val="single" w:sz="4" w:space="4" w:color="auto"/>
          <w:bottom w:val="single" w:sz="4" w:space="1" w:color="auto"/>
          <w:right w:val="single" w:sz="4" w:space="4" w:color="auto"/>
        </w:pBdr>
        <w:shd w:val="clear" w:color="auto" w:fill="D9D9D9" w:themeFill="background2" w:themeFillShade="D9"/>
        <w:rPr>
          <w:rStyle w:val="IntenseEmphasis"/>
        </w:rPr>
      </w:pPr>
      <w:r w:rsidRPr="001170BD">
        <w:rPr>
          <w:rStyle w:val="IntenseEmphasis"/>
        </w:rPr>
        <w:t>Consultation questions</w:t>
      </w:r>
    </w:p>
    <w:p w:rsidR="004814C4" w:rsidRPr="00ED10E8" w:rsidRDefault="005A027D" w:rsidP="00ED10E8">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Pr>
          <w:rFonts w:ascii="Arial" w:hAnsi="Arial" w:cs="Arial"/>
          <w:sz w:val="22"/>
          <w:szCs w:val="22"/>
        </w:rPr>
        <w:t xml:space="preserve">Are there any issues </w:t>
      </w:r>
      <w:r w:rsidR="00ED10E8">
        <w:rPr>
          <w:rFonts w:ascii="Arial" w:hAnsi="Arial" w:cs="Arial"/>
          <w:sz w:val="22"/>
          <w:szCs w:val="22"/>
        </w:rPr>
        <w:t>with the</w:t>
      </w:r>
      <w:r w:rsidRPr="00ED10E8">
        <w:rPr>
          <w:rFonts w:ascii="Arial" w:hAnsi="Arial" w:cs="Arial"/>
          <w:sz w:val="22"/>
          <w:szCs w:val="22"/>
        </w:rPr>
        <w:t xml:space="preserve"> proposed classification/frequency of reporting in relation to the rules under Part 4, Division 6 and rules </w:t>
      </w:r>
      <w:proofErr w:type="gramStart"/>
      <w:r w:rsidRPr="00ED10E8">
        <w:rPr>
          <w:rFonts w:ascii="Arial" w:hAnsi="Arial" w:cs="Arial"/>
          <w:sz w:val="22"/>
          <w:szCs w:val="22"/>
        </w:rPr>
        <w:t>59C(</w:t>
      </w:r>
      <w:proofErr w:type="gramEnd"/>
      <w:r w:rsidRPr="00ED10E8">
        <w:rPr>
          <w:rFonts w:ascii="Arial" w:hAnsi="Arial" w:cs="Arial"/>
          <w:sz w:val="22"/>
          <w:szCs w:val="22"/>
        </w:rPr>
        <w:t>2)-(5) of the NERR?</w:t>
      </w:r>
    </w:p>
    <w:p w:rsidR="00947F0C" w:rsidRDefault="00947F0C" w:rsidP="00386E08">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sidRPr="00947F0C">
        <w:rPr>
          <w:rFonts w:ascii="Arial" w:hAnsi="Arial" w:cs="Arial"/>
          <w:sz w:val="22"/>
          <w:szCs w:val="22"/>
        </w:rPr>
        <w:t xml:space="preserve">Are there any </w:t>
      </w:r>
      <w:r w:rsidR="00ED10E8">
        <w:rPr>
          <w:rFonts w:ascii="Arial" w:hAnsi="Arial" w:cs="Arial"/>
          <w:sz w:val="22"/>
          <w:szCs w:val="22"/>
        </w:rPr>
        <w:t>issues</w:t>
      </w:r>
      <w:r w:rsidRPr="00947F0C">
        <w:rPr>
          <w:rFonts w:ascii="Arial" w:hAnsi="Arial" w:cs="Arial"/>
          <w:sz w:val="22"/>
          <w:szCs w:val="22"/>
        </w:rPr>
        <w:t xml:space="preserve"> with the </w:t>
      </w:r>
      <w:r w:rsidR="00ED10E8">
        <w:rPr>
          <w:rFonts w:ascii="Arial" w:hAnsi="Arial" w:cs="Arial"/>
          <w:sz w:val="22"/>
          <w:szCs w:val="22"/>
        </w:rPr>
        <w:t>removal of the</w:t>
      </w:r>
      <w:r w:rsidRPr="00947F0C">
        <w:rPr>
          <w:rFonts w:ascii="Arial" w:hAnsi="Arial" w:cs="Arial"/>
          <w:sz w:val="22"/>
          <w:szCs w:val="22"/>
        </w:rPr>
        <w:t xml:space="preserve"> obligation on businesses to report on provisions </w:t>
      </w:r>
      <w:r w:rsidRPr="005A027D">
        <w:rPr>
          <w:rFonts w:ascii="Arial" w:hAnsi="Arial" w:cs="Arial"/>
          <w:sz w:val="22"/>
          <w:szCs w:val="22"/>
        </w:rPr>
        <w:t>under Part 2, Division 6 of the NERL?</w:t>
      </w:r>
    </w:p>
    <w:p w:rsidR="005843C9" w:rsidRPr="005843C9" w:rsidRDefault="005843C9" w:rsidP="005843C9">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6" w:hanging="426"/>
        <w:contextualSpacing/>
        <w:jc w:val="both"/>
        <w:rPr>
          <w:rFonts w:ascii="Arial" w:hAnsi="Arial" w:cs="Arial"/>
          <w:sz w:val="22"/>
          <w:szCs w:val="22"/>
        </w:rPr>
      </w:pPr>
      <w:r w:rsidRPr="00947F0C">
        <w:rPr>
          <w:rFonts w:ascii="Arial" w:hAnsi="Arial" w:cs="Arial"/>
          <w:sz w:val="22"/>
          <w:szCs w:val="22"/>
        </w:rPr>
        <w:t xml:space="preserve">Are there any </w:t>
      </w:r>
      <w:r w:rsidR="00ED10E8">
        <w:rPr>
          <w:rFonts w:ascii="Arial" w:hAnsi="Arial" w:cs="Arial"/>
          <w:sz w:val="22"/>
          <w:szCs w:val="22"/>
        </w:rPr>
        <w:t>issues</w:t>
      </w:r>
      <w:r w:rsidRPr="00947F0C">
        <w:rPr>
          <w:rFonts w:ascii="Arial" w:hAnsi="Arial" w:cs="Arial"/>
          <w:sz w:val="22"/>
          <w:szCs w:val="22"/>
        </w:rPr>
        <w:t xml:space="preserve"> with </w:t>
      </w:r>
      <w:r w:rsidR="00ED10E8">
        <w:rPr>
          <w:rFonts w:ascii="Arial" w:hAnsi="Arial" w:cs="Arial"/>
          <w:sz w:val="22"/>
          <w:szCs w:val="22"/>
        </w:rPr>
        <w:t xml:space="preserve">the removal of </w:t>
      </w:r>
      <w:r w:rsidRPr="00947F0C">
        <w:rPr>
          <w:rFonts w:ascii="Arial" w:hAnsi="Arial" w:cs="Arial"/>
          <w:sz w:val="22"/>
          <w:szCs w:val="22"/>
        </w:rPr>
        <w:t xml:space="preserve">the obligation on businesses to report on </w:t>
      </w:r>
      <w:r>
        <w:rPr>
          <w:rFonts w:ascii="Arial" w:hAnsi="Arial" w:cs="Arial"/>
          <w:sz w:val="22"/>
          <w:szCs w:val="22"/>
        </w:rPr>
        <w:t>rules</w:t>
      </w:r>
      <w:r w:rsidRPr="00947F0C">
        <w:rPr>
          <w:rFonts w:ascii="Arial" w:hAnsi="Arial" w:cs="Arial"/>
          <w:sz w:val="22"/>
          <w:szCs w:val="22"/>
        </w:rPr>
        <w:t xml:space="preserve"> </w:t>
      </w:r>
      <w:r w:rsidRPr="005A027D">
        <w:rPr>
          <w:rFonts w:ascii="Arial" w:hAnsi="Arial" w:cs="Arial"/>
          <w:sz w:val="22"/>
          <w:szCs w:val="22"/>
        </w:rPr>
        <w:t xml:space="preserve">under Part 2, Division </w:t>
      </w:r>
      <w:r>
        <w:rPr>
          <w:rFonts w:ascii="Arial" w:hAnsi="Arial" w:cs="Arial"/>
          <w:sz w:val="22"/>
          <w:szCs w:val="22"/>
        </w:rPr>
        <w:t>5 of the NERR</w:t>
      </w:r>
      <w:r w:rsidRPr="005A027D">
        <w:rPr>
          <w:rFonts w:ascii="Arial" w:hAnsi="Arial" w:cs="Arial"/>
          <w:sz w:val="22"/>
          <w:szCs w:val="22"/>
        </w:rPr>
        <w:t>?</w:t>
      </w:r>
    </w:p>
    <w:p w:rsidR="008E4A2E" w:rsidRDefault="00E62BC8" w:rsidP="000276B9">
      <w:pPr>
        <w:pStyle w:val="Heading2"/>
      </w:pPr>
      <w:bookmarkStart w:id="14" w:name="_Toc469301470"/>
      <w:r>
        <w:t>Other proposed amendments</w:t>
      </w:r>
      <w:bookmarkEnd w:id="14"/>
      <w:r>
        <w:t xml:space="preserve"> </w:t>
      </w:r>
    </w:p>
    <w:p w:rsidR="00F201B1" w:rsidRDefault="000E064C" w:rsidP="000276B9">
      <w:r>
        <w:t>In addition to the above</w:t>
      </w:r>
      <w:r w:rsidR="00FE7101">
        <w:t xml:space="preserve"> we have identified a</w:t>
      </w:r>
      <w:r>
        <w:t xml:space="preserve"> number of </w:t>
      </w:r>
      <w:r w:rsidR="00ED10E8">
        <w:t>improvements that could be made to</w:t>
      </w:r>
      <w:r>
        <w:t xml:space="preserve"> in the reporting framework</w:t>
      </w:r>
      <w:r w:rsidR="00A779B8">
        <w:t xml:space="preserve"> to improve the accuracy and completeness of reports.</w:t>
      </w:r>
    </w:p>
    <w:p w:rsidR="00A67324" w:rsidRPr="00A67324" w:rsidRDefault="00A67324" w:rsidP="00662441">
      <w:pPr>
        <w:rPr>
          <w:u w:val="single"/>
        </w:rPr>
      </w:pPr>
      <w:r>
        <w:rPr>
          <w:u w:val="single"/>
        </w:rPr>
        <w:t xml:space="preserve">Overlap between </w:t>
      </w:r>
      <w:r w:rsidR="004A4AA9">
        <w:rPr>
          <w:u w:val="single"/>
        </w:rPr>
        <w:t>NERR and NERL</w:t>
      </w:r>
    </w:p>
    <w:p w:rsidR="00E524E3" w:rsidRDefault="00B70063" w:rsidP="00E524E3">
      <w:r w:rsidRPr="00B70063">
        <w:t>We propose amend</w:t>
      </w:r>
      <w:r w:rsidR="00FE7101">
        <w:t xml:space="preserve">ing </w:t>
      </w:r>
      <w:r w:rsidRPr="00B70063">
        <w:t>the Guidelines to</w:t>
      </w:r>
      <w:r w:rsidR="00662441" w:rsidRPr="00B70063">
        <w:t xml:space="preserve"> better </w:t>
      </w:r>
      <w:r w:rsidR="00ED10E8">
        <w:t>connect</w:t>
      </w:r>
      <w:r w:rsidR="00ED10E8" w:rsidRPr="00B70063">
        <w:t xml:space="preserve"> </w:t>
      </w:r>
      <w:r w:rsidR="00662441" w:rsidRPr="00B70063">
        <w:t xml:space="preserve">the interaction between the </w:t>
      </w:r>
      <w:r w:rsidRPr="00B70063">
        <w:t>NERL and the NERR</w:t>
      </w:r>
      <w:r w:rsidR="00E524E3">
        <w:t xml:space="preserve">, specifically in relation to a retailer’s energy marketing obligations and </w:t>
      </w:r>
      <w:r w:rsidR="00721AD3">
        <w:t xml:space="preserve">the </w:t>
      </w:r>
      <w:r w:rsidR="00E524E3">
        <w:t xml:space="preserve">requirement to provide explicit informed consent. In both instances, the NERL establishes </w:t>
      </w:r>
      <w:r w:rsidR="00662441" w:rsidRPr="00B70063">
        <w:t xml:space="preserve">overarching civil penalty provisions </w:t>
      </w:r>
      <w:r w:rsidR="00E524E3">
        <w:t xml:space="preserve">which capture the more prescriptive provisions in the </w:t>
      </w:r>
      <w:r w:rsidR="00E524E3">
        <w:lastRenderedPageBreak/>
        <w:t xml:space="preserve">NERR. For example, section 53(2) of the NERL requires that persons carrying out energy marketing activities to comply with the Energy </w:t>
      </w:r>
      <w:r w:rsidR="00F17BD9">
        <w:t>M</w:t>
      </w:r>
      <w:r w:rsidR="00E524E3">
        <w:t xml:space="preserve">arketing Rules specified in Part 2, Division 10 of the NERR. Similarly, section 38 of the NERL requires retailers to obtain explicit informed consent for certain transactions, with these transactions prescribed </w:t>
      </w:r>
      <w:r w:rsidR="00F17BD9">
        <w:t xml:space="preserve">in the NERR. In both instances, </w:t>
      </w:r>
      <w:r w:rsidR="00E524E3">
        <w:t xml:space="preserve">a breach of the provisions in the NERR </w:t>
      </w:r>
      <w:r w:rsidR="00F17BD9">
        <w:t xml:space="preserve">is effectively </w:t>
      </w:r>
      <w:r w:rsidR="00E524E3">
        <w:t xml:space="preserve">a breach of the respective civil penalty provision under the NERL. </w:t>
      </w:r>
    </w:p>
    <w:p w:rsidR="004A4AA9" w:rsidRDefault="00F17BD9" w:rsidP="00B70063">
      <w:r>
        <w:t xml:space="preserve">Under the current Guidelines, energy marketing obligations and explicit informed consent provisions </w:t>
      </w:r>
      <w:r w:rsidR="00662441" w:rsidRPr="00B70063">
        <w:t xml:space="preserve">under the </w:t>
      </w:r>
      <w:r w:rsidR="00B70063" w:rsidRPr="00B70063">
        <w:t xml:space="preserve">NERL </w:t>
      </w:r>
      <w:r w:rsidR="00662441" w:rsidRPr="00B70063">
        <w:t xml:space="preserve">and </w:t>
      </w:r>
      <w:r w:rsidR="00B70063" w:rsidRPr="00B70063">
        <w:t>NERR</w:t>
      </w:r>
      <w:r>
        <w:t xml:space="preserve"> are listed</w:t>
      </w:r>
      <w:r w:rsidR="00662441" w:rsidRPr="00B70063">
        <w:t xml:space="preserve"> separately rather than as related provisions. </w:t>
      </w:r>
      <w:r w:rsidR="004A4AA9">
        <w:t xml:space="preserve">This has created </w:t>
      </w:r>
      <w:r w:rsidR="00B70063" w:rsidRPr="00B70063">
        <w:t>inconsistencies</w:t>
      </w:r>
      <w:r w:rsidR="004A4AA9">
        <w:t xml:space="preserve"> in the way in </w:t>
      </w:r>
      <w:r w:rsidR="00B70063" w:rsidRPr="00B70063">
        <w:t xml:space="preserve">which businesses report potential breaches or breaches to the AER. </w:t>
      </w:r>
      <w:r w:rsidR="00662441" w:rsidRPr="00B70063">
        <w:t xml:space="preserve">For example, </w:t>
      </w:r>
      <w:r w:rsidR="004A4AA9">
        <w:t xml:space="preserve">one business may </w:t>
      </w:r>
      <w:r w:rsidR="00662441" w:rsidRPr="00B70063">
        <w:t xml:space="preserve">report </w:t>
      </w:r>
      <w:r w:rsidR="004A4AA9">
        <w:t xml:space="preserve">under the NERR and another under the NERL; but the effect of the legal framework may be that the conduct is a breach of both provisions. </w:t>
      </w:r>
    </w:p>
    <w:p w:rsidR="00721AD3" w:rsidRDefault="00721AD3" w:rsidP="00B70063">
      <w:r>
        <w:t>With the exception of rule 57(1)(a), the proposed amendments do not change the existing obligation on retailers to report to the AE</w:t>
      </w:r>
      <w:r w:rsidR="0003022F">
        <w:t xml:space="preserve">R </w:t>
      </w:r>
      <w:r>
        <w:t>every six months</w:t>
      </w:r>
      <w:r w:rsidR="0003022F">
        <w:t xml:space="preserve"> on breaches</w:t>
      </w:r>
      <w:r>
        <w:t xml:space="preserve"> of energy marketing or explicit informed consent </w:t>
      </w:r>
      <w:r w:rsidR="0003022F">
        <w:t xml:space="preserve">provisions </w:t>
      </w:r>
      <w:r>
        <w:t>under the NERR or the NERL</w:t>
      </w:r>
      <w:r w:rsidR="0003022F">
        <w:t>. T</w:t>
      </w:r>
      <w:r>
        <w:t>he amendment</w:t>
      </w:r>
      <w:r w:rsidR="0003022F">
        <w:t>s</w:t>
      </w:r>
      <w:r>
        <w:t xml:space="preserve"> merely clarif</w:t>
      </w:r>
      <w:r w:rsidR="0003022F">
        <w:t>y</w:t>
      </w:r>
      <w:r>
        <w:t xml:space="preserve"> the links between the NERR and NERL to promote consistent reporting. </w:t>
      </w:r>
    </w:p>
    <w:p w:rsidR="008E0F29" w:rsidRDefault="008E0F29" w:rsidP="008E0F29">
      <w:r>
        <w:t xml:space="preserve">In relation to rule 57(1)(a), the provision relates to a retailer’s obligation to obtain explicit informed consent from a customer to enter into the relevant customer retail contract before submitting a request to transfer the customer. This provision is currently captured as a type 3 obligation in the reporting framework. As discussed above, we do not consider this reflects the nature of the provisions relating to explicit informed consent requirements and the amendment is necessary to ensure business understand their obligations and report under the appropriate provisions. </w:t>
      </w:r>
    </w:p>
    <w:p w:rsidR="000276B9" w:rsidRPr="000276B9" w:rsidRDefault="000276B9" w:rsidP="000276B9">
      <w:pPr>
        <w:rPr>
          <w:u w:val="single"/>
        </w:rPr>
      </w:pPr>
      <w:r>
        <w:rPr>
          <w:u w:val="single"/>
        </w:rPr>
        <w:t>Pro</w:t>
      </w:r>
      <w:r w:rsidR="00535C8E">
        <w:rPr>
          <w:u w:val="single"/>
        </w:rPr>
        <w:t>-</w:t>
      </w:r>
      <w:r>
        <w:rPr>
          <w:u w:val="single"/>
        </w:rPr>
        <w:t xml:space="preserve">forma </w:t>
      </w:r>
      <w:r w:rsidR="00535C8E">
        <w:rPr>
          <w:u w:val="single"/>
        </w:rPr>
        <w:t xml:space="preserve">reports </w:t>
      </w:r>
    </w:p>
    <w:p w:rsidR="00535C8E" w:rsidRDefault="00535C8E" w:rsidP="000276B9">
      <w:r>
        <w:t>Appendix B of the current Guidelines includes two pro-forma report templates: B.1 is the report to be used by regulated entities that have identified no breaches in the</w:t>
      </w:r>
      <w:r w:rsidR="00A06A5D">
        <w:t xml:space="preserve"> relevant</w:t>
      </w:r>
      <w:r>
        <w:t xml:space="preserve"> reporting period; and B.2 is the report to be used where breaches of any type 1/2/3 obligations have been identifie</w:t>
      </w:r>
      <w:r w:rsidRPr="00A06A5D">
        <w:t>d</w:t>
      </w:r>
      <w:r>
        <w:t xml:space="preserve">. </w:t>
      </w:r>
    </w:p>
    <w:p w:rsidR="000276B9" w:rsidRDefault="00535C8E" w:rsidP="000276B9">
      <w:r>
        <w:t>Since 20</w:t>
      </w:r>
      <w:r w:rsidR="00496A01">
        <w:t>14, w</w:t>
      </w:r>
      <w:r w:rsidR="00185AB2">
        <w:t xml:space="preserve">e have </w:t>
      </w:r>
      <w:r w:rsidR="00A06A5D">
        <w:t>observed</w:t>
      </w:r>
      <w:r w:rsidR="00185AB2">
        <w:t xml:space="preserve"> that businesses continue to submit the wrong pro-forma </w:t>
      </w:r>
      <w:r w:rsidR="00496A01">
        <w:t xml:space="preserve">report. </w:t>
      </w:r>
      <w:r w:rsidR="00A06A5D">
        <w:t xml:space="preserve">As such, we consider that </w:t>
      </w:r>
      <w:r w:rsidR="00087FA6">
        <w:t xml:space="preserve">one pro forma report will clarify the process. </w:t>
      </w:r>
      <w:r w:rsidR="00496A01">
        <w:t xml:space="preserve"> </w:t>
      </w:r>
      <w:r w:rsidR="00185AB2">
        <w:t xml:space="preserve"> </w:t>
      </w:r>
    </w:p>
    <w:p w:rsidR="00A06A5D" w:rsidRDefault="00A06A5D" w:rsidP="000276B9">
      <w:r>
        <w:t xml:space="preserve">We note that some businesses have requested that we change the requirement for compliance reports to be signed off by the CEO or managing director for each reporting period. This proposal was considered in our 2014 review of the Guidelines. We maintain the view that sign off of compliance reports at the highest level of the organisation demonstrates that the leadership of the regulated entity is committed to compliance and acknowledges that they are appropriately accountable for non-compliance.  </w:t>
      </w:r>
      <w:r w:rsidR="00795C15">
        <w:t xml:space="preserve">For this reason, we do not propose to make any amendments or consult on signatories to written reports. </w:t>
      </w:r>
    </w:p>
    <w:p w:rsidR="00A67324" w:rsidRPr="00A67324" w:rsidRDefault="00A67324" w:rsidP="007255D7">
      <w:pPr>
        <w:rPr>
          <w:u w:val="single"/>
        </w:rPr>
      </w:pPr>
      <w:r>
        <w:rPr>
          <w:u w:val="single"/>
        </w:rPr>
        <w:t xml:space="preserve">Reporting template </w:t>
      </w:r>
    </w:p>
    <w:p w:rsidR="00A67324" w:rsidRDefault="00767FF1" w:rsidP="00A67324">
      <w:r>
        <w:t>Minor changes have also been proposed to the reporting template.</w:t>
      </w:r>
      <w:r>
        <w:rPr>
          <w:rStyle w:val="FootnoteReference"/>
        </w:rPr>
        <w:footnoteReference w:id="31"/>
      </w:r>
      <w:r>
        <w:t xml:space="preserve"> </w:t>
      </w:r>
      <w:r w:rsidR="004E1E65">
        <w:t>T</w:t>
      </w:r>
      <w:r>
        <w:t xml:space="preserve">he amendments seek to remove redundant </w:t>
      </w:r>
      <w:r w:rsidR="004E5354">
        <w:t>fields</w:t>
      </w:r>
      <w:r w:rsidR="004E1E65">
        <w:t xml:space="preserve"> in the template. </w:t>
      </w:r>
    </w:p>
    <w:p w:rsidR="007C6693" w:rsidRPr="00A67324" w:rsidRDefault="007C6693" w:rsidP="00A67324"/>
    <w:p w:rsidR="007255D7" w:rsidRPr="00A117E4" w:rsidRDefault="007255D7" w:rsidP="007255D7">
      <w:pPr>
        <w:pBdr>
          <w:top w:val="single" w:sz="4" w:space="1" w:color="auto"/>
          <w:left w:val="single" w:sz="4" w:space="4" w:color="auto"/>
          <w:bottom w:val="single" w:sz="4" w:space="1" w:color="auto"/>
          <w:right w:val="single" w:sz="4" w:space="4" w:color="auto"/>
        </w:pBdr>
        <w:shd w:val="clear" w:color="auto" w:fill="FFB380" w:themeFill="accent2" w:themeFillTint="66"/>
        <w:rPr>
          <w:rStyle w:val="IntenseEmphasis"/>
        </w:rPr>
      </w:pPr>
      <w:r>
        <w:rPr>
          <w:rStyle w:val="IntenseEmphasis"/>
        </w:rPr>
        <w:lastRenderedPageBreak/>
        <w:t xml:space="preserve">Proposed amendments </w:t>
      </w:r>
    </w:p>
    <w:p w:rsidR="00016AC7" w:rsidRDefault="00947F0C" w:rsidP="00947F0C">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 xml:space="preserve">Improve the way in which Appendix A of the Guidelines captures the </w:t>
      </w:r>
      <w:r w:rsidR="00795C15">
        <w:t xml:space="preserve">relationship between the NERL and NERR. Specifically, </w:t>
      </w:r>
      <w:r>
        <w:t>in relation to provisions around</w:t>
      </w:r>
      <w:r w:rsidR="00EE5C06">
        <w:t xml:space="preserve"> explicit informed co</w:t>
      </w:r>
      <w:r>
        <w:t>nsent and energy marketing obligations</w:t>
      </w:r>
      <w:r w:rsidR="00EE5C06">
        <w:t xml:space="preserve">. </w:t>
      </w:r>
    </w:p>
    <w:p w:rsidR="00016AC7" w:rsidRDefault="00016AC7" w:rsidP="00386E08">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Introd</w:t>
      </w:r>
      <w:r w:rsidR="004E1E65">
        <w:t>uce a single pro-forma report template.</w:t>
      </w:r>
    </w:p>
    <w:p w:rsidR="004E1E65" w:rsidRDefault="004E1E65" w:rsidP="004E1E65">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 xml:space="preserve">Minor changes to the reporting template. </w:t>
      </w:r>
    </w:p>
    <w:p w:rsidR="00550807" w:rsidRDefault="00550807" w:rsidP="007255D7">
      <w:pPr>
        <w:spacing w:line="240" w:lineRule="auto"/>
        <w:rPr>
          <w:sz w:val="2"/>
        </w:rPr>
      </w:pPr>
    </w:p>
    <w:p w:rsidR="007255D7" w:rsidRPr="001170BD" w:rsidRDefault="007255D7" w:rsidP="007255D7">
      <w:pPr>
        <w:pBdr>
          <w:top w:val="single" w:sz="4" w:space="1" w:color="auto"/>
          <w:left w:val="single" w:sz="4" w:space="4" w:color="auto"/>
          <w:bottom w:val="single" w:sz="4" w:space="1" w:color="auto"/>
          <w:right w:val="single" w:sz="4" w:space="4" w:color="auto"/>
        </w:pBdr>
        <w:shd w:val="clear" w:color="auto" w:fill="D9D9D9" w:themeFill="background2" w:themeFillShade="D9"/>
        <w:rPr>
          <w:rStyle w:val="IntenseEmphasis"/>
        </w:rPr>
      </w:pPr>
      <w:r w:rsidRPr="001170BD">
        <w:rPr>
          <w:rStyle w:val="IntenseEmphasis"/>
        </w:rPr>
        <w:t>Consultation questions</w:t>
      </w:r>
    </w:p>
    <w:p w:rsidR="00DD258C" w:rsidRDefault="00E9434A" w:rsidP="00386E08">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5" w:hanging="425"/>
        <w:contextualSpacing/>
        <w:jc w:val="both"/>
        <w:rPr>
          <w:rFonts w:ascii="Arial" w:hAnsi="Arial" w:cs="Arial"/>
          <w:sz w:val="22"/>
          <w:szCs w:val="22"/>
        </w:rPr>
      </w:pPr>
      <w:r>
        <w:rPr>
          <w:rFonts w:ascii="Arial" w:hAnsi="Arial" w:cs="Arial"/>
          <w:sz w:val="22"/>
          <w:szCs w:val="22"/>
        </w:rPr>
        <w:t xml:space="preserve">Are there any </w:t>
      </w:r>
      <w:r w:rsidR="00765CC4">
        <w:rPr>
          <w:rFonts w:ascii="Arial" w:hAnsi="Arial" w:cs="Arial"/>
          <w:sz w:val="22"/>
          <w:szCs w:val="22"/>
        </w:rPr>
        <w:t xml:space="preserve">reasons we should not </w:t>
      </w:r>
      <w:r w:rsidR="0080461D">
        <w:rPr>
          <w:rFonts w:ascii="Arial" w:hAnsi="Arial" w:cs="Arial"/>
          <w:sz w:val="22"/>
          <w:szCs w:val="22"/>
        </w:rPr>
        <w:t>mov</w:t>
      </w:r>
      <w:r w:rsidR="00765CC4">
        <w:rPr>
          <w:rFonts w:ascii="Arial" w:hAnsi="Arial" w:cs="Arial"/>
          <w:sz w:val="22"/>
          <w:szCs w:val="22"/>
        </w:rPr>
        <w:t>e</w:t>
      </w:r>
      <w:r w:rsidR="0080461D">
        <w:rPr>
          <w:rFonts w:ascii="Arial" w:hAnsi="Arial" w:cs="Arial"/>
          <w:sz w:val="22"/>
          <w:szCs w:val="22"/>
        </w:rPr>
        <w:t xml:space="preserve"> from two </w:t>
      </w:r>
      <w:r w:rsidR="004E1E65">
        <w:rPr>
          <w:rFonts w:ascii="Arial" w:hAnsi="Arial" w:cs="Arial"/>
          <w:sz w:val="22"/>
          <w:szCs w:val="22"/>
        </w:rPr>
        <w:t xml:space="preserve">pro-forma report </w:t>
      </w:r>
      <w:r w:rsidR="0080461D">
        <w:rPr>
          <w:rFonts w:ascii="Arial" w:hAnsi="Arial" w:cs="Arial"/>
          <w:sz w:val="22"/>
          <w:szCs w:val="22"/>
        </w:rPr>
        <w:t>templates to a single template?</w:t>
      </w:r>
    </w:p>
    <w:p w:rsidR="00016AC7" w:rsidRPr="00C3603D" w:rsidRDefault="009232D8" w:rsidP="00386E08">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5" w:hanging="425"/>
        <w:contextualSpacing/>
        <w:jc w:val="both"/>
        <w:rPr>
          <w:rFonts w:ascii="Arial" w:hAnsi="Arial" w:cs="Arial"/>
          <w:sz w:val="22"/>
          <w:szCs w:val="22"/>
        </w:rPr>
      </w:pPr>
      <w:r>
        <w:rPr>
          <w:rFonts w:ascii="Arial" w:hAnsi="Arial" w:cs="Arial"/>
          <w:sz w:val="22"/>
          <w:szCs w:val="22"/>
        </w:rPr>
        <w:t xml:space="preserve">Are there any improvements that could be made to current </w:t>
      </w:r>
      <w:r w:rsidR="004E5354">
        <w:rPr>
          <w:rFonts w:ascii="Arial" w:hAnsi="Arial" w:cs="Arial"/>
          <w:sz w:val="22"/>
          <w:szCs w:val="22"/>
        </w:rPr>
        <w:t>reporting template</w:t>
      </w:r>
      <w:r w:rsidR="00CC1E8F">
        <w:rPr>
          <w:rFonts w:ascii="Arial" w:hAnsi="Arial" w:cs="Arial"/>
          <w:sz w:val="22"/>
          <w:szCs w:val="22"/>
        </w:rPr>
        <w:t xml:space="preserve">? </w:t>
      </w:r>
      <w:r w:rsidR="007C6693">
        <w:rPr>
          <w:rFonts w:ascii="Arial" w:hAnsi="Arial" w:cs="Arial"/>
          <w:sz w:val="22"/>
          <w:szCs w:val="22"/>
        </w:rPr>
        <w:t xml:space="preserve">What issues, </w:t>
      </w:r>
      <w:r>
        <w:rPr>
          <w:rFonts w:ascii="Arial" w:hAnsi="Arial" w:cs="Arial"/>
          <w:sz w:val="22"/>
          <w:szCs w:val="22"/>
        </w:rPr>
        <w:t>if any</w:t>
      </w:r>
      <w:r w:rsidR="007C6693">
        <w:rPr>
          <w:rFonts w:ascii="Arial" w:hAnsi="Arial" w:cs="Arial"/>
          <w:sz w:val="22"/>
          <w:szCs w:val="22"/>
        </w:rPr>
        <w:t>,</w:t>
      </w:r>
      <w:r>
        <w:rPr>
          <w:rFonts w:ascii="Arial" w:hAnsi="Arial" w:cs="Arial"/>
          <w:sz w:val="22"/>
          <w:szCs w:val="22"/>
        </w:rPr>
        <w:t xml:space="preserve"> have arisen </w:t>
      </w:r>
      <w:r w:rsidR="00CC1E8F">
        <w:rPr>
          <w:rFonts w:ascii="Arial" w:hAnsi="Arial" w:cs="Arial"/>
          <w:sz w:val="22"/>
          <w:szCs w:val="22"/>
        </w:rPr>
        <w:t xml:space="preserve">with </w:t>
      </w:r>
      <w:r>
        <w:rPr>
          <w:rFonts w:ascii="Arial" w:hAnsi="Arial" w:cs="Arial"/>
          <w:sz w:val="22"/>
          <w:szCs w:val="22"/>
        </w:rPr>
        <w:t xml:space="preserve">the current </w:t>
      </w:r>
      <w:r w:rsidR="00CC1E8F">
        <w:rPr>
          <w:rFonts w:ascii="Arial" w:hAnsi="Arial" w:cs="Arial"/>
          <w:sz w:val="22"/>
          <w:szCs w:val="22"/>
        </w:rPr>
        <w:t>reporting template?</w:t>
      </w:r>
    </w:p>
    <w:p w:rsidR="000A6C53" w:rsidRDefault="00D95788" w:rsidP="00525FA4">
      <w:pPr>
        <w:pStyle w:val="Heading1"/>
      </w:pPr>
      <w:bookmarkStart w:id="15" w:name="_Toc469301471"/>
      <w:r>
        <w:lastRenderedPageBreak/>
        <w:t>C</w:t>
      </w:r>
      <w:r w:rsidR="00B0740F">
        <w:t>ompliance audits</w:t>
      </w:r>
      <w:bookmarkEnd w:id="15"/>
      <w:r w:rsidR="00B0740F">
        <w:t xml:space="preserve"> </w:t>
      </w:r>
    </w:p>
    <w:p w:rsidR="00B577F3" w:rsidRDefault="00257219" w:rsidP="00B577F3">
      <w:r>
        <w:t xml:space="preserve">Under sections </w:t>
      </w:r>
      <w:r w:rsidR="00B577F3">
        <w:t xml:space="preserve">275 and 276 of the NERL the AER </w:t>
      </w:r>
      <w:r>
        <w:t xml:space="preserve">can </w:t>
      </w:r>
      <w:r w:rsidR="00B577F3">
        <w:t xml:space="preserve">carry out compliance </w:t>
      </w:r>
      <w:r w:rsidR="00F5338B">
        <w:t xml:space="preserve">audits of a </w:t>
      </w:r>
      <w:r>
        <w:t>business</w:t>
      </w:r>
      <w:r w:rsidR="00765CC4">
        <w:t>’</w:t>
      </w:r>
      <w:r w:rsidR="00F5338B">
        <w:t xml:space="preserve"> compliance with the </w:t>
      </w:r>
      <w:r w:rsidR="00B577F3">
        <w:t xml:space="preserve">NERL and NERR. </w:t>
      </w:r>
      <w:r w:rsidR="00D042EA">
        <w:t>The purpose</w:t>
      </w:r>
      <w:r w:rsidR="00B62866">
        <w:t xml:space="preserve"> of a compliance audit</w:t>
      </w:r>
      <w:r w:rsidR="00D042EA">
        <w:t xml:space="preserve"> is to provide an </w:t>
      </w:r>
      <w:r w:rsidR="00F81D87">
        <w:t xml:space="preserve">impartial and comprehensive </w:t>
      </w:r>
      <w:r w:rsidR="00D042EA">
        <w:t xml:space="preserve">assessment </w:t>
      </w:r>
      <w:r w:rsidR="00EE500C">
        <w:t xml:space="preserve">of a business’s compliance </w:t>
      </w:r>
      <w:r w:rsidR="00D042EA">
        <w:t>with its obligations under the NER</w:t>
      </w:r>
      <w:r w:rsidR="00384018">
        <w:t>R</w:t>
      </w:r>
      <w:r w:rsidR="00D042EA">
        <w:t xml:space="preserve"> and NERL.</w:t>
      </w:r>
    </w:p>
    <w:p w:rsidR="0047147D" w:rsidRDefault="0047147D" w:rsidP="00480CEA">
      <w:r>
        <w:t xml:space="preserve">The NERL </w:t>
      </w:r>
      <w:r w:rsidR="008A0D3A">
        <w:t xml:space="preserve">also </w:t>
      </w:r>
      <w:r w:rsidR="000A64C0">
        <w:t>provides</w:t>
      </w:r>
      <w:r>
        <w:t xml:space="preserve"> that compliance audits </w:t>
      </w:r>
      <w:r w:rsidR="00F81D87">
        <w:t xml:space="preserve">must </w:t>
      </w:r>
      <w:r>
        <w:t>be conducted</w:t>
      </w:r>
      <w:r w:rsidR="0031281D">
        <w:t xml:space="preserve"> in accordance with the</w:t>
      </w:r>
      <w:r>
        <w:t xml:space="preserve"> Guidelines.</w:t>
      </w:r>
      <w:r>
        <w:rPr>
          <w:rStyle w:val="FootnoteReference"/>
        </w:rPr>
        <w:footnoteReference w:id="32"/>
      </w:r>
      <w:r>
        <w:t xml:space="preserve"> </w:t>
      </w:r>
    </w:p>
    <w:p w:rsidR="005417F4" w:rsidRDefault="005417F4" w:rsidP="005417F4">
      <w:r>
        <w:t xml:space="preserve">Unlike amendments to the reporting framework which may require businesses to make changes to its compliance systems, amendments </w:t>
      </w:r>
      <w:r w:rsidR="00EE500C">
        <w:t>i</w:t>
      </w:r>
      <w:r>
        <w:t xml:space="preserve">n the Compliance Audits section will be effective from the date of the publication of the new Guidelines. </w:t>
      </w:r>
    </w:p>
    <w:p w:rsidR="004949DD" w:rsidRDefault="00F81D87" w:rsidP="004949DD">
      <w:pPr>
        <w:pStyle w:val="Heading2"/>
      </w:pPr>
      <w:bookmarkStart w:id="16" w:name="_Toc469301472"/>
      <w:r>
        <w:t>A</w:t>
      </w:r>
      <w:r w:rsidR="00173ED2">
        <w:t>pproach to compliance audits</w:t>
      </w:r>
      <w:bookmarkEnd w:id="16"/>
      <w:r w:rsidR="00173ED2">
        <w:t xml:space="preserve"> </w:t>
      </w:r>
    </w:p>
    <w:p w:rsidR="00FA7A6C" w:rsidRDefault="00FA7A6C" w:rsidP="004949DD">
      <w:r>
        <w:t>O</w:t>
      </w:r>
      <w:r w:rsidR="00550807">
        <w:t>ur experience with t</w:t>
      </w:r>
      <w:r w:rsidR="004949DD">
        <w:t xml:space="preserve">he reporting framework </w:t>
      </w:r>
      <w:r>
        <w:t>has</w:t>
      </w:r>
      <w:r w:rsidR="00550807">
        <w:t xml:space="preserve"> highlighted the importance of good compliance systems in detecting breaches</w:t>
      </w:r>
      <w:r w:rsidR="00375865">
        <w:t>. T</w:t>
      </w:r>
      <w:r>
        <w:t xml:space="preserve">o complement the reporting framework, the use of compliance audits can provide a good understanding of the quality of these systems. </w:t>
      </w:r>
    </w:p>
    <w:p w:rsidR="008F4BC2" w:rsidRDefault="00FA7A6C" w:rsidP="004949DD">
      <w:r>
        <w:t>We consider c</w:t>
      </w:r>
      <w:r w:rsidR="00053CCE">
        <w:t xml:space="preserve">ompliance audits </w:t>
      </w:r>
      <w:r w:rsidR="00B62866">
        <w:t xml:space="preserve">are </w:t>
      </w:r>
      <w:r w:rsidR="00053CCE">
        <w:t xml:space="preserve">a </w:t>
      </w:r>
      <w:r w:rsidR="00B62866">
        <w:t xml:space="preserve">valuable </w:t>
      </w:r>
      <w:r w:rsidR="00053CCE">
        <w:t>tool to inform the AER of the effectiveness of a business’ existing systems to monitor, identify and report on any potential breaches.</w:t>
      </w:r>
      <w:r w:rsidR="00053CCE" w:rsidRPr="00053CCE">
        <w:t xml:space="preserve"> </w:t>
      </w:r>
      <w:r w:rsidR="00053CCE">
        <w:t>Additionally, compliance audits also allow any deficiencies to be identified and fixed, improving the overall compliance system.</w:t>
      </w:r>
    </w:p>
    <w:p w:rsidR="00383C56" w:rsidRDefault="00383C56" w:rsidP="004949DD">
      <w:r>
        <w:t xml:space="preserve">We consider that the use of the AER’s compliance audit powers may also be considered as part of the AER’s </w:t>
      </w:r>
      <w:r w:rsidR="00BA6284">
        <w:t xml:space="preserve">broader </w:t>
      </w:r>
      <w:r>
        <w:t>range of enforcement and compliance tools. In determining whether a compliance audit is the best approach, we may have regard to a range of factors, including the regulated entity’s willingness to co-operate and provide voluntary information, as well as the effectiveness of the voluntary information to address our compliance concerns.</w:t>
      </w:r>
    </w:p>
    <w:p w:rsidR="00053CCE" w:rsidRDefault="00460E5E" w:rsidP="004949DD">
      <w:r>
        <w:t>Consistent with the current Guidelines, we will determine the use of the AER’s compliance audit powers on a case by case basis r</w:t>
      </w:r>
      <w:r w:rsidR="00053CCE">
        <w:t xml:space="preserve">ather than </w:t>
      </w:r>
      <w:r w:rsidR="00FA7A6C">
        <w:t>initiating</w:t>
      </w:r>
      <w:r w:rsidR="00136DEA">
        <w:t xml:space="preserve"> a</w:t>
      </w:r>
      <w:r w:rsidR="00053CCE">
        <w:t xml:space="preserve"> program of ongoing audits</w:t>
      </w:r>
      <w:r>
        <w:t>. We</w:t>
      </w:r>
      <w:r w:rsidR="00053CCE">
        <w:t xml:space="preserve"> consider that a targeted risk based program would comple</w:t>
      </w:r>
      <w:r w:rsidR="00136DEA">
        <w:t>ment the reporting framework</w:t>
      </w:r>
      <w:r>
        <w:t>; t</w:t>
      </w:r>
      <w:r w:rsidR="00136DEA">
        <w:t xml:space="preserve">his means that the AER will consider using its compliance audit powers on targeted and identified areas of risk. </w:t>
      </w:r>
    </w:p>
    <w:p w:rsidR="00136DEA" w:rsidRDefault="00136DEA" w:rsidP="00E61F0B">
      <w:r>
        <w:t xml:space="preserve">In developing this approach, we also considered </w:t>
      </w:r>
      <w:r w:rsidR="00E61F0B">
        <w:t>that a compliance audit should be conducted with a level of professional scepticism</w:t>
      </w:r>
      <w:r w:rsidR="00460E5E">
        <w:t xml:space="preserve"> and auditing expertise</w:t>
      </w:r>
      <w:r w:rsidR="00E61F0B">
        <w:t xml:space="preserve">, and in certain circumstances </w:t>
      </w:r>
      <w:r w:rsidR="00F81D87">
        <w:t xml:space="preserve">is best </w:t>
      </w:r>
      <w:r w:rsidR="00E61F0B">
        <w:t xml:space="preserve">carried out by third parties to ensure an impartial </w:t>
      </w:r>
      <w:r w:rsidR="00F81D87">
        <w:t xml:space="preserve">and effective </w:t>
      </w:r>
      <w:r w:rsidR="00E61F0B">
        <w:t xml:space="preserve">assessment can be made. </w:t>
      </w:r>
    </w:p>
    <w:p w:rsidR="001E3098" w:rsidRPr="001E3098" w:rsidRDefault="00E61F0B" w:rsidP="00BC676A">
      <w:r>
        <w:t>On this basis, we have made proposed amendments to the material on compliance audits in the Guidelines. To further explain our ap</w:t>
      </w:r>
      <w:r w:rsidR="00550807">
        <w:t xml:space="preserve">proach, we have also released for comment </w:t>
      </w:r>
      <w:r w:rsidR="001E3098">
        <w:t>the</w:t>
      </w:r>
      <w:r w:rsidR="00550807" w:rsidRPr="00550807">
        <w:rPr>
          <w:i/>
        </w:rPr>
        <w:t xml:space="preserve"> AER</w:t>
      </w:r>
      <w:r w:rsidR="00BC676A">
        <w:rPr>
          <w:i/>
        </w:rPr>
        <w:t>’s</w:t>
      </w:r>
      <w:r w:rsidR="00550807" w:rsidRPr="00550807">
        <w:rPr>
          <w:i/>
        </w:rPr>
        <w:t xml:space="preserve"> Practice Guide for Compliance Audits</w:t>
      </w:r>
      <w:r w:rsidR="00383C56" w:rsidRPr="00550807">
        <w:rPr>
          <w:i/>
        </w:rPr>
        <w:t xml:space="preserve">. </w:t>
      </w:r>
      <w:r w:rsidR="001E3098">
        <w:t>The practice guide details the factors the AER will consider in making its decision to use its compliance audit powers</w:t>
      </w:r>
      <w:r w:rsidR="00BC676A">
        <w:t xml:space="preserve">, </w:t>
      </w:r>
      <w:r w:rsidR="001E3098">
        <w:t>the standard of compliance audit reports</w:t>
      </w:r>
      <w:r w:rsidR="00F81D87">
        <w:t>,</w:t>
      </w:r>
      <w:r w:rsidR="001E3098">
        <w:t xml:space="preserve"> as well as the AER’s processes post audit findings.</w:t>
      </w:r>
    </w:p>
    <w:p w:rsidR="004C47B1" w:rsidRDefault="004C47B1" w:rsidP="00460E5E">
      <w:r>
        <w:t xml:space="preserve">In drafting the </w:t>
      </w:r>
      <w:r w:rsidR="00460E5E">
        <w:t>new guidance material</w:t>
      </w:r>
      <w:r>
        <w:t xml:space="preserve">, we considered the approaches adopted by the Essential </w:t>
      </w:r>
      <w:r w:rsidR="00460E5E">
        <w:t>Services Commission of Victoria</w:t>
      </w:r>
      <w:r>
        <w:t xml:space="preserve"> and the Independent Prici</w:t>
      </w:r>
      <w:r w:rsidR="00460E5E">
        <w:t xml:space="preserve">ng Regulatory Tribunal. </w:t>
      </w:r>
    </w:p>
    <w:p w:rsidR="005C5FB9" w:rsidRDefault="005C5FB9" w:rsidP="00460E5E"/>
    <w:p w:rsidR="007255D7" w:rsidRPr="00A117E4" w:rsidRDefault="007255D7" w:rsidP="007255D7">
      <w:pPr>
        <w:pBdr>
          <w:top w:val="single" w:sz="4" w:space="1" w:color="auto"/>
          <w:left w:val="single" w:sz="4" w:space="4" w:color="auto"/>
          <w:bottom w:val="single" w:sz="4" w:space="1" w:color="auto"/>
          <w:right w:val="single" w:sz="4" w:space="4" w:color="auto"/>
        </w:pBdr>
        <w:shd w:val="clear" w:color="auto" w:fill="FFB380" w:themeFill="accent2" w:themeFillTint="66"/>
        <w:rPr>
          <w:rStyle w:val="IntenseEmphasis"/>
        </w:rPr>
      </w:pPr>
      <w:r>
        <w:rPr>
          <w:rStyle w:val="IntenseEmphasis"/>
        </w:rPr>
        <w:t xml:space="preserve">Proposed amendments </w:t>
      </w:r>
    </w:p>
    <w:p w:rsidR="00CF1981" w:rsidRDefault="00F81D87" w:rsidP="00396FF9">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 xml:space="preserve">Amend guidance on the AER’s approach to using its compliance audit powers under the </w:t>
      </w:r>
      <w:r w:rsidR="004A28B8">
        <w:t>NERL</w:t>
      </w:r>
      <w:r>
        <w:t xml:space="preserve">. </w:t>
      </w:r>
    </w:p>
    <w:p w:rsidR="00346B72" w:rsidRDefault="00346B72" w:rsidP="00396FF9">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B380" w:themeFill="accent2" w:themeFillTint="66"/>
        <w:spacing w:line="360" w:lineRule="auto"/>
        <w:ind w:left="426" w:hanging="426"/>
      </w:pPr>
      <w:r>
        <w:t xml:space="preserve">Introduce the </w:t>
      </w:r>
      <w:r>
        <w:rPr>
          <w:i/>
        </w:rPr>
        <w:t>AER’s Practice Guide for Compliance Audits.</w:t>
      </w:r>
    </w:p>
    <w:p w:rsidR="007255D7" w:rsidRDefault="007255D7" w:rsidP="007255D7">
      <w:pPr>
        <w:spacing w:line="240" w:lineRule="auto"/>
        <w:rPr>
          <w:sz w:val="2"/>
        </w:rPr>
      </w:pPr>
    </w:p>
    <w:p w:rsidR="007255D7" w:rsidRPr="001170BD" w:rsidRDefault="007255D7" w:rsidP="007255D7">
      <w:pPr>
        <w:pBdr>
          <w:top w:val="single" w:sz="4" w:space="1" w:color="auto"/>
          <w:left w:val="single" w:sz="4" w:space="4" w:color="auto"/>
          <w:bottom w:val="single" w:sz="4" w:space="1" w:color="auto"/>
          <w:right w:val="single" w:sz="4" w:space="4" w:color="auto"/>
        </w:pBdr>
        <w:shd w:val="clear" w:color="auto" w:fill="D9D9D9" w:themeFill="background2" w:themeFillShade="D9"/>
        <w:rPr>
          <w:rStyle w:val="IntenseEmphasis"/>
        </w:rPr>
      </w:pPr>
      <w:r w:rsidRPr="001170BD">
        <w:rPr>
          <w:rStyle w:val="IntenseEmphasis"/>
        </w:rPr>
        <w:t>Consultation questions</w:t>
      </w:r>
    </w:p>
    <w:p w:rsidR="00550807" w:rsidRPr="00550807" w:rsidRDefault="00210232" w:rsidP="00550807">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5" w:hanging="425"/>
        <w:contextualSpacing/>
        <w:jc w:val="both"/>
        <w:rPr>
          <w:rFonts w:ascii="Arial" w:hAnsi="Arial" w:cs="Arial"/>
          <w:sz w:val="22"/>
          <w:szCs w:val="22"/>
        </w:rPr>
      </w:pPr>
      <w:r>
        <w:rPr>
          <w:rFonts w:ascii="Arial" w:hAnsi="Arial" w:cs="Arial"/>
          <w:sz w:val="22"/>
          <w:szCs w:val="22"/>
        </w:rPr>
        <w:t xml:space="preserve">Do you have any comments on the AER’s </w:t>
      </w:r>
      <w:r w:rsidR="00460E5E">
        <w:rPr>
          <w:rFonts w:ascii="Arial" w:hAnsi="Arial" w:cs="Arial"/>
          <w:sz w:val="22"/>
          <w:szCs w:val="22"/>
        </w:rPr>
        <w:t xml:space="preserve">proposed </w:t>
      </w:r>
      <w:r>
        <w:rPr>
          <w:rFonts w:ascii="Arial" w:hAnsi="Arial" w:cs="Arial"/>
          <w:sz w:val="22"/>
          <w:szCs w:val="22"/>
        </w:rPr>
        <w:t>approach to complia</w:t>
      </w:r>
      <w:r w:rsidR="00BC676A">
        <w:rPr>
          <w:rFonts w:ascii="Arial" w:hAnsi="Arial" w:cs="Arial"/>
          <w:sz w:val="22"/>
          <w:szCs w:val="22"/>
        </w:rPr>
        <w:t>nce audit powers under the NERL?</w:t>
      </w:r>
    </w:p>
    <w:p w:rsidR="00550807" w:rsidRPr="00550807" w:rsidRDefault="00550807" w:rsidP="00550807">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5" w:hanging="425"/>
        <w:contextualSpacing/>
        <w:jc w:val="both"/>
      </w:pPr>
      <w:r>
        <w:rPr>
          <w:rFonts w:ascii="Arial" w:hAnsi="Arial" w:cs="Arial"/>
          <w:sz w:val="22"/>
          <w:szCs w:val="22"/>
        </w:rPr>
        <w:t xml:space="preserve">Do you have any comments on the </w:t>
      </w:r>
      <w:r w:rsidRPr="00550807">
        <w:rPr>
          <w:rFonts w:ascii="Arial" w:hAnsi="Arial" w:cs="Arial"/>
          <w:i/>
          <w:sz w:val="22"/>
          <w:szCs w:val="22"/>
        </w:rPr>
        <w:t>AER’s Practice Guide for Compliance Audits</w:t>
      </w:r>
      <w:r w:rsidR="00BC676A">
        <w:rPr>
          <w:rFonts w:ascii="Arial" w:hAnsi="Arial" w:cs="Arial"/>
          <w:i/>
          <w:sz w:val="22"/>
          <w:szCs w:val="22"/>
        </w:rPr>
        <w:t>?</w:t>
      </w:r>
    </w:p>
    <w:p w:rsidR="006A39A5" w:rsidRPr="005C5FB9" w:rsidRDefault="00BC676A" w:rsidP="005C5FB9">
      <w:pPr>
        <w:pStyle w:val="AERbulletlistfirststyle"/>
        <w:numPr>
          <w:ilvl w:val="0"/>
          <w:numId w:val="20"/>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20" w:after="120" w:line="360" w:lineRule="auto"/>
        <w:ind w:left="425" w:hanging="425"/>
        <w:contextualSpacing/>
        <w:jc w:val="both"/>
        <w:rPr>
          <w:rFonts w:ascii="Arial" w:hAnsi="Arial" w:cs="Arial"/>
          <w:sz w:val="22"/>
          <w:szCs w:val="22"/>
        </w:rPr>
      </w:pPr>
      <w:r>
        <w:rPr>
          <w:rFonts w:ascii="Arial" w:hAnsi="Arial" w:cs="Arial"/>
          <w:sz w:val="22"/>
          <w:szCs w:val="22"/>
        </w:rPr>
        <w:t>Do you have any comments on the audit process and the</w:t>
      </w:r>
      <w:r w:rsidR="005C5FB9">
        <w:rPr>
          <w:rFonts w:ascii="Arial" w:hAnsi="Arial" w:cs="Arial"/>
          <w:sz w:val="22"/>
          <w:szCs w:val="22"/>
        </w:rPr>
        <w:t xml:space="preserve"> </w:t>
      </w:r>
      <w:r w:rsidR="00F81D87">
        <w:rPr>
          <w:rFonts w:ascii="Arial" w:hAnsi="Arial" w:cs="Arial"/>
          <w:sz w:val="22"/>
          <w:szCs w:val="22"/>
        </w:rPr>
        <w:t xml:space="preserve">factors </w:t>
      </w:r>
      <w:r w:rsidR="005C5FB9">
        <w:rPr>
          <w:rFonts w:ascii="Arial" w:hAnsi="Arial" w:cs="Arial"/>
          <w:sz w:val="22"/>
          <w:szCs w:val="22"/>
        </w:rPr>
        <w:t>the AER will apply when making a determination to use its compliance audit powers?</w:t>
      </w:r>
    </w:p>
    <w:p w:rsidR="007255D7" w:rsidRDefault="007255D7" w:rsidP="007255D7"/>
    <w:p w:rsidR="005D2291" w:rsidRDefault="005D2291" w:rsidP="005D2291"/>
    <w:p w:rsidR="007C6693" w:rsidRDefault="007C6693">
      <w:r>
        <w:br w:type="page"/>
      </w:r>
    </w:p>
    <w:p w:rsidR="007C6693" w:rsidRDefault="007C6693" w:rsidP="007C6693">
      <w:pPr>
        <w:pStyle w:val="Heading1"/>
        <w:numPr>
          <w:ilvl w:val="0"/>
          <w:numId w:val="0"/>
        </w:numPr>
        <w:ind w:left="432" w:hanging="432"/>
      </w:pPr>
      <w:bookmarkStart w:id="17" w:name="_Toc469301473"/>
      <w:r>
        <w:lastRenderedPageBreak/>
        <w:t>Appendix One – Consultation Questions</w:t>
      </w:r>
      <w:bookmarkEnd w:id="17"/>
      <w:r>
        <w:t xml:space="preserve"> </w:t>
      </w:r>
    </w:p>
    <w:p w:rsidR="002B440C"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 xml:space="preserve">Are there any concerns with implementing the proposed amendments to the reporting framework by 1 July 2017? </w:t>
      </w:r>
    </w:p>
    <w:p w:rsidR="002B440C" w:rsidRPr="00081D40"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 xml:space="preserve">Are there any issues arising out of the Billing frequency rule change that may require changes to the current classification/frequency of reporting in relation to rule 29(1)? </w:t>
      </w:r>
    </w:p>
    <w:p w:rsidR="002B440C"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sidRPr="004F1742">
        <w:rPr>
          <w:rFonts w:ascii="Arial" w:hAnsi="Arial" w:cs="Arial"/>
          <w:sz w:val="22"/>
          <w:szCs w:val="22"/>
        </w:rPr>
        <w:t xml:space="preserve">Are there any </w:t>
      </w:r>
      <w:r>
        <w:rPr>
          <w:rFonts w:ascii="Arial" w:hAnsi="Arial" w:cs="Arial"/>
          <w:sz w:val="22"/>
          <w:szCs w:val="22"/>
        </w:rPr>
        <w:t>risks</w:t>
      </w:r>
      <w:r w:rsidRPr="004F1742">
        <w:rPr>
          <w:rFonts w:ascii="Arial" w:hAnsi="Arial" w:cs="Arial"/>
          <w:sz w:val="22"/>
          <w:szCs w:val="22"/>
        </w:rPr>
        <w:t xml:space="preserve"> with making the reportable obligations for retailer planned interruption rules the same as distributor planned interruption rules in the Guidelines</w:t>
      </w:r>
      <w:r>
        <w:rPr>
          <w:rFonts w:ascii="Arial" w:hAnsi="Arial" w:cs="Arial"/>
          <w:sz w:val="22"/>
          <w:szCs w:val="22"/>
        </w:rPr>
        <w:t>?</w:t>
      </w:r>
    </w:p>
    <w:p w:rsidR="002B440C" w:rsidRPr="00CC5419"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sidRPr="00CC5419">
        <w:rPr>
          <w:rFonts w:ascii="Arial" w:hAnsi="Arial" w:cs="Arial"/>
          <w:sz w:val="22"/>
          <w:szCs w:val="22"/>
        </w:rPr>
        <w:t xml:space="preserve">Should the new retailer notice obligations (specifically rules 59A) be made reportable under the reporting framework? If so, </w:t>
      </w:r>
      <w:r>
        <w:rPr>
          <w:rFonts w:ascii="Arial" w:hAnsi="Arial" w:cs="Arial"/>
          <w:sz w:val="22"/>
          <w:szCs w:val="22"/>
        </w:rPr>
        <w:t xml:space="preserve">is the </w:t>
      </w:r>
      <w:r w:rsidRPr="00CC5419">
        <w:rPr>
          <w:rFonts w:ascii="Arial" w:hAnsi="Arial" w:cs="Arial"/>
          <w:sz w:val="22"/>
          <w:szCs w:val="22"/>
        </w:rPr>
        <w:t xml:space="preserve">obligation to report on a six month basis appropriate? </w:t>
      </w:r>
    </w:p>
    <w:p w:rsidR="002B440C"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Are there any other rules arising from the Metering rule change that should be reportable under the Guidelines?</w:t>
      </w:r>
    </w:p>
    <w:p w:rsidR="002B440C"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Are there any matters arising from the Energy consumption rule change that may require a reconsideration of the classification/frequency of reporting in relation to rule 28(2)?</w:t>
      </w:r>
    </w:p>
    <w:p w:rsidR="002B440C" w:rsidRPr="00081D40"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What issues may require amending the reporting framework to capture the rules introduced in the Energy consumption rule change?</w:t>
      </w:r>
    </w:p>
    <w:p w:rsidR="002B440C" w:rsidRPr="00457457"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What, if any, are the implications of the AER removing the obligation on regulated businesses to report on rules 55-56B, 58-59 of the NERR?</w:t>
      </w:r>
    </w:p>
    <w:p w:rsidR="002B440C"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 xml:space="preserve">Are there any concerns with the proposed classification/frequency of reporting in relation to rules 116(1), 120(1) and </w:t>
      </w:r>
      <w:proofErr w:type="gramStart"/>
      <w:r>
        <w:rPr>
          <w:rFonts w:ascii="Arial" w:hAnsi="Arial" w:cs="Arial"/>
          <w:sz w:val="22"/>
          <w:szCs w:val="22"/>
        </w:rPr>
        <w:t>124A(</w:t>
      </w:r>
      <w:proofErr w:type="gramEnd"/>
      <w:r>
        <w:rPr>
          <w:rFonts w:ascii="Arial" w:hAnsi="Arial" w:cs="Arial"/>
          <w:sz w:val="22"/>
          <w:szCs w:val="22"/>
        </w:rPr>
        <w:t>1) of the NERR?</w:t>
      </w:r>
    </w:p>
    <w:p w:rsidR="002B440C" w:rsidRPr="00ED10E8"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Are there any issues with the</w:t>
      </w:r>
      <w:r w:rsidRPr="00ED10E8">
        <w:rPr>
          <w:rFonts w:ascii="Arial" w:hAnsi="Arial" w:cs="Arial"/>
          <w:sz w:val="22"/>
          <w:szCs w:val="22"/>
        </w:rPr>
        <w:t xml:space="preserve"> proposed classification/frequency of reporting in relation to the rules under Part 4, Division 6 and rules </w:t>
      </w:r>
      <w:proofErr w:type="gramStart"/>
      <w:r w:rsidRPr="00ED10E8">
        <w:rPr>
          <w:rFonts w:ascii="Arial" w:hAnsi="Arial" w:cs="Arial"/>
          <w:sz w:val="22"/>
          <w:szCs w:val="22"/>
        </w:rPr>
        <w:t>59C(</w:t>
      </w:r>
      <w:proofErr w:type="gramEnd"/>
      <w:r w:rsidRPr="00ED10E8">
        <w:rPr>
          <w:rFonts w:ascii="Arial" w:hAnsi="Arial" w:cs="Arial"/>
          <w:sz w:val="22"/>
          <w:szCs w:val="22"/>
        </w:rPr>
        <w:t>2)-(5) of the NERR?</w:t>
      </w:r>
    </w:p>
    <w:p w:rsidR="002B440C"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sidRPr="00947F0C">
        <w:rPr>
          <w:rFonts w:ascii="Arial" w:hAnsi="Arial" w:cs="Arial"/>
          <w:sz w:val="22"/>
          <w:szCs w:val="22"/>
        </w:rPr>
        <w:t xml:space="preserve">Are there any </w:t>
      </w:r>
      <w:r>
        <w:rPr>
          <w:rFonts w:ascii="Arial" w:hAnsi="Arial" w:cs="Arial"/>
          <w:sz w:val="22"/>
          <w:szCs w:val="22"/>
        </w:rPr>
        <w:t>issues</w:t>
      </w:r>
      <w:r w:rsidRPr="00947F0C">
        <w:rPr>
          <w:rFonts w:ascii="Arial" w:hAnsi="Arial" w:cs="Arial"/>
          <w:sz w:val="22"/>
          <w:szCs w:val="22"/>
        </w:rPr>
        <w:t xml:space="preserve"> with the </w:t>
      </w:r>
      <w:r>
        <w:rPr>
          <w:rFonts w:ascii="Arial" w:hAnsi="Arial" w:cs="Arial"/>
          <w:sz w:val="22"/>
          <w:szCs w:val="22"/>
        </w:rPr>
        <w:t>removal of the</w:t>
      </w:r>
      <w:r w:rsidRPr="00947F0C">
        <w:rPr>
          <w:rFonts w:ascii="Arial" w:hAnsi="Arial" w:cs="Arial"/>
          <w:sz w:val="22"/>
          <w:szCs w:val="22"/>
        </w:rPr>
        <w:t xml:space="preserve"> obligation on businesses to report on provisions </w:t>
      </w:r>
      <w:r w:rsidRPr="005A027D">
        <w:rPr>
          <w:rFonts w:ascii="Arial" w:hAnsi="Arial" w:cs="Arial"/>
          <w:sz w:val="22"/>
          <w:szCs w:val="22"/>
        </w:rPr>
        <w:t>under Part 2, Division 6 of the NERL?</w:t>
      </w:r>
    </w:p>
    <w:p w:rsidR="002B440C"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sidRPr="00947F0C">
        <w:rPr>
          <w:rFonts w:ascii="Arial" w:hAnsi="Arial" w:cs="Arial"/>
          <w:sz w:val="22"/>
          <w:szCs w:val="22"/>
        </w:rPr>
        <w:t xml:space="preserve">Are there any </w:t>
      </w:r>
      <w:r>
        <w:rPr>
          <w:rFonts w:ascii="Arial" w:hAnsi="Arial" w:cs="Arial"/>
          <w:sz w:val="22"/>
          <w:szCs w:val="22"/>
        </w:rPr>
        <w:t>issues</w:t>
      </w:r>
      <w:r w:rsidRPr="00947F0C">
        <w:rPr>
          <w:rFonts w:ascii="Arial" w:hAnsi="Arial" w:cs="Arial"/>
          <w:sz w:val="22"/>
          <w:szCs w:val="22"/>
        </w:rPr>
        <w:t xml:space="preserve"> with </w:t>
      </w:r>
      <w:r>
        <w:rPr>
          <w:rFonts w:ascii="Arial" w:hAnsi="Arial" w:cs="Arial"/>
          <w:sz w:val="22"/>
          <w:szCs w:val="22"/>
        </w:rPr>
        <w:t xml:space="preserve">the removal of </w:t>
      </w:r>
      <w:r w:rsidRPr="00947F0C">
        <w:rPr>
          <w:rFonts w:ascii="Arial" w:hAnsi="Arial" w:cs="Arial"/>
          <w:sz w:val="22"/>
          <w:szCs w:val="22"/>
        </w:rPr>
        <w:t xml:space="preserve">the obligation on businesses to report on </w:t>
      </w:r>
      <w:r>
        <w:rPr>
          <w:rFonts w:ascii="Arial" w:hAnsi="Arial" w:cs="Arial"/>
          <w:sz w:val="22"/>
          <w:szCs w:val="22"/>
        </w:rPr>
        <w:t>rules</w:t>
      </w:r>
      <w:r w:rsidRPr="00947F0C">
        <w:rPr>
          <w:rFonts w:ascii="Arial" w:hAnsi="Arial" w:cs="Arial"/>
          <w:sz w:val="22"/>
          <w:szCs w:val="22"/>
        </w:rPr>
        <w:t xml:space="preserve"> </w:t>
      </w:r>
      <w:r w:rsidRPr="005A027D">
        <w:rPr>
          <w:rFonts w:ascii="Arial" w:hAnsi="Arial" w:cs="Arial"/>
          <w:sz w:val="22"/>
          <w:szCs w:val="22"/>
        </w:rPr>
        <w:t xml:space="preserve">under Part 2, Division </w:t>
      </w:r>
      <w:r>
        <w:rPr>
          <w:rFonts w:ascii="Arial" w:hAnsi="Arial" w:cs="Arial"/>
          <w:sz w:val="22"/>
          <w:szCs w:val="22"/>
        </w:rPr>
        <w:t>5 of the NERR</w:t>
      </w:r>
      <w:r w:rsidRPr="005A027D">
        <w:rPr>
          <w:rFonts w:ascii="Arial" w:hAnsi="Arial" w:cs="Arial"/>
          <w:sz w:val="22"/>
          <w:szCs w:val="22"/>
        </w:rPr>
        <w:t>?</w:t>
      </w:r>
    </w:p>
    <w:p w:rsidR="002B440C"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Are there any reasons we should not move from two pro-forma report templates to a single template?</w:t>
      </w:r>
    </w:p>
    <w:p w:rsidR="002B440C"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Are there any improvements that could be made to current reporting template? What issues, if any, have arisen with the current reporting template?</w:t>
      </w:r>
    </w:p>
    <w:p w:rsidR="002B440C" w:rsidRPr="00550807"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Do you have any comments on the AER’s proposed approach to compliance audit powers under the NERL?</w:t>
      </w:r>
    </w:p>
    <w:p w:rsidR="002B440C" w:rsidRPr="002B440C"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lastRenderedPageBreak/>
        <w:t xml:space="preserve">Do you have any comments on the </w:t>
      </w:r>
      <w:r w:rsidRPr="002B440C">
        <w:rPr>
          <w:rFonts w:ascii="Arial" w:hAnsi="Arial" w:cs="Arial"/>
          <w:sz w:val="22"/>
          <w:szCs w:val="22"/>
        </w:rPr>
        <w:t>AER’s Practice Guide for Compliance Audits?</w:t>
      </w:r>
    </w:p>
    <w:p w:rsidR="007C6693" w:rsidRPr="002B440C" w:rsidRDefault="002B440C" w:rsidP="002B440C">
      <w:pPr>
        <w:pStyle w:val="AERbulletlistfirststyle"/>
        <w:numPr>
          <w:ilvl w:val="0"/>
          <w:numId w:val="29"/>
        </w:numPr>
        <w:pBdr>
          <w:top w:val="single" w:sz="4" w:space="1" w:color="auto"/>
          <w:left w:val="single" w:sz="4" w:space="4" w:color="auto"/>
          <w:bottom w:val="single" w:sz="4" w:space="1" w:color="auto"/>
          <w:right w:val="single" w:sz="4" w:space="4" w:color="auto"/>
        </w:pBdr>
        <w:shd w:val="clear" w:color="auto" w:fill="D9D9D9" w:themeFill="background2" w:themeFillShade="D9"/>
        <w:tabs>
          <w:tab w:val="clear" w:pos="567"/>
        </w:tabs>
        <w:spacing w:before="100" w:after="100" w:line="360" w:lineRule="auto"/>
        <w:ind w:left="425" w:hanging="425"/>
        <w:jc w:val="both"/>
        <w:rPr>
          <w:rFonts w:ascii="Arial" w:hAnsi="Arial" w:cs="Arial"/>
          <w:sz w:val="22"/>
          <w:szCs w:val="22"/>
        </w:rPr>
      </w:pPr>
      <w:r>
        <w:rPr>
          <w:rFonts w:ascii="Arial" w:hAnsi="Arial" w:cs="Arial"/>
          <w:sz w:val="22"/>
          <w:szCs w:val="22"/>
        </w:rPr>
        <w:t>Do you have any comments on the audit process and the factors the AER will apply when making a determination to use its compliance audit powers?</w:t>
      </w:r>
    </w:p>
    <w:p w:rsidR="007C6693" w:rsidRPr="007C6693" w:rsidRDefault="007C6693" w:rsidP="007C6693"/>
    <w:sectPr w:rsidR="007C6693" w:rsidRPr="007C6693" w:rsidSect="004004A8">
      <w:footerReference w:type="default" r:id="rId16"/>
      <w:pgSz w:w="11906" w:h="16838"/>
      <w:pgMar w:top="1134" w:right="1440" w:bottom="567" w:left="1440" w:header="708" w:footer="40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BCE" w:rsidRDefault="00F11BCE" w:rsidP="00B14A00">
      <w:pPr>
        <w:spacing w:line="240" w:lineRule="auto"/>
      </w:pPr>
      <w:r>
        <w:separator/>
      </w:r>
    </w:p>
  </w:endnote>
  <w:endnote w:type="continuationSeparator" w:id="0">
    <w:p w:rsidR="00F11BCE" w:rsidRDefault="00F11BCE"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267662"/>
      <w:docPartObj>
        <w:docPartGallery w:val="Page Numbers (Bottom of Page)"/>
        <w:docPartUnique/>
      </w:docPartObj>
    </w:sdtPr>
    <w:sdtEndPr>
      <w:rPr>
        <w:noProof/>
      </w:rPr>
    </w:sdtEndPr>
    <w:sdtContent>
      <w:p w:rsidR="00F11BCE" w:rsidRDefault="00F11BC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F11BCE" w:rsidRPr="000222C0" w:rsidRDefault="00F11BCE" w:rsidP="00022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color w:val="auto"/>
      </w:rPr>
      <w:id w:val="-1041050353"/>
      <w:docPartObj>
        <w:docPartGallery w:val="Page Numbers (Bottom of Page)"/>
        <w:docPartUnique/>
      </w:docPartObj>
    </w:sdtPr>
    <w:sdtEndPr>
      <w:rPr>
        <w:noProof/>
      </w:rPr>
    </w:sdtEndPr>
    <w:sdtContent>
      <w:p w:rsidR="00F11BCE" w:rsidRPr="00373BA3" w:rsidRDefault="00F11BCE">
        <w:pPr>
          <w:pStyle w:val="Footer"/>
          <w:jc w:val="center"/>
          <w:rPr>
            <w:b w:val="0"/>
            <w:color w:val="auto"/>
          </w:rPr>
        </w:pPr>
        <w:r w:rsidRPr="00373BA3">
          <w:rPr>
            <w:b w:val="0"/>
            <w:color w:val="auto"/>
          </w:rPr>
          <w:fldChar w:fldCharType="begin"/>
        </w:r>
        <w:r w:rsidRPr="00373BA3">
          <w:rPr>
            <w:b w:val="0"/>
            <w:color w:val="auto"/>
          </w:rPr>
          <w:instrText xml:space="preserve"> PAGE   \* MERGEFORMAT </w:instrText>
        </w:r>
        <w:r w:rsidRPr="00373BA3">
          <w:rPr>
            <w:b w:val="0"/>
            <w:color w:val="auto"/>
          </w:rPr>
          <w:fldChar w:fldCharType="separate"/>
        </w:r>
        <w:r w:rsidR="00421B18">
          <w:rPr>
            <w:b w:val="0"/>
            <w:noProof/>
            <w:color w:val="auto"/>
          </w:rPr>
          <w:t>3</w:t>
        </w:r>
        <w:r w:rsidRPr="00373BA3">
          <w:rPr>
            <w:b w:val="0"/>
            <w:noProof/>
            <w:color w:val="auto"/>
          </w:rPr>
          <w:fldChar w:fldCharType="end"/>
        </w:r>
      </w:p>
    </w:sdtContent>
  </w:sdt>
  <w:p w:rsidR="00F11BCE" w:rsidRPr="000222C0" w:rsidRDefault="00F11BCE" w:rsidP="004004A8">
    <w:pPr>
      <w:pStyle w:val="Footer"/>
      <w:tabs>
        <w:tab w:val="clear" w:pos="4513"/>
        <w:tab w:val="clear" w:pos="9026"/>
        <w:tab w:val="left" w:pos="55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BCE" w:rsidRDefault="00F11BCE" w:rsidP="00B14A00">
      <w:pPr>
        <w:spacing w:line="240" w:lineRule="auto"/>
      </w:pPr>
      <w:r>
        <w:separator/>
      </w:r>
    </w:p>
  </w:footnote>
  <w:footnote w:type="continuationSeparator" w:id="0">
    <w:p w:rsidR="00F11BCE" w:rsidRDefault="00F11BCE" w:rsidP="00B14A00">
      <w:pPr>
        <w:spacing w:line="240" w:lineRule="auto"/>
      </w:pPr>
      <w:r>
        <w:continuationSeparator/>
      </w:r>
    </w:p>
  </w:footnote>
  <w:footnote w:id="1">
    <w:p w:rsidR="00F11BCE" w:rsidRDefault="00F11BCE" w:rsidP="001A3C00">
      <w:pPr>
        <w:pStyle w:val="FootnoteText"/>
        <w:tabs>
          <w:tab w:val="left" w:pos="142"/>
        </w:tabs>
        <w:ind w:left="142" w:hanging="142"/>
      </w:pPr>
      <w:r>
        <w:rPr>
          <w:rStyle w:val="FootnoteReference"/>
        </w:rPr>
        <w:footnoteRef/>
      </w:r>
      <w:r>
        <w:t xml:space="preserve"> </w:t>
      </w:r>
      <w:proofErr w:type="gramStart"/>
      <w:r>
        <w:t>AEMC, Expanding competition in metering and related services, Rule Determination, 26 November 2015.</w:t>
      </w:r>
      <w:proofErr w:type="gramEnd"/>
    </w:p>
  </w:footnote>
  <w:footnote w:id="2">
    <w:p w:rsidR="00F11BCE" w:rsidRDefault="00F11BCE" w:rsidP="00BD154F">
      <w:pPr>
        <w:pStyle w:val="FootnoteText"/>
        <w:tabs>
          <w:tab w:val="left" w:pos="142"/>
        </w:tabs>
        <w:ind w:left="142" w:hanging="142"/>
      </w:pPr>
      <w:r>
        <w:rPr>
          <w:rStyle w:val="FootnoteReference"/>
        </w:rPr>
        <w:footnoteRef/>
      </w:r>
      <w:r>
        <w:t xml:space="preserve"> </w:t>
      </w:r>
      <w:proofErr w:type="gramStart"/>
      <w:r>
        <w:t>AEMC, Customer access to information about their energy consumption, Rule Determination, 6 November 2014.</w:t>
      </w:r>
      <w:proofErr w:type="gramEnd"/>
      <w:r>
        <w:t xml:space="preserve"> </w:t>
      </w:r>
    </w:p>
  </w:footnote>
  <w:footnote w:id="3">
    <w:p w:rsidR="00F11BCE" w:rsidRPr="00DE6262" w:rsidRDefault="00F11BCE" w:rsidP="00AF3EA1">
      <w:pPr>
        <w:pStyle w:val="FootnoteText"/>
        <w:rPr>
          <w:sz w:val="16"/>
          <w:szCs w:val="16"/>
        </w:rPr>
      </w:pPr>
      <w:r w:rsidRPr="00DE6262">
        <w:rPr>
          <w:rStyle w:val="FootnoteReference"/>
          <w:sz w:val="16"/>
          <w:szCs w:val="16"/>
        </w:rPr>
        <w:footnoteRef/>
      </w:r>
      <w:r w:rsidRPr="00DE6262">
        <w:rPr>
          <w:sz w:val="16"/>
          <w:szCs w:val="16"/>
        </w:rPr>
        <w:t xml:space="preserve"> </w:t>
      </w:r>
      <w:proofErr w:type="gramStart"/>
      <w:r w:rsidRPr="00DE6262">
        <w:rPr>
          <w:sz w:val="16"/>
          <w:szCs w:val="16"/>
        </w:rPr>
        <w:t xml:space="preserve">Section 272, </w:t>
      </w:r>
      <w:r>
        <w:rPr>
          <w:sz w:val="16"/>
          <w:szCs w:val="16"/>
        </w:rPr>
        <w:t>NERL</w:t>
      </w:r>
      <w:r w:rsidRPr="00DE6262">
        <w:rPr>
          <w:sz w:val="16"/>
          <w:szCs w:val="16"/>
        </w:rPr>
        <w:t>.</w:t>
      </w:r>
      <w:proofErr w:type="gramEnd"/>
    </w:p>
  </w:footnote>
  <w:footnote w:id="4">
    <w:p w:rsidR="00F11BCE" w:rsidRPr="00DE6262" w:rsidRDefault="00F11BCE">
      <w:pPr>
        <w:pStyle w:val="FootnoteText"/>
        <w:rPr>
          <w:sz w:val="16"/>
          <w:szCs w:val="16"/>
        </w:rPr>
      </w:pPr>
      <w:r w:rsidRPr="00DE6262">
        <w:rPr>
          <w:rStyle w:val="FootnoteReference"/>
          <w:sz w:val="16"/>
          <w:szCs w:val="16"/>
        </w:rPr>
        <w:footnoteRef/>
      </w:r>
      <w:r w:rsidRPr="00DE6262">
        <w:rPr>
          <w:sz w:val="16"/>
          <w:szCs w:val="16"/>
        </w:rPr>
        <w:t xml:space="preserve"> </w:t>
      </w:r>
      <w:proofErr w:type="gramStart"/>
      <w:r w:rsidRPr="00DE6262">
        <w:rPr>
          <w:sz w:val="16"/>
          <w:szCs w:val="16"/>
        </w:rPr>
        <w:t xml:space="preserve">Section 281, </w:t>
      </w:r>
      <w:r>
        <w:rPr>
          <w:sz w:val="16"/>
          <w:szCs w:val="16"/>
        </w:rPr>
        <w:t>NERL</w:t>
      </w:r>
      <w:r w:rsidRPr="00DE6262">
        <w:rPr>
          <w:sz w:val="16"/>
          <w:szCs w:val="16"/>
        </w:rPr>
        <w:t>.</w:t>
      </w:r>
      <w:proofErr w:type="gramEnd"/>
      <w:r w:rsidRPr="00DE6262">
        <w:rPr>
          <w:sz w:val="16"/>
          <w:szCs w:val="16"/>
        </w:rPr>
        <w:t xml:space="preserve"> </w:t>
      </w:r>
    </w:p>
  </w:footnote>
  <w:footnote w:id="5">
    <w:p w:rsidR="00F11BCE" w:rsidRDefault="00F11BCE">
      <w:pPr>
        <w:pStyle w:val="FootnoteText"/>
      </w:pPr>
      <w:r>
        <w:rPr>
          <w:rStyle w:val="FootnoteReference"/>
        </w:rPr>
        <w:footnoteRef/>
      </w:r>
      <w:r>
        <w:t xml:space="preserve"> </w:t>
      </w:r>
      <w:proofErr w:type="gramStart"/>
      <w:r w:rsidRPr="00D3486D">
        <w:rPr>
          <w:sz w:val="16"/>
          <w:szCs w:val="16"/>
        </w:rPr>
        <w:t xml:space="preserve">Section 281(3), </w:t>
      </w:r>
      <w:r>
        <w:rPr>
          <w:sz w:val="16"/>
          <w:szCs w:val="16"/>
        </w:rPr>
        <w:t>NERL</w:t>
      </w:r>
      <w:r w:rsidRPr="00D3486D">
        <w:rPr>
          <w:sz w:val="16"/>
          <w:szCs w:val="16"/>
        </w:rPr>
        <w:t>.</w:t>
      </w:r>
      <w:proofErr w:type="gramEnd"/>
      <w:r>
        <w:t xml:space="preserve"> </w:t>
      </w:r>
    </w:p>
  </w:footnote>
  <w:footnote w:id="6">
    <w:p w:rsidR="00F11BCE" w:rsidRPr="00DE6262" w:rsidRDefault="00F11BCE">
      <w:pPr>
        <w:pStyle w:val="FootnoteText"/>
        <w:rPr>
          <w:sz w:val="16"/>
          <w:szCs w:val="16"/>
        </w:rPr>
      </w:pPr>
      <w:r w:rsidRPr="00DE6262">
        <w:rPr>
          <w:rStyle w:val="FootnoteReference"/>
          <w:sz w:val="16"/>
          <w:szCs w:val="16"/>
        </w:rPr>
        <w:footnoteRef/>
      </w:r>
      <w:r w:rsidRPr="00DE6262">
        <w:rPr>
          <w:sz w:val="16"/>
          <w:szCs w:val="16"/>
        </w:rPr>
        <w:t xml:space="preserve"> </w:t>
      </w:r>
      <w:proofErr w:type="gramStart"/>
      <w:r w:rsidRPr="00DE6262">
        <w:rPr>
          <w:sz w:val="16"/>
          <w:szCs w:val="16"/>
        </w:rPr>
        <w:t xml:space="preserve">AER, </w:t>
      </w:r>
      <w:r w:rsidRPr="00DE6262">
        <w:rPr>
          <w:i/>
          <w:sz w:val="16"/>
          <w:szCs w:val="16"/>
        </w:rPr>
        <w:t>Compliance procedures and guidelines,</w:t>
      </w:r>
      <w:r w:rsidRPr="00DE6262">
        <w:rPr>
          <w:sz w:val="16"/>
          <w:szCs w:val="16"/>
        </w:rPr>
        <w:t xml:space="preserve"> Version 1, July 2011, </w:t>
      </w:r>
      <w:hyperlink r:id="rId1" w:history="1">
        <w:r w:rsidRPr="00DE6262">
          <w:rPr>
            <w:rStyle w:val="Hyperlink"/>
            <w:sz w:val="16"/>
            <w:szCs w:val="16"/>
          </w:rPr>
          <w:t>https://www.aer.gov.au/system/files/AER%20-%20National%20energy%20retail%20law%20compliance%20procedures%20and%20guidelines%20-%20July%202011.pdf</w:t>
        </w:r>
      </w:hyperlink>
      <w:r w:rsidRPr="00DE6262">
        <w:rPr>
          <w:sz w:val="16"/>
          <w:szCs w:val="16"/>
        </w:rPr>
        <w:t>.</w:t>
      </w:r>
      <w:proofErr w:type="gramEnd"/>
      <w:r w:rsidRPr="00DE6262">
        <w:rPr>
          <w:sz w:val="16"/>
          <w:szCs w:val="16"/>
        </w:rPr>
        <w:t xml:space="preserve"> </w:t>
      </w:r>
    </w:p>
  </w:footnote>
  <w:footnote w:id="7">
    <w:p w:rsidR="00F11BCE" w:rsidRPr="00DE6262" w:rsidRDefault="00F11BCE" w:rsidP="00F86A1B">
      <w:pPr>
        <w:pStyle w:val="FootnoteText"/>
        <w:rPr>
          <w:sz w:val="16"/>
          <w:szCs w:val="16"/>
        </w:rPr>
      </w:pPr>
      <w:r w:rsidRPr="00DE6262">
        <w:rPr>
          <w:rStyle w:val="FootnoteReference"/>
          <w:sz w:val="16"/>
          <w:szCs w:val="16"/>
        </w:rPr>
        <w:footnoteRef/>
      </w:r>
      <w:r w:rsidRPr="00DE6262">
        <w:rPr>
          <w:sz w:val="16"/>
          <w:szCs w:val="16"/>
        </w:rPr>
        <w:t xml:space="preserve"> </w:t>
      </w:r>
      <w:proofErr w:type="gramStart"/>
      <w:r w:rsidRPr="00DE6262">
        <w:rPr>
          <w:sz w:val="16"/>
          <w:szCs w:val="16"/>
        </w:rPr>
        <w:t xml:space="preserve">AER, </w:t>
      </w:r>
      <w:r w:rsidRPr="00DE6262">
        <w:rPr>
          <w:i/>
          <w:sz w:val="16"/>
          <w:szCs w:val="16"/>
        </w:rPr>
        <w:t>Compliance procedures and guidelines,</w:t>
      </w:r>
      <w:r w:rsidRPr="00DE6262">
        <w:rPr>
          <w:sz w:val="16"/>
          <w:szCs w:val="16"/>
        </w:rPr>
        <w:t xml:space="preserve"> Version 2, June 2012, </w:t>
      </w:r>
      <w:hyperlink r:id="rId2" w:history="1">
        <w:r w:rsidRPr="00DE6262">
          <w:rPr>
            <w:rStyle w:val="Hyperlink"/>
            <w:sz w:val="16"/>
            <w:szCs w:val="16"/>
          </w:rPr>
          <w:t>https://www.aer.gov.au/system/files/D12%2090639%20%20AER%20Compliance%20Procedures%20and%20Guidelines%20-%20National%20Energy%20Retail%20Law%2C%20Rules%20and%20Regulations%20-%20June%202012.pdf</w:t>
        </w:r>
      </w:hyperlink>
      <w:r w:rsidRPr="00DE6262">
        <w:rPr>
          <w:sz w:val="16"/>
          <w:szCs w:val="16"/>
        </w:rPr>
        <w:t>.</w:t>
      </w:r>
      <w:proofErr w:type="gramEnd"/>
      <w:r w:rsidRPr="00DE6262">
        <w:rPr>
          <w:sz w:val="16"/>
          <w:szCs w:val="16"/>
        </w:rPr>
        <w:t xml:space="preserve"> </w:t>
      </w:r>
    </w:p>
  </w:footnote>
  <w:footnote w:id="8">
    <w:p w:rsidR="00F11BCE" w:rsidRPr="00F86A1B" w:rsidRDefault="00F11BCE">
      <w:pPr>
        <w:pStyle w:val="FootnoteText"/>
      </w:pPr>
      <w:r w:rsidRPr="00DE6262">
        <w:rPr>
          <w:rStyle w:val="FootnoteReference"/>
          <w:sz w:val="16"/>
          <w:szCs w:val="16"/>
        </w:rPr>
        <w:footnoteRef/>
      </w:r>
      <w:r w:rsidRPr="00DE6262">
        <w:rPr>
          <w:sz w:val="16"/>
          <w:szCs w:val="16"/>
        </w:rPr>
        <w:t xml:space="preserve"> </w:t>
      </w:r>
      <w:proofErr w:type="gramStart"/>
      <w:r w:rsidRPr="00DE6262">
        <w:rPr>
          <w:sz w:val="16"/>
          <w:szCs w:val="16"/>
        </w:rPr>
        <w:t xml:space="preserve">AER, </w:t>
      </w:r>
      <w:r w:rsidRPr="00DE6262">
        <w:rPr>
          <w:i/>
          <w:sz w:val="16"/>
          <w:szCs w:val="16"/>
        </w:rPr>
        <w:t>Compliance procedures and guidelines,</w:t>
      </w:r>
      <w:r w:rsidRPr="00DE6262">
        <w:rPr>
          <w:sz w:val="16"/>
          <w:szCs w:val="16"/>
        </w:rPr>
        <w:t xml:space="preserve"> Version 3, September 2014 (the current Guidelines), </w:t>
      </w:r>
      <w:hyperlink r:id="rId3" w:history="1">
        <w:r w:rsidRPr="00DE6262">
          <w:rPr>
            <w:rStyle w:val="Hyperlink"/>
            <w:sz w:val="16"/>
            <w:szCs w:val="16"/>
          </w:rPr>
          <w:t>https://www.aer.gov.au/system/files/Compliance%20procedures%20and%20guidelines%20-%20Version%203%20-%20September%202014_0.pdf</w:t>
        </w:r>
      </w:hyperlink>
      <w:r w:rsidRPr="00DE6262">
        <w:rPr>
          <w:sz w:val="16"/>
          <w:szCs w:val="16"/>
        </w:rPr>
        <w:t>.</w:t>
      </w:r>
      <w:proofErr w:type="gramEnd"/>
      <w:r>
        <w:t xml:space="preserve"> </w:t>
      </w:r>
    </w:p>
  </w:footnote>
  <w:footnote w:id="9">
    <w:p w:rsidR="00F11BCE" w:rsidRPr="008B0D1F" w:rsidRDefault="00F11BCE">
      <w:pPr>
        <w:pStyle w:val="FootnoteText"/>
      </w:pPr>
      <w:r>
        <w:rPr>
          <w:rStyle w:val="FootnoteReference"/>
        </w:rPr>
        <w:footnoteRef/>
      </w:r>
      <w:r>
        <w:t xml:space="preserve"> AEMC, </w:t>
      </w:r>
      <w:r w:rsidRPr="008B0D1F">
        <w:t>Meter read and billing frequency</w:t>
      </w:r>
      <w:r>
        <w:t xml:space="preserve">, Final rule determination, 23 June 2016. </w:t>
      </w:r>
    </w:p>
  </w:footnote>
  <w:footnote w:id="10">
    <w:p w:rsidR="00F11BCE" w:rsidRDefault="00F11BCE">
      <w:pPr>
        <w:pStyle w:val="FootnoteText"/>
      </w:pPr>
      <w:r>
        <w:rPr>
          <w:rStyle w:val="FootnoteReference"/>
        </w:rPr>
        <w:footnoteRef/>
      </w:r>
      <w:r>
        <w:t xml:space="preserve"> See sub-rule 24(1), NERR. </w:t>
      </w:r>
    </w:p>
  </w:footnote>
  <w:footnote w:id="11">
    <w:p w:rsidR="00F11BCE" w:rsidRDefault="00F11BCE" w:rsidP="000263DC">
      <w:pPr>
        <w:pStyle w:val="FootnoteText"/>
      </w:pPr>
      <w:r>
        <w:rPr>
          <w:rStyle w:val="FootnoteReference"/>
        </w:rPr>
        <w:footnoteRef/>
      </w:r>
      <w:r>
        <w:t xml:space="preserve"> </w:t>
      </w:r>
      <w:proofErr w:type="gramStart"/>
      <w:r>
        <w:t>AEMC, Expanding competition in metering and related services, Rule Determination, 26 November 2015 (AEMC Metering Rule Change).</w:t>
      </w:r>
      <w:proofErr w:type="gramEnd"/>
      <w:r>
        <w:t xml:space="preserve"> </w:t>
      </w:r>
    </w:p>
  </w:footnote>
  <w:footnote w:id="12">
    <w:p w:rsidR="00F11BCE" w:rsidRDefault="00F11BCE" w:rsidP="009B14F2">
      <w:pPr>
        <w:pStyle w:val="FootnoteText"/>
        <w:tabs>
          <w:tab w:val="left" w:pos="142"/>
        </w:tabs>
        <w:ind w:left="142" w:hanging="142"/>
      </w:pPr>
      <w:r>
        <w:rPr>
          <w:rStyle w:val="FootnoteReference"/>
        </w:rPr>
        <w:footnoteRef/>
      </w:r>
      <w:r>
        <w:t xml:space="preserve"> </w:t>
      </w:r>
      <w:proofErr w:type="gramStart"/>
      <w:r>
        <w:t>AEMC, Customer access to information about their energy consumption, Rule Determination, 6 November 2014.</w:t>
      </w:r>
      <w:proofErr w:type="gramEnd"/>
      <w:r>
        <w:t xml:space="preserve"> Note</w:t>
      </w:r>
      <w:proofErr w:type="gramStart"/>
      <w:r>
        <w:t>,</w:t>
      </w:r>
      <w:proofErr w:type="gramEnd"/>
      <w:r>
        <w:t xml:space="preserve"> the Rule Determination made changes to the National Electricity Rules and the Retail Rules. </w:t>
      </w:r>
    </w:p>
  </w:footnote>
  <w:footnote w:id="13">
    <w:p w:rsidR="00F11BCE" w:rsidRDefault="00F11BCE" w:rsidP="001170BD">
      <w:pPr>
        <w:pStyle w:val="FootnoteText"/>
      </w:pPr>
      <w:r>
        <w:rPr>
          <w:rStyle w:val="FootnoteReference"/>
        </w:rPr>
        <w:footnoteRef/>
      </w:r>
      <w:r>
        <w:t xml:space="preserve"> </w:t>
      </w:r>
      <w:proofErr w:type="gramStart"/>
      <w:r>
        <w:t>AEMC Metering Rule Change, p. 531.</w:t>
      </w:r>
      <w:proofErr w:type="gramEnd"/>
      <w:r>
        <w:t xml:space="preserve"> </w:t>
      </w:r>
    </w:p>
  </w:footnote>
  <w:footnote w:id="14">
    <w:p w:rsidR="00F11BCE" w:rsidRDefault="00F11BCE">
      <w:pPr>
        <w:pStyle w:val="FootnoteText"/>
      </w:pPr>
      <w:r>
        <w:rPr>
          <w:rStyle w:val="FootnoteReference"/>
        </w:rPr>
        <w:footnoteRef/>
      </w:r>
      <w:r>
        <w:t xml:space="preserve"> New rule 59C; note, does not include de-energisation for non-payment or other reasons specified under Part 6 of the NERR. </w:t>
      </w:r>
    </w:p>
  </w:footnote>
  <w:footnote w:id="15">
    <w:p w:rsidR="00F11BCE" w:rsidRDefault="00F11BCE">
      <w:pPr>
        <w:pStyle w:val="FootnoteText"/>
      </w:pPr>
      <w:r>
        <w:rPr>
          <w:rStyle w:val="FootnoteReference"/>
        </w:rPr>
        <w:footnoteRef/>
      </w:r>
      <w:r>
        <w:t xml:space="preserve"> New rule </w:t>
      </w:r>
      <w:proofErr w:type="gramStart"/>
      <w:r>
        <w:t>59C(</w:t>
      </w:r>
      <w:proofErr w:type="gramEnd"/>
      <w:r>
        <w:t xml:space="preserve">4), NERR. </w:t>
      </w:r>
    </w:p>
  </w:footnote>
  <w:footnote w:id="16">
    <w:p w:rsidR="00F11BCE" w:rsidRDefault="00F11BCE">
      <w:pPr>
        <w:pStyle w:val="FootnoteText"/>
      </w:pPr>
      <w:r>
        <w:rPr>
          <w:rStyle w:val="FootnoteReference"/>
        </w:rPr>
        <w:footnoteRef/>
      </w:r>
      <w:r>
        <w:t xml:space="preserve"> New rule </w:t>
      </w:r>
      <w:proofErr w:type="gramStart"/>
      <w:r>
        <w:t>59C(</w:t>
      </w:r>
      <w:proofErr w:type="gramEnd"/>
      <w:r>
        <w:t xml:space="preserve">5), NERR.  </w:t>
      </w:r>
    </w:p>
  </w:footnote>
  <w:footnote w:id="17">
    <w:p w:rsidR="00F11BCE" w:rsidRDefault="00F11BCE">
      <w:pPr>
        <w:pStyle w:val="FootnoteText"/>
      </w:pPr>
      <w:r>
        <w:rPr>
          <w:rStyle w:val="FootnoteReference"/>
        </w:rPr>
        <w:footnoteRef/>
      </w:r>
      <w:r>
        <w:t xml:space="preserve"> New rule 124(1</w:t>
      </w:r>
      <w:proofErr w:type="gramStart"/>
      <w:r>
        <w:t>)(</w:t>
      </w:r>
      <w:proofErr w:type="gramEnd"/>
      <w:r>
        <w:t xml:space="preserve">f), NERR. </w:t>
      </w:r>
    </w:p>
  </w:footnote>
  <w:footnote w:id="18">
    <w:p w:rsidR="00F11BCE" w:rsidRDefault="00F11BCE">
      <w:pPr>
        <w:pStyle w:val="FootnoteText"/>
      </w:pPr>
      <w:r>
        <w:rPr>
          <w:rStyle w:val="FootnoteReference"/>
        </w:rPr>
        <w:footnoteRef/>
      </w:r>
      <w:r>
        <w:t xml:space="preserve"> </w:t>
      </w:r>
      <w:proofErr w:type="gramStart"/>
      <w:r>
        <w:t>New rule 124A, NERR.</w:t>
      </w:r>
      <w:proofErr w:type="gramEnd"/>
      <w:r>
        <w:t xml:space="preserve"> </w:t>
      </w:r>
    </w:p>
  </w:footnote>
  <w:footnote w:id="19">
    <w:p w:rsidR="00F11BCE" w:rsidRDefault="00F11BCE">
      <w:pPr>
        <w:pStyle w:val="FootnoteText"/>
      </w:pPr>
      <w:r>
        <w:rPr>
          <w:rStyle w:val="FootnoteReference"/>
        </w:rPr>
        <w:footnoteRef/>
      </w:r>
      <w:r>
        <w:t xml:space="preserve"> </w:t>
      </w:r>
      <w:proofErr w:type="gramStart"/>
      <w:r>
        <w:t>New rule 59A, NERR.</w:t>
      </w:r>
      <w:proofErr w:type="gramEnd"/>
      <w:r>
        <w:t xml:space="preserve"> </w:t>
      </w:r>
    </w:p>
  </w:footnote>
  <w:footnote w:id="20">
    <w:p w:rsidR="00F11BCE" w:rsidRDefault="00F11BCE">
      <w:pPr>
        <w:pStyle w:val="FootnoteText"/>
      </w:pPr>
      <w:r>
        <w:rPr>
          <w:rStyle w:val="FootnoteReference"/>
        </w:rPr>
        <w:footnoteRef/>
      </w:r>
      <w:r>
        <w:t xml:space="preserve"> New rule </w:t>
      </w:r>
      <w:proofErr w:type="gramStart"/>
      <w:r>
        <w:t>59A(</w:t>
      </w:r>
      <w:proofErr w:type="gramEnd"/>
      <w:r>
        <w:t>2), NERR.</w:t>
      </w:r>
    </w:p>
  </w:footnote>
  <w:footnote w:id="21">
    <w:p w:rsidR="00F11BCE" w:rsidRDefault="00F11BCE">
      <w:pPr>
        <w:pStyle w:val="FootnoteText"/>
      </w:pPr>
      <w:r>
        <w:rPr>
          <w:rStyle w:val="FootnoteReference"/>
        </w:rPr>
        <w:footnoteRef/>
      </w:r>
      <w:r>
        <w:t xml:space="preserve"> New rule </w:t>
      </w:r>
      <w:proofErr w:type="gramStart"/>
      <w:r>
        <w:t>59A(</w:t>
      </w:r>
      <w:proofErr w:type="gramEnd"/>
      <w:r>
        <w:t xml:space="preserve">3), NERR. </w:t>
      </w:r>
    </w:p>
  </w:footnote>
  <w:footnote w:id="22">
    <w:p w:rsidR="00F11BCE" w:rsidRDefault="00F11BCE">
      <w:pPr>
        <w:pStyle w:val="FootnoteText"/>
      </w:pPr>
      <w:r>
        <w:rPr>
          <w:rStyle w:val="FootnoteReference"/>
        </w:rPr>
        <w:footnoteRef/>
      </w:r>
      <w:r>
        <w:t xml:space="preserve"> New rule </w:t>
      </w:r>
      <w:proofErr w:type="gramStart"/>
      <w:r>
        <w:t>59A(</w:t>
      </w:r>
      <w:proofErr w:type="gramEnd"/>
      <w:r>
        <w:t>2)(a), NERR.</w:t>
      </w:r>
    </w:p>
  </w:footnote>
  <w:footnote w:id="23">
    <w:p w:rsidR="00F11BCE" w:rsidRDefault="00F11BCE" w:rsidP="00230546">
      <w:pPr>
        <w:pStyle w:val="FootnoteText"/>
      </w:pPr>
      <w:r>
        <w:rPr>
          <w:rStyle w:val="FootnoteReference"/>
        </w:rPr>
        <w:footnoteRef/>
      </w:r>
      <w:r>
        <w:t xml:space="preserve"> </w:t>
      </w:r>
      <w:proofErr w:type="gramStart"/>
      <w:r>
        <w:t>Rules 56A and 86A, NERR.</w:t>
      </w:r>
      <w:proofErr w:type="gramEnd"/>
      <w:r>
        <w:t xml:space="preserve"> See also, rule 7.16, NER. </w:t>
      </w:r>
    </w:p>
  </w:footnote>
  <w:footnote w:id="24">
    <w:p w:rsidR="00F11BCE" w:rsidRDefault="00F11BCE">
      <w:pPr>
        <w:pStyle w:val="FootnoteText"/>
      </w:pPr>
      <w:r>
        <w:rPr>
          <w:rStyle w:val="FootnoteReference"/>
        </w:rPr>
        <w:footnoteRef/>
      </w:r>
      <w:r>
        <w:t xml:space="preserve"> Rule </w:t>
      </w:r>
      <w:proofErr w:type="gramStart"/>
      <w:r>
        <w:t>86A(</w:t>
      </w:r>
      <w:proofErr w:type="gramEnd"/>
      <w:r>
        <w:t xml:space="preserve">1)(b), NERR. </w:t>
      </w:r>
    </w:p>
  </w:footnote>
  <w:footnote w:id="25">
    <w:p w:rsidR="00F11BCE" w:rsidRDefault="00F11BCE">
      <w:pPr>
        <w:pStyle w:val="FootnoteText"/>
      </w:pPr>
      <w:r>
        <w:rPr>
          <w:rStyle w:val="FootnoteReference"/>
        </w:rPr>
        <w:footnoteRef/>
      </w:r>
      <w:r>
        <w:t xml:space="preserve"> Note – see </w:t>
      </w:r>
      <w:r w:rsidRPr="007A136E">
        <w:t>section 4.2.2</w:t>
      </w:r>
      <w:r w:rsidRPr="007841E3">
        <w:t>,</w:t>
      </w:r>
      <w:r>
        <w:t xml:space="preserve"> we propose to remove the obligation on retailers to report on type 3 provisions. </w:t>
      </w:r>
    </w:p>
  </w:footnote>
  <w:footnote w:id="26">
    <w:p w:rsidR="00F11BCE" w:rsidRDefault="00F11BCE">
      <w:pPr>
        <w:pStyle w:val="FootnoteText"/>
      </w:pPr>
      <w:r>
        <w:rPr>
          <w:rStyle w:val="FootnoteReference"/>
        </w:rPr>
        <w:footnoteRef/>
      </w:r>
      <w:r>
        <w:t xml:space="preserve"> </w:t>
      </w:r>
      <w:proofErr w:type="gramStart"/>
      <w:r>
        <w:t>Rule 28(2), NERR.</w:t>
      </w:r>
      <w:proofErr w:type="gramEnd"/>
      <w:r>
        <w:t xml:space="preserve"> </w:t>
      </w:r>
    </w:p>
  </w:footnote>
  <w:footnote w:id="27">
    <w:p w:rsidR="00F11BCE" w:rsidRDefault="00F11BCE">
      <w:pPr>
        <w:pStyle w:val="FootnoteText"/>
      </w:pPr>
      <w:r>
        <w:rPr>
          <w:rStyle w:val="FootnoteReference"/>
        </w:rPr>
        <w:footnoteRef/>
      </w:r>
      <w:r>
        <w:t xml:space="preserve"> </w:t>
      </w:r>
      <w:r w:rsidRPr="007841E3">
        <w:t>See Draft Instrument, A.1, tables 1 and 2.</w:t>
      </w:r>
      <w:r>
        <w:t xml:space="preserve"> </w:t>
      </w:r>
    </w:p>
  </w:footnote>
  <w:footnote w:id="28">
    <w:p w:rsidR="00F11BCE" w:rsidRDefault="00F11BCE">
      <w:pPr>
        <w:pStyle w:val="FootnoteText"/>
      </w:pPr>
      <w:r w:rsidRPr="007841E3">
        <w:rPr>
          <w:rStyle w:val="FootnoteReference"/>
        </w:rPr>
        <w:footnoteRef/>
      </w:r>
      <w:r w:rsidRPr="007841E3">
        <w:t xml:space="preserve"> See</w:t>
      </w:r>
      <w:r w:rsidR="00F65EA0">
        <w:t xml:space="preserve"> Draft Instrument, A.2, tables 3 and 4</w:t>
      </w:r>
      <w:r w:rsidRPr="007841E3">
        <w:t>.</w:t>
      </w:r>
    </w:p>
  </w:footnote>
  <w:footnote w:id="29">
    <w:p w:rsidR="00F11BCE" w:rsidRPr="007841E3" w:rsidRDefault="00F11BCE">
      <w:pPr>
        <w:pStyle w:val="FootnoteText"/>
      </w:pPr>
      <w:r>
        <w:rPr>
          <w:rStyle w:val="FootnoteReference"/>
        </w:rPr>
        <w:footnoteRef/>
      </w:r>
      <w:r>
        <w:t xml:space="preserve"> See </w:t>
      </w:r>
      <w:r w:rsidRPr="007841E3">
        <w:t>Draft Instrument, A.3, tables 5 and 6.</w:t>
      </w:r>
    </w:p>
  </w:footnote>
  <w:footnote w:id="30">
    <w:p w:rsidR="00F11BCE" w:rsidRDefault="00F11BCE" w:rsidP="00E92C26">
      <w:pPr>
        <w:pStyle w:val="FootnoteText"/>
      </w:pPr>
      <w:r w:rsidRPr="007841E3">
        <w:rPr>
          <w:rStyle w:val="FootnoteReference"/>
        </w:rPr>
        <w:footnoteRef/>
      </w:r>
      <w:r w:rsidRPr="007841E3">
        <w:t xml:space="preserve"> See discussion in section </w:t>
      </w:r>
      <w:r w:rsidR="00F65EA0">
        <w:t>4</w:t>
      </w:r>
      <w:r w:rsidRPr="007841E3">
        <w:t>.1.2 of this Notice</w:t>
      </w:r>
      <w:r>
        <w:t xml:space="preserve">. </w:t>
      </w:r>
    </w:p>
  </w:footnote>
  <w:footnote w:id="31">
    <w:p w:rsidR="00F11BCE" w:rsidRDefault="00F11BCE">
      <w:pPr>
        <w:pStyle w:val="FootnoteText"/>
      </w:pPr>
      <w:r>
        <w:rPr>
          <w:rStyle w:val="FootnoteReference"/>
        </w:rPr>
        <w:footnoteRef/>
      </w:r>
      <w:r>
        <w:t xml:space="preserve"> See Draft Instrument, Appendix B, B.2 AER Compliance Reporting Template. </w:t>
      </w:r>
    </w:p>
  </w:footnote>
  <w:footnote w:id="32">
    <w:p w:rsidR="00F11BCE" w:rsidRDefault="00F11BCE">
      <w:pPr>
        <w:pStyle w:val="FootnoteText"/>
      </w:pPr>
      <w:r>
        <w:rPr>
          <w:rStyle w:val="FootnoteReference"/>
        </w:rPr>
        <w:footnoteRef/>
      </w:r>
      <w:r>
        <w:t xml:space="preserve"> </w:t>
      </w:r>
      <w:proofErr w:type="gramStart"/>
      <w:r>
        <w:t>Section 277, NERL.</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A44FF56"/>
    <w:lvl w:ilvl="0">
      <w:start w:val="1"/>
      <w:numFmt w:val="decimal"/>
      <w:pStyle w:val="ListNumber2"/>
      <w:lvlText w:val="%1."/>
      <w:lvlJc w:val="left"/>
      <w:pPr>
        <w:ind w:left="680" w:hanging="340"/>
      </w:pPr>
      <w:rPr>
        <w:rFonts w:hint="default"/>
      </w:rPr>
    </w:lvl>
  </w:abstractNum>
  <w:abstractNum w:abstractNumId="1">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D3127F"/>
    <w:multiLevelType w:val="hybridMultilevel"/>
    <w:tmpl w:val="3F0AD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342E"/>
    <w:multiLevelType w:val="hybridMultilevel"/>
    <w:tmpl w:val="EFD8EA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6C0C97"/>
    <w:multiLevelType w:val="hybridMultilevel"/>
    <w:tmpl w:val="7BE8F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56029E"/>
    <w:multiLevelType w:val="hybridMultilevel"/>
    <w:tmpl w:val="9DDA58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9F751B"/>
    <w:multiLevelType w:val="multilevel"/>
    <w:tmpl w:val="5666D91E"/>
    <w:name w:val="Alphanumeric List2"/>
    <w:numStyleLink w:val="AlphanumericList"/>
  </w:abstractNum>
  <w:abstractNum w:abstractNumId="7">
    <w:nsid w:val="14BE045E"/>
    <w:multiLevelType w:val="multilevel"/>
    <w:tmpl w:val="4BE033BA"/>
    <w:name w:val="Alphanumeric List4"/>
    <w:numStyleLink w:val="NumberedList"/>
  </w:abstractNum>
  <w:abstractNum w:abstractNumId="8">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9">
    <w:nsid w:val="1E62547C"/>
    <w:multiLevelType w:val="hybridMultilevel"/>
    <w:tmpl w:val="A4CA7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E65251C"/>
    <w:multiLevelType w:val="hybridMultilevel"/>
    <w:tmpl w:val="D0A2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B8457D"/>
    <w:multiLevelType w:val="hybridMultilevel"/>
    <w:tmpl w:val="FFC60EB0"/>
    <w:lvl w:ilvl="0" w:tplc="C2803420">
      <w:start w:val="1"/>
      <w:numFmt w:val="decimal"/>
      <w:lvlText w:val="%1."/>
      <w:lvlJc w:val="left"/>
      <w:pPr>
        <w:ind w:left="1070" w:hanging="360"/>
      </w:pPr>
      <w:rPr>
        <w:rFonts w:ascii="Arial" w:hAnsi="Arial" w:cs="Arial" w:hint="default"/>
        <w:sz w:val="22"/>
        <w:szCs w:val="22"/>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416B6806"/>
    <w:multiLevelType w:val="hybridMultilevel"/>
    <w:tmpl w:val="D39A5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2B6E3D"/>
    <w:multiLevelType w:val="hybridMultilevel"/>
    <w:tmpl w:val="BA981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3F74CB"/>
    <w:multiLevelType w:val="hybridMultilevel"/>
    <w:tmpl w:val="550AFBE6"/>
    <w:lvl w:ilvl="0" w:tplc="921A7DDA">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0B331A9"/>
    <w:multiLevelType w:val="hybridMultilevel"/>
    <w:tmpl w:val="B96C0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76048DD"/>
    <w:multiLevelType w:val="hybridMultilevel"/>
    <w:tmpl w:val="01208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F3497D"/>
    <w:multiLevelType w:val="hybridMultilevel"/>
    <w:tmpl w:val="37A03F90"/>
    <w:lvl w:ilvl="0" w:tplc="9246F9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F3240DE"/>
    <w:multiLevelType w:val="multilevel"/>
    <w:tmpl w:val="AEAC87F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6E8A72E8"/>
    <w:multiLevelType w:val="hybridMultilevel"/>
    <w:tmpl w:val="DB446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EA869A4"/>
    <w:multiLevelType w:val="hybridMultilevel"/>
    <w:tmpl w:val="5CA82E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5CA1894"/>
    <w:multiLevelType w:val="hybridMultilevel"/>
    <w:tmpl w:val="16AAB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29">
    <w:nsid w:val="7AEF67FF"/>
    <w:multiLevelType w:val="multilevel"/>
    <w:tmpl w:val="1CC04F48"/>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DC00CFA"/>
    <w:multiLevelType w:val="hybridMultilevel"/>
    <w:tmpl w:val="FFC60EB0"/>
    <w:lvl w:ilvl="0" w:tplc="C2803420">
      <w:start w:val="1"/>
      <w:numFmt w:val="decimal"/>
      <w:lvlText w:val="%1."/>
      <w:lvlJc w:val="left"/>
      <w:pPr>
        <w:ind w:left="1070" w:hanging="360"/>
      </w:pPr>
      <w:rPr>
        <w:rFonts w:ascii="Arial" w:hAnsi="Arial" w:cs="Arial" w:hint="default"/>
        <w:sz w:val="22"/>
        <w:szCs w:val="22"/>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8"/>
  </w:num>
  <w:num w:numId="2">
    <w:abstractNumId w:val="28"/>
  </w:num>
  <w:num w:numId="3">
    <w:abstractNumId w:val="21"/>
  </w:num>
  <w:num w:numId="4">
    <w:abstractNumId w:val="11"/>
  </w:num>
  <w:num w:numId="5">
    <w:abstractNumId w:val="19"/>
  </w:num>
  <w:num w:numId="6">
    <w:abstractNumId w:val="10"/>
  </w:num>
  <w:num w:numId="7">
    <w:abstractNumId w:val="12"/>
  </w:num>
  <w:num w:numId="8">
    <w:abstractNumId w:val="24"/>
  </w:num>
  <w:num w:numId="9">
    <w:abstractNumId w:val="14"/>
  </w:num>
  <w:num w:numId="10">
    <w:abstractNumId w:val="1"/>
  </w:num>
  <w:num w:numId="11">
    <w:abstractNumId w:val="29"/>
  </w:num>
  <w:num w:numId="12">
    <w:abstractNumId w:val="18"/>
  </w:num>
  <w:num w:numId="13">
    <w:abstractNumId w:val="20"/>
  </w:num>
  <w:num w:numId="14">
    <w:abstractNumId w:val="16"/>
  </w:num>
  <w:num w:numId="15">
    <w:abstractNumId w:val="22"/>
  </w:num>
  <w:num w:numId="16">
    <w:abstractNumId w:val="0"/>
  </w:num>
  <w:num w:numId="17">
    <w:abstractNumId w:val="13"/>
  </w:num>
  <w:num w:numId="18">
    <w:abstractNumId w:val="4"/>
  </w:num>
  <w:num w:numId="19">
    <w:abstractNumId w:val="3"/>
  </w:num>
  <w:num w:numId="20">
    <w:abstractNumId w:val="15"/>
  </w:num>
  <w:num w:numId="21">
    <w:abstractNumId w:val="17"/>
  </w:num>
  <w:num w:numId="22">
    <w:abstractNumId w:val="26"/>
  </w:num>
  <w:num w:numId="23">
    <w:abstractNumId w:val="27"/>
  </w:num>
  <w:num w:numId="24">
    <w:abstractNumId w:val="25"/>
  </w:num>
  <w:num w:numId="25">
    <w:abstractNumId w:val="5"/>
  </w:num>
  <w:num w:numId="26">
    <w:abstractNumId w:val="9"/>
  </w:num>
  <w:num w:numId="27">
    <w:abstractNumId w:val="23"/>
  </w:num>
  <w:num w:numId="28">
    <w:abstractNumId w:val="2"/>
  </w:num>
  <w:num w:numId="29">
    <w:abstractNumId w:val="30"/>
  </w:num>
  <w:num w:numId="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ewong\attachment a - notice of draft instrument - amendments to compliance procedures and guidelines - version 4 (D2016-00125855).docx"/>
  </w:docVars>
  <w:rsids>
    <w:rsidRoot w:val="00197A0D"/>
    <w:rsid w:val="00003477"/>
    <w:rsid w:val="00006B9E"/>
    <w:rsid w:val="00010278"/>
    <w:rsid w:val="000113D6"/>
    <w:rsid w:val="00016498"/>
    <w:rsid w:val="00016AC7"/>
    <w:rsid w:val="000200A0"/>
    <w:rsid w:val="000222C0"/>
    <w:rsid w:val="000227EE"/>
    <w:rsid w:val="000263DC"/>
    <w:rsid w:val="000276B9"/>
    <w:rsid w:val="00027B91"/>
    <w:rsid w:val="0003022F"/>
    <w:rsid w:val="000347C6"/>
    <w:rsid w:val="00042365"/>
    <w:rsid w:val="00044D8E"/>
    <w:rsid w:val="00045887"/>
    <w:rsid w:val="00046B94"/>
    <w:rsid w:val="000533A7"/>
    <w:rsid w:val="00053CCE"/>
    <w:rsid w:val="00055EB3"/>
    <w:rsid w:val="000600CE"/>
    <w:rsid w:val="0006179D"/>
    <w:rsid w:val="00065BEC"/>
    <w:rsid w:val="000664BE"/>
    <w:rsid w:val="00067039"/>
    <w:rsid w:val="00070C0D"/>
    <w:rsid w:val="000731B8"/>
    <w:rsid w:val="000749F6"/>
    <w:rsid w:val="000751D5"/>
    <w:rsid w:val="00081D40"/>
    <w:rsid w:val="00081E52"/>
    <w:rsid w:val="0008333F"/>
    <w:rsid w:val="0008750B"/>
    <w:rsid w:val="00087FA6"/>
    <w:rsid w:val="000903F0"/>
    <w:rsid w:val="000A0427"/>
    <w:rsid w:val="000A39A8"/>
    <w:rsid w:val="000A51E1"/>
    <w:rsid w:val="000A64C0"/>
    <w:rsid w:val="000A6C53"/>
    <w:rsid w:val="000A6ECD"/>
    <w:rsid w:val="000B02A3"/>
    <w:rsid w:val="000C49B3"/>
    <w:rsid w:val="000C5FBF"/>
    <w:rsid w:val="000D021D"/>
    <w:rsid w:val="000D0765"/>
    <w:rsid w:val="000D0EEB"/>
    <w:rsid w:val="000D1955"/>
    <w:rsid w:val="000D204B"/>
    <w:rsid w:val="000D2285"/>
    <w:rsid w:val="000D5C1F"/>
    <w:rsid w:val="000D7CD1"/>
    <w:rsid w:val="000E064C"/>
    <w:rsid w:val="000E06D4"/>
    <w:rsid w:val="000E2428"/>
    <w:rsid w:val="000E4923"/>
    <w:rsid w:val="000E7809"/>
    <w:rsid w:val="000F1ED3"/>
    <w:rsid w:val="000F206C"/>
    <w:rsid w:val="000F25E6"/>
    <w:rsid w:val="000F51B1"/>
    <w:rsid w:val="00101A99"/>
    <w:rsid w:val="00102ADD"/>
    <w:rsid w:val="001101ED"/>
    <w:rsid w:val="00112732"/>
    <w:rsid w:val="001170BD"/>
    <w:rsid w:val="001307CD"/>
    <w:rsid w:val="00130EA5"/>
    <w:rsid w:val="0013149A"/>
    <w:rsid w:val="0013562E"/>
    <w:rsid w:val="0013660A"/>
    <w:rsid w:val="00136DEA"/>
    <w:rsid w:val="00141BDC"/>
    <w:rsid w:val="0014451D"/>
    <w:rsid w:val="00145FCA"/>
    <w:rsid w:val="00166F28"/>
    <w:rsid w:val="0016715A"/>
    <w:rsid w:val="001674D7"/>
    <w:rsid w:val="00173ED2"/>
    <w:rsid w:val="00175E60"/>
    <w:rsid w:val="001822DD"/>
    <w:rsid w:val="00185AB2"/>
    <w:rsid w:val="00187B2B"/>
    <w:rsid w:val="00192403"/>
    <w:rsid w:val="001939DE"/>
    <w:rsid w:val="00194A71"/>
    <w:rsid w:val="0019580E"/>
    <w:rsid w:val="001974A9"/>
    <w:rsid w:val="00197A0D"/>
    <w:rsid w:val="001A246A"/>
    <w:rsid w:val="001A2BBC"/>
    <w:rsid w:val="001A3C00"/>
    <w:rsid w:val="001B05B6"/>
    <w:rsid w:val="001B1D71"/>
    <w:rsid w:val="001B51EC"/>
    <w:rsid w:val="001B6CD9"/>
    <w:rsid w:val="001C20D1"/>
    <w:rsid w:val="001C6ACF"/>
    <w:rsid w:val="001D0D9E"/>
    <w:rsid w:val="001D200D"/>
    <w:rsid w:val="001D222D"/>
    <w:rsid w:val="001D432F"/>
    <w:rsid w:val="001D5901"/>
    <w:rsid w:val="001E1CF2"/>
    <w:rsid w:val="001E2DED"/>
    <w:rsid w:val="001E3098"/>
    <w:rsid w:val="001F1DE6"/>
    <w:rsid w:val="001F2EE7"/>
    <w:rsid w:val="001F5C3E"/>
    <w:rsid w:val="002018CF"/>
    <w:rsid w:val="002024A7"/>
    <w:rsid w:val="002038C7"/>
    <w:rsid w:val="00203A67"/>
    <w:rsid w:val="00205A7C"/>
    <w:rsid w:val="00207D1E"/>
    <w:rsid w:val="00207D22"/>
    <w:rsid w:val="00210232"/>
    <w:rsid w:val="002167E4"/>
    <w:rsid w:val="002170FE"/>
    <w:rsid w:val="00220EA3"/>
    <w:rsid w:val="002210E4"/>
    <w:rsid w:val="00223520"/>
    <w:rsid w:val="00224222"/>
    <w:rsid w:val="00225E89"/>
    <w:rsid w:val="00227E0F"/>
    <w:rsid w:val="00230546"/>
    <w:rsid w:val="00230D9F"/>
    <w:rsid w:val="00233865"/>
    <w:rsid w:val="00244E3F"/>
    <w:rsid w:val="00246DBA"/>
    <w:rsid w:val="00247536"/>
    <w:rsid w:val="00250106"/>
    <w:rsid w:val="00250EC0"/>
    <w:rsid w:val="00251D60"/>
    <w:rsid w:val="00253017"/>
    <w:rsid w:val="00255911"/>
    <w:rsid w:val="00257219"/>
    <w:rsid w:val="00261936"/>
    <w:rsid w:val="0026325C"/>
    <w:rsid w:val="00265991"/>
    <w:rsid w:val="00272596"/>
    <w:rsid w:val="00272FE2"/>
    <w:rsid w:val="002731DF"/>
    <w:rsid w:val="002803B3"/>
    <w:rsid w:val="00291749"/>
    <w:rsid w:val="002956ED"/>
    <w:rsid w:val="002A0BA6"/>
    <w:rsid w:val="002A280E"/>
    <w:rsid w:val="002A566D"/>
    <w:rsid w:val="002A6F12"/>
    <w:rsid w:val="002A75ED"/>
    <w:rsid w:val="002B1166"/>
    <w:rsid w:val="002B3C4B"/>
    <w:rsid w:val="002B440C"/>
    <w:rsid w:val="002B5C11"/>
    <w:rsid w:val="002D05D5"/>
    <w:rsid w:val="002D320E"/>
    <w:rsid w:val="002D44B6"/>
    <w:rsid w:val="002D4DAB"/>
    <w:rsid w:val="002D525E"/>
    <w:rsid w:val="002E58BA"/>
    <w:rsid w:val="002E678E"/>
    <w:rsid w:val="002F092C"/>
    <w:rsid w:val="002F1039"/>
    <w:rsid w:val="002F106A"/>
    <w:rsid w:val="002F3F79"/>
    <w:rsid w:val="00302118"/>
    <w:rsid w:val="0031281D"/>
    <w:rsid w:val="0031378E"/>
    <w:rsid w:val="00313E6D"/>
    <w:rsid w:val="00324A14"/>
    <w:rsid w:val="00325BC6"/>
    <w:rsid w:val="00327A2A"/>
    <w:rsid w:val="00331A87"/>
    <w:rsid w:val="00334DB8"/>
    <w:rsid w:val="003422CE"/>
    <w:rsid w:val="00342C1C"/>
    <w:rsid w:val="00346B72"/>
    <w:rsid w:val="00355B43"/>
    <w:rsid w:val="00357CC3"/>
    <w:rsid w:val="00364E32"/>
    <w:rsid w:val="00365EBC"/>
    <w:rsid w:val="00373BA3"/>
    <w:rsid w:val="003754FC"/>
    <w:rsid w:val="00375865"/>
    <w:rsid w:val="00375B30"/>
    <w:rsid w:val="0037784F"/>
    <w:rsid w:val="00381F3F"/>
    <w:rsid w:val="00383C56"/>
    <w:rsid w:val="00384018"/>
    <w:rsid w:val="003853B1"/>
    <w:rsid w:val="0038631D"/>
    <w:rsid w:val="00386D30"/>
    <w:rsid w:val="00386E08"/>
    <w:rsid w:val="003873BD"/>
    <w:rsid w:val="00387432"/>
    <w:rsid w:val="003876DC"/>
    <w:rsid w:val="00395938"/>
    <w:rsid w:val="00396FF9"/>
    <w:rsid w:val="003A01F7"/>
    <w:rsid w:val="003A3857"/>
    <w:rsid w:val="003A5F7D"/>
    <w:rsid w:val="003B2F0E"/>
    <w:rsid w:val="003B4C0F"/>
    <w:rsid w:val="003B5212"/>
    <w:rsid w:val="003B7451"/>
    <w:rsid w:val="003C000B"/>
    <w:rsid w:val="003C1FDB"/>
    <w:rsid w:val="003C3665"/>
    <w:rsid w:val="003C388D"/>
    <w:rsid w:val="003C777D"/>
    <w:rsid w:val="003C7F52"/>
    <w:rsid w:val="003D017F"/>
    <w:rsid w:val="003D33F7"/>
    <w:rsid w:val="003D5B4B"/>
    <w:rsid w:val="003D7984"/>
    <w:rsid w:val="003E29D7"/>
    <w:rsid w:val="003E3AB5"/>
    <w:rsid w:val="003E58BD"/>
    <w:rsid w:val="004004A8"/>
    <w:rsid w:val="0040208C"/>
    <w:rsid w:val="00406077"/>
    <w:rsid w:val="00406CAC"/>
    <w:rsid w:val="00406DCE"/>
    <w:rsid w:val="004078D5"/>
    <w:rsid w:val="00414EF1"/>
    <w:rsid w:val="00416370"/>
    <w:rsid w:val="00421B18"/>
    <w:rsid w:val="004224C1"/>
    <w:rsid w:val="00423BBE"/>
    <w:rsid w:val="00425EE0"/>
    <w:rsid w:val="00427A61"/>
    <w:rsid w:val="0043152E"/>
    <w:rsid w:val="004342DF"/>
    <w:rsid w:val="004423EB"/>
    <w:rsid w:val="00442D80"/>
    <w:rsid w:val="00443DDC"/>
    <w:rsid w:val="0044407F"/>
    <w:rsid w:val="004457ED"/>
    <w:rsid w:val="0045103F"/>
    <w:rsid w:val="004527E4"/>
    <w:rsid w:val="0045298C"/>
    <w:rsid w:val="0045491E"/>
    <w:rsid w:val="004566AE"/>
    <w:rsid w:val="00457457"/>
    <w:rsid w:val="00460E5E"/>
    <w:rsid w:val="00463526"/>
    <w:rsid w:val="00465112"/>
    <w:rsid w:val="0047147D"/>
    <w:rsid w:val="0047163F"/>
    <w:rsid w:val="00473892"/>
    <w:rsid w:val="00480CEA"/>
    <w:rsid w:val="004814C4"/>
    <w:rsid w:val="00481B20"/>
    <w:rsid w:val="00483E12"/>
    <w:rsid w:val="004906B2"/>
    <w:rsid w:val="004949DD"/>
    <w:rsid w:val="00496A01"/>
    <w:rsid w:val="004A28B8"/>
    <w:rsid w:val="004A4AA9"/>
    <w:rsid w:val="004A68D0"/>
    <w:rsid w:val="004A6D50"/>
    <w:rsid w:val="004A7005"/>
    <w:rsid w:val="004B256D"/>
    <w:rsid w:val="004B3911"/>
    <w:rsid w:val="004C2BE5"/>
    <w:rsid w:val="004C47B1"/>
    <w:rsid w:val="004D1435"/>
    <w:rsid w:val="004D1FB1"/>
    <w:rsid w:val="004E03EB"/>
    <w:rsid w:val="004E1E65"/>
    <w:rsid w:val="004E5354"/>
    <w:rsid w:val="004E5D03"/>
    <w:rsid w:val="004F11CD"/>
    <w:rsid w:val="004F152F"/>
    <w:rsid w:val="004F1742"/>
    <w:rsid w:val="004F5B68"/>
    <w:rsid w:val="004F674F"/>
    <w:rsid w:val="00501E07"/>
    <w:rsid w:val="00505E4C"/>
    <w:rsid w:val="005079D1"/>
    <w:rsid w:val="005127AB"/>
    <w:rsid w:val="005226D8"/>
    <w:rsid w:val="00524250"/>
    <w:rsid w:val="00525710"/>
    <w:rsid w:val="00525FA4"/>
    <w:rsid w:val="00531018"/>
    <w:rsid w:val="00535C8E"/>
    <w:rsid w:val="00540FCC"/>
    <w:rsid w:val="005417F4"/>
    <w:rsid w:val="00543634"/>
    <w:rsid w:val="00544B2F"/>
    <w:rsid w:val="00544EE4"/>
    <w:rsid w:val="005465D6"/>
    <w:rsid w:val="00547D87"/>
    <w:rsid w:val="0055027B"/>
    <w:rsid w:val="00550807"/>
    <w:rsid w:val="00554210"/>
    <w:rsid w:val="00556232"/>
    <w:rsid w:val="005642C5"/>
    <w:rsid w:val="00567099"/>
    <w:rsid w:val="0056768A"/>
    <w:rsid w:val="00567AE5"/>
    <w:rsid w:val="0057797C"/>
    <w:rsid w:val="005824AF"/>
    <w:rsid w:val="005843C9"/>
    <w:rsid w:val="0058741C"/>
    <w:rsid w:val="005875FD"/>
    <w:rsid w:val="0059324C"/>
    <w:rsid w:val="005A027D"/>
    <w:rsid w:val="005A0E84"/>
    <w:rsid w:val="005A20D1"/>
    <w:rsid w:val="005A2903"/>
    <w:rsid w:val="005B51F7"/>
    <w:rsid w:val="005B66E4"/>
    <w:rsid w:val="005B6E30"/>
    <w:rsid w:val="005C28E3"/>
    <w:rsid w:val="005C3C73"/>
    <w:rsid w:val="005C5FB9"/>
    <w:rsid w:val="005D2291"/>
    <w:rsid w:val="005D343E"/>
    <w:rsid w:val="005D4FA2"/>
    <w:rsid w:val="005E1971"/>
    <w:rsid w:val="005E61FE"/>
    <w:rsid w:val="005E676C"/>
    <w:rsid w:val="005F06E3"/>
    <w:rsid w:val="005F179A"/>
    <w:rsid w:val="005F3B43"/>
    <w:rsid w:val="00600629"/>
    <w:rsid w:val="00601F45"/>
    <w:rsid w:val="006063E2"/>
    <w:rsid w:val="00607EB2"/>
    <w:rsid w:val="0061157E"/>
    <w:rsid w:val="00617FAA"/>
    <w:rsid w:val="00623851"/>
    <w:rsid w:val="0062405E"/>
    <w:rsid w:val="00650144"/>
    <w:rsid w:val="00654C20"/>
    <w:rsid w:val="006550E6"/>
    <w:rsid w:val="00662441"/>
    <w:rsid w:val="0066570B"/>
    <w:rsid w:val="0066589E"/>
    <w:rsid w:val="00666670"/>
    <w:rsid w:val="0066672C"/>
    <w:rsid w:val="00667F9C"/>
    <w:rsid w:val="006746F2"/>
    <w:rsid w:val="006776B4"/>
    <w:rsid w:val="00686268"/>
    <w:rsid w:val="00692271"/>
    <w:rsid w:val="006933C6"/>
    <w:rsid w:val="00694E1F"/>
    <w:rsid w:val="006A2894"/>
    <w:rsid w:val="006A39A5"/>
    <w:rsid w:val="006A41AF"/>
    <w:rsid w:val="006A43A5"/>
    <w:rsid w:val="006A5214"/>
    <w:rsid w:val="006A5B0A"/>
    <w:rsid w:val="006B0A0E"/>
    <w:rsid w:val="006C2D40"/>
    <w:rsid w:val="006C4B89"/>
    <w:rsid w:val="006C55EC"/>
    <w:rsid w:val="006C71C1"/>
    <w:rsid w:val="006D0316"/>
    <w:rsid w:val="006D410E"/>
    <w:rsid w:val="006D690C"/>
    <w:rsid w:val="006E0793"/>
    <w:rsid w:val="006E19FF"/>
    <w:rsid w:val="006F20BC"/>
    <w:rsid w:val="006F2D65"/>
    <w:rsid w:val="006F38B2"/>
    <w:rsid w:val="006F6BD1"/>
    <w:rsid w:val="00700124"/>
    <w:rsid w:val="0070311B"/>
    <w:rsid w:val="007116BE"/>
    <w:rsid w:val="0071294D"/>
    <w:rsid w:val="00714404"/>
    <w:rsid w:val="00716AD7"/>
    <w:rsid w:val="00721AD3"/>
    <w:rsid w:val="007255D7"/>
    <w:rsid w:val="00725E2A"/>
    <w:rsid w:val="0073113C"/>
    <w:rsid w:val="0073287F"/>
    <w:rsid w:val="007347FE"/>
    <w:rsid w:val="007368D2"/>
    <w:rsid w:val="007378E9"/>
    <w:rsid w:val="00737F29"/>
    <w:rsid w:val="00740A6F"/>
    <w:rsid w:val="0074400E"/>
    <w:rsid w:val="00745BC9"/>
    <w:rsid w:val="00756C5D"/>
    <w:rsid w:val="0076323D"/>
    <w:rsid w:val="00765CC4"/>
    <w:rsid w:val="00767FF1"/>
    <w:rsid w:val="00773AF4"/>
    <w:rsid w:val="007774C9"/>
    <w:rsid w:val="007819C5"/>
    <w:rsid w:val="00781BAA"/>
    <w:rsid w:val="00781EC5"/>
    <w:rsid w:val="007838E4"/>
    <w:rsid w:val="007841E3"/>
    <w:rsid w:val="0078432A"/>
    <w:rsid w:val="007864BB"/>
    <w:rsid w:val="00786D34"/>
    <w:rsid w:val="00795C15"/>
    <w:rsid w:val="00796418"/>
    <w:rsid w:val="007965C2"/>
    <w:rsid w:val="007A136E"/>
    <w:rsid w:val="007A3B87"/>
    <w:rsid w:val="007B04FB"/>
    <w:rsid w:val="007B1D93"/>
    <w:rsid w:val="007B421F"/>
    <w:rsid w:val="007B475E"/>
    <w:rsid w:val="007B5F44"/>
    <w:rsid w:val="007B6F3F"/>
    <w:rsid w:val="007C5314"/>
    <w:rsid w:val="007C6693"/>
    <w:rsid w:val="007D07A7"/>
    <w:rsid w:val="007D084B"/>
    <w:rsid w:val="007D1F12"/>
    <w:rsid w:val="007D4DAF"/>
    <w:rsid w:val="007E13A5"/>
    <w:rsid w:val="007E30E7"/>
    <w:rsid w:val="007F2C13"/>
    <w:rsid w:val="007F76C6"/>
    <w:rsid w:val="0080115C"/>
    <w:rsid w:val="00801BCF"/>
    <w:rsid w:val="0080461D"/>
    <w:rsid w:val="008163AF"/>
    <w:rsid w:val="00817115"/>
    <w:rsid w:val="008235A5"/>
    <w:rsid w:val="008244B2"/>
    <w:rsid w:val="00826CC6"/>
    <w:rsid w:val="008340CD"/>
    <w:rsid w:val="008348B2"/>
    <w:rsid w:val="00835FEA"/>
    <w:rsid w:val="00840192"/>
    <w:rsid w:val="0084081F"/>
    <w:rsid w:val="008429B0"/>
    <w:rsid w:val="00847401"/>
    <w:rsid w:val="008475BB"/>
    <w:rsid w:val="0085126E"/>
    <w:rsid w:val="00857142"/>
    <w:rsid w:val="008610A1"/>
    <w:rsid w:val="0086157B"/>
    <w:rsid w:val="00862CA8"/>
    <w:rsid w:val="00863CDF"/>
    <w:rsid w:val="0086408C"/>
    <w:rsid w:val="008700A9"/>
    <w:rsid w:val="00870E29"/>
    <w:rsid w:val="00874FC7"/>
    <w:rsid w:val="00875474"/>
    <w:rsid w:val="00880609"/>
    <w:rsid w:val="00883274"/>
    <w:rsid w:val="00886DC8"/>
    <w:rsid w:val="00887C26"/>
    <w:rsid w:val="00891117"/>
    <w:rsid w:val="00891D48"/>
    <w:rsid w:val="00892A98"/>
    <w:rsid w:val="00894AB9"/>
    <w:rsid w:val="008A0D3A"/>
    <w:rsid w:val="008A1C04"/>
    <w:rsid w:val="008A2138"/>
    <w:rsid w:val="008A3DE9"/>
    <w:rsid w:val="008A4EEC"/>
    <w:rsid w:val="008A624A"/>
    <w:rsid w:val="008A7B39"/>
    <w:rsid w:val="008B0D1F"/>
    <w:rsid w:val="008B0F46"/>
    <w:rsid w:val="008B1BDD"/>
    <w:rsid w:val="008B2BF0"/>
    <w:rsid w:val="008B5EC8"/>
    <w:rsid w:val="008B6EA2"/>
    <w:rsid w:val="008B71B8"/>
    <w:rsid w:val="008C2E41"/>
    <w:rsid w:val="008C3501"/>
    <w:rsid w:val="008D457C"/>
    <w:rsid w:val="008D537C"/>
    <w:rsid w:val="008D7528"/>
    <w:rsid w:val="008E0F29"/>
    <w:rsid w:val="008E1075"/>
    <w:rsid w:val="008E1F32"/>
    <w:rsid w:val="008E44A6"/>
    <w:rsid w:val="008E4A2E"/>
    <w:rsid w:val="008E745B"/>
    <w:rsid w:val="008F2B22"/>
    <w:rsid w:val="008F427B"/>
    <w:rsid w:val="008F4959"/>
    <w:rsid w:val="008F4BC2"/>
    <w:rsid w:val="008F51EB"/>
    <w:rsid w:val="009015D8"/>
    <w:rsid w:val="0090282A"/>
    <w:rsid w:val="009028D2"/>
    <w:rsid w:val="0090575A"/>
    <w:rsid w:val="00912011"/>
    <w:rsid w:val="00913D75"/>
    <w:rsid w:val="00913F40"/>
    <w:rsid w:val="0091493B"/>
    <w:rsid w:val="009157F7"/>
    <w:rsid w:val="00915EDF"/>
    <w:rsid w:val="009225C2"/>
    <w:rsid w:val="009232D8"/>
    <w:rsid w:val="009327A0"/>
    <w:rsid w:val="00935347"/>
    <w:rsid w:val="00936049"/>
    <w:rsid w:val="0093640F"/>
    <w:rsid w:val="00943593"/>
    <w:rsid w:val="00947F0C"/>
    <w:rsid w:val="009555BC"/>
    <w:rsid w:val="009569C1"/>
    <w:rsid w:val="00957F3E"/>
    <w:rsid w:val="009611DA"/>
    <w:rsid w:val="009616F6"/>
    <w:rsid w:val="00962108"/>
    <w:rsid w:val="00976065"/>
    <w:rsid w:val="009763F6"/>
    <w:rsid w:val="00981A15"/>
    <w:rsid w:val="00981DB4"/>
    <w:rsid w:val="00982D9C"/>
    <w:rsid w:val="00984A43"/>
    <w:rsid w:val="00997326"/>
    <w:rsid w:val="009A46F9"/>
    <w:rsid w:val="009A6175"/>
    <w:rsid w:val="009B045C"/>
    <w:rsid w:val="009B14F2"/>
    <w:rsid w:val="009B5325"/>
    <w:rsid w:val="009B5EC9"/>
    <w:rsid w:val="009C613C"/>
    <w:rsid w:val="009D56D5"/>
    <w:rsid w:val="009D5D59"/>
    <w:rsid w:val="009D62AB"/>
    <w:rsid w:val="009D707B"/>
    <w:rsid w:val="009D7ED6"/>
    <w:rsid w:val="009E3F55"/>
    <w:rsid w:val="009F5B7A"/>
    <w:rsid w:val="00A06A5D"/>
    <w:rsid w:val="00A117E4"/>
    <w:rsid w:val="00A12EAE"/>
    <w:rsid w:val="00A14CF4"/>
    <w:rsid w:val="00A178CC"/>
    <w:rsid w:val="00A21831"/>
    <w:rsid w:val="00A22D13"/>
    <w:rsid w:val="00A267E6"/>
    <w:rsid w:val="00A454B9"/>
    <w:rsid w:val="00A47E47"/>
    <w:rsid w:val="00A5187B"/>
    <w:rsid w:val="00A5268E"/>
    <w:rsid w:val="00A53328"/>
    <w:rsid w:val="00A550ED"/>
    <w:rsid w:val="00A55D47"/>
    <w:rsid w:val="00A66707"/>
    <w:rsid w:val="00A67324"/>
    <w:rsid w:val="00A705F9"/>
    <w:rsid w:val="00A723AB"/>
    <w:rsid w:val="00A779B8"/>
    <w:rsid w:val="00A80F73"/>
    <w:rsid w:val="00A874E1"/>
    <w:rsid w:val="00A8791B"/>
    <w:rsid w:val="00A910D4"/>
    <w:rsid w:val="00A94A4E"/>
    <w:rsid w:val="00A951FB"/>
    <w:rsid w:val="00AA38B2"/>
    <w:rsid w:val="00AA50BB"/>
    <w:rsid w:val="00AA516B"/>
    <w:rsid w:val="00AA7F0F"/>
    <w:rsid w:val="00AB3BE8"/>
    <w:rsid w:val="00AB3C96"/>
    <w:rsid w:val="00AB4987"/>
    <w:rsid w:val="00AC2B3B"/>
    <w:rsid w:val="00AC7726"/>
    <w:rsid w:val="00AD0968"/>
    <w:rsid w:val="00AD2962"/>
    <w:rsid w:val="00AD55CF"/>
    <w:rsid w:val="00AE390E"/>
    <w:rsid w:val="00AE7E16"/>
    <w:rsid w:val="00AF096C"/>
    <w:rsid w:val="00AF1A72"/>
    <w:rsid w:val="00AF3EA1"/>
    <w:rsid w:val="00AF5B5A"/>
    <w:rsid w:val="00AF5F0B"/>
    <w:rsid w:val="00B00E79"/>
    <w:rsid w:val="00B026AF"/>
    <w:rsid w:val="00B036B5"/>
    <w:rsid w:val="00B04E28"/>
    <w:rsid w:val="00B0740F"/>
    <w:rsid w:val="00B14A00"/>
    <w:rsid w:val="00B17A22"/>
    <w:rsid w:val="00B20217"/>
    <w:rsid w:val="00B216B0"/>
    <w:rsid w:val="00B246CA"/>
    <w:rsid w:val="00B2492A"/>
    <w:rsid w:val="00B2580F"/>
    <w:rsid w:val="00B3515C"/>
    <w:rsid w:val="00B37186"/>
    <w:rsid w:val="00B37598"/>
    <w:rsid w:val="00B37886"/>
    <w:rsid w:val="00B45974"/>
    <w:rsid w:val="00B46283"/>
    <w:rsid w:val="00B47017"/>
    <w:rsid w:val="00B5195B"/>
    <w:rsid w:val="00B55015"/>
    <w:rsid w:val="00B577F3"/>
    <w:rsid w:val="00B610EE"/>
    <w:rsid w:val="00B62866"/>
    <w:rsid w:val="00B70063"/>
    <w:rsid w:val="00B70E55"/>
    <w:rsid w:val="00B77EB3"/>
    <w:rsid w:val="00B801CA"/>
    <w:rsid w:val="00B802C8"/>
    <w:rsid w:val="00B8310D"/>
    <w:rsid w:val="00B83843"/>
    <w:rsid w:val="00B83E1D"/>
    <w:rsid w:val="00B84B17"/>
    <w:rsid w:val="00B95EB4"/>
    <w:rsid w:val="00B96495"/>
    <w:rsid w:val="00BA37F1"/>
    <w:rsid w:val="00BA6284"/>
    <w:rsid w:val="00BB2ACB"/>
    <w:rsid w:val="00BB6982"/>
    <w:rsid w:val="00BC2312"/>
    <w:rsid w:val="00BC231C"/>
    <w:rsid w:val="00BC2459"/>
    <w:rsid w:val="00BC3BF4"/>
    <w:rsid w:val="00BC63DE"/>
    <w:rsid w:val="00BC676A"/>
    <w:rsid w:val="00BC68C0"/>
    <w:rsid w:val="00BD13A7"/>
    <w:rsid w:val="00BD154F"/>
    <w:rsid w:val="00BD6D41"/>
    <w:rsid w:val="00BE65E5"/>
    <w:rsid w:val="00BF45D7"/>
    <w:rsid w:val="00BF4EB2"/>
    <w:rsid w:val="00BF5127"/>
    <w:rsid w:val="00BF7C35"/>
    <w:rsid w:val="00C01901"/>
    <w:rsid w:val="00C026C5"/>
    <w:rsid w:val="00C07406"/>
    <w:rsid w:val="00C109C7"/>
    <w:rsid w:val="00C11A40"/>
    <w:rsid w:val="00C14AE7"/>
    <w:rsid w:val="00C1502B"/>
    <w:rsid w:val="00C24638"/>
    <w:rsid w:val="00C24D3B"/>
    <w:rsid w:val="00C24D9C"/>
    <w:rsid w:val="00C26833"/>
    <w:rsid w:val="00C2729E"/>
    <w:rsid w:val="00C344AB"/>
    <w:rsid w:val="00C3603D"/>
    <w:rsid w:val="00C40AD3"/>
    <w:rsid w:val="00C42352"/>
    <w:rsid w:val="00C44EE3"/>
    <w:rsid w:val="00C45620"/>
    <w:rsid w:val="00C471B9"/>
    <w:rsid w:val="00C50256"/>
    <w:rsid w:val="00C54556"/>
    <w:rsid w:val="00C556EB"/>
    <w:rsid w:val="00C56C82"/>
    <w:rsid w:val="00C573A5"/>
    <w:rsid w:val="00C64A8B"/>
    <w:rsid w:val="00C67AA3"/>
    <w:rsid w:val="00C730C7"/>
    <w:rsid w:val="00C7456B"/>
    <w:rsid w:val="00C86863"/>
    <w:rsid w:val="00C87295"/>
    <w:rsid w:val="00C87698"/>
    <w:rsid w:val="00C87A4A"/>
    <w:rsid w:val="00C908F3"/>
    <w:rsid w:val="00C93331"/>
    <w:rsid w:val="00C947B3"/>
    <w:rsid w:val="00C95315"/>
    <w:rsid w:val="00CA0C96"/>
    <w:rsid w:val="00CA2F5E"/>
    <w:rsid w:val="00CA4E43"/>
    <w:rsid w:val="00CA5DBE"/>
    <w:rsid w:val="00CB0A29"/>
    <w:rsid w:val="00CB2A7A"/>
    <w:rsid w:val="00CB5CB0"/>
    <w:rsid w:val="00CC0944"/>
    <w:rsid w:val="00CC1E8F"/>
    <w:rsid w:val="00CC1FA5"/>
    <w:rsid w:val="00CC5419"/>
    <w:rsid w:val="00CC659E"/>
    <w:rsid w:val="00CD3FD1"/>
    <w:rsid w:val="00CD6C20"/>
    <w:rsid w:val="00CE0CC8"/>
    <w:rsid w:val="00CE10AF"/>
    <w:rsid w:val="00CE4217"/>
    <w:rsid w:val="00CE7713"/>
    <w:rsid w:val="00CF184F"/>
    <w:rsid w:val="00CF1981"/>
    <w:rsid w:val="00D042EA"/>
    <w:rsid w:val="00D11C03"/>
    <w:rsid w:val="00D132A2"/>
    <w:rsid w:val="00D15C2D"/>
    <w:rsid w:val="00D15E2C"/>
    <w:rsid w:val="00D260D2"/>
    <w:rsid w:val="00D3061A"/>
    <w:rsid w:val="00D3066D"/>
    <w:rsid w:val="00D31F1F"/>
    <w:rsid w:val="00D3486D"/>
    <w:rsid w:val="00D43183"/>
    <w:rsid w:val="00D43370"/>
    <w:rsid w:val="00D50D3E"/>
    <w:rsid w:val="00D545A4"/>
    <w:rsid w:val="00D56425"/>
    <w:rsid w:val="00D61415"/>
    <w:rsid w:val="00D629BB"/>
    <w:rsid w:val="00D63118"/>
    <w:rsid w:val="00D661AB"/>
    <w:rsid w:val="00D66F22"/>
    <w:rsid w:val="00D67B8E"/>
    <w:rsid w:val="00D71C37"/>
    <w:rsid w:val="00D7527A"/>
    <w:rsid w:val="00D773C8"/>
    <w:rsid w:val="00D7788B"/>
    <w:rsid w:val="00D81E84"/>
    <w:rsid w:val="00D83732"/>
    <w:rsid w:val="00D85A06"/>
    <w:rsid w:val="00D865AD"/>
    <w:rsid w:val="00D9117C"/>
    <w:rsid w:val="00D933BD"/>
    <w:rsid w:val="00D95788"/>
    <w:rsid w:val="00D95AC8"/>
    <w:rsid w:val="00D95BD5"/>
    <w:rsid w:val="00DA058D"/>
    <w:rsid w:val="00DA568F"/>
    <w:rsid w:val="00DB346F"/>
    <w:rsid w:val="00DB6CFF"/>
    <w:rsid w:val="00DC4FA3"/>
    <w:rsid w:val="00DC5CBC"/>
    <w:rsid w:val="00DD0069"/>
    <w:rsid w:val="00DD1263"/>
    <w:rsid w:val="00DD225E"/>
    <w:rsid w:val="00DD258C"/>
    <w:rsid w:val="00DD58BD"/>
    <w:rsid w:val="00DE49F7"/>
    <w:rsid w:val="00DE6262"/>
    <w:rsid w:val="00DE6824"/>
    <w:rsid w:val="00DF0710"/>
    <w:rsid w:val="00DF1C7A"/>
    <w:rsid w:val="00DF1D35"/>
    <w:rsid w:val="00DF253E"/>
    <w:rsid w:val="00DF43A2"/>
    <w:rsid w:val="00DF6DA8"/>
    <w:rsid w:val="00E01B54"/>
    <w:rsid w:val="00E022CC"/>
    <w:rsid w:val="00E11D7A"/>
    <w:rsid w:val="00E14819"/>
    <w:rsid w:val="00E14CEA"/>
    <w:rsid w:val="00E16564"/>
    <w:rsid w:val="00E20052"/>
    <w:rsid w:val="00E221AE"/>
    <w:rsid w:val="00E2392D"/>
    <w:rsid w:val="00E2428D"/>
    <w:rsid w:val="00E2606B"/>
    <w:rsid w:val="00E31EE9"/>
    <w:rsid w:val="00E367C0"/>
    <w:rsid w:val="00E405A3"/>
    <w:rsid w:val="00E524E3"/>
    <w:rsid w:val="00E564CF"/>
    <w:rsid w:val="00E61F0B"/>
    <w:rsid w:val="00E62BC8"/>
    <w:rsid w:val="00E63178"/>
    <w:rsid w:val="00E67D84"/>
    <w:rsid w:val="00E72375"/>
    <w:rsid w:val="00E72EF4"/>
    <w:rsid w:val="00E747B9"/>
    <w:rsid w:val="00E75AE2"/>
    <w:rsid w:val="00E83B72"/>
    <w:rsid w:val="00E9084C"/>
    <w:rsid w:val="00E92C26"/>
    <w:rsid w:val="00E9434A"/>
    <w:rsid w:val="00E978D4"/>
    <w:rsid w:val="00EA0FEB"/>
    <w:rsid w:val="00EA56AF"/>
    <w:rsid w:val="00EA5765"/>
    <w:rsid w:val="00EA57C7"/>
    <w:rsid w:val="00EA580D"/>
    <w:rsid w:val="00EA61B9"/>
    <w:rsid w:val="00EB252E"/>
    <w:rsid w:val="00EB4A17"/>
    <w:rsid w:val="00EB5CF7"/>
    <w:rsid w:val="00EC005E"/>
    <w:rsid w:val="00EC1373"/>
    <w:rsid w:val="00EC34F6"/>
    <w:rsid w:val="00ED0A9C"/>
    <w:rsid w:val="00ED10E8"/>
    <w:rsid w:val="00ED2BFC"/>
    <w:rsid w:val="00ED617D"/>
    <w:rsid w:val="00EE3361"/>
    <w:rsid w:val="00EE500C"/>
    <w:rsid w:val="00EE5C06"/>
    <w:rsid w:val="00EE5C52"/>
    <w:rsid w:val="00EE6873"/>
    <w:rsid w:val="00EF2B7E"/>
    <w:rsid w:val="00EF456F"/>
    <w:rsid w:val="00F07268"/>
    <w:rsid w:val="00F11BCE"/>
    <w:rsid w:val="00F11BD2"/>
    <w:rsid w:val="00F134B9"/>
    <w:rsid w:val="00F13AA6"/>
    <w:rsid w:val="00F13BF4"/>
    <w:rsid w:val="00F17BD9"/>
    <w:rsid w:val="00F201B1"/>
    <w:rsid w:val="00F20820"/>
    <w:rsid w:val="00F20BBD"/>
    <w:rsid w:val="00F227AF"/>
    <w:rsid w:val="00F320E8"/>
    <w:rsid w:val="00F35AB4"/>
    <w:rsid w:val="00F4016A"/>
    <w:rsid w:val="00F4030C"/>
    <w:rsid w:val="00F412C9"/>
    <w:rsid w:val="00F44D9B"/>
    <w:rsid w:val="00F459B9"/>
    <w:rsid w:val="00F46C12"/>
    <w:rsid w:val="00F52C5E"/>
    <w:rsid w:val="00F5338B"/>
    <w:rsid w:val="00F544FC"/>
    <w:rsid w:val="00F60213"/>
    <w:rsid w:val="00F65EA0"/>
    <w:rsid w:val="00F67200"/>
    <w:rsid w:val="00F71127"/>
    <w:rsid w:val="00F81D87"/>
    <w:rsid w:val="00F82759"/>
    <w:rsid w:val="00F86A1B"/>
    <w:rsid w:val="00F87AEA"/>
    <w:rsid w:val="00F90D53"/>
    <w:rsid w:val="00F92516"/>
    <w:rsid w:val="00F93F35"/>
    <w:rsid w:val="00F94117"/>
    <w:rsid w:val="00F95B26"/>
    <w:rsid w:val="00FA16D7"/>
    <w:rsid w:val="00FA3305"/>
    <w:rsid w:val="00FA433D"/>
    <w:rsid w:val="00FA7A6C"/>
    <w:rsid w:val="00FB3452"/>
    <w:rsid w:val="00FB7F8B"/>
    <w:rsid w:val="00FB7FDA"/>
    <w:rsid w:val="00FC24C5"/>
    <w:rsid w:val="00FC3E6B"/>
    <w:rsid w:val="00FC5744"/>
    <w:rsid w:val="00FC647D"/>
    <w:rsid w:val="00FD01FB"/>
    <w:rsid w:val="00FD06BD"/>
    <w:rsid w:val="00FD2E7F"/>
    <w:rsid w:val="00FD41B0"/>
    <w:rsid w:val="00FD6B32"/>
    <w:rsid w:val="00FD7940"/>
    <w:rsid w:val="00FE2C81"/>
    <w:rsid w:val="00FE7101"/>
    <w:rsid w:val="00FF2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 w:qFormat="1"/>
    <w:lsdException w:name="footer" w:qFormat="1"/>
    <w:lsdException w:name="caption" w:uiPriority="35" w:qFormat="1"/>
    <w:lsdException w:name="List Number 2"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97A0D"/>
    <w:rPr>
      <w:rFonts w:ascii="Arial" w:hAnsi="Arial"/>
    </w:rPr>
  </w:style>
  <w:style w:type="paragraph" w:styleId="Heading1">
    <w:name w:val="heading 1"/>
    <w:basedOn w:val="Normal"/>
    <w:next w:val="Normal"/>
    <w:link w:val="Heading1Char"/>
    <w:uiPriority w:val="9"/>
    <w:qFormat/>
    <w:rsid w:val="00525FA4"/>
    <w:pPr>
      <w:keepNext/>
      <w:keepLines/>
      <w:pageBreakBefore/>
      <w:numPr>
        <w:numId w:val="8"/>
      </w:numPr>
      <w:spacing w:before="240"/>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numPr>
        <w:ilvl w:val="1"/>
        <w:numId w:val="8"/>
      </w:numPr>
      <w:spacing w:before="240"/>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numPr>
        <w:ilvl w:val="2"/>
        <w:numId w:val="8"/>
      </w:numPr>
      <w:spacing w:before="24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numPr>
        <w:ilvl w:val="3"/>
        <w:numId w:val="8"/>
      </w:numPr>
      <w:spacing w:before="240"/>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numPr>
        <w:ilvl w:val="4"/>
        <w:numId w:val="8"/>
      </w:numPr>
      <w:spacing w:before="240"/>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numPr>
        <w:ilvl w:val="5"/>
        <w:numId w:val="8"/>
      </w:numPr>
      <w:spacing w:before="240"/>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numPr>
        <w:ilvl w:val="6"/>
        <w:numId w:val="8"/>
      </w:numPr>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numPr>
        <w:ilvl w:val="7"/>
        <w:numId w:val="8"/>
      </w:numPr>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numPr>
        <w:ilvl w:val="8"/>
        <w:numId w:val="8"/>
      </w:numPr>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525FA4"/>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2"/>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2"/>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IntenseReference">
    <w:name w:val="Intense Reference"/>
    <w:basedOn w:val="DefaultParagraphFont"/>
    <w:uiPriority w:val="32"/>
    <w:rsid w:val="0073113C"/>
    <w:rPr>
      <w:b/>
      <w:bCs/>
      <w:smallCaps/>
      <w:color w:val="C14E00" w:themeColor="accent2"/>
      <w:spacing w:val="5"/>
      <w:u w:val="single"/>
    </w:rPr>
  </w:style>
  <w:style w:type="character" w:styleId="SubtleEmphasis">
    <w:name w:val="Subtle Emphasis"/>
    <w:basedOn w:val="DefaultParagraphFont"/>
    <w:uiPriority w:val="19"/>
    <w:rsid w:val="0073113C"/>
    <w:rPr>
      <w:i/>
      <w:iCs/>
      <w:color w:val="55C7F7" w:themeColor="text1" w:themeTint="7F"/>
    </w:rPr>
  </w:style>
  <w:style w:type="paragraph" w:customStyle="1" w:styleId="AERbodytext">
    <w:name w:val="AER body text"/>
    <w:link w:val="AERbodytextChar"/>
    <w:qFormat/>
    <w:rsid w:val="00FC647D"/>
    <w:pPr>
      <w:spacing w:before="0" w:after="240" w:line="288" w:lineRule="auto"/>
      <w:jc w:val="both"/>
    </w:pPr>
    <w:rPr>
      <w:rFonts w:ascii="Gautami" w:eastAsia="Times New Roman" w:hAnsi="Gautami" w:cs="Times New Roman"/>
      <w:sz w:val="20"/>
      <w:szCs w:val="24"/>
    </w:rPr>
  </w:style>
  <w:style w:type="paragraph" w:customStyle="1" w:styleId="AERtabletext">
    <w:name w:val="AER table text"/>
    <w:basedOn w:val="Normal"/>
    <w:rsid w:val="00FC647D"/>
    <w:pPr>
      <w:widowControl w:val="0"/>
      <w:spacing w:line="288" w:lineRule="auto"/>
    </w:pPr>
    <w:rPr>
      <w:rFonts w:ascii="Gautami" w:eastAsia="Times New Roman" w:hAnsi="Gautami" w:cs="Times New Roman"/>
      <w:sz w:val="16"/>
      <w:szCs w:val="24"/>
    </w:rPr>
  </w:style>
  <w:style w:type="character" w:customStyle="1" w:styleId="AERbodytextChar">
    <w:name w:val="AER body text Char"/>
    <w:link w:val="AERbodytext"/>
    <w:rsid w:val="00FC647D"/>
    <w:rPr>
      <w:rFonts w:ascii="Gautami" w:eastAsia="Times New Roman" w:hAnsi="Gautami" w:cs="Times New Roman"/>
      <w:sz w:val="20"/>
      <w:szCs w:val="24"/>
    </w:rPr>
  </w:style>
  <w:style w:type="paragraph" w:styleId="ListBullet">
    <w:name w:val="List Bullet"/>
    <w:basedOn w:val="Normal"/>
    <w:uiPriority w:val="99"/>
    <w:unhideWhenUsed/>
    <w:rsid w:val="00E01B54"/>
    <w:pPr>
      <w:numPr>
        <w:numId w:val="9"/>
      </w:numPr>
      <w:tabs>
        <w:tab w:val="left" w:pos="340"/>
      </w:tabs>
      <w:spacing w:after="0"/>
      <w:ind w:left="340" w:hanging="340"/>
    </w:pPr>
  </w:style>
  <w:style w:type="paragraph" w:customStyle="1" w:styleId="StyleCopyrightBefore0pt">
    <w:name w:val="Style Copyright + Before:  0 pt"/>
    <w:basedOn w:val="Copyright"/>
    <w:rsid w:val="00E01B54"/>
    <w:pPr>
      <w:spacing w:before="120" w:after="0"/>
      <w:contextualSpacing w:val="0"/>
    </w:pPr>
    <w:rPr>
      <w:rFonts w:eastAsia="Times New Roman" w:cs="Times New Roman"/>
    </w:rPr>
  </w:style>
  <w:style w:type="paragraph" w:customStyle="1" w:styleId="AERbulletlistfirststyle">
    <w:name w:val="AER bullet list (first style)"/>
    <w:basedOn w:val="Normal"/>
    <w:rsid w:val="00D95AC8"/>
    <w:pPr>
      <w:numPr>
        <w:numId w:val="11"/>
      </w:numPr>
      <w:tabs>
        <w:tab w:val="left" w:pos="567"/>
      </w:tabs>
      <w:spacing w:before="0" w:after="240" w:line="240" w:lineRule="atLeast"/>
    </w:pPr>
    <w:rPr>
      <w:rFonts w:ascii="Times New Roman" w:eastAsia="Times New Roman" w:hAnsi="Times New Roman" w:cs="Times New Roman"/>
      <w:sz w:val="24"/>
      <w:szCs w:val="24"/>
    </w:rPr>
  </w:style>
  <w:style w:type="paragraph" w:customStyle="1" w:styleId="AERnumberedlistfirststyle">
    <w:name w:val="AER numbered list (first style)"/>
    <w:basedOn w:val="AERbodytext"/>
    <w:rsid w:val="00065BEC"/>
    <w:pPr>
      <w:numPr>
        <w:numId w:val="12"/>
      </w:numPr>
      <w:spacing w:after="200" w:line="200" w:lineRule="atLeast"/>
    </w:pPr>
  </w:style>
  <w:style w:type="paragraph" w:customStyle="1" w:styleId="Default">
    <w:name w:val="Default"/>
    <w:rsid w:val="00FF2482"/>
    <w:pPr>
      <w:autoSpaceDE w:val="0"/>
      <w:autoSpaceDN w:val="0"/>
      <w:adjustRightInd w:val="0"/>
      <w:spacing w:before="0"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D06BD"/>
    <w:rPr>
      <w:sz w:val="16"/>
      <w:szCs w:val="16"/>
    </w:rPr>
  </w:style>
  <w:style w:type="paragraph" w:styleId="CommentText">
    <w:name w:val="annotation text"/>
    <w:basedOn w:val="Normal"/>
    <w:link w:val="CommentTextChar"/>
    <w:uiPriority w:val="99"/>
    <w:unhideWhenUsed/>
    <w:rsid w:val="00FD06BD"/>
    <w:pPr>
      <w:spacing w:line="240" w:lineRule="auto"/>
    </w:pPr>
    <w:rPr>
      <w:sz w:val="20"/>
      <w:szCs w:val="20"/>
    </w:rPr>
  </w:style>
  <w:style w:type="character" w:customStyle="1" w:styleId="CommentTextChar">
    <w:name w:val="Comment Text Char"/>
    <w:basedOn w:val="DefaultParagraphFont"/>
    <w:link w:val="CommentText"/>
    <w:uiPriority w:val="99"/>
    <w:rsid w:val="00FD06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06BD"/>
    <w:rPr>
      <w:b/>
      <w:bCs/>
    </w:rPr>
  </w:style>
  <w:style w:type="character" w:customStyle="1" w:styleId="CommentSubjectChar">
    <w:name w:val="Comment Subject Char"/>
    <w:basedOn w:val="CommentTextChar"/>
    <w:link w:val="CommentSubject"/>
    <w:uiPriority w:val="99"/>
    <w:semiHidden/>
    <w:rsid w:val="00FD06BD"/>
    <w:rPr>
      <w:rFonts w:ascii="Arial" w:hAnsi="Arial"/>
      <w:b/>
      <w:bCs/>
      <w:sz w:val="20"/>
      <w:szCs w:val="20"/>
    </w:rPr>
  </w:style>
  <w:style w:type="table" w:styleId="LightShading">
    <w:name w:val="Light Shading"/>
    <w:basedOn w:val="TableNormal"/>
    <w:uiPriority w:val="60"/>
    <w:rsid w:val="009B045C"/>
    <w:pPr>
      <w:spacing w:line="240" w:lineRule="auto"/>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paragraph" w:styleId="ListNumber2">
    <w:name w:val="List Number 2"/>
    <w:next w:val="Normal"/>
    <w:rsid w:val="009D62AB"/>
    <w:pPr>
      <w:numPr>
        <w:numId w:val="16"/>
      </w:numPr>
      <w:tabs>
        <w:tab w:val="left" w:pos="680"/>
      </w:tabs>
      <w:spacing w:after="0" w:line="240" w:lineRule="auto"/>
    </w:pPr>
    <w:rPr>
      <w:rFonts w:ascii="Arial" w:hAnsi="Arial"/>
    </w:rPr>
  </w:style>
  <w:style w:type="character" w:styleId="FollowedHyperlink">
    <w:name w:val="FollowedHyperlink"/>
    <w:basedOn w:val="DefaultParagraphFont"/>
    <w:uiPriority w:val="99"/>
    <w:semiHidden/>
    <w:unhideWhenUsed/>
    <w:rsid w:val="00A12EAE"/>
    <w:rPr>
      <w:color w:val="800080" w:themeColor="followedHyperlink"/>
      <w:u w:val="single"/>
    </w:rPr>
  </w:style>
  <w:style w:type="paragraph" w:customStyle="1" w:styleId="Bulletpoint2">
    <w:name w:val="Bullet point 2"/>
    <w:basedOn w:val="ListBullet2"/>
    <w:uiPriority w:val="1"/>
    <w:qFormat/>
    <w:rsid w:val="00662441"/>
    <w:pPr>
      <w:tabs>
        <w:tab w:val="left" w:pos="680"/>
      </w:tabs>
      <w:spacing w:after="0" w:line="240" w:lineRule="auto"/>
      <w:ind w:left="680" w:hanging="340"/>
      <w:contextualSpacing w:val="0"/>
    </w:pPr>
    <w:rPr>
      <w:rFonts w:ascii="Times New Roman" w:eastAsia="Times New Roman" w:hAnsi="Times New Roman" w:cs="Times New Roman"/>
      <w:sz w:val="24"/>
      <w:szCs w:val="24"/>
      <w:lang w:eastAsia="en-AU"/>
    </w:rPr>
  </w:style>
  <w:style w:type="paragraph" w:styleId="ListBullet2">
    <w:name w:val="List Bullet 2"/>
    <w:basedOn w:val="Normal"/>
    <w:uiPriority w:val="99"/>
    <w:semiHidden/>
    <w:unhideWhenUsed/>
    <w:rsid w:val="00662441"/>
    <w:pPr>
      <w:ind w:left="1003" w:hanging="360"/>
      <w:contextualSpacing/>
    </w:pPr>
  </w:style>
  <w:style w:type="paragraph" w:styleId="Revision">
    <w:name w:val="Revision"/>
    <w:hidden/>
    <w:uiPriority w:val="99"/>
    <w:semiHidden/>
    <w:rsid w:val="00CC0944"/>
    <w:pPr>
      <w:spacing w:before="0"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 w:qFormat="1"/>
    <w:lsdException w:name="footer" w:qFormat="1"/>
    <w:lsdException w:name="caption" w:uiPriority="35" w:qFormat="1"/>
    <w:lsdException w:name="List Number 2"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97A0D"/>
    <w:rPr>
      <w:rFonts w:ascii="Arial" w:hAnsi="Arial"/>
    </w:rPr>
  </w:style>
  <w:style w:type="paragraph" w:styleId="Heading1">
    <w:name w:val="heading 1"/>
    <w:basedOn w:val="Normal"/>
    <w:next w:val="Normal"/>
    <w:link w:val="Heading1Char"/>
    <w:uiPriority w:val="9"/>
    <w:qFormat/>
    <w:rsid w:val="00525FA4"/>
    <w:pPr>
      <w:keepNext/>
      <w:keepLines/>
      <w:pageBreakBefore/>
      <w:numPr>
        <w:numId w:val="8"/>
      </w:numPr>
      <w:spacing w:before="240"/>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numPr>
        <w:ilvl w:val="1"/>
        <w:numId w:val="8"/>
      </w:numPr>
      <w:spacing w:before="240"/>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numPr>
        <w:ilvl w:val="2"/>
        <w:numId w:val="8"/>
      </w:numPr>
      <w:spacing w:before="24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numPr>
        <w:ilvl w:val="3"/>
        <w:numId w:val="8"/>
      </w:numPr>
      <w:spacing w:before="240"/>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numPr>
        <w:ilvl w:val="4"/>
        <w:numId w:val="8"/>
      </w:numPr>
      <w:spacing w:before="240"/>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numPr>
        <w:ilvl w:val="5"/>
        <w:numId w:val="8"/>
      </w:numPr>
      <w:spacing w:before="240"/>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numPr>
        <w:ilvl w:val="6"/>
        <w:numId w:val="8"/>
      </w:numPr>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numPr>
        <w:ilvl w:val="7"/>
        <w:numId w:val="8"/>
      </w:numPr>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numPr>
        <w:ilvl w:val="8"/>
        <w:numId w:val="8"/>
      </w:numPr>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525FA4"/>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2"/>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2"/>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IntenseReference">
    <w:name w:val="Intense Reference"/>
    <w:basedOn w:val="DefaultParagraphFont"/>
    <w:uiPriority w:val="32"/>
    <w:rsid w:val="0073113C"/>
    <w:rPr>
      <w:b/>
      <w:bCs/>
      <w:smallCaps/>
      <w:color w:val="C14E00" w:themeColor="accent2"/>
      <w:spacing w:val="5"/>
      <w:u w:val="single"/>
    </w:rPr>
  </w:style>
  <w:style w:type="character" w:styleId="SubtleEmphasis">
    <w:name w:val="Subtle Emphasis"/>
    <w:basedOn w:val="DefaultParagraphFont"/>
    <w:uiPriority w:val="19"/>
    <w:rsid w:val="0073113C"/>
    <w:rPr>
      <w:i/>
      <w:iCs/>
      <w:color w:val="55C7F7" w:themeColor="text1" w:themeTint="7F"/>
    </w:rPr>
  </w:style>
  <w:style w:type="paragraph" w:customStyle="1" w:styleId="AERbodytext">
    <w:name w:val="AER body text"/>
    <w:link w:val="AERbodytextChar"/>
    <w:qFormat/>
    <w:rsid w:val="00FC647D"/>
    <w:pPr>
      <w:spacing w:before="0" w:after="240" w:line="288" w:lineRule="auto"/>
      <w:jc w:val="both"/>
    </w:pPr>
    <w:rPr>
      <w:rFonts w:ascii="Gautami" w:eastAsia="Times New Roman" w:hAnsi="Gautami" w:cs="Times New Roman"/>
      <w:sz w:val="20"/>
      <w:szCs w:val="24"/>
    </w:rPr>
  </w:style>
  <w:style w:type="paragraph" w:customStyle="1" w:styleId="AERtabletext">
    <w:name w:val="AER table text"/>
    <w:basedOn w:val="Normal"/>
    <w:rsid w:val="00FC647D"/>
    <w:pPr>
      <w:widowControl w:val="0"/>
      <w:spacing w:line="288" w:lineRule="auto"/>
    </w:pPr>
    <w:rPr>
      <w:rFonts w:ascii="Gautami" w:eastAsia="Times New Roman" w:hAnsi="Gautami" w:cs="Times New Roman"/>
      <w:sz w:val="16"/>
      <w:szCs w:val="24"/>
    </w:rPr>
  </w:style>
  <w:style w:type="character" w:customStyle="1" w:styleId="AERbodytextChar">
    <w:name w:val="AER body text Char"/>
    <w:link w:val="AERbodytext"/>
    <w:rsid w:val="00FC647D"/>
    <w:rPr>
      <w:rFonts w:ascii="Gautami" w:eastAsia="Times New Roman" w:hAnsi="Gautami" w:cs="Times New Roman"/>
      <w:sz w:val="20"/>
      <w:szCs w:val="24"/>
    </w:rPr>
  </w:style>
  <w:style w:type="paragraph" w:styleId="ListBullet">
    <w:name w:val="List Bullet"/>
    <w:basedOn w:val="Normal"/>
    <w:uiPriority w:val="99"/>
    <w:unhideWhenUsed/>
    <w:rsid w:val="00E01B54"/>
    <w:pPr>
      <w:numPr>
        <w:numId w:val="9"/>
      </w:numPr>
      <w:tabs>
        <w:tab w:val="left" w:pos="340"/>
      </w:tabs>
      <w:spacing w:after="0"/>
      <w:ind w:left="340" w:hanging="340"/>
    </w:pPr>
  </w:style>
  <w:style w:type="paragraph" w:customStyle="1" w:styleId="StyleCopyrightBefore0pt">
    <w:name w:val="Style Copyright + Before:  0 pt"/>
    <w:basedOn w:val="Copyright"/>
    <w:rsid w:val="00E01B54"/>
    <w:pPr>
      <w:spacing w:before="120" w:after="0"/>
      <w:contextualSpacing w:val="0"/>
    </w:pPr>
    <w:rPr>
      <w:rFonts w:eastAsia="Times New Roman" w:cs="Times New Roman"/>
    </w:rPr>
  </w:style>
  <w:style w:type="paragraph" w:customStyle="1" w:styleId="AERbulletlistfirststyle">
    <w:name w:val="AER bullet list (first style)"/>
    <w:basedOn w:val="Normal"/>
    <w:rsid w:val="00D95AC8"/>
    <w:pPr>
      <w:numPr>
        <w:numId w:val="11"/>
      </w:numPr>
      <w:tabs>
        <w:tab w:val="left" w:pos="567"/>
      </w:tabs>
      <w:spacing w:before="0" w:after="240" w:line="240" w:lineRule="atLeast"/>
    </w:pPr>
    <w:rPr>
      <w:rFonts w:ascii="Times New Roman" w:eastAsia="Times New Roman" w:hAnsi="Times New Roman" w:cs="Times New Roman"/>
      <w:sz w:val="24"/>
      <w:szCs w:val="24"/>
    </w:rPr>
  </w:style>
  <w:style w:type="paragraph" w:customStyle="1" w:styleId="AERnumberedlistfirststyle">
    <w:name w:val="AER numbered list (first style)"/>
    <w:basedOn w:val="AERbodytext"/>
    <w:rsid w:val="00065BEC"/>
    <w:pPr>
      <w:numPr>
        <w:numId w:val="12"/>
      </w:numPr>
      <w:spacing w:after="200" w:line="200" w:lineRule="atLeast"/>
    </w:pPr>
  </w:style>
  <w:style w:type="paragraph" w:customStyle="1" w:styleId="Default">
    <w:name w:val="Default"/>
    <w:rsid w:val="00FF2482"/>
    <w:pPr>
      <w:autoSpaceDE w:val="0"/>
      <w:autoSpaceDN w:val="0"/>
      <w:adjustRightInd w:val="0"/>
      <w:spacing w:before="0"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D06BD"/>
    <w:rPr>
      <w:sz w:val="16"/>
      <w:szCs w:val="16"/>
    </w:rPr>
  </w:style>
  <w:style w:type="paragraph" w:styleId="CommentText">
    <w:name w:val="annotation text"/>
    <w:basedOn w:val="Normal"/>
    <w:link w:val="CommentTextChar"/>
    <w:uiPriority w:val="99"/>
    <w:unhideWhenUsed/>
    <w:rsid w:val="00FD06BD"/>
    <w:pPr>
      <w:spacing w:line="240" w:lineRule="auto"/>
    </w:pPr>
    <w:rPr>
      <w:sz w:val="20"/>
      <w:szCs w:val="20"/>
    </w:rPr>
  </w:style>
  <w:style w:type="character" w:customStyle="1" w:styleId="CommentTextChar">
    <w:name w:val="Comment Text Char"/>
    <w:basedOn w:val="DefaultParagraphFont"/>
    <w:link w:val="CommentText"/>
    <w:uiPriority w:val="99"/>
    <w:rsid w:val="00FD06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06BD"/>
    <w:rPr>
      <w:b/>
      <w:bCs/>
    </w:rPr>
  </w:style>
  <w:style w:type="character" w:customStyle="1" w:styleId="CommentSubjectChar">
    <w:name w:val="Comment Subject Char"/>
    <w:basedOn w:val="CommentTextChar"/>
    <w:link w:val="CommentSubject"/>
    <w:uiPriority w:val="99"/>
    <w:semiHidden/>
    <w:rsid w:val="00FD06BD"/>
    <w:rPr>
      <w:rFonts w:ascii="Arial" w:hAnsi="Arial"/>
      <w:b/>
      <w:bCs/>
      <w:sz w:val="20"/>
      <w:szCs w:val="20"/>
    </w:rPr>
  </w:style>
  <w:style w:type="table" w:styleId="LightShading">
    <w:name w:val="Light Shading"/>
    <w:basedOn w:val="TableNormal"/>
    <w:uiPriority w:val="60"/>
    <w:rsid w:val="009B045C"/>
    <w:pPr>
      <w:spacing w:line="240" w:lineRule="auto"/>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paragraph" w:styleId="ListNumber2">
    <w:name w:val="List Number 2"/>
    <w:next w:val="Normal"/>
    <w:rsid w:val="009D62AB"/>
    <w:pPr>
      <w:numPr>
        <w:numId w:val="16"/>
      </w:numPr>
      <w:tabs>
        <w:tab w:val="left" w:pos="680"/>
      </w:tabs>
      <w:spacing w:after="0" w:line="240" w:lineRule="auto"/>
    </w:pPr>
    <w:rPr>
      <w:rFonts w:ascii="Arial" w:hAnsi="Arial"/>
    </w:rPr>
  </w:style>
  <w:style w:type="character" w:styleId="FollowedHyperlink">
    <w:name w:val="FollowedHyperlink"/>
    <w:basedOn w:val="DefaultParagraphFont"/>
    <w:uiPriority w:val="99"/>
    <w:semiHidden/>
    <w:unhideWhenUsed/>
    <w:rsid w:val="00A12EAE"/>
    <w:rPr>
      <w:color w:val="800080" w:themeColor="followedHyperlink"/>
      <w:u w:val="single"/>
    </w:rPr>
  </w:style>
  <w:style w:type="paragraph" w:customStyle="1" w:styleId="Bulletpoint2">
    <w:name w:val="Bullet point 2"/>
    <w:basedOn w:val="ListBullet2"/>
    <w:uiPriority w:val="1"/>
    <w:qFormat/>
    <w:rsid w:val="00662441"/>
    <w:pPr>
      <w:tabs>
        <w:tab w:val="left" w:pos="680"/>
      </w:tabs>
      <w:spacing w:after="0" w:line="240" w:lineRule="auto"/>
      <w:ind w:left="680" w:hanging="340"/>
      <w:contextualSpacing w:val="0"/>
    </w:pPr>
    <w:rPr>
      <w:rFonts w:ascii="Times New Roman" w:eastAsia="Times New Roman" w:hAnsi="Times New Roman" w:cs="Times New Roman"/>
      <w:sz w:val="24"/>
      <w:szCs w:val="24"/>
      <w:lang w:eastAsia="en-AU"/>
    </w:rPr>
  </w:style>
  <w:style w:type="paragraph" w:styleId="ListBullet2">
    <w:name w:val="List Bullet 2"/>
    <w:basedOn w:val="Normal"/>
    <w:uiPriority w:val="99"/>
    <w:semiHidden/>
    <w:unhideWhenUsed/>
    <w:rsid w:val="00662441"/>
    <w:pPr>
      <w:ind w:left="1003" w:hanging="360"/>
      <w:contextualSpacing/>
    </w:pPr>
  </w:style>
  <w:style w:type="paragraph" w:styleId="Revision">
    <w:name w:val="Revision"/>
    <w:hidden/>
    <w:uiPriority w:val="99"/>
    <w:semiHidden/>
    <w:rsid w:val="00CC0944"/>
    <w:pPr>
      <w:spacing w:before="0"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83205">
      <w:bodyDiv w:val="1"/>
      <w:marLeft w:val="0"/>
      <w:marRight w:val="0"/>
      <w:marTop w:val="0"/>
      <w:marBottom w:val="0"/>
      <w:divBdr>
        <w:top w:val="none" w:sz="0" w:space="0" w:color="auto"/>
        <w:left w:val="none" w:sz="0" w:space="0" w:color="auto"/>
        <w:bottom w:val="none" w:sz="0" w:space="0" w:color="auto"/>
        <w:right w:val="none" w:sz="0" w:space="0" w:color="auto"/>
      </w:divBdr>
    </w:div>
    <w:div w:id="20143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tailcompliance@aer.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ERInquiry@aer.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shing.unit@accc.gov.au" TargetMode="External"/><Relationship Id="rId5" Type="http://schemas.openxmlformats.org/officeDocument/2006/relationships/settings" Target="settings.xml"/><Relationship Id="rId15" Type="http://schemas.openxmlformats.org/officeDocument/2006/relationships/hyperlink" Target="mailto:retailcompliance@aer.gov.a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system/files/Compliance%20procedures%20and%20guidelines%20-%20Version%203%20-%20September%202014_0.pdf" TargetMode="External"/><Relationship Id="rId2" Type="http://schemas.openxmlformats.org/officeDocument/2006/relationships/hyperlink" Target="https://www.aer.gov.au/system/files/D12%2090639%20%20AER%20Compliance%20Procedures%20and%20Guidelines%20-%20National%20Energy%20Retail%20Law%2C%20Rules%20and%20Regulations%20-%20June%202012.pdf" TargetMode="External"/><Relationship Id="rId1" Type="http://schemas.openxmlformats.org/officeDocument/2006/relationships/hyperlink" Target="https://www.aer.gov.au/system/files/AER%20-%20National%20energy%20retail%20law%20compliance%20procedures%20and%20guidelines%20-%20July%202011.pdf"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246A-FEAD-45BD-8C82-966D6B18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1DFE7C20</Template>
  <TotalTime>0</TotalTime>
  <Pages>23</Pages>
  <Words>7252</Words>
  <Characters>41339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Notice of final instrument - amendments to AER compliance procedures</vt:lpstr>
    </vt:vector>
  </TitlesOfParts>
  <LinksUpToDate>false</LinksUpToDate>
  <CharactersWithSpaces>48495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instrument - amendments to AER compliance procedures</dc:title>
  <dc:creator/>
  <cp:lastModifiedBy/>
  <cp:revision>1</cp:revision>
  <dcterms:created xsi:type="dcterms:W3CDTF">2016-12-08T06:25:00Z</dcterms:created>
  <dcterms:modified xsi:type="dcterms:W3CDTF">2016-12-11T23:22:00Z</dcterms:modified>
</cp:coreProperties>
</file>