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E66C90" w:rsidP="00951978">
          <w:r w:rsidRPr="00E66C90">
            <w:rPr>
              <w:noProof/>
              <w:lang w:eastAsia="en-AU"/>
            </w:rPr>
            <w:drawing>
              <wp:anchor distT="0" distB="0" distL="114300" distR="114300" simplePos="0" relativeHeight="251663360" behindDoc="1" locked="0" layoutInCell="1" allowOverlap="1" wp14:anchorId="051C16C4" wp14:editId="21A21195">
                <wp:simplePos x="0" y="0"/>
                <wp:positionH relativeFrom="column">
                  <wp:posOffset>-914843</wp:posOffset>
                </wp:positionH>
                <wp:positionV relativeFrom="paragraph">
                  <wp:posOffset>-915330</wp:posOffset>
                </wp:positionV>
                <wp:extent cx="7643495" cy="10803255"/>
                <wp:effectExtent l="0" t="0" r="0" b="0"/>
                <wp:wrapNone/>
                <wp:docPr id="1" name="Picture 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3495" cy="10803255"/>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604D2C"/>
        <w:p w:rsidR="00DB723B" w:rsidRPr="00DB723B" w:rsidRDefault="00DB723B" w:rsidP="00604D2C"/>
        <w:p w:rsidR="00DB723B" w:rsidRPr="00DB723B" w:rsidRDefault="00DB723B" w:rsidP="00604D2C"/>
        <w:p w:rsidR="00DB723B" w:rsidRPr="00DB723B" w:rsidRDefault="00DB723B" w:rsidP="00604D2C"/>
        <w:p w:rsidR="00DB723B" w:rsidRPr="00DB723B" w:rsidRDefault="00B32A7A" w:rsidP="00327A1E">
          <w:pPr>
            <w:pStyle w:val="ReportTitle"/>
          </w:pPr>
          <w:r>
            <w:t>F</w:t>
          </w:r>
          <w:r w:rsidR="009E2573">
            <w:t>ramework and a</w:t>
          </w:r>
          <w:r w:rsidR="006301A0">
            <w:t>pproach for Murraylink</w:t>
          </w:r>
        </w:p>
        <w:p w:rsidR="00DB723B" w:rsidRPr="00DB723B" w:rsidRDefault="006301A0" w:rsidP="00327A1E">
          <w:pPr>
            <w:pStyle w:val="ReportSubtitle"/>
          </w:pPr>
          <w:r>
            <w:t>For regulatory control period commencing 1 July 2018</w:t>
          </w:r>
        </w:p>
        <w:p w:rsidR="00354D5C" w:rsidRDefault="00354D5C" w:rsidP="00327A1E">
          <w:pPr>
            <w:pStyle w:val="ReportDate"/>
          </w:pPr>
        </w:p>
        <w:p w:rsidR="00DB723B" w:rsidRPr="00DB723B" w:rsidRDefault="00FB6847" w:rsidP="00327A1E">
          <w:pPr>
            <w:pStyle w:val="ReportDate"/>
          </w:pPr>
          <w:r>
            <w:t xml:space="preserve">July </w:t>
          </w:r>
          <w:r w:rsidR="006301A0">
            <w:t>2016</w:t>
          </w:r>
        </w:p>
        <w:p w:rsidR="00DB723B" w:rsidRPr="00DB723B" w:rsidRDefault="00DB723B" w:rsidP="00DB723B">
          <w:r w:rsidRPr="00DB723B">
            <w:br w:type="page"/>
          </w:r>
        </w:p>
      </w:sdtContent>
    </w:sdt>
    <w:p w:rsidR="000A6C7B" w:rsidRDefault="000A6C7B" w:rsidP="00327A1E">
      <w:pPr>
        <w:pStyle w:val="Copyright"/>
      </w:pPr>
      <w:r>
        <w:lastRenderedPageBreak/>
        <w:t>© Commonwealth of Australia 201</w:t>
      </w:r>
      <w:r w:rsidR="006301A0">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Pr="00951978" w:rsidRDefault="000A6C7B" w:rsidP="000A6C7B">
      <w:pPr>
        <w:pStyle w:val="Copyright"/>
        <w:rPr>
          <w:color w:val="0000FF"/>
          <w:sz w:val="22"/>
          <w:u w:val="single"/>
        </w:rPr>
      </w:pPr>
      <w:r>
        <w:t xml:space="preserve">Tel: </w:t>
      </w:r>
      <w:r w:rsidR="00FA478B">
        <w:t>1300 585 165</w:t>
      </w:r>
      <w:r w:rsidR="00951978">
        <w:br/>
      </w:r>
      <w:r>
        <w:t xml:space="preserve">Email: </w:t>
      </w:r>
      <w:hyperlink r:id="rId11" w:history="1">
        <w:r w:rsidRPr="00D64888">
          <w:rPr>
            <w:rStyle w:val="Hyperlink"/>
          </w:rPr>
          <w:t>AERInquiry@aer.gov.au</w:t>
        </w:r>
      </w:hyperlink>
      <w:r w:rsidR="00951978">
        <w:rPr>
          <w:rStyle w:val="Hyperlink"/>
        </w:rPr>
        <w:br/>
      </w:r>
      <w:r>
        <w:t xml:space="preserve">AER Reference: </w:t>
      </w:r>
      <w:r w:rsidR="006301A0">
        <w:t>58710</w:t>
      </w:r>
    </w:p>
    <w:p w:rsidR="002010BC" w:rsidRDefault="002010BC">
      <w:pPr>
        <w:spacing w:line="240" w:lineRule="auto"/>
      </w:pPr>
    </w:p>
    <w:p w:rsidR="009E2573" w:rsidRPr="009E2573" w:rsidRDefault="009E2573" w:rsidP="009E2573">
      <w:r w:rsidRPr="009E2573">
        <w:br w:type="page"/>
      </w:r>
    </w:p>
    <w:p w:rsidR="002010BC" w:rsidRDefault="00A75077" w:rsidP="009E2573">
      <w:pPr>
        <w:pStyle w:val="Heading1notnumber"/>
      </w:pPr>
      <w:bookmarkStart w:id="1" w:name="_Toc457462264"/>
      <w:r>
        <w:lastRenderedPageBreak/>
        <w:t>Contents</w:t>
      </w:r>
      <w:bookmarkEnd w:id="1"/>
    </w:p>
    <w:p w:rsidR="00154B99"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57462264" w:history="1">
        <w:r w:rsidR="00154B99" w:rsidRPr="00545FB9">
          <w:rPr>
            <w:rStyle w:val="Hyperlink"/>
          </w:rPr>
          <w:t>Contents</w:t>
        </w:r>
        <w:r w:rsidR="00154B99">
          <w:rPr>
            <w:webHidden/>
          </w:rPr>
          <w:tab/>
        </w:r>
        <w:r w:rsidR="00154B99">
          <w:rPr>
            <w:webHidden/>
          </w:rPr>
          <w:fldChar w:fldCharType="begin"/>
        </w:r>
        <w:r w:rsidR="00154B99">
          <w:rPr>
            <w:webHidden/>
          </w:rPr>
          <w:instrText xml:space="preserve"> PAGEREF _Toc457462264 \h </w:instrText>
        </w:r>
        <w:r w:rsidR="00154B99">
          <w:rPr>
            <w:webHidden/>
          </w:rPr>
        </w:r>
        <w:r w:rsidR="00154B99">
          <w:rPr>
            <w:webHidden/>
          </w:rPr>
          <w:fldChar w:fldCharType="separate"/>
        </w:r>
        <w:r w:rsidR="00154B99">
          <w:rPr>
            <w:webHidden/>
          </w:rPr>
          <w:t>3</w:t>
        </w:r>
        <w:r w:rsidR="00154B99">
          <w:rPr>
            <w:webHidden/>
          </w:rPr>
          <w:fldChar w:fldCharType="end"/>
        </w:r>
      </w:hyperlink>
    </w:p>
    <w:p w:rsidR="00154B99" w:rsidRDefault="007F0C7B">
      <w:pPr>
        <w:pStyle w:val="TOC1"/>
        <w:rPr>
          <w:rFonts w:asciiTheme="minorHAnsi" w:eastAsiaTheme="minorEastAsia" w:hAnsiTheme="minorHAnsi"/>
          <w:b w:val="0"/>
          <w:color w:val="auto"/>
          <w:sz w:val="22"/>
          <w:lang w:val="en-AU" w:eastAsia="en-AU"/>
        </w:rPr>
      </w:pPr>
      <w:hyperlink w:anchor="_Toc457462265" w:history="1">
        <w:r w:rsidR="00154B99" w:rsidRPr="00545FB9">
          <w:rPr>
            <w:rStyle w:val="Hyperlink"/>
          </w:rPr>
          <w:t>Shortened forms</w:t>
        </w:r>
        <w:r w:rsidR="00154B99">
          <w:rPr>
            <w:webHidden/>
          </w:rPr>
          <w:tab/>
        </w:r>
        <w:r w:rsidR="00154B99">
          <w:rPr>
            <w:webHidden/>
          </w:rPr>
          <w:fldChar w:fldCharType="begin"/>
        </w:r>
        <w:r w:rsidR="00154B99">
          <w:rPr>
            <w:webHidden/>
          </w:rPr>
          <w:instrText xml:space="preserve"> PAGEREF _Toc457462265 \h </w:instrText>
        </w:r>
        <w:r w:rsidR="00154B99">
          <w:rPr>
            <w:webHidden/>
          </w:rPr>
        </w:r>
        <w:r w:rsidR="00154B99">
          <w:rPr>
            <w:webHidden/>
          </w:rPr>
          <w:fldChar w:fldCharType="separate"/>
        </w:r>
        <w:r w:rsidR="00154B99">
          <w:rPr>
            <w:webHidden/>
          </w:rPr>
          <w:t>4</w:t>
        </w:r>
        <w:r w:rsidR="00154B99">
          <w:rPr>
            <w:webHidden/>
          </w:rPr>
          <w:fldChar w:fldCharType="end"/>
        </w:r>
      </w:hyperlink>
    </w:p>
    <w:p w:rsidR="00154B99" w:rsidRDefault="007F0C7B">
      <w:pPr>
        <w:pStyle w:val="TOC1"/>
        <w:rPr>
          <w:rFonts w:asciiTheme="minorHAnsi" w:eastAsiaTheme="minorEastAsia" w:hAnsiTheme="minorHAnsi"/>
          <w:b w:val="0"/>
          <w:color w:val="auto"/>
          <w:sz w:val="22"/>
          <w:lang w:val="en-AU" w:eastAsia="en-AU"/>
        </w:rPr>
      </w:pPr>
      <w:hyperlink w:anchor="_Toc457462266" w:history="1">
        <w:r w:rsidR="00154B99" w:rsidRPr="00545FB9">
          <w:rPr>
            <w:rStyle w:val="Hyperlink"/>
          </w:rPr>
          <w:t>Introduction</w:t>
        </w:r>
        <w:r w:rsidR="00154B99">
          <w:rPr>
            <w:webHidden/>
          </w:rPr>
          <w:tab/>
        </w:r>
        <w:r w:rsidR="00154B99">
          <w:rPr>
            <w:webHidden/>
          </w:rPr>
          <w:fldChar w:fldCharType="begin"/>
        </w:r>
        <w:r w:rsidR="00154B99">
          <w:rPr>
            <w:webHidden/>
          </w:rPr>
          <w:instrText xml:space="preserve"> PAGEREF _Toc457462266 \h </w:instrText>
        </w:r>
        <w:r w:rsidR="00154B99">
          <w:rPr>
            <w:webHidden/>
          </w:rPr>
        </w:r>
        <w:r w:rsidR="00154B99">
          <w:rPr>
            <w:webHidden/>
          </w:rPr>
          <w:fldChar w:fldCharType="separate"/>
        </w:r>
        <w:r w:rsidR="00154B99">
          <w:rPr>
            <w:webHidden/>
          </w:rPr>
          <w:t>5</w:t>
        </w:r>
        <w:r w:rsidR="00154B99">
          <w:rPr>
            <w:webHidden/>
          </w:rPr>
          <w:fldChar w:fldCharType="end"/>
        </w:r>
      </w:hyperlink>
    </w:p>
    <w:p w:rsidR="00154B99" w:rsidRDefault="007F0C7B">
      <w:pPr>
        <w:pStyle w:val="TOC1"/>
        <w:rPr>
          <w:rFonts w:asciiTheme="minorHAnsi" w:eastAsiaTheme="minorEastAsia" w:hAnsiTheme="minorHAnsi"/>
          <w:b w:val="0"/>
          <w:color w:val="auto"/>
          <w:sz w:val="22"/>
          <w:lang w:val="en-AU" w:eastAsia="en-AU"/>
        </w:rPr>
      </w:pPr>
      <w:hyperlink w:anchor="_Toc457462267" w:history="1">
        <w:r w:rsidR="00154B99" w:rsidRPr="00545FB9">
          <w:rPr>
            <w:rStyle w:val="Hyperlink"/>
          </w:rPr>
          <w:t>Part A: Overview</w:t>
        </w:r>
        <w:r w:rsidR="00154B99">
          <w:rPr>
            <w:webHidden/>
          </w:rPr>
          <w:tab/>
        </w:r>
        <w:r w:rsidR="00154B99">
          <w:rPr>
            <w:webHidden/>
          </w:rPr>
          <w:fldChar w:fldCharType="begin"/>
        </w:r>
        <w:r w:rsidR="00154B99">
          <w:rPr>
            <w:webHidden/>
          </w:rPr>
          <w:instrText xml:space="preserve"> PAGEREF _Toc457462267 \h </w:instrText>
        </w:r>
        <w:r w:rsidR="00154B99">
          <w:rPr>
            <w:webHidden/>
          </w:rPr>
        </w:r>
        <w:r w:rsidR="00154B99">
          <w:rPr>
            <w:webHidden/>
          </w:rPr>
          <w:fldChar w:fldCharType="separate"/>
        </w:r>
        <w:r w:rsidR="00154B99">
          <w:rPr>
            <w:webHidden/>
          </w:rPr>
          <w:t>7</w:t>
        </w:r>
        <w:r w:rsidR="00154B99">
          <w:rPr>
            <w:webHidden/>
          </w:rPr>
          <w:fldChar w:fldCharType="end"/>
        </w:r>
      </w:hyperlink>
    </w:p>
    <w:p w:rsidR="00154B99" w:rsidRDefault="007F0C7B">
      <w:pPr>
        <w:pStyle w:val="TOC1"/>
        <w:rPr>
          <w:rFonts w:asciiTheme="minorHAnsi" w:eastAsiaTheme="minorEastAsia" w:hAnsiTheme="minorHAnsi"/>
          <w:b w:val="0"/>
          <w:color w:val="auto"/>
          <w:sz w:val="22"/>
          <w:lang w:val="en-AU" w:eastAsia="en-AU"/>
        </w:rPr>
      </w:pPr>
      <w:hyperlink w:anchor="_Toc457462268" w:history="1">
        <w:r w:rsidR="00154B99" w:rsidRPr="00545FB9">
          <w:rPr>
            <w:rStyle w:val="Hyperlink"/>
          </w:rPr>
          <w:t>Part B: Attachments</w:t>
        </w:r>
        <w:r w:rsidR="00154B99">
          <w:rPr>
            <w:webHidden/>
          </w:rPr>
          <w:tab/>
        </w:r>
        <w:r w:rsidR="00154B99">
          <w:rPr>
            <w:webHidden/>
          </w:rPr>
          <w:fldChar w:fldCharType="begin"/>
        </w:r>
        <w:r w:rsidR="00154B99">
          <w:rPr>
            <w:webHidden/>
          </w:rPr>
          <w:instrText xml:space="preserve"> PAGEREF _Toc457462268 \h </w:instrText>
        </w:r>
        <w:r w:rsidR="00154B99">
          <w:rPr>
            <w:webHidden/>
          </w:rPr>
        </w:r>
        <w:r w:rsidR="00154B99">
          <w:rPr>
            <w:webHidden/>
          </w:rPr>
          <w:fldChar w:fldCharType="separate"/>
        </w:r>
        <w:r w:rsidR="00154B99">
          <w:rPr>
            <w:webHidden/>
          </w:rPr>
          <w:t>9</w:t>
        </w:r>
        <w:r w:rsidR="00154B99">
          <w:rPr>
            <w:webHidden/>
          </w:rPr>
          <w:fldChar w:fldCharType="end"/>
        </w:r>
      </w:hyperlink>
    </w:p>
    <w:p w:rsidR="00154B99" w:rsidRDefault="007F0C7B">
      <w:pPr>
        <w:pStyle w:val="TOC1"/>
        <w:rPr>
          <w:rFonts w:asciiTheme="minorHAnsi" w:eastAsiaTheme="minorEastAsia" w:hAnsiTheme="minorHAnsi"/>
          <w:b w:val="0"/>
          <w:color w:val="auto"/>
          <w:sz w:val="22"/>
          <w:lang w:val="en-AU" w:eastAsia="en-AU"/>
        </w:rPr>
      </w:pPr>
      <w:hyperlink w:anchor="_Toc457462269" w:history="1">
        <w:r w:rsidR="00154B99" w:rsidRPr="00545FB9">
          <w:rPr>
            <w:rStyle w:val="Hyperlink"/>
          </w:rPr>
          <w:t>1</w:t>
        </w:r>
        <w:r w:rsidR="00154B99">
          <w:rPr>
            <w:rFonts w:asciiTheme="minorHAnsi" w:eastAsiaTheme="minorEastAsia" w:hAnsiTheme="minorHAnsi"/>
            <w:b w:val="0"/>
            <w:color w:val="auto"/>
            <w:sz w:val="22"/>
            <w:lang w:val="en-AU" w:eastAsia="en-AU"/>
          </w:rPr>
          <w:tab/>
        </w:r>
        <w:r w:rsidR="00154B99" w:rsidRPr="00545FB9">
          <w:rPr>
            <w:rStyle w:val="Hyperlink"/>
          </w:rPr>
          <w:t>Service target performance incentive scheme</w:t>
        </w:r>
        <w:r w:rsidR="00154B99">
          <w:rPr>
            <w:webHidden/>
          </w:rPr>
          <w:tab/>
        </w:r>
        <w:r w:rsidR="00154B99">
          <w:rPr>
            <w:webHidden/>
          </w:rPr>
          <w:fldChar w:fldCharType="begin"/>
        </w:r>
        <w:r w:rsidR="00154B99">
          <w:rPr>
            <w:webHidden/>
          </w:rPr>
          <w:instrText xml:space="preserve"> PAGEREF _Toc457462269 \h </w:instrText>
        </w:r>
        <w:r w:rsidR="00154B99">
          <w:rPr>
            <w:webHidden/>
          </w:rPr>
        </w:r>
        <w:r w:rsidR="00154B99">
          <w:rPr>
            <w:webHidden/>
          </w:rPr>
          <w:fldChar w:fldCharType="separate"/>
        </w:r>
        <w:r w:rsidR="00154B99">
          <w:rPr>
            <w:webHidden/>
          </w:rPr>
          <w:t>10</w:t>
        </w:r>
        <w:r w:rsidR="00154B99">
          <w:rPr>
            <w:webHidden/>
          </w:rPr>
          <w:fldChar w:fldCharType="end"/>
        </w:r>
      </w:hyperlink>
    </w:p>
    <w:p w:rsidR="00154B99" w:rsidRDefault="007F0C7B">
      <w:pPr>
        <w:pStyle w:val="TOC2"/>
        <w:rPr>
          <w:rFonts w:asciiTheme="minorHAnsi" w:eastAsiaTheme="minorEastAsia" w:hAnsiTheme="minorHAnsi"/>
          <w:b w:val="0"/>
          <w:color w:val="auto"/>
          <w:sz w:val="22"/>
          <w:lang w:eastAsia="en-AU"/>
        </w:rPr>
      </w:pPr>
      <w:hyperlink w:anchor="_Toc457462270" w:history="1">
        <w:r w:rsidR="00154B99" w:rsidRPr="00545FB9">
          <w:rPr>
            <w:rStyle w:val="Hyperlink"/>
          </w:rPr>
          <w:t>1.1</w:t>
        </w:r>
        <w:r w:rsidR="00154B99">
          <w:rPr>
            <w:rFonts w:asciiTheme="minorHAnsi" w:eastAsiaTheme="minorEastAsia" w:hAnsiTheme="minorHAnsi"/>
            <w:b w:val="0"/>
            <w:color w:val="auto"/>
            <w:sz w:val="22"/>
            <w:lang w:eastAsia="en-AU"/>
          </w:rPr>
          <w:tab/>
        </w:r>
        <w:r w:rsidR="00154B99" w:rsidRPr="00545FB9">
          <w:rPr>
            <w:rStyle w:val="Hyperlink"/>
          </w:rPr>
          <w:t>Proposed approach</w:t>
        </w:r>
        <w:r w:rsidR="00154B99">
          <w:rPr>
            <w:webHidden/>
          </w:rPr>
          <w:tab/>
        </w:r>
        <w:r w:rsidR="00154B99">
          <w:rPr>
            <w:webHidden/>
          </w:rPr>
          <w:fldChar w:fldCharType="begin"/>
        </w:r>
        <w:r w:rsidR="00154B99">
          <w:rPr>
            <w:webHidden/>
          </w:rPr>
          <w:instrText xml:space="preserve"> PAGEREF _Toc457462270 \h </w:instrText>
        </w:r>
        <w:r w:rsidR="00154B99">
          <w:rPr>
            <w:webHidden/>
          </w:rPr>
        </w:r>
        <w:r w:rsidR="00154B99">
          <w:rPr>
            <w:webHidden/>
          </w:rPr>
          <w:fldChar w:fldCharType="separate"/>
        </w:r>
        <w:r w:rsidR="00154B99">
          <w:rPr>
            <w:webHidden/>
          </w:rPr>
          <w:t>10</w:t>
        </w:r>
        <w:r w:rsidR="00154B99">
          <w:rPr>
            <w:webHidden/>
          </w:rPr>
          <w:fldChar w:fldCharType="end"/>
        </w:r>
      </w:hyperlink>
    </w:p>
    <w:p w:rsidR="00154B99" w:rsidRDefault="007F0C7B">
      <w:pPr>
        <w:pStyle w:val="TOC2"/>
        <w:rPr>
          <w:rFonts w:asciiTheme="minorHAnsi" w:eastAsiaTheme="minorEastAsia" w:hAnsiTheme="minorHAnsi"/>
          <w:b w:val="0"/>
          <w:color w:val="auto"/>
          <w:sz w:val="22"/>
          <w:lang w:eastAsia="en-AU"/>
        </w:rPr>
      </w:pPr>
      <w:hyperlink w:anchor="_Toc457462271" w:history="1">
        <w:r w:rsidR="00154B99" w:rsidRPr="00545FB9">
          <w:rPr>
            <w:rStyle w:val="Hyperlink"/>
          </w:rPr>
          <w:t>1.2</w:t>
        </w:r>
        <w:r w:rsidR="00154B99">
          <w:rPr>
            <w:rFonts w:asciiTheme="minorHAnsi" w:eastAsiaTheme="minorEastAsia" w:hAnsiTheme="minorHAnsi"/>
            <w:b w:val="0"/>
            <w:color w:val="auto"/>
            <w:sz w:val="22"/>
            <w:lang w:eastAsia="en-AU"/>
          </w:rPr>
          <w:tab/>
        </w:r>
        <w:r w:rsidR="00154B99" w:rsidRPr="00545FB9">
          <w:rPr>
            <w:rStyle w:val="Hyperlink"/>
          </w:rPr>
          <w:t>Reasons for proposed approach</w:t>
        </w:r>
        <w:r w:rsidR="00154B99">
          <w:rPr>
            <w:webHidden/>
          </w:rPr>
          <w:tab/>
        </w:r>
        <w:r w:rsidR="00154B99">
          <w:rPr>
            <w:webHidden/>
          </w:rPr>
          <w:fldChar w:fldCharType="begin"/>
        </w:r>
        <w:r w:rsidR="00154B99">
          <w:rPr>
            <w:webHidden/>
          </w:rPr>
          <w:instrText xml:space="preserve"> PAGEREF _Toc457462271 \h </w:instrText>
        </w:r>
        <w:r w:rsidR="00154B99">
          <w:rPr>
            <w:webHidden/>
          </w:rPr>
        </w:r>
        <w:r w:rsidR="00154B99">
          <w:rPr>
            <w:webHidden/>
          </w:rPr>
          <w:fldChar w:fldCharType="separate"/>
        </w:r>
        <w:r w:rsidR="00154B99">
          <w:rPr>
            <w:webHidden/>
          </w:rPr>
          <w:t>11</w:t>
        </w:r>
        <w:r w:rsidR="00154B99">
          <w:rPr>
            <w:webHidden/>
          </w:rPr>
          <w:fldChar w:fldCharType="end"/>
        </w:r>
      </w:hyperlink>
    </w:p>
    <w:p w:rsidR="00154B99" w:rsidRDefault="007F0C7B">
      <w:pPr>
        <w:pStyle w:val="TOC1"/>
        <w:rPr>
          <w:rFonts w:asciiTheme="minorHAnsi" w:eastAsiaTheme="minorEastAsia" w:hAnsiTheme="minorHAnsi"/>
          <w:b w:val="0"/>
          <w:color w:val="auto"/>
          <w:sz w:val="22"/>
          <w:lang w:val="en-AU" w:eastAsia="en-AU"/>
        </w:rPr>
      </w:pPr>
      <w:hyperlink w:anchor="_Toc457462272" w:history="1">
        <w:r w:rsidR="00154B99" w:rsidRPr="00545FB9">
          <w:rPr>
            <w:rStyle w:val="Hyperlink"/>
          </w:rPr>
          <w:t>2</w:t>
        </w:r>
        <w:r w:rsidR="00154B99">
          <w:rPr>
            <w:rFonts w:asciiTheme="minorHAnsi" w:eastAsiaTheme="minorEastAsia" w:hAnsiTheme="minorHAnsi"/>
            <w:b w:val="0"/>
            <w:color w:val="auto"/>
            <w:sz w:val="22"/>
            <w:lang w:val="en-AU" w:eastAsia="en-AU"/>
          </w:rPr>
          <w:tab/>
        </w:r>
        <w:r w:rsidR="00154B99" w:rsidRPr="00545FB9">
          <w:rPr>
            <w:rStyle w:val="Hyperlink"/>
          </w:rPr>
          <w:t>Efficiency benefit sharing scheme</w:t>
        </w:r>
        <w:r w:rsidR="00154B99">
          <w:rPr>
            <w:webHidden/>
          </w:rPr>
          <w:tab/>
        </w:r>
        <w:r w:rsidR="00154B99">
          <w:rPr>
            <w:webHidden/>
          </w:rPr>
          <w:fldChar w:fldCharType="begin"/>
        </w:r>
        <w:r w:rsidR="00154B99">
          <w:rPr>
            <w:webHidden/>
          </w:rPr>
          <w:instrText xml:space="preserve"> PAGEREF _Toc457462272 \h </w:instrText>
        </w:r>
        <w:r w:rsidR="00154B99">
          <w:rPr>
            <w:webHidden/>
          </w:rPr>
        </w:r>
        <w:r w:rsidR="00154B99">
          <w:rPr>
            <w:webHidden/>
          </w:rPr>
          <w:fldChar w:fldCharType="separate"/>
        </w:r>
        <w:r w:rsidR="00154B99">
          <w:rPr>
            <w:webHidden/>
          </w:rPr>
          <w:t>13</w:t>
        </w:r>
        <w:r w:rsidR="00154B99">
          <w:rPr>
            <w:webHidden/>
          </w:rPr>
          <w:fldChar w:fldCharType="end"/>
        </w:r>
      </w:hyperlink>
    </w:p>
    <w:p w:rsidR="00154B99" w:rsidRDefault="007F0C7B">
      <w:pPr>
        <w:pStyle w:val="TOC2"/>
        <w:rPr>
          <w:rFonts w:asciiTheme="minorHAnsi" w:eastAsiaTheme="minorEastAsia" w:hAnsiTheme="minorHAnsi"/>
          <w:b w:val="0"/>
          <w:color w:val="auto"/>
          <w:sz w:val="22"/>
          <w:lang w:eastAsia="en-AU"/>
        </w:rPr>
      </w:pPr>
      <w:hyperlink w:anchor="_Toc457462273" w:history="1">
        <w:r w:rsidR="00154B99" w:rsidRPr="00545FB9">
          <w:rPr>
            <w:rStyle w:val="Hyperlink"/>
          </w:rPr>
          <w:t>2.1</w:t>
        </w:r>
        <w:r w:rsidR="00154B99">
          <w:rPr>
            <w:rFonts w:asciiTheme="minorHAnsi" w:eastAsiaTheme="minorEastAsia" w:hAnsiTheme="minorHAnsi"/>
            <w:b w:val="0"/>
            <w:color w:val="auto"/>
            <w:sz w:val="22"/>
            <w:lang w:eastAsia="en-AU"/>
          </w:rPr>
          <w:tab/>
        </w:r>
        <w:r w:rsidR="00154B99" w:rsidRPr="00545FB9">
          <w:rPr>
            <w:rStyle w:val="Hyperlink"/>
          </w:rPr>
          <w:t>Proposed approach</w:t>
        </w:r>
        <w:r w:rsidR="00154B99">
          <w:rPr>
            <w:webHidden/>
          </w:rPr>
          <w:tab/>
        </w:r>
        <w:r w:rsidR="00154B99">
          <w:rPr>
            <w:webHidden/>
          </w:rPr>
          <w:fldChar w:fldCharType="begin"/>
        </w:r>
        <w:r w:rsidR="00154B99">
          <w:rPr>
            <w:webHidden/>
          </w:rPr>
          <w:instrText xml:space="preserve"> PAGEREF _Toc457462273 \h </w:instrText>
        </w:r>
        <w:r w:rsidR="00154B99">
          <w:rPr>
            <w:webHidden/>
          </w:rPr>
        </w:r>
        <w:r w:rsidR="00154B99">
          <w:rPr>
            <w:webHidden/>
          </w:rPr>
          <w:fldChar w:fldCharType="separate"/>
        </w:r>
        <w:r w:rsidR="00154B99">
          <w:rPr>
            <w:webHidden/>
          </w:rPr>
          <w:t>13</w:t>
        </w:r>
        <w:r w:rsidR="00154B99">
          <w:rPr>
            <w:webHidden/>
          </w:rPr>
          <w:fldChar w:fldCharType="end"/>
        </w:r>
      </w:hyperlink>
    </w:p>
    <w:p w:rsidR="00154B99" w:rsidRDefault="007F0C7B">
      <w:pPr>
        <w:pStyle w:val="TOC2"/>
        <w:rPr>
          <w:rFonts w:asciiTheme="minorHAnsi" w:eastAsiaTheme="minorEastAsia" w:hAnsiTheme="minorHAnsi"/>
          <w:b w:val="0"/>
          <w:color w:val="auto"/>
          <w:sz w:val="22"/>
          <w:lang w:eastAsia="en-AU"/>
        </w:rPr>
      </w:pPr>
      <w:hyperlink w:anchor="_Toc457462274" w:history="1">
        <w:r w:rsidR="00154B99" w:rsidRPr="00545FB9">
          <w:rPr>
            <w:rStyle w:val="Hyperlink"/>
          </w:rPr>
          <w:t>2.2</w:t>
        </w:r>
        <w:r w:rsidR="00154B99">
          <w:rPr>
            <w:rFonts w:asciiTheme="minorHAnsi" w:eastAsiaTheme="minorEastAsia" w:hAnsiTheme="minorHAnsi"/>
            <w:b w:val="0"/>
            <w:color w:val="auto"/>
            <w:sz w:val="22"/>
            <w:lang w:eastAsia="en-AU"/>
          </w:rPr>
          <w:tab/>
        </w:r>
        <w:r w:rsidR="00154B99" w:rsidRPr="00545FB9">
          <w:rPr>
            <w:rStyle w:val="Hyperlink"/>
          </w:rPr>
          <w:t>Reasons for proposed approach</w:t>
        </w:r>
        <w:r w:rsidR="00154B99">
          <w:rPr>
            <w:webHidden/>
          </w:rPr>
          <w:tab/>
        </w:r>
        <w:r w:rsidR="00154B99">
          <w:rPr>
            <w:webHidden/>
          </w:rPr>
          <w:fldChar w:fldCharType="begin"/>
        </w:r>
        <w:r w:rsidR="00154B99">
          <w:rPr>
            <w:webHidden/>
          </w:rPr>
          <w:instrText xml:space="preserve"> PAGEREF _Toc457462274 \h </w:instrText>
        </w:r>
        <w:r w:rsidR="00154B99">
          <w:rPr>
            <w:webHidden/>
          </w:rPr>
        </w:r>
        <w:r w:rsidR="00154B99">
          <w:rPr>
            <w:webHidden/>
          </w:rPr>
          <w:fldChar w:fldCharType="separate"/>
        </w:r>
        <w:r w:rsidR="00154B99">
          <w:rPr>
            <w:webHidden/>
          </w:rPr>
          <w:t>13</w:t>
        </w:r>
        <w:r w:rsidR="00154B99">
          <w:rPr>
            <w:webHidden/>
          </w:rPr>
          <w:fldChar w:fldCharType="end"/>
        </w:r>
      </w:hyperlink>
    </w:p>
    <w:p w:rsidR="00154B99" w:rsidRDefault="007F0C7B">
      <w:pPr>
        <w:pStyle w:val="TOC1"/>
        <w:rPr>
          <w:rFonts w:asciiTheme="minorHAnsi" w:eastAsiaTheme="minorEastAsia" w:hAnsiTheme="minorHAnsi"/>
          <w:b w:val="0"/>
          <w:color w:val="auto"/>
          <w:sz w:val="22"/>
          <w:lang w:val="en-AU" w:eastAsia="en-AU"/>
        </w:rPr>
      </w:pPr>
      <w:hyperlink w:anchor="_Toc457462275" w:history="1">
        <w:r w:rsidR="00154B99" w:rsidRPr="00545FB9">
          <w:rPr>
            <w:rStyle w:val="Hyperlink"/>
          </w:rPr>
          <w:t>3</w:t>
        </w:r>
        <w:r w:rsidR="00154B99">
          <w:rPr>
            <w:rFonts w:asciiTheme="minorHAnsi" w:eastAsiaTheme="minorEastAsia" w:hAnsiTheme="minorHAnsi"/>
            <w:b w:val="0"/>
            <w:color w:val="auto"/>
            <w:sz w:val="22"/>
            <w:lang w:val="en-AU" w:eastAsia="en-AU"/>
          </w:rPr>
          <w:tab/>
        </w:r>
        <w:r w:rsidR="00154B99" w:rsidRPr="00545FB9">
          <w:rPr>
            <w:rStyle w:val="Hyperlink"/>
          </w:rPr>
          <w:t>Capital expenditure sharing scheme</w:t>
        </w:r>
        <w:r w:rsidR="00154B99">
          <w:rPr>
            <w:webHidden/>
          </w:rPr>
          <w:tab/>
        </w:r>
        <w:r w:rsidR="00154B99">
          <w:rPr>
            <w:webHidden/>
          </w:rPr>
          <w:fldChar w:fldCharType="begin"/>
        </w:r>
        <w:r w:rsidR="00154B99">
          <w:rPr>
            <w:webHidden/>
          </w:rPr>
          <w:instrText xml:space="preserve"> PAGEREF _Toc457462275 \h </w:instrText>
        </w:r>
        <w:r w:rsidR="00154B99">
          <w:rPr>
            <w:webHidden/>
          </w:rPr>
        </w:r>
        <w:r w:rsidR="00154B99">
          <w:rPr>
            <w:webHidden/>
          </w:rPr>
          <w:fldChar w:fldCharType="separate"/>
        </w:r>
        <w:r w:rsidR="00154B99">
          <w:rPr>
            <w:webHidden/>
          </w:rPr>
          <w:t>19</w:t>
        </w:r>
        <w:r w:rsidR="00154B99">
          <w:rPr>
            <w:webHidden/>
          </w:rPr>
          <w:fldChar w:fldCharType="end"/>
        </w:r>
      </w:hyperlink>
    </w:p>
    <w:p w:rsidR="00154B99" w:rsidRDefault="007F0C7B">
      <w:pPr>
        <w:pStyle w:val="TOC2"/>
        <w:rPr>
          <w:rFonts w:asciiTheme="minorHAnsi" w:eastAsiaTheme="minorEastAsia" w:hAnsiTheme="minorHAnsi"/>
          <w:b w:val="0"/>
          <w:color w:val="auto"/>
          <w:sz w:val="22"/>
          <w:lang w:eastAsia="en-AU"/>
        </w:rPr>
      </w:pPr>
      <w:hyperlink w:anchor="_Toc457462276" w:history="1">
        <w:r w:rsidR="00154B99" w:rsidRPr="00545FB9">
          <w:rPr>
            <w:rStyle w:val="Hyperlink"/>
          </w:rPr>
          <w:t>3.1</w:t>
        </w:r>
        <w:r w:rsidR="00154B99">
          <w:rPr>
            <w:rFonts w:asciiTheme="minorHAnsi" w:eastAsiaTheme="minorEastAsia" w:hAnsiTheme="minorHAnsi"/>
            <w:b w:val="0"/>
            <w:color w:val="auto"/>
            <w:sz w:val="22"/>
            <w:lang w:eastAsia="en-AU"/>
          </w:rPr>
          <w:tab/>
        </w:r>
        <w:r w:rsidR="00154B99" w:rsidRPr="00545FB9">
          <w:rPr>
            <w:rStyle w:val="Hyperlink"/>
          </w:rPr>
          <w:t>Proposed approach</w:t>
        </w:r>
        <w:r w:rsidR="00154B99">
          <w:rPr>
            <w:webHidden/>
          </w:rPr>
          <w:tab/>
        </w:r>
        <w:r w:rsidR="00154B99">
          <w:rPr>
            <w:webHidden/>
          </w:rPr>
          <w:fldChar w:fldCharType="begin"/>
        </w:r>
        <w:r w:rsidR="00154B99">
          <w:rPr>
            <w:webHidden/>
          </w:rPr>
          <w:instrText xml:space="preserve"> PAGEREF _Toc457462276 \h </w:instrText>
        </w:r>
        <w:r w:rsidR="00154B99">
          <w:rPr>
            <w:webHidden/>
          </w:rPr>
        </w:r>
        <w:r w:rsidR="00154B99">
          <w:rPr>
            <w:webHidden/>
          </w:rPr>
          <w:fldChar w:fldCharType="separate"/>
        </w:r>
        <w:r w:rsidR="00154B99">
          <w:rPr>
            <w:webHidden/>
          </w:rPr>
          <w:t>20</w:t>
        </w:r>
        <w:r w:rsidR="00154B99">
          <w:rPr>
            <w:webHidden/>
          </w:rPr>
          <w:fldChar w:fldCharType="end"/>
        </w:r>
      </w:hyperlink>
    </w:p>
    <w:p w:rsidR="00154B99" w:rsidRDefault="007F0C7B">
      <w:pPr>
        <w:pStyle w:val="TOC2"/>
        <w:rPr>
          <w:rFonts w:asciiTheme="minorHAnsi" w:eastAsiaTheme="minorEastAsia" w:hAnsiTheme="minorHAnsi"/>
          <w:b w:val="0"/>
          <w:color w:val="auto"/>
          <w:sz w:val="22"/>
          <w:lang w:eastAsia="en-AU"/>
        </w:rPr>
      </w:pPr>
      <w:hyperlink w:anchor="_Toc457462277" w:history="1">
        <w:r w:rsidR="00154B99" w:rsidRPr="00545FB9">
          <w:rPr>
            <w:rStyle w:val="Hyperlink"/>
          </w:rPr>
          <w:t>3.2</w:t>
        </w:r>
        <w:r w:rsidR="00154B99">
          <w:rPr>
            <w:rFonts w:asciiTheme="minorHAnsi" w:eastAsiaTheme="minorEastAsia" w:hAnsiTheme="minorHAnsi"/>
            <w:b w:val="0"/>
            <w:color w:val="auto"/>
            <w:sz w:val="22"/>
            <w:lang w:eastAsia="en-AU"/>
          </w:rPr>
          <w:tab/>
        </w:r>
        <w:r w:rsidR="00154B99" w:rsidRPr="00545FB9">
          <w:rPr>
            <w:rStyle w:val="Hyperlink"/>
          </w:rPr>
          <w:t>Reasons for proposed approach</w:t>
        </w:r>
        <w:r w:rsidR="00154B99">
          <w:rPr>
            <w:webHidden/>
          </w:rPr>
          <w:tab/>
        </w:r>
        <w:r w:rsidR="00154B99">
          <w:rPr>
            <w:webHidden/>
          </w:rPr>
          <w:fldChar w:fldCharType="begin"/>
        </w:r>
        <w:r w:rsidR="00154B99">
          <w:rPr>
            <w:webHidden/>
          </w:rPr>
          <w:instrText xml:space="preserve"> PAGEREF _Toc457462277 \h </w:instrText>
        </w:r>
        <w:r w:rsidR="00154B99">
          <w:rPr>
            <w:webHidden/>
          </w:rPr>
        </w:r>
        <w:r w:rsidR="00154B99">
          <w:rPr>
            <w:webHidden/>
          </w:rPr>
          <w:fldChar w:fldCharType="separate"/>
        </w:r>
        <w:r w:rsidR="00154B99">
          <w:rPr>
            <w:webHidden/>
          </w:rPr>
          <w:t>20</w:t>
        </w:r>
        <w:r w:rsidR="00154B99">
          <w:rPr>
            <w:webHidden/>
          </w:rPr>
          <w:fldChar w:fldCharType="end"/>
        </w:r>
      </w:hyperlink>
    </w:p>
    <w:p w:rsidR="00154B99" w:rsidRDefault="007F0C7B">
      <w:pPr>
        <w:pStyle w:val="TOC1"/>
        <w:rPr>
          <w:rFonts w:asciiTheme="minorHAnsi" w:eastAsiaTheme="minorEastAsia" w:hAnsiTheme="minorHAnsi"/>
          <w:b w:val="0"/>
          <w:color w:val="auto"/>
          <w:sz w:val="22"/>
          <w:lang w:val="en-AU" w:eastAsia="en-AU"/>
        </w:rPr>
      </w:pPr>
      <w:hyperlink w:anchor="_Toc457462278" w:history="1">
        <w:r w:rsidR="00154B99" w:rsidRPr="00545FB9">
          <w:rPr>
            <w:rStyle w:val="Hyperlink"/>
          </w:rPr>
          <w:t>4</w:t>
        </w:r>
        <w:r w:rsidR="00154B99">
          <w:rPr>
            <w:rFonts w:asciiTheme="minorHAnsi" w:eastAsiaTheme="minorEastAsia" w:hAnsiTheme="minorHAnsi"/>
            <w:b w:val="0"/>
            <w:color w:val="auto"/>
            <w:sz w:val="22"/>
            <w:lang w:val="en-AU" w:eastAsia="en-AU"/>
          </w:rPr>
          <w:tab/>
        </w:r>
        <w:r w:rsidR="00154B99" w:rsidRPr="00545FB9">
          <w:rPr>
            <w:rStyle w:val="Hyperlink"/>
          </w:rPr>
          <w:t>Expenditure forecast assessment guideline</w:t>
        </w:r>
        <w:r w:rsidR="00154B99">
          <w:rPr>
            <w:webHidden/>
          </w:rPr>
          <w:tab/>
        </w:r>
        <w:r w:rsidR="00154B99">
          <w:rPr>
            <w:webHidden/>
          </w:rPr>
          <w:fldChar w:fldCharType="begin"/>
        </w:r>
        <w:r w:rsidR="00154B99">
          <w:rPr>
            <w:webHidden/>
          </w:rPr>
          <w:instrText xml:space="preserve"> PAGEREF _Toc457462278 \h </w:instrText>
        </w:r>
        <w:r w:rsidR="00154B99">
          <w:rPr>
            <w:webHidden/>
          </w:rPr>
        </w:r>
        <w:r w:rsidR="00154B99">
          <w:rPr>
            <w:webHidden/>
          </w:rPr>
          <w:fldChar w:fldCharType="separate"/>
        </w:r>
        <w:r w:rsidR="00154B99">
          <w:rPr>
            <w:webHidden/>
          </w:rPr>
          <w:t>22</w:t>
        </w:r>
        <w:r w:rsidR="00154B99">
          <w:rPr>
            <w:webHidden/>
          </w:rPr>
          <w:fldChar w:fldCharType="end"/>
        </w:r>
      </w:hyperlink>
    </w:p>
    <w:p w:rsidR="00154B99" w:rsidRDefault="007F0C7B">
      <w:pPr>
        <w:pStyle w:val="TOC1"/>
        <w:rPr>
          <w:rFonts w:asciiTheme="minorHAnsi" w:eastAsiaTheme="minorEastAsia" w:hAnsiTheme="minorHAnsi"/>
          <w:b w:val="0"/>
          <w:color w:val="auto"/>
          <w:sz w:val="22"/>
          <w:lang w:val="en-AU" w:eastAsia="en-AU"/>
        </w:rPr>
      </w:pPr>
      <w:hyperlink w:anchor="_Toc457462279" w:history="1">
        <w:r w:rsidR="00154B99" w:rsidRPr="00545FB9">
          <w:rPr>
            <w:rStyle w:val="Hyperlink"/>
          </w:rPr>
          <w:t>5</w:t>
        </w:r>
        <w:r w:rsidR="00154B99">
          <w:rPr>
            <w:rFonts w:asciiTheme="minorHAnsi" w:eastAsiaTheme="minorEastAsia" w:hAnsiTheme="minorHAnsi"/>
            <w:b w:val="0"/>
            <w:color w:val="auto"/>
            <w:sz w:val="22"/>
            <w:lang w:val="en-AU" w:eastAsia="en-AU"/>
          </w:rPr>
          <w:tab/>
        </w:r>
        <w:r w:rsidR="00154B99" w:rsidRPr="00545FB9">
          <w:rPr>
            <w:rStyle w:val="Hyperlink"/>
          </w:rPr>
          <w:t>Depreciation</w:t>
        </w:r>
        <w:r w:rsidR="00154B99">
          <w:rPr>
            <w:webHidden/>
          </w:rPr>
          <w:tab/>
        </w:r>
        <w:r w:rsidR="00154B99">
          <w:rPr>
            <w:webHidden/>
          </w:rPr>
          <w:fldChar w:fldCharType="begin"/>
        </w:r>
        <w:r w:rsidR="00154B99">
          <w:rPr>
            <w:webHidden/>
          </w:rPr>
          <w:instrText xml:space="preserve"> PAGEREF _Toc457462279 \h </w:instrText>
        </w:r>
        <w:r w:rsidR="00154B99">
          <w:rPr>
            <w:webHidden/>
          </w:rPr>
        </w:r>
        <w:r w:rsidR="00154B99">
          <w:rPr>
            <w:webHidden/>
          </w:rPr>
          <w:fldChar w:fldCharType="separate"/>
        </w:r>
        <w:r w:rsidR="00154B99">
          <w:rPr>
            <w:webHidden/>
          </w:rPr>
          <w:t>24</w:t>
        </w:r>
        <w:r w:rsidR="00154B99">
          <w:rPr>
            <w:webHidden/>
          </w:rPr>
          <w:fldChar w:fldCharType="end"/>
        </w:r>
      </w:hyperlink>
    </w:p>
    <w:p w:rsidR="00154B99" w:rsidRDefault="007F0C7B">
      <w:pPr>
        <w:pStyle w:val="TOC2"/>
        <w:rPr>
          <w:rFonts w:asciiTheme="minorHAnsi" w:eastAsiaTheme="minorEastAsia" w:hAnsiTheme="minorHAnsi"/>
          <w:b w:val="0"/>
          <w:color w:val="auto"/>
          <w:sz w:val="22"/>
          <w:lang w:eastAsia="en-AU"/>
        </w:rPr>
      </w:pPr>
      <w:hyperlink w:anchor="_Toc457462280" w:history="1">
        <w:r w:rsidR="00154B99" w:rsidRPr="00545FB9">
          <w:rPr>
            <w:rStyle w:val="Hyperlink"/>
          </w:rPr>
          <w:t>5.1</w:t>
        </w:r>
        <w:r w:rsidR="00154B99">
          <w:rPr>
            <w:rFonts w:asciiTheme="minorHAnsi" w:eastAsiaTheme="minorEastAsia" w:hAnsiTheme="minorHAnsi"/>
            <w:b w:val="0"/>
            <w:color w:val="auto"/>
            <w:sz w:val="22"/>
            <w:lang w:eastAsia="en-AU"/>
          </w:rPr>
          <w:tab/>
        </w:r>
        <w:r w:rsidR="00154B99" w:rsidRPr="00545FB9">
          <w:rPr>
            <w:rStyle w:val="Hyperlink"/>
          </w:rPr>
          <w:t>Proposed approach</w:t>
        </w:r>
        <w:r w:rsidR="00154B99">
          <w:rPr>
            <w:webHidden/>
          </w:rPr>
          <w:tab/>
        </w:r>
        <w:r w:rsidR="00154B99">
          <w:rPr>
            <w:webHidden/>
          </w:rPr>
          <w:fldChar w:fldCharType="begin"/>
        </w:r>
        <w:r w:rsidR="00154B99">
          <w:rPr>
            <w:webHidden/>
          </w:rPr>
          <w:instrText xml:space="preserve"> PAGEREF _Toc457462280 \h </w:instrText>
        </w:r>
        <w:r w:rsidR="00154B99">
          <w:rPr>
            <w:webHidden/>
          </w:rPr>
        </w:r>
        <w:r w:rsidR="00154B99">
          <w:rPr>
            <w:webHidden/>
          </w:rPr>
          <w:fldChar w:fldCharType="separate"/>
        </w:r>
        <w:r w:rsidR="00154B99">
          <w:rPr>
            <w:webHidden/>
          </w:rPr>
          <w:t>25</w:t>
        </w:r>
        <w:r w:rsidR="00154B99">
          <w:rPr>
            <w:webHidden/>
          </w:rPr>
          <w:fldChar w:fldCharType="end"/>
        </w:r>
      </w:hyperlink>
    </w:p>
    <w:p w:rsidR="00154B99" w:rsidRDefault="007F0C7B">
      <w:pPr>
        <w:pStyle w:val="TOC2"/>
        <w:rPr>
          <w:rFonts w:asciiTheme="minorHAnsi" w:eastAsiaTheme="minorEastAsia" w:hAnsiTheme="minorHAnsi"/>
          <w:b w:val="0"/>
          <w:color w:val="auto"/>
          <w:sz w:val="22"/>
          <w:lang w:eastAsia="en-AU"/>
        </w:rPr>
      </w:pPr>
      <w:hyperlink w:anchor="_Toc457462281" w:history="1">
        <w:r w:rsidR="00154B99" w:rsidRPr="00545FB9">
          <w:rPr>
            <w:rStyle w:val="Hyperlink"/>
          </w:rPr>
          <w:t>5.2</w:t>
        </w:r>
        <w:r w:rsidR="00154B99">
          <w:rPr>
            <w:rFonts w:asciiTheme="minorHAnsi" w:eastAsiaTheme="minorEastAsia" w:hAnsiTheme="minorHAnsi"/>
            <w:b w:val="0"/>
            <w:color w:val="auto"/>
            <w:sz w:val="22"/>
            <w:lang w:eastAsia="en-AU"/>
          </w:rPr>
          <w:tab/>
        </w:r>
        <w:r w:rsidR="00154B99" w:rsidRPr="00545FB9">
          <w:rPr>
            <w:rStyle w:val="Hyperlink"/>
          </w:rPr>
          <w:t>Reasons for proposed approach</w:t>
        </w:r>
        <w:r w:rsidR="00154B99">
          <w:rPr>
            <w:webHidden/>
          </w:rPr>
          <w:tab/>
        </w:r>
        <w:r w:rsidR="00154B99">
          <w:rPr>
            <w:webHidden/>
          </w:rPr>
          <w:fldChar w:fldCharType="begin"/>
        </w:r>
        <w:r w:rsidR="00154B99">
          <w:rPr>
            <w:webHidden/>
          </w:rPr>
          <w:instrText xml:space="preserve"> PAGEREF _Toc457462281 \h </w:instrText>
        </w:r>
        <w:r w:rsidR="00154B99">
          <w:rPr>
            <w:webHidden/>
          </w:rPr>
        </w:r>
        <w:r w:rsidR="00154B99">
          <w:rPr>
            <w:webHidden/>
          </w:rPr>
          <w:fldChar w:fldCharType="separate"/>
        </w:r>
        <w:r w:rsidR="00154B99">
          <w:rPr>
            <w:webHidden/>
          </w:rPr>
          <w:t>25</w:t>
        </w:r>
        <w:r w:rsidR="00154B99">
          <w:rPr>
            <w:webHidden/>
          </w:rPr>
          <w:fldChar w:fldCharType="end"/>
        </w:r>
      </w:hyperlink>
    </w:p>
    <w:p w:rsidR="009E2573" w:rsidRDefault="00A75077" w:rsidP="009E2573">
      <w:pPr>
        <w:pStyle w:val="Heading1notnumber"/>
      </w:pPr>
      <w:r>
        <w:lastRenderedPageBreak/>
        <w:fldChar w:fldCharType="end"/>
      </w:r>
      <w:bookmarkStart w:id="2" w:name="_Toc435186103"/>
      <w:bookmarkStart w:id="3" w:name="_Toc457462265"/>
      <w:r w:rsidR="009E2573">
        <w:t>Shortened forms</w:t>
      </w:r>
      <w:bookmarkEnd w:id="2"/>
      <w:bookmarkEnd w:id="3"/>
    </w:p>
    <w:tbl>
      <w:tblPr>
        <w:tblStyle w:val="AERTable-Text"/>
        <w:tblW w:w="0" w:type="auto"/>
        <w:tblLook w:val="04A0" w:firstRow="1" w:lastRow="0" w:firstColumn="1" w:lastColumn="0" w:noHBand="0" w:noVBand="1"/>
      </w:tblPr>
      <w:tblGrid>
        <w:gridCol w:w="3794"/>
        <w:gridCol w:w="4734"/>
      </w:tblGrid>
      <w:tr w:rsidR="00AE1B40" w:rsidRPr="00912C06" w:rsidTr="00AE1B40">
        <w:trPr>
          <w:cnfStyle w:val="100000000000" w:firstRow="1" w:lastRow="0" w:firstColumn="0" w:lastColumn="0" w:oddVBand="0" w:evenVBand="0" w:oddHBand="0" w:evenHBand="0" w:firstRowFirstColumn="0" w:firstRowLastColumn="0" w:lastRowFirstColumn="0" w:lastRowLastColumn="0"/>
        </w:trPr>
        <w:tc>
          <w:tcPr>
            <w:tcW w:w="3794" w:type="dxa"/>
            <w:noWrap/>
          </w:tcPr>
          <w:p w:rsidR="00AE1B40" w:rsidRPr="00AE1B40" w:rsidRDefault="00AE1B40" w:rsidP="00AE1B40">
            <w:pPr>
              <w:pStyle w:val="Tabletext"/>
            </w:pPr>
            <w:r w:rsidRPr="007A0BC2">
              <w:t>Shortened Form</w:t>
            </w:r>
          </w:p>
        </w:tc>
        <w:tc>
          <w:tcPr>
            <w:tcW w:w="4734" w:type="dxa"/>
            <w:noWrap/>
          </w:tcPr>
          <w:p w:rsidR="00AE1B40" w:rsidRPr="00AE1B40" w:rsidRDefault="00AE1B40" w:rsidP="00AE1B40">
            <w:pPr>
              <w:pStyle w:val="Tabletext"/>
            </w:pPr>
            <w:r w:rsidRPr="007A0BC2">
              <w:t>Extended Form</w:t>
            </w:r>
          </w:p>
        </w:tc>
      </w:tr>
      <w:tr w:rsidR="00D3169C" w:rsidRPr="003F4043" w:rsidTr="00AE1B40">
        <w:tc>
          <w:tcPr>
            <w:tcW w:w="3794" w:type="dxa"/>
            <w:noWrap/>
          </w:tcPr>
          <w:p w:rsidR="00D3169C" w:rsidRDefault="00D3169C" w:rsidP="00AE1B40">
            <w:pPr>
              <w:pStyle w:val="Tabletext"/>
            </w:pPr>
            <w:r>
              <w:t>AEMC</w:t>
            </w:r>
          </w:p>
        </w:tc>
        <w:tc>
          <w:tcPr>
            <w:tcW w:w="4734" w:type="dxa"/>
            <w:noWrap/>
          </w:tcPr>
          <w:p w:rsidR="00D3169C" w:rsidRDefault="00D3169C" w:rsidP="00AE1B40">
            <w:pPr>
              <w:pStyle w:val="Tabletext"/>
            </w:pPr>
            <w:r>
              <w:t>Australian Energy Market Commission</w:t>
            </w:r>
          </w:p>
        </w:tc>
      </w:tr>
      <w:tr w:rsidR="00AE1B40" w:rsidRPr="003F4043"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t>AEMO</w:t>
            </w:r>
          </w:p>
        </w:tc>
        <w:tc>
          <w:tcPr>
            <w:tcW w:w="4734" w:type="dxa"/>
            <w:noWrap/>
          </w:tcPr>
          <w:p w:rsidR="00AE1B40" w:rsidRPr="00AE1B40" w:rsidRDefault="00AE1B40" w:rsidP="00AE1B40">
            <w:pPr>
              <w:pStyle w:val="Tabletext"/>
            </w:pPr>
            <w:r>
              <w:t>Australian Energy Market Operator</w:t>
            </w:r>
          </w:p>
        </w:tc>
      </w:tr>
      <w:tr w:rsidR="00AE1B40" w:rsidRPr="003F4043" w:rsidTr="00AE1B40">
        <w:tc>
          <w:tcPr>
            <w:tcW w:w="3794" w:type="dxa"/>
            <w:noWrap/>
          </w:tcPr>
          <w:p w:rsidR="00AE1B40" w:rsidRPr="00AE1B40" w:rsidRDefault="00AE1B40" w:rsidP="00AE1B40">
            <w:pPr>
              <w:pStyle w:val="Tabletext"/>
            </w:pPr>
            <w:r w:rsidRPr="007A0BC2">
              <w:t>AER</w:t>
            </w:r>
          </w:p>
        </w:tc>
        <w:tc>
          <w:tcPr>
            <w:tcW w:w="4734" w:type="dxa"/>
            <w:noWrap/>
          </w:tcPr>
          <w:p w:rsidR="00AE1B40" w:rsidRPr="00AE1B40" w:rsidRDefault="00AE1B40" w:rsidP="00AE1B40">
            <w:pPr>
              <w:pStyle w:val="Tabletext"/>
            </w:pPr>
            <w:r w:rsidRPr="007A0BC2">
              <w:t>Australian Energy Regulator</w:t>
            </w:r>
          </w:p>
        </w:tc>
      </w:tr>
      <w:tr w:rsidR="00AE1B40" w:rsidRPr="003F4043"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CESS</w:t>
            </w:r>
          </w:p>
        </w:tc>
        <w:tc>
          <w:tcPr>
            <w:tcW w:w="4734" w:type="dxa"/>
            <w:noWrap/>
          </w:tcPr>
          <w:p w:rsidR="00AE1B40" w:rsidRPr="00AE1B40" w:rsidRDefault="00AE1B40" w:rsidP="00AE1B40">
            <w:pPr>
              <w:pStyle w:val="Tabletext"/>
            </w:pPr>
            <w:r w:rsidRPr="007A0BC2">
              <w:t>capital expenditure sharing scheme</w:t>
            </w:r>
          </w:p>
        </w:tc>
      </w:tr>
      <w:tr w:rsidR="00AE1B40" w:rsidRPr="00F673DB" w:rsidTr="00AE1B40">
        <w:tc>
          <w:tcPr>
            <w:tcW w:w="3794" w:type="dxa"/>
            <w:noWrap/>
          </w:tcPr>
          <w:p w:rsidR="00AE1B40" w:rsidRPr="00AE1B40" w:rsidRDefault="00AE1B40" w:rsidP="00AE1B40">
            <w:pPr>
              <w:pStyle w:val="Tabletext"/>
            </w:pPr>
            <w:r w:rsidRPr="007A0BC2">
              <w:t>capex</w:t>
            </w:r>
          </w:p>
        </w:tc>
        <w:tc>
          <w:tcPr>
            <w:tcW w:w="4734" w:type="dxa"/>
            <w:noWrap/>
          </w:tcPr>
          <w:p w:rsidR="00AE1B40" w:rsidRPr="00AE1B40" w:rsidRDefault="00AE1B40" w:rsidP="00AE1B40">
            <w:pPr>
              <w:pStyle w:val="Tabletext"/>
            </w:pPr>
            <w:r w:rsidRPr="007A0BC2">
              <w:t>capital expenditure</w:t>
            </w:r>
          </w:p>
        </w:tc>
      </w:tr>
      <w:tr w:rsidR="00AE1B40" w:rsidRPr="003F4043"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EBSS</w:t>
            </w:r>
          </w:p>
        </w:tc>
        <w:tc>
          <w:tcPr>
            <w:tcW w:w="4734" w:type="dxa"/>
            <w:noWrap/>
          </w:tcPr>
          <w:p w:rsidR="00AE1B40" w:rsidRPr="00AE1B40" w:rsidRDefault="00AE1B40" w:rsidP="00AE1B40">
            <w:pPr>
              <w:pStyle w:val="Tabletext"/>
            </w:pPr>
            <w:r w:rsidRPr="007A0BC2">
              <w:t>efficiency benefit sharing scheme</w:t>
            </w:r>
          </w:p>
        </w:tc>
      </w:tr>
      <w:tr w:rsidR="00AE1B40" w:rsidRPr="00D33CDA" w:rsidTr="00AE1B40">
        <w:tc>
          <w:tcPr>
            <w:tcW w:w="3794" w:type="dxa"/>
            <w:noWrap/>
          </w:tcPr>
          <w:p w:rsidR="00AE1B40" w:rsidRPr="00AE1B40" w:rsidRDefault="00AE1B40" w:rsidP="00AE1B40">
            <w:pPr>
              <w:pStyle w:val="Tabletext"/>
            </w:pPr>
            <w:r w:rsidRPr="007A0BC2">
              <w:t>F&amp;A</w:t>
            </w:r>
          </w:p>
        </w:tc>
        <w:tc>
          <w:tcPr>
            <w:tcW w:w="4734" w:type="dxa"/>
            <w:noWrap/>
          </w:tcPr>
          <w:p w:rsidR="00AE1B40" w:rsidRPr="00AE1B40" w:rsidRDefault="00AE1B40" w:rsidP="00AE1B40">
            <w:pPr>
              <w:pStyle w:val="Tabletext"/>
            </w:pPr>
            <w:r w:rsidRPr="00D33CDA">
              <w:t xml:space="preserve">Framework and </w:t>
            </w:r>
            <w:r w:rsidRPr="00AE1B40">
              <w:t>approach</w:t>
            </w:r>
          </w:p>
        </w:tc>
      </w:tr>
      <w:tr w:rsidR="00AE1B40" w:rsidRPr="00D33CDA" w:rsidTr="00AE1B40">
        <w:trPr>
          <w:cnfStyle w:val="000000010000" w:firstRow="0" w:lastRow="0" w:firstColumn="0" w:lastColumn="0" w:oddVBand="0" w:evenVBand="0" w:oddHBand="0" w:evenHBand="1" w:firstRowFirstColumn="0" w:firstRowLastColumn="0" w:lastRowFirstColumn="0" w:lastRowLastColumn="0"/>
          <w:trHeight w:val="469"/>
        </w:trPr>
        <w:tc>
          <w:tcPr>
            <w:tcW w:w="3794" w:type="dxa"/>
            <w:noWrap/>
          </w:tcPr>
          <w:p w:rsidR="00AE1B40" w:rsidRPr="00AE1B40" w:rsidRDefault="00AE1B40" w:rsidP="00AE1B40">
            <w:pPr>
              <w:pStyle w:val="Tabletext"/>
            </w:pPr>
            <w:r w:rsidRPr="007A0BC2">
              <w:t>MAR</w:t>
            </w:r>
          </w:p>
        </w:tc>
        <w:tc>
          <w:tcPr>
            <w:tcW w:w="4734" w:type="dxa"/>
            <w:noWrap/>
          </w:tcPr>
          <w:p w:rsidR="00AE1B40" w:rsidRPr="00AE1B40" w:rsidRDefault="00AE1B40" w:rsidP="00AE1B40">
            <w:pPr>
              <w:pStyle w:val="Tabletext"/>
            </w:pPr>
            <w:r w:rsidRPr="00D33CDA">
              <w:t xml:space="preserve">maximum allowable </w:t>
            </w:r>
            <w:r w:rsidRPr="00AE1B40">
              <w:t>revenue</w:t>
            </w:r>
          </w:p>
        </w:tc>
      </w:tr>
      <w:tr w:rsidR="00AE1B40" w:rsidRPr="00D33CDA" w:rsidTr="00AE1B40">
        <w:tc>
          <w:tcPr>
            <w:tcW w:w="3794" w:type="dxa"/>
            <w:noWrap/>
          </w:tcPr>
          <w:p w:rsidR="00AE1B40" w:rsidRPr="00AE1B40" w:rsidRDefault="00AE1B40" w:rsidP="00AE1B40">
            <w:pPr>
              <w:pStyle w:val="Tabletext"/>
            </w:pPr>
            <w:r w:rsidRPr="007A0BC2">
              <w:t>MIC</w:t>
            </w:r>
          </w:p>
        </w:tc>
        <w:tc>
          <w:tcPr>
            <w:tcW w:w="4734" w:type="dxa"/>
            <w:noWrap/>
          </w:tcPr>
          <w:p w:rsidR="00AE1B40" w:rsidRPr="00AE1B40" w:rsidRDefault="00AE1B40" w:rsidP="00AE1B40">
            <w:pPr>
              <w:pStyle w:val="Tabletext"/>
            </w:pPr>
            <w:r>
              <w:t>market impact component</w:t>
            </w:r>
          </w:p>
        </w:tc>
      </w:tr>
      <w:tr w:rsidR="00AE1B40" w:rsidRPr="00D33CDA"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NCC</w:t>
            </w:r>
          </w:p>
        </w:tc>
        <w:tc>
          <w:tcPr>
            <w:tcW w:w="4734" w:type="dxa"/>
            <w:noWrap/>
          </w:tcPr>
          <w:p w:rsidR="00AE1B40" w:rsidRPr="00AE1B40" w:rsidRDefault="00AE1B40" w:rsidP="00AE1B40">
            <w:pPr>
              <w:pStyle w:val="Tabletext"/>
            </w:pPr>
            <w:r>
              <w:t>network capability component</w:t>
            </w:r>
          </w:p>
        </w:tc>
      </w:tr>
      <w:tr w:rsidR="00AE1B40" w:rsidRPr="00D33CDA" w:rsidTr="00AE1B40">
        <w:tc>
          <w:tcPr>
            <w:tcW w:w="3794" w:type="dxa"/>
            <w:noWrap/>
          </w:tcPr>
          <w:p w:rsidR="00AE1B40" w:rsidRPr="00AE1B40" w:rsidRDefault="00AE1B40" w:rsidP="00AE1B40">
            <w:pPr>
              <w:pStyle w:val="Tabletext"/>
            </w:pPr>
            <w:r>
              <w:t>NCIPAP</w:t>
            </w:r>
          </w:p>
        </w:tc>
        <w:tc>
          <w:tcPr>
            <w:tcW w:w="4734" w:type="dxa"/>
            <w:noWrap/>
          </w:tcPr>
          <w:p w:rsidR="00AE1B40" w:rsidRPr="00AE1B40" w:rsidRDefault="00AE1B40" w:rsidP="00AE1B40">
            <w:pPr>
              <w:pStyle w:val="Tabletext"/>
            </w:pPr>
            <w:r>
              <w:t>network capability incentive parameter action plan</w:t>
            </w:r>
          </w:p>
        </w:tc>
      </w:tr>
      <w:tr w:rsidR="00AE1B40" w:rsidRPr="00D33CDA"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NEM</w:t>
            </w:r>
          </w:p>
        </w:tc>
        <w:tc>
          <w:tcPr>
            <w:tcW w:w="4734" w:type="dxa"/>
            <w:noWrap/>
          </w:tcPr>
          <w:p w:rsidR="00AE1B40" w:rsidRPr="00AE1B40" w:rsidRDefault="00AE1B40" w:rsidP="00AE1B40">
            <w:pPr>
              <w:pStyle w:val="Tabletext"/>
            </w:pPr>
            <w:r w:rsidRPr="00D33CDA">
              <w:t>National Electricity Market</w:t>
            </w:r>
          </w:p>
        </w:tc>
      </w:tr>
      <w:tr w:rsidR="00AE1B40" w:rsidRPr="00D33CDA" w:rsidTr="00AE1B40">
        <w:tc>
          <w:tcPr>
            <w:tcW w:w="3794" w:type="dxa"/>
            <w:noWrap/>
          </w:tcPr>
          <w:p w:rsidR="00AE1B40" w:rsidRPr="00AE1B40" w:rsidRDefault="00AE1B40" w:rsidP="00AE1B40">
            <w:pPr>
              <w:pStyle w:val="Tabletext"/>
            </w:pPr>
            <w:r>
              <w:t>NEO</w:t>
            </w:r>
          </w:p>
        </w:tc>
        <w:tc>
          <w:tcPr>
            <w:tcW w:w="4734" w:type="dxa"/>
            <w:noWrap/>
          </w:tcPr>
          <w:p w:rsidR="00AE1B40" w:rsidRPr="00AE1B40" w:rsidRDefault="00AE1B40" w:rsidP="00AE1B40">
            <w:pPr>
              <w:pStyle w:val="Tabletext"/>
            </w:pPr>
            <w:r>
              <w:t>National Electricity Objective</w:t>
            </w:r>
          </w:p>
        </w:tc>
      </w:tr>
      <w:tr w:rsidR="00AE1B40" w:rsidRPr="00D33CDA"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NER or the rules</w:t>
            </w:r>
          </w:p>
        </w:tc>
        <w:tc>
          <w:tcPr>
            <w:tcW w:w="4734" w:type="dxa"/>
            <w:noWrap/>
          </w:tcPr>
          <w:p w:rsidR="00AE1B40" w:rsidRPr="00AE1B40" w:rsidRDefault="00AE1B40" w:rsidP="00AE1B40">
            <w:pPr>
              <w:pStyle w:val="Tabletext"/>
            </w:pPr>
            <w:r w:rsidRPr="00D33CDA">
              <w:t>National Electricity Rules</w:t>
            </w:r>
          </w:p>
        </w:tc>
      </w:tr>
      <w:tr w:rsidR="00AE1B40" w:rsidRPr="00F673DB" w:rsidTr="00AE1B40">
        <w:tc>
          <w:tcPr>
            <w:tcW w:w="3794" w:type="dxa"/>
            <w:noWrap/>
          </w:tcPr>
          <w:p w:rsidR="00AE1B40" w:rsidRPr="00AE1B40" w:rsidRDefault="00AE1B40" w:rsidP="00AE1B40">
            <w:pPr>
              <w:pStyle w:val="Tabletext"/>
            </w:pPr>
            <w:r w:rsidRPr="007A0BC2">
              <w:t>opex</w:t>
            </w:r>
          </w:p>
        </w:tc>
        <w:tc>
          <w:tcPr>
            <w:tcW w:w="4734" w:type="dxa"/>
            <w:noWrap/>
          </w:tcPr>
          <w:p w:rsidR="00AE1B40" w:rsidRPr="00AE1B40" w:rsidRDefault="00AE1B40" w:rsidP="00AE1B40">
            <w:pPr>
              <w:pStyle w:val="Tabletext"/>
            </w:pPr>
            <w:r w:rsidRPr="007A0BC2">
              <w:t>operating expenditure</w:t>
            </w:r>
          </w:p>
        </w:tc>
      </w:tr>
      <w:tr w:rsidR="00AE1B40" w:rsidRPr="00D33CDA"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RAB</w:t>
            </w:r>
          </w:p>
        </w:tc>
        <w:tc>
          <w:tcPr>
            <w:tcW w:w="4734" w:type="dxa"/>
            <w:noWrap/>
          </w:tcPr>
          <w:p w:rsidR="00AE1B40" w:rsidRPr="00AE1B40" w:rsidRDefault="00AE1B40" w:rsidP="00AE1B40">
            <w:pPr>
              <w:pStyle w:val="Tabletext"/>
            </w:pPr>
            <w:r w:rsidRPr="00D33CDA">
              <w:t>regulatory asset base</w:t>
            </w:r>
          </w:p>
        </w:tc>
      </w:tr>
      <w:tr w:rsidR="00AE1B40" w:rsidRPr="00D33CDA" w:rsidTr="00AE1B40">
        <w:tc>
          <w:tcPr>
            <w:tcW w:w="3794" w:type="dxa"/>
            <w:noWrap/>
          </w:tcPr>
          <w:p w:rsidR="00AE1B40" w:rsidRPr="00AE1B40" w:rsidRDefault="00AE1B40" w:rsidP="00AE1B40">
            <w:pPr>
              <w:pStyle w:val="Tabletext"/>
            </w:pPr>
            <w:r>
              <w:t>STPIS</w:t>
            </w:r>
          </w:p>
        </w:tc>
        <w:tc>
          <w:tcPr>
            <w:tcW w:w="4734" w:type="dxa"/>
            <w:noWrap/>
          </w:tcPr>
          <w:p w:rsidR="00AE1B40" w:rsidRDefault="00AE1B40" w:rsidP="00AE1B40">
            <w:pPr>
              <w:pStyle w:val="Tabletext"/>
            </w:pPr>
            <w:r>
              <w:t>service target performance incentive scheme</w:t>
            </w:r>
          </w:p>
        </w:tc>
      </w:tr>
      <w:tr w:rsidR="00AE1B40" w:rsidRPr="00D33CDA" w:rsidTr="00AE1B40">
        <w:trPr>
          <w:cnfStyle w:val="000000010000" w:firstRow="0" w:lastRow="0" w:firstColumn="0" w:lastColumn="0" w:oddVBand="0" w:evenVBand="0" w:oddHBand="0" w:evenHBand="1" w:firstRowFirstColumn="0" w:firstRowLastColumn="0" w:lastRowFirstColumn="0" w:lastRowLastColumn="0"/>
        </w:trPr>
        <w:tc>
          <w:tcPr>
            <w:tcW w:w="3794" w:type="dxa"/>
            <w:noWrap/>
          </w:tcPr>
          <w:p w:rsidR="00AE1B40" w:rsidRPr="00AE1B40" w:rsidRDefault="00AE1B40" w:rsidP="00AE1B40">
            <w:pPr>
              <w:pStyle w:val="Tabletext"/>
            </w:pPr>
            <w:r w:rsidRPr="007A0BC2">
              <w:t>TNSP</w:t>
            </w:r>
          </w:p>
        </w:tc>
        <w:tc>
          <w:tcPr>
            <w:tcW w:w="4734" w:type="dxa"/>
            <w:noWrap/>
          </w:tcPr>
          <w:p w:rsidR="00AE1B40" w:rsidRPr="00AE1B40" w:rsidRDefault="00AE1B40" w:rsidP="00AE1B40">
            <w:pPr>
              <w:pStyle w:val="Tabletext"/>
            </w:pPr>
            <w:r>
              <w:t>transmission network service provider</w:t>
            </w:r>
          </w:p>
        </w:tc>
      </w:tr>
    </w:tbl>
    <w:p w:rsidR="009E2573" w:rsidRDefault="00FC6976" w:rsidP="009E2573">
      <w:pPr>
        <w:pStyle w:val="Heading1notnumber"/>
      </w:pPr>
      <w:bookmarkStart w:id="4" w:name="_Toc457462266"/>
      <w:r>
        <w:lastRenderedPageBreak/>
        <w:t>Introduction</w:t>
      </w:r>
      <w:bookmarkEnd w:id="4"/>
    </w:p>
    <w:p w:rsidR="009E2573" w:rsidRDefault="00FC6976" w:rsidP="009E2573">
      <w:r>
        <w:t>We, the Australian Energy Regulator (AER), are responsible for the economic regulation of electricity transmission and distribution systems in all Australian states and territories, with the exception of Western Australia. Murraylink is an interconnector that provides a path for the flow of electricity to the limit of its 220MW capacity, in both directions, between the South Australian and Victorian transmission networks. We regulate the revenues that Murraylink can recover from customers.</w:t>
      </w:r>
      <w:r w:rsidR="009E2573">
        <w:t xml:space="preserve"> </w:t>
      </w:r>
    </w:p>
    <w:p w:rsidR="00891556" w:rsidRDefault="00891556" w:rsidP="00891556">
      <w:r>
        <w:t xml:space="preserve">This framework and approach (F&amp;A) paper is the first step in the process to determine the revenue that Murraylink can recover from customers over the five year period from 2018 to 2023. </w:t>
      </w:r>
      <w:r w:rsidRPr="0032502C">
        <w:t xml:space="preserve">The F&amp;A highlights the broad nature of </w:t>
      </w:r>
      <w:r>
        <w:t>certain</w:t>
      </w:r>
      <w:r w:rsidRPr="0032502C">
        <w:t xml:space="preserve"> regulatory arrangements that will apply for the next regulatory control period.</w:t>
      </w:r>
      <w:r>
        <w:t xml:space="preserve"> The F&amp;A also facilitates early consultation with consumers and other stakeholders and assists Murraylink in preparing its expenditure proposal</w:t>
      </w:r>
      <w:r w:rsidRPr="0032502C">
        <w:t xml:space="preserve">. </w:t>
      </w:r>
    </w:p>
    <w:p w:rsidR="00891556" w:rsidRDefault="00891556" w:rsidP="00891556">
      <w:r>
        <w:t xml:space="preserve">In order to set the revenues that regulated businesses can recover from their customers we use incentive based regulation. The incentive regulation framework is designed to encourage regulated businesses to spend efficiently and to share the benefits of efficiency gains with consumers. Specifically, it is designed to encourage businesses to make efficient decisions on when and what type of expenditure to incur in order to meet their network reliability, safety, security and quality requirements. </w:t>
      </w:r>
    </w:p>
    <w:p w:rsidR="00891556" w:rsidRDefault="00891556" w:rsidP="00891556">
      <w:pPr>
        <w:pStyle w:val="Heading4notnumbered"/>
      </w:pPr>
      <w:r>
        <w:t>Framework and approach for Murraylink</w:t>
      </w:r>
    </w:p>
    <w:p w:rsidR="00AE1B40" w:rsidRDefault="00891556" w:rsidP="000A1880">
      <w:r>
        <w:t xml:space="preserve">Murraylink's </w:t>
      </w:r>
      <w:r w:rsidR="009E2573">
        <w:t xml:space="preserve">current </w:t>
      </w:r>
      <w:r w:rsidR="00966DC4">
        <w:t>five</w:t>
      </w:r>
      <w:r w:rsidR="009E2573">
        <w:t xml:space="preserve"> year regulatory control period ends on 30 June 2018.</w:t>
      </w:r>
      <w:r w:rsidR="008A2159">
        <w:t xml:space="preserve"> </w:t>
      </w:r>
      <w:r>
        <w:t>Our</w:t>
      </w:r>
      <w:r w:rsidR="000A1880" w:rsidRPr="000A1880">
        <w:t xml:space="preserve"> F&amp;A paper </w:t>
      </w:r>
      <w:r w:rsidR="000A1880">
        <w:t xml:space="preserve">for </w:t>
      </w:r>
      <w:r>
        <w:t>the next regulatory control period must be published by the end of</w:t>
      </w:r>
      <w:r w:rsidR="000A1880">
        <w:t xml:space="preserve"> July 2016</w:t>
      </w:r>
      <w:r w:rsidR="000A1880" w:rsidRPr="000A1880">
        <w:t>.</w:t>
      </w:r>
      <w:r w:rsidR="000A1880">
        <w:rPr>
          <w:rStyle w:val="FootnoteReference"/>
        </w:rPr>
        <w:footnoteReference w:id="2"/>
      </w:r>
      <w:r w:rsidR="000A1880" w:rsidRPr="000A1880">
        <w:t xml:space="preserve"> </w:t>
      </w:r>
    </w:p>
    <w:p w:rsidR="000A1880" w:rsidRPr="000A1880" w:rsidRDefault="000A5FD1" w:rsidP="000A1880">
      <w:r>
        <w:t xml:space="preserve">In December 2015 Murraylink wrote to the AER providing suggestions for its first F&amp;A. </w:t>
      </w:r>
      <w:r w:rsidR="00B32A7A">
        <w:t>In March 2016 we published a</w:t>
      </w:r>
      <w:r w:rsidR="00B32A7A" w:rsidRPr="000A1880">
        <w:t xml:space="preserve"> </w:t>
      </w:r>
      <w:r w:rsidR="000A1880">
        <w:t xml:space="preserve">draft </w:t>
      </w:r>
      <w:r w:rsidR="000A1880" w:rsidRPr="000A1880">
        <w:t xml:space="preserve">F&amp;A </w:t>
      </w:r>
      <w:r w:rsidR="00B32A7A">
        <w:t>setting</w:t>
      </w:r>
      <w:r w:rsidR="00B32A7A" w:rsidRPr="000A1880">
        <w:t xml:space="preserve"> </w:t>
      </w:r>
      <w:r w:rsidR="000A1880" w:rsidRPr="000A1880">
        <w:t xml:space="preserve">out our proposed approach for the </w:t>
      </w:r>
      <w:r w:rsidR="000A1880">
        <w:t>2018</w:t>
      </w:r>
      <w:r w:rsidR="000A1880">
        <w:rPr>
          <w:rFonts w:cs="Arial"/>
        </w:rPr>
        <w:t>−</w:t>
      </w:r>
      <w:r w:rsidR="000A1880">
        <w:t xml:space="preserve">23 </w:t>
      </w:r>
      <w:r w:rsidR="000A1880" w:rsidRPr="000A1880">
        <w:t>regulatory control period</w:t>
      </w:r>
      <w:r w:rsidR="004D1BEE">
        <w:t xml:space="preserve"> </w:t>
      </w:r>
      <w:r w:rsidR="000A1880" w:rsidRPr="000A1880">
        <w:t xml:space="preserve">on the application of the following: </w:t>
      </w:r>
    </w:p>
    <w:p w:rsidR="000A1880" w:rsidRPr="000A1880" w:rsidRDefault="000A1880" w:rsidP="000A1880">
      <w:pPr>
        <w:pStyle w:val="Bulletpoint"/>
      </w:pPr>
      <w:r w:rsidRPr="000A1880">
        <w:t xml:space="preserve">service target performance incentive scheme </w:t>
      </w:r>
      <w:r w:rsidR="001449AD">
        <w:t>(STPIS)</w:t>
      </w:r>
    </w:p>
    <w:p w:rsidR="000A1880" w:rsidRPr="000A1880" w:rsidRDefault="000A1880" w:rsidP="000A1880">
      <w:pPr>
        <w:pStyle w:val="Bulletpoint"/>
      </w:pPr>
      <w:r w:rsidRPr="000A1880">
        <w:t xml:space="preserve">expenditure efficiency benefit sharing scheme </w:t>
      </w:r>
      <w:r w:rsidR="001449AD">
        <w:t>(EBSS)</w:t>
      </w:r>
    </w:p>
    <w:p w:rsidR="000A1880" w:rsidRPr="000A1880" w:rsidRDefault="000A1880" w:rsidP="000A1880">
      <w:pPr>
        <w:pStyle w:val="Bulletpoint"/>
      </w:pPr>
      <w:r w:rsidRPr="000A1880">
        <w:t xml:space="preserve">capital expenditure sharing scheme </w:t>
      </w:r>
      <w:r w:rsidR="001449AD">
        <w:t>(CESS)</w:t>
      </w:r>
    </w:p>
    <w:p w:rsidR="000A1880" w:rsidRPr="000A1880" w:rsidRDefault="000A1880" w:rsidP="000A1880">
      <w:pPr>
        <w:pStyle w:val="Bulletpoint"/>
      </w:pPr>
      <w:r w:rsidRPr="000A1880">
        <w:t>expenditure forecast assessment guidelines</w:t>
      </w:r>
      <w:r w:rsidR="005059A3">
        <w:t xml:space="preserve"> (expenditure assessment guideline)</w:t>
      </w:r>
      <w:r w:rsidRPr="000A1880">
        <w:t xml:space="preserve">, and </w:t>
      </w:r>
    </w:p>
    <w:p w:rsidR="000205F4" w:rsidRDefault="000A1880" w:rsidP="000205F4">
      <w:pPr>
        <w:pStyle w:val="Bulletpoint"/>
      </w:pPr>
      <w:r w:rsidRPr="000A1880">
        <w:t xml:space="preserve">whether depreciation will be based on forecast or actual capital expenditure in updating the regulatory asset base. </w:t>
      </w:r>
    </w:p>
    <w:p w:rsidR="000205F4" w:rsidRDefault="000205F4" w:rsidP="000205F4">
      <w:pPr>
        <w:pStyle w:val="Bulletpoint"/>
        <w:numPr>
          <w:ilvl w:val="0"/>
          <w:numId w:val="0"/>
        </w:numPr>
      </w:pPr>
      <w:r>
        <w:t>We received no submissions on the draft F&amp;A paper.</w:t>
      </w:r>
    </w:p>
    <w:p w:rsidR="000A1880" w:rsidRDefault="000A1880" w:rsidP="000A1880">
      <w:r w:rsidRPr="000A1880">
        <w:t xml:space="preserve">Table 1 summarises </w:t>
      </w:r>
      <w:r w:rsidRPr="000A1880">
        <w:rPr>
          <w:rStyle w:val="Bold"/>
        </w:rPr>
        <w:t>indicative dates</w:t>
      </w:r>
      <w:r>
        <w:t xml:space="preserve"> for the Murraylink tran</w:t>
      </w:r>
      <w:r w:rsidR="004D1BEE">
        <w:t>s</w:t>
      </w:r>
      <w:r>
        <w:t>mission</w:t>
      </w:r>
      <w:r w:rsidRPr="000A1880">
        <w:t xml:space="preserve"> determination process.</w:t>
      </w:r>
    </w:p>
    <w:p w:rsidR="00FB4462" w:rsidRDefault="00FB4462" w:rsidP="000A1880"/>
    <w:p w:rsidR="009E2573" w:rsidRDefault="009E2573" w:rsidP="009E2573">
      <w:pPr>
        <w:pStyle w:val="Caption"/>
      </w:pPr>
      <w:r>
        <w:lastRenderedPageBreak/>
        <w:t xml:space="preserve">Table 1 </w:t>
      </w:r>
      <w:r w:rsidR="000A1880">
        <w:t>Murraylink</w:t>
      </w:r>
      <w:r>
        <w:t xml:space="preserve"> transmission determination process</w:t>
      </w:r>
    </w:p>
    <w:tbl>
      <w:tblPr>
        <w:tblStyle w:val="AERTable-Text"/>
        <w:tblW w:w="0" w:type="auto"/>
        <w:tblLook w:val="04A0" w:firstRow="1" w:lastRow="0" w:firstColumn="1" w:lastColumn="0" w:noHBand="0" w:noVBand="1"/>
      </w:tblPr>
      <w:tblGrid>
        <w:gridCol w:w="6204"/>
        <w:gridCol w:w="2489"/>
      </w:tblGrid>
      <w:tr w:rsidR="009E2573" w:rsidTr="00604D2C">
        <w:trPr>
          <w:cnfStyle w:val="100000000000" w:firstRow="1" w:lastRow="0" w:firstColumn="0" w:lastColumn="0" w:oddVBand="0" w:evenVBand="0" w:oddHBand="0" w:evenHBand="0" w:firstRowFirstColumn="0" w:firstRowLastColumn="0" w:lastRowFirstColumn="0" w:lastRowLastColumn="0"/>
        </w:trPr>
        <w:tc>
          <w:tcPr>
            <w:tcW w:w="6204" w:type="dxa"/>
          </w:tcPr>
          <w:p w:rsidR="009E2573" w:rsidRPr="00451BE5" w:rsidRDefault="009E2573" w:rsidP="00451BE5">
            <w:pPr>
              <w:pStyle w:val="Tabletext"/>
            </w:pPr>
            <w:r w:rsidRPr="00451BE5">
              <w:t>Step</w:t>
            </w:r>
          </w:p>
        </w:tc>
        <w:tc>
          <w:tcPr>
            <w:tcW w:w="2489" w:type="dxa"/>
          </w:tcPr>
          <w:p w:rsidR="009E2573" w:rsidRPr="00451BE5" w:rsidRDefault="009E2573" w:rsidP="00451BE5">
            <w:pPr>
              <w:pStyle w:val="Tabletext"/>
            </w:pPr>
            <w:r w:rsidRPr="00451BE5">
              <w:t>Date</w:t>
            </w:r>
          </w:p>
        </w:tc>
      </w:tr>
      <w:tr w:rsidR="009E2573" w:rsidTr="00604D2C">
        <w:tc>
          <w:tcPr>
            <w:tcW w:w="6204" w:type="dxa"/>
          </w:tcPr>
          <w:p w:rsidR="009E2573" w:rsidRPr="00451BE5" w:rsidRDefault="009E2573" w:rsidP="00451BE5">
            <w:pPr>
              <w:pStyle w:val="Tabletext"/>
            </w:pPr>
            <w:r w:rsidRPr="00451BE5">
              <w:t xml:space="preserve">AER to publish F&amp;A paper for </w:t>
            </w:r>
            <w:r w:rsidR="00451BE5" w:rsidRPr="00451BE5">
              <w:t>Murraylink</w:t>
            </w:r>
          </w:p>
        </w:tc>
        <w:tc>
          <w:tcPr>
            <w:tcW w:w="2489" w:type="dxa"/>
          </w:tcPr>
          <w:p w:rsidR="009E2573" w:rsidRPr="00451BE5" w:rsidRDefault="009E2573" w:rsidP="00451BE5">
            <w:pPr>
              <w:pStyle w:val="Tabletext"/>
            </w:pPr>
            <w:r w:rsidRPr="00451BE5">
              <w:t>By 31 July 2016</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451BE5" w:rsidP="00451BE5">
            <w:pPr>
              <w:pStyle w:val="Tabletext"/>
            </w:pPr>
            <w:r w:rsidRPr="00451BE5">
              <w:t>Murraylink</w:t>
            </w:r>
            <w:r w:rsidR="009E2573" w:rsidRPr="00451BE5">
              <w:t xml:space="preserve"> to submit revenue proposal</w:t>
            </w:r>
          </w:p>
        </w:tc>
        <w:tc>
          <w:tcPr>
            <w:tcW w:w="2489" w:type="dxa"/>
          </w:tcPr>
          <w:p w:rsidR="009E2573" w:rsidRPr="00451BE5" w:rsidRDefault="009E2573" w:rsidP="00451BE5">
            <w:pPr>
              <w:pStyle w:val="Tabletext"/>
            </w:pPr>
            <w:r w:rsidRPr="00451BE5">
              <w:t>31 January 2017</w:t>
            </w:r>
          </w:p>
        </w:tc>
      </w:tr>
      <w:tr w:rsidR="009E2573" w:rsidTr="00604D2C">
        <w:tc>
          <w:tcPr>
            <w:tcW w:w="6204" w:type="dxa"/>
          </w:tcPr>
          <w:p w:rsidR="009E2573" w:rsidRPr="00451BE5" w:rsidRDefault="009E2573" w:rsidP="00B02B73">
            <w:pPr>
              <w:pStyle w:val="Tabletext"/>
            </w:pPr>
            <w:r w:rsidRPr="00451BE5">
              <w:t xml:space="preserve">AER to publish issues paper on </w:t>
            </w:r>
            <w:r w:rsidR="00B02B73">
              <w:t>Murraylink</w:t>
            </w:r>
            <w:r w:rsidRPr="00451BE5">
              <w:t xml:space="preserve"> revenue proposal</w:t>
            </w:r>
          </w:p>
        </w:tc>
        <w:tc>
          <w:tcPr>
            <w:tcW w:w="2489" w:type="dxa"/>
          </w:tcPr>
          <w:p w:rsidR="009E2573" w:rsidRPr="00451BE5" w:rsidRDefault="009E2573" w:rsidP="00451BE5">
            <w:pPr>
              <w:pStyle w:val="Tabletext"/>
            </w:pPr>
            <w:r w:rsidRPr="00451BE5">
              <w:t>March 2017</w:t>
            </w:r>
            <w:r w:rsidR="00A02DDE">
              <w:t>**</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9E2573" w:rsidP="00451BE5">
            <w:pPr>
              <w:pStyle w:val="Tabletext"/>
            </w:pPr>
            <w:r w:rsidRPr="00451BE5">
              <w:t>AER to hold public forum on issues paper</w:t>
            </w:r>
          </w:p>
        </w:tc>
        <w:tc>
          <w:tcPr>
            <w:tcW w:w="2489" w:type="dxa"/>
          </w:tcPr>
          <w:p w:rsidR="009E2573" w:rsidRPr="00451BE5" w:rsidRDefault="009E2573" w:rsidP="000A5FD1">
            <w:pPr>
              <w:pStyle w:val="Tabletext"/>
            </w:pPr>
            <w:r w:rsidRPr="00451BE5">
              <w:t>March 2017</w:t>
            </w:r>
            <w:r w:rsidR="00A02DDE">
              <w:t>**</w:t>
            </w:r>
          </w:p>
        </w:tc>
      </w:tr>
      <w:tr w:rsidR="009E2573" w:rsidTr="00604D2C">
        <w:tc>
          <w:tcPr>
            <w:tcW w:w="6204" w:type="dxa"/>
          </w:tcPr>
          <w:p w:rsidR="009E2573" w:rsidRPr="00451BE5" w:rsidRDefault="009E2573" w:rsidP="00451BE5">
            <w:pPr>
              <w:pStyle w:val="Tabletext"/>
            </w:pPr>
            <w:r w:rsidRPr="00451BE5">
              <w:t>Submissions on revenue proposal/issues paper close</w:t>
            </w:r>
          </w:p>
        </w:tc>
        <w:tc>
          <w:tcPr>
            <w:tcW w:w="2489" w:type="dxa"/>
          </w:tcPr>
          <w:p w:rsidR="009E2573" w:rsidRPr="00451BE5" w:rsidRDefault="009E2573" w:rsidP="00451BE5">
            <w:pPr>
              <w:pStyle w:val="Tabletext"/>
            </w:pPr>
            <w:r w:rsidRPr="00451BE5">
              <w:t>May 2017**</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9E2573" w:rsidP="00451BE5">
            <w:pPr>
              <w:pStyle w:val="Tabletext"/>
            </w:pPr>
            <w:r w:rsidRPr="00451BE5">
              <w:t>AER to publish draft transmission determination</w:t>
            </w:r>
          </w:p>
        </w:tc>
        <w:tc>
          <w:tcPr>
            <w:tcW w:w="2489" w:type="dxa"/>
          </w:tcPr>
          <w:p w:rsidR="009E2573" w:rsidRPr="00451BE5" w:rsidRDefault="009E2573" w:rsidP="00451BE5">
            <w:pPr>
              <w:pStyle w:val="Tabletext"/>
            </w:pPr>
            <w:r w:rsidRPr="00451BE5">
              <w:t>September 2017*</w:t>
            </w:r>
          </w:p>
        </w:tc>
      </w:tr>
      <w:tr w:rsidR="009E2573" w:rsidTr="00604D2C">
        <w:tc>
          <w:tcPr>
            <w:tcW w:w="6204" w:type="dxa"/>
          </w:tcPr>
          <w:p w:rsidR="009E2573" w:rsidRPr="00451BE5" w:rsidRDefault="009E2573" w:rsidP="00451BE5">
            <w:pPr>
              <w:pStyle w:val="Tabletext"/>
            </w:pPr>
            <w:r w:rsidRPr="00451BE5">
              <w:t xml:space="preserve">AER to hold predetermination conference </w:t>
            </w:r>
          </w:p>
        </w:tc>
        <w:tc>
          <w:tcPr>
            <w:tcW w:w="2489" w:type="dxa"/>
          </w:tcPr>
          <w:p w:rsidR="009E2573" w:rsidRPr="00451BE5" w:rsidRDefault="00A02DDE" w:rsidP="00451BE5">
            <w:pPr>
              <w:pStyle w:val="Tabletext"/>
            </w:pPr>
            <w:r>
              <w:t>October 2017</w:t>
            </w:r>
            <w:r w:rsidR="009E2573" w:rsidRPr="00451BE5">
              <w:t>*</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B02B73" w:rsidP="00451BE5">
            <w:pPr>
              <w:pStyle w:val="Tabletext"/>
            </w:pPr>
            <w:r>
              <w:t>Murraylink</w:t>
            </w:r>
            <w:r w:rsidR="009E2573" w:rsidRPr="00451BE5">
              <w:t xml:space="preserve"> submits revised revenue proposal</w:t>
            </w:r>
          </w:p>
        </w:tc>
        <w:tc>
          <w:tcPr>
            <w:tcW w:w="2489" w:type="dxa"/>
          </w:tcPr>
          <w:p w:rsidR="009E2573" w:rsidRPr="00451BE5" w:rsidRDefault="009E2573" w:rsidP="00451BE5">
            <w:pPr>
              <w:pStyle w:val="Tabletext"/>
            </w:pPr>
            <w:r w:rsidRPr="00451BE5">
              <w:t>December 2017</w:t>
            </w:r>
            <w:r w:rsidR="00A02DDE">
              <w:t>*</w:t>
            </w:r>
          </w:p>
        </w:tc>
      </w:tr>
      <w:tr w:rsidR="009E2573" w:rsidTr="00604D2C">
        <w:tc>
          <w:tcPr>
            <w:tcW w:w="6204" w:type="dxa"/>
          </w:tcPr>
          <w:p w:rsidR="009E2573" w:rsidRPr="00451BE5" w:rsidRDefault="009E2573" w:rsidP="00451BE5">
            <w:pPr>
              <w:pStyle w:val="Tabletext"/>
            </w:pPr>
            <w:r w:rsidRPr="00451BE5">
              <w:t>Submissions on draft determination close</w:t>
            </w:r>
          </w:p>
        </w:tc>
        <w:tc>
          <w:tcPr>
            <w:tcW w:w="2489" w:type="dxa"/>
          </w:tcPr>
          <w:p w:rsidR="009E2573" w:rsidRPr="00451BE5" w:rsidRDefault="000A5FD1" w:rsidP="00451BE5">
            <w:pPr>
              <w:pStyle w:val="Tabletext"/>
            </w:pPr>
            <w:r>
              <w:t>January</w:t>
            </w:r>
            <w:r w:rsidR="009E2573" w:rsidRPr="00451BE5">
              <w:t xml:space="preserve"> 2017</w:t>
            </w:r>
            <w:r w:rsidR="00A8305E">
              <w:t>*</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0A5FD1" w:rsidP="00451BE5">
            <w:pPr>
              <w:pStyle w:val="Tabletext"/>
            </w:pPr>
            <w:r w:rsidRPr="00451BE5">
              <w:t>AER to publish final transmission determination</w:t>
            </w:r>
          </w:p>
        </w:tc>
        <w:tc>
          <w:tcPr>
            <w:tcW w:w="2489" w:type="dxa"/>
          </w:tcPr>
          <w:p w:rsidR="009E2573" w:rsidRPr="00451BE5" w:rsidRDefault="000A5FD1" w:rsidP="00451BE5">
            <w:pPr>
              <w:pStyle w:val="Tabletext"/>
            </w:pPr>
            <w:r>
              <w:t>30 April 2018</w:t>
            </w:r>
          </w:p>
        </w:tc>
      </w:tr>
    </w:tbl>
    <w:p w:rsidR="009E2573" w:rsidRDefault="009E2573" w:rsidP="009E2573">
      <w:pPr>
        <w:pStyle w:val="Source"/>
      </w:pPr>
      <w:r>
        <w:t>Source: NER, Chapter 6A, Part E</w:t>
      </w:r>
    </w:p>
    <w:p w:rsidR="009E2573" w:rsidRDefault="009E2573" w:rsidP="009E2573">
      <w:pPr>
        <w:pStyle w:val="Source"/>
      </w:pPr>
      <w:r>
        <w:t>*</w:t>
      </w:r>
      <w:r>
        <w:tab/>
        <w:t xml:space="preserve">The NER does not provide specific timeframes in relation to publishing draft decisions. Accordingly, this </w:t>
      </w:r>
      <w:r w:rsidR="000A5FD1">
        <w:t>timing</w:t>
      </w:r>
      <w:r>
        <w:t xml:space="preserve"> is indicative only. </w:t>
      </w:r>
    </w:p>
    <w:p w:rsidR="009E2573" w:rsidRPr="0070699E" w:rsidRDefault="009E2573" w:rsidP="009E2573">
      <w:pPr>
        <w:pStyle w:val="Source"/>
      </w:pPr>
      <w:r>
        <w:t xml:space="preserve">** </w:t>
      </w:r>
      <w:r>
        <w:tab/>
        <w:t xml:space="preserve">The dates provided for submissions/cross submissions and forums are based on the AER receiving a sufficiently compliant proposal. These dates may alter if we receive a non-compliant proposal. </w:t>
      </w:r>
    </w:p>
    <w:p w:rsidR="0020492C" w:rsidRDefault="00451BE5" w:rsidP="00451BE5">
      <w:pPr>
        <w:pStyle w:val="Heading1notnumber"/>
      </w:pPr>
      <w:bookmarkStart w:id="5" w:name="_Toc457462267"/>
      <w:r>
        <w:lastRenderedPageBreak/>
        <w:t>Part A: Overview</w:t>
      </w:r>
      <w:bookmarkEnd w:id="5"/>
    </w:p>
    <w:p w:rsidR="00451BE5" w:rsidRDefault="00BE0CB4" w:rsidP="00451BE5">
      <w:r>
        <w:t xml:space="preserve">This F&amp;A covers how we propose to apply a range of incentive schemes and guidelines to Murraylink along with our proposed approach to calculating depreciation. The positions we set out in our </w:t>
      </w:r>
      <w:r w:rsidR="004D1BEE">
        <w:t xml:space="preserve">F&amp;A are not binding on us </w:t>
      </w:r>
      <w:r>
        <w:t>or Murraylink.</w:t>
      </w:r>
      <w:r>
        <w:rPr>
          <w:rStyle w:val="FootnoteReference"/>
        </w:rPr>
        <w:footnoteReference w:id="3"/>
      </w:r>
      <w:r w:rsidR="00685B9C">
        <w:t xml:space="preserve"> This means that </w:t>
      </w:r>
      <w:r w:rsidR="00FA478B">
        <w:t xml:space="preserve">during the determination process </w:t>
      </w:r>
      <w:r w:rsidR="00685B9C">
        <w:t>it is open to us to change our position</w:t>
      </w:r>
      <w:r w:rsidR="004D1BEE">
        <w:t>, and for Murraylink to propose a different position,</w:t>
      </w:r>
      <w:r w:rsidR="00685B9C">
        <w:t xml:space="preserve"> on matters set out in the F&amp;A. </w:t>
      </w:r>
      <w:r w:rsidR="00AD0950">
        <w:t>If</w:t>
      </w:r>
      <w:r w:rsidR="00685B9C">
        <w:t xml:space="preserve"> </w:t>
      </w:r>
      <w:r w:rsidR="004D1BEE">
        <w:t>our position changes</w:t>
      </w:r>
      <w:r w:rsidR="00B43FD3">
        <w:t xml:space="preserve"> from that set out in the F&amp;A</w:t>
      </w:r>
      <w:r w:rsidR="004D1BEE">
        <w:t xml:space="preserve">, </w:t>
      </w:r>
      <w:r w:rsidR="00685B9C">
        <w:t>we will provide clear reasons.</w:t>
      </w:r>
    </w:p>
    <w:p w:rsidR="00A8305E" w:rsidRDefault="00A8305E" w:rsidP="00451BE5">
      <w:r>
        <w:t>The purpose of the F&amp;A</w:t>
      </w:r>
      <w:r w:rsidR="00891556">
        <w:t xml:space="preserve"> </w:t>
      </w:r>
      <w:r>
        <w:t>is to provide Murraylink and stakeholders with an indication of our likely position on matters that Murraylink is required to address in its revenue proposal.</w:t>
      </w:r>
      <w:r w:rsidR="00891556">
        <w:t xml:space="preserve"> The nature of the F&amp;A is such that it will also provide a degree of regulatory predictability. </w:t>
      </w:r>
    </w:p>
    <w:p w:rsidR="00685B9C" w:rsidRDefault="001449AD" w:rsidP="00451BE5">
      <w:r>
        <w:t xml:space="preserve">Incentive schemes are a component of incentive-based regulation and complement our approach to assessing efficient costs. </w:t>
      </w:r>
      <w:r w:rsidR="00685B9C">
        <w:t>Incentive schemes encourage transmission network service providers (TNSPs) to manage their businesses in a safe, reliable manner that benefits the long term interests of consumers. The schemes also provide TNSPs with incentives to spend efficiently and to meet or exceed service quality/reliability targets</w:t>
      </w:r>
      <w:r>
        <w:t xml:space="preserve">. </w:t>
      </w:r>
      <w:r w:rsidR="00685B9C">
        <w:t>In some instances, TNSPs may incur a financial penalty if they fail to meet set targets. The overall objectives of the schemes are to:</w:t>
      </w:r>
    </w:p>
    <w:p w:rsidR="00685B9C" w:rsidRDefault="00685B9C" w:rsidP="00685B9C">
      <w:pPr>
        <w:pStyle w:val="Bulletpoint"/>
      </w:pPr>
      <w:r>
        <w:t>encourage appropriate levels of service quality</w:t>
      </w:r>
    </w:p>
    <w:p w:rsidR="00685B9C" w:rsidRDefault="00685B9C" w:rsidP="00685B9C">
      <w:pPr>
        <w:pStyle w:val="Bulletpoint"/>
      </w:pPr>
      <w:r>
        <w:t>maintain network reliability as appropriate</w:t>
      </w:r>
    </w:p>
    <w:p w:rsidR="00685B9C" w:rsidRDefault="00685B9C" w:rsidP="00685B9C">
      <w:pPr>
        <w:pStyle w:val="Bulletpoint"/>
      </w:pPr>
      <w:r>
        <w:t>incentiv</w:t>
      </w:r>
      <w:r w:rsidR="00A8305E">
        <w:t>i</w:t>
      </w:r>
      <w:r>
        <w:t>s</w:t>
      </w:r>
      <w:r w:rsidR="00A8305E">
        <w:t>e</w:t>
      </w:r>
      <w:r>
        <w:t xml:space="preserve"> TNSPs to spend efficiently on capital expenditure (capex) and operating expenditure (opex)</w:t>
      </w:r>
    </w:p>
    <w:p w:rsidR="00685B9C" w:rsidRDefault="00685B9C" w:rsidP="00685B9C">
      <w:pPr>
        <w:pStyle w:val="Bulletpoint"/>
      </w:pPr>
      <w:r>
        <w:t>share efficiency gains and losses between TNSPs and consumers</w:t>
      </w:r>
    </w:p>
    <w:p w:rsidR="00685B9C" w:rsidRDefault="00685B9C" w:rsidP="00685B9C">
      <w:pPr>
        <w:pStyle w:val="Bulletpoint"/>
      </w:pPr>
      <w:r>
        <w:t xml:space="preserve">incentivise TNSPs to consider economically efficient alternatives to augmenting their networks. </w:t>
      </w:r>
    </w:p>
    <w:p w:rsidR="00891556" w:rsidRDefault="00891556" w:rsidP="00891556">
      <w:r w:rsidRPr="00AB7885">
        <w:t xml:space="preserve">Part B of this F&amp;A sets out </w:t>
      </w:r>
      <w:r>
        <w:t xml:space="preserve">our proposed approach to the application of incentive schemes for Murraylink over the 2018–23 regulatory control period. The following schemes will apply: </w:t>
      </w:r>
    </w:p>
    <w:p w:rsidR="00891556" w:rsidRPr="007A7DEA" w:rsidRDefault="00891556" w:rsidP="00891556">
      <w:pPr>
        <w:pStyle w:val="Bulletpoint"/>
      </w:pPr>
      <w:r>
        <w:t>STPIS</w:t>
      </w:r>
    </w:p>
    <w:p w:rsidR="00891556" w:rsidRPr="007A7DEA" w:rsidRDefault="00891556" w:rsidP="00891556">
      <w:pPr>
        <w:pStyle w:val="Bulletpoint"/>
      </w:pPr>
      <w:r>
        <w:t>EBSS</w:t>
      </w:r>
    </w:p>
    <w:p w:rsidR="00891556" w:rsidRPr="007A7DEA" w:rsidRDefault="00891556" w:rsidP="00891556">
      <w:pPr>
        <w:pStyle w:val="Bulletpoint"/>
      </w:pPr>
      <w:r>
        <w:t xml:space="preserve">CESS. </w:t>
      </w:r>
    </w:p>
    <w:p w:rsidR="00891556" w:rsidRDefault="00891556" w:rsidP="00E1498C">
      <w:r w:rsidRPr="00891556">
        <w:t>Part B also sets out our proposed approach to the application of our expenditure assessment guideline and our approach to calculating depreciation.</w:t>
      </w:r>
      <w:r w:rsidRPr="00C85480">
        <w:t xml:space="preserve"> We will apply the expenditure assessment guideline</w:t>
      </w:r>
      <w:r w:rsidRPr="00891556">
        <w:rPr>
          <w:rStyle w:val="FootnoteReference"/>
        </w:rPr>
        <w:footnoteReference w:id="4"/>
      </w:r>
      <w:r w:rsidRPr="00891556">
        <w:t xml:space="preserve"> including the information requirements applicable to </w:t>
      </w:r>
      <w:r>
        <w:t>Murraylink</w:t>
      </w:r>
      <w:r w:rsidRPr="00891556">
        <w:t xml:space="preserve"> at the commencement of the 2018–23 regulatory control period. We also propose to use the forecast depreciation approach to establish </w:t>
      </w:r>
      <w:r>
        <w:t>Murraylink</w:t>
      </w:r>
      <w:r w:rsidRPr="00891556">
        <w:t>'s RAB at the commencement of the 2023–28 regulatory control period.</w:t>
      </w:r>
    </w:p>
    <w:p w:rsidR="00891556" w:rsidRDefault="00891556" w:rsidP="00E1498C">
      <w:r>
        <w:lastRenderedPageBreak/>
        <w:t>We do</w:t>
      </w:r>
      <w:r w:rsidRPr="00891556">
        <w:t xml:space="preserve"> not propose to apply a small–scale incentive scheme to </w:t>
      </w:r>
      <w:r>
        <w:t>Murraylink</w:t>
      </w:r>
      <w:r w:rsidRPr="00891556">
        <w:t xml:space="preserve"> for the 2018–23 regulatory control period. Although the rules provide that we may develop small-scale incentive schemes to encourage more efficient investment or operation of networks,</w:t>
      </w:r>
      <w:r w:rsidRPr="00891556">
        <w:rPr>
          <w:rStyle w:val="FootnoteReference"/>
        </w:rPr>
        <w:footnoteReference w:id="5"/>
      </w:r>
      <w:r w:rsidRPr="00891556">
        <w:t xml:space="preserve"> at this stage, we have not developed any such scheme. Should our position change, we will consult broadly with stakeholders on the development and application of any small-scale incentive scheme.</w:t>
      </w:r>
    </w:p>
    <w:p w:rsidR="00C54554" w:rsidRDefault="00C54554" w:rsidP="00C54554">
      <w:pPr>
        <w:pStyle w:val="Heading1notnumber"/>
      </w:pPr>
      <w:bookmarkStart w:id="6" w:name="_Toc457462268"/>
      <w:r>
        <w:lastRenderedPageBreak/>
        <w:t>Part B: Attachments</w:t>
      </w:r>
      <w:bookmarkEnd w:id="6"/>
    </w:p>
    <w:p w:rsidR="00C54554" w:rsidRDefault="00205A51" w:rsidP="00205A51">
      <w:pPr>
        <w:pStyle w:val="Heading1"/>
      </w:pPr>
      <w:bookmarkStart w:id="7" w:name="_Toc457462269"/>
      <w:r>
        <w:lastRenderedPageBreak/>
        <w:t>Service target performance incentive scheme</w:t>
      </w:r>
      <w:bookmarkEnd w:id="7"/>
    </w:p>
    <w:p w:rsidR="00581953" w:rsidRPr="00FB6DA1" w:rsidRDefault="00581953" w:rsidP="00581953">
      <w:r w:rsidRPr="00FB6DA1">
        <w:t xml:space="preserve">This attachment sets out our proposed approach and reasons </w:t>
      </w:r>
      <w:r>
        <w:t>for</w:t>
      </w:r>
      <w:r w:rsidRPr="00FB6DA1">
        <w:t xml:space="preserve"> our intended application of </w:t>
      </w:r>
      <w:r>
        <w:t xml:space="preserve">the </w:t>
      </w:r>
      <w:r w:rsidRPr="00FB6DA1">
        <w:t>STPIS</w:t>
      </w:r>
      <w:r>
        <w:t xml:space="preserve"> </w:t>
      </w:r>
      <w:r w:rsidRPr="00FB6DA1">
        <w:t xml:space="preserve">to </w:t>
      </w:r>
      <w:r>
        <w:t>Murraylink</w:t>
      </w:r>
      <w:r w:rsidRPr="00FB6DA1">
        <w:t xml:space="preserve"> in </w:t>
      </w:r>
      <w:r>
        <w:t xml:space="preserve">its upcoming </w:t>
      </w:r>
      <w:r w:rsidRPr="00FB6DA1">
        <w:t xml:space="preserve">regulatory control period. </w:t>
      </w:r>
    </w:p>
    <w:p w:rsidR="00581953" w:rsidRPr="00FB6DA1" w:rsidRDefault="00581953" w:rsidP="00581953">
      <w:r>
        <w:t>W</w:t>
      </w:r>
      <w:r w:rsidRPr="00FB6DA1">
        <w:t xml:space="preserve">e </w:t>
      </w:r>
      <w:r>
        <w:t>create</w:t>
      </w:r>
      <w:r w:rsidRPr="00FB6DA1">
        <w:t>, administer and maintain the STPIS in accordance with the requirements of the rules</w:t>
      </w:r>
      <w:r>
        <w:t>.</w:t>
      </w:r>
      <w:r>
        <w:rPr>
          <w:rStyle w:val="FootnoteReference"/>
        </w:rPr>
        <w:footnoteReference w:id="6"/>
      </w:r>
      <w:r w:rsidRPr="00FB6DA1">
        <w:t xml:space="preserve"> The </w:t>
      </w:r>
      <w:r w:rsidR="00C66C96">
        <w:t>STPIS</w:t>
      </w:r>
      <w:r>
        <w:t xml:space="preserve"> </w:t>
      </w:r>
      <w:r w:rsidRPr="00FB6DA1">
        <w:t>provide</w:t>
      </w:r>
      <w:r>
        <w:t>s</w:t>
      </w:r>
      <w:r w:rsidRPr="00FB6DA1">
        <w:t xml:space="preserve"> incentives</w:t>
      </w:r>
      <w:r>
        <w:t xml:space="preserve"> for each</w:t>
      </w:r>
      <w:r w:rsidRPr="00FB6DA1">
        <w:t xml:space="preserve"> TNSP to provide greater transmission network reliability when network users place greatest value on reliability, and improve and maintain the reliability of the elements of the transmission network most important to determining spot prices.</w:t>
      </w:r>
      <w:r w:rsidRPr="00FB6DA1">
        <w:rPr>
          <w:rStyle w:val="FootnoteReference"/>
        </w:rPr>
        <w:footnoteReference w:id="7"/>
      </w:r>
      <w:r w:rsidRPr="00FB6DA1">
        <w:t xml:space="preserve"> </w:t>
      </w:r>
    </w:p>
    <w:p w:rsidR="00581953" w:rsidRPr="00FB6DA1" w:rsidRDefault="00581953" w:rsidP="00581953">
      <w:r w:rsidRPr="00FB6DA1">
        <w:t xml:space="preserve">The </w:t>
      </w:r>
      <w:r w:rsidR="00C66C96">
        <w:t>STPIS</w:t>
      </w:r>
      <w:r w:rsidRPr="00FB6DA1">
        <w:t xml:space="preserve"> </w:t>
      </w:r>
      <w:r>
        <w:t xml:space="preserve">consists </w:t>
      </w:r>
      <w:r w:rsidRPr="00FB6DA1">
        <w:t xml:space="preserve">of three components: </w:t>
      </w:r>
    </w:p>
    <w:p w:rsidR="00581953" w:rsidRPr="00FB6DA1" w:rsidRDefault="00581953" w:rsidP="00581953">
      <w:pPr>
        <w:pStyle w:val="Bulletpoint"/>
      </w:pPr>
      <w:r w:rsidRPr="00FB6DA1">
        <w:t>a service component</w:t>
      </w:r>
      <w:r>
        <w:t>,</w:t>
      </w:r>
      <w:r w:rsidRPr="00FB6DA1">
        <w:t xml:space="preserve"> which </w:t>
      </w:r>
      <w:r>
        <w:t xml:space="preserve">has four main parameters and various sub-parameters which act as </w:t>
      </w:r>
      <w:r w:rsidRPr="00FB6DA1">
        <w:t>key indicator</w:t>
      </w:r>
      <w:r>
        <w:t>s</w:t>
      </w:r>
      <w:r w:rsidRPr="00FB6DA1">
        <w:t xml:space="preserve"> of network reliability</w:t>
      </w:r>
    </w:p>
    <w:p w:rsidR="00581953" w:rsidRPr="00FB6DA1" w:rsidRDefault="00581953" w:rsidP="00581953">
      <w:pPr>
        <w:pStyle w:val="Bulletpoint"/>
      </w:pPr>
      <w:r w:rsidRPr="00FB6DA1">
        <w:t>a market impact component (MIC)</w:t>
      </w:r>
      <w:r>
        <w:t xml:space="preserve">, which </w:t>
      </w:r>
      <w:r w:rsidRPr="00FB6DA1">
        <w:t>encourage</w:t>
      </w:r>
      <w:r>
        <w:t>s</w:t>
      </w:r>
      <w:r w:rsidRPr="00FB6DA1">
        <w:t xml:space="preserve"> TNSPs to minimise the impact of </w:t>
      </w:r>
      <w:r>
        <w:t xml:space="preserve">network </w:t>
      </w:r>
      <w:r w:rsidRPr="00FB6DA1">
        <w:t>outages on the dispatch of generation</w:t>
      </w:r>
    </w:p>
    <w:p w:rsidR="00581953" w:rsidRPr="00FB6DA1" w:rsidRDefault="00581953" w:rsidP="00581953">
      <w:pPr>
        <w:pStyle w:val="Bulletpoint"/>
      </w:pPr>
      <w:r w:rsidRPr="00FB6DA1">
        <w:t>a network capability component</w:t>
      </w:r>
      <w:r>
        <w:t xml:space="preserve">, which </w:t>
      </w:r>
      <w:r w:rsidRPr="00FB6DA1">
        <w:t xml:space="preserve">encourages TNSPs to undertake </w:t>
      </w:r>
      <w:r>
        <w:t xml:space="preserve">low cost </w:t>
      </w:r>
      <w:r w:rsidRPr="00FB6DA1">
        <w:t>projects</w:t>
      </w:r>
      <w:r>
        <w:t xml:space="preserve"> to promote efficient levels of network capability from existing assets when most needed, while maintaining adequate levels of reliability. </w:t>
      </w:r>
    </w:p>
    <w:p w:rsidR="00581953" w:rsidRPr="00581953" w:rsidRDefault="00C66C96" w:rsidP="000517DC">
      <w:pPr>
        <w:pStyle w:val="Bulletpoint"/>
        <w:numPr>
          <w:ilvl w:val="0"/>
          <w:numId w:val="0"/>
        </w:numPr>
      </w:pPr>
      <w:r>
        <w:t>E</w:t>
      </w:r>
      <w:r w:rsidRPr="00C66C96">
        <w:t>ach year, the TNSP's maximum allowed revenue (MAR) is adjusted based on its performance against the STPIS parameters in the previous calendar year. The STPIS can result in a maximum revenue increment or decrement between one and five per cent of the annual MAR</w:t>
      </w:r>
      <w:r w:rsidR="00581953" w:rsidRPr="00581953">
        <w:t>.</w:t>
      </w:r>
      <w:r w:rsidR="00581953" w:rsidRPr="00581953">
        <w:rPr>
          <w:rStyle w:val="FootnoteReference"/>
        </w:rPr>
        <w:footnoteReference w:id="8"/>
      </w:r>
      <w:r w:rsidR="00581953" w:rsidRPr="00581953">
        <w:t xml:space="preserve"> </w:t>
      </w:r>
    </w:p>
    <w:p w:rsidR="00581953" w:rsidRPr="00FB6DA1" w:rsidRDefault="00581953" w:rsidP="00581953">
      <w:pPr>
        <w:pStyle w:val="Heading2"/>
      </w:pPr>
      <w:bookmarkStart w:id="8" w:name="_Toc437331518"/>
      <w:bookmarkStart w:id="9" w:name="_Toc440638601"/>
      <w:bookmarkStart w:id="10" w:name="_Toc457462270"/>
      <w:r w:rsidRPr="00FB6DA1">
        <w:t>Proposed approach</w:t>
      </w:r>
      <w:bookmarkEnd w:id="8"/>
      <w:bookmarkEnd w:id="9"/>
      <w:bookmarkEnd w:id="10"/>
    </w:p>
    <w:p w:rsidR="00581953" w:rsidRDefault="00581953" w:rsidP="00581953">
      <w:r>
        <w:t>T</w:t>
      </w:r>
      <w:r w:rsidRPr="00FB6DA1">
        <w:t xml:space="preserve">he </w:t>
      </w:r>
      <w:r w:rsidR="00891556">
        <w:t xml:space="preserve">latest </w:t>
      </w:r>
      <w:r w:rsidRPr="00FB6DA1">
        <w:t>version of the STPIS in existence at the commencement of the</w:t>
      </w:r>
      <w:r w:rsidR="00891556">
        <w:t xml:space="preserve"> 2018–23</w:t>
      </w:r>
      <w:r w:rsidRPr="00FB6DA1">
        <w:t xml:space="preserve"> regulatory control period </w:t>
      </w:r>
      <w:r>
        <w:t>will apply to</w:t>
      </w:r>
      <w:r w:rsidRPr="00FB6DA1">
        <w:t xml:space="preserve"> </w:t>
      </w:r>
      <w:r>
        <w:t>Murraylink</w:t>
      </w:r>
      <w:r w:rsidR="009C2B35">
        <w:t xml:space="preserve">. This is expected to be </w:t>
      </w:r>
      <w:r>
        <w:t>STPIS version 5 (October 2015)</w:t>
      </w:r>
      <w:r w:rsidRPr="00FB6DA1">
        <w:t xml:space="preserve">. </w:t>
      </w:r>
      <w:r w:rsidR="003E1A48">
        <w:t>Two of the</w:t>
      </w:r>
      <w:r>
        <w:t xml:space="preserve"> three components (service</w:t>
      </w:r>
      <w:r w:rsidR="003E1A48">
        <w:t xml:space="preserve"> and</w:t>
      </w:r>
      <w:r>
        <w:t xml:space="preserve"> market impact </w:t>
      </w:r>
      <w:r w:rsidR="003E1A48">
        <w:t>component</w:t>
      </w:r>
      <w:r>
        <w:t>) will apply.</w:t>
      </w:r>
      <w:r w:rsidR="003E1A48">
        <w:t xml:space="preserve"> The network capability component does not apply to Murraylink.</w:t>
      </w:r>
      <w:r w:rsidR="003E1A48">
        <w:rPr>
          <w:rStyle w:val="FootnoteReference"/>
        </w:rPr>
        <w:footnoteReference w:id="9"/>
      </w:r>
    </w:p>
    <w:p w:rsidR="00581953" w:rsidRDefault="00581953" w:rsidP="00581953">
      <w:pPr>
        <w:pStyle w:val="Bulletpoint"/>
        <w:numPr>
          <w:ilvl w:val="0"/>
          <w:numId w:val="0"/>
        </w:numPr>
      </w:pPr>
      <w:r w:rsidRPr="00FB6DA1">
        <w:t xml:space="preserve">The MAR that </w:t>
      </w:r>
      <w:r>
        <w:t>M</w:t>
      </w:r>
      <w:r w:rsidRPr="00581953">
        <w:t>urraylink can earn in each regulatory year will be adjusted according to its performance against the values included in its transmission determination, as assessed by us in the annual compliance review process.</w:t>
      </w:r>
      <w:r w:rsidRPr="00581953">
        <w:rPr>
          <w:rStyle w:val="FootnoteReference"/>
        </w:rPr>
        <w:footnoteReference w:id="10"/>
      </w:r>
      <w:r w:rsidRPr="00581953">
        <w:t xml:space="preserve"> </w:t>
      </w:r>
    </w:p>
    <w:p w:rsidR="00891556" w:rsidRDefault="00891556" w:rsidP="00891556">
      <w:r>
        <w:t>In</w:t>
      </w:r>
      <w:r w:rsidRPr="00FB6DA1">
        <w:t xml:space="preserve"> its revenue proposal, </w:t>
      </w:r>
      <w:r>
        <w:t>Murraylink must:</w:t>
      </w:r>
    </w:p>
    <w:p w:rsidR="00891556" w:rsidRDefault="00891556" w:rsidP="00891556">
      <w:pPr>
        <w:pStyle w:val="Bulletpoint"/>
      </w:pPr>
      <w:r>
        <w:t>submit proposed values for the service component parameters.</w:t>
      </w:r>
      <w:r>
        <w:rPr>
          <w:rStyle w:val="FootnoteReference"/>
        </w:rPr>
        <w:footnoteReference w:id="11"/>
      </w:r>
      <w:r>
        <w:t xml:space="preserve"> </w:t>
      </w:r>
    </w:p>
    <w:p w:rsidR="00891556" w:rsidRDefault="00891556" w:rsidP="00891556">
      <w:pPr>
        <w:pStyle w:val="Bulletpoint"/>
      </w:pPr>
      <w:r w:rsidRPr="00363BDE">
        <w:lastRenderedPageBreak/>
        <w:t>submit</w:t>
      </w:r>
      <w:r>
        <w:t xml:space="preserve"> </w:t>
      </w:r>
      <w:r w:rsidRPr="00363BDE">
        <w:t xml:space="preserve">data </w:t>
      </w:r>
      <w:r>
        <w:t xml:space="preserve">for its market impact component </w:t>
      </w:r>
      <w:r w:rsidRPr="00363BDE">
        <w:t xml:space="preserve">in accordance with Appendix C for the preceding seven </w:t>
      </w:r>
      <w:r>
        <w:t>regulatory</w:t>
      </w:r>
      <w:r w:rsidRPr="00363BDE">
        <w:t xml:space="preserve"> years.</w:t>
      </w:r>
      <w:r>
        <w:rPr>
          <w:rStyle w:val="FootnoteReference"/>
        </w:rPr>
        <w:footnoteReference w:id="12"/>
      </w:r>
      <w:r>
        <w:t xml:space="preserve"> It must submit a proposed value for a performance target, unplanned outage event limit and dollar per dispatch interval incentive.</w:t>
      </w:r>
      <w:r>
        <w:rPr>
          <w:rStyle w:val="FootnoteReference"/>
        </w:rPr>
        <w:footnoteReference w:id="13"/>
      </w:r>
      <w:r>
        <w:t xml:space="preserve">  </w:t>
      </w:r>
    </w:p>
    <w:p w:rsidR="00891556" w:rsidRPr="00581953" w:rsidRDefault="00891556" w:rsidP="00891556">
      <w:pPr>
        <w:pStyle w:val="Bulletpoint"/>
        <w:numPr>
          <w:ilvl w:val="0"/>
          <w:numId w:val="0"/>
        </w:numPr>
      </w:pPr>
      <w:r w:rsidRPr="00FB6DA1">
        <w:t xml:space="preserve">We </w:t>
      </w:r>
      <w:r w:rsidRPr="00891556">
        <w:t>will accept Murraylink's proposed parameter values for the service and market impact components if the proposed values comply with STPIS version 5 clauses 3.2 and 4.2.</w:t>
      </w:r>
      <w:r w:rsidRPr="00891556">
        <w:rPr>
          <w:rStyle w:val="FootnoteReference"/>
        </w:rPr>
        <w:footnoteReference w:id="14"/>
      </w:r>
    </w:p>
    <w:p w:rsidR="00581953" w:rsidRPr="00FB6DA1" w:rsidRDefault="00581953" w:rsidP="00581953">
      <w:pPr>
        <w:pStyle w:val="Heading2"/>
      </w:pPr>
      <w:bookmarkStart w:id="11" w:name="_Toc437331519"/>
      <w:bookmarkStart w:id="12" w:name="_Toc440638602"/>
      <w:bookmarkStart w:id="13" w:name="_Toc457462271"/>
      <w:r w:rsidRPr="00FB6DA1">
        <w:t>Reasons for proposed approach</w:t>
      </w:r>
      <w:bookmarkEnd w:id="11"/>
      <w:bookmarkEnd w:id="12"/>
      <w:bookmarkEnd w:id="13"/>
    </w:p>
    <w:p w:rsidR="00581953" w:rsidRPr="00581953" w:rsidRDefault="00891556" w:rsidP="000517DC">
      <w:pPr>
        <w:pStyle w:val="Bulletpoint"/>
        <w:numPr>
          <w:ilvl w:val="0"/>
          <w:numId w:val="0"/>
        </w:numPr>
      </w:pPr>
      <w:r>
        <w:t xml:space="preserve">The reasons for our </w:t>
      </w:r>
      <w:r w:rsidR="00E02F01">
        <w:t xml:space="preserve">proposed approach to the </w:t>
      </w:r>
      <w:r>
        <w:t>application of each of</w:t>
      </w:r>
      <w:r w:rsidR="00E02F01">
        <w:t xml:space="preserve"> the STPIS components are set out below. </w:t>
      </w:r>
    </w:p>
    <w:p w:rsidR="00581953" w:rsidRPr="00FB6DA1" w:rsidRDefault="00581953" w:rsidP="00707BF8">
      <w:pPr>
        <w:pStyle w:val="Caption"/>
      </w:pPr>
      <w:r w:rsidRPr="00FB6DA1">
        <w:t>Service component</w:t>
      </w:r>
    </w:p>
    <w:p w:rsidR="00581953" w:rsidRDefault="00581953" w:rsidP="00581953">
      <w:r w:rsidRPr="00FB6DA1">
        <w:t xml:space="preserve">The service component </w:t>
      </w:r>
      <w:r>
        <w:t xml:space="preserve">will apply to Murraylink to provide an </w:t>
      </w:r>
      <w:r w:rsidRPr="00FB6DA1">
        <w:t>incentiv</w:t>
      </w:r>
      <w:r>
        <w:t xml:space="preserve">e </w:t>
      </w:r>
      <w:r w:rsidR="00E02F01">
        <w:t>for the business</w:t>
      </w:r>
      <w:r>
        <w:t xml:space="preserve"> to </w:t>
      </w:r>
      <w:r w:rsidRPr="00FB6DA1">
        <w:t xml:space="preserve">maintain </w:t>
      </w:r>
      <w:r w:rsidR="00E02F01">
        <w:t>or</w:t>
      </w:r>
      <w:r w:rsidR="00E02F01" w:rsidRPr="00FB6DA1">
        <w:t xml:space="preserve"> </w:t>
      </w:r>
      <w:r w:rsidRPr="00FB6DA1">
        <w:t xml:space="preserve">improve network availability and reliability. </w:t>
      </w:r>
      <w:r>
        <w:t>In</w:t>
      </w:r>
      <w:r w:rsidRPr="00FB6DA1">
        <w:t xml:space="preserve"> this component, </w:t>
      </w:r>
      <w:r>
        <w:t>Murraylink</w:t>
      </w:r>
      <w:r w:rsidRPr="00FB6DA1">
        <w:t xml:space="preserve"> can receive a revenue increment or decrement of up to </w:t>
      </w:r>
      <w:r>
        <w:t>1.25 </w:t>
      </w:r>
      <w:r w:rsidRPr="00FB6DA1">
        <w:t xml:space="preserve">per cent of its MAR for the regulatory year. </w:t>
      </w:r>
    </w:p>
    <w:p w:rsidR="00581953" w:rsidRDefault="003E1A48" w:rsidP="00581953">
      <w:r>
        <w:t xml:space="preserve">There are four parameters in the service components, however </w:t>
      </w:r>
      <w:r w:rsidR="000517DC">
        <w:t xml:space="preserve">only two </w:t>
      </w:r>
      <w:r>
        <w:t>parameters will apply to Murraylink</w:t>
      </w:r>
      <w:r w:rsidR="000517DC">
        <w:t>: 'unplanned outage circuit event rate' and 'proper operation of equipment'.</w:t>
      </w:r>
      <w:r>
        <w:t xml:space="preserve"> </w:t>
      </w:r>
      <w:r w:rsidR="00581953">
        <w:t xml:space="preserve">Appendix </w:t>
      </w:r>
      <w:r>
        <w:t>A and Appendix B</w:t>
      </w:r>
      <w:r w:rsidR="00581953">
        <w:t xml:space="preserve"> </w:t>
      </w:r>
      <w:r w:rsidR="002129A6">
        <w:t xml:space="preserve">of the STPIS </w:t>
      </w:r>
      <w:r w:rsidR="00581953">
        <w:t>define the service component parameters</w:t>
      </w:r>
      <w:r>
        <w:t xml:space="preserve"> for Murraylink</w:t>
      </w:r>
      <w:r w:rsidR="00581953">
        <w:t>.</w:t>
      </w:r>
      <w:r w:rsidR="00581953">
        <w:rPr>
          <w:rStyle w:val="FootnoteReference"/>
        </w:rPr>
        <w:footnoteReference w:id="15"/>
      </w:r>
      <w:r w:rsidR="00581953">
        <w:t xml:space="preserve"> </w:t>
      </w:r>
      <w:r>
        <w:t xml:space="preserve"> The standard definition for the 'Unplanned outage circuit event rate' parameter is modified as set out in Appendix B. </w:t>
      </w:r>
      <w:r w:rsidR="000517DC">
        <w:t xml:space="preserve">The standard definition of 'Proper operation of equipment parameter' applies (Appendix A).  </w:t>
      </w:r>
      <w:r>
        <w:t xml:space="preserve">The two parameters: 'Loss of supply event frequency' and 'Average outage duration' </w:t>
      </w:r>
      <w:r w:rsidR="000517DC">
        <w:t>will</w:t>
      </w:r>
      <w:r>
        <w:t xml:space="preserve"> not apply to Murraylink. </w:t>
      </w:r>
    </w:p>
    <w:p w:rsidR="00581953" w:rsidRDefault="00581953" w:rsidP="00581953">
      <w:r w:rsidRPr="00FB6DA1">
        <w:t xml:space="preserve">We will assess whether </w:t>
      </w:r>
      <w:r>
        <w:t>Murraylink's</w:t>
      </w:r>
      <w:r w:rsidRPr="00FB6DA1">
        <w:t xml:space="preserve"> proposed performance targets, caps, collars and weightings comply with </w:t>
      </w:r>
      <w:r>
        <w:t>the parameter definitions, values and weightings set out in Section 3</w:t>
      </w:r>
      <w:r w:rsidR="003E1A48">
        <w:t xml:space="preserve"> [Table 3.2]</w:t>
      </w:r>
      <w:r>
        <w:t>, Appendix A</w:t>
      </w:r>
      <w:r w:rsidR="003E1A48">
        <w:t>, B and</w:t>
      </w:r>
      <w:r>
        <w:t xml:space="preserve"> E of the </w:t>
      </w:r>
      <w:r w:rsidR="00CA5E88">
        <w:t>STPIS</w:t>
      </w:r>
      <w:r>
        <w:t>.</w:t>
      </w:r>
    </w:p>
    <w:p w:rsidR="00581953" w:rsidRDefault="00581953" w:rsidP="00581953">
      <w:r>
        <w:t xml:space="preserve">Our method of assessment of the parameter values is set out in section 3.2 of the scheme. We may reject the proposed values where we are of the opinion that they are inconsistent with the objectives listed in clause 1.4 of the </w:t>
      </w:r>
      <w:r w:rsidR="00CA5E88">
        <w:t>STPIS</w:t>
      </w:r>
      <w:r>
        <w:t>.</w:t>
      </w:r>
      <w:r>
        <w:rPr>
          <w:rStyle w:val="FootnoteReference"/>
        </w:rPr>
        <w:footnoteReference w:id="16"/>
      </w:r>
    </w:p>
    <w:p w:rsidR="00581953" w:rsidRPr="00FB6DA1" w:rsidRDefault="00581953" w:rsidP="00581953">
      <w:pPr>
        <w:pStyle w:val="Caption"/>
      </w:pPr>
      <w:r w:rsidRPr="00FB6DA1">
        <w:t>Market impact component</w:t>
      </w:r>
    </w:p>
    <w:p w:rsidR="00581953" w:rsidRDefault="00581953" w:rsidP="00581953">
      <w:r w:rsidRPr="00FB6DA1">
        <w:t xml:space="preserve">The market impact component </w:t>
      </w:r>
      <w:r>
        <w:t>will be applied to Murraylink</w:t>
      </w:r>
      <w:r w:rsidRPr="00FB6DA1">
        <w:t xml:space="preserve"> to </w:t>
      </w:r>
      <w:r w:rsidR="00E02F01">
        <w:t xml:space="preserve">provide an </w:t>
      </w:r>
      <w:r>
        <w:t xml:space="preserve">incentive </w:t>
      </w:r>
      <w:r w:rsidR="00E02F01">
        <w:t xml:space="preserve">for the business </w:t>
      </w:r>
      <w:r>
        <w:t xml:space="preserve">to </w:t>
      </w:r>
      <w:r w:rsidRPr="00FB6DA1">
        <w:t>minimise the impact of</w:t>
      </w:r>
      <w:r>
        <w:t xml:space="preserve"> its </w:t>
      </w:r>
      <w:r w:rsidRPr="00FB6DA1">
        <w:t xml:space="preserve">transmission outages that can affect </w:t>
      </w:r>
      <w:r>
        <w:t>NEM market outcomes</w:t>
      </w:r>
      <w:r w:rsidRPr="00FB6DA1">
        <w:t xml:space="preserve">. </w:t>
      </w:r>
    </w:p>
    <w:p w:rsidR="00581953" w:rsidRDefault="00581953" w:rsidP="00581953">
      <w:r>
        <w:t xml:space="preserve">In this component, Murraylink </w:t>
      </w:r>
      <w:r w:rsidR="00E02F01">
        <w:t xml:space="preserve">is subject to a symmetrical </w:t>
      </w:r>
      <w:r>
        <w:t xml:space="preserve">financial incentive which falls </w:t>
      </w:r>
      <w:r w:rsidR="00E02F01">
        <w:t xml:space="preserve">between </w:t>
      </w:r>
      <w:r>
        <w:t>a range of minus one percent (penalty) and plus one per cent (reward) of its maximum allowed revenue</w:t>
      </w:r>
      <w:r w:rsidR="00E02F01">
        <w:t xml:space="preserve"> based on actual performance</w:t>
      </w:r>
      <w:r>
        <w:t>.</w:t>
      </w:r>
      <w:r>
        <w:rPr>
          <w:rStyle w:val="FootnoteReference"/>
        </w:rPr>
        <w:footnoteReference w:id="17"/>
      </w:r>
      <w:r>
        <w:t xml:space="preserve"> </w:t>
      </w:r>
    </w:p>
    <w:p w:rsidR="00581953" w:rsidRPr="00363BDE" w:rsidRDefault="00E62AE4" w:rsidP="00581953">
      <w:r>
        <w:lastRenderedPageBreak/>
        <w:t>As part of our determination process, w</w:t>
      </w:r>
      <w:r w:rsidR="00581953">
        <w:t xml:space="preserve">e will assess Murraylink's proposed parameter values </w:t>
      </w:r>
      <w:r w:rsidR="00E02F01">
        <w:t>in accordance with version 5</w:t>
      </w:r>
      <w:r w:rsidR="00581953">
        <w:t xml:space="preserve"> of the </w:t>
      </w:r>
      <w:r w:rsidR="00CA5E88">
        <w:t>STPIS</w:t>
      </w:r>
      <w:r w:rsidR="00581953" w:rsidRPr="00FB6DA1">
        <w:t>.</w:t>
      </w:r>
      <w:r w:rsidR="00581953">
        <w:rPr>
          <w:rStyle w:val="FootnoteReference"/>
        </w:rPr>
        <w:footnoteReference w:id="18"/>
      </w:r>
      <w:r w:rsidR="00581953" w:rsidRPr="00FB6DA1">
        <w:t xml:space="preserve"> </w:t>
      </w:r>
    </w:p>
    <w:p w:rsidR="00581953" w:rsidRPr="00FB6DA1" w:rsidRDefault="00581953" w:rsidP="00700160">
      <w:pPr>
        <w:pStyle w:val="Caption"/>
      </w:pPr>
      <w:r w:rsidRPr="00FB6DA1">
        <w:t>Network capability component</w:t>
      </w:r>
    </w:p>
    <w:p w:rsidR="00581953" w:rsidRPr="00581953" w:rsidRDefault="00581953" w:rsidP="00652BC4">
      <w:pPr>
        <w:pStyle w:val="Bulletpoint"/>
        <w:numPr>
          <w:ilvl w:val="0"/>
          <w:numId w:val="0"/>
        </w:numPr>
      </w:pPr>
      <w:r w:rsidRPr="00FB6DA1">
        <w:t xml:space="preserve">The </w:t>
      </w:r>
      <w:r w:rsidRPr="00581953">
        <w:t>network capability componen</w:t>
      </w:r>
      <w:r w:rsidR="00652BC4">
        <w:t>t</w:t>
      </w:r>
      <w:r w:rsidR="00652BC4" w:rsidRPr="00652BC4">
        <w:t xml:space="preserve"> </w:t>
      </w:r>
      <w:r w:rsidR="00652BC4">
        <w:t>(</w:t>
      </w:r>
      <w:r w:rsidR="00652BC4" w:rsidRPr="00652BC4">
        <w:t>NCC</w:t>
      </w:r>
      <w:r w:rsidR="00652BC4">
        <w:t xml:space="preserve">) </w:t>
      </w:r>
      <w:r w:rsidR="00652BC4" w:rsidRPr="00652BC4">
        <w:t>does not apply to Murraylink, as per clause 2.2(d) of the STPIS</w:t>
      </w:r>
      <w:r w:rsidR="00652BC4">
        <w:t xml:space="preserve"> version 5</w:t>
      </w:r>
      <w:r w:rsidRPr="00581953">
        <w:t>.</w:t>
      </w:r>
    </w:p>
    <w:p w:rsidR="005F1962" w:rsidRDefault="005F1962" w:rsidP="005F1962">
      <w:pPr>
        <w:pStyle w:val="Heading1"/>
      </w:pPr>
      <w:bookmarkStart w:id="14" w:name="_Toc457462272"/>
      <w:r>
        <w:lastRenderedPageBreak/>
        <w:t>Efficiency benefit sharing scheme</w:t>
      </w:r>
      <w:bookmarkEnd w:id="14"/>
    </w:p>
    <w:p w:rsidR="00604D2C" w:rsidRPr="00604D2C" w:rsidRDefault="00604D2C" w:rsidP="00604D2C">
      <w:bookmarkStart w:id="15" w:name="_Toc374087094"/>
      <w:bookmarkStart w:id="16" w:name="_Toc374433164"/>
      <w:r w:rsidRPr="00C8798D">
        <w:t xml:space="preserve">The </w:t>
      </w:r>
      <w:r w:rsidRPr="00604D2C">
        <w:t>EBSS aims to provide a continuous incentive for TNSPs to pursue efficiency improvements in opex, and provide for a fair sharing of these between TNSPs and network users. Consumers benefit from improved efficiencies through lower regulated prices in the future.</w:t>
      </w:r>
    </w:p>
    <w:p w:rsidR="00604D2C" w:rsidRDefault="00604D2C" w:rsidP="00604D2C">
      <w:r w:rsidRPr="00C8798D">
        <w:t xml:space="preserve">This </w:t>
      </w:r>
      <w:r w:rsidRPr="00604D2C">
        <w:t xml:space="preserve">attachment sets out our proposed approach and reasons on how we intend to apply the EBSS to </w:t>
      </w:r>
      <w:r w:rsidR="00FE3A2B">
        <w:t>Murraylink</w:t>
      </w:r>
      <w:r w:rsidRPr="00604D2C">
        <w:t>.</w:t>
      </w:r>
    </w:p>
    <w:p w:rsidR="00A21E37" w:rsidRPr="00C8798D" w:rsidRDefault="00A21E37" w:rsidP="00A21E37">
      <w:r w:rsidRPr="00C8798D">
        <w:t>The EBSS provide</w:t>
      </w:r>
      <w:r w:rsidR="00E02F01">
        <w:t>s</w:t>
      </w:r>
      <w:r w:rsidRPr="00C8798D">
        <w:t xml:space="preserve"> for a fair sharing between </w:t>
      </w:r>
      <w:r>
        <w:t>TNSPs</w:t>
      </w:r>
      <w:r w:rsidRPr="00C8798D">
        <w:t xml:space="preserve"> and network users of opex efficiency gains and efficiency losses.</w:t>
      </w:r>
      <w:r w:rsidRPr="00C8798D">
        <w:rPr>
          <w:rStyle w:val="FootnoteReference"/>
        </w:rPr>
        <w:footnoteReference w:id="19"/>
      </w:r>
      <w:r w:rsidRPr="00C8798D">
        <w:t xml:space="preserve"> We also have regard to the following factors in developing and implementing the EBSS:</w:t>
      </w:r>
      <w:r w:rsidRPr="00FE3A2B">
        <w:rPr>
          <w:rStyle w:val="Superscript"/>
        </w:rPr>
        <w:footnoteReference w:id="20"/>
      </w:r>
    </w:p>
    <w:p w:rsidR="00A21E37" w:rsidRPr="00604D2C" w:rsidRDefault="00A21E37" w:rsidP="00A21E37">
      <w:pPr>
        <w:pStyle w:val="Bulletpoint"/>
      </w:pPr>
      <w:r w:rsidRPr="00C8798D">
        <w:t>the need to ensure that benefits to electricity consumers likely to result from the scheme are sufficient to warrant any reward or penalty under the scheme</w:t>
      </w:r>
    </w:p>
    <w:p w:rsidR="00A21E37" w:rsidRPr="00604D2C" w:rsidRDefault="00A21E37" w:rsidP="00A21E37">
      <w:pPr>
        <w:pStyle w:val="Bulletpoint"/>
      </w:pPr>
      <w:r w:rsidRPr="00C8798D">
        <w:t>the need to provide service providers with a continuous incentive to reduce opex</w:t>
      </w:r>
    </w:p>
    <w:p w:rsidR="00A21E37" w:rsidRPr="00604D2C" w:rsidRDefault="00A21E37" w:rsidP="00A21E37">
      <w:pPr>
        <w:pStyle w:val="Bulletpoint"/>
      </w:pPr>
      <w:r w:rsidRPr="00C8798D">
        <w:t xml:space="preserve">the desirability of both </w:t>
      </w:r>
      <w:r w:rsidRPr="00604D2C">
        <w:t>rewarding service providers for efficiency gains and penalising service providers for efficiency losses</w:t>
      </w:r>
    </w:p>
    <w:p w:rsidR="00A21E37" w:rsidRPr="00604D2C" w:rsidRDefault="00A21E37" w:rsidP="00A21E37">
      <w:pPr>
        <w:pStyle w:val="Bulletpoint"/>
      </w:pPr>
      <w:r w:rsidRPr="00C8798D">
        <w:t>any incentives that service providers may have to capitalise expenditure</w:t>
      </w:r>
    </w:p>
    <w:p w:rsidR="00A21E37" w:rsidRPr="00604D2C" w:rsidRDefault="00A21E37" w:rsidP="00A21E37">
      <w:pPr>
        <w:pStyle w:val="Bulletpoint"/>
      </w:pPr>
      <w:r w:rsidRPr="00C8798D">
        <w:t>the possible effects of the scheme on incentives for the implementation of non-network alternatives.</w:t>
      </w:r>
    </w:p>
    <w:p w:rsidR="00604D2C" w:rsidRPr="00604D2C" w:rsidRDefault="00604D2C" w:rsidP="00604D2C">
      <w:pPr>
        <w:pStyle w:val="Heading2"/>
      </w:pPr>
      <w:bookmarkStart w:id="17" w:name="_Toc377130091"/>
      <w:bookmarkStart w:id="18" w:name="_Toc378232856"/>
      <w:bookmarkStart w:id="19" w:name="_Toc457462273"/>
      <w:r w:rsidRPr="00C8798D">
        <w:softHyphen/>
      </w:r>
      <w:r w:rsidRPr="00604D2C">
        <w:t>Proposed approach</w:t>
      </w:r>
      <w:bookmarkEnd w:id="15"/>
      <w:bookmarkEnd w:id="16"/>
      <w:bookmarkEnd w:id="17"/>
      <w:bookmarkEnd w:id="18"/>
      <w:bookmarkEnd w:id="19"/>
    </w:p>
    <w:p w:rsidR="00604D2C" w:rsidRPr="00604D2C" w:rsidRDefault="00E02F01" w:rsidP="00604D2C">
      <w:r>
        <w:t xml:space="preserve">The latest version of the EBSS in existence at the commencement of the 2018–23 regulatory control period will apply to </w:t>
      </w:r>
      <w:r w:rsidR="00FE3A2B">
        <w:t>Murraylink</w:t>
      </w:r>
      <w:r w:rsidR="00604D2C" w:rsidRPr="00604D2C">
        <w:t xml:space="preserve">. </w:t>
      </w:r>
      <w:r>
        <w:t xml:space="preserve">This is expected to be EBSS version 2 (November 2013). </w:t>
      </w:r>
      <w:r w:rsidR="00604D2C" w:rsidRPr="00604D2C">
        <w:t>In summary, this will include:</w:t>
      </w:r>
    </w:p>
    <w:p w:rsidR="00604D2C" w:rsidRPr="00604D2C" w:rsidRDefault="00604D2C" w:rsidP="00FE3A2B">
      <w:pPr>
        <w:pStyle w:val="Bulletpoint"/>
      </w:pPr>
      <w:r w:rsidRPr="00C8798D">
        <w:t>the formulae for calculating efficiency gains and losses</w:t>
      </w:r>
    </w:p>
    <w:p w:rsidR="00604D2C" w:rsidRPr="00604D2C" w:rsidRDefault="00604D2C" w:rsidP="00FE3A2B">
      <w:pPr>
        <w:pStyle w:val="Bulletpoint"/>
      </w:pPr>
      <w:r w:rsidRPr="00C8798D">
        <w:t>our approach to adjustments to forecast or actual opex when calculating carryover amounts</w:t>
      </w:r>
    </w:p>
    <w:p w:rsidR="00604D2C" w:rsidRPr="00604D2C" w:rsidRDefault="00604D2C" w:rsidP="00FE3A2B">
      <w:pPr>
        <w:pStyle w:val="Bulletpoint"/>
      </w:pPr>
      <w:r w:rsidRPr="00C8798D">
        <w:t>our</w:t>
      </w:r>
      <w:r w:rsidRPr="00604D2C">
        <w:t xml:space="preserve"> approach to determining the carryover period.</w:t>
      </w:r>
    </w:p>
    <w:p w:rsidR="00604D2C" w:rsidRPr="00604D2C" w:rsidRDefault="00604D2C" w:rsidP="00604D2C">
      <w:pPr>
        <w:pStyle w:val="Heading2"/>
      </w:pPr>
      <w:bookmarkStart w:id="20" w:name="_Toc374087096"/>
      <w:bookmarkStart w:id="21" w:name="_Toc374433166"/>
      <w:bookmarkStart w:id="22" w:name="_Toc377130092"/>
      <w:bookmarkStart w:id="23" w:name="_Toc378232857"/>
      <w:bookmarkStart w:id="24" w:name="_Toc457462274"/>
      <w:r w:rsidRPr="00C8798D">
        <w:t>Reasons for proposed approach</w:t>
      </w:r>
      <w:bookmarkEnd w:id="20"/>
      <w:bookmarkEnd w:id="21"/>
      <w:bookmarkEnd w:id="22"/>
      <w:bookmarkEnd w:id="23"/>
      <w:bookmarkEnd w:id="24"/>
    </w:p>
    <w:p w:rsidR="00604D2C" w:rsidRPr="00604D2C" w:rsidRDefault="005C26C3" w:rsidP="00604D2C">
      <w:r>
        <w:t>We revised t</w:t>
      </w:r>
      <w:r w:rsidR="00604D2C" w:rsidRPr="00604D2C">
        <w:t xml:space="preserve">he EBSS </w:t>
      </w:r>
      <w:r>
        <w:t xml:space="preserve">in 2013 and </w:t>
      </w:r>
      <w:r w:rsidR="00604D2C" w:rsidRPr="00604D2C">
        <w:t>merge</w:t>
      </w:r>
      <w:r>
        <w:t>d</w:t>
      </w:r>
      <w:r w:rsidR="00604D2C" w:rsidRPr="00604D2C">
        <w:t xml:space="preserve"> the distribution and transmission schemes. Changes </w:t>
      </w:r>
      <w:r w:rsidR="00726C84">
        <w:t xml:space="preserve">to </w:t>
      </w:r>
      <w:r w:rsidR="00604D2C" w:rsidRPr="00604D2C">
        <w:t>the EBSS relate to the criteria for adjustments and exclusions under the scheme.</w:t>
      </w:r>
      <w:r w:rsidR="00604D2C" w:rsidRPr="00604D2C">
        <w:rPr>
          <w:rStyle w:val="FootnoteReference"/>
        </w:rPr>
        <w:footnoteReference w:id="21"/>
      </w:r>
      <w:r w:rsidR="00604D2C" w:rsidRPr="00604D2C">
        <w:t xml:space="preserve"> </w:t>
      </w:r>
      <w:r w:rsidR="00726C84">
        <w:t>In 2013, w</w:t>
      </w:r>
      <w:r w:rsidR="00604D2C" w:rsidRPr="00604D2C">
        <w:t>e also amended the scheme to provide flexibility to account for any adjustments made to base year opex to remove the imp</w:t>
      </w:r>
      <w:r w:rsidR="00726C84">
        <w:t xml:space="preserve">acts of one-off factors. The </w:t>
      </w:r>
      <w:r w:rsidR="00604D2C" w:rsidRPr="00604D2C">
        <w:t xml:space="preserve">EBSS </w:t>
      </w:r>
      <w:r w:rsidR="00604D2C" w:rsidRPr="00604D2C">
        <w:lastRenderedPageBreak/>
        <w:t>also clarifies how we will determine the carryover period. These revisions affect how we will calculate carryover amounts for future regulatory control periods.</w:t>
      </w:r>
      <w:r w:rsidR="00604D2C" w:rsidRPr="00604D2C">
        <w:rPr>
          <w:rStyle w:val="FootnoteReference"/>
        </w:rPr>
        <w:footnoteReference w:id="22"/>
      </w:r>
    </w:p>
    <w:p w:rsidR="005C26C3" w:rsidRDefault="005C26C3" w:rsidP="00604D2C">
      <w:r>
        <w:t>In developing the EBSS we had regard to the requirements under the rules</w:t>
      </w:r>
      <w:r w:rsidR="00E02F01">
        <w:t xml:space="preserve">. Our reasoning and considerations are </w:t>
      </w:r>
      <w:r>
        <w:t>set out in the scheme and accompanying explanatory statement. This reasoning extends to the factors we must have regard to in implementing the scheme.</w:t>
      </w:r>
    </w:p>
    <w:p w:rsidR="00604D2C" w:rsidRPr="00604D2C" w:rsidRDefault="00604D2C" w:rsidP="00604D2C">
      <w:r w:rsidRPr="00604D2C">
        <w:t>The EBSS must provide for a fair sharing of efficiency gains and losses.</w:t>
      </w:r>
      <w:r w:rsidRPr="00604D2C">
        <w:rPr>
          <w:rStyle w:val="FootnoteReference"/>
        </w:rPr>
        <w:footnoteReference w:id="23"/>
      </w:r>
      <w:r w:rsidRPr="00604D2C">
        <w:t xml:space="preserve"> Under the scheme, TNSPs and consumers receive a benefit where a TNSP reduces its costs during a regulatory control period and both bear </w:t>
      </w:r>
      <w:r w:rsidR="00E02F01">
        <w:t>a share</w:t>
      </w:r>
      <w:r w:rsidR="00E02F01" w:rsidRPr="00604D2C">
        <w:t xml:space="preserve"> </w:t>
      </w:r>
      <w:r w:rsidRPr="00604D2C">
        <w:t>of any increase in costs.</w:t>
      </w:r>
    </w:p>
    <w:p w:rsidR="00604D2C" w:rsidRPr="00604D2C" w:rsidRDefault="00604D2C" w:rsidP="00604D2C">
      <w:r w:rsidRPr="00C8798D">
        <w:t xml:space="preserve">Under the EBSS, positive and negative carryovers reward and penalise </w:t>
      </w:r>
      <w:r w:rsidRPr="00604D2C">
        <w:t>TNSPs for efficiency gains and losses, respectively.</w:t>
      </w:r>
      <w:r w:rsidRPr="00604D2C">
        <w:rPr>
          <w:rStyle w:val="FootnoteReference"/>
        </w:rPr>
        <w:footnoteReference w:id="24"/>
      </w:r>
      <w:r w:rsidRPr="00604D2C">
        <w:t xml:space="preserve"> The EBSS provides a continuous incentive for TNSPs to achieve opex efficiencies throughout the regulatory control period. This is because the TNSP receives carryover payments so it retains any efficiency gains or losses it makes within the regulatory period for the length of the carryover period. This is regardless of the year in which it makes the gain or loss.</w:t>
      </w:r>
      <w:r w:rsidRPr="00604D2C">
        <w:rPr>
          <w:rStyle w:val="FootnoteReference"/>
        </w:rPr>
        <w:footnoteReference w:id="25"/>
      </w:r>
      <w:r w:rsidRPr="00604D2C">
        <w:t xml:space="preserve"> </w:t>
      </w:r>
    </w:p>
    <w:p w:rsidR="00604D2C" w:rsidRPr="00604D2C" w:rsidRDefault="00604D2C" w:rsidP="00604D2C">
      <w:r w:rsidRPr="00C8798D">
        <w:t xml:space="preserve">This continuous incentive to improve efficiency encourages efficient and timely opex throughout the regulatory control period, and reduces the incentive for a </w:t>
      </w:r>
      <w:r w:rsidRPr="00604D2C">
        <w:t xml:space="preserve">TNSP to inflate opex in the expected base year. This provides an incentive for TNSPs to reveal their efficient opex which, in turn, allows us to better determine efficient opex forecasts for future regulatory control periods. </w:t>
      </w:r>
    </w:p>
    <w:p w:rsidR="00604D2C" w:rsidRPr="00604D2C" w:rsidRDefault="00604D2C" w:rsidP="00604D2C">
      <w:r w:rsidRPr="00C8798D">
        <w:t>The EBSS also leads to a</w:t>
      </w:r>
      <w:r w:rsidRPr="00604D2C">
        <w:t xml:space="preserve"> fair sharing of efficiency gains and losses between TNSPs and consumers. For instance the combined effect of our forecasting approach and the EBSS is that opex efficiency gains or losses are shared approximately 30:70 between TNSPs and consumers. This means for a one dollar efficiency saving in opex the TNSP keeps 30 cents of the benefit while consumers keep 70 cents of the benefit.</w:t>
      </w:r>
    </w:p>
    <w:p w:rsidR="00604D2C" w:rsidRPr="00604D2C" w:rsidRDefault="00604D2C" w:rsidP="00604D2C">
      <w:r w:rsidRPr="00604D2C">
        <w:rPr>
          <w:highlight w:val="yellow"/>
        </w:rPr>
        <w:fldChar w:fldCharType="begin"/>
      </w:r>
      <w:r w:rsidRPr="00604D2C">
        <w:rPr>
          <w:highlight w:val="yellow"/>
        </w:rPr>
        <w:instrText xml:space="preserve"> REF _Ref373247500 \h </w:instrText>
      </w:r>
      <w:r w:rsidRPr="00604D2C">
        <w:rPr>
          <w:highlight w:val="yellow"/>
        </w:rPr>
      </w:r>
      <w:r w:rsidRPr="00604D2C">
        <w:rPr>
          <w:highlight w:val="yellow"/>
        </w:rPr>
        <w:fldChar w:fldCharType="separate"/>
      </w:r>
      <w:r w:rsidR="00154B99">
        <w:t xml:space="preserve">Example </w:t>
      </w:r>
      <w:r w:rsidR="00154B99">
        <w:rPr>
          <w:noProof/>
        </w:rPr>
        <w:t>1</w:t>
      </w:r>
      <w:r w:rsidRPr="00604D2C">
        <w:rPr>
          <w:highlight w:val="yellow"/>
        </w:rPr>
        <w:fldChar w:fldCharType="end"/>
      </w:r>
      <w:r w:rsidRPr="00604D2C">
        <w:t xml:space="preserve"> shows how the EBSS operates. It illustrates how the benefits of a permanent efficiency improvement are shared approximately 30:70 between a network service provider and consumers.</w:t>
      </w:r>
    </w:p>
    <w:p w:rsidR="00604D2C" w:rsidRPr="00604D2C" w:rsidRDefault="00604D2C" w:rsidP="00604D2C">
      <w:r w:rsidRPr="00604D2C">
        <w:rPr>
          <w:noProof/>
          <w:lang w:eastAsia="en-AU"/>
        </w:rPr>
        <w:lastRenderedPageBreak/>
        <mc:AlternateContent>
          <mc:Choice Requires="wps">
            <w:drawing>
              <wp:inline distT="0" distB="0" distL="0" distR="0" wp14:anchorId="2A1A281F" wp14:editId="4881EF20">
                <wp:extent cx="5709285" cy="6838950"/>
                <wp:effectExtent l="0" t="0" r="2476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838950"/>
                        </a:xfrm>
                        <a:prstGeom prst="rect">
                          <a:avLst/>
                        </a:prstGeom>
                        <a:solidFill>
                          <a:srgbClr val="FFFFFF"/>
                        </a:solidFill>
                        <a:ln w="9525">
                          <a:solidFill>
                            <a:srgbClr val="000000"/>
                          </a:solidFill>
                          <a:miter lim="800000"/>
                          <a:headEnd/>
                          <a:tailEnd/>
                        </a:ln>
                      </wps:spPr>
                      <wps:txbx>
                        <w:txbxContent>
                          <w:p w:rsidR="00FC6976" w:rsidRDefault="00FC6976" w:rsidP="00604D2C">
                            <w:pPr>
                              <w:pStyle w:val="Caption"/>
                            </w:pPr>
                            <w:bookmarkStart w:id="25" w:name="_Ref373247500"/>
                            <w:r>
                              <w:t xml:space="preserve">Example </w:t>
                            </w:r>
                            <w:r w:rsidR="007F0C7B">
                              <w:fldChar w:fldCharType="begin"/>
                            </w:r>
                            <w:r w:rsidR="007F0C7B">
                              <w:instrText xml:space="preserve"> SEQ Example \* ARABIC</w:instrText>
                            </w:r>
                            <w:r w:rsidR="007F0C7B">
                              <w:instrText xml:space="preserve"> \s 1 </w:instrText>
                            </w:r>
                            <w:r w:rsidR="007F0C7B">
                              <w:fldChar w:fldCharType="separate"/>
                            </w:r>
                            <w:r w:rsidR="00154B99">
                              <w:rPr>
                                <w:noProof/>
                              </w:rPr>
                              <w:t>1</w:t>
                            </w:r>
                            <w:r w:rsidR="007F0C7B">
                              <w:rPr>
                                <w:noProof/>
                              </w:rPr>
                              <w:fldChar w:fldCharType="end"/>
                            </w:r>
                            <w:bookmarkEnd w:id="25"/>
                            <w:r>
                              <w:tab/>
                              <w:t>How the EBSS operates</w:t>
                            </w:r>
                          </w:p>
                          <w:p w:rsidR="00FC6976" w:rsidRDefault="00FC6976" w:rsidP="00604D2C">
                            <w:pPr>
                              <w:numPr>
                                <w:ilvl w:val="0"/>
                                <w:numId w:val="31"/>
                              </w:numPr>
                              <w:spacing w:before="0" w:after="240" w:line="288" w:lineRule="auto"/>
                              <w:jc w:val="both"/>
                            </w:pPr>
                            <w:r>
                              <w:t xml:space="preserve">Assume that in the first regulatory period, a network service provider's forecast opex is $100 million per annum (p.a.). </w:t>
                            </w:r>
                          </w:p>
                          <w:p w:rsidR="00FC6976" w:rsidRDefault="00FC6976" w:rsidP="00604D2C">
                            <w:pPr>
                              <w:numPr>
                                <w:ilvl w:val="0"/>
                                <w:numId w:val="31"/>
                              </w:numPr>
                              <w:spacing w:before="0" w:after="240" w:line="288" w:lineRule="auto"/>
                              <w:jc w:val="both"/>
                            </w:pPr>
                            <w: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FC6976" w:rsidRDefault="00FC6976" w:rsidP="00604D2C">
                            <w:pPr>
                              <w:numPr>
                                <w:ilvl w:val="0"/>
                                <w:numId w:val="31"/>
                              </w:numPr>
                              <w:spacing w:before="0" w:after="240" w:line="288" w:lineRule="auto"/>
                              <w:jc w:val="both"/>
                            </w:pPr>
                            <w:r>
                              <w:t>This efficiency improvement affects regulated revenues in two ways:</w:t>
                            </w:r>
                          </w:p>
                          <w:p w:rsidR="00FC6976" w:rsidRDefault="00FC6976" w:rsidP="00604D2C">
                            <w:pPr>
                              <w:numPr>
                                <w:ilvl w:val="1"/>
                                <w:numId w:val="31"/>
                              </w:numPr>
                              <w:spacing w:before="0" w:after="200" w:line="288" w:lineRule="auto"/>
                              <w:jc w:val="both"/>
                            </w:pPr>
                            <w:r>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FC6976" w:rsidRDefault="00FC6976" w:rsidP="00604D2C">
                            <w:pPr>
                              <w:numPr>
                                <w:ilvl w:val="1"/>
                                <w:numId w:val="31"/>
                              </w:numPr>
                              <w:spacing w:before="0" w:after="200" w:line="288" w:lineRule="auto"/>
                              <w:jc w:val="both"/>
                            </w:pPr>
                            <w: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FC6976" w:rsidRDefault="00FC6976" w:rsidP="00604D2C">
                            <w:pPr>
                              <w:numPr>
                                <w:ilvl w:val="0"/>
                                <w:numId w:val="31"/>
                              </w:numPr>
                              <w:spacing w:before="0" w:after="240" w:line="288" w:lineRule="auto"/>
                              <w:jc w:val="both"/>
                            </w:pPr>
                            <w:r>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FC6976" w:rsidRDefault="00FC6976" w:rsidP="00604D2C">
                            <w:pPr>
                              <w:numPr>
                                <w:ilvl w:val="0"/>
                                <w:numId w:val="31"/>
                              </w:numPr>
                              <w:spacing w:before="0" w:after="240" w:line="288" w:lineRule="auto"/>
                              <w:jc w:val="both"/>
                            </w:pPr>
                            <w:r>
                              <w:t>Consumers benefit from Year 10 onwards after the EBSS carryover period has expired. This is because what consumers pay through the forecast opex and EBSS building blocks ($95 million) is lower from Year 10 onwards.</w:t>
                            </w:r>
                          </w:p>
                          <w:p w:rsidR="00FC6976" w:rsidRDefault="00FC6976" w:rsidP="00604D2C">
                            <w:pPr>
                              <w:numPr>
                                <w:ilvl w:val="0"/>
                                <w:numId w:val="31"/>
                              </w:numPr>
                              <w:spacing w:before="0" w:after="240" w:line="288" w:lineRule="auto"/>
                              <w:jc w:val="both"/>
                            </w:pPr>
                            <w:r>
                              <w:t xml:space="preserve">Table 2 </w:t>
                            </w:r>
                            <w:r w:rsidRPr="00CF7B52">
                              <w:t xml:space="preserve">provides a more detailed illustration of how the benefits are shared between </w:t>
                            </w:r>
                            <w:r>
                              <w:t>service providers</w:t>
                            </w:r>
                            <w:r w:rsidRPr="00CF7B52">
                              <w:t xml:space="preserve"> and consumers over time.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9.55pt;height:5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">
                <v:textbox>
                  <w:txbxContent>
                    <w:p w:rsidR="00FC6976" w:rsidRDefault="00FC6976" w:rsidP="00604D2C">
                      <w:pPr>
                        <w:pStyle w:val="Caption"/>
                      </w:pPr>
                      <w:bookmarkStart w:id="26" w:name="_Ref373247500"/>
                      <w:r>
                        <w:t xml:space="preserve">Example </w:t>
                      </w:r>
                      <w:fldSimple w:instr=" SEQ Example \* ARABIC \s 1 ">
                        <w:r w:rsidR="00154B99">
                          <w:rPr>
                            <w:noProof/>
                          </w:rPr>
                          <w:t>1</w:t>
                        </w:r>
                      </w:fldSimple>
                      <w:bookmarkEnd w:id="26"/>
                      <w:r>
                        <w:tab/>
                        <w:t>How the EBSS operates</w:t>
                      </w:r>
                    </w:p>
                    <w:p w:rsidR="00FC6976" w:rsidRDefault="00FC6976" w:rsidP="00604D2C">
                      <w:pPr>
                        <w:numPr>
                          <w:ilvl w:val="0"/>
                          <w:numId w:val="31"/>
                        </w:numPr>
                        <w:spacing w:before="0" w:after="240" w:line="288" w:lineRule="auto"/>
                        <w:jc w:val="both"/>
                      </w:pPr>
                      <w:r>
                        <w:t xml:space="preserve">Assume that in the first regulatory period, a network service provider's forecast opex is $100 million per annum (p.a.). </w:t>
                      </w:r>
                    </w:p>
                    <w:p w:rsidR="00FC6976" w:rsidRDefault="00FC6976" w:rsidP="00604D2C">
                      <w:pPr>
                        <w:numPr>
                          <w:ilvl w:val="0"/>
                          <w:numId w:val="31"/>
                        </w:numPr>
                        <w:spacing w:before="0" w:after="240" w:line="288" w:lineRule="auto"/>
                        <w:jc w:val="both"/>
                      </w:pPr>
                      <w: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FC6976" w:rsidRDefault="00FC6976" w:rsidP="00604D2C">
                      <w:pPr>
                        <w:numPr>
                          <w:ilvl w:val="0"/>
                          <w:numId w:val="31"/>
                        </w:numPr>
                        <w:spacing w:before="0" w:after="240" w:line="288" w:lineRule="auto"/>
                        <w:jc w:val="both"/>
                      </w:pPr>
                      <w:r>
                        <w:t>This efficiency improvement affects regulated revenues in two ways:</w:t>
                      </w:r>
                    </w:p>
                    <w:p w:rsidR="00FC6976" w:rsidRDefault="00FC6976" w:rsidP="00604D2C">
                      <w:pPr>
                        <w:numPr>
                          <w:ilvl w:val="1"/>
                          <w:numId w:val="31"/>
                        </w:numPr>
                        <w:spacing w:before="0" w:after="200" w:line="288" w:lineRule="auto"/>
                        <w:jc w:val="both"/>
                      </w:pPr>
                      <w:r>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FC6976" w:rsidRDefault="00FC6976" w:rsidP="00604D2C">
                      <w:pPr>
                        <w:numPr>
                          <w:ilvl w:val="1"/>
                          <w:numId w:val="31"/>
                        </w:numPr>
                        <w:spacing w:before="0" w:after="200" w:line="288" w:lineRule="auto"/>
                        <w:jc w:val="both"/>
                      </w:pPr>
                      <w: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FC6976" w:rsidRDefault="00FC6976" w:rsidP="00604D2C">
                      <w:pPr>
                        <w:numPr>
                          <w:ilvl w:val="0"/>
                          <w:numId w:val="31"/>
                        </w:numPr>
                        <w:spacing w:before="0" w:after="240" w:line="288" w:lineRule="auto"/>
                        <w:jc w:val="both"/>
                      </w:pPr>
                      <w:r>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FC6976" w:rsidRDefault="00FC6976" w:rsidP="00604D2C">
                      <w:pPr>
                        <w:numPr>
                          <w:ilvl w:val="0"/>
                          <w:numId w:val="31"/>
                        </w:numPr>
                        <w:spacing w:before="0" w:after="240" w:line="288" w:lineRule="auto"/>
                        <w:jc w:val="both"/>
                      </w:pPr>
                      <w:r>
                        <w:t>Consumers benefit from Year 10 onwards after the EBSS carryover period has expired. This is because what consumers pay through the forecast opex and EBSS building blocks ($95 million) is lower from Year 10 onwards.</w:t>
                      </w:r>
                    </w:p>
                    <w:p w:rsidR="00FC6976" w:rsidRDefault="00FC6976" w:rsidP="00604D2C">
                      <w:pPr>
                        <w:numPr>
                          <w:ilvl w:val="0"/>
                          <w:numId w:val="31"/>
                        </w:numPr>
                        <w:spacing w:before="0" w:after="240" w:line="288" w:lineRule="auto"/>
                        <w:jc w:val="both"/>
                      </w:pPr>
                      <w:r>
                        <w:t xml:space="preserve">Table 2 </w:t>
                      </w:r>
                      <w:r w:rsidRPr="00CF7B52">
                        <w:t xml:space="preserve">provides a more detailed illustration of how the benefits are shared between </w:t>
                      </w:r>
                      <w:r>
                        <w:t>service providers</w:t>
                      </w:r>
                      <w:r w:rsidRPr="00CF7B52">
                        <w:t xml:space="preserve"> and consumers over time.</w:t>
                      </w:r>
                    </w:p>
                  </w:txbxContent>
                </v:textbox>
                <w10:anchorlock/>
              </v:shape>
            </w:pict>
          </mc:Fallback>
        </mc:AlternateContent>
      </w:r>
    </w:p>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ED5C6B" w:rsidRDefault="00ED5C6B" w:rsidP="00ED5C6B">
      <w:pPr>
        <w:pStyle w:val="Heading6notnumbered"/>
        <w:rPr>
          <w:rStyle w:val="AERtextsize8"/>
        </w:rPr>
      </w:pPr>
      <w:r>
        <w:rPr>
          <w:noProof/>
          <w:color w:val="auto"/>
          <w:sz w:val="16"/>
          <w:lang w:eastAsia="en-AU"/>
        </w:rPr>
        <w:lastRenderedPageBreak/>
        <mc:AlternateContent>
          <mc:Choice Requires="wps">
            <w:drawing>
              <wp:anchor distT="0" distB="0" distL="114300" distR="114300" simplePos="0" relativeHeight="251660288" behindDoc="0" locked="0" layoutInCell="1" allowOverlap="1" wp14:anchorId="3BBF6B81" wp14:editId="398BF547">
                <wp:simplePos x="0" y="0"/>
                <wp:positionH relativeFrom="column">
                  <wp:posOffset>28575</wp:posOffset>
                </wp:positionH>
                <wp:positionV relativeFrom="paragraph">
                  <wp:posOffset>-133350</wp:posOffset>
                </wp:positionV>
                <wp:extent cx="5553075" cy="8229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553075" cy="822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976" w:rsidRPr="00ED5C6B" w:rsidRDefault="00FC6976" w:rsidP="00ED5C6B">
                            <w:pPr>
                              <w:pStyle w:val="Heading6notnumbered"/>
                              <w:rPr>
                                <w:rStyle w:val="AERtextsize8"/>
                              </w:rPr>
                            </w:pPr>
                            <w:r w:rsidRPr="00ED5C6B">
                              <w:rPr>
                                <w:rStyle w:val="AERtextsize8"/>
                              </w:rPr>
                              <w:t>(</w:t>
                            </w:r>
                            <w:r>
                              <w:rPr>
                                <w:rStyle w:val="AERtextsize8"/>
                              </w:rPr>
                              <w:t xml:space="preserve">Example </w:t>
                            </w:r>
                            <w:r w:rsidRPr="00ED5C6B">
                              <w:rPr>
                                <w:rStyle w:val="AERtextsize8"/>
                              </w:rPr>
                              <w:t>1</w:t>
                            </w:r>
                            <w:r>
                              <w:rPr>
                                <w:rStyle w:val="AERtextsize8"/>
                              </w:rPr>
                              <w:t xml:space="preserve"> c</w:t>
                            </w:r>
                            <w:r w:rsidRPr="00ED5C6B">
                              <w:rPr>
                                <w:rStyle w:val="AERtextsize8"/>
                              </w:rPr>
                              <w:t>ontinued)</w:t>
                            </w:r>
                          </w:p>
                          <w:p w:rsidR="00FC6976" w:rsidRPr="00FF445C" w:rsidRDefault="00FC6976" w:rsidP="00ED5C6B">
                            <w:pPr>
                              <w:pStyle w:val="Caption"/>
                            </w:pPr>
                            <w:r w:rsidRPr="00FF445C">
                              <w:t>Table 2</w:t>
                            </w:r>
                            <w:r w:rsidRPr="00FF445C">
                              <w:tab/>
                              <w:t>Example of how the EBSS operates</w:t>
                            </w:r>
                          </w:p>
                          <w:tbl>
                            <w:tblPr>
                              <w:tblStyle w:val="AERTable-Text"/>
                              <w:tblW w:w="5000" w:type="pct"/>
                              <w:tblLook w:val="04A0" w:firstRow="1" w:lastRow="0" w:firstColumn="1" w:lastColumn="0" w:noHBand="0" w:noVBand="1"/>
                            </w:tblPr>
                            <w:tblGrid>
                              <w:gridCol w:w="3105"/>
                              <w:gridCol w:w="483"/>
                              <w:gridCol w:w="483"/>
                              <w:gridCol w:w="483"/>
                              <w:gridCol w:w="483"/>
                              <w:gridCol w:w="483"/>
                              <w:gridCol w:w="439"/>
                              <w:gridCol w:w="439"/>
                              <w:gridCol w:w="439"/>
                              <w:gridCol w:w="439"/>
                              <w:gridCol w:w="439"/>
                              <w:gridCol w:w="963"/>
                            </w:tblGrid>
                            <w:tr w:rsidR="00FC6976" w:rsidRPr="00E05C99" w:rsidTr="000079E3">
                              <w:trPr>
                                <w:cnfStyle w:val="100000000000" w:firstRow="1" w:lastRow="0" w:firstColumn="0" w:lastColumn="0" w:oddVBand="0" w:evenVBand="0" w:oddHBand="0" w:evenHBand="0" w:firstRowFirstColumn="0" w:firstRowLastColumn="0" w:lastRowFirstColumn="0" w:lastRowLastColumn="0"/>
                              </w:trPr>
                              <w:tc>
                                <w:tcPr>
                                  <w:tcW w:w="1861" w:type="pct"/>
                                </w:tcPr>
                                <w:p w:rsidR="00FC6976" w:rsidRPr="00ED5C6B" w:rsidRDefault="00FC6976" w:rsidP="00ED5C6B"/>
                              </w:tc>
                              <w:tc>
                                <w:tcPr>
                                  <w:tcW w:w="1401" w:type="pct"/>
                                  <w:gridSpan w:val="5"/>
                                </w:tcPr>
                                <w:p w:rsidR="00FC6976" w:rsidRPr="00ED5C6B" w:rsidRDefault="00FC6976" w:rsidP="00ED5C6B">
                                  <w:r>
                                    <w:t>Reg.</w:t>
                                  </w:r>
                                  <w:r w:rsidRPr="00ED5C6B">
                                    <w:t xml:space="preserve"> period 1</w:t>
                                  </w:r>
                                </w:p>
                              </w:tc>
                              <w:tc>
                                <w:tcPr>
                                  <w:tcW w:w="1274" w:type="pct"/>
                                  <w:gridSpan w:val="5"/>
                                </w:tcPr>
                                <w:p w:rsidR="00FC6976" w:rsidRPr="00ED5C6B" w:rsidRDefault="00FC6976" w:rsidP="00ED5C6B">
                                  <w:r w:rsidRPr="00E05C99">
                                    <w:t>Reg</w:t>
                                  </w:r>
                                  <w:r w:rsidRPr="00ED5C6B">
                                    <w:t>. period 2</w:t>
                                  </w:r>
                                </w:p>
                              </w:tc>
                              <w:tc>
                                <w:tcPr>
                                  <w:tcW w:w="464" w:type="pct"/>
                                </w:tcPr>
                                <w:p w:rsidR="00FC6976" w:rsidRPr="00ED5C6B" w:rsidRDefault="00FC6976" w:rsidP="00ED5C6B">
                                  <w:r w:rsidRPr="00E05C99">
                                    <w:t>Future</w:t>
                                  </w:r>
                                </w:p>
                              </w:tc>
                            </w:tr>
                            <w:tr w:rsidR="00FC6976" w:rsidRPr="00E05C99" w:rsidTr="000079E3">
                              <w:tc>
                                <w:tcPr>
                                  <w:tcW w:w="1861" w:type="pct"/>
                                </w:tcPr>
                                <w:p w:rsidR="00FC6976" w:rsidRPr="00ED5C6B" w:rsidRDefault="00FC6976" w:rsidP="00ED5C6B">
                                  <w:pPr>
                                    <w:rPr>
                                      <w:rStyle w:val="AERtextsize8"/>
                                    </w:rPr>
                                  </w:pPr>
                                  <w:r w:rsidRPr="00414F2F">
                                    <w:rPr>
                                      <w:rStyle w:val="AERtextsize8"/>
                                    </w:rPr>
                                    <w:t>Year</w:t>
                                  </w:r>
                                </w:p>
                              </w:tc>
                              <w:tc>
                                <w:tcPr>
                                  <w:tcW w:w="280" w:type="pct"/>
                                </w:tcPr>
                                <w:p w:rsidR="00FC6976" w:rsidRPr="00ED5C6B" w:rsidRDefault="00FC6976" w:rsidP="00ED5C6B">
                                  <w:pPr>
                                    <w:rPr>
                                      <w:rStyle w:val="AERtextsize8"/>
                                    </w:rPr>
                                  </w:pPr>
                                  <w:r w:rsidRPr="00414F2F">
                                    <w:rPr>
                                      <w:rStyle w:val="AERtextsize8"/>
                                    </w:rPr>
                                    <w:t>1</w:t>
                                  </w:r>
                                </w:p>
                              </w:tc>
                              <w:tc>
                                <w:tcPr>
                                  <w:tcW w:w="280" w:type="pct"/>
                                </w:tcPr>
                                <w:p w:rsidR="00FC6976" w:rsidRPr="00ED5C6B" w:rsidRDefault="00FC6976" w:rsidP="00ED5C6B">
                                  <w:pPr>
                                    <w:rPr>
                                      <w:rStyle w:val="AERtextsize8"/>
                                    </w:rPr>
                                  </w:pPr>
                                  <w:r w:rsidRPr="00414F2F">
                                    <w:rPr>
                                      <w:rStyle w:val="AERtextsize8"/>
                                    </w:rPr>
                                    <w:t>2</w:t>
                                  </w:r>
                                </w:p>
                              </w:tc>
                              <w:tc>
                                <w:tcPr>
                                  <w:tcW w:w="280" w:type="pct"/>
                                </w:tcPr>
                                <w:p w:rsidR="00FC6976" w:rsidRPr="00ED5C6B" w:rsidRDefault="00FC6976" w:rsidP="00ED5C6B">
                                  <w:pPr>
                                    <w:rPr>
                                      <w:rStyle w:val="AERtextsize8"/>
                                    </w:rPr>
                                  </w:pPr>
                                  <w:r w:rsidRPr="00414F2F">
                                    <w:rPr>
                                      <w:rStyle w:val="AERtextsize8"/>
                                    </w:rPr>
                                    <w:t>3</w:t>
                                  </w:r>
                                </w:p>
                              </w:tc>
                              <w:tc>
                                <w:tcPr>
                                  <w:tcW w:w="280" w:type="pct"/>
                                </w:tcPr>
                                <w:p w:rsidR="00FC6976" w:rsidRPr="00ED5C6B" w:rsidRDefault="00FC6976" w:rsidP="00ED5C6B">
                                  <w:pPr>
                                    <w:rPr>
                                      <w:rStyle w:val="AERtextsize8"/>
                                    </w:rPr>
                                  </w:pPr>
                                  <w:r w:rsidRPr="00414F2F">
                                    <w:rPr>
                                      <w:rStyle w:val="AERtextsize8"/>
                                    </w:rPr>
                                    <w:t>4</w:t>
                                  </w:r>
                                </w:p>
                              </w:tc>
                              <w:tc>
                                <w:tcPr>
                                  <w:tcW w:w="280"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6</w:t>
                                  </w:r>
                                </w:p>
                              </w:tc>
                              <w:tc>
                                <w:tcPr>
                                  <w:tcW w:w="255" w:type="pct"/>
                                </w:tcPr>
                                <w:p w:rsidR="00FC6976" w:rsidRPr="00ED5C6B" w:rsidRDefault="00FC6976" w:rsidP="00ED5C6B">
                                  <w:pPr>
                                    <w:rPr>
                                      <w:rStyle w:val="AERtextsize8"/>
                                    </w:rPr>
                                  </w:pPr>
                                  <w:r w:rsidRPr="00414F2F">
                                    <w:rPr>
                                      <w:rStyle w:val="AERtextsize8"/>
                                    </w:rPr>
                                    <w:t>7</w:t>
                                  </w:r>
                                </w:p>
                              </w:tc>
                              <w:tc>
                                <w:tcPr>
                                  <w:tcW w:w="255" w:type="pct"/>
                                </w:tcPr>
                                <w:p w:rsidR="00FC6976" w:rsidRPr="00ED5C6B" w:rsidRDefault="00FC6976" w:rsidP="00ED5C6B">
                                  <w:pPr>
                                    <w:rPr>
                                      <w:rStyle w:val="AERtextsize8"/>
                                    </w:rPr>
                                  </w:pPr>
                                  <w:r w:rsidRPr="00414F2F">
                                    <w:rPr>
                                      <w:rStyle w:val="AERtextsize8"/>
                                    </w:rPr>
                                    <w:t>8</w:t>
                                  </w:r>
                                </w:p>
                              </w:tc>
                              <w:tc>
                                <w:tcPr>
                                  <w:tcW w:w="255" w:type="pct"/>
                                </w:tcPr>
                                <w:p w:rsidR="00FC6976" w:rsidRPr="00ED5C6B" w:rsidRDefault="00FC6976" w:rsidP="00ED5C6B">
                                  <w:pPr>
                                    <w:rPr>
                                      <w:rStyle w:val="AERtextsize8"/>
                                    </w:rPr>
                                  </w:pPr>
                                  <w:r w:rsidRPr="00414F2F">
                                    <w:rPr>
                                      <w:rStyle w:val="AERtextsize8"/>
                                    </w:rPr>
                                    <w:t>9</w:t>
                                  </w:r>
                                </w:p>
                              </w:tc>
                              <w:tc>
                                <w:tcPr>
                                  <w:tcW w:w="255" w:type="pct"/>
                                </w:tcPr>
                                <w:p w:rsidR="00FC6976" w:rsidRPr="00ED5C6B" w:rsidRDefault="00FC6976" w:rsidP="00ED5C6B">
                                  <w:pPr>
                                    <w:rPr>
                                      <w:rStyle w:val="AERtextsize8"/>
                                    </w:rPr>
                                  </w:pPr>
                                  <w:r w:rsidRPr="00414F2F">
                                    <w:rPr>
                                      <w:rStyle w:val="AERtextsize8"/>
                                    </w:rPr>
                                    <w:t>10</w:t>
                                  </w:r>
                                </w:p>
                              </w:tc>
                              <w:tc>
                                <w:tcPr>
                                  <w:tcW w:w="464" w:type="pct"/>
                                </w:tcPr>
                                <w:p w:rsidR="00FC6976" w:rsidRPr="00414F2F" w:rsidRDefault="00FC6976" w:rsidP="00ED5C6B">
                                  <w:pPr>
                                    <w:rPr>
                                      <w:rStyle w:val="AERtextsize8"/>
                                    </w:rPr>
                                  </w:pP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Forecast (Ft)</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100</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464" w:type="pct"/>
                                </w:tcPr>
                                <w:p w:rsidR="00FC6976" w:rsidRPr="00ED5C6B" w:rsidRDefault="00FC6976" w:rsidP="00ED5C6B">
                                  <w:pPr>
                                    <w:rPr>
                                      <w:rStyle w:val="AERtextsize8"/>
                                    </w:rPr>
                                  </w:pPr>
                                  <w:r w:rsidRPr="00414F2F">
                                    <w:rPr>
                                      <w:rStyle w:val="AERtextsize8"/>
                                    </w:rPr>
                                    <w:t>95 p.a.</w:t>
                                  </w:r>
                                </w:p>
                              </w:tc>
                            </w:tr>
                            <w:tr w:rsidR="00FC6976" w:rsidRPr="00E05C99" w:rsidTr="000079E3">
                              <w:tc>
                                <w:tcPr>
                                  <w:tcW w:w="1861" w:type="pct"/>
                                </w:tcPr>
                                <w:p w:rsidR="00FC6976" w:rsidRPr="00ED5C6B" w:rsidRDefault="00FC6976" w:rsidP="00ED5C6B">
                                  <w:pPr>
                                    <w:rPr>
                                      <w:rStyle w:val="AERtextsize8"/>
                                    </w:rPr>
                                  </w:pPr>
                                  <w:r w:rsidRPr="00414F2F">
                                    <w:rPr>
                                      <w:rStyle w:val="AERtextsize8"/>
                                    </w:rPr>
                                    <w:t>Actual (At)</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95</w:t>
                                  </w:r>
                                </w:p>
                              </w:tc>
                              <w:tc>
                                <w:tcPr>
                                  <w:tcW w:w="280"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464" w:type="pct"/>
                                </w:tcPr>
                                <w:p w:rsidR="00FC6976" w:rsidRPr="00ED5C6B" w:rsidRDefault="00FC6976" w:rsidP="00ED5C6B">
                                  <w:pPr>
                                    <w:rPr>
                                      <w:rStyle w:val="AERtextsize8"/>
                                    </w:rPr>
                                  </w:pPr>
                                  <w:r w:rsidRPr="00414F2F">
                                    <w:rPr>
                                      <w:rStyle w:val="AERtextsize8"/>
                                    </w:rPr>
                                    <w:t>95 p.a.</w:t>
                                  </w: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Underspend (Ft – At = Ut)</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5</w:t>
                                  </w:r>
                                </w:p>
                              </w:tc>
                              <w:tc>
                                <w:tcPr>
                                  <w:tcW w:w="280"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464" w:type="pct"/>
                                </w:tcPr>
                                <w:p w:rsidR="00FC6976" w:rsidRPr="00ED5C6B" w:rsidRDefault="00FC6976" w:rsidP="00ED5C6B">
                                  <w:pPr>
                                    <w:rPr>
                                      <w:rStyle w:val="AERtextsize8"/>
                                    </w:rPr>
                                  </w:pPr>
                                  <w:r w:rsidRPr="00414F2F">
                                    <w:rPr>
                                      <w:rStyle w:val="AERtextsize8"/>
                                    </w:rPr>
                                    <w:t>0 p.a.</w:t>
                                  </w:r>
                                </w:p>
                              </w:tc>
                            </w:tr>
                            <w:tr w:rsidR="00FC6976" w:rsidRPr="00E05C99" w:rsidTr="000079E3">
                              <w:tc>
                                <w:tcPr>
                                  <w:tcW w:w="1861" w:type="pct"/>
                                </w:tcPr>
                                <w:p w:rsidR="00FC6976" w:rsidRPr="00ED5C6B" w:rsidRDefault="00FC6976" w:rsidP="00ED5C6B">
                                  <w:pPr>
                                    <w:rPr>
                                      <w:rStyle w:val="AERtextsize8"/>
                                    </w:rPr>
                                  </w:pPr>
                                  <w:r w:rsidRPr="00414F2F">
                                    <w:rPr>
                                      <w:rStyle w:val="AERtextsize8"/>
                                    </w:rPr>
                                    <w:t>Incremental efficiency gain (It = Ut – Ut–1)</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5</w:t>
                                  </w:r>
                                </w:p>
                              </w:tc>
                              <w:tc>
                                <w:tcPr>
                                  <w:tcW w:w="280"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464" w:type="pct"/>
                                </w:tcPr>
                                <w:p w:rsidR="00FC6976" w:rsidRPr="00ED5C6B" w:rsidRDefault="00FC6976" w:rsidP="00ED5C6B">
                                  <w:pPr>
                                    <w:rPr>
                                      <w:rStyle w:val="AERtextsize8"/>
                                    </w:rPr>
                                  </w:pPr>
                                  <w:r w:rsidRPr="00414F2F">
                                    <w:rPr>
                                      <w:rStyle w:val="AERtextsize8"/>
                                    </w:rPr>
                                    <w:t>0 p.a.</w:t>
                                  </w: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464" w:type="pct"/>
                                </w:tcPr>
                                <w:p w:rsidR="00FC6976" w:rsidRPr="00414F2F" w:rsidRDefault="00FC6976" w:rsidP="00ED5C6B">
                                  <w:pPr>
                                    <w:rPr>
                                      <w:rStyle w:val="AERtextsize8"/>
                                    </w:rPr>
                                  </w:pPr>
                                </w:p>
                              </w:tc>
                            </w:tr>
                            <w:tr w:rsidR="00FC6976" w:rsidRPr="00E05C99" w:rsidTr="000079E3">
                              <w:tc>
                                <w:tcPr>
                                  <w:tcW w:w="1861" w:type="pct"/>
                                </w:tcPr>
                                <w:p w:rsidR="00FC6976" w:rsidRPr="00ED5C6B" w:rsidRDefault="00FC6976" w:rsidP="00ED5C6B">
                                  <w:pPr>
                                    <w:rPr>
                                      <w:rStyle w:val="AERtextsize8"/>
                                    </w:rPr>
                                  </w:pPr>
                                  <w:r w:rsidRPr="00414F2F">
                                    <w:rPr>
                                      <w:rStyle w:val="AERtextsize8"/>
                                    </w:rPr>
                                    <w:t>Carryover (I1)</w:t>
                                  </w:r>
                                </w:p>
                              </w:tc>
                              <w:tc>
                                <w:tcPr>
                                  <w:tcW w:w="280" w:type="pct"/>
                                </w:tcPr>
                                <w:p w:rsidR="00FC6976" w:rsidRPr="00414F2F" w:rsidRDefault="00FC6976" w:rsidP="00ED5C6B">
                                  <w:pPr>
                                    <w:rPr>
                                      <w:rStyle w:val="AERtextsize8"/>
                                    </w:rPr>
                                  </w:pP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464" w:type="pct"/>
                                </w:tcPr>
                                <w:p w:rsidR="00FC6976" w:rsidRPr="00414F2F" w:rsidRDefault="00FC6976" w:rsidP="00ED5C6B">
                                  <w:pPr>
                                    <w:rPr>
                                      <w:rStyle w:val="AERtextsize8"/>
                                    </w:rPr>
                                  </w:pP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Carryover (I2)</w:t>
                                  </w: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464" w:type="pct"/>
                                </w:tcPr>
                                <w:p w:rsidR="00FC6976" w:rsidRPr="00414F2F" w:rsidRDefault="00FC6976" w:rsidP="00ED5C6B">
                                  <w:pPr>
                                    <w:rPr>
                                      <w:rStyle w:val="AERtextsize8"/>
                                    </w:rPr>
                                  </w:pPr>
                                </w:p>
                              </w:tc>
                            </w:tr>
                            <w:tr w:rsidR="00FC6976" w:rsidRPr="00E05C99" w:rsidTr="000079E3">
                              <w:tc>
                                <w:tcPr>
                                  <w:tcW w:w="1861" w:type="pct"/>
                                </w:tcPr>
                                <w:p w:rsidR="00FC6976" w:rsidRPr="00ED5C6B" w:rsidRDefault="00FC6976" w:rsidP="00ED5C6B">
                                  <w:pPr>
                                    <w:rPr>
                                      <w:rStyle w:val="AERtextsize8"/>
                                    </w:rPr>
                                  </w:pPr>
                                  <w:r w:rsidRPr="00414F2F">
                                    <w:rPr>
                                      <w:rStyle w:val="AERtextsize8"/>
                                    </w:rPr>
                                    <w:t>Carryover (I3)</w:t>
                                  </w: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464" w:type="pct"/>
                                </w:tcPr>
                                <w:p w:rsidR="00FC6976" w:rsidRPr="00414F2F" w:rsidRDefault="00FC6976" w:rsidP="00ED5C6B">
                                  <w:pPr>
                                    <w:rPr>
                                      <w:rStyle w:val="AERtextsize8"/>
                                    </w:rPr>
                                  </w:pP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Carryover (I4)</w:t>
                                  </w: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414F2F" w:rsidRDefault="00FC6976" w:rsidP="00ED5C6B">
                                  <w:pPr>
                                    <w:rPr>
                                      <w:rStyle w:val="AERtextsize8"/>
                                    </w:rPr>
                                  </w:pPr>
                                </w:p>
                              </w:tc>
                              <w:tc>
                                <w:tcPr>
                                  <w:tcW w:w="464" w:type="pct"/>
                                </w:tcPr>
                                <w:p w:rsidR="00FC6976" w:rsidRPr="00414F2F" w:rsidRDefault="00FC6976" w:rsidP="00ED5C6B">
                                  <w:pPr>
                                    <w:rPr>
                                      <w:rStyle w:val="AERtextsize8"/>
                                    </w:rPr>
                                  </w:pPr>
                                </w:p>
                              </w:tc>
                            </w:tr>
                            <w:tr w:rsidR="00FC6976" w:rsidRPr="00E05C99" w:rsidTr="000079E3">
                              <w:tc>
                                <w:tcPr>
                                  <w:tcW w:w="1861" w:type="pct"/>
                                </w:tcPr>
                                <w:p w:rsidR="00FC6976" w:rsidRPr="00ED5C6B" w:rsidRDefault="00FC6976" w:rsidP="00ED5C6B">
                                  <w:pPr>
                                    <w:rPr>
                                      <w:rStyle w:val="AERtextsize8"/>
                                    </w:rPr>
                                  </w:pPr>
                                  <w:r w:rsidRPr="00414F2F">
                                    <w:rPr>
                                      <w:rStyle w:val="AERtextsize8"/>
                                    </w:rPr>
                                    <w:t>Carryover (I5)</w:t>
                                  </w: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464" w:type="pct"/>
                                </w:tcPr>
                                <w:p w:rsidR="00FC6976" w:rsidRPr="00414F2F" w:rsidRDefault="00FC6976" w:rsidP="00ED5C6B">
                                  <w:pPr>
                                    <w:rPr>
                                      <w:rStyle w:val="AERtextsize8"/>
                                    </w:rPr>
                                  </w:pP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Carryover</w:t>
                                  </w:r>
                                  <w:r w:rsidRPr="00ED5C6B">
                                    <w:rPr>
                                      <w:rStyle w:val="AERtextsize8"/>
                                    </w:rPr>
                                    <w:t xml:space="preserve"> amount (Ct)</w:t>
                                  </w: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0</w:t>
                                  </w:r>
                                </w:p>
                              </w:tc>
                              <w:tc>
                                <w:tcPr>
                                  <w:tcW w:w="464" w:type="pct"/>
                                </w:tcPr>
                                <w:p w:rsidR="00FC6976" w:rsidRPr="00ED5C6B" w:rsidRDefault="00FC6976" w:rsidP="00ED5C6B">
                                  <w:pPr>
                                    <w:rPr>
                                      <w:rStyle w:val="AERtextsize8"/>
                                    </w:rPr>
                                  </w:pPr>
                                  <w:r w:rsidRPr="00414F2F">
                                    <w:rPr>
                                      <w:rStyle w:val="AERtextsize8"/>
                                    </w:rPr>
                                    <w:t>0 p.a.</w:t>
                                  </w:r>
                                </w:p>
                              </w:tc>
                            </w:tr>
                            <w:tr w:rsidR="00FC6976" w:rsidRPr="00E05C99" w:rsidTr="000079E3">
                              <w:tc>
                                <w:tcPr>
                                  <w:tcW w:w="1861" w:type="pct"/>
                                </w:tcPr>
                                <w:p w:rsidR="00FC6976" w:rsidRPr="00ED5C6B" w:rsidRDefault="00FC6976" w:rsidP="00ED5C6B">
                                  <w:pPr>
                                    <w:rPr>
                                      <w:rStyle w:val="AERtextsize8"/>
                                    </w:rPr>
                                  </w:pPr>
                                  <w:r w:rsidRPr="00414F2F">
                                    <w:rPr>
                                      <w:rStyle w:val="AERtextsize8"/>
                                    </w:rPr>
                                    <w:t>Benefits to NSP (Ft – At +Ct)</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5</w:t>
                                  </w:r>
                                </w:p>
                              </w:tc>
                              <w:tc>
                                <w:tcPr>
                                  <w:tcW w:w="280"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0</w:t>
                                  </w:r>
                                </w:p>
                              </w:tc>
                              <w:tc>
                                <w:tcPr>
                                  <w:tcW w:w="464" w:type="pct"/>
                                </w:tcPr>
                                <w:p w:rsidR="00FC6976" w:rsidRPr="00ED5C6B" w:rsidRDefault="00FC6976" w:rsidP="00ED5C6B">
                                  <w:pPr>
                                    <w:rPr>
                                      <w:rStyle w:val="AERtextsize8"/>
                                    </w:rPr>
                                  </w:pPr>
                                  <w:r w:rsidRPr="00414F2F">
                                    <w:rPr>
                                      <w:rStyle w:val="AERtextsize8"/>
                                    </w:rPr>
                                    <w:t>0 p.a.</w:t>
                                  </w: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Benefits to consumers (F1 – (Ft +Ct))</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5</w:t>
                                  </w:r>
                                </w:p>
                              </w:tc>
                              <w:tc>
                                <w:tcPr>
                                  <w:tcW w:w="464" w:type="pct"/>
                                </w:tcPr>
                                <w:p w:rsidR="00FC6976" w:rsidRPr="00ED5C6B" w:rsidRDefault="00FC6976" w:rsidP="00ED5C6B">
                                  <w:pPr>
                                    <w:rPr>
                                      <w:rStyle w:val="AERtextsize8"/>
                                    </w:rPr>
                                  </w:pPr>
                                  <w:r w:rsidRPr="00414F2F">
                                    <w:rPr>
                                      <w:rStyle w:val="AERtextsize8"/>
                                    </w:rPr>
                                    <w:t>5 p.a.</w:t>
                                  </w:r>
                                </w:p>
                              </w:tc>
                            </w:tr>
                            <w:tr w:rsidR="00FC6976" w:rsidRPr="00E05C99" w:rsidTr="000079E3">
                              <w:tc>
                                <w:tcPr>
                                  <w:tcW w:w="1861" w:type="pct"/>
                                </w:tcPr>
                                <w:p w:rsidR="00FC6976" w:rsidRPr="00ED5C6B" w:rsidRDefault="00FC6976" w:rsidP="00ED5C6B">
                                  <w:pPr>
                                    <w:rPr>
                                      <w:rStyle w:val="AERtextsize8"/>
                                    </w:rPr>
                                  </w:pPr>
                                  <w:r w:rsidRPr="00414F2F">
                                    <w:rPr>
                                      <w:rStyle w:val="AERtextsize8"/>
                                    </w:rPr>
                                    <w:t>Discounted benefits to NSP**</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5</w:t>
                                  </w:r>
                                </w:p>
                              </w:tc>
                              <w:tc>
                                <w:tcPr>
                                  <w:tcW w:w="280" w:type="pct"/>
                                </w:tcPr>
                                <w:p w:rsidR="00FC6976" w:rsidRPr="00ED5C6B" w:rsidRDefault="00FC6976" w:rsidP="00ED5C6B">
                                  <w:pPr>
                                    <w:rPr>
                                      <w:rStyle w:val="AERtextsize8"/>
                                    </w:rPr>
                                  </w:pPr>
                                  <w:r w:rsidRPr="00414F2F">
                                    <w:rPr>
                                      <w:rStyle w:val="AERtextsize8"/>
                                    </w:rPr>
                                    <w:t>4.7</w:t>
                                  </w:r>
                                </w:p>
                              </w:tc>
                              <w:tc>
                                <w:tcPr>
                                  <w:tcW w:w="255" w:type="pct"/>
                                </w:tcPr>
                                <w:p w:rsidR="00FC6976" w:rsidRPr="00ED5C6B" w:rsidRDefault="00FC6976" w:rsidP="00ED5C6B">
                                  <w:pPr>
                                    <w:rPr>
                                      <w:rStyle w:val="AERtextsize8"/>
                                    </w:rPr>
                                  </w:pPr>
                                  <w:r w:rsidRPr="00414F2F">
                                    <w:rPr>
                                      <w:rStyle w:val="AERtextsize8"/>
                                    </w:rPr>
                                    <w:t>4.5</w:t>
                                  </w:r>
                                </w:p>
                              </w:tc>
                              <w:tc>
                                <w:tcPr>
                                  <w:tcW w:w="255" w:type="pct"/>
                                </w:tcPr>
                                <w:p w:rsidR="00FC6976" w:rsidRPr="00ED5C6B" w:rsidRDefault="00FC6976" w:rsidP="00ED5C6B">
                                  <w:pPr>
                                    <w:rPr>
                                      <w:rStyle w:val="AERtextsize8"/>
                                    </w:rPr>
                                  </w:pPr>
                                  <w:r w:rsidRPr="00414F2F">
                                    <w:rPr>
                                      <w:rStyle w:val="AERtextsize8"/>
                                    </w:rPr>
                                    <w:t>4.2</w:t>
                                  </w:r>
                                </w:p>
                              </w:tc>
                              <w:tc>
                                <w:tcPr>
                                  <w:tcW w:w="255" w:type="pct"/>
                                </w:tcPr>
                                <w:p w:rsidR="00FC6976" w:rsidRPr="00ED5C6B" w:rsidRDefault="00FC6976" w:rsidP="00ED5C6B">
                                  <w:pPr>
                                    <w:rPr>
                                      <w:rStyle w:val="AERtextsize8"/>
                                    </w:rPr>
                                  </w:pPr>
                                  <w:r w:rsidRPr="00414F2F">
                                    <w:rPr>
                                      <w:rStyle w:val="AERtextsize8"/>
                                    </w:rPr>
                                    <w:t>4.0</w:t>
                                  </w:r>
                                </w:p>
                              </w:tc>
                              <w:tc>
                                <w:tcPr>
                                  <w:tcW w:w="255" w:type="pct"/>
                                </w:tcPr>
                                <w:p w:rsidR="00FC6976" w:rsidRPr="00ED5C6B" w:rsidRDefault="00FC6976" w:rsidP="00ED5C6B">
                                  <w:pPr>
                                    <w:rPr>
                                      <w:rStyle w:val="AERtextsize8"/>
                                    </w:rPr>
                                  </w:pPr>
                                  <w:r w:rsidRPr="00414F2F">
                                    <w:rPr>
                                      <w:rStyle w:val="AERtextsize8"/>
                                    </w:rPr>
                                    <w:t>3.7</w:t>
                                  </w:r>
                                </w:p>
                              </w:tc>
                              <w:tc>
                                <w:tcPr>
                                  <w:tcW w:w="255" w:type="pct"/>
                                </w:tcPr>
                                <w:p w:rsidR="00FC6976" w:rsidRPr="00ED5C6B" w:rsidRDefault="00FC6976" w:rsidP="00ED5C6B">
                                  <w:pPr>
                                    <w:rPr>
                                      <w:rStyle w:val="AERtextsize8"/>
                                    </w:rPr>
                                  </w:pPr>
                                  <w:r w:rsidRPr="00414F2F">
                                    <w:rPr>
                                      <w:rStyle w:val="AERtextsize8"/>
                                    </w:rPr>
                                    <w:t>0</w:t>
                                  </w:r>
                                </w:p>
                              </w:tc>
                              <w:tc>
                                <w:tcPr>
                                  <w:tcW w:w="464" w:type="pct"/>
                                </w:tcPr>
                                <w:p w:rsidR="00FC6976" w:rsidRPr="00ED5C6B" w:rsidRDefault="00FC6976" w:rsidP="00ED5C6B">
                                  <w:pPr>
                                    <w:rPr>
                                      <w:rStyle w:val="AERtextsize8"/>
                                    </w:rPr>
                                  </w:pPr>
                                  <w:r w:rsidRPr="00414F2F">
                                    <w:rPr>
                                      <w:rStyle w:val="AERtextsize8"/>
                                    </w:rPr>
                                    <w:t xml:space="preserve">0 </w:t>
                                  </w: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 xml:space="preserve">Discounted benefits to </w:t>
                                  </w:r>
                                  <w:r w:rsidRPr="00ED5C6B">
                                    <w:rPr>
                                      <w:rStyle w:val="AERtextsize8"/>
                                    </w:rPr>
                                    <w:t>consumers**</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3.5</w:t>
                                  </w:r>
                                </w:p>
                              </w:tc>
                              <w:tc>
                                <w:tcPr>
                                  <w:tcW w:w="464" w:type="pct"/>
                                </w:tcPr>
                                <w:p w:rsidR="00FC6976" w:rsidRPr="00ED5C6B" w:rsidRDefault="00FC6976" w:rsidP="00ED5C6B">
                                  <w:pPr>
                                    <w:rPr>
                                      <w:rStyle w:val="AERtextsize8"/>
                                    </w:rPr>
                                  </w:pPr>
                                  <w:r w:rsidRPr="00414F2F">
                                    <w:rPr>
                                      <w:rStyle w:val="AERtextsize8"/>
                                    </w:rPr>
                                    <w:t>58.8***</w:t>
                                  </w:r>
                                </w:p>
                              </w:tc>
                            </w:tr>
                          </w:tbl>
                          <w:p w:rsidR="00FC6976" w:rsidRDefault="00FC6976" w:rsidP="00ED5C6B">
                            <w:pPr>
                              <w:rPr>
                                <w:rStyle w:val="AERtextsize8"/>
                              </w:rPr>
                            </w:pPr>
                          </w:p>
                          <w:tbl>
                            <w:tblPr>
                              <w:tblStyle w:val="ACCCTable3"/>
                              <w:tblW w:w="0" w:type="auto"/>
                              <w:tblLook w:val="04A0" w:firstRow="1" w:lastRow="0" w:firstColumn="1" w:lastColumn="0" w:noHBand="0" w:noVBand="1"/>
                            </w:tblPr>
                            <w:tblGrid>
                              <w:gridCol w:w="714"/>
                              <w:gridCol w:w="426"/>
                              <w:gridCol w:w="7378"/>
                            </w:tblGrid>
                            <w:tr w:rsidR="00FC6976" w:rsidTr="00007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C6976" w:rsidRPr="00ED5C6B" w:rsidRDefault="00FC6976" w:rsidP="00ED5C6B">
                                  <w:pPr>
                                    <w:rPr>
                                      <w:rStyle w:val="AERtextsize8"/>
                                    </w:rPr>
                                  </w:pPr>
                                  <w:r w:rsidRPr="00414F2F">
                                    <w:rPr>
                                      <w:rStyle w:val="AERtextsize8"/>
                                    </w:rPr>
                                    <w:t>Notes</w:t>
                                  </w:r>
                                  <w:r w:rsidRPr="00ED5C6B">
                                    <w:rPr>
                                      <w:rStyle w:val="AERtextsize8"/>
                                    </w:rPr>
                                    <w:t>:</w:t>
                                  </w:r>
                                </w:p>
                              </w:tc>
                              <w:tc>
                                <w:tcPr>
                                  <w:tcW w:w="426" w:type="dxa"/>
                                </w:tcPr>
                                <w:p w:rsidR="00FC6976" w:rsidRDefault="00FC6976" w:rsidP="00ED5C6B">
                                  <w:pPr>
                                    <w:cnfStyle w:val="100000000000" w:firstRow="1" w:lastRow="0" w:firstColumn="0" w:lastColumn="0" w:oddVBand="0" w:evenVBand="0" w:oddHBand="0" w:evenHBand="0" w:firstRowFirstColumn="0" w:firstRowLastColumn="0" w:lastRowFirstColumn="0" w:lastRowLastColumn="0"/>
                                    <w:rPr>
                                      <w:rStyle w:val="AERtextsize8"/>
                                    </w:rPr>
                                  </w:pPr>
                                </w:p>
                              </w:tc>
                              <w:tc>
                                <w:tcPr>
                                  <w:tcW w:w="7378" w:type="dxa"/>
                                </w:tcPr>
                                <w:p w:rsidR="00FC6976" w:rsidRDefault="00FC6976" w:rsidP="00ED5C6B">
                                  <w:pPr>
                                    <w:cnfStyle w:val="100000000000" w:firstRow="1" w:lastRow="0" w:firstColumn="0" w:lastColumn="0" w:oddVBand="0" w:evenVBand="0" w:oddHBand="0" w:evenHBand="0" w:firstRowFirstColumn="0" w:firstRowLastColumn="0" w:lastRowFirstColumn="0" w:lastRowLastColumn="0"/>
                                    <w:rPr>
                                      <w:rStyle w:val="AERtextsize8"/>
                                    </w:rPr>
                                  </w:pPr>
                                </w:p>
                              </w:tc>
                            </w:tr>
                            <w:tr w:rsidR="00FC6976" w:rsidTr="000079E3">
                              <w:tc>
                                <w:tcPr>
                                  <w:cnfStyle w:val="001000000000" w:firstRow="0" w:lastRow="0" w:firstColumn="1" w:lastColumn="0" w:oddVBand="0" w:evenVBand="0" w:oddHBand="0" w:evenHBand="0" w:firstRowFirstColumn="0" w:firstRowLastColumn="0" w:lastRowFirstColumn="0" w:lastRowLastColumn="0"/>
                                  <w:tcW w:w="675" w:type="dxa"/>
                                </w:tcPr>
                                <w:p w:rsidR="00FC6976" w:rsidRDefault="00FC6976" w:rsidP="00ED5C6B">
                                  <w:pPr>
                                    <w:rPr>
                                      <w:rStyle w:val="AERtextsize8"/>
                                    </w:rPr>
                                  </w:pPr>
                                </w:p>
                              </w:tc>
                              <w:tc>
                                <w:tcPr>
                                  <w:tcW w:w="426" w:type="dxa"/>
                                </w:tcPr>
                                <w:p w:rsidR="00FC6976" w:rsidRPr="00ED5C6B"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FC6976" w:rsidRPr="00ED5C6B"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r w:rsidRPr="00905444">
                                    <w:rPr>
                                      <w:rStyle w:val="AERtextsize8"/>
                                    </w:rPr>
                                    <w:t xml:space="preserve">At the time of forecasting opex for the second regulatory period we don’t know actual opex for year 5. </w:t>
                                  </w:r>
                                  <w:r w:rsidRPr="00ED5C6B">
                                    <w:rPr>
                                      <w:rStyle w:val="AERtextsize8"/>
                                    </w:rPr>
                                    <w:t>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p w:rsidR="00FC6976"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FC6976" w:rsidTr="000079E3">
                              <w:tc>
                                <w:tcPr>
                                  <w:cnfStyle w:val="001000000000" w:firstRow="0" w:lastRow="0" w:firstColumn="1" w:lastColumn="0" w:oddVBand="0" w:evenVBand="0" w:oddHBand="0" w:evenHBand="0" w:firstRowFirstColumn="0" w:firstRowLastColumn="0" w:lastRowFirstColumn="0" w:lastRowLastColumn="0"/>
                                  <w:tcW w:w="675" w:type="dxa"/>
                                </w:tcPr>
                                <w:p w:rsidR="00FC6976" w:rsidRDefault="00FC6976" w:rsidP="00ED5C6B">
                                  <w:pPr>
                                    <w:rPr>
                                      <w:rStyle w:val="AERtextsize8"/>
                                    </w:rPr>
                                  </w:pPr>
                                </w:p>
                              </w:tc>
                              <w:tc>
                                <w:tcPr>
                                  <w:tcW w:w="426" w:type="dxa"/>
                                </w:tcPr>
                                <w:p w:rsidR="00FC6976" w:rsidRPr="00ED5C6B"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FC6976" w:rsidRPr="00ED5C6B"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Assumes a real discount rate of 6 per cent.</w:t>
                                  </w:r>
                                </w:p>
                                <w:p w:rsidR="00FC6976"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FC6976" w:rsidTr="000079E3">
                              <w:tc>
                                <w:tcPr>
                                  <w:cnfStyle w:val="001000000000" w:firstRow="0" w:lastRow="0" w:firstColumn="1" w:lastColumn="0" w:oddVBand="0" w:evenVBand="0" w:oddHBand="0" w:evenHBand="0" w:firstRowFirstColumn="0" w:firstRowLastColumn="0" w:lastRowFirstColumn="0" w:lastRowLastColumn="0"/>
                                  <w:tcW w:w="675" w:type="dxa"/>
                                </w:tcPr>
                                <w:p w:rsidR="00FC6976" w:rsidRDefault="00FC6976" w:rsidP="00ED5C6B">
                                  <w:pPr>
                                    <w:rPr>
                                      <w:rStyle w:val="AERtextsize8"/>
                                    </w:rPr>
                                  </w:pPr>
                                </w:p>
                              </w:tc>
                              <w:tc>
                                <w:tcPr>
                                  <w:tcW w:w="426" w:type="dxa"/>
                                </w:tcPr>
                                <w:p w:rsidR="00FC6976" w:rsidRPr="00ED5C6B"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FC6976" w:rsidRPr="00ED5C6B"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FC6976" w:rsidRDefault="00FC6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25pt;margin-top:-10.5pt;width:437.25pt;height:9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" fillcolor="white [3201]" strokeweight=".5pt">
                <v:textbox>
                  <w:txbxContent>
                    <w:p w:rsidR="00FC6976" w:rsidRPr="00ED5C6B" w:rsidRDefault="00FC6976" w:rsidP="00ED5C6B">
                      <w:pPr>
                        <w:pStyle w:val="Heading6notnumbered"/>
                        <w:rPr>
                          <w:rStyle w:val="AERtextsize8"/>
                        </w:rPr>
                      </w:pPr>
                      <w:r w:rsidRPr="00ED5C6B">
                        <w:rPr>
                          <w:rStyle w:val="AERtextsize8"/>
                        </w:rPr>
                        <w:t>(</w:t>
                      </w:r>
                      <w:r>
                        <w:rPr>
                          <w:rStyle w:val="AERtextsize8"/>
                        </w:rPr>
                        <w:t xml:space="preserve">Example </w:t>
                      </w:r>
                      <w:r w:rsidRPr="00ED5C6B">
                        <w:rPr>
                          <w:rStyle w:val="AERtextsize8"/>
                        </w:rPr>
                        <w:t>1</w:t>
                      </w:r>
                      <w:r>
                        <w:rPr>
                          <w:rStyle w:val="AERtextsize8"/>
                        </w:rPr>
                        <w:t xml:space="preserve"> c</w:t>
                      </w:r>
                      <w:r w:rsidRPr="00ED5C6B">
                        <w:rPr>
                          <w:rStyle w:val="AERtextsize8"/>
                        </w:rPr>
                        <w:t>ontinued)</w:t>
                      </w:r>
                    </w:p>
                    <w:p w:rsidR="00FC6976" w:rsidRPr="00FF445C" w:rsidRDefault="00FC6976" w:rsidP="00ED5C6B">
                      <w:pPr>
                        <w:pStyle w:val="Caption"/>
                      </w:pPr>
                      <w:r w:rsidRPr="00FF445C">
                        <w:t>Table 2</w:t>
                      </w:r>
                      <w:r w:rsidRPr="00FF445C">
                        <w:tab/>
                        <w:t>Example of how the EBSS operates</w:t>
                      </w:r>
                    </w:p>
                    <w:tbl>
                      <w:tblPr>
                        <w:tblStyle w:val="AERTable-Text"/>
                        <w:tblW w:w="5000" w:type="pct"/>
                        <w:tblLook w:val="04A0" w:firstRow="1" w:lastRow="0" w:firstColumn="1" w:lastColumn="0" w:noHBand="0" w:noVBand="1"/>
                      </w:tblPr>
                      <w:tblGrid>
                        <w:gridCol w:w="3105"/>
                        <w:gridCol w:w="483"/>
                        <w:gridCol w:w="483"/>
                        <w:gridCol w:w="483"/>
                        <w:gridCol w:w="483"/>
                        <w:gridCol w:w="483"/>
                        <w:gridCol w:w="439"/>
                        <w:gridCol w:w="439"/>
                        <w:gridCol w:w="439"/>
                        <w:gridCol w:w="439"/>
                        <w:gridCol w:w="439"/>
                        <w:gridCol w:w="963"/>
                      </w:tblGrid>
                      <w:tr w:rsidR="00FC6976" w:rsidRPr="00E05C99" w:rsidTr="000079E3">
                        <w:trPr>
                          <w:cnfStyle w:val="100000000000" w:firstRow="1" w:lastRow="0" w:firstColumn="0" w:lastColumn="0" w:oddVBand="0" w:evenVBand="0" w:oddHBand="0" w:evenHBand="0" w:firstRowFirstColumn="0" w:firstRowLastColumn="0" w:lastRowFirstColumn="0" w:lastRowLastColumn="0"/>
                        </w:trPr>
                        <w:tc>
                          <w:tcPr>
                            <w:tcW w:w="1861" w:type="pct"/>
                          </w:tcPr>
                          <w:p w:rsidR="00FC6976" w:rsidRPr="00ED5C6B" w:rsidRDefault="00FC6976" w:rsidP="00ED5C6B"/>
                        </w:tc>
                        <w:tc>
                          <w:tcPr>
                            <w:tcW w:w="1401" w:type="pct"/>
                            <w:gridSpan w:val="5"/>
                          </w:tcPr>
                          <w:p w:rsidR="00FC6976" w:rsidRPr="00ED5C6B" w:rsidRDefault="00FC6976" w:rsidP="00ED5C6B">
                            <w:r>
                              <w:t>Reg.</w:t>
                            </w:r>
                            <w:r w:rsidRPr="00ED5C6B">
                              <w:t xml:space="preserve"> period 1</w:t>
                            </w:r>
                          </w:p>
                        </w:tc>
                        <w:tc>
                          <w:tcPr>
                            <w:tcW w:w="1274" w:type="pct"/>
                            <w:gridSpan w:val="5"/>
                          </w:tcPr>
                          <w:p w:rsidR="00FC6976" w:rsidRPr="00ED5C6B" w:rsidRDefault="00FC6976" w:rsidP="00ED5C6B">
                            <w:r w:rsidRPr="00E05C99">
                              <w:t>Reg</w:t>
                            </w:r>
                            <w:r w:rsidRPr="00ED5C6B">
                              <w:t>. period 2</w:t>
                            </w:r>
                          </w:p>
                        </w:tc>
                        <w:tc>
                          <w:tcPr>
                            <w:tcW w:w="464" w:type="pct"/>
                          </w:tcPr>
                          <w:p w:rsidR="00FC6976" w:rsidRPr="00ED5C6B" w:rsidRDefault="00FC6976" w:rsidP="00ED5C6B">
                            <w:r w:rsidRPr="00E05C99">
                              <w:t>Future</w:t>
                            </w:r>
                          </w:p>
                        </w:tc>
                      </w:tr>
                      <w:tr w:rsidR="00FC6976" w:rsidRPr="00E05C99" w:rsidTr="000079E3">
                        <w:tc>
                          <w:tcPr>
                            <w:tcW w:w="1861" w:type="pct"/>
                          </w:tcPr>
                          <w:p w:rsidR="00FC6976" w:rsidRPr="00ED5C6B" w:rsidRDefault="00FC6976" w:rsidP="00ED5C6B">
                            <w:pPr>
                              <w:rPr>
                                <w:rStyle w:val="AERtextsize8"/>
                              </w:rPr>
                            </w:pPr>
                            <w:r w:rsidRPr="00414F2F">
                              <w:rPr>
                                <w:rStyle w:val="AERtextsize8"/>
                              </w:rPr>
                              <w:t>Year</w:t>
                            </w:r>
                          </w:p>
                        </w:tc>
                        <w:tc>
                          <w:tcPr>
                            <w:tcW w:w="280" w:type="pct"/>
                          </w:tcPr>
                          <w:p w:rsidR="00FC6976" w:rsidRPr="00ED5C6B" w:rsidRDefault="00FC6976" w:rsidP="00ED5C6B">
                            <w:pPr>
                              <w:rPr>
                                <w:rStyle w:val="AERtextsize8"/>
                              </w:rPr>
                            </w:pPr>
                            <w:r w:rsidRPr="00414F2F">
                              <w:rPr>
                                <w:rStyle w:val="AERtextsize8"/>
                              </w:rPr>
                              <w:t>1</w:t>
                            </w:r>
                          </w:p>
                        </w:tc>
                        <w:tc>
                          <w:tcPr>
                            <w:tcW w:w="280" w:type="pct"/>
                          </w:tcPr>
                          <w:p w:rsidR="00FC6976" w:rsidRPr="00ED5C6B" w:rsidRDefault="00FC6976" w:rsidP="00ED5C6B">
                            <w:pPr>
                              <w:rPr>
                                <w:rStyle w:val="AERtextsize8"/>
                              </w:rPr>
                            </w:pPr>
                            <w:r w:rsidRPr="00414F2F">
                              <w:rPr>
                                <w:rStyle w:val="AERtextsize8"/>
                              </w:rPr>
                              <w:t>2</w:t>
                            </w:r>
                          </w:p>
                        </w:tc>
                        <w:tc>
                          <w:tcPr>
                            <w:tcW w:w="280" w:type="pct"/>
                          </w:tcPr>
                          <w:p w:rsidR="00FC6976" w:rsidRPr="00ED5C6B" w:rsidRDefault="00FC6976" w:rsidP="00ED5C6B">
                            <w:pPr>
                              <w:rPr>
                                <w:rStyle w:val="AERtextsize8"/>
                              </w:rPr>
                            </w:pPr>
                            <w:r w:rsidRPr="00414F2F">
                              <w:rPr>
                                <w:rStyle w:val="AERtextsize8"/>
                              </w:rPr>
                              <w:t>3</w:t>
                            </w:r>
                          </w:p>
                        </w:tc>
                        <w:tc>
                          <w:tcPr>
                            <w:tcW w:w="280" w:type="pct"/>
                          </w:tcPr>
                          <w:p w:rsidR="00FC6976" w:rsidRPr="00ED5C6B" w:rsidRDefault="00FC6976" w:rsidP="00ED5C6B">
                            <w:pPr>
                              <w:rPr>
                                <w:rStyle w:val="AERtextsize8"/>
                              </w:rPr>
                            </w:pPr>
                            <w:r w:rsidRPr="00414F2F">
                              <w:rPr>
                                <w:rStyle w:val="AERtextsize8"/>
                              </w:rPr>
                              <w:t>4</w:t>
                            </w:r>
                          </w:p>
                        </w:tc>
                        <w:tc>
                          <w:tcPr>
                            <w:tcW w:w="280"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6</w:t>
                            </w:r>
                          </w:p>
                        </w:tc>
                        <w:tc>
                          <w:tcPr>
                            <w:tcW w:w="255" w:type="pct"/>
                          </w:tcPr>
                          <w:p w:rsidR="00FC6976" w:rsidRPr="00ED5C6B" w:rsidRDefault="00FC6976" w:rsidP="00ED5C6B">
                            <w:pPr>
                              <w:rPr>
                                <w:rStyle w:val="AERtextsize8"/>
                              </w:rPr>
                            </w:pPr>
                            <w:r w:rsidRPr="00414F2F">
                              <w:rPr>
                                <w:rStyle w:val="AERtextsize8"/>
                              </w:rPr>
                              <w:t>7</w:t>
                            </w:r>
                          </w:p>
                        </w:tc>
                        <w:tc>
                          <w:tcPr>
                            <w:tcW w:w="255" w:type="pct"/>
                          </w:tcPr>
                          <w:p w:rsidR="00FC6976" w:rsidRPr="00ED5C6B" w:rsidRDefault="00FC6976" w:rsidP="00ED5C6B">
                            <w:pPr>
                              <w:rPr>
                                <w:rStyle w:val="AERtextsize8"/>
                              </w:rPr>
                            </w:pPr>
                            <w:r w:rsidRPr="00414F2F">
                              <w:rPr>
                                <w:rStyle w:val="AERtextsize8"/>
                              </w:rPr>
                              <w:t>8</w:t>
                            </w:r>
                          </w:p>
                        </w:tc>
                        <w:tc>
                          <w:tcPr>
                            <w:tcW w:w="255" w:type="pct"/>
                          </w:tcPr>
                          <w:p w:rsidR="00FC6976" w:rsidRPr="00ED5C6B" w:rsidRDefault="00FC6976" w:rsidP="00ED5C6B">
                            <w:pPr>
                              <w:rPr>
                                <w:rStyle w:val="AERtextsize8"/>
                              </w:rPr>
                            </w:pPr>
                            <w:r w:rsidRPr="00414F2F">
                              <w:rPr>
                                <w:rStyle w:val="AERtextsize8"/>
                              </w:rPr>
                              <w:t>9</w:t>
                            </w:r>
                          </w:p>
                        </w:tc>
                        <w:tc>
                          <w:tcPr>
                            <w:tcW w:w="255" w:type="pct"/>
                          </w:tcPr>
                          <w:p w:rsidR="00FC6976" w:rsidRPr="00ED5C6B" w:rsidRDefault="00FC6976" w:rsidP="00ED5C6B">
                            <w:pPr>
                              <w:rPr>
                                <w:rStyle w:val="AERtextsize8"/>
                              </w:rPr>
                            </w:pPr>
                            <w:r w:rsidRPr="00414F2F">
                              <w:rPr>
                                <w:rStyle w:val="AERtextsize8"/>
                              </w:rPr>
                              <w:t>10</w:t>
                            </w:r>
                          </w:p>
                        </w:tc>
                        <w:tc>
                          <w:tcPr>
                            <w:tcW w:w="464" w:type="pct"/>
                          </w:tcPr>
                          <w:p w:rsidR="00FC6976" w:rsidRPr="00414F2F" w:rsidRDefault="00FC6976" w:rsidP="00ED5C6B">
                            <w:pPr>
                              <w:rPr>
                                <w:rStyle w:val="AERtextsize8"/>
                              </w:rPr>
                            </w:pP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Forecast (Ft)</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100</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464" w:type="pct"/>
                          </w:tcPr>
                          <w:p w:rsidR="00FC6976" w:rsidRPr="00ED5C6B" w:rsidRDefault="00FC6976" w:rsidP="00ED5C6B">
                            <w:pPr>
                              <w:rPr>
                                <w:rStyle w:val="AERtextsize8"/>
                              </w:rPr>
                            </w:pPr>
                            <w:r w:rsidRPr="00414F2F">
                              <w:rPr>
                                <w:rStyle w:val="AERtextsize8"/>
                              </w:rPr>
                              <w:t>95 p.a.</w:t>
                            </w:r>
                          </w:p>
                        </w:tc>
                      </w:tr>
                      <w:tr w:rsidR="00FC6976" w:rsidRPr="00E05C99" w:rsidTr="000079E3">
                        <w:tc>
                          <w:tcPr>
                            <w:tcW w:w="1861" w:type="pct"/>
                          </w:tcPr>
                          <w:p w:rsidR="00FC6976" w:rsidRPr="00ED5C6B" w:rsidRDefault="00FC6976" w:rsidP="00ED5C6B">
                            <w:pPr>
                              <w:rPr>
                                <w:rStyle w:val="AERtextsize8"/>
                              </w:rPr>
                            </w:pPr>
                            <w:r w:rsidRPr="00414F2F">
                              <w:rPr>
                                <w:rStyle w:val="AERtextsize8"/>
                              </w:rPr>
                              <w:t>Actual (At)</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100</w:t>
                            </w:r>
                          </w:p>
                        </w:tc>
                        <w:tc>
                          <w:tcPr>
                            <w:tcW w:w="280" w:type="pct"/>
                          </w:tcPr>
                          <w:p w:rsidR="00FC6976" w:rsidRPr="00ED5C6B" w:rsidRDefault="00FC6976" w:rsidP="00ED5C6B">
                            <w:pPr>
                              <w:rPr>
                                <w:rStyle w:val="AERtextsize8"/>
                              </w:rPr>
                            </w:pPr>
                            <w:r w:rsidRPr="00414F2F">
                              <w:rPr>
                                <w:rStyle w:val="AERtextsize8"/>
                              </w:rPr>
                              <w:t>95</w:t>
                            </w:r>
                          </w:p>
                        </w:tc>
                        <w:tc>
                          <w:tcPr>
                            <w:tcW w:w="280"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255" w:type="pct"/>
                          </w:tcPr>
                          <w:p w:rsidR="00FC6976" w:rsidRPr="00ED5C6B" w:rsidRDefault="00FC6976" w:rsidP="00ED5C6B">
                            <w:pPr>
                              <w:rPr>
                                <w:rStyle w:val="AERtextsize8"/>
                              </w:rPr>
                            </w:pPr>
                            <w:r w:rsidRPr="00414F2F">
                              <w:rPr>
                                <w:rStyle w:val="AERtextsize8"/>
                              </w:rPr>
                              <w:t>95</w:t>
                            </w:r>
                          </w:p>
                        </w:tc>
                        <w:tc>
                          <w:tcPr>
                            <w:tcW w:w="464" w:type="pct"/>
                          </w:tcPr>
                          <w:p w:rsidR="00FC6976" w:rsidRPr="00ED5C6B" w:rsidRDefault="00FC6976" w:rsidP="00ED5C6B">
                            <w:pPr>
                              <w:rPr>
                                <w:rStyle w:val="AERtextsize8"/>
                              </w:rPr>
                            </w:pPr>
                            <w:r w:rsidRPr="00414F2F">
                              <w:rPr>
                                <w:rStyle w:val="AERtextsize8"/>
                              </w:rPr>
                              <w:t>95 p.a.</w:t>
                            </w: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Underspend (Ft – At = Ut)</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5</w:t>
                            </w:r>
                          </w:p>
                        </w:tc>
                        <w:tc>
                          <w:tcPr>
                            <w:tcW w:w="280"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464" w:type="pct"/>
                          </w:tcPr>
                          <w:p w:rsidR="00FC6976" w:rsidRPr="00ED5C6B" w:rsidRDefault="00FC6976" w:rsidP="00ED5C6B">
                            <w:pPr>
                              <w:rPr>
                                <w:rStyle w:val="AERtextsize8"/>
                              </w:rPr>
                            </w:pPr>
                            <w:r w:rsidRPr="00414F2F">
                              <w:rPr>
                                <w:rStyle w:val="AERtextsize8"/>
                              </w:rPr>
                              <w:t>0 p.a.</w:t>
                            </w:r>
                          </w:p>
                        </w:tc>
                      </w:tr>
                      <w:tr w:rsidR="00FC6976" w:rsidRPr="00E05C99" w:rsidTr="000079E3">
                        <w:tc>
                          <w:tcPr>
                            <w:tcW w:w="1861" w:type="pct"/>
                          </w:tcPr>
                          <w:p w:rsidR="00FC6976" w:rsidRPr="00ED5C6B" w:rsidRDefault="00FC6976" w:rsidP="00ED5C6B">
                            <w:pPr>
                              <w:rPr>
                                <w:rStyle w:val="AERtextsize8"/>
                              </w:rPr>
                            </w:pPr>
                            <w:r w:rsidRPr="00414F2F">
                              <w:rPr>
                                <w:rStyle w:val="AERtextsize8"/>
                              </w:rPr>
                              <w:t>Incremental efficiency gain (It = Ut – Ut–1)</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5</w:t>
                            </w:r>
                          </w:p>
                        </w:tc>
                        <w:tc>
                          <w:tcPr>
                            <w:tcW w:w="280"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464" w:type="pct"/>
                          </w:tcPr>
                          <w:p w:rsidR="00FC6976" w:rsidRPr="00ED5C6B" w:rsidRDefault="00FC6976" w:rsidP="00ED5C6B">
                            <w:pPr>
                              <w:rPr>
                                <w:rStyle w:val="AERtextsize8"/>
                              </w:rPr>
                            </w:pPr>
                            <w:r w:rsidRPr="00414F2F">
                              <w:rPr>
                                <w:rStyle w:val="AERtextsize8"/>
                              </w:rPr>
                              <w:t>0 p.a.</w:t>
                            </w: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464" w:type="pct"/>
                          </w:tcPr>
                          <w:p w:rsidR="00FC6976" w:rsidRPr="00414F2F" w:rsidRDefault="00FC6976" w:rsidP="00ED5C6B">
                            <w:pPr>
                              <w:rPr>
                                <w:rStyle w:val="AERtextsize8"/>
                              </w:rPr>
                            </w:pPr>
                          </w:p>
                        </w:tc>
                      </w:tr>
                      <w:tr w:rsidR="00FC6976" w:rsidRPr="00E05C99" w:rsidTr="000079E3">
                        <w:tc>
                          <w:tcPr>
                            <w:tcW w:w="1861" w:type="pct"/>
                          </w:tcPr>
                          <w:p w:rsidR="00FC6976" w:rsidRPr="00ED5C6B" w:rsidRDefault="00FC6976" w:rsidP="00ED5C6B">
                            <w:pPr>
                              <w:rPr>
                                <w:rStyle w:val="AERtextsize8"/>
                              </w:rPr>
                            </w:pPr>
                            <w:r w:rsidRPr="00414F2F">
                              <w:rPr>
                                <w:rStyle w:val="AERtextsize8"/>
                              </w:rPr>
                              <w:t>Carryover (I1)</w:t>
                            </w:r>
                          </w:p>
                        </w:tc>
                        <w:tc>
                          <w:tcPr>
                            <w:tcW w:w="280" w:type="pct"/>
                          </w:tcPr>
                          <w:p w:rsidR="00FC6976" w:rsidRPr="00414F2F" w:rsidRDefault="00FC6976" w:rsidP="00ED5C6B">
                            <w:pPr>
                              <w:rPr>
                                <w:rStyle w:val="AERtextsize8"/>
                              </w:rPr>
                            </w:pP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464" w:type="pct"/>
                          </w:tcPr>
                          <w:p w:rsidR="00FC6976" w:rsidRPr="00414F2F" w:rsidRDefault="00FC6976" w:rsidP="00ED5C6B">
                            <w:pPr>
                              <w:rPr>
                                <w:rStyle w:val="AERtextsize8"/>
                              </w:rPr>
                            </w:pP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Carryover (I2)</w:t>
                            </w: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464" w:type="pct"/>
                          </w:tcPr>
                          <w:p w:rsidR="00FC6976" w:rsidRPr="00414F2F" w:rsidRDefault="00FC6976" w:rsidP="00ED5C6B">
                            <w:pPr>
                              <w:rPr>
                                <w:rStyle w:val="AERtextsize8"/>
                              </w:rPr>
                            </w:pPr>
                          </w:p>
                        </w:tc>
                      </w:tr>
                      <w:tr w:rsidR="00FC6976" w:rsidRPr="00E05C99" w:rsidTr="000079E3">
                        <w:tc>
                          <w:tcPr>
                            <w:tcW w:w="1861" w:type="pct"/>
                          </w:tcPr>
                          <w:p w:rsidR="00FC6976" w:rsidRPr="00ED5C6B" w:rsidRDefault="00FC6976" w:rsidP="00ED5C6B">
                            <w:pPr>
                              <w:rPr>
                                <w:rStyle w:val="AERtextsize8"/>
                              </w:rPr>
                            </w:pPr>
                            <w:r w:rsidRPr="00414F2F">
                              <w:rPr>
                                <w:rStyle w:val="AERtextsize8"/>
                              </w:rPr>
                              <w:t>Carryover (I3)</w:t>
                            </w: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414F2F" w:rsidRDefault="00FC6976" w:rsidP="00ED5C6B">
                            <w:pPr>
                              <w:rPr>
                                <w:rStyle w:val="AERtextsize8"/>
                              </w:rPr>
                            </w:pPr>
                          </w:p>
                        </w:tc>
                        <w:tc>
                          <w:tcPr>
                            <w:tcW w:w="255" w:type="pct"/>
                          </w:tcPr>
                          <w:p w:rsidR="00FC6976" w:rsidRPr="00414F2F" w:rsidRDefault="00FC6976" w:rsidP="00ED5C6B">
                            <w:pPr>
                              <w:rPr>
                                <w:rStyle w:val="AERtextsize8"/>
                              </w:rPr>
                            </w:pPr>
                          </w:p>
                        </w:tc>
                        <w:tc>
                          <w:tcPr>
                            <w:tcW w:w="464" w:type="pct"/>
                          </w:tcPr>
                          <w:p w:rsidR="00FC6976" w:rsidRPr="00414F2F" w:rsidRDefault="00FC6976" w:rsidP="00ED5C6B">
                            <w:pPr>
                              <w:rPr>
                                <w:rStyle w:val="AERtextsize8"/>
                              </w:rPr>
                            </w:pP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Carryover (I4)</w:t>
                            </w: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414F2F" w:rsidRDefault="00FC6976" w:rsidP="00ED5C6B">
                            <w:pPr>
                              <w:rPr>
                                <w:rStyle w:val="AERtextsize8"/>
                              </w:rPr>
                            </w:pPr>
                          </w:p>
                        </w:tc>
                        <w:tc>
                          <w:tcPr>
                            <w:tcW w:w="464" w:type="pct"/>
                          </w:tcPr>
                          <w:p w:rsidR="00FC6976" w:rsidRPr="00414F2F" w:rsidRDefault="00FC6976" w:rsidP="00ED5C6B">
                            <w:pPr>
                              <w:rPr>
                                <w:rStyle w:val="AERtextsize8"/>
                              </w:rPr>
                            </w:pPr>
                          </w:p>
                        </w:tc>
                      </w:tr>
                      <w:tr w:rsidR="00FC6976" w:rsidRPr="00E05C99" w:rsidTr="000079E3">
                        <w:tc>
                          <w:tcPr>
                            <w:tcW w:w="1861" w:type="pct"/>
                          </w:tcPr>
                          <w:p w:rsidR="00FC6976" w:rsidRPr="00ED5C6B" w:rsidRDefault="00FC6976" w:rsidP="00ED5C6B">
                            <w:pPr>
                              <w:rPr>
                                <w:rStyle w:val="AERtextsize8"/>
                              </w:rPr>
                            </w:pPr>
                            <w:r w:rsidRPr="00414F2F">
                              <w:rPr>
                                <w:rStyle w:val="AERtextsize8"/>
                              </w:rPr>
                              <w:t>Carryover (I5)</w:t>
                            </w: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464" w:type="pct"/>
                          </w:tcPr>
                          <w:p w:rsidR="00FC6976" w:rsidRPr="00414F2F" w:rsidRDefault="00FC6976" w:rsidP="00ED5C6B">
                            <w:pPr>
                              <w:rPr>
                                <w:rStyle w:val="AERtextsize8"/>
                              </w:rPr>
                            </w:pP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Carryover</w:t>
                            </w:r>
                            <w:r w:rsidRPr="00ED5C6B">
                              <w:rPr>
                                <w:rStyle w:val="AERtextsize8"/>
                              </w:rPr>
                              <w:t xml:space="preserve"> amount (Ct)</w:t>
                            </w: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80" w:type="pct"/>
                          </w:tcPr>
                          <w:p w:rsidR="00FC6976" w:rsidRPr="00414F2F" w:rsidRDefault="00FC6976" w:rsidP="00ED5C6B">
                            <w:pPr>
                              <w:rPr>
                                <w:rStyle w:val="AERtextsize8"/>
                              </w:rPr>
                            </w:pP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0</w:t>
                            </w:r>
                          </w:p>
                        </w:tc>
                        <w:tc>
                          <w:tcPr>
                            <w:tcW w:w="464" w:type="pct"/>
                          </w:tcPr>
                          <w:p w:rsidR="00FC6976" w:rsidRPr="00ED5C6B" w:rsidRDefault="00FC6976" w:rsidP="00ED5C6B">
                            <w:pPr>
                              <w:rPr>
                                <w:rStyle w:val="AERtextsize8"/>
                              </w:rPr>
                            </w:pPr>
                            <w:r w:rsidRPr="00414F2F">
                              <w:rPr>
                                <w:rStyle w:val="AERtextsize8"/>
                              </w:rPr>
                              <w:t>0 p.a.</w:t>
                            </w:r>
                          </w:p>
                        </w:tc>
                      </w:tr>
                      <w:tr w:rsidR="00FC6976" w:rsidRPr="00E05C99" w:rsidTr="000079E3">
                        <w:tc>
                          <w:tcPr>
                            <w:tcW w:w="1861" w:type="pct"/>
                          </w:tcPr>
                          <w:p w:rsidR="00FC6976" w:rsidRPr="00ED5C6B" w:rsidRDefault="00FC6976" w:rsidP="00ED5C6B">
                            <w:pPr>
                              <w:rPr>
                                <w:rStyle w:val="AERtextsize8"/>
                              </w:rPr>
                            </w:pPr>
                            <w:r w:rsidRPr="00414F2F">
                              <w:rPr>
                                <w:rStyle w:val="AERtextsize8"/>
                              </w:rPr>
                              <w:t>Benefits to NSP (Ft – At +Ct)</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5</w:t>
                            </w:r>
                          </w:p>
                        </w:tc>
                        <w:tc>
                          <w:tcPr>
                            <w:tcW w:w="280"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5</w:t>
                            </w:r>
                          </w:p>
                        </w:tc>
                        <w:tc>
                          <w:tcPr>
                            <w:tcW w:w="255" w:type="pct"/>
                          </w:tcPr>
                          <w:p w:rsidR="00FC6976" w:rsidRPr="00ED5C6B" w:rsidRDefault="00FC6976" w:rsidP="00ED5C6B">
                            <w:pPr>
                              <w:rPr>
                                <w:rStyle w:val="AERtextsize8"/>
                              </w:rPr>
                            </w:pPr>
                            <w:r w:rsidRPr="00414F2F">
                              <w:rPr>
                                <w:rStyle w:val="AERtextsize8"/>
                              </w:rPr>
                              <w:t>0</w:t>
                            </w:r>
                          </w:p>
                        </w:tc>
                        <w:tc>
                          <w:tcPr>
                            <w:tcW w:w="464" w:type="pct"/>
                          </w:tcPr>
                          <w:p w:rsidR="00FC6976" w:rsidRPr="00ED5C6B" w:rsidRDefault="00FC6976" w:rsidP="00ED5C6B">
                            <w:pPr>
                              <w:rPr>
                                <w:rStyle w:val="AERtextsize8"/>
                              </w:rPr>
                            </w:pPr>
                            <w:r w:rsidRPr="00414F2F">
                              <w:rPr>
                                <w:rStyle w:val="AERtextsize8"/>
                              </w:rPr>
                              <w:t>0 p.a.</w:t>
                            </w: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Benefits to consumers (F1 – (Ft +Ct))</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5</w:t>
                            </w:r>
                          </w:p>
                        </w:tc>
                        <w:tc>
                          <w:tcPr>
                            <w:tcW w:w="464" w:type="pct"/>
                          </w:tcPr>
                          <w:p w:rsidR="00FC6976" w:rsidRPr="00ED5C6B" w:rsidRDefault="00FC6976" w:rsidP="00ED5C6B">
                            <w:pPr>
                              <w:rPr>
                                <w:rStyle w:val="AERtextsize8"/>
                              </w:rPr>
                            </w:pPr>
                            <w:r w:rsidRPr="00414F2F">
                              <w:rPr>
                                <w:rStyle w:val="AERtextsize8"/>
                              </w:rPr>
                              <w:t>5 p.a.</w:t>
                            </w:r>
                          </w:p>
                        </w:tc>
                      </w:tr>
                      <w:tr w:rsidR="00FC6976" w:rsidRPr="00E05C99" w:rsidTr="000079E3">
                        <w:tc>
                          <w:tcPr>
                            <w:tcW w:w="1861" w:type="pct"/>
                          </w:tcPr>
                          <w:p w:rsidR="00FC6976" w:rsidRPr="00ED5C6B" w:rsidRDefault="00FC6976" w:rsidP="00ED5C6B">
                            <w:pPr>
                              <w:rPr>
                                <w:rStyle w:val="AERtextsize8"/>
                              </w:rPr>
                            </w:pPr>
                            <w:r w:rsidRPr="00414F2F">
                              <w:rPr>
                                <w:rStyle w:val="AERtextsize8"/>
                              </w:rPr>
                              <w:t>Discounted benefits to NSP**</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5</w:t>
                            </w:r>
                          </w:p>
                        </w:tc>
                        <w:tc>
                          <w:tcPr>
                            <w:tcW w:w="280" w:type="pct"/>
                          </w:tcPr>
                          <w:p w:rsidR="00FC6976" w:rsidRPr="00ED5C6B" w:rsidRDefault="00FC6976" w:rsidP="00ED5C6B">
                            <w:pPr>
                              <w:rPr>
                                <w:rStyle w:val="AERtextsize8"/>
                              </w:rPr>
                            </w:pPr>
                            <w:r w:rsidRPr="00414F2F">
                              <w:rPr>
                                <w:rStyle w:val="AERtextsize8"/>
                              </w:rPr>
                              <w:t>4.7</w:t>
                            </w:r>
                          </w:p>
                        </w:tc>
                        <w:tc>
                          <w:tcPr>
                            <w:tcW w:w="255" w:type="pct"/>
                          </w:tcPr>
                          <w:p w:rsidR="00FC6976" w:rsidRPr="00ED5C6B" w:rsidRDefault="00FC6976" w:rsidP="00ED5C6B">
                            <w:pPr>
                              <w:rPr>
                                <w:rStyle w:val="AERtextsize8"/>
                              </w:rPr>
                            </w:pPr>
                            <w:r w:rsidRPr="00414F2F">
                              <w:rPr>
                                <w:rStyle w:val="AERtextsize8"/>
                              </w:rPr>
                              <w:t>4.5</w:t>
                            </w:r>
                          </w:p>
                        </w:tc>
                        <w:tc>
                          <w:tcPr>
                            <w:tcW w:w="255" w:type="pct"/>
                          </w:tcPr>
                          <w:p w:rsidR="00FC6976" w:rsidRPr="00ED5C6B" w:rsidRDefault="00FC6976" w:rsidP="00ED5C6B">
                            <w:pPr>
                              <w:rPr>
                                <w:rStyle w:val="AERtextsize8"/>
                              </w:rPr>
                            </w:pPr>
                            <w:r w:rsidRPr="00414F2F">
                              <w:rPr>
                                <w:rStyle w:val="AERtextsize8"/>
                              </w:rPr>
                              <w:t>4.2</w:t>
                            </w:r>
                          </w:p>
                        </w:tc>
                        <w:tc>
                          <w:tcPr>
                            <w:tcW w:w="255" w:type="pct"/>
                          </w:tcPr>
                          <w:p w:rsidR="00FC6976" w:rsidRPr="00ED5C6B" w:rsidRDefault="00FC6976" w:rsidP="00ED5C6B">
                            <w:pPr>
                              <w:rPr>
                                <w:rStyle w:val="AERtextsize8"/>
                              </w:rPr>
                            </w:pPr>
                            <w:r w:rsidRPr="00414F2F">
                              <w:rPr>
                                <w:rStyle w:val="AERtextsize8"/>
                              </w:rPr>
                              <w:t>4.0</w:t>
                            </w:r>
                          </w:p>
                        </w:tc>
                        <w:tc>
                          <w:tcPr>
                            <w:tcW w:w="255" w:type="pct"/>
                          </w:tcPr>
                          <w:p w:rsidR="00FC6976" w:rsidRPr="00ED5C6B" w:rsidRDefault="00FC6976" w:rsidP="00ED5C6B">
                            <w:pPr>
                              <w:rPr>
                                <w:rStyle w:val="AERtextsize8"/>
                              </w:rPr>
                            </w:pPr>
                            <w:r w:rsidRPr="00414F2F">
                              <w:rPr>
                                <w:rStyle w:val="AERtextsize8"/>
                              </w:rPr>
                              <w:t>3.7</w:t>
                            </w:r>
                          </w:p>
                        </w:tc>
                        <w:tc>
                          <w:tcPr>
                            <w:tcW w:w="255" w:type="pct"/>
                          </w:tcPr>
                          <w:p w:rsidR="00FC6976" w:rsidRPr="00ED5C6B" w:rsidRDefault="00FC6976" w:rsidP="00ED5C6B">
                            <w:pPr>
                              <w:rPr>
                                <w:rStyle w:val="AERtextsize8"/>
                              </w:rPr>
                            </w:pPr>
                            <w:r w:rsidRPr="00414F2F">
                              <w:rPr>
                                <w:rStyle w:val="AERtextsize8"/>
                              </w:rPr>
                              <w:t>0</w:t>
                            </w:r>
                          </w:p>
                        </w:tc>
                        <w:tc>
                          <w:tcPr>
                            <w:tcW w:w="464" w:type="pct"/>
                          </w:tcPr>
                          <w:p w:rsidR="00FC6976" w:rsidRPr="00ED5C6B" w:rsidRDefault="00FC6976" w:rsidP="00ED5C6B">
                            <w:pPr>
                              <w:rPr>
                                <w:rStyle w:val="AERtextsize8"/>
                              </w:rPr>
                            </w:pPr>
                            <w:r w:rsidRPr="00414F2F">
                              <w:rPr>
                                <w:rStyle w:val="AERtextsize8"/>
                              </w:rPr>
                              <w:t xml:space="preserve">0 </w:t>
                            </w: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C6976" w:rsidRPr="00ED5C6B" w:rsidRDefault="00FC6976" w:rsidP="00ED5C6B">
                            <w:pPr>
                              <w:rPr>
                                <w:rStyle w:val="AERtextsize8"/>
                              </w:rPr>
                            </w:pPr>
                            <w:r w:rsidRPr="00414F2F">
                              <w:rPr>
                                <w:rStyle w:val="AERtextsize8"/>
                              </w:rPr>
                              <w:t xml:space="preserve">Discounted benefits to </w:t>
                            </w:r>
                            <w:r w:rsidRPr="00ED5C6B">
                              <w:rPr>
                                <w:rStyle w:val="AERtextsize8"/>
                              </w:rPr>
                              <w:t>consumers**</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80"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0</w:t>
                            </w:r>
                          </w:p>
                        </w:tc>
                        <w:tc>
                          <w:tcPr>
                            <w:tcW w:w="255" w:type="pct"/>
                          </w:tcPr>
                          <w:p w:rsidR="00FC6976" w:rsidRPr="00ED5C6B" w:rsidRDefault="00FC6976" w:rsidP="00ED5C6B">
                            <w:pPr>
                              <w:rPr>
                                <w:rStyle w:val="AERtextsize8"/>
                              </w:rPr>
                            </w:pPr>
                            <w:r w:rsidRPr="00414F2F">
                              <w:rPr>
                                <w:rStyle w:val="AERtextsize8"/>
                              </w:rPr>
                              <w:t>3.5</w:t>
                            </w:r>
                          </w:p>
                        </w:tc>
                        <w:tc>
                          <w:tcPr>
                            <w:tcW w:w="464" w:type="pct"/>
                          </w:tcPr>
                          <w:p w:rsidR="00FC6976" w:rsidRPr="00ED5C6B" w:rsidRDefault="00FC6976" w:rsidP="00ED5C6B">
                            <w:pPr>
                              <w:rPr>
                                <w:rStyle w:val="AERtextsize8"/>
                              </w:rPr>
                            </w:pPr>
                            <w:r w:rsidRPr="00414F2F">
                              <w:rPr>
                                <w:rStyle w:val="AERtextsize8"/>
                              </w:rPr>
                              <w:t>58.8***</w:t>
                            </w:r>
                          </w:p>
                        </w:tc>
                      </w:tr>
                    </w:tbl>
                    <w:p w:rsidR="00FC6976" w:rsidRDefault="00FC6976" w:rsidP="00ED5C6B">
                      <w:pPr>
                        <w:rPr>
                          <w:rStyle w:val="AERtextsize8"/>
                        </w:rPr>
                      </w:pPr>
                    </w:p>
                    <w:tbl>
                      <w:tblPr>
                        <w:tblStyle w:val="ACCCTable3"/>
                        <w:tblW w:w="0" w:type="auto"/>
                        <w:tblLook w:val="04A0" w:firstRow="1" w:lastRow="0" w:firstColumn="1" w:lastColumn="0" w:noHBand="0" w:noVBand="1"/>
                      </w:tblPr>
                      <w:tblGrid>
                        <w:gridCol w:w="714"/>
                        <w:gridCol w:w="426"/>
                        <w:gridCol w:w="7378"/>
                      </w:tblGrid>
                      <w:tr w:rsidR="00FC6976" w:rsidTr="00007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C6976" w:rsidRPr="00ED5C6B" w:rsidRDefault="00FC6976" w:rsidP="00ED5C6B">
                            <w:pPr>
                              <w:rPr>
                                <w:rStyle w:val="AERtextsize8"/>
                              </w:rPr>
                            </w:pPr>
                            <w:r w:rsidRPr="00414F2F">
                              <w:rPr>
                                <w:rStyle w:val="AERtextsize8"/>
                              </w:rPr>
                              <w:t>Notes</w:t>
                            </w:r>
                            <w:r w:rsidRPr="00ED5C6B">
                              <w:rPr>
                                <w:rStyle w:val="AERtextsize8"/>
                              </w:rPr>
                              <w:t>:</w:t>
                            </w:r>
                          </w:p>
                        </w:tc>
                        <w:tc>
                          <w:tcPr>
                            <w:tcW w:w="426" w:type="dxa"/>
                          </w:tcPr>
                          <w:p w:rsidR="00FC6976" w:rsidRDefault="00FC6976" w:rsidP="00ED5C6B">
                            <w:pPr>
                              <w:cnfStyle w:val="100000000000" w:firstRow="1" w:lastRow="0" w:firstColumn="0" w:lastColumn="0" w:oddVBand="0" w:evenVBand="0" w:oddHBand="0" w:evenHBand="0" w:firstRowFirstColumn="0" w:firstRowLastColumn="0" w:lastRowFirstColumn="0" w:lastRowLastColumn="0"/>
                              <w:rPr>
                                <w:rStyle w:val="AERtextsize8"/>
                              </w:rPr>
                            </w:pPr>
                          </w:p>
                        </w:tc>
                        <w:tc>
                          <w:tcPr>
                            <w:tcW w:w="7378" w:type="dxa"/>
                          </w:tcPr>
                          <w:p w:rsidR="00FC6976" w:rsidRDefault="00FC6976" w:rsidP="00ED5C6B">
                            <w:pPr>
                              <w:cnfStyle w:val="100000000000" w:firstRow="1" w:lastRow="0" w:firstColumn="0" w:lastColumn="0" w:oddVBand="0" w:evenVBand="0" w:oddHBand="0" w:evenHBand="0" w:firstRowFirstColumn="0" w:firstRowLastColumn="0" w:lastRowFirstColumn="0" w:lastRowLastColumn="0"/>
                              <w:rPr>
                                <w:rStyle w:val="AERtextsize8"/>
                              </w:rPr>
                            </w:pPr>
                          </w:p>
                        </w:tc>
                      </w:tr>
                      <w:tr w:rsidR="00FC6976" w:rsidTr="000079E3">
                        <w:tc>
                          <w:tcPr>
                            <w:cnfStyle w:val="001000000000" w:firstRow="0" w:lastRow="0" w:firstColumn="1" w:lastColumn="0" w:oddVBand="0" w:evenVBand="0" w:oddHBand="0" w:evenHBand="0" w:firstRowFirstColumn="0" w:firstRowLastColumn="0" w:lastRowFirstColumn="0" w:lastRowLastColumn="0"/>
                            <w:tcW w:w="675" w:type="dxa"/>
                          </w:tcPr>
                          <w:p w:rsidR="00FC6976" w:rsidRDefault="00FC6976" w:rsidP="00ED5C6B">
                            <w:pPr>
                              <w:rPr>
                                <w:rStyle w:val="AERtextsize8"/>
                              </w:rPr>
                            </w:pPr>
                          </w:p>
                        </w:tc>
                        <w:tc>
                          <w:tcPr>
                            <w:tcW w:w="426" w:type="dxa"/>
                          </w:tcPr>
                          <w:p w:rsidR="00FC6976" w:rsidRPr="00ED5C6B"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FC6976" w:rsidRPr="00ED5C6B"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r w:rsidRPr="00905444">
                              <w:rPr>
                                <w:rStyle w:val="AERtextsize8"/>
                              </w:rPr>
                              <w:t xml:space="preserve">At the time of forecasting opex for the second regulatory period we don’t know actual opex for year 5. </w:t>
                            </w:r>
                            <w:r w:rsidRPr="00ED5C6B">
                              <w:rPr>
                                <w:rStyle w:val="AERtextsize8"/>
                              </w:rPr>
                              <w:t>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p w:rsidR="00FC6976"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FC6976" w:rsidTr="000079E3">
                        <w:tc>
                          <w:tcPr>
                            <w:cnfStyle w:val="001000000000" w:firstRow="0" w:lastRow="0" w:firstColumn="1" w:lastColumn="0" w:oddVBand="0" w:evenVBand="0" w:oddHBand="0" w:evenHBand="0" w:firstRowFirstColumn="0" w:firstRowLastColumn="0" w:lastRowFirstColumn="0" w:lastRowLastColumn="0"/>
                            <w:tcW w:w="675" w:type="dxa"/>
                          </w:tcPr>
                          <w:p w:rsidR="00FC6976" w:rsidRDefault="00FC6976" w:rsidP="00ED5C6B">
                            <w:pPr>
                              <w:rPr>
                                <w:rStyle w:val="AERtextsize8"/>
                              </w:rPr>
                            </w:pPr>
                          </w:p>
                        </w:tc>
                        <w:tc>
                          <w:tcPr>
                            <w:tcW w:w="426" w:type="dxa"/>
                          </w:tcPr>
                          <w:p w:rsidR="00FC6976" w:rsidRPr="00ED5C6B"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FC6976" w:rsidRPr="00ED5C6B"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Assumes a real discount rate of 6 per cent.</w:t>
                            </w:r>
                          </w:p>
                          <w:p w:rsidR="00FC6976"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FC6976" w:rsidTr="000079E3">
                        <w:tc>
                          <w:tcPr>
                            <w:cnfStyle w:val="001000000000" w:firstRow="0" w:lastRow="0" w:firstColumn="1" w:lastColumn="0" w:oddVBand="0" w:evenVBand="0" w:oddHBand="0" w:evenHBand="0" w:firstRowFirstColumn="0" w:firstRowLastColumn="0" w:lastRowFirstColumn="0" w:lastRowLastColumn="0"/>
                            <w:tcW w:w="675" w:type="dxa"/>
                          </w:tcPr>
                          <w:p w:rsidR="00FC6976" w:rsidRDefault="00FC6976" w:rsidP="00ED5C6B">
                            <w:pPr>
                              <w:rPr>
                                <w:rStyle w:val="AERtextsize8"/>
                              </w:rPr>
                            </w:pPr>
                          </w:p>
                        </w:tc>
                        <w:tc>
                          <w:tcPr>
                            <w:tcW w:w="426" w:type="dxa"/>
                          </w:tcPr>
                          <w:p w:rsidR="00FC6976" w:rsidRPr="00ED5C6B"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FC6976" w:rsidRPr="00ED5C6B" w:rsidRDefault="00FC6976"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FC6976" w:rsidRDefault="00FC6976"/>
                  </w:txbxContent>
                </v:textbox>
              </v:shape>
            </w:pict>
          </mc:Fallback>
        </mc:AlternateContent>
      </w: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237C1D" w:rsidRDefault="004224BC" w:rsidP="00604D2C">
      <w:r>
        <w:rPr>
          <w:noProof/>
          <w:lang w:eastAsia="en-AU"/>
        </w:rPr>
        <w:lastRenderedPageBreak/>
        <mc:AlternateContent>
          <mc:Choice Requires="wps">
            <w:drawing>
              <wp:anchor distT="0" distB="0" distL="114300" distR="114300" simplePos="0" relativeHeight="251661312" behindDoc="0" locked="0" layoutInCell="1" allowOverlap="1" wp14:anchorId="494D6E39" wp14:editId="3A8A5AD9">
                <wp:simplePos x="0" y="0"/>
                <wp:positionH relativeFrom="column">
                  <wp:posOffset>19050</wp:posOffset>
                </wp:positionH>
                <wp:positionV relativeFrom="paragraph">
                  <wp:posOffset>28575</wp:posOffset>
                </wp:positionV>
                <wp:extent cx="5705475" cy="3381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705475" cy="3381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976" w:rsidRPr="0060235C" w:rsidRDefault="00FC6976" w:rsidP="0060235C">
                            <w:pPr>
                              <w:pStyle w:val="BodyText"/>
                            </w:pPr>
                            <w:bookmarkStart w:id="26" w:name="_Ref372276950"/>
                            <w:r w:rsidRPr="0060235C">
                              <w:t>Table 3 sums the discounted benefits to NSPs and consumers from the bottom two rows of Table 2. As illustrated below, the benefits of the efficiency improvement are shared approximately 30:70 in perpetuity between the service provider and consumers.</w:t>
                            </w:r>
                          </w:p>
                          <w:p w:rsidR="00FC6976" w:rsidRPr="004224BC" w:rsidRDefault="00FC6976" w:rsidP="004224BC">
                            <w:pPr>
                              <w:pStyle w:val="Caption"/>
                            </w:pPr>
                            <w:r w:rsidRPr="004224BC">
                              <w:t xml:space="preserve">Table </w:t>
                            </w:r>
                            <w:bookmarkEnd w:id="26"/>
                            <w:r w:rsidRPr="004224BC">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FC6976" w:rsidRPr="00E05C99" w:rsidTr="000079E3">
                              <w:trPr>
                                <w:cnfStyle w:val="100000000000" w:firstRow="1" w:lastRow="0" w:firstColumn="0" w:lastColumn="0" w:oddVBand="0" w:evenVBand="0" w:oddHBand="0" w:evenHBand="0" w:firstRowFirstColumn="0" w:firstRowLastColumn="0" w:lastRowFirstColumn="0" w:lastRowLastColumn="0"/>
                              </w:trPr>
                              <w:tc>
                                <w:tcPr>
                                  <w:tcW w:w="2943" w:type="dxa"/>
                                </w:tcPr>
                                <w:p w:rsidR="00FC6976" w:rsidRPr="004224BC" w:rsidRDefault="00FC6976" w:rsidP="004224BC"/>
                              </w:tc>
                              <w:tc>
                                <w:tcPr>
                                  <w:tcW w:w="3544" w:type="dxa"/>
                                </w:tcPr>
                                <w:p w:rsidR="00FC6976" w:rsidRPr="004224BC" w:rsidRDefault="00FC6976" w:rsidP="004224BC">
                                  <w:r w:rsidRPr="004224BC">
                                    <w:t>NPV of benefits of efficiency improvement</w:t>
                                  </w:r>
                                  <w:r w:rsidRPr="004224BC">
                                    <w:rPr>
                                      <w:rStyle w:val="FootnoteReference"/>
                                    </w:rPr>
                                    <w:footnoteRef/>
                                  </w:r>
                                </w:p>
                              </w:tc>
                              <w:tc>
                                <w:tcPr>
                                  <w:tcW w:w="2192" w:type="dxa"/>
                                </w:tcPr>
                                <w:p w:rsidR="00FC6976" w:rsidRPr="004224BC" w:rsidRDefault="00FC6976" w:rsidP="004224BC">
                                  <w:r w:rsidRPr="004224BC">
                                    <w:t>Percentage of total benefits</w:t>
                                  </w:r>
                                </w:p>
                              </w:tc>
                            </w:tr>
                            <w:tr w:rsidR="00FC6976" w:rsidRPr="00E05C99" w:rsidTr="000079E3">
                              <w:tc>
                                <w:tcPr>
                                  <w:tcW w:w="2943" w:type="dxa"/>
                                </w:tcPr>
                                <w:p w:rsidR="00FC6976" w:rsidRPr="004224BC" w:rsidRDefault="00FC6976" w:rsidP="004224BC">
                                  <w:r w:rsidRPr="004224BC">
                                    <w:t>Benefits to service provider</w:t>
                                  </w:r>
                                </w:p>
                              </w:tc>
                              <w:tc>
                                <w:tcPr>
                                  <w:tcW w:w="3544" w:type="dxa"/>
                                </w:tcPr>
                                <w:p w:rsidR="00FC6976" w:rsidRPr="004224BC" w:rsidRDefault="00FC6976" w:rsidP="004224BC">
                                  <w:pPr>
                                    <w:pStyle w:val="Tabletext-right"/>
                                  </w:pPr>
                                  <w:r w:rsidRPr="00E05C99">
                                    <w:t>$26.1 million</w:t>
                                  </w:r>
                                </w:p>
                              </w:tc>
                              <w:tc>
                                <w:tcPr>
                                  <w:tcW w:w="2192" w:type="dxa"/>
                                </w:tcPr>
                                <w:p w:rsidR="00FC6976" w:rsidRPr="004224BC" w:rsidRDefault="00FC6976" w:rsidP="004224BC">
                                  <w:pPr>
                                    <w:pStyle w:val="Tabletext-right"/>
                                  </w:pPr>
                                  <w:r w:rsidRPr="00E05C99">
                                    <w:t>30 per cent</w:t>
                                  </w: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2943" w:type="dxa"/>
                                </w:tcPr>
                                <w:p w:rsidR="00FC6976" w:rsidRPr="004224BC" w:rsidRDefault="00FC6976" w:rsidP="004224BC">
                                  <w:r w:rsidRPr="004224BC">
                                    <w:t>Benefits to consumers</w:t>
                                  </w:r>
                                </w:p>
                              </w:tc>
                              <w:tc>
                                <w:tcPr>
                                  <w:tcW w:w="3544" w:type="dxa"/>
                                </w:tcPr>
                                <w:p w:rsidR="00FC6976" w:rsidRPr="004224BC" w:rsidRDefault="00FC6976" w:rsidP="004224BC">
                                  <w:pPr>
                                    <w:pStyle w:val="Tabletext-right"/>
                                  </w:pPr>
                                  <w:r w:rsidRPr="00E05C99">
                                    <w:t>$62.3 million</w:t>
                                  </w:r>
                                </w:p>
                              </w:tc>
                              <w:tc>
                                <w:tcPr>
                                  <w:tcW w:w="2192" w:type="dxa"/>
                                </w:tcPr>
                                <w:p w:rsidR="00FC6976" w:rsidRPr="004224BC" w:rsidRDefault="00FC6976" w:rsidP="004224BC">
                                  <w:pPr>
                                    <w:pStyle w:val="Tabletext-right"/>
                                  </w:pPr>
                                  <w:r w:rsidRPr="00E05C99">
                                    <w:t>70 per cent</w:t>
                                  </w:r>
                                </w:p>
                              </w:tc>
                            </w:tr>
                            <w:tr w:rsidR="00FC6976" w:rsidRPr="00E05C99" w:rsidTr="000079E3">
                              <w:tc>
                                <w:tcPr>
                                  <w:tcW w:w="2943" w:type="dxa"/>
                                </w:tcPr>
                                <w:p w:rsidR="00FC6976" w:rsidRPr="004224BC" w:rsidRDefault="00FC6976" w:rsidP="004224BC">
                                  <w:r w:rsidRPr="004224BC">
                                    <w:t>Total</w:t>
                                  </w:r>
                                </w:p>
                              </w:tc>
                              <w:tc>
                                <w:tcPr>
                                  <w:tcW w:w="3544" w:type="dxa"/>
                                </w:tcPr>
                                <w:p w:rsidR="00FC6976" w:rsidRPr="004224BC" w:rsidRDefault="00FC6976" w:rsidP="004224BC">
                                  <w:pPr>
                                    <w:pStyle w:val="Tabletext-right"/>
                                  </w:pPr>
                                  <w:r w:rsidRPr="00E05C99">
                                    <w:t>$88.3 million</w:t>
                                  </w:r>
                                </w:p>
                              </w:tc>
                              <w:tc>
                                <w:tcPr>
                                  <w:tcW w:w="2192" w:type="dxa"/>
                                </w:tcPr>
                                <w:p w:rsidR="00FC6976" w:rsidRPr="004224BC" w:rsidRDefault="00FC6976" w:rsidP="004224BC">
                                  <w:pPr>
                                    <w:pStyle w:val="Tabletext-right"/>
                                  </w:pPr>
                                  <w:r w:rsidRPr="00E05C99">
                                    <w:t>100 per cent</w:t>
                                  </w:r>
                                </w:p>
                              </w:tc>
                            </w:tr>
                          </w:tbl>
                          <w:p w:rsidR="00FC6976" w:rsidRDefault="00FC6976" w:rsidP="004224BC"/>
                          <w:p w:rsidR="00FC6976" w:rsidRDefault="00FC6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1.5pt;margin-top:2.25pt;width:449.25pt;height:2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" fillcolor="white [3201]" strokeweight=".5pt">
                <v:textbox>
                  <w:txbxContent>
                    <w:p w:rsidR="00FC6976" w:rsidRPr="0060235C" w:rsidRDefault="00FC6976" w:rsidP="0060235C">
                      <w:pPr>
                        <w:pStyle w:val="BodyText"/>
                      </w:pPr>
                      <w:bookmarkStart w:id="27" w:name="_Ref372276950"/>
                      <w:r w:rsidRPr="0060235C">
                        <w:t>Table 3 sums the discounted benefits to NSPs and consumers from the bottom two rows of Table 2. As illustrated below, the benefits of the efficiency improvement are shared approximately 30:70 in perpetuity between the service provider and consumers.</w:t>
                      </w:r>
                    </w:p>
                    <w:p w:rsidR="00FC6976" w:rsidRPr="004224BC" w:rsidRDefault="00FC6976" w:rsidP="004224BC">
                      <w:pPr>
                        <w:pStyle w:val="Caption"/>
                      </w:pPr>
                      <w:r w:rsidRPr="004224BC">
                        <w:t xml:space="preserve">Table </w:t>
                      </w:r>
                      <w:bookmarkEnd w:id="27"/>
                      <w:r w:rsidRPr="004224BC">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FC6976" w:rsidRPr="00E05C99" w:rsidTr="000079E3">
                        <w:trPr>
                          <w:cnfStyle w:val="100000000000" w:firstRow="1" w:lastRow="0" w:firstColumn="0" w:lastColumn="0" w:oddVBand="0" w:evenVBand="0" w:oddHBand="0" w:evenHBand="0" w:firstRowFirstColumn="0" w:firstRowLastColumn="0" w:lastRowFirstColumn="0" w:lastRowLastColumn="0"/>
                        </w:trPr>
                        <w:tc>
                          <w:tcPr>
                            <w:tcW w:w="2943" w:type="dxa"/>
                          </w:tcPr>
                          <w:p w:rsidR="00FC6976" w:rsidRPr="004224BC" w:rsidRDefault="00FC6976" w:rsidP="004224BC"/>
                        </w:tc>
                        <w:tc>
                          <w:tcPr>
                            <w:tcW w:w="3544" w:type="dxa"/>
                          </w:tcPr>
                          <w:p w:rsidR="00FC6976" w:rsidRPr="004224BC" w:rsidRDefault="00FC6976" w:rsidP="004224BC">
                            <w:r w:rsidRPr="004224BC">
                              <w:t>NPV of benefits of efficiency improvement</w:t>
                            </w:r>
                            <w:r w:rsidRPr="004224BC">
                              <w:rPr>
                                <w:rStyle w:val="FootnoteReference"/>
                              </w:rPr>
                              <w:footnoteRef/>
                            </w:r>
                          </w:p>
                        </w:tc>
                        <w:tc>
                          <w:tcPr>
                            <w:tcW w:w="2192" w:type="dxa"/>
                          </w:tcPr>
                          <w:p w:rsidR="00FC6976" w:rsidRPr="004224BC" w:rsidRDefault="00FC6976" w:rsidP="004224BC">
                            <w:r w:rsidRPr="004224BC">
                              <w:t>Percentage of total benefits</w:t>
                            </w:r>
                          </w:p>
                        </w:tc>
                      </w:tr>
                      <w:tr w:rsidR="00FC6976" w:rsidRPr="00E05C99" w:rsidTr="000079E3">
                        <w:tc>
                          <w:tcPr>
                            <w:tcW w:w="2943" w:type="dxa"/>
                          </w:tcPr>
                          <w:p w:rsidR="00FC6976" w:rsidRPr="004224BC" w:rsidRDefault="00FC6976" w:rsidP="004224BC">
                            <w:r w:rsidRPr="004224BC">
                              <w:t>Benefits to service provider</w:t>
                            </w:r>
                          </w:p>
                        </w:tc>
                        <w:tc>
                          <w:tcPr>
                            <w:tcW w:w="3544" w:type="dxa"/>
                          </w:tcPr>
                          <w:p w:rsidR="00FC6976" w:rsidRPr="004224BC" w:rsidRDefault="00FC6976" w:rsidP="004224BC">
                            <w:pPr>
                              <w:pStyle w:val="Tabletext-right"/>
                            </w:pPr>
                            <w:r w:rsidRPr="00E05C99">
                              <w:t>$26.1 million</w:t>
                            </w:r>
                          </w:p>
                        </w:tc>
                        <w:tc>
                          <w:tcPr>
                            <w:tcW w:w="2192" w:type="dxa"/>
                          </w:tcPr>
                          <w:p w:rsidR="00FC6976" w:rsidRPr="004224BC" w:rsidRDefault="00FC6976" w:rsidP="004224BC">
                            <w:pPr>
                              <w:pStyle w:val="Tabletext-right"/>
                            </w:pPr>
                            <w:r w:rsidRPr="00E05C99">
                              <w:t>30 per cent</w:t>
                            </w:r>
                          </w:p>
                        </w:tc>
                      </w:tr>
                      <w:tr w:rsidR="00FC6976" w:rsidRPr="00E05C99" w:rsidTr="000079E3">
                        <w:trPr>
                          <w:cnfStyle w:val="000000010000" w:firstRow="0" w:lastRow="0" w:firstColumn="0" w:lastColumn="0" w:oddVBand="0" w:evenVBand="0" w:oddHBand="0" w:evenHBand="1" w:firstRowFirstColumn="0" w:firstRowLastColumn="0" w:lastRowFirstColumn="0" w:lastRowLastColumn="0"/>
                        </w:trPr>
                        <w:tc>
                          <w:tcPr>
                            <w:tcW w:w="2943" w:type="dxa"/>
                          </w:tcPr>
                          <w:p w:rsidR="00FC6976" w:rsidRPr="004224BC" w:rsidRDefault="00FC6976" w:rsidP="004224BC">
                            <w:r w:rsidRPr="004224BC">
                              <w:t>Benefits to consumers</w:t>
                            </w:r>
                          </w:p>
                        </w:tc>
                        <w:tc>
                          <w:tcPr>
                            <w:tcW w:w="3544" w:type="dxa"/>
                          </w:tcPr>
                          <w:p w:rsidR="00FC6976" w:rsidRPr="004224BC" w:rsidRDefault="00FC6976" w:rsidP="004224BC">
                            <w:pPr>
                              <w:pStyle w:val="Tabletext-right"/>
                            </w:pPr>
                            <w:r w:rsidRPr="00E05C99">
                              <w:t>$62.3 million</w:t>
                            </w:r>
                          </w:p>
                        </w:tc>
                        <w:tc>
                          <w:tcPr>
                            <w:tcW w:w="2192" w:type="dxa"/>
                          </w:tcPr>
                          <w:p w:rsidR="00FC6976" w:rsidRPr="004224BC" w:rsidRDefault="00FC6976" w:rsidP="004224BC">
                            <w:pPr>
                              <w:pStyle w:val="Tabletext-right"/>
                            </w:pPr>
                            <w:r w:rsidRPr="00E05C99">
                              <w:t>70 per cent</w:t>
                            </w:r>
                          </w:p>
                        </w:tc>
                      </w:tr>
                      <w:tr w:rsidR="00FC6976" w:rsidRPr="00E05C99" w:rsidTr="000079E3">
                        <w:tc>
                          <w:tcPr>
                            <w:tcW w:w="2943" w:type="dxa"/>
                          </w:tcPr>
                          <w:p w:rsidR="00FC6976" w:rsidRPr="004224BC" w:rsidRDefault="00FC6976" w:rsidP="004224BC">
                            <w:r w:rsidRPr="004224BC">
                              <w:t>Total</w:t>
                            </w:r>
                          </w:p>
                        </w:tc>
                        <w:tc>
                          <w:tcPr>
                            <w:tcW w:w="3544" w:type="dxa"/>
                          </w:tcPr>
                          <w:p w:rsidR="00FC6976" w:rsidRPr="004224BC" w:rsidRDefault="00FC6976" w:rsidP="004224BC">
                            <w:pPr>
                              <w:pStyle w:val="Tabletext-right"/>
                            </w:pPr>
                            <w:r w:rsidRPr="00E05C99">
                              <w:t>$88.3 million</w:t>
                            </w:r>
                          </w:p>
                        </w:tc>
                        <w:tc>
                          <w:tcPr>
                            <w:tcW w:w="2192" w:type="dxa"/>
                          </w:tcPr>
                          <w:p w:rsidR="00FC6976" w:rsidRPr="004224BC" w:rsidRDefault="00FC6976" w:rsidP="004224BC">
                            <w:pPr>
                              <w:pStyle w:val="Tabletext-right"/>
                            </w:pPr>
                            <w:r w:rsidRPr="00E05C99">
                              <w:t>100 per cent</w:t>
                            </w:r>
                          </w:p>
                        </w:tc>
                      </w:tr>
                    </w:tbl>
                    <w:p w:rsidR="00FC6976" w:rsidRDefault="00FC6976" w:rsidP="004224BC"/>
                    <w:p w:rsidR="00FC6976" w:rsidRDefault="00FC6976"/>
                  </w:txbxContent>
                </v:textbox>
              </v:shape>
            </w:pict>
          </mc:Fallback>
        </mc:AlternateContent>
      </w:r>
    </w:p>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604D2C" w:rsidRPr="00C8798D" w:rsidRDefault="004224BC" w:rsidP="00604D2C">
      <w:r>
        <w:t>I</w:t>
      </w:r>
      <w:r w:rsidR="00604D2C" w:rsidRPr="004060FF">
        <w:t>n implementing the EBSS we</w:t>
      </w:r>
      <w:r w:rsidR="00604D2C" w:rsidRPr="00C8798D">
        <w:t xml:space="preserve"> must also have regard to any incentives </w:t>
      </w:r>
      <w:r w:rsidR="00604D2C">
        <w:t>TNSPs</w:t>
      </w:r>
      <w:r w:rsidR="00604D2C" w:rsidRPr="00C8798D">
        <w:t xml:space="preserve"> may have to capitalise expenditure.</w:t>
      </w:r>
      <w:r w:rsidR="00604D2C" w:rsidRPr="00C8798D">
        <w:rPr>
          <w:rStyle w:val="FootnoteReference"/>
        </w:rPr>
        <w:footnoteReference w:id="26"/>
      </w:r>
      <w:r w:rsidR="00604D2C" w:rsidRPr="00C8798D">
        <w:t xml:space="preserve"> Where opex incentives are balanced with capex incentives, a </w:t>
      </w:r>
      <w:r w:rsidR="00604D2C">
        <w:t>TNSP</w:t>
      </w:r>
      <w:r w:rsidR="00604D2C" w:rsidRPr="00C8798D">
        <w:t xml:space="preserve"> does not have an incentive to favour opex over capex, or vice-versa. The CESS is a symmetric capex scheme with a 30 per cent incentive power. This is consistent with the incentive power for opex</w:t>
      </w:r>
      <w:r w:rsidR="00E02F01">
        <w:t xml:space="preserve"> provided by the EBSS when used together with our revealed cost opex forecasting approach</w:t>
      </w:r>
      <w:r w:rsidR="00604D2C" w:rsidRPr="00C8798D">
        <w:t xml:space="preserve">. During the </w:t>
      </w:r>
      <w:r w:rsidR="00604D2C">
        <w:t xml:space="preserve">regulatory control </w:t>
      </w:r>
      <w:r w:rsidR="00604D2C" w:rsidRPr="00C8798D">
        <w:t xml:space="preserve">period when the CESS and EBSS are applied, incentives will be relatively balanced, and </w:t>
      </w:r>
      <w:r w:rsidR="00604D2C">
        <w:t>TNSPs</w:t>
      </w:r>
      <w:r w:rsidR="00604D2C" w:rsidRPr="00C8798D">
        <w:t xml:space="preserve"> should not have an incentive to favour opex over capex or vice versa. The CESS is discussed further in </w:t>
      </w:r>
      <w:r w:rsidR="00604D2C" w:rsidRPr="00591B67">
        <w:t>attachment 3.</w:t>
      </w:r>
    </w:p>
    <w:p w:rsidR="00604D2C" w:rsidRPr="00604D2C" w:rsidRDefault="00604D2C" w:rsidP="00604D2C">
      <w:r w:rsidRPr="004060FF">
        <w:t>We must also consider the possible effects of implementing the EBSS on</w:t>
      </w:r>
      <w:r w:rsidRPr="00604D2C">
        <w:t xml:space="preserve"> incentives for non-network alternatives:</w:t>
      </w:r>
      <w:r w:rsidRPr="00604D2C">
        <w:rPr>
          <w:rStyle w:val="FootnoteReference"/>
        </w:rPr>
        <w:footnoteReference w:id="27"/>
      </w:r>
    </w:p>
    <w:p w:rsidR="00604D2C" w:rsidRPr="00604D2C" w:rsidRDefault="00604D2C" w:rsidP="0060235C">
      <w:pPr>
        <w:pStyle w:val="Bulletpoint"/>
      </w:pPr>
      <w:r w:rsidRPr="00C8798D">
        <w:t xml:space="preserve">Expenditure on non-network alternatives </w:t>
      </w:r>
      <w:r w:rsidR="00E02F01">
        <w:t>typically</w:t>
      </w:r>
      <w:r w:rsidR="00E02F01" w:rsidRPr="00C8798D">
        <w:t xml:space="preserve"> </w:t>
      </w:r>
      <w:r w:rsidRPr="00C8798D">
        <w:t xml:space="preserve">takes the form of opex rather than capex. Successful non-network alternatives should result in the </w:t>
      </w:r>
      <w:r w:rsidRPr="00604D2C">
        <w:t>TNSP spending less on capex than it otherwise would have.</w:t>
      </w:r>
    </w:p>
    <w:p w:rsidR="00604D2C" w:rsidRPr="00604D2C" w:rsidRDefault="00CE3D83" w:rsidP="0060235C">
      <w:pPr>
        <w:pStyle w:val="Bulletpoint"/>
      </w:pPr>
      <w:r>
        <w:t>We propose applying b</w:t>
      </w:r>
      <w:r w:rsidRPr="00C8798D">
        <w:t xml:space="preserve">oth the CESS and EBSS in </w:t>
      </w:r>
      <w:r>
        <w:t>future</w:t>
      </w:r>
      <w:r w:rsidRPr="00C8798D">
        <w:t xml:space="preserve"> </w:t>
      </w:r>
      <w:r w:rsidRPr="00604D2C">
        <w:t>regulatory control period</w:t>
      </w:r>
      <w:r>
        <w:t>s</w:t>
      </w:r>
      <w:r w:rsidR="00604D2C" w:rsidRPr="00604D2C">
        <w:t>. As a result a TNSP has an incentive to implement a non-network alternative if the increase in opex is less than the corresponding decrease in capex. In this way, the TNSP will receive a net reward for implementing the non-network alternative.</w:t>
      </w:r>
      <w:r w:rsidR="00604D2C" w:rsidRPr="00604D2C">
        <w:rPr>
          <w:rStyle w:val="FootnoteReference"/>
        </w:rPr>
        <w:footnoteReference w:id="28"/>
      </w:r>
      <w:r w:rsidR="00604D2C" w:rsidRPr="00604D2C">
        <w:t xml:space="preserve"> This is because the rewards and penalties under the EBSS and CESS are balanced and symmetric. In the past where the EBSS operated without a CESS, we excluded expenditure on non-network alternatives when calculating rewards and penalties under the scheme. This </w:t>
      </w:r>
      <w:r w:rsidR="00604D2C" w:rsidRPr="00604D2C">
        <w:lastRenderedPageBreak/>
        <w:t>was because TNSPs may otherwise receive a penalty for increasing opex without a corresponding reward for decreasing capex.</w:t>
      </w:r>
      <w:r w:rsidR="00604D2C" w:rsidRPr="00604D2C">
        <w:rPr>
          <w:rStyle w:val="FootnoteReference"/>
        </w:rPr>
        <w:footnoteReference w:id="29"/>
      </w:r>
      <w:r w:rsidR="00604D2C" w:rsidRPr="00604D2C">
        <w:t xml:space="preserve"> </w:t>
      </w:r>
    </w:p>
    <w:p w:rsidR="00604D2C" w:rsidRPr="00C8798D" w:rsidRDefault="00604D2C" w:rsidP="00604D2C"/>
    <w:p w:rsidR="00604D2C" w:rsidRDefault="00604D2C" w:rsidP="00604D2C">
      <w:pPr>
        <w:pStyle w:val="Heading1"/>
        <w:sectPr w:rsidR="00604D2C" w:rsidSect="00604D2C">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pPr>
    </w:p>
    <w:p w:rsidR="005F1962" w:rsidRDefault="005F1962" w:rsidP="005F1962">
      <w:pPr>
        <w:pStyle w:val="Heading1"/>
      </w:pPr>
      <w:bookmarkStart w:id="28" w:name="_Toc457462275"/>
      <w:r>
        <w:lastRenderedPageBreak/>
        <w:t>Capital expenditure sharing scheme</w:t>
      </w:r>
      <w:bookmarkEnd w:id="28"/>
    </w:p>
    <w:p w:rsidR="005F1962" w:rsidRDefault="005F1962" w:rsidP="005F1962">
      <w:r>
        <w:t xml:space="preserve">The CESS provides financial rewards for TNSPs whose capex becomes more efficient and financial penalties for those that become less efficient. Consumers benefit from improved efficiency through lower </w:t>
      </w:r>
      <w:r w:rsidR="00E02F01">
        <w:t>network charges</w:t>
      </w:r>
      <w:r>
        <w:t xml:space="preserve"> in the future. This attachment sets out our proposed approach and reasons for how we intend to apply the</w:t>
      </w:r>
      <w:r w:rsidR="006F2832">
        <w:t xml:space="preserve"> </w:t>
      </w:r>
      <w:r>
        <w:t xml:space="preserve">CESS to Murraylink in future regulatory control periods. </w:t>
      </w:r>
    </w:p>
    <w:p w:rsidR="005F1962" w:rsidRDefault="005F1962" w:rsidP="005F1962">
      <w:r>
        <w:t xml:space="preserve">The CESS approximates the efficiency gains and efficiency losses by calculating the difference between forecast and actual capex. It shares these gains or losses between TNSPs and network users. </w:t>
      </w:r>
    </w:p>
    <w:p w:rsidR="002D0B3D" w:rsidRDefault="002D0B3D" w:rsidP="005F1962">
      <w:r>
        <w:t>The CESS works as follows:</w:t>
      </w:r>
    </w:p>
    <w:p w:rsidR="002D0B3D" w:rsidRDefault="002D0B3D" w:rsidP="002D0B3D">
      <w:pPr>
        <w:pStyle w:val="Bulletpoint"/>
      </w:pPr>
      <w:r>
        <w:t xml:space="preserve">We calculate the cumulative </w:t>
      </w:r>
      <w:r w:rsidR="003D61F0">
        <w:t>underspend</w:t>
      </w:r>
      <w:r>
        <w:t xml:space="preserve"> or overspend for the current regulatory control period in net present value terms.</w:t>
      </w:r>
    </w:p>
    <w:p w:rsidR="002D0B3D" w:rsidRDefault="002D0B3D" w:rsidP="002D0B3D">
      <w:pPr>
        <w:pStyle w:val="Bulletpoint"/>
      </w:pPr>
      <w:r>
        <w:t xml:space="preserve">We apply the sharing ratio of 30 per cent to the cumulative underspend or overspend to work out what the TNSP's share of </w:t>
      </w:r>
      <w:r w:rsidR="00E02F01">
        <w:t xml:space="preserve">any </w:t>
      </w:r>
      <w:r>
        <w:t xml:space="preserve">underspend or overspend </w:t>
      </w:r>
      <w:r w:rsidR="00E02F01">
        <w:t xml:space="preserve">amount </w:t>
      </w:r>
      <w:r>
        <w:t>should be.</w:t>
      </w:r>
    </w:p>
    <w:p w:rsidR="002D0B3D" w:rsidRDefault="003D61F0" w:rsidP="002D0B3D">
      <w:pPr>
        <w:pStyle w:val="Bulletpoint"/>
      </w:pPr>
      <w:r>
        <w:t xml:space="preserve">We calculate the CESS payments taking into account the financing benefit or cost to the TNSP of </w:t>
      </w:r>
      <w:r w:rsidR="00E02F01">
        <w:t xml:space="preserve">any </w:t>
      </w:r>
      <w:r>
        <w:t>underspend or overspend</w:t>
      </w:r>
      <w:r w:rsidR="00E02F01">
        <w:t xml:space="preserve"> amount</w:t>
      </w:r>
      <w:r>
        <w:t>.</w:t>
      </w:r>
      <w:r>
        <w:rPr>
          <w:rStyle w:val="FootnoteReference"/>
        </w:rPr>
        <w:footnoteReference w:id="30"/>
      </w:r>
    </w:p>
    <w:p w:rsidR="002D0B3D" w:rsidRDefault="002D0B3D" w:rsidP="002D0B3D">
      <w:pPr>
        <w:pStyle w:val="Bulletpoint"/>
      </w:pPr>
      <w:r>
        <w:t>The CESS payments will be added or subtracted to the TNSP's regulated revenue as a separate building block in the next regulatory control period.</w:t>
      </w:r>
    </w:p>
    <w:p w:rsidR="00344913" w:rsidRDefault="00344913" w:rsidP="002D0B3D">
      <w:r w:rsidRPr="00C323B5">
        <w:t xml:space="preserve">Under the CESS a </w:t>
      </w:r>
      <w:r>
        <w:t>TNSP</w:t>
      </w:r>
      <w:r w:rsidRPr="00C323B5">
        <w:t xml:space="preserve"> retains 30 per cent of the benefit or cost of an underspend or overspend</w:t>
      </w:r>
      <w:r w:rsidR="00E02F01">
        <w:t xml:space="preserve"> amount</w:t>
      </w:r>
      <w:r w:rsidRPr="00C323B5">
        <w:t>, while consumers retain 70 per cent of the benefit or cost of an underspend or overspend</w:t>
      </w:r>
      <w:r w:rsidR="00E02F01">
        <w:t xml:space="preserve"> amount</w:t>
      </w:r>
      <w:r w:rsidRPr="00C323B5">
        <w:t xml:space="preserve">. This means that for a one dollar saving in capex the </w:t>
      </w:r>
      <w:r>
        <w:t>TNSP</w:t>
      </w:r>
      <w:r w:rsidRPr="00C323B5">
        <w:t xml:space="preserve"> keeps 30 cents of the benefit while consumers keep 70 cents of the benefit. Conversely, in the case of an</w:t>
      </w:r>
      <w:r w:rsidR="00E02F01">
        <w:t>y</w:t>
      </w:r>
      <w:r w:rsidRPr="00C323B5">
        <w:t xml:space="preserve"> overspend, the </w:t>
      </w:r>
      <w:r>
        <w:t>TNSP</w:t>
      </w:r>
      <w:r w:rsidRPr="00C323B5">
        <w:t xml:space="preserve"> pays for 30 cents of the cost while consumers bear 70 cents of the cost</w:t>
      </w:r>
      <w:r>
        <w:t>.</w:t>
      </w:r>
    </w:p>
    <w:p w:rsidR="00A21E37" w:rsidRDefault="00A21E37" w:rsidP="00A21E37">
      <w:r>
        <w:t>In deciding whether to apply a CESS to a TNSP, and the nature and details of any CESS to apply to a TNSP, we must:</w:t>
      </w:r>
      <w:r>
        <w:rPr>
          <w:rStyle w:val="FootnoteReference"/>
        </w:rPr>
        <w:footnoteReference w:id="31"/>
      </w:r>
    </w:p>
    <w:p w:rsidR="00A21E37" w:rsidRDefault="00A21E37" w:rsidP="00A21E37">
      <w:pPr>
        <w:pStyle w:val="Bulletpoint"/>
      </w:pPr>
      <w:r>
        <w:t>make that decision in a manner that contributes to the capex incentive objective</w:t>
      </w:r>
      <w:r w:rsidR="00E02F01">
        <w:t xml:space="preserve"> set out in the rules</w:t>
      </w:r>
      <w:r>
        <w:rPr>
          <w:rStyle w:val="FootnoteReference"/>
        </w:rPr>
        <w:footnoteReference w:id="32"/>
      </w:r>
    </w:p>
    <w:p w:rsidR="00A21E37" w:rsidRDefault="00A21E37" w:rsidP="00A21E37">
      <w:pPr>
        <w:pStyle w:val="Bulletpoint"/>
      </w:pPr>
      <w:r>
        <w:lastRenderedPageBreak/>
        <w:t>consider the CESS principles,</w:t>
      </w:r>
      <w:r>
        <w:rPr>
          <w:rStyle w:val="FootnoteReference"/>
        </w:rPr>
        <w:footnoteReference w:id="33"/>
      </w:r>
      <w:r>
        <w:t xml:space="preserve"> capex objectives,</w:t>
      </w:r>
      <w:r>
        <w:rPr>
          <w:rStyle w:val="FootnoteReference"/>
        </w:rPr>
        <w:footnoteReference w:id="34"/>
      </w:r>
      <w:r>
        <w:t xml:space="preserve"> other incentive schemes and where relevant the opex objectives, as they apply to the particular TNSP and the circumstances of the TNSP. </w:t>
      </w:r>
    </w:p>
    <w:p w:rsidR="00A21E37" w:rsidRDefault="00A21E37" w:rsidP="002D0B3D">
      <w:r>
        <w:t>Broadly, the capex incentive objective is to ensure that only capex that meets the capex criteria enters the RAB used to set prices. Therefore, consumers only fund capex that is efficient and prudent.</w:t>
      </w:r>
    </w:p>
    <w:p w:rsidR="00344913" w:rsidRDefault="00161EAC" w:rsidP="00161EAC">
      <w:pPr>
        <w:pStyle w:val="Heading2"/>
      </w:pPr>
      <w:bookmarkStart w:id="29" w:name="_Toc457462276"/>
      <w:r>
        <w:t>Proposed approach</w:t>
      </w:r>
      <w:bookmarkEnd w:id="29"/>
    </w:p>
    <w:p w:rsidR="00161EAC" w:rsidRDefault="00E02F01" w:rsidP="00161EAC">
      <w:r>
        <w:t xml:space="preserve">The latest version of the CESS in existence at the commencement of the 2018–23 regulatory control period will apply </w:t>
      </w:r>
      <w:r w:rsidR="002129A6">
        <w:t>to Murraylink</w:t>
      </w:r>
      <w:r>
        <w:t xml:space="preserve">. This is expected to be CESS version 1 (November 2013) as </w:t>
      </w:r>
      <w:r w:rsidR="003D61F0">
        <w:t>set out in our capex incentive</w:t>
      </w:r>
      <w:r w:rsidR="00D8543C">
        <w:t xml:space="preserve"> guideline. </w:t>
      </w:r>
    </w:p>
    <w:p w:rsidR="004D648E" w:rsidRDefault="004D648E" w:rsidP="004D648E">
      <w:pPr>
        <w:pStyle w:val="Heading2"/>
      </w:pPr>
      <w:bookmarkStart w:id="30" w:name="_Toc457462277"/>
      <w:r>
        <w:t>Reasons for proposed approach</w:t>
      </w:r>
      <w:bookmarkEnd w:id="30"/>
    </w:p>
    <w:p w:rsidR="004D648E" w:rsidRDefault="00FB078E" w:rsidP="004D648E">
      <w:r>
        <w:t>We propose to apply the CESS to Murraylink as we consider this will contribute to the capex incentive objective.</w:t>
      </w:r>
    </w:p>
    <w:p w:rsidR="00FB078E" w:rsidRDefault="003D34D8" w:rsidP="004D648E">
      <w:r>
        <w:t xml:space="preserve">As </w:t>
      </w:r>
      <w:r w:rsidR="00000D61">
        <w:t>part of our Better Regulation program we consulted on and published version 1 of the capex incentive guideline which sets out the CESS.</w:t>
      </w:r>
      <w:r w:rsidR="00000D61">
        <w:rPr>
          <w:rStyle w:val="FootnoteReference"/>
        </w:rPr>
        <w:footnoteReference w:id="35"/>
      </w:r>
      <w:r w:rsidR="00B554A4">
        <w:t xml:space="preserve"> The guideline specifies that in most circumstances we will apply a CESS, in conjunction with forecast depreciation.</w:t>
      </w:r>
      <w:r w:rsidR="00B554A4">
        <w:rPr>
          <w:rStyle w:val="FootnoteReference"/>
        </w:rPr>
        <w:footnoteReference w:id="36"/>
      </w:r>
      <w:r w:rsidR="00B554A4">
        <w:t xml:space="preserve"> We also propose to apply forecast depreciation, which is discussed further in attachment 5. </w:t>
      </w:r>
    </w:p>
    <w:p w:rsidR="00B554A4" w:rsidRDefault="00B554A4" w:rsidP="004D648E">
      <w:r>
        <w:t>In developing the CESS we took into account the capex incentive ob</w:t>
      </w:r>
      <w:r w:rsidR="006F2832">
        <w:t>jective, capex criteria, capex factors</w:t>
      </w:r>
      <w:r>
        <w:t xml:space="preserve"> and the CESS principles. </w:t>
      </w:r>
      <w:r w:rsidR="00A14DA4">
        <w:t>We also developed the CESS to work alongside other incentive schemes that apply to TNSPs including the EBSS and STPIS.</w:t>
      </w:r>
    </w:p>
    <w:p w:rsidR="00A14DA4" w:rsidRDefault="00A14DA4" w:rsidP="004D648E">
      <w:r>
        <w:t>For capex, the sharing of underspend and overspend</w:t>
      </w:r>
      <w:r w:rsidR="00B018AD">
        <w:t xml:space="preserve"> amounts</w:t>
      </w:r>
      <w:r>
        <w:t xml:space="preserve"> happens at the end of each regulatory control period when we update a TNSP's RAB to include new capex. </w:t>
      </w:r>
      <w:r w:rsidR="001F7F47">
        <w:t>If a TNSP</w:t>
      </w:r>
      <w:r w:rsidR="00930470">
        <w:t xml:space="preserve"> spends less than its approved forecast during a regulatory control period, it will benefit within that period. Consumers benefit at the end of that regulatory control period when the RAB is updated to include less capex compared to if the TNSP had spent the full amount of the capex forecast. This leads to lower prices in the future. </w:t>
      </w:r>
    </w:p>
    <w:p w:rsidR="00930470" w:rsidRDefault="006A6042" w:rsidP="004D648E">
      <w:r>
        <w:t>Without a CESS the incentive for a TNSP to spend less than its forecast capex declines throughout the period.</w:t>
      </w:r>
      <w:r>
        <w:rPr>
          <w:rStyle w:val="FootnoteReference"/>
        </w:rPr>
        <w:footnoteReference w:id="37"/>
      </w:r>
      <w:r>
        <w:t xml:space="preserve"> </w:t>
      </w:r>
      <w:r w:rsidR="004B2688">
        <w:t xml:space="preserve">Because of this a TNSP may choose to spend capex </w:t>
      </w:r>
      <w:r w:rsidR="004B2688">
        <w:lastRenderedPageBreak/>
        <w:t>earlier, or on capex when it may otherwise have spent on opex, or less on capex at the expense of service quality</w:t>
      </w:r>
      <w:r w:rsidR="004B2688">
        <w:rPr>
          <w:rFonts w:cs="Arial"/>
        </w:rPr>
        <w:t>—</w:t>
      </w:r>
      <w:r w:rsidR="004B2688">
        <w:t>even if it may not be efficient to do so.</w:t>
      </w:r>
    </w:p>
    <w:p w:rsidR="004B2688" w:rsidRDefault="004B2688" w:rsidP="004D648E">
      <w:r>
        <w:t xml:space="preserve">With the CESS a TNSP faces the same reward and penalty in each </w:t>
      </w:r>
      <w:r w:rsidR="00B018AD">
        <w:t xml:space="preserve">year </w:t>
      </w:r>
      <w:r>
        <w:t xml:space="preserve">of a regulatory control period for capex underspends or overspends. The CESS will provide TNSPs with an ex ante incentive to spend only efficient capex. TNSPs that make efficiency gains will be rewarded through the CESS. Conversely, TNSPs that make efficiency losses will be penalised through the CESS. In this way, TNSPs will be more likely to incur only efficient capex when subject to a CESS, so any capex included in the RAB is more likely to reflect the capex criteria. In particular, if a TNSP is subject to the CESS, its capex is more likely to be efficient and to reflect the costs of a prudent TNSP. </w:t>
      </w:r>
    </w:p>
    <w:p w:rsidR="004B2688" w:rsidRDefault="004B2688" w:rsidP="004D648E">
      <w:r>
        <w:t xml:space="preserve">When the CESS, EBSS and STPIS apply to TNSPs the incentives for improvements in opex, capex and service outcomes are more balanced. This encourages businesses to make efficient decisions on when and what type of expenditure to incur, and to efficiently trade off expenditure reductions with service quality and reliability. </w:t>
      </w:r>
    </w:p>
    <w:p w:rsidR="004B2688" w:rsidRDefault="001B2B3B" w:rsidP="001B2B3B">
      <w:pPr>
        <w:pStyle w:val="Heading1"/>
      </w:pPr>
      <w:bookmarkStart w:id="31" w:name="_Toc457462278"/>
      <w:r>
        <w:lastRenderedPageBreak/>
        <w:t>Expenditure forecast assessment guideline</w:t>
      </w:r>
      <w:bookmarkEnd w:id="31"/>
    </w:p>
    <w:p w:rsidR="001B2B3B" w:rsidRDefault="00F208AE" w:rsidP="004D648E">
      <w:r>
        <w:t>This attachment sets</w:t>
      </w:r>
      <w:r w:rsidR="003D61F0">
        <w:t xml:space="preserve"> out our intention to apply the </w:t>
      </w:r>
      <w:r>
        <w:t>expenditure assessment guideline</w:t>
      </w:r>
      <w:r w:rsidR="001F1B0B">
        <w:rPr>
          <w:rStyle w:val="FootnoteReference"/>
        </w:rPr>
        <w:footnoteReference w:id="38"/>
      </w:r>
      <w:r w:rsidR="001F1B0B">
        <w:t xml:space="preserve"> including the information requirements </w:t>
      </w:r>
      <w:r w:rsidR="003D61F0">
        <w:t xml:space="preserve">applicable </w:t>
      </w:r>
      <w:r w:rsidR="001F1B0B">
        <w:t xml:space="preserve">to Murraylink </w:t>
      </w:r>
      <w:r w:rsidR="003D61F0">
        <w:t>at the commencement of</w:t>
      </w:r>
      <w:r w:rsidR="001F1B0B">
        <w:t xml:space="preserve"> </w:t>
      </w:r>
      <w:r w:rsidR="003D61F0">
        <w:t xml:space="preserve">the </w:t>
      </w:r>
      <w:r w:rsidR="000205F4">
        <w:t>2018</w:t>
      </w:r>
      <w:r w:rsidR="003C3EF2">
        <w:t>–</w:t>
      </w:r>
      <w:r w:rsidR="000205F4">
        <w:t>23 regulatory control period</w:t>
      </w:r>
      <w:r w:rsidR="001F1B0B">
        <w:t xml:space="preserve">. We propose applying the guideline as it sets out our expenditure assessment approach. The guideline outlines for TNSPs and interested stakeholders the types of assessments we will do to determine efficient expenditure allowances and the information we require from TNSPs to do so. </w:t>
      </w:r>
    </w:p>
    <w:p w:rsidR="001F1B0B" w:rsidRDefault="00CB6080" w:rsidP="004D648E">
      <w:r>
        <w:t xml:space="preserve">The guideline is based on a nationally consistent reporting framework allowing us to compare the relevant efficiencies of TNSPs and decide on efficient expenditure allowances. The rules require Murraylink to advise us by </w:t>
      </w:r>
      <w:r w:rsidR="002C5559">
        <w:t>30 June</w:t>
      </w:r>
      <w:r w:rsidR="003D61F0">
        <w:t xml:space="preserve"> 2016</w:t>
      </w:r>
      <w:r>
        <w:t xml:space="preserve"> of the methodology it proposes to use to prepare forecasts.</w:t>
      </w:r>
      <w:r>
        <w:rPr>
          <w:rStyle w:val="FootnoteReference"/>
        </w:rPr>
        <w:footnoteReference w:id="39"/>
      </w:r>
      <w:r>
        <w:t xml:space="preserve"> In the final F&amp;A we must set out our proposed approach to the application of the guideline.</w:t>
      </w:r>
      <w:r>
        <w:rPr>
          <w:rStyle w:val="FootnoteReference"/>
        </w:rPr>
        <w:footnoteReference w:id="40"/>
      </w:r>
      <w:r>
        <w:t xml:space="preserve"> This will provide clarity to Murraylink and assist it with the information it should include in its revenue proposal.</w:t>
      </w:r>
      <w:r w:rsidR="00B018AD">
        <w:t xml:space="preserve"> It will also provide a degree of predictability for both Murraylink as well as other stakeholders. </w:t>
      </w:r>
    </w:p>
    <w:p w:rsidR="00CB6080" w:rsidRDefault="00CB6080" w:rsidP="004D648E">
      <w:r>
        <w:t>The guideline contains a suite of assessment/analytical tools and techniques to assist our review of revenue proposals submitted by TNSPs. We intend to apply some of the assessment techniques set out in the guideline. The techniques include:</w:t>
      </w:r>
    </w:p>
    <w:p w:rsidR="001F1B0B" w:rsidRDefault="000E7B7E" w:rsidP="00CB6080">
      <w:pPr>
        <w:pStyle w:val="Bulletpoint"/>
      </w:pPr>
      <w:r>
        <w:t>b</w:t>
      </w:r>
      <w:r w:rsidR="009E22B9">
        <w:t>enchmarking (</w:t>
      </w:r>
      <w:r>
        <w:t>economic techniques and category analysis)</w:t>
      </w:r>
    </w:p>
    <w:p w:rsidR="000E7B7E" w:rsidRDefault="000E7B7E" w:rsidP="00CB6080">
      <w:pPr>
        <w:pStyle w:val="Bulletpoint"/>
      </w:pPr>
      <w:r>
        <w:t>methodology review</w:t>
      </w:r>
    </w:p>
    <w:p w:rsidR="000E7B7E" w:rsidRDefault="000E7B7E" w:rsidP="00CB6080">
      <w:pPr>
        <w:pStyle w:val="Bulletpoint"/>
      </w:pPr>
      <w:r>
        <w:t>governance and policy review</w:t>
      </w:r>
    </w:p>
    <w:p w:rsidR="000E7B7E" w:rsidRDefault="000E7B7E" w:rsidP="00CB6080">
      <w:pPr>
        <w:pStyle w:val="Bulletpoint"/>
      </w:pPr>
      <w:r>
        <w:t>predictive modelling</w:t>
      </w:r>
    </w:p>
    <w:p w:rsidR="000E7B7E" w:rsidRDefault="000E7B7E" w:rsidP="00CB6080">
      <w:pPr>
        <w:pStyle w:val="Bulletpoint"/>
      </w:pPr>
      <w:r>
        <w:t>trend analysis</w:t>
      </w:r>
    </w:p>
    <w:p w:rsidR="000E7B7E" w:rsidRDefault="000E7B7E" w:rsidP="00CB6080">
      <w:pPr>
        <w:pStyle w:val="Bulletpoint"/>
      </w:pPr>
      <w:r>
        <w:t>cost benefit analysis</w:t>
      </w:r>
    </w:p>
    <w:p w:rsidR="000E7B7E" w:rsidRDefault="000E7B7E" w:rsidP="00CB6080">
      <w:pPr>
        <w:pStyle w:val="Bulletpoint"/>
      </w:pPr>
      <w:r>
        <w:t xml:space="preserve">detailed project review (including engineering review). </w:t>
      </w:r>
    </w:p>
    <w:p w:rsidR="00EE1D6B" w:rsidRDefault="00EE1D6B" w:rsidP="000E7B7E">
      <w:r w:rsidRPr="00EF4CC5">
        <w:t xml:space="preserve">We exercise our judgement in determining the extent to which we use a particular technique in assessing a revenue proposal. </w:t>
      </w:r>
      <w:r w:rsidR="00B018AD">
        <w:t>When assessing a revenue proposal we use the techniques we consider appropriate depending on the specific circumstances of the determination. The</w:t>
      </w:r>
      <w:r w:rsidR="00B018AD" w:rsidRPr="00EF4CC5">
        <w:t xml:space="preserve"> </w:t>
      </w:r>
      <w:r w:rsidRPr="00EF4CC5">
        <w:t>expenditure assessment guideline is flexible and recognises that a range of different estimating techniques may be employed to develop an expenditure forecast.</w:t>
      </w:r>
    </w:p>
    <w:p w:rsidR="000E7B7E" w:rsidRPr="000E7B7E" w:rsidRDefault="000E7B7E" w:rsidP="000E7B7E">
      <w:r>
        <w:lastRenderedPageBreak/>
        <w:t xml:space="preserve">We developed the </w:t>
      </w:r>
      <w:r w:rsidR="00B018AD">
        <w:t xml:space="preserve">expenditure assessment </w:t>
      </w:r>
      <w:r>
        <w:t xml:space="preserve">guideline to apply broadly to all electricity transmission and distribution businesses. However, given the smaller scale of Murraylink's assets and nature of its network operations we do not intend applying standardised benchmarking analysis (including top down economic benchmarking or driver-based benchmarks) or predictive modelling in assessing its capex and opex forecasts. Our proposed approach for opex will involve consideration of revealed costs and the 'base-step-trend' approach. For capex, our proposed approach will involve detailed reviews of Murraylink's asset management practices and specified projects. Consequently, the information we will seek from Murraylink through the regulatory information notice will not include the same standardised data on expenditures and related benchmarking measures that are set out in the guideline. </w:t>
      </w:r>
    </w:p>
    <w:p w:rsidR="00B2724F" w:rsidRDefault="00B2724F" w:rsidP="00B2724F">
      <w:pPr>
        <w:pStyle w:val="Heading1"/>
      </w:pPr>
      <w:bookmarkStart w:id="32" w:name="_Toc457462279"/>
      <w:r>
        <w:lastRenderedPageBreak/>
        <w:t>Depreciation</w:t>
      </w:r>
      <w:bookmarkEnd w:id="32"/>
    </w:p>
    <w:p w:rsidR="00B2724F" w:rsidRDefault="00C839D1" w:rsidP="00B2724F">
      <w:r>
        <w:t xml:space="preserve">As part of the roll forward methodology, when the RAB is updated from forecast capex to actual capex at the end of a regulatory control period, it is also adjusted for depreciation. This attachment sets out our proposed approach to calculating depreciation when the RAB is rolled forward. </w:t>
      </w:r>
    </w:p>
    <w:p w:rsidR="00C839D1" w:rsidRDefault="00C839D1" w:rsidP="00B2724F">
      <w:r>
        <w:t>The depreciation we use to roll forward the RAB can be based on either:</w:t>
      </w:r>
    </w:p>
    <w:p w:rsidR="00C839D1" w:rsidRDefault="00C839D1" w:rsidP="00C839D1">
      <w:pPr>
        <w:pStyle w:val="Bulletpoint"/>
      </w:pPr>
      <w:r>
        <w:t>actual capex incurred during the regulatory control period (actual depreciation). We roll forward the RAB based on actual capex less the depreciation on the actual capex incurred by the TNSP, or</w:t>
      </w:r>
    </w:p>
    <w:p w:rsidR="00C839D1" w:rsidRDefault="00C839D1" w:rsidP="00C839D1">
      <w:pPr>
        <w:pStyle w:val="Bulletpoint"/>
      </w:pPr>
      <w:r>
        <w:t xml:space="preserve">the capex allowance forecast at the start of the regulatory control period (forecast depreciation). We roll forward the RAB based on actual capex less the depreciation on the forecast capex approved for the regulatory control period. </w:t>
      </w:r>
    </w:p>
    <w:p w:rsidR="00C839D1" w:rsidRDefault="0008758C" w:rsidP="00C839D1">
      <w:r>
        <w:t xml:space="preserve">The choice of depreciation approach is one part of the overall capex incentive framework. </w:t>
      </w:r>
    </w:p>
    <w:p w:rsidR="0008758C" w:rsidRDefault="00B64CFF" w:rsidP="00C839D1">
      <w:r>
        <w:t>Consumers benefit from improved efficiencies through lower regulated prices. Where a CESS is applied, using forecast depreciation provides the incentives for TNSPs to pursue continuous capex efficiencies. Using actual depreciation increases these incentives. There is more information on depreciation as part of the overall capex incentive framework in our capex incentive guideline.</w:t>
      </w:r>
      <w:r>
        <w:rPr>
          <w:rStyle w:val="FootnoteReference"/>
        </w:rPr>
        <w:footnoteReference w:id="41"/>
      </w:r>
      <w:r>
        <w:t xml:space="preserve"> In summary:</w:t>
      </w:r>
    </w:p>
    <w:p w:rsidR="00B64CFF" w:rsidRDefault="00B64CFF" w:rsidP="00B64CFF">
      <w:pPr>
        <w:pStyle w:val="Bulletpoint"/>
      </w:pPr>
      <w:r>
        <w:t>If there is a capex overspend, actual depreciation will be higher than forecast depreciation. This means that the RAB will increase by a lesser amount than if forecast depreciation were used. So, the TNSP will earn less revenue into the future (i.e. it will bear more of the cost of the overspend in the future) than if forecast depreciation had been used to roll forward the RAB.</w:t>
      </w:r>
    </w:p>
    <w:p w:rsidR="00B64CFF" w:rsidRDefault="00B64CFF" w:rsidP="00B64CFF">
      <w:pPr>
        <w:pStyle w:val="Bulletpoint"/>
      </w:pPr>
      <w:r>
        <w:t>If there is a capex underspend, actual depreciation will be lower than forecast depreciation. This means that the RAB will increase by a greater amount than if forecast depreciation were used. Hence, the TNSP will earn greater revenue into the future (i.e. it will retain more of the benefit of an underspend into the future) than if forecast depreciation had been used to roll forward the RAB</w:t>
      </w:r>
      <w:r w:rsidR="00A25622">
        <w:t>.</w:t>
      </w:r>
    </w:p>
    <w:p w:rsidR="00B64CFF" w:rsidRDefault="00B64CFF" w:rsidP="00B64CFF">
      <w:r>
        <w:t xml:space="preserve">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 </w:t>
      </w:r>
    </w:p>
    <w:p w:rsidR="002129A6" w:rsidRDefault="002129A6" w:rsidP="002129A6">
      <w:r>
        <w:lastRenderedPageBreak/>
        <w:t>In this F&amp;A, we set out our proposed approach as to whether we will use actual or forecast depreciation to establish a TNSP's RAB at the commencement of the following regulatory control period.</w:t>
      </w:r>
      <w:r>
        <w:rPr>
          <w:rStyle w:val="FootnoteReference"/>
        </w:rPr>
        <w:footnoteReference w:id="42"/>
      </w:r>
    </w:p>
    <w:p w:rsidR="002129A6" w:rsidRDefault="002129A6" w:rsidP="002129A6">
      <w:r>
        <w:t>Specifically, we are required to set out in our capex incentive guideline our process for determining which form of depreciation we propose to use in the RAB roll forward process.</w:t>
      </w:r>
      <w:r>
        <w:rPr>
          <w:rStyle w:val="FootnoteReference"/>
        </w:rPr>
        <w:footnoteReference w:id="43"/>
      </w:r>
      <w:r>
        <w:t xml:space="preserve"> Our decision on whether to use actual or forecast depreciation must be consistent with the capex incentive objective. We must have regard to:</w:t>
      </w:r>
      <w:r>
        <w:rPr>
          <w:rStyle w:val="FootnoteReference"/>
        </w:rPr>
        <w:footnoteReference w:id="44"/>
      </w:r>
    </w:p>
    <w:p w:rsidR="002129A6" w:rsidRDefault="002129A6" w:rsidP="002129A6">
      <w:pPr>
        <w:pStyle w:val="Bulletpoint"/>
      </w:pPr>
      <w:r>
        <w:t>any other incentives the service provider has to undertake efficient capex</w:t>
      </w:r>
    </w:p>
    <w:p w:rsidR="002129A6" w:rsidRDefault="002129A6" w:rsidP="002129A6">
      <w:pPr>
        <w:pStyle w:val="Bulletpoint"/>
      </w:pPr>
      <w:r>
        <w:t>substitution possibilities between assets with different lives</w:t>
      </w:r>
    </w:p>
    <w:p w:rsidR="002129A6" w:rsidRDefault="002129A6" w:rsidP="002129A6">
      <w:pPr>
        <w:pStyle w:val="Bulletpoint"/>
      </w:pPr>
      <w:r>
        <w:t>the extent of overspending and inefficient overspending relative to the allowed forecast</w:t>
      </w:r>
    </w:p>
    <w:p w:rsidR="002129A6" w:rsidRDefault="002129A6" w:rsidP="002129A6">
      <w:pPr>
        <w:pStyle w:val="Bulletpoint"/>
      </w:pPr>
      <w:r>
        <w:t>the capex incentive guideline</w:t>
      </w:r>
    </w:p>
    <w:p w:rsidR="002129A6" w:rsidRDefault="002129A6" w:rsidP="00473412">
      <w:pPr>
        <w:pStyle w:val="Bulletpoint"/>
      </w:pPr>
      <w:r>
        <w:t>the capex factors.</w:t>
      </w:r>
    </w:p>
    <w:p w:rsidR="00B64CFF" w:rsidRDefault="00B64CFF" w:rsidP="00B64CFF">
      <w:pPr>
        <w:pStyle w:val="Heading2"/>
      </w:pPr>
      <w:bookmarkStart w:id="33" w:name="_Toc457462280"/>
      <w:r>
        <w:t>Proposed approach</w:t>
      </w:r>
      <w:bookmarkEnd w:id="33"/>
    </w:p>
    <w:p w:rsidR="00B64CFF" w:rsidRDefault="00A25622" w:rsidP="00B64CFF">
      <w:r>
        <w:t xml:space="preserve">We propose to use the forecast depreciation approach to establish Murraylink's RAB at the commencement of </w:t>
      </w:r>
      <w:r w:rsidR="00424ED8">
        <w:t>the 2023–28 regulatory control period</w:t>
      </w:r>
      <w:r>
        <w:t xml:space="preserve">. We consider this approach will provide sufficient incentives for Murraylink to achieve capex efficiency gains over </w:t>
      </w:r>
      <w:r w:rsidR="00424ED8">
        <w:t>the 2018–23 regulatory control period</w:t>
      </w:r>
      <w:r>
        <w:t xml:space="preserve">. </w:t>
      </w:r>
    </w:p>
    <w:p w:rsidR="00A25622" w:rsidRDefault="00A25622" w:rsidP="00A25622">
      <w:pPr>
        <w:pStyle w:val="Heading2"/>
      </w:pPr>
      <w:bookmarkStart w:id="34" w:name="_Toc457462281"/>
      <w:r>
        <w:t>Reasons for proposed approach</w:t>
      </w:r>
      <w:bookmarkEnd w:id="34"/>
    </w:p>
    <w:p w:rsidR="0053251D" w:rsidRDefault="0053251D" w:rsidP="00A25622">
      <w:r>
        <w:t>We had regard to the relevant factors in the rules in developing the approach to choosing depreciation set out in the capex incentive guideline.</w:t>
      </w:r>
    </w:p>
    <w:p w:rsidR="0053251D" w:rsidRDefault="0053251D" w:rsidP="00A25622">
      <w:r>
        <w:t>Our approach is to apply forecast depreciation except where:</w:t>
      </w:r>
    </w:p>
    <w:p w:rsidR="0053251D" w:rsidRDefault="0053251D" w:rsidP="0053251D">
      <w:pPr>
        <w:pStyle w:val="Bulletpoint"/>
      </w:pPr>
      <w:r>
        <w:t>there is no CESS in place and therefore the power of the capex incentive may need to be strengthened, or</w:t>
      </w:r>
    </w:p>
    <w:p w:rsidR="0053251D" w:rsidRDefault="0053251D" w:rsidP="0053251D">
      <w:pPr>
        <w:pStyle w:val="Bulletpoint"/>
      </w:pPr>
      <w:r>
        <w:t xml:space="preserve">a TNSP's past capex performance demonstrates evidence of persistent overspending or inefficiency, thus requiring a higher powered incentive. </w:t>
      </w:r>
    </w:p>
    <w:p w:rsidR="0053251D" w:rsidRDefault="0053251D" w:rsidP="0053251D">
      <w:r>
        <w:t>In making our decision on whether to use actual depreciation in either of these circumstances we consider:</w:t>
      </w:r>
    </w:p>
    <w:p w:rsidR="0053251D" w:rsidRDefault="0053251D" w:rsidP="0053251D">
      <w:pPr>
        <w:pStyle w:val="Bulletpoint"/>
      </w:pPr>
      <w:r>
        <w:t>the substitutability between capex and opex and the balance of incentives between these</w:t>
      </w:r>
    </w:p>
    <w:p w:rsidR="0053251D" w:rsidRDefault="0053251D" w:rsidP="0053251D">
      <w:pPr>
        <w:pStyle w:val="Bulletpoint"/>
      </w:pPr>
      <w:r>
        <w:lastRenderedPageBreak/>
        <w:t>the balance of incentives with service outcomes</w:t>
      </w:r>
    </w:p>
    <w:p w:rsidR="0053251D" w:rsidRDefault="0053251D" w:rsidP="0053251D">
      <w:pPr>
        <w:pStyle w:val="Bulletpoint"/>
      </w:pPr>
      <w:r>
        <w:t>the substitutability of assets of different asset lives.</w:t>
      </w:r>
    </w:p>
    <w:p w:rsidR="0053251D" w:rsidRDefault="007D466F" w:rsidP="0053251D">
      <w:r>
        <w:t>We have chosen forecast depreciation as our proposed approach because, in combination with the CESS, it will provide a 30 per cent reward for capex underspends and 30 per cent penalty for capex overspends, which is consistent for all asset classes. In developing our capex incentive guideline, we considered this to be a suffic</w:t>
      </w:r>
      <w:r w:rsidR="008038FE">
        <w:t xml:space="preserve">ient incentive for a TNSP to achieve efficiency gains over the regulatory control period in most circumstances. </w:t>
      </w:r>
    </w:p>
    <w:p w:rsidR="008038FE" w:rsidRDefault="008038FE" w:rsidP="0053251D">
      <w:r>
        <w:t xml:space="preserve">As discussed in </w:t>
      </w:r>
      <w:r w:rsidR="003A6B54">
        <w:t>attachment</w:t>
      </w:r>
      <w:r>
        <w:t xml:space="preserve"> 3, we propose to apply t</w:t>
      </w:r>
      <w:r w:rsidR="00424ED8">
        <w:t>he CESS to Murraylink for the regulatory control period commencing 1 July 2018</w:t>
      </w:r>
      <w:r>
        <w:t xml:space="preserve">. </w:t>
      </w:r>
    </w:p>
    <w:p w:rsidR="008038FE" w:rsidRPr="0053251D" w:rsidRDefault="008038FE" w:rsidP="0053251D">
      <w:r>
        <w:t>For Murraylink, we consider the incentive provided by the application of the CESS in combination with the use of forecast depreciation and our other ex post capex measures should be sufficient to achieve the capex incentive objective.</w:t>
      </w:r>
      <w:r>
        <w:rPr>
          <w:rStyle w:val="FootnoteReference"/>
        </w:rPr>
        <w:footnoteReference w:id="45"/>
      </w:r>
    </w:p>
    <w:sectPr w:rsidR="008038FE" w:rsidRPr="0053251D" w:rsidSect="008A2159">
      <w:footerReference w:type="even" r:id="rId18"/>
      <w:footerReference w:type="default" r:id="rId19"/>
      <w:footerReference w:type="first" r:id="rId20"/>
      <w:pgSz w:w="11906" w:h="16838" w:code="9"/>
      <w:pgMar w:top="1440" w:right="1700" w:bottom="1582"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76" w:rsidRDefault="00FC6976" w:rsidP="004B4412">
      <w:pPr>
        <w:spacing w:before="0"/>
      </w:pPr>
      <w:r>
        <w:separator/>
      </w:r>
    </w:p>
    <w:p w:rsidR="00FC6976" w:rsidRDefault="00FC6976"/>
    <w:p w:rsidR="00FC6976" w:rsidRDefault="00FC6976"/>
  </w:endnote>
  <w:endnote w:type="continuationSeparator" w:id="0">
    <w:p w:rsidR="00FC6976" w:rsidRDefault="00FC6976" w:rsidP="004B4412">
      <w:pPr>
        <w:spacing w:before="0"/>
      </w:pPr>
      <w:r>
        <w:continuationSeparator/>
      </w:r>
    </w:p>
    <w:p w:rsidR="00FC6976" w:rsidRDefault="00FC6976"/>
    <w:p w:rsidR="00FC6976" w:rsidRDefault="00FC6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999956"/>
      <w:docPartObj>
        <w:docPartGallery w:val="Page Numbers (Bottom of Page)"/>
        <w:docPartUnique/>
      </w:docPartObj>
    </w:sdtPr>
    <w:sdtEndPr/>
    <w:sdtContent>
      <w:p w:rsidR="00FC6976" w:rsidRPr="00824CC8" w:rsidRDefault="00FC6976" w:rsidP="00604D2C">
        <w:pPr>
          <w:pStyle w:val="Footer"/>
          <w:tabs>
            <w:tab w:val="clear" w:pos="4513"/>
          </w:tabs>
        </w:pPr>
        <w:r w:rsidRPr="00824CC8">
          <w:fldChar w:fldCharType="begin"/>
        </w:r>
        <w:r w:rsidRPr="00824CC8">
          <w:instrText xml:space="preserve"> PAGE   \* MERGEFORMAT </w:instrText>
        </w:r>
        <w:r w:rsidRPr="00824CC8">
          <w:fldChar w:fldCharType="separate"/>
        </w:r>
        <w:r>
          <w:rPr>
            <w:noProof/>
          </w:rPr>
          <w:t>22</w:t>
        </w:r>
        <w:r w:rsidRPr="00824CC8">
          <w:fldChar w:fldCharType="end"/>
        </w:r>
        <w:r>
          <w:tab/>
          <w:t xml:space="preserve">Directlink 2015–20 — Framework and approach </w:t>
        </w:r>
        <w:r w:rsidRPr="00210880">
          <w:t xml:space="preserve">| </w:t>
        </w:r>
        <w:r>
          <w:t>EBSS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76" w:rsidRPr="00824CC8" w:rsidRDefault="00FC6976" w:rsidP="00604D2C">
    <w:pPr>
      <w:pStyle w:val="Footer"/>
      <w:tabs>
        <w:tab w:val="clear" w:pos="4513"/>
      </w:tabs>
    </w:pPr>
    <w:r>
      <w:t>Murraylink 2018–23</w:t>
    </w:r>
    <w:r>
      <w:rPr>
        <w:rFonts w:cs="Arial"/>
      </w:rPr>
      <w:t>│</w:t>
    </w:r>
    <w:r>
      <w:t xml:space="preserve">Final Framework and approach </w:t>
    </w:r>
    <w:r w:rsidRPr="00210880">
      <w:tab/>
    </w:r>
    <w:r w:rsidRPr="00824CC8">
      <w:fldChar w:fldCharType="begin"/>
    </w:r>
    <w:r w:rsidRPr="00824CC8">
      <w:instrText xml:space="preserve"> PAGE   \* MERGEFORMAT </w:instrText>
    </w:r>
    <w:r w:rsidRPr="00824CC8">
      <w:fldChar w:fldCharType="separate"/>
    </w:r>
    <w:r w:rsidR="007F0C7B">
      <w:rPr>
        <w:noProof/>
      </w:rPr>
      <w:t>4</w:t>
    </w:r>
    <w:r w:rsidRPr="00824CC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DE" w:rsidRDefault="002061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76" w:rsidRPr="00A91A9E" w:rsidRDefault="00FC6976" w:rsidP="00604D2C">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FC6976" w:rsidRDefault="00FC6976"/>
  <w:p w:rsidR="00FC6976" w:rsidRDefault="00FC697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76" w:rsidRDefault="00FC6976" w:rsidP="00CC7F1D">
    <w:pPr>
      <w:pStyle w:val="Footer"/>
      <w:tabs>
        <w:tab w:val="clear" w:pos="9026"/>
        <w:tab w:val="right" w:pos="8505"/>
      </w:tabs>
    </w:pPr>
    <w:r w:rsidRPr="003D61F0">
      <w:t>Murraylink 2018–23│</w:t>
    </w:r>
    <w:r>
      <w:t>Final</w:t>
    </w:r>
    <w:r w:rsidRPr="003D61F0">
      <w:t xml:space="preserve"> Framework and approach</w:t>
    </w:r>
    <w:r>
      <w:tab/>
    </w:r>
    <w:r>
      <w:tab/>
    </w:r>
    <w:r>
      <w:fldChar w:fldCharType="begin"/>
    </w:r>
    <w:r>
      <w:instrText xml:space="preserve"> PAGE   \* MERGEFORMAT </w:instrText>
    </w:r>
    <w:r>
      <w:fldChar w:fldCharType="separate"/>
    </w:r>
    <w:r w:rsidR="007F0C7B">
      <w:rPr>
        <w:noProof/>
      </w:rPr>
      <w:t>26</w:t>
    </w:r>
    <w:r>
      <w:rPr>
        <w:noProof/>
      </w:rPr>
      <w:fldChar w:fldCharType="end"/>
    </w:r>
  </w:p>
  <w:p w:rsidR="00FC6976" w:rsidRDefault="00FC6976"/>
  <w:p w:rsidR="00FC6976" w:rsidRDefault="00FC697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76" w:rsidRDefault="007F0C7B" w:rsidP="00CC7F1D">
    <w:pPr>
      <w:pStyle w:val="Footer"/>
      <w:tabs>
        <w:tab w:val="clear" w:pos="9026"/>
        <w:tab w:val="right" w:pos="8505"/>
      </w:tabs>
    </w:pPr>
    <w:r>
      <w:fldChar w:fldCharType="begin"/>
    </w:r>
    <w:r>
      <w:instrText xml:space="preserve"> STYLEREF  "Report Title"  \* MERGEFORMAT </w:instrText>
    </w:r>
    <w:r>
      <w:fldChar w:fldCharType="separate"/>
    </w:r>
    <w:r w:rsidR="00154B99">
      <w:rPr>
        <w:noProof/>
      </w:rPr>
      <w:t>Framework and approach for Murraylink</w:t>
    </w:r>
    <w:r>
      <w:rPr>
        <w:noProof/>
      </w:rPr>
      <w:fldChar w:fldCharType="end"/>
    </w:r>
    <w:r w:rsidR="00FC6976">
      <w:tab/>
    </w:r>
    <w:r w:rsidR="00FC6976">
      <w:tab/>
    </w:r>
    <w:r w:rsidR="00FC6976">
      <w:fldChar w:fldCharType="begin"/>
    </w:r>
    <w:r w:rsidR="00FC6976">
      <w:instrText xml:space="preserve"> PAGE   \* MERGEFORMAT </w:instrText>
    </w:r>
    <w:r w:rsidR="00FC6976">
      <w:fldChar w:fldCharType="separate"/>
    </w:r>
    <w:r w:rsidR="00FC6976">
      <w:rPr>
        <w:noProof/>
      </w:rPr>
      <w:t>1</w:t>
    </w:r>
    <w:r w:rsidR="00FC6976">
      <w:fldChar w:fldCharType="end"/>
    </w:r>
  </w:p>
  <w:p w:rsidR="00FC6976" w:rsidRDefault="00FC6976">
    <w:pPr>
      <w:pStyle w:val="Footer"/>
    </w:pPr>
  </w:p>
  <w:p w:rsidR="00FC6976" w:rsidRDefault="00FC6976"/>
  <w:p w:rsidR="00FC6976" w:rsidRDefault="00FC69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76" w:rsidRDefault="00FC6976" w:rsidP="00182906">
      <w:pPr>
        <w:spacing w:before="0"/>
      </w:pPr>
      <w:r>
        <w:separator/>
      </w:r>
    </w:p>
  </w:footnote>
  <w:footnote w:type="continuationSeparator" w:id="0">
    <w:p w:rsidR="00FC6976" w:rsidRDefault="00FC6976" w:rsidP="00182906">
      <w:pPr>
        <w:spacing w:before="0"/>
      </w:pPr>
      <w:r>
        <w:continuationSeparator/>
      </w:r>
    </w:p>
  </w:footnote>
  <w:footnote w:type="continuationNotice" w:id="1">
    <w:p w:rsidR="00FC6976" w:rsidRDefault="00FC6976">
      <w:pPr>
        <w:spacing w:before="0" w:line="240" w:lineRule="auto"/>
      </w:pPr>
    </w:p>
  </w:footnote>
  <w:footnote w:id="2">
    <w:p w:rsidR="00FC6976" w:rsidRDefault="00FC6976">
      <w:pPr>
        <w:pStyle w:val="FootnoteText"/>
      </w:pPr>
      <w:r>
        <w:rPr>
          <w:rStyle w:val="FootnoteReference"/>
        </w:rPr>
        <w:footnoteRef/>
      </w:r>
      <w:r>
        <w:t xml:space="preserve"> </w:t>
      </w:r>
      <w:r>
        <w:tab/>
        <w:t xml:space="preserve">NER, cl. 6A.10.1A(a)(i) and (e). </w:t>
      </w:r>
    </w:p>
  </w:footnote>
  <w:footnote w:id="3">
    <w:p w:rsidR="00FC6976" w:rsidRDefault="00FC6976">
      <w:pPr>
        <w:pStyle w:val="FootnoteText"/>
      </w:pPr>
      <w:r>
        <w:rPr>
          <w:rStyle w:val="FootnoteReference"/>
        </w:rPr>
        <w:footnoteRef/>
      </w:r>
      <w:r>
        <w:t xml:space="preserve"> </w:t>
      </w:r>
      <w:r>
        <w:tab/>
        <w:t>NER, cl. 6A.10.1A(f).</w:t>
      </w:r>
    </w:p>
  </w:footnote>
  <w:footnote w:id="4">
    <w:p w:rsidR="00891556" w:rsidRDefault="00891556" w:rsidP="00891556">
      <w:pPr>
        <w:pStyle w:val="FootnoteText"/>
      </w:pPr>
      <w:r>
        <w:rPr>
          <w:rStyle w:val="FootnoteReference"/>
        </w:rPr>
        <w:footnoteRef/>
      </w:r>
      <w:r>
        <w:t xml:space="preserve"> </w:t>
      </w:r>
      <w:r>
        <w:tab/>
        <w:t xml:space="preserve">The first version of the guideline was published on 29 November 2013. It can be located at </w:t>
      </w:r>
      <w:hyperlink r:id="rId1" w:history="1">
        <w:r w:rsidRPr="00AD6419">
          <w:rPr>
            <w:rStyle w:val="Hyperlink"/>
            <w:sz w:val="16"/>
          </w:rPr>
          <w:t>www.aer.gov.au/node/18864</w:t>
        </w:r>
      </w:hyperlink>
      <w:r>
        <w:t xml:space="preserve">. </w:t>
      </w:r>
    </w:p>
  </w:footnote>
  <w:footnote w:id="5">
    <w:p w:rsidR="00891556" w:rsidRDefault="00891556" w:rsidP="00891556">
      <w:pPr>
        <w:pStyle w:val="FootnoteText"/>
      </w:pPr>
      <w:r>
        <w:rPr>
          <w:rStyle w:val="FootnoteReference"/>
        </w:rPr>
        <w:footnoteRef/>
      </w:r>
      <w:r>
        <w:t xml:space="preserve"> </w:t>
      </w:r>
      <w:r>
        <w:tab/>
        <w:t>NER, cl. 6A.7.5.</w:t>
      </w:r>
    </w:p>
  </w:footnote>
  <w:footnote w:id="6">
    <w:p w:rsidR="00FC6976" w:rsidRDefault="00FC6976" w:rsidP="00581953">
      <w:pPr>
        <w:pStyle w:val="FootnoteText"/>
      </w:pPr>
      <w:r>
        <w:rPr>
          <w:rStyle w:val="FootnoteReference"/>
        </w:rPr>
        <w:footnoteRef/>
      </w:r>
      <w:r>
        <w:t xml:space="preserve">    NER, cl 6A.7.4(a)</w:t>
      </w:r>
    </w:p>
  </w:footnote>
  <w:footnote w:id="7">
    <w:p w:rsidR="00FC6976" w:rsidRDefault="00FC6976" w:rsidP="00581953">
      <w:pPr>
        <w:pStyle w:val="FootnoteText"/>
      </w:pPr>
      <w:r>
        <w:rPr>
          <w:rStyle w:val="FootnoteReference"/>
        </w:rPr>
        <w:footnoteRef/>
      </w:r>
      <w:r>
        <w:t xml:space="preserve"> </w:t>
      </w:r>
      <w:r>
        <w:tab/>
        <w:t xml:space="preserve">NER, cl. 6A.7.4(b)(1). </w:t>
      </w:r>
    </w:p>
  </w:footnote>
  <w:footnote w:id="8">
    <w:p w:rsidR="00FC6976" w:rsidRDefault="00FC6976" w:rsidP="00581953">
      <w:pPr>
        <w:pStyle w:val="FootnoteText"/>
      </w:pPr>
      <w:r>
        <w:rPr>
          <w:rStyle w:val="FootnoteReference"/>
        </w:rPr>
        <w:footnoteRef/>
      </w:r>
      <w:r>
        <w:t xml:space="preserve"> </w:t>
      </w:r>
      <w:r>
        <w:tab/>
        <w:t>NER, cl. 6A.7.4(b)(3).</w:t>
      </w:r>
    </w:p>
  </w:footnote>
  <w:footnote w:id="9">
    <w:p w:rsidR="00FC6976" w:rsidRDefault="00FC6976">
      <w:pPr>
        <w:pStyle w:val="FootnoteText"/>
      </w:pPr>
      <w:r>
        <w:rPr>
          <w:rStyle w:val="FootnoteReference"/>
        </w:rPr>
        <w:footnoteRef/>
      </w:r>
      <w:r>
        <w:t xml:space="preserve">   STPIS, version 4, cl 2.2(d)</w:t>
      </w:r>
    </w:p>
  </w:footnote>
  <w:footnote w:id="10">
    <w:p w:rsidR="00FC6976" w:rsidRDefault="00FC6976" w:rsidP="00581953">
      <w:pPr>
        <w:pStyle w:val="FootnoteText"/>
      </w:pPr>
      <w:r>
        <w:rPr>
          <w:rStyle w:val="FootnoteReference"/>
        </w:rPr>
        <w:footnoteRef/>
      </w:r>
      <w:r>
        <w:t xml:space="preserve">   STPIS, version 5, section 6</w:t>
      </w:r>
    </w:p>
  </w:footnote>
  <w:footnote w:id="11">
    <w:p w:rsidR="00891556" w:rsidRDefault="00891556" w:rsidP="00891556">
      <w:pPr>
        <w:pStyle w:val="FootnoteText"/>
      </w:pPr>
      <w:r>
        <w:rPr>
          <w:rStyle w:val="FootnoteReference"/>
        </w:rPr>
        <w:footnoteRef/>
      </w:r>
      <w:r>
        <w:t xml:space="preserve">  STPIS, version 5, section 3.2</w:t>
      </w:r>
    </w:p>
  </w:footnote>
  <w:footnote w:id="12">
    <w:p w:rsidR="00891556" w:rsidRDefault="00891556" w:rsidP="00891556">
      <w:pPr>
        <w:pStyle w:val="FootnoteText"/>
      </w:pPr>
      <w:r>
        <w:rPr>
          <w:rStyle w:val="FootnoteReference"/>
        </w:rPr>
        <w:footnoteRef/>
      </w:r>
      <w:r>
        <w:t xml:space="preserve">  STPIS, version 5, section 4.2(a)</w:t>
      </w:r>
    </w:p>
  </w:footnote>
  <w:footnote w:id="13">
    <w:p w:rsidR="00891556" w:rsidRDefault="00891556" w:rsidP="00891556">
      <w:pPr>
        <w:pStyle w:val="FootnoteText"/>
      </w:pPr>
      <w:r>
        <w:rPr>
          <w:rStyle w:val="FootnoteReference"/>
        </w:rPr>
        <w:footnoteRef/>
      </w:r>
      <w:r>
        <w:t xml:space="preserve">  STPIS, version 5, section 4.2(b)</w:t>
      </w:r>
    </w:p>
  </w:footnote>
  <w:footnote w:id="14">
    <w:p w:rsidR="00891556" w:rsidRDefault="00891556" w:rsidP="00891556">
      <w:pPr>
        <w:pStyle w:val="FootnoteText"/>
      </w:pPr>
      <w:r>
        <w:rPr>
          <w:rStyle w:val="FootnoteReference"/>
        </w:rPr>
        <w:footnoteRef/>
      </w:r>
      <w:r>
        <w:t xml:space="preserve">  STPIS, version 5, October 2015 </w:t>
      </w:r>
    </w:p>
  </w:footnote>
  <w:footnote w:id="15">
    <w:p w:rsidR="00FC6976" w:rsidRDefault="00FC6976" w:rsidP="00581953">
      <w:pPr>
        <w:pStyle w:val="FootnoteText"/>
      </w:pPr>
      <w:r>
        <w:rPr>
          <w:rStyle w:val="FootnoteReference"/>
        </w:rPr>
        <w:footnoteRef/>
      </w:r>
      <w:r>
        <w:t xml:space="preserve">  STPIS, version 5, Appendix A and B</w:t>
      </w:r>
    </w:p>
  </w:footnote>
  <w:footnote w:id="16">
    <w:p w:rsidR="00FC6976" w:rsidRDefault="00FC6976" w:rsidP="00581953">
      <w:pPr>
        <w:pStyle w:val="FootnoteText"/>
      </w:pPr>
      <w:r>
        <w:rPr>
          <w:rStyle w:val="FootnoteReference"/>
        </w:rPr>
        <w:footnoteRef/>
      </w:r>
      <w:r>
        <w:t xml:space="preserve">  STPIS, version 5, cl 3.2(l)</w:t>
      </w:r>
    </w:p>
  </w:footnote>
  <w:footnote w:id="17">
    <w:p w:rsidR="00FC6976" w:rsidRDefault="00FC6976" w:rsidP="00581953">
      <w:pPr>
        <w:pStyle w:val="FootnoteText"/>
      </w:pPr>
      <w:r>
        <w:rPr>
          <w:rStyle w:val="FootnoteReference"/>
        </w:rPr>
        <w:footnoteRef/>
      </w:r>
      <w:r>
        <w:t xml:space="preserve">  STPIS, version 5, cl 4.3</w:t>
      </w:r>
    </w:p>
  </w:footnote>
  <w:footnote w:id="18">
    <w:p w:rsidR="00FC6976" w:rsidRDefault="00FC6976" w:rsidP="00581953">
      <w:pPr>
        <w:pStyle w:val="FootnoteText"/>
      </w:pPr>
      <w:r>
        <w:rPr>
          <w:rStyle w:val="FootnoteReference"/>
        </w:rPr>
        <w:footnoteRef/>
      </w:r>
      <w:r>
        <w:t xml:space="preserve">  </w:t>
      </w:r>
      <w:r w:rsidRPr="00C96664">
        <w:t xml:space="preserve">Specifically, clause 4.2(f)(1)-(5) applies to </w:t>
      </w:r>
      <w:r>
        <w:t>Murraylink</w:t>
      </w:r>
      <w:r w:rsidRPr="00C96664">
        <w:t xml:space="preserve"> because it is commencing STPIS version 5</w:t>
      </w:r>
      <w:r>
        <w:t xml:space="preserve"> during the forthcoming regulatory control period and t</w:t>
      </w:r>
      <w:r w:rsidRPr="00C96664">
        <w:t xml:space="preserve">herefore, </w:t>
      </w:r>
      <w:r>
        <w:t xml:space="preserve"> Appendix F–E</w:t>
      </w:r>
      <w:r w:rsidRPr="00C96664">
        <w:t>xample 1 is relevant.</w:t>
      </w:r>
    </w:p>
  </w:footnote>
  <w:footnote w:id="19">
    <w:p w:rsidR="00FC6976" w:rsidRDefault="00FC6976" w:rsidP="00A21E37">
      <w:pPr>
        <w:pStyle w:val="FootnoteText"/>
      </w:pPr>
      <w:r>
        <w:rPr>
          <w:rStyle w:val="FootnoteReference"/>
        </w:rPr>
        <w:footnoteRef/>
      </w:r>
      <w:r>
        <w:t xml:space="preserve"> </w:t>
      </w:r>
      <w:r>
        <w:tab/>
        <w:t xml:space="preserve">NER, cl. </w:t>
      </w:r>
      <w:r w:rsidRPr="007B57F9">
        <w:t>6A.6.5(a)</w:t>
      </w:r>
      <w:r>
        <w:t>.</w:t>
      </w:r>
    </w:p>
  </w:footnote>
  <w:footnote w:id="20">
    <w:p w:rsidR="00FC6976" w:rsidRDefault="00FC6976" w:rsidP="00A21E37">
      <w:pPr>
        <w:pStyle w:val="FootnoteText"/>
      </w:pPr>
      <w:r>
        <w:rPr>
          <w:rStyle w:val="FootnoteReference"/>
        </w:rPr>
        <w:footnoteRef/>
      </w:r>
      <w:r>
        <w:t xml:space="preserve"> </w:t>
      </w:r>
      <w:r>
        <w:tab/>
        <w:t>NER, cl. 6A.6.5(b).</w:t>
      </w:r>
    </w:p>
  </w:footnote>
  <w:footnote w:id="21">
    <w:p w:rsidR="00FC6976" w:rsidRDefault="00FC6976" w:rsidP="00604D2C">
      <w:pPr>
        <w:pStyle w:val="FootnoteText"/>
      </w:pPr>
      <w:r>
        <w:rPr>
          <w:rStyle w:val="FootnoteReference"/>
        </w:rPr>
        <w:footnoteRef/>
      </w:r>
      <w:r>
        <w:t xml:space="preserve"> </w:t>
      </w:r>
      <w:r>
        <w:tab/>
      </w:r>
      <w:r w:rsidRPr="00784DA1">
        <w:t>We will no longer allow for specific exclusions such as uncontrollable opex or for changes in opex due to unexpected increases or decreases in network growth. We may also exclude categories of opex not forecast using a single year revealed cost approach from the scheme on an ex post basis if doing so better achieves the requirements of the rules.</w:t>
      </w:r>
    </w:p>
  </w:footnote>
  <w:footnote w:id="22">
    <w:p w:rsidR="00FC6976" w:rsidRDefault="00FC6976" w:rsidP="00604D2C">
      <w:pPr>
        <w:pStyle w:val="FootnoteText"/>
      </w:pPr>
      <w:r>
        <w:rPr>
          <w:rStyle w:val="FootnoteReference"/>
        </w:rPr>
        <w:footnoteRef/>
      </w:r>
      <w:r>
        <w:t xml:space="preserve"> </w:t>
      </w:r>
      <w:r>
        <w:tab/>
        <w:t xml:space="preserve">AER, </w:t>
      </w:r>
      <w:r w:rsidRPr="00B43829">
        <w:rPr>
          <w:rStyle w:val="Emphasis"/>
        </w:rPr>
        <w:t>Efficiency benefit sharing scheme</w:t>
      </w:r>
      <w:r>
        <w:t>, 29 November 2013.</w:t>
      </w:r>
    </w:p>
  </w:footnote>
  <w:footnote w:id="23">
    <w:p w:rsidR="00FC6976" w:rsidRDefault="00FC6976" w:rsidP="00604D2C">
      <w:pPr>
        <w:pStyle w:val="FootnoteText"/>
      </w:pPr>
      <w:r>
        <w:rPr>
          <w:rStyle w:val="FootnoteReference"/>
        </w:rPr>
        <w:footnoteRef/>
      </w:r>
      <w:r>
        <w:t xml:space="preserve"> </w:t>
      </w:r>
      <w:r>
        <w:tab/>
        <w:t>NER, cl. 6A.6.5(a).</w:t>
      </w:r>
    </w:p>
  </w:footnote>
  <w:footnote w:id="24">
    <w:p w:rsidR="00FC6976" w:rsidRDefault="00FC6976" w:rsidP="00604D2C">
      <w:pPr>
        <w:pStyle w:val="FootnoteText"/>
      </w:pPr>
      <w:r>
        <w:rPr>
          <w:rStyle w:val="FootnoteReference"/>
        </w:rPr>
        <w:footnoteRef/>
      </w:r>
      <w:r>
        <w:t xml:space="preserve"> </w:t>
      </w:r>
      <w:r>
        <w:tab/>
      </w:r>
      <w:r w:rsidRPr="004A0E4D">
        <w:t xml:space="preserve">NER, </w:t>
      </w:r>
      <w:r>
        <w:t>cl. 6A.6.5(b) and 6A.6.5(a).</w:t>
      </w:r>
    </w:p>
  </w:footnote>
  <w:footnote w:id="25">
    <w:p w:rsidR="00FC6976" w:rsidRDefault="00FC6976" w:rsidP="00604D2C">
      <w:pPr>
        <w:pStyle w:val="FootnoteText"/>
      </w:pPr>
      <w:r>
        <w:rPr>
          <w:rStyle w:val="FootnoteReference"/>
        </w:rPr>
        <w:footnoteRef/>
      </w:r>
      <w:r>
        <w:t xml:space="preserve"> </w:t>
      </w:r>
      <w:r>
        <w:tab/>
      </w:r>
      <w:r w:rsidRPr="001E5CDC">
        <w:t xml:space="preserve">NER, </w:t>
      </w:r>
      <w:r>
        <w:t xml:space="preserve">cl. </w:t>
      </w:r>
      <w:r w:rsidRPr="001D68F7">
        <w:t>6A.6.5(b)(1)</w:t>
      </w:r>
      <w:r>
        <w:t>.</w:t>
      </w:r>
    </w:p>
  </w:footnote>
  <w:footnote w:id="26">
    <w:p w:rsidR="00FC6976" w:rsidRDefault="00FC6976" w:rsidP="00604D2C">
      <w:pPr>
        <w:pStyle w:val="FootnoteText"/>
      </w:pPr>
      <w:r>
        <w:rPr>
          <w:rStyle w:val="FootnoteReference"/>
        </w:rPr>
        <w:footnoteRef/>
      </w:r>
      <w:r>
        <w:t xml:space="preserve"> </w:t>
      </w:r>
      <w:r>
        <w:tab/>
        <w:t>NER, cl. 6A.6.5(b)(3</w:t>
      </w:r>
      <w:r w:rsidRPr="00256B51">
        <w:t>).</w:t>
      </w:r>
    </w:p>
  </w:footnote>
  <w:footnote w:id="27">
    <w:p w:rsidR="00FC6976" w:rsidRDefault="00FC6976" w:rsidP="00604D2C">
      <w:pPr>
        <w:pStyle w:val="FootnoteText"/>
      </w:pPr>
      <w:r>
        <w:rPr>
          <w:rStyle w:val="FootnoteReference"/>
        </w:rPr>
        <w:footnoteRef/>
      </w:r>
      <w:r>
        <w:t xml:space="preserve"> </w:t>
      </w:r>
      <w:r>
        <w:tab/>
        <w:t>NER, cl. 6A.6.5(b)(4</w:t>
      </w:r>
      <w:r w:rsidRPr="00256B51">
        <w:t>).</w:t>
      </w:r>
    </w:p>
  </w:footnote>
  <w:footnote w:id="28">
    <w:p w:rsidR="00FC6976" w:rsidRDefault="00FC6976" w:rsidP="00604D2C">
      <w:pPr>
        <w:pStyle w:val="FootnoteText"/>
      </w:pPr>
      <w:r>
        <w:rPr>
          <w:rStyle w:val="FootnoteReference"/>
        </w:rPr>
        <w:footnoteRef/>
      </w:r>
      <w:r>
        <w:t xml:space="preserve"> </w:t>
      </w:r>
      <w:r>
        <w:tab/>
        <w:t>When the TNSP spends more on opex it receives a 30 per cent penalty under the EBSS. However, when there is a corresponding decrease in capex the TNSP receives a 30 per cent reward under the CESS. So where the decrease in capex is larger than the increase in opex the TNSP receives a larger reward than penalty, a net reward.</w:t>
      </w:r>
    </w:p>
  </w:footnote>
  <w:footnote w:id="29">
    <w:p w:rsidR="00FC6976" w:rsidRDefault="00FC6976" w:rsidP="00604D2C">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30">
    <w:p w:rsidR="00FC6976" w:rsidRDefault="00FC6976">
      <w:pPr>
        <w:pStyle w:val="FootnoteText"/>
      </w:pPr>
      <w:r>
        <w:rPr>
          <w:rStyle w:val="FootnoteReference"/>
        </w:rPr>
        <w:footnoteRef/>
      </w:r>
      <w:r>
        <w:t xml:space="preserve"> </w:t>
      </w:r>
      <w:r>
        <w:tab/>
        <w:t xml:space="preserve">We calculate the benefits to the TNSP of financing the underspend since the amount of the underspend can be put to other income generating use during the period. Losses are similarly calculated as the financing cost to the TNSP of the overspend. </w:t>
      </w:r>
    </w:p>
  </w:footnote>
  <w:footnote w:id="31">
    <w:p w:rsidR="00FC6976" w:rsidRDefault="00FC6976" w:rsidP="00A21E37">
      <w:pPr>
        <w:pStyle w:val="FootnoteText"/>
      </w:pPr>
      <w:r>
        <w:rPr>
          <w:rStyle w:val="FootnoteReference"/>
        </w:rPr>
        <w:footnoteRef/>
      </w:r>
      <w:r>
        <w:t xml:space="preserve"> </w:t>
      </w:r>
      <w:r>
        <w:tab/>
        <w:t>NER, cl. 6A.6.5A.</w:t>
      </w:r>
    </w:p>
  </w:footnote>
  <w:footnote w:id="32">
    <w:p w:rsidR="00FC6976" w:rsidRDefault="00FC6976" w:rsidP="00A21E37">
      <w:pPr>
        <w:pStyle w:val="FootnoteText"/>
      </w:pPr>
      <w:r>
        <w:rPr>
          <w:rStyle w:val="FootnoteReference"/>
        </w:rPr>
        <w:footnoteRef/>
      </w:r>
      <w:r>
        <w:t xml:space="preserve"> </w:t>
      </w:r>
      <w:r>
        <w:tab/>
        <w:t>NER, cl. 6A.5A(a); the capex criteria are set out in cl. 6A.6.7(c)(1)</w:t>
      </w:r>
      <w:r>
        <w:rPr>
          <w:rFonts w:cs="Arial"/>
        </w:rPr>
        <w:t>−</w:t>
      </w:r>
      <w:r>
        <w:t>(3) of the NER.</w:t>
      </w:r>
    </w:p>
  </w:footnote>
  <w:footnote w:id="33">
    <w:p w:rsidR="00FC6976" w:rsidRDefault="00FC6976" w:rsidP="00A21E37">
      <w:pPr>
        <w:pStyle w:val="FootnoteText"/>
      </w:pPr>
      <w:r>
        <w:rPr>
          <w:rStyle w:val="FootnoteReference"/>
        </w:rPr>
        <w:footnoteRef/>
      </w:r>
      <w:r>
        <w:t xml:space="preserve"> </w:t>
      </w:r>
      <w:r>
        <w:tab/>
        <w:t>NER, cl. 6A.6.5A(c).</w:t>
      </w:r>
    </w:p>
  </w:footnote>
  <w:footnote w:id="34">
    <w:p w:rsidR="00FC6976" w:rsidRDefault="00FC6976" w:rsidP="00A21E37">
      <w:pPr>
        <w:pStyle w:val="FootnoteText"/>
      </w:pPr>
      <w:r>
        <w:rPr>
          <w:rStyle w:val="FootnoteReference"/>
        </w:rPr>
        <w:footnoteRef/>
      </w:r>
      <w:r>
        <w:t xml:space="preserve"> </w:t>
      </w:r>
      <w:r>
        <w:tab/>
        <w:t>NER, cl. 6A.6.7(a).</w:t>
      </w:r>
    </w:p>
  </w:footnote>
  <w:footnote w:id="35">
    <w:p w:rsidR="00FC6976" w:rsidRDefault="00FC6976">
      <w:pPr>
        <w:pStyle w:val="FootnoteText"/>
      </w:pPr>
      <w:r>
        <w:rPr>
          <w:rStyle w:val="FootnoteReference"/>
        </w:rPr>
        <w:footnoteRef/>
      </w:r>
      <w:r>
        <w:t xml:space="preserve"> </w:t>
      </w:r>
      <w:r>
        <w:tab/>
        <w:t xml:space="preserve">AER, </w:t>
      </w:r>
      <w:r w:rsidRPr="00000D61">
        <w:rPr>
          <w:rStyle w:val="Emphasis"/>
        </w:rPr>
        <w:t>Capital expenditure incentive guideline for electricity network service providers</w:t>
      </w:r>
      <w:r>
        <w:t>, November 2013, pp. 5</w:t>
      </w:r>
      <w:r>
        <w:rPr>
          <w:rFonts w:cs="Arial"/>
        </w:rPr>
        <w:t>−</w:t>
      </w:r>
      <w:r>
        <w:t>9.</w:t>
      </w:r>
    </w:p>
  </w:footnote>
  <w:footnote w:id="36">
    <w:p w:rsidR="00FC6976" w:rsidRDefault="00FC6976">
      <w:pPr>
        <w:pStyle w:val="FootnoteText"/>
      </w:pPr>
      <w:r>
        <w:rPr>
          <w:rStyle w:val="FootnoteReference"/>
        </w:rPr>
        <w:footnoteRef/>
      </w:r>
      <w:r>
        <w:t xml:space="preserve"> </w:t>
      </w:r>
      <w:r>
        <w:tab/>
        <w:t xml:space="preserve">AER, </w:t>
      </w:r>
      <w:r w:rsidRPr="00000D61">
        <w:rPr>
          <w:rStyle w:val="Emphasis"/>
        </w:rPr>
        <w:t>Capital expenditure incentive guideline for electricity network service providers</w:t>
      </w:r>
      <w:r>
        <w:t>, November 2013, pp. 10</w:t>
      </w:r>
      <w:r>
        <w:rPr>
          <w:rFonts w:cs="Arial"/>
        </w:rPr>
        <w:t>−</w:t>
      </w:r>
      <w:r>
        <w:t>11.</w:t>
      </w:r>
    </w:p>
  </w:footnote>
  <w:footnote w:id="37">
    <w:p w:rsidR="00FC6976" w:rsidRDefault="00FC6976">
      <w:pPr>
        <w:pStyle w:val="FootnoteText"/>
      </w:pPr>
      <w:r>
        <w:rPr>
          <w:rStyle w:val="FootnoteReference"/>
        </w:rPr>
        <w:footnoteRef/>
      </w:r>
      <w:r>
        <w:t xml:space="preserve"> </w:t>
      </w:r>
      <w:r>
        <w:tab/>
        <w:t xml:space="preserve">As the end of a regulatory control period approaches, the time available for the TNSP to retain any savings gets shorter. So the earlier a TNSP incurs an underspend in the regulatory control period, the greater its reward will be. </w:t>
      </w:r>
    </w:p>
  </w:footnote>
  <w:footnote w:id="38">
    <w:p w:rsidR="00FC6976" w:rsidRDefault="00FC6976">
      <w:pPr>
        <w:pStyle w:val="FootnoteText"/>
      </w:pPr>
      <w:r>
        <w:rPr>
          <w:rStyle w:val="FootnoteReference"/>
        </w:rPr>
        <w:footnoteRef/>
      </w:r>
      <w:r>
        <w:t xml:space="preserve"> </w:t>
      </w:r>
      <w:r>
        <w:tab/>
        <w:t xml:space="preserve">The first version of the guideline was published on 29 November 2013. It can be located at </w:t>
      </w:r>
      <w:hyperlink r:id="rId2" w:history="1">
        <w:r w:rsidRPr="00AD6419">
          <w:rPr>
            <w:rStyle w:val="Hyperlink"/>
            <w:sz w:val="16"/>
          </w:rPr>
          <w:t>www.aer.gov.au/node/18864</w:t>
        </w:r>
      </w:hyperlink>
      <w:r>
        <w:t xml:space="preserve">. </w:t>
      </w:r>
    </w:p>
  </w:footnote>
  <w:footnote w:id="39">
    <w:p w:rsidR="00FC6976" w:rsidRDefault="00FC6976">
      <w:pPr>
        <w:pStyle w:val="FootnoteText"/>
      </w:pPr>
      <w:r>
        <w:rPr>
          <w:rStyle w:val="FootnoteReference"/>
        </w:rPr>
        <w:footnoteRef/>
      </w:r>
      <w:r>
        <w:t xml:space="preserve"> </w:t>
      </w:r>
      <w:r>
        <w:tab/>
        <w:t>NER, cl. 6A.10.1B(b)(1).</w:t>
      </w:r>
    </w:p>
  </w:footnote>
  <w:footnote w:id="40">
    <w:p w:rsidR="00FC6976" w:rsidRDefault="00FC6976">
      <w:pPr>
        <w:pStyle w:val="FootnoteText"/>
      </w:pPr>
      <w:r>
        <w:rPr>
          <w:rStyle w:val="FootnoteReference"/>
        </w:rPr>
        <w:footnoteRef/>
      </w:r>
      <w:r>
        <w:t xml:space="preserve"> </w:t>
      </w:r>
      <w:r>
        <w:tab/>
        <w:t>NER, cl. 6A.10.1A(b)(5).</w:t>
      </w:r>
    </w:p>
  </w:footnote>
  <w:footnote w:id="41">
    <w:p w:rsidR="00FC6976" w:rsidRDefault="00FC6976">
      <w:pPr>
        <w:pStyle w:val="FootnoteText"/>
      </w:pPr>
      <w:r>
        <w:rPr>
          <w:rStyle w:val="FootnoteReference"/>
        </w:rPr>
        <w:footnoteRef/>
      </w:r>
      <w:r>
        <w:t xml:space="preserve"> </w:t>
      </w:r>
      <w:r>
        <w:tab/>
        <w:t xml:space="preserve">AER, </w:t>
      </w:r>
      <w:r w:rsidRPr="00B64CFF">
        <w:rPr>
          <w:rStyle w:val="Emphasis"/>
        </w:rPr>
        <w:t>Capital expenditure incentive guideline for electricity network service providers</w:t>
      </w:r>
      <w:r>
        <w:t>, November 2013, pp. 10</w:t>
      </w:r>
      <w:r>
        <w:rPr>
          <w:rFonts w:cs="Arial"/>
        </w:rPr>
        <w:t>−</w:t>
      </w:r>
      <w:r>
        <w:t>11.</w:t>
      </w:r>
    </w:p>
  </w:footnote>
  <w:footnote w:id="42">
    <w:p w:rsidR="00FC6976" w:rsidRDefault="00FC6976" w:rsidP="002129A6">
      <w:pPr>
        <w:pStyle w:val="FootnoteText"/>
      </w:pPr>
      <w:r>
        <w:rPr>
          <w:rStyle w:val="FootnoteReference"/>
        </w:rPr>
        <w:footnoteRef/>
      </w:r>
      <w:r>
        <w:t xml:space="preserve"> </w:t>
      </w:r>
      <w:r>
        <w:tab/>
        <w:t>NER, cl. S6A.2.2B.</w:t>
      </w:r>
    </w:p>
  </w:footnote>
  <w:footnote w:id="43">
    <w:p w:rsidR="00FC6976" w:rsidRDefault="00FC6976" w:rsidP="002129A6">
      <w:pPr>
        <w:pStyle w:val="FootnoteText"/>
      </w:pPr>
      <w:r>
        <w:rPr>
          <w:rStyle w:val="FootnoteReference"/>
        </w:rPr>
        <w:footnoteRef/>
      </w:r>
      <w:r>
        <w:t xml:space="preserve"> </w:t>
      </w:r>
      <w:r>
        <w:tab/>
        <w:t>NER, cl. 6A.5A(b)(3).</w:t>
      </w:r>
    </w:p>
  </w:footnote>
  <w:footnote w:id="44">
    <w:p w:rsidR="00FC6976" w:rsidRDefault="00FC6976" w:rsidP="002129A6">
      <w:pPr>
        <w:pStyle w:val="FootnoteText"/>
      </w:pPr>
      <w:r>
        <w:rPr>
          <w:rStyle w:val="FootnoteReference"/>
        </w:rPr>
        <w:footnoteRef/>
      </w:r>
      <w:r>
        <w:t xml:space="preserve"> </w:t>
      </w:r>
      <w:r>
        <w:tab/>
        <w:t>NER, cl. S6A.2.2B.</w:t>
      </w:r>
    </w:p>
  </w:footnote>
  <w:footnote w:id="45">
    <w:p w:rsidR="00FC6976" w:rsidRDefault="00FC6976">
      <w:pPr>
        <w:pStyle w:val="FootnoteText"/>
      </w:pPr>
      <w:r>
        <w:rPr>
          <w:rStyle w:val="FootnoteReference"/>
        </w:rPr>
        <w:footnoteRef/>
      </w:r>
      <w:r>
        <w:t xml:space="preserve"> </w:t>
      </w:r>
      <w:r>
        <w:tab/>
        <w:t xml:space="preserve">Our ex post capex measures are set out in the capex incentive guideline, AER, </w:t>
      </w:r>
      <w:r w:rsidRPr="00B64CFF">
        <w:rPr>
          <w:rStyle w:val="Emphasis"/>
        </w:rPr>
        <w:t>Capital expenditure incentive guideline for electricity network service providers</w:t>
      </w:r>
      <w:r>
        <w:t>, November 2013, pp. 13</w:t>
      </w:r>
      <w:r>
        <w:rPr>
          <w:rFonts w:cs="Arial"/>
        </w:rPr>
        <w:t>−</w:t>
      </w:r>
      <w:r>
        <w:t>19. The guideline also sets out how all our capex incentive measures are consistent with the capex incentive objective. See pp. 20</w:t>
      </w:r>
      <w:r>
        <w:rPr>
          <w:rFonts w:cs="Arial"/>
        </w:rPr>
        <w:t>−</w:t>
      </w:r>
      <w:r>
        <w:t>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DE" w:rsidRDefault="002061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DE" w:rsidRDefault="002061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DE" w:rsidRDefault="002061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1487971"/>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0"/>
  </w:num>
  <w:num w:numId="27">
    <w:abstractNumId w:val="9"/>
  </w:num>
  <w:num w:numId="28">
    <w:abstractNumId w:val="15"/>
  </w:num>
  <w:num w:numId="29">
    <w:abstractNumId w:val="10"/>
  </w:num>
  <w:num w:numId="30">
    <w:abstractNumId w:val="24"/>
  </w:num>
  <w:num w:numId="31">
    <w:abstractNumId w:val="23"/>
  </w:num>
  <w:num w:numId="32">
    <w:abstractNumId w:val="20"/>
  </w:num>
  <w:num w:numId="33">
    <w:abstractNumId w:val="9"/>
  </w:num>
  <w:num w:numId="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8192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96\D16 53714  AER - F&amp;A Murraylink 2018-23 FINAL.DOCX"/>
  </w:docVars>
  <w:rsids>
    <w:rsidRoot w:val="006301A0"/>
    <w:rsid w:val="00000D61"/>
    <w:rsid w:val="000079E3"/>
    <w:rsid w:val="000205F4"/>
    <w:rsid w:val="00021202"/>
    <w:rsid w:val="0002517F"/>
    <w:rsid w:val="0003578C"/>
    <w:rsid w:val="00042DF7"/>
    <w:rsid w:val="000517DC"/>
    <w:rsid w:val="0005417E"/>
    <w:rsid w:val="00063247"/>
    <w:rsid w:val="00070F9F"/>
    <w:rsid w:val="0007137B"/>
    <w:rsid w:val="00074341"/>
    <w:rsid w:val="00085663"/>
    <w:rsid w:val="00085EBF"/>
    <w:rsid w:val="0008758C"/>
    <w:rsid w:val="00094282"/>
    <w:rsid w:val="000A1880"/>
    <w:rsid w:val="000A5FD1"/>
    <w:rsid w:val="000A6C7B"/>
    <w:rsid w:val="000A78FB"/>
    <w:rsid w:val="000B7052"/>
    <w:rsid w:val="000D122C"/>
    <w:rsid w:val="000E1819"/>
    <w:rsid w:val="000E6C72"/>
    <w:rsid w:val="000E7B7E"/>
    <w:rsid w:val="000F5167"/>
    <w:rsid w:val="000F6A68"/>
    <w:rsid w:val="00105782"/>
    <w:rsid w:val="00107CC7"/>
    <w:rsid w:val="00116EB2"/>
    <w:rsid w:val="00124609"/>
    <w:rsid w:val="00130C3C"/>
    <w:rsid w:val="001449AD"/>
    <w:rsid w:val="0014573B"/>
    <w:rsid w:val="00154B99"/>
    <w:rsid w:val="001573E4"/>
    <w:rsid w:val="00160756"/>
    <w:rsid w:val="00161EAC"/>
    <w:rsid w:val="00164494"/>
    <w:rsid w:val="00166A11"/>
    <w:rsid w:val="00170114"/>
    <w:rsid w:val="0017232E"/>
    <w:rsid w:val="00174102"/>
    <w:rsid w:val="00180157"/>
    <w:rsid w:val="00182906"/>
    <w:rsid w:val="00185CB9"/>
    <w:rsid w:val="00186F77"/>
    <w:rsid w:val="001926A4"/>
    <w:rsid w:val="00192AD5"/>
    <w:rsid w:val="001B2B3B"/>
    <w:rsid w:val="001B325F"/>
    <w:rsid w:val="001B45A0"/>
    <w:rsid w:val="001D055E"/>
    <w:rsid w:val="001F1B0B"/>
    <w:rsid w:val="001F492E"/>
    <w:rsid w:val="001F6DA3"/>
    <w:rsid w:val="001F7F47"/>
    <w:rsid w:val="002010BC"/>
    <w:rsid w:val="00202E03"/>
    <w:rsid w:val="0020492C"/>
    <w:rsid w:val="00205A51"/>
    <w:rsid w:val="002061DE"/>
    <w:rsid w:val="00207FDC"/>
    <w:rsid w:val="002129A6"/>
    <w:rsid w:val="00224DB9"/>
    <w:rsid w:val="00233775"/>
    <w:rsid w:val="00237C1D"/>
    <w:rsid w:val="0025142A"/>
    <w:rsid w:val="00251745"/>
    <w:rsid w:val="00263AC0"/>
    <w:rsid w:val="0026772D"/>
    <w:rsid w:val="00284089"/>
    <w:rsid w:val="00286874"/>
    <w:rsid w:val="00296B65"/>
    <w:rsid w:val="002A7DEF"/>
    <w:rsid w:val="002C5559"/>
    <w:rsid w:val="002D0B3D"/>
    <w:rsid w:val="002E1BE5"/>
    <w:rsid w:val="002E2BFC"/>
    <w:rsid w:val="002E5503"/>
    <w:rsid w:val="002F7986"/>
    <w:rsid w:val="00301B40"/>
    <w:rsid w:val="00305CC8"/>
    <w:rsid w:val="00307F6D"/>
    <w:rsid w:val="003177A2"/>
    <w:rsid w:val="003271B5"/>
    <w:rsid w:val="00327A1E"/>
    <w:rsid w:val="00331264"/>
    <w:rsid w:val="00334C8D"/>
    <w:rsid w:val="00344913"/>
    <w:rsid w:val="003518B3"/>
    <w:rsid w:val="00354D5C"/>
    <w:rsid w:val="00384055"/>
    <w:rsid w:val="003846F1"/>
    <w:rsid w:val="003A01DF"/>
    <w:rsid w:val="003A66C7"/>
    <w:rsid w:val="003A6B54"/>
    <w:rsid w:val="003B4CB5"/>
    <w:rsid w:val="003C126C"/>
    <w:rsid w:val="003C3EF2"/>
    <w:rsid w:val="003D34D8"/>
    <w:rsid w:val="003D61F0"/>
    <w:rsid w:val="003E12D3"/>
    <w:rsid w:val="003E1A48"/>
    <w:rsid w:val="00401B81"/>
    <w:rsid w:val="004224BC"/>
    <w:rsid w:val="00424ED8"/>
    <w:rsid w:val="00426FF9"/>
    <w:rsid w:val="00451BE5"/>
    <w:rsid w:val="00463B32"/>
    <w:rsid w:val="00473412"/>
    <w:rsid w:val="00480B4B"/>
    <w:rsid w:val="00485DC4"/>
    <w:rsid w:val="00490507"/>
    <w:rsid w:val="004A31FF"/>
    <w:rsid w:val="004A43D1"/>
    <w:rsid w:val="004B2688"/>
    <w:rsid w:val="004B4412"/>
    <w:rsid w:val="004C348C"/>
    <w:rsid w:val="004D1BEE"/>
    <w:rsid w:val="004D55BA"/>
    <w:rsid w:val="004D648E"/>
    <w:rsid w:val="004E22EC"/>
    <w:rsid w:val="004F2DC9"/>
    <w:rsid w:val="005059A3"/>
    <w:rsid w:val="00530128"/>
    <w:rsid w:val="00532467"/>
    <w:rsid w:val="0053251D"/>
    <w:rsid w:val="0056080A"/>
    <w:rsid w:val="00562632"/>
    <w:rsid w:val="0056320A"/>
    <w:rsid w:val="00564A4D"/>
    <w:rsid w:val="00567BA5"/>
    <w:rsid w:val="00571B35"/>
    <w:rsid w:val="00571D57"/>
    <w:rsid w:val="00575A07"/>
    <w:rsid w:val="00577A09"/>
    <w:rsid w:val="00581953"/>
    <w:rsid w:val="005829C2"/>
    <w:rsid w:val="00584D8F"/>
    <w:rsid w:val="005A404D"/>
    <w:rsid w:val="005B1E3C"/>
    <w:rsid w:val="005C26C3"/>
    <w:rsid w:val="005C26CC"/>
    <w:rsid w:val="005C4261"/>
    <w:rsid w:val="005F1962"/>
    <w:rsid w:val="005F6B63"/>
    <w:rsid w:val="0060235C"/>
    <w:rsid w:val="00604D2C"/>
    <w:rsid w:val="00615C6B"/>
    <w:rsid w:val="00617096"/>
    <w:rsid w:val="0062301B"/>
    <w:rsid w:val="006301A0"/>
    <w:rsid w:val="00632D6D"/>
    <w:rsid w:val="00642C3E"/>
    <w:rsid w:val="00652BC4"/>
    <w:rsid w:val="00663DAD"/>
    <w:rsid w:val="00667265"/>
    <w:rsid w:val="00670957"/>
    <w:rsid w:val="00674F38"/>
    <w:rsid w:val="00676679"/>
    <w:rsid w:val="00685B9C"/>
    <w:rsid w:val="006A6042"/>
    <w:rsid w:val="006A7BBD"/>
    <w:rsid w:val="006B4CF9"/>
    <w:rsid w:val="006B7AC8"/>
    <w:rsid w:val="006C1FEB"/>
    <w:rsid w:val="006D2871"/>
    <w:rsid w:val="006D550F"/>
    <w:rsid w:val="006F2832"/>
    <w:rsid w:val="00700160"/>
    <w:rsid w:val="00701CAB"/>
    <w:rsid w:val="00707563"/>
    <w:rsid w:val="00707BF8"/>
    <w:rsid w:val="0072348C"/>
    <w:rsid w:val="00724A37"/>
    <w:rsid w:val="00726C84"/>
    <w:rsid w:val="007303C3"/>
    <w:rsid w:val="00743223"/>
    <w:rsid w:val="00746E01"/>
    <w:rsid w:val="00757BDF"/>
    <w:rsid w:val="00763E5D"/>
    <w:rsid w:val="00767740"/>
    <w:rsid w:val="00777EE6"/>
    <w:rsid w:val="00782EEA"/>
    <w:rsid w:val="007A4D1F"/>
    <w:rsid w:val="007B2C72"/>
    <w:rsid w:val="007B655C"/>
    <w:rsid w:val="007C1C53"/>
    <w:rsid w:val="007C74BB"/>
    <w:rsid w:val="007D466F"/>
    <w:rsid w:val="007D47D7"/>
    <w:rsid w:val="007E4904"/>
    <w:rsid w:val="007E4CB5"/>
    <w:rsid w:val="007F066B"/>
    <w:rsid w:val="007F0C7B"/>
    <w:rsid w:val="008033C4"/>
    <w:rsid w:val="008038FE"/>
    <w:rsid w:val="00805834"/>
    <w:rsid w:val="00806C88"/>
    <w:rsid w:val="0081034E"/>
    <w:rsid w:val="00817D55"/>
    <w:rsid w:val="008344F6"/>
    <w:rsid w:val="0083510F"/>
    <w:rsid w:val="00840182"/>
    <w:rsid w:val="00843704"/>
    <w:rsid w:val="00851209"/>
    <w:rsid w:val="00864AEB"/>
    <w:rsid w:val="00881B1A"/>
    <w:rsid w:val="008837AC"/>
    <w:rsid w:val="00886613"/>
    <w:rsid w:val="008866BF"/>
    <w:rsid w:val="00891556"/>
    <w:rsid w:val="008978AA"/>
    <w:rsid w:val="008A2159"/>
    <w:rsid w:val="008A3E3C"/>
    <w:rsid w:val="008A5780"/>
    <w:rsid w:val="008A587D"/>
    <w:rsid w:val="008C5486"/>
    <w:rsid w:val="008D1661"/>
    <w:rsid w:val="008E432B"/>
    <w:rsid w:val="008E7031"/>
    <w:rsid w:val="008F2354"/>
    <w:rsid w:val="009233EE"/>
    <w:rsid w:val="00925C49"/>
    <w:rsid w:val="00930470"/>
    <w:rsid w:val="00936C3E"/>
    <w:rsid w:val="009460AA"/>
    <w:rsid w:val="00950BD7"/>
    <w:rsid w:val="00951978"/>
    <w:rsid w:val="009661DE"/>
    <w:rsid w:val="00966DC4"/>
    <w:rsid w:val="00976421"/>
    <w:rsid w:val="009776D0"/>
    <w:rsid w:val="009856B7"/>
    <w:rsid w:val="009873C3"/>
    <w:rsid w:val="00995AD7"/>
    <w:rsid w:val="009A5FC3"/>
    <w:rsid w:val="009B74B0"/>
    <w:rsid w:val="009C2B35"/>
    <w:rsid w:val="009D6B46"/>
    <w:rsid w:val="009E22B9"/>
    <w:rsid w:val="009E2573"/>
    <w:rsid w:val="009F4940"/>
    <w:rsid w:val="009F5BA1"/>
    <w:rsid w:val="00A02A88"/>
    <w:rsid w:val="00A02DDE"/>
    <w:rsid w:val="00A0562E"/>
    <w:rsid w:val="00A0726D"/>
    <w:rsid w:val="00A14DA4"/>
    <w:rsid w:val="00A21E37"/>
    <w:rsid w:val="00A22495"/>
    <w:rsid w:val="00A25622"/>
    <w:rsid w:val="00A3106B"/>
    <w:rsid w:val="00A32FBB"/>
    <w:rsid w:val="00A33125"/>
    <w:rsid w:val="00A4478A"/>
    <w:rsid w:val="00A44852"/>
    <w:rsid w:val="00A57D04"/>
    <w:rsid w:val="00A60023"/>
    <w:rsid w:val="00A60A26"/>
    <w:rsid w:val="00A61598"/>
    <w:rsid w:val="00A67735"/>
    <w:rsid w:val="00A75077"/>
    <w:rsid w:val="00A8305E"/>
    <w:rsid w:val="00A84F46"/>
    <w:rsid w:val="00A871F4"/>
    <w:rsid w:val="00AA3327"/>
    <w:rsid w:val="00AC1B2C"/>
    <w:rsid w:val="00AC3264"/>
    <w:rsid w:val="00AD0950"/>
    <w:rsid w:val="00AE0FA6"/>
    <w:rsid w:val="00AE1B40"/>
    <w:rsid w:val="00AE1BF1"/>
    <w:rsid w:val="00AF0857"/>
    <w:rsid w:val="00AF0DD2"/>
    <w:rsid w:val="00AF1B13"/>
    <w:rsid w:val="00AF1ED6"/>
    <w:rsid w:val="00AF448D"/>
    <w:rsid w:val="00B018AD"/>
    <w:rsid w:val="00B02B73"/>
    <w:rsid w:val="00B13048"/>
    <w:rsid w:val="00B13A36"/>
    <w:rsid w:val="00B14FAF"/>
    <w:rsid w:val="00B15446"/>
    <w:rsid w:val="00B1716D"/>
    <w:rsid w:val="00B17A1D"/>
    <w:rsid w:val="00B207A0"/>
    <w:rsid w:val="00B2724F"/>
    <w:rsid w:val="00B32A7A"/>
    <w:rsid w:val="00B37E38"/>
    <w:rsid w:val="00B43829"/>
    <w:rsid w:val="00B43FD3"/>
    <w:rsid w:val="00B46991"/>
    <w:rsid w:val="00B514DD"/>
    <w:rsid w:val="00B52AF0"/>
    <w:rsid w:val="00B554A4"/>
    <w:rsid w:val="00B55A06"/>
    <w:rsid w:val="00B56E03"/>
    <w:rsid w:val="00B64CFF"/>
    <w:rsid w:val="00B8080B"/>
    <w:rsid w:val="00B87C39"/>
    <w:rsid w:val="00B927D8"/>
    <w:rsid w:val="00BA3C98"/>
    <w:rsid w:val="00BA4665"/>
    <w:rsid w:val="00BB2FB2"/>
    <w:rsid w:val="00BB3304"/>
    <w:rsid w:val="00BD13C5"/>
    <w:rsid w:val="00BD2782"/>
    <w:rsid w:val="00BD3446"/>
    <w:rsid w:val="00BE0CB4"/>
    <w:rsid w:val="00BE1F1B"/>
    <w:rsid w:val="00BE47B5"/>
    <w:rsid w:val="00C106A9"/>
    <w:rsid w:val="00C25FA6"/>
    <w:rsid w:val="00C477FC"/>
    <w:rsid w:val="00C538A9"/>
    <w:rsid w:val="00C53B5A"/>
    <w:rsid w:val="00C54554"/>
    <w:rsid w:val="00C54F5A"/>
    <w:rsid w:val="00C569B4"/>
    <w:rsid w:val="00C66C96"/>
    <w:rsid w:val="00C67A92"/>
    <w:rsid w:val="00C839D1"/>
    <w:rsid w:val="00C85480"/>
    <w:rsid w:val="00C86679"/>
    <w:rsid w:val="00CA489E"/>
    <w:rsid w:val="00CA53F9"/>
    <w:rsid w:val="00CA5E88"/>
    <w:rsid w:val="00CB6080"/>
    <w:rsid w:val="00CB666B"/>
    <w:rsid w:val="00CC213C"/>
    <w:rsid w:val="00CC388B"/>
    <w:rsid w:val="00CC4ED4"/>
    <w:rsid w:val="00CC7F1D"/>
    <w:rsid w:val="00CE3D83"/>
    <w:rsid w:val="00D01CF0"/>
    <w:rsid w:val="00D036E9"/>
    <w:rsid w:val="00D0442A"/>
    <w:rsid w:val="00D3169C"/>
    <w:rsid w:val="00D61067"/>
    <w:rsid w:val="00D61388"/>
    <w:rsid w:val="00D61A54"/>
    <w:rsid w:val="00D64DEA"/>
    <w:rsid w:val="00D7168E"/>
    <w:rsid w:val="00D71E57"/>
    <w:rsid w:val="00D80893"/>
    <w:rsid w:val="00D81EF4"/>
    <w:rsid w:val="00D82404"/>
    <w:rsid w:val="00D8543C"/>
    <w:rsid w:val="00D92CF1"/>
    <w:rsid w:val="00D92D38"/>
    <w:rsid w:val="00D934DD"/>
    <w:rsid w:val="00D950F5"/>
    <w:rsid w:val="00DA37B1"/>
    <w:rsid w:val="00DB0F93"/>
    <w:rsid w:val="00DB1A67"/>
    <w:rsid w:val="00DB1C30"/>
    <w:rsid w:val="00DB2088"/>
    <w:rsid w:val="00DB5074"/>
    <w:rsid w:val="00DB723B"/>
    <w:rsid w:val="00DC7981"/>
    <w:rsid w:val="00DD4544"/>
    <w:rsid w:val="00DE4EFA"/>
    <w:rsid w:val="00DE5520"/>
    <w:rsid w:val="00E00B66"/>
    <w:rsid w:val="00E02F01"/>
    <w:rsid w:val="00E04818"/>
    <w:rsid w:val="00E06442"/>
    <w:rsid w:val="00E076BF"/>
    <w:rsid w:val="00E1282E"/>
    <w:rsid w:val="00E13485"/>
    <w:rsid w:val="00E137FB"/>
    <w:rsid w:val="00E13E7C"/>
    <w:rsid w:val="00E1498C"/>
    <w:rsid w:val="00E16751"/>
    <w:rsid w:val="00E22820"/>
    <w:rsid w:val="00E23993"/>
    <w:rsid w:val="00E23EB6"/>
    <w:rsid w:val="00E25B8C"/>
    <w:rsid w:val="00E503D9"/>
    <w:rsid w:val="00E62AE4"/>
    <w:rsid w:val="00E65C85"/>
    <w:rsid w:val="00E66199"/>
    <w:rsid w:val="00E66C90"/>
    <w:rsid w:val="00E67F9A"/>
    <w:rsid w:val="00E755EC"/>
    <w:rsid w:val="00E7624D"/>
    <w:rsid w:val="00E85E17"/>
    <w:rsid w:val="00EA244C"/>
    <w:rsid w:val="00EA3D42"/>
    <w:rsid w:val="00EA6B1B"/>
    <w:rsid w:val="00EB505D"/>
    <w:rsid w:val="00ED5C6B"/>
    <w:rsid w:val="00EE1365"/>
    <w:rsid w:val="00EE1D6B"/>
    <w:rsid w:val="00EE28F3"/>
    <w:rsid w:val="00EE4AD6"/>
    <w:rsid w:val="00EF5110"/>
    <w:rsid w:val="00F02A84"/>
    <w:rsid w:val="00F15882"/>
    <w:rsid w:val="00F171E0"/>
    <w:rsid w:val="00F208AE"/>
    <w:rsid w:val="00F20BD3"/>
    <w:rsid w:val="00F373A5"/>
    <w:rsid w:val="00F46BC9"/>
    <w:rsid w:val="00F47559"/>
    <w:rsid w:val="00F50501"/>
    <w:rsid w:val="00F5694A"/>
    <w:rsid w:val="00F64C7B"/>
    <w:rsid w:val="00F676DD"/>
    <w:rsid w:val="00F71778"/>
    <w:rsid w:val="00F75A26"/>
    <w:rsid w:val="00F81328"/>
    <w:rsid w:val="00F835C9"/>
    <w:rsid w:val="00F83FAD"/>
    <w:rsid w:val="00F952A0"/>
    <w:rsid w:val="00FA1E1B"/>
    <w:rsid w:val="00FA2E46"/>
    <w:rsid w:val="00FA3C7F"/>
    <w:rsid w:val="00FA478B"/>
    <w:rsid w:val="00FB078E"/>
    <w:rsid w:val="00FB4462"/>
    <w:rsid w:val="00FB6847"/>
    <w:rsid w:val="00FB74E2"/>
    <w:rsid w:val="00FC6976"/>
    <w:rsid w:val="00FD5614"/>
    <w:rsid w:val="00FE0BE1"/>
    <w:rsid w:val="00FE1DE9"/>
    <w:rsid w:val="00FE39C2"/>
    <w:rsid w:val="00FE3A2B"/>
    <w:rsid w:val="00FE3C32"/>
    <w:rsid w:val="00FE64AE"/>
    <w:rsid w:val="00FF03AF"/>
    <w:rsid w:val="00FF6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E2573"/>
    <w:pPr>
      <w:spacing w:line="240" w:lineRule="auto"/>
    </w:pPr>
    <w:rPr>
      <w:sz w:val="20"/>
      <w:szCs w:val="20"/>
    </w:rPr>
  </w:style>
  <w:style w:type="character" w:customStyle="1" w:styleId="CommentTextChar">
    <w:name w:val="Comment Text Char"/>
    <w:basedOn w:val="DefaultParagraphFont"/>
    <w:link w:val="CommentText"/>
    <w:uiPriority w:val="99"/>
    <w:semiHidden/>
    <w:rsid w:val="009E25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1BE5"/>
    <w:rPr>
      <w:b/>
      <w:bCs/>
    </w:rPr>
  </w:style>
  <w:style w:type="character" w:customStyle="1" w:styleId="CommentSubjectChar">
    <w:name w:val="Comment Subject Char"/>
    <w:basedOn w:val="CommentTextChar"/>
    <w:link w:val="CommentSubject"/>
    <w:uiPriority w:val="99"/>
    <w:semiHidden/>
    <w:rsid w:val="00451BE5"/>
    <w:rPr>
      <w:rFonts w:ascii="Arial" w:hAnsi="Arial"/>
      <w:b/>
      <w:bCs/>
      <w:sz w:val="20"/>
      <w:szCs w:val="20"/>
    </w:rPr>
  </w:style>
  <w:style w:type="paragraph" w:styleId="BodyText">
    <w:name w:val="Body Text"/>
    <w:basedOn w:val="Normal"/>
    <w:link w:val="BodyTextChar"/>
    <w:uiPriority w:val="99"/>
    <w:unhideWhenUsed/>
    <w:rsid w:val="004224BC"/>
    <w:pPr>
      <w:spacing w:after="120"/>
    </w:pPr>
  </w:style>
  <w:style w:type="character" w:customStyle="1" w:styleId="BodyTextChar">
    <w:name w:val="Body Text Char"/>
    <w:basedOn w:val="DefaultParagraphFont"/>
    <w:link w:val="BodyText"/>
    <w:uiPriority w:val="99"/>
    <w:rsid w:val="004224B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E2573"/>
    <w:pPr>
      <w:spacing w:line="240" w:lineRule="auto"/>
    </w:pPr>
    <w:rPr>
      <w:sz w:val="20"/>
      <w:szCs w:val="20"/>
    </w:rPr>
  </w:style>
  <w:style w:type="character" w:customStyle="1" w:styleId="CommentTextChar">
    <w:name w:val="Comment Text Char"/>
    <w:basedOn w:val="DefaultParagraphFont"/>
    <w:link w:val="CommentText"/>
    <w:uiPriority w:val="99"/>
    <w:semiHidden/>
    <w:rsid w:val="009E25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1BE5"/>
    <w:rPr>
      <w:b/>
      <w:bCs/>
    </w:rPr>
  </w:style>
  <w:style w:type="character" w:customStyle="1" w:styleId="CommentSubjectChar">
    <w:name w:val="Comment Subject Char"/>
    <w:basedOn w:val="CommentTextChar"/>
    <w:link w:val="CommentSubject"/>
    <w:uiPriority w:val="99"/>
    <w:semiHidden/>
    <w:rsid w:val="00451BE5"/>
    <w:rPr>
      <w:rFonts w:ascii="Arial" w:hAnsi="Arial"/>
      <w:b/>
      <w:bCs/>
      <w:sz w:val="20"/>
      <w:szCs w:val="20"/>
    </w:rPr>
  </w:style>
  <w:style w:type="paragraph" w:styleId="BodyText">
    <w:name w:val="Body Text"/>
    <w:basedOn w:val="Normal"/>
    <w:link w:val="BodyTextChar"/>
    <w:uiPriority w:val="99"/>
    <w:unhideWhenUsed/>
    <w:rsid w:val="004224BC"/>
    <w:pPr>
      <w:spacing w:after="120"/>
    </w:pPr>
  </w:style>
  <w:style w:type="character" w:customStyle="1" w:styleId="BodyTextChar">
    <w:name w:val="Body Text Char"/>
    <w:basedOn w:val="DefaultParagraphFont"/>
    <w:link w:val="BodyText"/>
    <w:uiPriority w:val="99"/>
    <w:rsid w:val="004224B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ode/18864" TargetMode="External"/><Relationship Id="rId1" Type="http://schemas.openxmlformats.org/officeDocument/2006/relationships/hyperlink" Target="http://www.aer.gov.au/node/18864"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BD869C-8613-4A02-873F-7D442F30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65324FC4</Template>
  <TotalTime>0</TotalTime>
  <Pages>26</Pages>
  <Words>5025</Words>
  <Characters>28645</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AER final framework and approach - Murraylink 2018-23</vt:lpstr>
    </vt:vector>
  </TitlesOfParts>
  <LinksUpToDate>false</LinksUpToDate>
  <CharactersWithSpaces>33603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framework and approach - Murraylink 2018-23</dc:title>
  <dc:creator/>
  <cp:lastModifiedBy/>
  <cp:revision>1</cp:revision>
  <dcterms:created xsi:type="dcterms:W3CDTF">2016-07-28T02:56:00Z</dcterms:created>
  <dcterms:modified xsi:type="dcterms:W3CDTF">2016-07-28T02:56:00Z</dcterms:modified>
</cp:coreProperties>
</file>