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1CC2" w:rsidRPr="0020711E" w:rsidRDefault="002423F9" w:rsidP="008C3722">
      <w:pPr>
        <w:pStyle w:val="HeadingOrange"/>
        <w:rPr>
          <w:rStyle w:val="AERtextsize8"/>
        </w:rPr>
      </w:pPr>
      <w:r w:rsidRPr="002423F9">
        <w:rPr>
          <w:noProof/>
          <w:lang w:eastAsia="en-AU"/>
        </w:rPr>
        <w:drawing>
          <wp:anchor distT="0" distB="0" distL="114300" distR="114300" simplePos="0" relativeHeight="251665408" behindDoc="1" locked="0" layoutInCell="1" allowOverlap="1" wp14:anchorId="4B9E1139" wp14:editId="0A0791B3">
            <wp:simplePos x="0" y="0"/>
            <wp:positionH relativeFrom="column">
              <wp:posOffset>-921224</wp:posOffset>
            </wp:positionH>
            <wp:positionV relativeFrom="paragraph">
              <wp:posOffset>-914399</wp:posOffset>
            </wp:positionV>
            <wp:extent cx="7574508" cy="11311998"/>
            <wp:effectExtent l="0" t="0" r="0" b="0"/>
            <wp:wrapNone/>
            <wp:docPr id="6" name="Picture 2" descr="AER-final-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R-final-orange"/>
                    <pic:cNvPicPr>
                      <a:picLocks noChangeAspect="1" noChangeArrowheads="1"/>
                    </pic:cNvPicPr>
                  </pic:nvPicPr>
                  <pic:blipFill>
                    <a:blip r:embed="rId9" cstate="print"/>
                    <a:srcRect/>
                    <a:stretch>
                      <a:fillRect/>
                    </a:stretch>
                  </pic:blipFill>
                  <pic:spPr bwMode="auto">
                    <a:xfrm>
                      <a:off x="0" y="0"/>
                      <a:ext cx="7574280" cy="11311657"/>
                    </a:xfrm>
                    <a:prstGeom prst="rect">
                      <a:avLst/>
                    </a:prstGeom>
                    <a:noFill/>
                    <a:ln w="9525">
                      <a:noFill/>
                      <a:miter lim="800000"/>
                      <a:headEnd/>
                      <a:tailEnd/>
                    </a:ln>
                  </pic:spPr>
                </pic:pic>
              </a:graphicData>
            </a:graphic>
            <wp14:sizeRelV relativeFrom="margin">
              <wp14:pctHeight>0</wp14:pctHeight>
            </wp14:sizeRelV>
          </wp:anchor>
        </w:drawing>
      </w:r>
      <w:r w:rsidR="00CC49D4" w:rsidRPr="00824CC8">
        <w:rPr>
          <w:noProof/>
          <w:lang w:eastAsia="en-AU"/>
        </w:rPr>
        <w:drawing>
          <wp:anchor distT="0" distB="0" distL="114300" distR="114300" simplePos="0" relativeHeight="251661312" behindDoc="1" locked="0" layoutInCell="1" allowOverlap="1" wp14:anchorId="5F6D3945" wp14:editId="7C3B0393">
            <wp:simplePos x="0" y="0"/>
            <wp:positionH relativeFrom="column">
              <wp:posOffset>8280400</wp:posOffset>
            </wp:positionH>
            <wp:positionV relativeFrom="paragraph">
              <wp:posOffset>-946150</wp:posOffset>
            </wp:positionV>
            <wp:extent cx="7635875" cy="10784205"/>
            <wp:effectExtent l="19050" t="0" r="3175" b="0"/>
            <wp:wrapNone/>
            <wp:docPr id="2" name="Picture 2" descr="AER-final-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R-final-orange"/>
                    <pic:cNvPicPr>
                      <a:picLocks noChangeAspect="1" noChangeArrowheads="1"/>
                    </pic:cNvPicPr>
                  </pic:nvPicPr>
                  <pic:blipFill>
                    <a:blip r:embed="rId9" cstate="print"/>
                    <a:srcRect/>
                    <a:stretch>
                      <a:fillRect/>
                    </a:stretch>
                  </pic:blipFill>
                  <pic:spPr bwMode="auto">
                    <a:xfrm>
                      <a:off x="0" y="0"/>
                      <a:ext cx="7635875" cy="10784205"/>
                    </a:xfrm>
                    <a:prstGeom prst="rect">
                      <a:avLst/>
                    </a:prstGeom>
                    <a:noFill/>
                    <a:ln w="9525">
                      <a:noFill/>
                      <a:miter lim="800000"/>
                      <a:headEnd/>
                      <a:tailEnd/>
                    </a:ln>
                  </pic:spPr>
                </pic:pic>
              </a:graphicData>
            </a:graphic>
          </wp:anchor>
        </w:drawing>
      </w:r>
    </w:p>
    <w:p w:rsidR="002423F9" w:rsidRPr="00824CC8" w:rsidRDefault="002423F9" w:rsidP="002423F9"/>
    <w:p w:rsidR="002423F9" w:rsidRDefault="002423F9" w:rsidP="002423F9">
      <w:pPr>
        <w:pStyle w:val="AERbodytextnospace"/>
      </w:pPr>
    </w:p>
    <w:p w:rsidR="002423F9" w:rsidRDefault="002423F9" w:rsidP="002423F9"/>
    <w:p w:rsidR="002423F9" w:rsidRDefault="002423F9" w:rsidP="002423F9"/>
    <w:p w:rsidR="002423F9" w:rsidRDefault="002423F9" w:rsidP="002423F9"/>
    <w:p w:rsidR="002423F9" w:rsidRDefault="002423F9" w:rsidP="002423F9"/>
    <w:p w:rsidR="002423F9" w:rsidRDefault="002423F9" w:rsidP="002423F9"/>
    <w:p w:rsidR="002423F9" w:rsidRDefault="002423F9" w:rsidP="002423F9"/>
    <w:p w:rsidR="002423F9" w:rsidRDefault="002423F9" w:rsidP="002423F9"/>
    <w:p w:rsidR="002423F9" w:rsidRDefault="002423F9" w:rsidP="002423F9">
      <w:pPr>
        <w:pStyle w:val="AERtitle1"/>
      </w:pPr>
      <w:r>
        <w:t xml:space="preserve">Issues paper </w:t>
      </w:r>
    </w:p>
    <w:p w:rsidR="002423F9" w:rsidRDefault="002423F9" w:rsidP="002423F9">
      <w:pPr>
        <w:pStyle w:val="AERtitle1"/>
      </w:pPr>
      <w:r>
        <w:t>TransGrid</w:t>
      </w:r>
    </w:p>
    <w:p w:rsidR="002423F9" w:rsidRDefault="000153E1" w:rsidP="002423F9">
      <w:pPr>
        <w:pStyle w:val="AERtitle1"/>
      </w:pPr>
      <w:r>
        <w:t>TasNetworks (</w:t>
      </w:r>
      <w:r w:rsidR="002423F9">
        <w:t>Transend</w:t>
      </w:r>
      <w:r>
        <w:t>)</w:t>
      </w:r>
    </w:p>
    <w:p w:rsidR="002423F9" w:rsidRDefault="002423F9" w:rsidP="002423F9">
      <w:pPr>
        <w:pStyle w:val="AERtitle1"/>
      </w:pPr>
      <w:r>
        <w:t>Directlink</w:t>
      </w:r>
    </w:p>
    <w:p w:rsidR="00A75C1F" w:rsidRDefault="00A75C1F" w:rsidP="002423F9">
      <w:pPr>
        <w:pStyle w:val="AERtitle1"/>
      </w:pPr>
    </w:p>
    <w:p w:rsidR="002423F9" w:rsidRDefault="002423F9" w:rsidP="002423F9">
      <w:pPr>
        <w:pStyle w:val="AERtitle1"/>
      </w:pPr>
      <w:r>
        <w:t>E</w:t>
      </w:r>
      <w:r w:rsidRPr="00421895">
        <w:t>lectricity transmission revenue proposal</w:t>
      </w:r>
      <w:r w:rsidR="00AD285C">
        <w:t>s</w:t>
      </w:r>
    </w:p>
    <w:p w:rsidR="00AE7C25" w:rsidRPr="00421895" w:rsidRDefault="00AE7C25" w:rsidP="002423F9">
      <w:pPr>
        <w:pStyle w:val="AERtitle1"/>
      </w:pPr>
      <w:r>
        <w:t xml:space="preserve">for the next regulatory control period </w:t>
      </w:r>
    </w:p>
    <w:p w:rsidR="002423F9" w:rsidRDefault="002423F9" w:rsidP="002423F9"/>
    <w:p w:rsidR="002423F9" w:rsidRDefault="002423F9" w:rsidP="002423F9"/>
    <w:p w:rsidR="002423F9" w:rsidRPr="00F6235D" w:rsidRDefault="002423F9" w:rsidP="002423F9"/>
    <w:p w:rsidR="002423F9" w:rsidRDefault="002423F9" w:rsidP="002423F9">
      <w:pPr>
        <w:pStyle w:val="AERtitle2"/>
      </w:pPr>
      <w:r>
        <w:t>Ju</w:t>
      </w:r>
      <w:r w:rsidR="00AD285C">
        <w:t>ly</w:t>
      </w:r>
      <w:r>
        <w:t xml:space="preserve"> 2014</w:t>
      </w:r>
    </w:p>
    <w:p w:rsidR="002423F9" w:rsidRPr="00824CC8" w:rsidRDefault="002423F9" w:rsidP="002423F9">
      <w:pPr>
        <w:rPr>
          <w:rStyle w:val="AERtextbold"/>
        </w:rPr>
      </w:pPr>
      <w:r>
        <w:rPr>
          <w:rStyle w:val="AERtextbold"/>
        </w:rPr>
        <w:br w:type="page"/>
      </w:r>
    </w:p>
    <w:p w:rsidR="002423F9" w:rsidRPr="008F1A4A" w:rsidRDefault="002423F9" w:rsidP="002423F9">
      <w:pPr>
        <w:pStyle w:val="AERbodytextnospace"/>
        <w:rPr>
          <w:rStyle w:val="AERtextbold"/>
        </w:rPr>
      </w:pPr>
      <w:r w:rsidRPr="008F1A4A">
        <w:rPr>
          <w:rStyle w:val="AERtextbold"/>
        </w:rPr>
        <w:lastRenderedPageBreak/>
        <w:t>©</w:t>
      </w:r>
      <w:r>
        <w:rPr>
          <w:rStyle w:val="AERtextbold"/>
        </w:rPr>
        <w:t xml:space="preserve"> Commonwealth of Australia 2014</w:t>
      </w:r>
      <w:r w:rsidRPr="008F1A4A">
        <w:rPr>
          <w:rStyle w:val="AERtextbold"/>
        </w:rPr>
        <w:t xml:space="preserve"> </w:t>
      </w:r>
    </w:p>
    <w:p w:rsidR="00796F5F" w:rsidRPr="00796F5F" w:rsidRDefault="00796F5F" w:rsidP="00796F5F">
      <w:r w:rsidRPr="00796F5F">
        <w:t>This work is copyright. In addition to any use permitted under the Copyright Act 1968, all material contained within this work is provided under a Creative Commons Attribution 3.0 Australia licence, with the exception of:</w:t>
      </w:r>
    </w:p>
    <w:p w:rsidR="00796F5F" w:rsidRPr="00796F5F" w:rsidRDefault="00796F5F" w:rsidP="00796F5F">
      <w:pPr>
        <w:pStyle w:val="AERbulletlistfirststyle"/>
      </w:pPr>
      <w:r w:rsidRPr="00796F5F">
        <w:t>the Commonwealth Coat of Arms</w:t>
      </w:r>
    </w:p>
    <w:p w:rsidR="00796F5F" w:rsidRPr="00796F5F" w:rsidRDefault="00796F5F" w:rsidP="00796F5F">
      <w:pPr>
        <w:pStyle w:val="AERbulletlistfirststyle"/>
      </w:pPr>
      <w:r w:rsidRPr="00796F5F">
        <w:t>the ACCC and AER logos</w:t>
      </w:r>
    </w:p>
    <w:p w:rsidR="00796F5F" w:rsidRPr="00796F5F" w:rsidRDefault="00796F5F" w:rsidP="00796F5F">
      <w:pPr>
        <w:pStyle w:val="AERbulletlistfirststyle"/>
        <w:rPr>
          <w:lang w:val="en-US"/>
        </w:rPr>
      </w:pPr>
      <w:r w:rsidRPr="00796F5F">
        <w:t>any illustration, diagram, photograph or graphic over which the Australian Competition and Consumer Commission does not hold copyright, but which may be part of or contained within this publication.</w:t>
      </w:r>
    </w:p>
    <w:p w:rsidR="00796F5F" w:rsidRPr="00796F5F" w:rsidRDefault="00796F5F" w:rsidP="00796F5F">
      <w:r w:rsidRPr="00796F5F">
        <w:t>The details of the relevant licence conditions are available on the Creative Commons website, as is the full legal code for the CC BY 3.0 AU licence.</w:t>
      </w:r>
    </w:p>
    <w:p w:rsidR="00796F5F" w:rsidRDefault="00796F5F" w:rsidP="00796F5F">
      <w:pPr>
        <w:pStyle w:val="AERbodytext"/>
      </w:pPr>
      <w:r w:rsidRPr="00796F5F">
        <w:t>Requests and inquiries concerning reproduction and rights should be addressed to the Director, Corporate Communications, ACCC, GPO Box 3131, Canberra ACT 2601, or</w:t>
      </w:r>
    </w:p>
    <w:p w:rsidR="00796F5F" w:rsidRPr="00796F5F" w:rsidRDefault="00796F5F" w:rsidP="00796F5F">
      <w:pPr>
        <w:pStyle w:val="AERbodytext"/>
      </w:pPr>
      <w:r w:rsidRPr="00796F5F">
        <w:t xml:space="preserve"> </w:t>
      </w:r>
      <w:hyperlink r:id="rId10" w:history="1">
        <w:r w:rsidRPr="00796F5F">
          <w:rPr>
            <w:rStyle w:val="Hyperlink"/>
          </w:rPr>
          <w:t>publishing.unit@accc.gov.au</w:t>
        </w:r>
      </w:hyperlink>
      <w:r w:rsidRPr="00796F5F">
        <w:t xml:space="preserve"> .</w:t>
      </w:r>
    </w:p>
    <w:p w:rsidR="002423F9" w:rsidRDefault="002423F9" w:rsidP="002423F9">
      <w:r>
        <w:t>Inquiries about this document should be addressed to:</w:t>
      </w:r>
    </w:p>
    <w:p w:rsidR="002423F9" w:rsidRDefault="002423F9" w:rsidP="002423F9">
      <w:pPr>
        <w:pStyle w:val="AERbodytextnospace"/>
      </w:pPr>
      <w:r>
        <w:t>Australian Energy Regulator</w:t>
      </w:r>
    </w:p>
    <w:p w:rsidR="002423F9" w:rsidRDefault="002423F9" w:rsidP="002423F9">
      <w:pPr>
        <w:pStyle w:val="AERbodytextnospace"/>
      </w:pPr>
      <w:r>
        <w:t>GPO Box 520</w:t>
      </w:r>
    </w:p>
    <w:p w:rsidR="002423F9" w:rsidRDefault="002423F9" w:rsidP="002423F9">
      <w:pPr>
        <w:pStyle w:val="AERbodytextnospace"/>
      </w:pPr>
      <w:r>
        <w:t>Melbourne  Vic  3001</w:t>
      </w:r>
    </w:p>
    <w:p w:rsidR="002423F9" w:rsidRDefault="002423F9" w:rsidP="002423F9">
      <w:pPr>
        <w:pStyle w:val="AERbodytextnospace"/>
      </w:pPr>
      <w:r>
        <w:t>Tel: (03) 9290 1444</w:t>
      </w:r>
    </w:p>
    <w:p w:rsidR="002423F9" w:rsidRDefault="002423F9" w:rsidP="002423F9">
      <w:pPr>
        <w:pStyle w:val="AERbodytextnospace"/>
      </w:pPr>
      <w:r>
        <w:t>Fax: (03) 9290 1457</w:t>
      </w:r>
    </w:p>
    <w:p w:rsidR="002423F9" w:rsidRDefault="002423F9" w:rsidP="002423F9">
      <w:pPr>
        <w:pStyle w:val="AERbodytextnospace"/>
      </w:pPr>
      <w:r>
        <w:t xml:space="preserve">Email: </w:t>
      </w:r>
      <w:hyperlink r:id="rId11" w:history="1">
        <w:r w:rsidRPr="003E184A">
          <w:rPr>
            <w:rStyle w:val="Hyperlink"/>
          </w:rPr>
          <w:t>AERInquiry@aer.gov.au</w:t>
        </w:r>
      </w:hyperlink>
    </w:p>
    <w:p w:rsidR="002423F9" w:rsidRPr="008F1A4A" w:rsidRDefault="002423F9" w:rsidP="002423F9"/>
    <w:p w:rsidR="002423F9" w:rsidRDefault="002423F9" w:rsidP="002423F9">
      <w:r>
        <w:t>AER reference:</w:t>
      </w:r>
      <w:r w:rsidR="00F867DB">
        <w:t xml:space="preserve">   [53444/53445/53446]</w:t>
      </w:r>
    </w:p>
    <w:p w:rsidR="002423F9" w:rsidRPr="00F6235D" w:rsidRDefault="002423F9" w:rsidP="002423F9">
      <w:pPr>
        <w:pStyle w:val="AERtitle2"/>
      </w:pPr>
    </w:p>
    <w:p w:rsidR="002423F9" w:rsidRPr="00F6235D" w:rsidRDefault="002423F9" w:rsidP="002423F9">
      <w:r w:rsidRPr="00F6235D">
        <w:t xml:space="preserve"> </w:t>
      </w:r>
    </w:p>
    <w:p w:rsidR="00892DA2" w:rsidRPr="001D5B42" w:rsidRDefault="00892DA2" w:rsidP="00892DA2">
      <w:pPr>
        <w:pStyle w:val="UnnumberedHeading"/>
        <w:numPr>
          <w:ilvl w:val="0"/>
          <w:numId w:val="2"/>
        </w:numPr>
      </w:pPr>
      <w:bookmarkStart w:id="0" w:name="_Toc341968859"/>
      <w:bookmarkStart w:id="1" w:name="_Toc383780211"/>
      <w:bookmarkStart w:id="2" w:name="_Toc392063159"/>
      <w:r w:rsidRPr="001D5B42">
        <w:lastRenderedPageBreak/>
        <w:t>Request for submissions</w:t>
      </w:r>
      <w:bookmarkEnd w:id="0"/>
      <w:bookmarkEnd w:id="1"/>
      <w:bookmarkEnd w:id="2"/>
    </w:p>
    <w:p w:rsidR="00892DA2" w:rsidRPr="00E138B7" w:rsidRDefault="00892DA2" w:rsidP="00892DA2">
      <w:pPr>
        <w:pStyle w:val="AERbodytext"/>
        <w:rPr>
          <w:rStyle w:val="AERbody"/>
        </w:rPr>
      </w:pPr>
      <w:r w:rsidRPr="0019405D">
        <w:t xml:space="preserve">Interested parties are invited to make written submissions to the Australian Energy Regulator (AER) </w:t>
      </w:r>
      <w:r w:rsidR="00925743">
        <w:t xml:space="preserve">on the transmission businesses revenue proposals </w:t>
      </w:r>
      <w:r w:rsidRPr="0019405D">
        <w:t xml:space="preserve">by the close of business, </w:t>
      </w:r>
      <w:r w:rsidR="00AE4B10" w:rsidRPr="00E91C12">
        <w:rPr>
          <w:rStyle w:val="AERtextbold"/>
        </w:rPr>
        <w:t>1 August</w:t>
      </w:r>
      <w:r w:rsidRPr="00E91C12">
        <w:rPr>
          <w:rStyle w:val="AERtextbold"/>
        </w:rPr>
        <w:t xml:space="preserve"> 2014</w:t>
      </w:r>
      <w:r w:rsidRPr="00E138B7">
        <w:rPr>
          <w:rStyle w:val="AERbody"/>
        </w:rPr>
        <w:t>.</w:t>
      </w:r>
    </w:p>
    <w:p w:rsidR="00B746F1" w:rsidRDefault="00892DA2" w:rsidP="00892DA2">
      <w:r>
        <w:t>The AER prefers that all submissions sent in an electronic format are in Microsoft Word or other text readable document form.</w:t>
      </w:r>
      <w:r w:rsidR="00B746F1" w:rsidRPr="00B746F1">
        <w:t xml:space="preserve"> </w:t>
      </w:r>
      <w:r w:rsidR="00B746F1" w:rsidRPr="00552D1A">
        <w:t xml:space="preserve">Submissions should be sent electronically to: </w:t>
      </w:r>
    </w:p>
    <w:p w:rsidR="00892DA2" w:rsidRDefault="00B27D9D" w:rsidP="00B746F1">
      <w:pPr>
        <w:pStyle w:val="AERbulletlistfirststyle"/>
      </w:pPr>
      <w:hyperlink r:id="rId12" w:history="1">
        <w:r w:rsidR="00F867DB" w:rsidRPr="004E5BF0">
          <w:rPr>
            <w:rStyle w:val="Hyperlink"/>
          </w:rPr>
          <w:t>TransGridrevenuereset@aer.gov.au</w:t>
        </w:r>
      </w:hyperlink>
      <w:r w:rsidR="00B746F1">
        <w:t xml:space="preserve"> for TransGrid </w:t>
      </w:r>
    </w:p>
    <w:p w:rsidR="00B746F1" w:rsidRDefault="00B27D9D" w:rsidP="00B746F1">
      <w:pPr>
        <w:pStyle w:val="AERbulletlistfirststyle"/>
      </w:pPr>
      <w:hyperlink r:id="rId13" w:history="1">
        <w:r w:rsidR="005138BA" w:rsidRPr="00FB142D">
          <w:rPr>
            <w:rStyle w:val="Hyperlink"/>
          </w:rPr>
          <w:t>Transendrevenuereset@aer.gov.au</w:t>
        </w:r>
      </w:hyperlink>
      <w:r w:rsidR="00B746F1">
        <w:t xml:space="preserve"> for Transend</w:t>
      </w:r>
      <w:r w:rsidR="005138BA">
        <w:t xml:space="preserve"> (TasNetworks)</w:t>
      </w:r>
    </w:p>
    <w:p w:rsidR="00B746F1" w:rsidRPr="00F35E5A" w:rsidRDefault="00B27D9D" w:rsidP="00B746F1">
      <w:pPr>
        <w:pStyle w:val="AERbulletlistfirststyle"/>
      </w:pPr>
      <w:hyperlink r:id="rId14" w:history="1">
        <w:r w:rsidR="005138BA" w:rsidRPr="00FB142D">
          <w:rPr>
            <w:rStyle w:val="Hyperlink"/>
          </w:rPr>
          <w:t>Directlinkrevenuereset@aer.gov.au</w:t>
        </w:r>
      </w:hyperlink>
      <w:r w:rsidR="00B746F1">
        <w:t xml:space="preserve"> for Directlink.</w:t>
      </w:r>
    </w:p>
    <w:p w:rsidR="00892DA2" w:rsidRPr="00433BD9" w:rsidRDefault="00892DA2" w:rsidP="00892DA2">
      <w:pPr>
        <w:pStyle w:val="AERbodytext"/>
      </w:pPr>
      <w:r w:rsidRPr="00433BD9">
        <w:t>Alternatively, submissions can be sent to:</w:t>
      </w:r>
    </w:p>
    <w:p w:rsidR="00892DA2" w:rsidRDefault="00892DA2" w:rsidP="00892DA2">
      <w:pPr>
        <w:pStyle w:val="AERbodytextnospace"/>
      </w:pPr>
      <w:r>
        <w:t>Mr Chris Pattas</w:t>
      </w:r>
    </w:p>
    <w:p w:rsidR="00B746F1" w:rsidRDefault="006C649D" w:rsidP="00892DA2">
      <w:pPr>
        <w:pStyle w:val="AERbodytextnospace"/>
      </w:pPr>
      <w:r>
        <w:t>General Manager, Networks</w:t>
      </w:r>
    </w:p>
    <w:p w:rsidR="00892DA2" w:rsidRDefault="00892DA2" w:rsidP="00892DA2">
      <w:pPr>
        <w:pStyle w:val="AERbodytextnospace"/>
      </w:pPr>
      <w:r>
        <w:t>Australian Energy Regulator</w:t>
      </w:r>
    </w:p>
    <w:p w:rsidR="00892DA2" w:rsidRDefault="00892DA2" w:rsidP="00892DA2">
      <w:pPr>
        <w:pStyle w:val="AERbodytextnospace"/>
      </w:pPr>
      <w:r>
        <w:t>GPO Box 520</w:t>
      </w:r>
    </w:p>
    <w:p w:rsidR="00892DA2" w:rsidRDefault="00892DA2" w:rsidP="00892DA2">
      <w:pPr>
        <w:pStyle w:val="AERbodytextnospace"/>
      </w:pPr>
      <w:r>
        <w:t>Melbourne  Vic  3001</w:t>
      </w:r>
    </w:p>
    <w:p w:rsidR="00892DA2" w:rsidRDefault="00892DA2" w:rsidP="00892DA2">
      <w:pPr>
        <w:pStyle w:val="AERbodytextnospace"/>
      </w:pPr>
      <w:r>
        <w:t>Tel: (03) 9290 1444</w:t>
      </w:r>
    </w:p>
    <w:p w:rsidR="00892DA2" w:rsidRDefault="00892DA2" w:rsidP="00892DA2">
      <w:pPr>
        <w:pStyle w:val="AERbodytextnospace"/>
      </w:pPr>
      <w:r>
        <w:t>Fax: (03) 9290 1457</w:t>
      </w:r>
    </w:p>
    <w:p w:rsidR="00892DA2" w:rsidRDefault="00892DA2" w:rsidP="00892DA2">
      <w:pPr>
        <w:pStyle w:val="AERbodytextnospace"/>
      </w:pPr>
      <w:r>
        <w:t xml:space="preserve">Email: </w:t>
      </w:r>
      <w:hyperlink r:id="rId15" w:history="1">
        <w:r w:rsidRPr="003E184A">
          <w:rPr>
            <w:rStyle w:val="Hyperlink"/>
          </w:rPr>
          <w:t>AERInquiry@aer.gov.au</w:t>
        </w:r>
      </w:hyperlink>
    </w:p>
    <w:p w:rsidR="00892DA2" w:rsidRDefault="00892DA2" w:rsidP="00892DA2">
      <w:pPr>
        <w:pStyle w:val="AERbodytext"/>
      </w:pPr>
    </w:p>
    <w:p w:rsidR="00892DA2" w:rsidRPr="00433BD9" w:rsidRDefault="00892DA2" w:rsidP="00892DA2">
      <w:pPr>
        <w:pStyle w:val="AERbodytext"/>
      </w:pPr>
      <w:r>
        <w:t>We</w:t>
      </w:r>
      <w:r w:rsidRPr="00433BD9">
        <w:t xml:space="preserve"> prefer that all submissions be publicly available to facilitate an informed and transparent consultative process. Submissions will be treated as public documents unless otherwise requested. Parties wishing to submit confidential information are requested to:</w:t>
      </w:r>
    </w:p>
    <w:p w:rsidR="00892DA2" w:rsidRPr="00F35E5A" w:rsidRDefault="00892DA2" w:rsidP="00892DA2">
      <w:pPr>
        <w:pStyle w:val="AERbulletlistfirststyle"/>
      </w:pPr>
      <w:r w:rsidRPr="00F35E5A">
        <w:t>clearly identify the information that is the subject of the confidentiality claim</w:t>
      </w:r>
    </w:p>
    <w:p w:rsidR="00892DA2" w:rsidRPr="00F35E5A" w:rsidRDefault="00892DA2" w:rsidP="00892DA2">
      <w:pPr>
        <w:pStyle w:val="AERbulletlistfirststyle"/>
      </w:pPr>
      <w:r w:rsidRPr="00F35E5A">
        <w:t>provide a non-confidential version of the submission in a form suitable for publication.</w:t>
      </w:r>
    </w:p>
    <w:p w:rsidR="00892DA2" w:rsidRPr="00433BD9" w:rsidRDefault="00892DA2" w:rsidP="00892DA2">
      <w:pPr>
        <w:pStyle w:val="AERbodytext"/>
      </w:pPr>
      <w:r w:rsidRPr="00433BD9">
        <w:t xml:space="preserve">All non-confidential submissions will be placed on </w:t>
      </w:r>
      <w:r>
        <w:t>our</w:t>
      </w:r>
      <w:r w:rsidRPr="00433BD9">
        <w:t xml:space="preserve"> website at </w:t>
      </w:r>
      <w:hyperlink r:id="rId16" w:history="1">
        <w:r w:rsidRPr="00433BD9">
          <w:rPr>
            <w:rStyle w:val="Hyperlink"/>
          </w:rPr>
          <w:t>www.aer.gov.au</w:t>
        </w:r>
      </w:hyperlink>
      <w:r w:rsidRPr="00433BD9">
        <w:t xml:space="preserve">. For further information regarding </w:t>
      </w:r>
      <w:r>
        <w:t>our</w:t>
      </w:r>
      <w:r w:rsidRPr="00433BD9">
        <w:t xml:space="preserve"> use and disclosure of information provided to </w:t>
      </w:r>
      <w:r>
        <w:t>us</w:t>
      </w:r>
      <w:r w:rsidRPr="00433BD9">
        <w:t xml:space="preserve">, see the ACCC/AER Information Policy, October 2008 available on </w:t>
      </w:r>
      <w:r>
        <w:t>our</w:t>
      </w:r>
      <w:r w:rsidRPr="00433BD9">
        <w:t xml:space="preserve"> website.</w:t>
      </w:r>
    </w:p>
    <w:p w:rsidR="00892DA2" w:rsidRPr="00433BD9" w:rsidRDefault="00892DA2" w:rsidP="00892DA2">
      <w:r w:rsidRPr="00433BD9">
        <w:t xml:space="preserve">Enquires about this paper, or about lodging submissions, should be directed to </w:t>
      </w:r>
      <w:r>
        <w:t>our</w:t>
      </w:r>
      <w:r w:rsidRPr="00433BD9">
        <w:t xml:space="preserve"> Network Regulation </w:t>
      </w:r>
      <w:r w:rsidRPr="00552D1A">
        <w:t>branch on (0</w:t>
      </w:r>
      <w:r>
        <w:t>3</w:t>
      </w:r>
      <w:r w:rsidRPr="00552D1A">
        <w:t xml:space="preserve">) </w:t>
      </w:r>
      <w:r>
        <w:t>9290</w:t>
      </w:r>
      <w:r w:rsidRPr="00552D1A">
        <w:t xml:space="preserve"> 1</w:t>
      </w:r>
      <w:r>
        <w:t>444</w:t>
      </w:r>
      <w:r w:rsidRPr="00552D1A">
        <w:t>.</w:t>
      </w:r>
    </w:p>
    <w:p w:rsidR="00892DA2" w:rsidRDefault="00892DA2" w:rsidP="00892DA2">
      <w:pPr>
        <w:pStyle w:val="HeadingBoldBlue"/>
      </w:pPr>
      <w:r>
        <w:t>Next steps</w:t>
      </w:r>
    </w:p>
    <w:p w:rsidR="00892DA2" w:rsidRPr="003D13C3" w:rsidRDefault="00892DA2" w:rsidP="00892DA2">
      <w:pPr>
        <w:pStyle w:val="AERbodytext"/>
      </w:pPr>
      <w:r>
        <w:t>We will consider and respond to submissions on this issues paper in the context of our regulatory determinations. Our draft decision is expected in November 2014.</w:t>
      </w:r>
    </w:p>
    <w:p w:rsidR="002423F9" w:rsidRDefault="002423F9">
      <w:pPr>
        <w:spacing w:after="0" w:line="240" w:lineRule="auto"/>
        <w:jc w:val="left"/>
        <w:rPr>
          <w:rFonts w:eastAsia="Times New Roman"/>
          <w:b/>
          <w:sz w:val="40"/>
          <w:szCs w:val="24"/>
          <w:lang w:eastAsia="en-AU"/>
        </w:rPr>
      </w:pPr>
    </w:p>
    <w:p w:rsidR="00AF3E95" w:rsidRDefault="00AF3E95" w:rsidP="00F97CD9">
      <w:pPr>
        <w:pStyle w:val="UnnumberedHeading"/>
        <w:numPr>
          <w:ilvl w:val="0"/>
          <w:numId w:val="2"/>
        </w:numPr>
      </w:pPr>
      <w:bookmarkStart w:id="3" w:name="_Toc360023682"/>
      <w:bookmarkStart w:id="4" w:name="_Toc360024843"/>
      <w:bookmarkStart w:id="5" w:name="_Toc392063160"/>
      <w:r>
        <w:lastRenderedPageBreak/>
        <w:t>Contents</w:t>
      </w:r>
      <w:bookmarkEnd w:id="3"/>
      <w:bookmarkEnd w:id="4"/>
      <w:bookmarkEnd w:id="5"/>
    </w:p>
    <w:p w:rsidR="009A5622" w:rsidRDefault="00824CC8">
      <w:pPr>
        <w:pStyle w:val="TOC1"/>
        <w:tabs>
          <w:tab w:val="right" w:leader="dot" w:pos="9016"/>
        </w:tabs>
        <w:rPr>
          <w:rFonts w:asciiTheme="minorHAnsi" w:eastAsiaTheme="minorEastAsia" w:hAnsiTheme="minorHAnsi" w:cstheme="minorBidi"/>
          <w:b w:val="0"/>
          <w:bCs w:val="0"/>
          <w:noProof/>
          <w:sz w:val="22"/>
          <w:szCs w:val="22"/>
          <w:lang w:eastAsia="en-AU"/>
        </w:rPr>
      </w:pPr>
      <w:r w:rsidRPr="00AC1B94">
        <w:fldChar w:fldCharType="begin"/>
      </w:r>
      <w:r w:rsidRPr="00971655">
        <w:instrText xml:space="preserve"> TOC \o "1-2" \h \z \u </w:instrText>
      </w:r>
      <w:r w:rsidRPr="00AC1B94">
        <w:fldChar w:fldCharType="separate"/>
      </w:r>
      <w:hyperlink w:anchor="_Toc392063159" w:history="1">
        <w:r w:rsidR="009A5622" w:rsidRPr="007E48A0">
          <w:rPr>
            <w:rStyle w:val="Hyperlink"/>
            <w:noProof/>
          </w:rPr>
          <w:t>Request for submissions</w:t>
        </w:r>
        <w:r w:rsidR="009A5622">
          <w:rPr>
            <w:noProof/>
            <w:webHidden/>
          </w:rPr>
          <w:tab/>
        </w:r>
        <w:r w:rsidR="009A5622">
          <w:rPr>
            <w:noProof/>
            <w:webHidden/>
          </w:rPr>
          <w:fldChar w:fldCharType="begin"/>
        </w:r>
        <w:r w:rsidR="009A5622">
          <w:rPr>
            <w:noProof/>
            <w:webHidden/>
          </w:rPr>
          <w:instrText xml:space="preserve"> PAGEREF _Toc392063159 \h </w:instrText>
        </w:r>
        <w:r w:rsidR="009A5622">
          <w:rPr>
            <w:noProof/>
            <w:webHidden/>
          </w:rPr>
        </w:r>
        <w:r w:rsidR="009A5622">
          <w:rPr>
            <w:noProof/>
            <w:webHidden/>
          </w:rPr>
          <w:fldChar w:fldCharType="separate"/>
        </w:r>
        <w:r w:rsidR="007D569B">
          <w:rPr>
            <w:noProof/>
            <w:webHidden/>
          </w:rPr>
          <w:t>3</w:t>
        </w:r>
        <w:r w:rsidR="009A5622">
          <w:rPr>
            <w:noProof/>
            <w:webHidden/>
          </w:rPr>
          <w:fldChar w:fldCharType="end"/>
        </w:r>
      </w:hyperlink>
    </w:p>
    <w:p w:rsidR="009A5622" w:rsidRDefault="00B27D9D">
      <w:pPr>
        <w:pStyle w:val="TOC1"/>
        <w:tabs>
          <w:tab w:val="right" w:leader="dot" w:pos="9016"/>
        </w:tabs>
        <w:rPr>
          <w:rFonts w:asciiTheme="minorHAnsi" w:eastAsiaTheme="minorEastAsia" w:hAnsiTheme="minorHAnsi" w:cstheme="minorBidi"/>
          <w:b w:val="0"/>
          <w:bCs w:val="0"/>
          <w:noProof/>
          <w:sz w:val="22"/>
          <w:szCs w:val="22"/>
          <w:lang w:eastAsia="en-AU"/>
        </w:rPr>
      </w:pPr>
      <w:hyperlink w:anchor="_Toc392063160" w:history="1">
        <w:r w:rsidR="009A5622" w:rsidRPr="007E48A0">
          <w:rPr>
            <w:rStyle w:val="Hyperlink"/>
            <w:noProof/>
          </w:rPr>
          <w:t>Contents</w:t>
        </w:r>
        <w:r w:rsidR="009A5622">
          <w:rPr>
            <w:noProof/>
            <w:webHidden/>
          </w:rPr>
          <w:tab/>
        </w:r>
        <w:r w:rsidR="009A5622">
          <w:rPr>
            <w:noProof/>
            <w:webHidden/>
          </w:rPr>
          <w:fldChar w:fldCharType="begin"/>
        </w:r>
        <w:r w:rsidR="009A5622">
          <w:rPr>
            <w:noProof/>
            <w:webHidden/>
          </w:rPr>
          <w:instrText xml:space="preserve"> PAGEREF _Toc392063160 \h </w:instrText>
        </w:r>
        <w:r w:rsidR="009A5622">
          <w:rPr>
            <w:noProof/>
            <w:webHidden/>
          </w:rPr>
        </w:r>
        <w:r w:rsidR="009A5622">
          <w:rPr>
            <w:noProof/>
            <w:webHidden/>
          </w:rPr>
          <w:fldChar w:fldCharType="separate"/>
        </w:r>
        <w:r w:rsidR="007D569B">
          <w:rPr>
            <w:noProof/>
            <w:webHidden/>
          </w:rPr>
          <w:t>4</w:t>
        </w:r>
        <w:r w:rsidR="009A5622">
          <w:rPr>
            <w:noProof/>
            <w:webHidden/>
          </w:rPr>
          <w:fldChar w:fldCharType="end"/>
        </w:r>
      </w:hyperlink>
    </w:p>
    <w:p w:rsidR="009A5622" w:rsidRDefault="00B27D9D">
      <w:pPr>
        <w:pStyle w:val="TOC1"/>
        <w:tabs>
          <w:tab w:val="right" w:leader="dot" w:pos="9016"/>
        </w:tabs>
        <w:rPr>
          <w:rFonts w:asciiTheme="minorHAnsi" w:eastAsiaTheme="minorEastAsia" w:hAnsiTheme="minorHAnsi" w:cstheme="minorBidi"/>
          <w:b w:val="0"/>
          <w:bCs w:val="0"/>
          <w:noProof/>
          <w:sz w:val="22"/>
          <w:szCs w:val="22"/>
          <w:lang w:eastAsia="en-AU"/>
        </w:rPr>
      </w:pPr>
      <w:hyperlink w:anchor="_Toc392063161" w:history="1">
        <w:r w:rsidR="009A5622" w:rsidRPr="007E48A0">
          <w:rPr>
            <w:rStyle w:val="Hyperlink"/>
            <w:noProof/>
          </w:rPr>
          <w:t>Shortened forms</w:t>
        </w:r>
        <w:r w:rsidR="009A5622">
          <w:rPr>
            <w:noProof/>
            <w:webHidden/>
          </w:rPr>
          <w:tab/>
        </w:r>
        <w:r w:rsidR="009A5622">
          <w:rPr>
            <w:noProof/>
            <w:webHidden/>
          </w:rPr>
          <w:fldChar w:fldCharType="begin"/>
        </w:r>
        <w:r w:rsidR="009A5622">
          <w:rPr>
            <w:noProof/>
            <w:webHidden/>
          </w:rPr>
          <w:instrText xml:space="preserve"> PAGEREF _Toc392063161 \h </w:instrText>
        </w:r>
        <w:r w:rsidR="009A5622">
          <w:rPr>
            <w:noProof/>
            <w:webHidden/>
          </w:rPr>
        </w:r>
        <w:r w:rsidR="009A5622">
          <w:rPr>
            <w:noProof/>
            <w:webHidden/>
          </w:rPr>
          <w:fldChar w:fldCharType="separate"/>
        </w:r>
        <w:r w:rsidR="007D569B">
          <w:rPr>
            <w:noProof/>
            <w:webHidden/>
          </w:rPr>
          <w:t>5</w:t>
        </w:r>
        <w:r w:rsidR="009A5622">
          <w:rPr>
            <w:noProof/>
            <w:webHidden/>
          </w:rPr>
          <w:fldChar w:fldCharType="end"/>
        </w:r>
      </w:hyperlink>
    </w:p>
    <w:p w:rsidR="009A5622" w:rsidRDefault="00B27D9D">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92063162" w:history="1">
        <w:r w:rsidR="009A5622" w:rsidRPr="007E48A0">
          <w:rPr>
            <w:rStyle w:val="Hyperlink"/>
            <w:noProof/>
          </w:rPr>
          <w:t>1</w:t>
        </w:r>
        <w:r w:rsidR="009A5622">
          <w:rPr>
            <w:rFonts w:asciiTheme="minorHAnsi" w:eastAsiaTheme="minorEastAsia" w:hAnsiTheme="minorHAnsi" w:cstheme="minorBidi"/>
            <w:b w:val="0"/>
            <w:bCs w:val="0"/>
            <w:noProof/>
            <w:sz w:val="22"/>
            <w:szCs w:val="22"/>
            <w:lang w:eastAsia="en-AU"/>
          </w:rPr>
          <w:tab/>
        </w:r>
        <w:r w:rsidR="009A5622" w:rsidRPr="007E48A0">
          <w:rPr>
            <w:rStyle w:val="Hyperlink"/>
            <w:noProof/>
          </w:rPr>
          <w:t>Introduction</w:t>
        </w:r>
        <w:r w:rsidR="009A5622">
          <w:rPr>
            <w:noProof/>
            <w:webHidden/>
          </w:rPr>
          <w:tab/>
        </w:r>
        <w:r w:rsidR="009A5622">
          <w:rPr>
            <w:noProof/>
            <w:webHidden/>
          </w:rPr>
          <w:fldChar w:fldCharType="begin"/>
        </w:r>
        <w:r w:rsidR="009A5622">
          <w:rPr>
            <w:noProof/>
            <w:webHidden/>
          </w:rPr>
          <w:instrText xml:space="preserve"> PAGEREF _Toc392063162 \h </w:instrText>
        </w:r>
        <w:r w:rsidR="009A5622">
          <w:rPr>
            <w:noProof/>
            <w:webHidden/>
          </w:rPr>
        </w:r>
        <w:r w:rsidR="009A5622">
          <w:rPr>
            <w:noProof/>
            <w:webHidden/>
          </w:rPr>
          <w:fldChar w:fldCharType="separate"/>
        </w:r>
        <w:r w:rsidR="007D569B">
          <w:rPr>
            <w:noProof/>
            <w:webHidden/>
          </w:rPr>
          <w:t>6</w:t>
        </w:r>
        <w:r w:rsidR="009A5622">
          <w:rPr>
            <w:noProof/>
            <w:webHidden/>
          </w:rPr>
          <w:fldChar w:fldCharType="end"/>
        </w:r>
      </w:hyperlink>
    </w:p>
    <w:p w:rsidR="009A5622" w:rsidRDefault="00B27D9D">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92063163" w:history="1">
        <w:r w:rsidR="009A5622" w:rsidRPr="007E48A0">
          <w:rPr>
            <w:rStyle w:val="Hyperlink"/>
            <w:noProof/>
          </w:rPr>
          <w:t>2</w:t>
        </w:r>
        <w:r w:rsidR="009A5622">
          <w:rPr>
            <w:rFonts w:asciiTheme="minorHAnsi" w:eastAsiaTheme="minorEastAsia" w:hAnsiTheme="minorHAnsi" w:cstheme="minorBidi"/>
            <w:b w:val="0"/>
            <w:bCs w:val="0"/>
            <w:noProof/>
            <w:sz w:val="22"/>
            <w:szCs w:val="22"/>
            <w:lang w:eastAsia="en-AU"/>
          </w:rPr>
          <w:tab/>
        </w:r>
        <w:r w:rsidR="009A5622" w:rsidRPr="007E48A0">
          <w:rPr>
            <w:rStyle w:val="Hyperlink"/>
            <w:noProof/>
          </w:rPr>
          <w:t>Our initial observations</w:t>
        </w:r>
        <w:r w:rsidR="009A5622">
          <w:rPr>
            <w:noProof/>
            <w:webHidden/>
          </w:rPr>
          <w:tab/>
        </w:r>
        <w:r w:rsidR="009A5622">
          <w:rPr>
            <w:noProof/>
            <w:webHidden/>
          </w:rPr>
          <w:fldChar w:fldCharType="begin"/>
        </w:r>
        <w:r w:rsidR="009A5622">
          <w:rPr>
            <w:noProof/>
            <w:webHidden/>
          </w:rPr>
          <w:instrText xml:space="preserve"> PAGEREF _Toc392063163 \h </w:instrText>
        </w:r>
        <w:r w:rsidR="009A5622">
          <w:rPr>
            <w:noProof/>
            <w:webHidden/>
          </w:rPr>
        </w:r>
        <w:r w:rsidR="009A5622">
          <w:rPr>
            <w:noProof/>
            <w:webHidden/>
          </w:rPr>
          <w:fldChar w:fldCharType="separate"/>
        </w:r>
        <w:r w:rsidR="007D569B">
          <w:rPr>
            <w:noProof/>
            <w:webHidden/>
          </w:rPr>
          <w:t>8</w:t>
        </w:r>
        <w:r w:rsidR="009A5622">
          <w:rPr>
            <w:noProof/>
            <w:webHidden/>
          </w:rPr>
          <w:fldChar w:fldCharType="end"/>
        </w:r>
      </w:hyperlink>
    </w:p>
    <w:p w:rsidR="009A5622" w:rsidRDefault="00B27D9D">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92063164" w:history="1">
        <w:r w:rsidR="009A5622" w:rsidRPr="007E48A0">
          <w:rPr>
            <w:rStyle w:val="Hyperlink"/>
            <w:noProof/>
          </w:rPr>
          <w:t>3</w:t>
        </w:r>
        <w:r w:rsidR="009A5622">
          <w:rPr>
            <w:rFonts w:asciiTheme="minorHAnsi" w:eastAsiaTheme="minorEastAsia" w:hAnsiTheme="minorHAnsi" w:cstheme="minorBidi"/>
            <w:b w:val="0"/>
            <w:bCs w:val="0"/>
            <w:noProof/>
            <w:sz w:val="22"/>
            <w:szCs w:val="22"/>
            <w:lang w:eastAsia="en-AU"/>
          </w:rPr>
          <w:tab/>
        </w:r>
        <w:r w:rsidR="009A5622" w:rsidRPr="007E48A0">
          <w:rPr>
            <w:rStyle w:val="Hyperlink"/>
            <w:noProof/>
          </w:rPr>
          <w:t>Your submission and key dates</w:t>
        </w:r>
        <w:r w:rsidR="009A5622">
          <w:rPr>
            <w:noProof/>
            <w:webHidden/>
          </w:rPr>
          <w:tab/>
        </w:r>
        <w:r w:rsidR="009A5622">
          <w:rPr>
            <w:noProof/>
            <w:webHidden/>
          </w:rPr>
          <w:fldChar w:fldCharType="begin"/>
        </w:r>
        <w:r w:rsidR="009A5622">
          <w:rPr>
            <w:noProof/>
            <w:webHidden/>
          </w:rPr>
          <w:instrText xml:space="preserve"> PAGEREF _Toc392063164 \h </w:instrText>
        </w:r>
        <w:r w:rsidR="009A5622">
          <w:rPr>
            <w:noProof/>
            <w:webHidden/>
          </w:rPr>
        </w:r>
        <w:r w:rsidR="009A5622">
          <w:rPr>
            <w:noProof/>
            <w:webHidden/>
          </w:rPr>
          <w:fldChar w:fldCharType="separate"/>
        </w:r>
        <w:r w:rsidR="007D569B">
          <w:rPr>
            <w:noProof/>
            <w:webHidden/>
          </w:rPr>
          <w:t>18</w:t>
        </w:r>
        <w:r w:rsidR="009A5622">
          <w:rPr>
            <w:noProof/>
            <w:webHidden/>
          </w:rPr>
          <w:fldChar w:fldCharType="end"/>
        </w:r>
      </w:hyperlink>
    </w:p>
    <w:p w:rsidR="009A5622" w:rsidRDefault="00B27D9D">
      <w:pPr>
        <w:pStyle w:val="TOC1"/>
        <w:tabs>
          <w:tab w:val="right" w:leader="dot" w:pos="9016"/>
        </w:tabs>
        <w:rPr>
          <w:rFonts w:asciiTheme="minorHAnsi" w:eastAsiaTheme="minorEastAsia" w:hAnsiTheme="minorHAnsi" w:cstheme="minorBidi"/>
          <w:b w:val="0"/>
          <w:bCs w:val="0"/>
          <w:noProof/>
          <w:sz w:val="22"/>
          <w:szCs w:val="22"/>
          <w:lang w:eastAsia="en-AU"/>
        </w:rPr>
      </w:pPr>
      <w:hyperlink w:anchor="_Toc392063165" w:history="1">
        <w:r w:rsidR="009A5622" w:rsidRPr="007E48A0">
          <w:rPr>
            <w:rStyle w:val="Hyperlink"/>
            <w:noProof/>
          </w:rPr>
          <w:t>Attachments</w:t>
        </w:r>
        <w:r w:rsidR="009A5622">
          <w:rPr>
            <w:noProof/>
            <w:webHidden/>
          </w:rPr>
          <w:tab/>
        </w:r>
        <w:r w:rsidR="009A5622">
          <w:rPr>
            <w:noProof/>
            <w:webHidden/>
          </w:rPr>
          <w:fldChar w:fldCharType="begin"/>
        </w:r>
        <w:r w:rsidR="009A5622">
          <w:rPr>
            <w:noProof/>
            <w:webHidden/>
          </w:rPr>
          <w:instrText xml:space="preserve"> PAGEREF _Toc392063165 \h </w:instrText>
        </w:r>
        <w:r w:rsidR="009A5622">
          <w:rPr>
            <w:noProof/>
            <w:webHidden/>
          </w:rPr>
        </w:r>
        <w:r w:rsidR="009A5622">
          <w:rPr>
            <w:noProof/>
            <w:webHidden/>
          </w:rPr>
          <w:fldChar w:fldCharType="separate"/>
        </w:r>
        <w:r w:rsidR="007D569B">
          <w:rPr>
            <w:noProof/>
            <w:webHidden/>
          </w:rPr>
          <w:t>20</w:t>
        </w:r>
        <w:r w:rsidR="009A5622">
          <w:rPr>
            <w:noProof/>
            <w:webHidden/>
          </w:rPr>
          <w:fldChar w:fldCharType="end"/>
        </w:r>
      </w:hyperlink>
    </w:p>
    <w:p w:rsidR="009A5622" w:rsidRDefault="00B27D9D">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92063166" w:history="1">
        <w:r w:rsidR="009A5622" w:rsidRPr="007E48A0">
          <w:rPr>
            <w:rStyle w:val="Hyperlink"/>
            <w:noProof/>
          </w:rPr>
          <w:t>1</w:t>
        </w:r>
        <w:r w:rsidR="009A5622">
          <w:rPr>
            <w:rFonts w:asciiTheme="minorHAnsi" w:eastAsiaTheme="minorEastAsia" w:hAnsiTheme="minorHAnsi" w:cstheme="minorBidi"/>
            <w:b w:val="0"/>
            <w:bCs w:val="0"/>
            <w:noProof/>
            <w:sz w:val="22"/>
            <w:szCs w:val="22"/>
            <w:lang w:eastAsia="en-AU"/>
          </w:rPr>
          <w:tab/>
        </w:r>
        <w:r w:rsidR="009A5622" w:rsidRPr="007E48A0">
          <w:rPr>
            <w:rStyle w:val="Hyperlink"/>
            <w:noProof/>
          </w:rPr>
          <w:t>Background to our assessment</w:t>
        </w:r>
        <w:r w:rsidR="009A5622">
          <w:rPr>
            <w:noProof/>
            <w:webHidden/>
          </w:rPr>
          <w:tab/>
        </w:r>
        <w:r w:rsidR="009A5622">
          <w:rPr>
            <w:noProof/>
            <w:webHidden/>
          </w:rPr>
          <w:fldChar w:fldCharType="begin"/>
        </w:r>
        <w:r w:rsidR="009A5622">
          <w:rPr>
            <w:noProof/>
            <w:webHidden/>
          </w:rPr>
          <w:instrText xml:space="preserve"> PAGEREF _Toc392063166 \h </w:instrText>
        </w:r>
        <w:r w:rsidR="009A5622">
          <w:rPr>
            <w:noProof/>
            <w:webHidden/>
          </w:rPr>
        </w:r>
        <w:r w:rsidR="009A5622">
          <w:rPr>
            <w:noProof/>
            <w:webHidden/>
          </w:rPr>
          <w:fldChar w:fldCharType="separate"/>
        </w:r>
        <w:r w:rsidR="007D569B">
          <w:rPr>
            <w:noProof/>
            <w:webHidden/>
          </w:rPr>
          <w:t>21</w:t>
        </w:r>
        <w:r w:rsidR="009A5622">
          <w:rPr>
            <w:noProof/>
            <w:webHidden/>
          </w:rPr>
          <w:fldChar w:fldCharType="end"/>
        </w:r>
      </w:hyperlink>
    </w:p>
    <w:p w:rsidR="009A5622" w:rsidRDefault="00B27D9D">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92063167" w:history="1">
        <w:r w:rsidR="009A5622" w:rsidRPr="007E48A0">
          <w:rPr>
            <w:rStyle w:val="Hyperlink"/>
            <w:noProof/>
          </w:rPr>
          <w:t>1.1</w:t>
        </w:r>
        <w:r w:rsidR="009A5622">
          <w:rPr>
            <w:rFonts w:asciiTheme="minorHAnsi" w:eastAsiaTheme="minorEastAsia" w:hAnsiTheme="minorHAnsi" w:cstheme="minorBidi"/>
            <w:iCs w:val="0"/>
            <w:noProof/>
            <w:sz w:val="22"/>
            <w:szCs w:val="22"/>
            <w:lang w:eastAsia="en-AU"/>
          </w:rPr>
          <w:tab/>
        </w:r>
        <w:r w:rsidR="009A5622" w:rsidRPr="007E48A0">
          <w:rPr>
            <w:rStyle w:val="Hyperlink"/>
            <w:noProof/>
          </w:rPr>
          <w:t>The Australian Energy Regulator</w:t>
        </w:r>
        <w:r w:rsidR="009A5622">
          <w:rPr>
            <w:noProof/>
            <w:webHidden/>
          </w:rPr>
          <w:tab/>
        </w:r>
        <w:r w:rsidR="009A5622">
          <w:rPr>
            <w:noProof/>
            <w:webHidden/>
          </w:rPr>
          <w:fldChar w:fldCharType="begin"/>
        </w:r>
        <w:r w:rsidR="009A5622">
          <w:rPr>
            <w:noProof/>
            <w:webHidden/>
          </w:rPr>
          <w:instrText xml:space="preserve"> PAGEREF _Toc392063167 \h </w:instrText>
        </w:r>
        <w:r w:rsidR="009A5622">
          <w:rPr>
            <w:noProof/>
            <w:webHidden/>
          </w:rPr>
        </w:r>
        <w:r w:rsidR="009A5622">
          <w:rPr>
            <w:noProof/>
            <w:webHidden/>
          </w:rPr>
          <w:fldChar w:fldCharType="separate"/>
        </w:r>
        <w:r w:rsidR="007D569B">
          <w:rPr>
            <w:noProof/>
            <w:webHidden/>
          </w:rPr>
          <w:t>21</w:t>
        </w:r>
        <w:r w:rsidR="009A5622">
          <w:rPr>
            <w:noProof/>
            <w:webHidden/>
          </w:rPr>
          <w:fldChar w:fldCharType="end"/>
        </w:r>
      </w:hyperlink>
    </w:p>
    <w:p w:rsidR="009A5622" w:rsidRDefault="00B27D9D">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92063168" w:history="1">
        <w:r w:rsidR="009A5622" w:rsidRPr="007E48A0">
          <w:rPr>
            <w:rStyle w:val="Hyperlink"/>
            <w:noProof/>
          </w:rPr>
          <w:t>1.2</w:t>
        </w:r>
        <w:r w:rsidR="009A5622">
          <w:rPr>
            <w:rFonts w:asciiTheme="minorHAnsi" w:eastAsiaTheme="minorEastAsia" w:hAnsiTheme="minorHAnsi" w:cstheme="minorBidi"/>
            <w:iCs w:val="0"/>
            <w:noProof/>
            <w:sz w:val="22"/>
            <w:szCs w:val="22"/>
            <w:lang w:eastAsia="en-AU"/>
          </w:rPr>
          <w:tab/>
        </w:r>
        <w:r w:rsidR="009A5622" w:rsidRPr="007E48A0">
          <w:rPr>
            <w:rStyle w:val="Hyperlink"/>
            <w:noProof/>
          </w:rPr>
          <w:t>Who are the transmission businesses?</w:t>
        </w:r>
        <w:r w:rsidR="009A5622">
          <w:rPr>
            <w:noProof/>
            <w:webHidden/>
          </w:rPr>
          <w:tab/>
        </w:r>
        <w:r w:rsidR="009A5622">
          <w:rPr>
            <w:noProof/>
            <w:webHidden/>
          </w:rPr>
          <w:fldChar w:fldCharType="begin"/>
        </w:r>
        <w:r w:rsidR="009A5622">
          <w:rPr>
            <w:noProof/>
            <w:webHidden/>
          </w:rPr>
          <w:instrText xml:space="preserve"> PAGEREF _Toc392063168 \h </w:instrText>
        </w:r>
        <w:r w:rsidR="009A5622">
          <w:rPr>
            <w:noProof/>
            <w:webHidden/>
          </w:rPr>
        </w:r>
        <w:r w:rsidR="009A5622">
          <w:rPr>
            <w:noProof/>
            <w:webHidden/>
          </w:rPr>
          <w:fldChar w:fldCharType="separate"/>
        </w:r>
        <w:r w:rsidR="007D569B">
          <w:rPr>
            <w:noProof/>
            <w:webHidden/>
          </w:rPr>
          <w:t>22</w:t>
        </w:r>
        <w:r w:rsidR="009A5622">
          <w:rPr>
            <w:noProof/>
            <w:webHidden/>
          </w:rPr>
          <w:fldChar w:fldCharType="end"/>
        </w:r>
      </w:hyperlink>
    </w:p>
    <w:p w:rsidR="009A5622" w:rsidRDefault="00B27D9D">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92063169" w:history="1">
        <w:r w:rsidR="009A5622" w:rsidRPr="007E48A0">
          <w:rPr>
            <w:rStyle w:val="Hyperlink"/>
            <w:noProof/>
          </w:rPr>
          <w:t>1.1</w:t>
        </w:r>
        <w:r w:rsidR="009A5622">
          <w:rPr>
            <w:rFonts w:asciiTheme="minorHAnsi" w:eastAsiaTheme="minorEastAsia" w:hAnsiTheme="minorHAnsi" w:cstheme="minorBidi"/>
            <w:iCs w:val="0"/>
            <w:noProof/>
            <w:sz w:val="22"/>
            <w:szCs w:val="22"/>
            <w:lang w:eastAsia="en-AU"/>
          </w:rPr>
          <w:tab/>
        </w:r>
        <w:r w:rsidR="009A5622" w:rsidRPr="007E48A0">
          <w:rPr>
            <w:rStyle w:val="Hyperlink"/>
            <w:noProof/>
          </w:rPr>
          <w:t>Regulatory framework</w:t>
        </w:r>
        <w:r w:rsidR="009A5622">
          <w:rPr>
            <w:noProof/>
            <w:webHidden/>
          </w:rPr>
          <w:tab/>
        </w:r>
        <w:r w:rsidR="009A5622">
          <w:rPr>
            <w:noProof/>
            <w:webHidden/>
          </w:rPr>
          <w:fldChar w:fldCharType="begin"/>
        </w:r>
        <w:r w:rsidR="009A5622">
          <w:rPr>
            <w:noProof/>
            <w:webHidden/>
          </w:rPr>
          <w:instrText xml:space="preserve"> PAGEREF _Toc392063169 \h </w:instrText>
        </w:r>
        <w:r w:rsidR="009A5622">
          <w:rPr>
            <w:noProof/>
            <w:webHidden/>
          </w:rPr>
        </w:r>
        <w:r w:rsidR="009A5622">
          <w:rPr>
            <w:noProof/>
            <w:webHidden/>
          </w:rPr>
          <w:fldChar w:fldCharType="separate"/>
        </w:r>
        <w:r w:rsidR="007D569B">
          <w:rPr>
            <w:noProof/>
            <w:webHidden/>
          </w:rPr>
          <w:t>23</w:t>
        </w:r>
        <w:r w:rsidR="009A5622">
          <w:rPr>
            <w:noProof/>
            <w:webHidden/>
          </w:rPr>
          <w:fldChar w:fldCharType="end"/>
        </w:r>
      </w:hyperlink>
    </w:p>
    <w:p w:rsidR="009A5622" w:rsidRDefault="00B27D9D">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92063170" w:history="1">
        <w:r w:rsidR="009A5622" w:rsidRPr="007E48A0">
          <w:rPr>
            <w:rStyle w:val="Hyperlink"/>
            <w:noProof/>
          </w:rPr>
          <w:t>2</w:t>
        </w:r>
        <w:r w:rsidR="009A5622">
          <w:rPr>
            <w:rFonts w:asciiTheme="minorHAnsi" w:eastAsiaTheme="minorEastAsia" w:hAnsiTheme="minorHAnsi" w:cstheme="minorBidi"/>
            <w:b w:val="0"/>
            <w:bCs w:val="0"/>
            <w:noProof/>
            <w:sz w:val="22"/>
            <w:szCs w:val="22"/>
            <w:lang w:eastAsia="en-AU"/>
          </w:rPr>
          <w:tab/>
        </w:r>
        <w:r w:rsidR="009A5622" w:rsidRPr="007E48A0">
          <w:rPr>
            <w:rStyle w:val="Hyperlink"/>
            <w:noProof/>
          </w:rPr>
          <w:t>Consumer engagement and community consultation</w:t>
        </w:r>
        <w:r w:rsidR="009A5622">
          <w:rPr>
            <w:noProof/>
            <w:webHidden/>
          </w:rPr>
          <w:tab/>
        </w:r>
        <w:r w:rsidR="009A5622">
          <w:rPr>
            <w:noProof/>
            <w:webHidden/>
          </w:rPr>
          <w:fldChar w:fldCharType="begin"/>
        </w:r>
        <w:r w:rsidR="009A5622">
          <w:rPr>
            <w:noProof/>
            <w:webHidden/>
          </w:rPr>
          <w:instrText xml:space="preserve"> PAGEREF _Toc392063170 \h </w:instrText>
        </w:r>
        <w:r w:rsidR="009A5622">
          <w:rPr>
            <w:noProof/>
            <w:webHidden/>
          </w:rPr>
        </w:r>
        <w:r w:rsidR="009A5622">
          <w:rPr>
            <w:noProof/>
            <w:webHidden/>
          </w:rPr>
          <w:fldChar w:fldCharType="separate"/>
        </w:r>
        <w:r w:rsidR="007D569B">
          <w:rPr>
            <w:noProof/>
            <w:webHidden/>
          </w:rPr>
          <w:t>16</w:t>
        </w:r>
        <w:r w:rsidR="009A5622">
          <w:rPr>
            <w:noProof/>
            <w:webHidden/>
          </w:rPr>
          <w:fldChar w:fldCharType="end"/>
        </w:r>
      </w:hyperlink>
    </w:p>
    <w:p w:rsidR="009A5622" w:rsidRDefault="00B27D9D">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92063171" w:history="1">
        <w:r w:rsidR="009A5622" w:rsidRPr="007E48A0">
          <w:rPr>
            <w:rStyle w:val="Hyperlink"/>
            <w:noProof/>
          </w:rPr>
          <w:t>2.1</w:t>
        </w:r>
        <w:r w:rsidR="009A5622">
          <w:rPr>
            <w:rFonts w:asciiTheme="minorHAnsi" w:eastAsiaTheme="minorEastAsia" w:hAnsiTheme="minorHAnsi" w:cstheme="minorBidi"/>
            <w:iCs w:val="0"/>
            <w:noProof/>
            <w:sz w:val="22"/>
            <w:szCs w:val="22"/>
            <w:lang w:eastAsia="en-AU"/>
          </w:rPr>
          <w:tab/>
        </w:r>
        <w:r w:rsidR="009A5622" w:rsidRPr="007E48A0">
          <w:rPr>
            <w:rStyle w:val="Hyperlink"/>
            <w:noProof/>
          </w:rPr>
          <w:t>Consumer engagement in the NER</w:t>
        </w:r>
        <w:r w:rsidR="009A5622">
          <w:rPr>
            <w:noProof/>
            <w:webHidden/>
          </w:rPr>
          <w:tab/>
        </w:r>
        <w:r w:rsidR="009A5622">
          <w:rPr>
            <w:noProof/>
            <w:webHidden/>
          </w:rPr>
          <w:fldChar w:fldCharType="begin"/>
        </w:r>
        <w:r w:rsidR="009A5622">
          <w:rPr>
            <w:noProof/>
            <w:webHidden/>
          </w:rPr>
          <w:instrText xml:space="preserve"> PAGEREF _Toc392063171 \h </w:instrText>
        </w:r>
        <w:r w:rsidR="009A5622">
          <w:rPr>
            <w:noProof/>
            <w:webHidden/>
          </w:rPr>
        </w:r>
        <w:r w:rsidR="009A5622">
          <w:rPr>
            <w:noProof/>
            <w:webHidden/>
          </w:rPr>
          <w:fldChar w:fldCharType="separate"/>
        </w:r>
        <w:r w:rsidR="007D569B">
          <w:rPr>
            <w:noProof/>
            <w:webHidden/>
          </w:rPr>
          <w:t>16</w:t>
        </w:r>
        <w:r w:rsidR="009A5622">
          <w:rPr>
            <w:noProof/>
            <w:webHidden/>
          </w:rPr>
          <w:fldChar w:fldCharType="end"/>
        </w:r>
      </w:hyperlink>
    </w:p>
    <w:p w:rsidR="009A5622" w:rsidRDefault="00B27D9D">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92063172" w:history="1">
        <w:r w:rsidR="009A5622" w:rsidRPr="007E48A0">
          <w:rPr>
            <w:rStyle w:val="Hyperlink"/>
            <w:noProof/>
          </w:rPr>
          <w:t>2.2</w:t>
        </w:r>
        <w:r w:rsidR="009A5622">
          <w:rPr>
            <w:rFonts w:asciiTheme="minorHAnsi" w:eastAsiaTheme="minorEastAsia" w:hAnsiTheme="minorHAnsi" w:cstheme="minorBidi"/>
            <w:iCs w:val="0"/>
            <w:noProof/>
            <w:sz w:val="22"/>
            <w:szCs w:val="22"/>
            <w:lang w:eastAsia="en-AU"/>
          </w:rPr>
          <w:tab/>
        </w:r>
        <w:r w:rsidR="009A5622" w:rsidRPr="007E48A0">
          <w:rPr>
            <w:rStyle w:val="Hyperlink"/>
            <w:noProof/>
          </w:rPr>
          <w:t>Our consumer engagement guideline</w:t>
        </w:r>
        <w:r w:rsidR="009A5622">
          <w:rPr>
            <w:noProof/>
            <w:webHidden/>
          </w:rPr>
          <w:tab/>
        </w:r>
        <w:r w:rsidR="009A5622">
          <w:rPr>
            <w:noProof/>
            <w:webHidden/>
          </w:rPr>
          <w:fldChar w:fldCharType="begin"/>
        </w:r>
        <w:r w:rsidR="009A5622">
          <w:rPr>
            <w:noProof/>
            <w:webHidden/>
          </w:rPr>
          <w:instrText xml:space="preserve"> PAGEREF _Toc392063172 \h </w:instrText>
        </w:r>
        <w:r w:rsidR="009A5622">
          <w:rPr>
            <w:noProof/>
            <w:webHidden/>
          </w:rPr>
        </w:r>
        <w:r w:rsidR="009A5622">
          <w:rPr>
            <w:noProof/>
            <w:webHidden/>
          </w:rPr>
          <w:fldChar w:fldCharType="separate"/>
        </w:r>
        <w:r w:rsidR="007D569B">
          <w:rPr>
            <w:noProof/>
            <w:webHidden/>
          </w:rPr>
          <w:t>16</w:t>
        </w:r>
        <w:r w:rsidR="009A5622">
          <w:rPr>
            <w:noProof/>
            <w:webHidden/>
          </w:rPr>
          <w:fldChar w:fldCharType="end"/>
        </w:r>
      </w:hyperlink>
    </w:p>
    <w:p w:rsidR="009A5622" w:rsidRDefault="00B27D9D">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92063173" w:history="1">
        <w:r w:rsidR="009A5622" w:rsidRPr="007E48A0">
          <w:rPr>
            <w:rStyle w:val="Hyperlink"/>
            <w:noProof/>
          </w:rPr>
          <w:t>3</w:t>
        </w:r>
        <w:r w:rsidR="009A5622">
          <w:rPr>
            <w:rFonts w:asciiTheme="minorHAnsi" w:eastAsiaTheme="minorEastAsia" w:hAnsiTheme="minorHAnsi" w:cstheme="minorBidi"/>
            <w:b w:val="0"/>
            <w:bCs w:val="0"/>
            <w:noProof/>
            <w:sz w:val="22"/>
            <w:szCs w:val="22"/>
            <w:lang w:eastAsia="en-AU"/>
          </w:rPr>
          <w:tab/>
        </w:r>
        <w:r w:rsidR="009A5622" w:rsidRPr="007E48A0">
          <w:rPr>
            <w:rStyle w:val="Hyperlink"/>
            <w:noProof/>
          </w:rPr>
          <w:t>Total revenue proposals</w:t>
        </w:r>
        <w:r w:rsidR="009A5622">
          <w:rPr>
            <w:noProof/>
            <w:webHidden/>
          </w:rPr>
          <w:tab/>
        </w:r>
        <w:r w:rsidR="009A5622">
          <w:rPr>
            <w:noProof/>
            <w:webHidden/>
          </w:rPr>
          <w:fldChar w:fldCharType="begin"/>
        </w:r>
        <w:r w:rsidR="009A5622">
          <w:rPr>
            <w:noProof/>
            <w:webHidden/>
          </w:rPr>
          <w:instrText xml:space="preserve"> PAGEREF _Toc392063173 \h </w:instrText>
        </w:r>
        <w:r w:rsidR="009A5622">
          <w:rPr>
            <w:noProof/>
            <w:webHidden/>
          </w:rPr>
        </w:r>
        <w:r w:rsidR="009A5622">
          <w:rPr>
            <w:noProof/>
            <w:webHidden/>
          </w:rPr>
          <w:fldChar w:fldCharType="separate"/>
        </w:r>
        <w:r w:rsidR="007D569B">
          <w:rPr>
            <w:noProof/>
            <w:webHidden/>
          </w:rPr>
          <w:t>27</w:t>
        </w:r>
        <w:r w:rsidR="009A5622">
          <w:rPr>
            <w:noProof/>
            <w:webHidden/>
          </w:rPr>
          <w:fldChar w:fldCharType="end"/>
        </w:r>
      </w:hyperlink>
    </w:p>
    <w:p w:rsidR="009A5622" w:rsidRDefault="00B27D9D">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92063174" w:history="1">
        <w:r w:rsidR="009A5622" w:rsidRPr="007E48A0">
          <w:rPr>
            <w:rStyle w:val="Hyperlink"/>
            <w:noProof/>
          </w:rPr>
          <w:t>3.1</w:t>
        </w:r>
        <w:r w:rsidR="009A5622">
          <w:rPr>
            <w:rFonts w:asciiTheme="minorHAnsi" w:eastAsiaTheme="minorEastAsia" w:hAnsiTheme="minorHAnsi" w:cstheme="minorBidi"/>
            <w:iCs w:val="0"/>
            <w:noProof/>
            <w:sz w:val="22"/>
            <w:szCs w:val="22"/>
            <w:lang w:eastAsia="en-AU"/>
          </w:rPr>
          <w:tab/>
        </w:r>
        <w:r w:rsidR="009A5622" w:rsidRPr="007E48A0">
          <w:rPr>
            <w:rStyle w:val="Hyperlink"/>
            <w:noProof/>
          </w:rPr>
          <w:t>Revenue impact by building block revenue component</w:t>
        </w:r>
        <w:r w:rsidR="009A5622">
          <w:rPr>
            <w:noProof/>
            <w:webHidden/>
          </w:rPr>
          <w:tab/>
        </w:r>
        <w:r w:rsidR="009A5622">
          <w:rPr>
            <w:noProof/>
            <w:webHidden/>
          </w:rPr>
          <w:fldChar w:fldCharType="begin"/>
        </w:r>
        <w:r w:rsidR="009A5622">
          <w:rPr>
            <w:noProof/>
            <w:webHidden/>
          </w:rPr>
          <w:instrText xml:space="preserve"> PAGEREF _Toc392063174 \h </w:instrText>
        </w:r>
        <w:r w:rsidR="009A5622">
          <w:rPr>
            <w:noProof/>
            <w:webHidden/>
          </w:rPr>
        </w:r>
        <w:r w:rsidR="009A5622">
          <w:rPr>
            <w:noProof/>
            <w:webHidden/>
          </w:rPr>
          <w:fldChar w:fldCharType="separate"/>
        </w:r>
        <w:r w:rsidR="007D569B">
          <w:rPr>
            <w:noProof/>
            <w:webHidden/>
          </w:rPr>
          <w:t>29</w:t>
        </w:r>
        <w:r w:rsidR="009A5622">
          <w:rPr>
            <w:noProof/>
            <w:webHidden/>
          </w:rPr>
          <w:fldChar w:fldCharType="end"/>
        </w:r>
      </w:hyperlink>
    </w:p>
    <w:p w:rsidR="009A5622" w:rsidRDefault="00B27D9D">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92063175" w:history="1">
        <w:r w:rsidR="009A5622" w:rsidRPr="007E48A0">
          <w:rPr>
            <w:rStyle w:val="Hyperlink"/>
            <w:noProof/>
          </w:rPr>
          <w:t>4</w:t>
        </w:r>
        <w:r w:rsidR="009A5622">
          <w:rPr>
            <w:rFonts w:asciiTheme="minorHAnsi" w:eastAsiaTheme="minorEastAsia" w:hAnsiTheme="minorHAnsi" w:cstheme="minorBidi"/>
            <w:b w:val="0"/>
            <w:bCs w:val="0"/>
            <w:noProof/>
            <w:sz w:val="22"/>
            <w:szCs w:val="22"/>
            <w:lang w:eastAsia="en-AU"/>
          </w:rPr>
          <w:tab/>
        </w:r>
        <w:r w:rsidR="009A5622" w:rsidRPr="007E48A0">
          <w:rPr>
            <w:rStyle w:val="Hyperlink"/>
            <w:noProof/>
          </w:rPr>
          <w:t>Capital expenditure</w:t>
        </w:r>
        <w:r w:rsidR="009A5622">
          <w:rPr>
            <w:noProof/>
            <w:webHidden/>
          </w:rPr>
          <w:tab/>
        </w:r>
        <w:r w:rsidR="009A5622">
          <w:rPr>
            <w:noProof/>
            <w:webHidden/>
          </w:rPr>
          <w:fldChar w:fldCharType="begin"/>
        </w:r>
        <w:r w:rsidR="009A5622">
          <w:rPr>
            <w:noProof/>
            <w:webHidden/>
          </w:rPr>
          <w:instrText xml:space="preserve"> PAGEREF _Toc392063175 \h </w:instrText>
        </w:r>
        <w:r w:rsidR="009A5622">
          <w:rPr>
            <w:noProof/>
            <w:webHidden/>
          </w:rPr>
        </w:r>
        <w:r w:rsidR="009A5622">
          <w:rPr>
            <w:noProof/>
            <w:webHidden/>
          </w:rPr>
          <w:fldChar w:fldCharType="separate"/>
        </w:r>
        <w:r w:rsidR="007D569B">
          <w:rPr>
            <w:noProof/>
            <w:webHidden/>
          </w:rPr>
          <w:t>32</w:t>
        </w:r>
        <w:r w:rsidR="009A5622">
          <w:rPr>
            <w:noProof/>
            <w:webHidden/>
          </w:rPr>
          <w:fldChar w:fldCharType="end"/>
        </w:r>
      </w:hyperlink>
    </w:p>
    <w:p w:rsidR="009A5622" w:rsidRDefault="00B27D9D">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92063176" w:history="1">
        <w:r w:rsidR="009A5622" w:rsidRPr="007E48A0">
          <w:rPr>
            <w:rStyle w:val="Hyperlink"/>
            <w:noProof/>
          </w:rPr>
          <w:t>4.1</w:t>
        </w:r>
        <w:r w:rsidR="009A5622">
          <w:rPr>
            <w:rFonts w:asciiTheme="minorHAnsi" w:eastAsiaTheme="minorEastAsia" w:hAnsiTheme="minorHAnsi" w:cstheme="minorBidi"/>
            <w:iCs w:val="0"/>
            <w:noProof/>
            <w:sz w:val="22"/>
            <w:szCs w:val="22"/>
            <w:lang w:eastAsia="en-AU"/>
          </w:rPr>
          <w:tab/>
        </w:r>
        <w:r w:rsidR="009A5622" w:rsidRPr="007E48A0">
          <w:rPr>
            <w:rStyle w:val="Hyperlink"/>
            <w:noProof/>
          </w:rPr>
          <w:t>Transmission businesses capital expenditure proposals</w:t>
        </w:r>
        <w:r w:rsidR="009A5622">
          <w:rPr>
            <w:noProof/>
            <w:webHidden/>
          </w:rPr>
          <w:tab/>
        </w:r>
        <w:r w:rsidR="009A5622">
          <w:rPr>
            <w:noProof/>
            <w:webHidden/>
          </w:rPr>
          <w:fldChar w:fldCharType="begin"/>
        </w:r>
        <w:r w:rsidR="009A5622">
          <w:rPr>
            <w:noProof/>
            <w:webHidden/>
          </w:rPr>
          <w:instrText xml:space="preserve"> PAGEREF _Toc392063176 \h </w:instrText>
        </w:r>
        <w:r w:rsidR="009A5622">
          <w:rPr>
            <w:noProof/>
            <w:webHidden/>
          </w:rPr>
        </w:r>
        <w:r w:rsidR="009A5622">
          <w:rPr>
            <w:noProof/>
            <w:webHidden/>
          </w:rPr>
          <w:fldChar w:fldCharType="separate"/>
        </w:r>
        <w:r w:rsidR="007D569B">
          <w:rPr>
            <w:noProof/>
            <w:webHidden/>
          </w:rPr>
          <w:t>32</w:t>
        </w:r>
        <w:r w:rsidR="009A5622">
          <w:rPr>
            <w:noProof/>
            <w:webHidden/>
          </w:rPr>
          <w:fldChar w:fldCharType="end"/>
        </w:r>
      </w:hyperlink>
    </w:p>
    <w:p w:rsidR="009A5622" w:rsidRDefault="00B27D9D">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92063177" w:history="1">
        <w:r w:rsidR="009A5622" w:rsidRPr="007E48A0">
          <w:rPr>
            <w:rStyle w:val="Hyperlink"/>
            <w:noProof/>
          </w:rPr>
          <w:t>5</w:t>
        </w:r>
        <w:r w:rsidR="009A5622">
          <w:rPr>
            <w:rFonts w:asciiTheme="minorHAnsi" w:eastAsiaTheme="minorEastAsia" w:hAnsiTheme="minorHAnsi" w:cstheme="minorBidi"/>
            <w:b w:val="0"/>
            <w:bCs w:val="0"/>
            <w:noProof/>
            <w:sz w:val="22"/>
            <w:szCs w:val="22"/>
            <w:lang w:eastAsia="en-AU"/>
          </w:rPr>
          <w:tab/>
        </w:r>
        <w:r w:rsidR="009A5622" w:rsidRPr="007E48A0">
          <w:rPr>
            <w:rStyle w:val="Hyperlink"/>
            <w:noProof/>
          </w:rPr>
          <w:t>Operating expenditure</w:t>
        </w:r>
        <w:r w:rsidR="009A5622">
          <w:rPr>
            <w:noProof/>
            <w:webHidden/>
          </w:rPr>
          <w:tab/>
        </w:r>
        <w:r w:rsidR="009A5622">
          <w:rPr>
            <w:noProof/>
            <w:webHidden/>
          </w:rPr>
          <w:fldChar w:fldCharType="begin"/>
        </w:r>
        <w:r w:rsidR="009A5622">
          <w:rPr>
            <w:noProof/>
            <w:webHidden/>
          </w:rPr>
          <w:instrText xml:space="preserve"> PAGEREF _Toc392063177 \h </w:instrText>
        </w:r>
        <w:r w:rsidR="009A5622">
          <w:rPr>
            <w:noProof/>
            <w:webHidden/>
          </w:rPr>
        </w:r>
        <w:r w:rsidR="009A5622">
          <w:rPr>
            <w:noProof/>
            <w:webHidden/>
          </w:rPr>
          <w:fldChar w:fldCharType="separate"/>
        </w:r>
        <w:r w:rsidR="007D569B">
          <w:rPr>
            <w:noProof/>
            <w:webHidden/>
          </w:rPr>
          <w:t>37</w:t>
        </w:r>
        <w:r w:rsidR="009A5622">
          <w:rPr>
            <w:noProof/>
            <w:webHidden/>
          </w:rPr>
          <w:fldChar w:fldCharType="end"/>
        </w:r>
      </w:hyperlink>
    </w:p>
    <w:p w:rsidR="009A5622" w:rsidRDefault="00B27D9D">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92063178" w:history="1">
        <w:r w:rsidR="009A5622" w:rsidRPr="007E48A0">
          <w:rPr>
            <w:rStyle w:val="Hyperlink"/>
            <w:noProof/>
          </w:rPr>
          <w:t>5.1</w:t>
        </w:r>
        <w:r w:rsidR="009A5622">
          <w:rPr>
            <w:rFonts w:asciiTheme="minorHAnsi" w:eastAsiaTheme="minorEastAsia" w:hAnsiTheme="minorHAnsi" w:cstheme="minorBidi"/>
            <w:iCs w:val="0"/>
            <w:noProof/>
            <w:sz w:val="22"/>
            <w:szCs w:val="22"/>
            <w:lang w:eastAsia="en-AU"/>
          </w:rPr>
          <w:tab/>
        </w:r>
        <w:r w:rsidR="009A5622" w:rsidRPr="007E48A0">
          <w:rPr>
            <w:rStyle w:val="Hyperlink"/>
            <w:noProof/>
          </w:rPr>
          <w:t>Transmission business operating expenditure proposals</w:t>
        </w:r>
        <w:r w:rsidR="009A5622">
          <w:rPr>
            <w:noProof/>
            <w:webHidden/>
          </w:rPr>
          <w:tab/>
        </w:r>
        <w:r w:rsidR="009A5622">
          <w:rPr>
            <w:noProof/>
            <w:webHidden/>
          </w:rPr>
          <w:fldChar w:fldCharType="begin"/>
        </w:r>
        <w:r w:rsidR="009A5622">
          <w:rPr>
            <w:noProof/>
            <w:webHidden/>
          </w:rPr>
          <w:instrText xml:space="preserve"> PAGEREF _Toc392063178 \h </w:instrText>
        </w:r>
        <w:r w:rsidR="009A5622">
          <w:rPr>
            <w:noProof/>
            <w:webHidden/>
          </w:rPr>
        </w:r>
        <w:r w:rsidR="009A5622">
          <w:rPr>
            <w:noProof/>
            <w:webHidden/>
          </w:rPr>
          <w:fldChar w:fldCharType="separate"/>
        </w:r>
        <w:r w:rsidR="007D569B">
          <w:rPr>
            <w:noProof/>
            <w:webHidden/>
          </w:rPr>
          <w:t>37</w:t>
        </w:r>
        <w:r w:rsidR="009A5622">
          <w:rPr>
            <w:noProof/>
            <w:webHidden/>
          </w:rPr>
          <w:fldChar w:fldCharType="end"/>
        </w:r>
      </w:hyperlink>
    </w:p>
    <w:p w:rsidR="009A5622" w:rsidRDefault="00B27D9D">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92063179" w:history="1">
        <w:r w:rsidR="009A5622" w:rsidRPr="007E48A0">
          <w:rPr>
            <w:rStyle w:val="Hyperlink"/>
            <w:noProof/>
          </w:rPr>
          <w:t>5.2</w:t>
        </w:r>
        <w:r w:rsidR="009A5622">
          <w:rPr>
            <w:rFonts w:asciiTheme="minorHAnsi" w:eastAsiaTheme="minorEastAsia" w:hAnsiTheme="minorHAnsi" w:cstheme="minorBidi"/>
            <w:iCs w:val="0"/>
            <w:noProof/>
            <w:sz w:val="22"/>
            <w:szCs w:val="22"/>
            <w:lang w:eastAsia="en-AU"/>
          </w:rPr>
          <w:tab/>
        </w:r>
        <w:r w:rsidR="009A5622" w:rsidRPr="007E48A0">
          <w:rPr>
            <w:rStyle w:val="Hyperlink"/>
            <w:noProof/>
          </w:rPr>
          <w:t>Key drivers of the operating expenditure proposals</w:t>
        </w:r>
        <w:r w:rsidR="009A5622">
          <w:rPr>
            <w:noProof/>
            <w:webHidden/>
          </w:rPr>
          <w:tab/>
        </w:r>
        <w:r w:rsidR="009A5622">
          <w:rPr>
            <w:noProof/>
            <w:webHidden/>
          </w:rPr>
          <w:fldChar w:fldCharType="begin"/>
        </w:r>
        <w:r w:rsidR="009A5622">
          <w:rPr>
            <w:noProof/>
            <w:webHidden/>
          </w:rPr>
          <w:instrText xml:space="preserve"> PAGEREF _Toc392063179 \h </w:instrText>
        </w:r>
        <w:r w:rsidR="009A5622">
          <w:rPr>
            <w:noProof/>
            <w:webHidden/>
          </w:rPr>
        </w:r>
        <w:r w:rsidR="009A5622">
          <w:rPr>
            <w:noProof/>
            <w:webHidden/>
          </w:rPr>
          <w:fldChar w:fldCharType="separate"/>
        </w:r>
        <w:r w:rsidR="007D569B">
          <w:rPr>
            <w:noProof/>
            <w:webHidden/>
          </w:rPr>
          <w:t>39</w:t>
        </w:r>
        <w:r w:rsidR="009A5622">
          <w:rPr>
            <w:noProof/>
            <w:webHidden/>
          </w:rPr>
          <w:fldChar w:fldCharType="end"/>
        </w:r>
      </w:hyperlink>
    </w:p>
    <w:p w:rsidR="009A5622" w:rsidRDefault="00B27D9D">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92063180" w:history="1">
        <w:r w:rsidR="009A5622" w:rsidRPr="007E48A0">
          <w:rPr>
            <w:rStyle w:val="Hyperlink"/>
            <w:noProof/>
          </w:rPr>
          <w:t>6</w:t>
        </w:r>
        <w:r w:rsidR="009A5622">
          <w:rPr>
            <w:rFonts w:asciiTheme="minorHAnsi" w:eastAsiaTheme="minorEastAsia" w:hAnsiTheme="minorHAnsi" w:cstheme="minorBidi"/>
            <w:b w:val="0"/>
            <w:bCs w:val="0"/>
            <w:noProof/>
            <w:sz w:val="22"/>
            <w:szCs w:val="22"/>
            <w:lang w:eastAsia="en-AU"/>
          </w:rPr>
          <w:tab/>
        </w:r>
        <w:r w:rsidR="009A5622" w:rsidRPr="007E48A0">
          <w:rPr>
            <w:rStyle w:val="Hyperlink"/>
            <w:noProof/>
          </w:rPr>
          <w:t>Rate of return</w:t>
        </w:r>
        <w:r w:rsidR="009A5622">
          <w:rPr>
            <w:noProof/>
            <w:webHidden/>
          </w:rPr>
          <w:tab/>
        </w:r>
        <w:r w:rsidR="009A5622">
          <w:rPr>
            <w:noProof/>
            <w:webHidden/>
          </w:rPr>
          <w:fldChar w:fldCharType="begin"/>
        </w:r>
        <w:r w:rsidR="009A5622">
          <w:rPr>
            <w:noProof/>
            <w:webHidden/>
          </w:rPr>
          <w:instrText xml:space="preserve"> PAGEREF _Toc392063180 \h </w:instrText>
        </w:r>
        <w:r w:rsidR="009A5622">
          <w:rPr>
            <w:noProof/>
            <w:webHidden/>
          </w:rPr>
        </w:r>
        <w:r w:rsidR="009A5622">
          <w:rPr>
            <w:noProof/>
            <w:webHidden/>
          </w:rPr>
          <w:fldChar w:fldCharType="separate"/>
        </w:r>
        <w:r w:rsidR="007D569B">
          <w:rPr>
            <w:noProof/>
            <w:webHidden/>
          </w:rPr>
          <w:t>43</w:t>
        </w:r>
        <w:r w:rsidR="009A5622">
          <w:rPr>
            <w:noProof/>
            <w:webHidden/>
          </w:rPr>
          <w:fldChar w:fldCharType="end"/>
        </w:r>
      </w:hyperlink>
    </w:p>
    <w:p w:rsidR="009A5622" w:rsidRDefault="00B27D9D">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92063181" w:history="1">
        <w:r w:rsidR="009A5622" w:rsidRPr="007E48A0">
          <w:rPr>
            <w:rStyle w:val="Hyperlink"/>
            <w:noProof/>
          </w:rPr>
          <w:t>6.1</w:t>
        </w:r>
        <w:r w:rsidR="009A5622">
          <w:rPr>
            <w:rFonts w:asciiTheme="minorHAnsi" w:eastAsiaTheme="minorEastAsia" w:hAnsiTheme="minorHAnsi" w:cstheme="minorBidi"/>
            <w:iCs w:val="0"/>
            <w:noProof/>
            <w:sz w:val="22"/>
            <w:szCs w:val="22"/>
            <w:lang w:eastAsia="en-AU"/>
          </w:rPr>
          <w:tab/>
        </w:r>
        <w:r w:rsidR="009A5622" w:rsidRPr="007E48A0">
          <w:rPr>
            <w:rStyle w:val="Hyperlink"/>
            <w:noProof/>
          </w:rPr>
          <w:t>Overall return on capital</w:t>
        </w:r>
        <w:r w:rsidR="009A5622">
          <w:rPr>
            <w:noProof/>
            <w:webHidden/>
          </w:rPr>
          <w:tab/>
        </w:r>
        <w:r w:rsidR="009A5622">
          <w:rPr>
            <w:noProof/>
            <w:webHidden/>
          </w:rPr>
          <w:fldChar w:fldCharType="begin"/>
        </w:r>
        <w:r w:rsidR="009A5622">
          <w:rPr>
            <w:noProof/>
            <w:webHidden/>
          </w:rPr>
          <w:instrText xml:space="preserve"> PAGEREF _Toc392063181 \h </w:instrText>
        </w:r>
        <w:r w:rsidR="009A5622">
          <w:rPr>
            <w:noProof/>
            <w:webHidden/>
          </w:rPr>
        </w:r>
        <w:r w:rsidR="009A5622">
          <w:rPr>
            <w:noProof/>
            <w:webHidden/>
          </w:rPr>
          <w:fldChar w:fldCharType="separate"/>
        </w:r>
        <w:r w:rsidR="007D569B">
          <w:rPr>
            <w:noProof/>
            <w:webHidden/>
          </w:rPr>
          <w:t>43</w:t>
        </w:r>
        <w:r w:rsidR="009A5622">
          <w:rPr>
            <w:noProof/>
            <w:webHidden/>
          </w:rPr>
          <w:fldChar w:fldCharType="end"/>
        </w:r>
      </w:hyperlink>
    </w:p>
    <w:p w:rsidR="009A5622" w:rsidRDefault="00B27D9D">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92063182" w:history="1">
        <w:r w:rsidR="009A5622" w:rsidRPr="007E48A0">
          <w:rPr>
            <w:rStyle w:val="Hyperlink"/>
            <w:noProof/>
          </w:rPr>
          <w:t>6.2</w:t>
        </w:r>
        <w:r w:rsidR="009A5622">
          <w:rPr>
            <w:rFonts w:asciiTheme="minorHAnsi" w:eastAsiaTheme="minorEastAsia" w:hAnsiTheme="minorHAnsi" w:cstheme="minorBidi"/>
            <w:iCs w:val="0"/>
            <w:noProof/>
            <w:sz w:val="22"/>
            <w:szCs w:val="22"/>
            <w:lang w:eastAsia="en-AU"/>
          </w:rPr>
          <w:tab/>
        </w:r>
        <w:r w:rsidR="009A5622" w:rsidRPr="007E48A0">
          <w:rPr>
            <w:rStyle w:val="Hyperlink"/>
            <w:noProof/>
          </w:rPr>
          <w:t>Value of imputation credits</w:t>
        </w:r>
        <w:r w:rsidR="009A5622">
          <w:rPr>
            <w:noProof/>
            <w:webHidden/>
          </w:rPr>
          <w:tab/>
        </w:r>
        <w:r w:rsidR="009A5622">
          <w:rPr>
            <w:noProof/>
            <w:webHidden/>
          </w:rPr>
          <w:fldChar w:fldCharType="begin"/>
        </w:r>
        <w:r w:rsidR="009A5622">
          <w:rPr>
            <w:noProof/>
            <w:webHidden/>
          </w:rPr>
          <w:instrText xml:space="preserve"> PAGEREF _Toc392063182 \h </w:instrText>
        </w:r>
        <w:r w:rsidR="009A5622">
          <w:rPr>
            <w:noProof/>
            <w:webHidden/>
          </w:rPr>
        </w:r>
        <w:r w:rsidR="009A5622">
          <w:rPr>
            <w:noProof/>
            <w:webHidden/>
          </w:rPr>
          <w:fldChar w:fldCharType="separate"/>
        </w:r>
        <w:r w:rsidR="007D569B">
          <w:rPr>
            <w:noProof/>
            <w:webHidden/>
          </w:rPr>
          <w:t>47</w:t>
        </w:r>
        <w:r w:rsidR="009A5622">
          <w:rPr>
            <w:noProof/>
            <w:webHidden/>
          </w:rPr>
          <w:fldChar w:fldCharType="end"/>
        </w:r>
      </w:hyperlink>
    </w:p>
    <w:p w:rsidR="009A5622" w:rsidRDefault="00B27D9D">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92063183" w:history="1">
        <w:r w:rsidR="009A5622" w:rsidRPr="007E48A0">
          <w:rPr>
            <w:rStyle w:val="Hyperlink"/>
            <w:noProof/>
          </w:rPr>
          <w:t>7</w:t>
        </w:r>
        <w:r w:rsidR="009A5622">
          <w:rPr>
            <w:rFonts w:asciiTheme="minorHAnsi" w:eastAsiaTheme="minorEastAsia" w:hAnsiTheme="minorHAnsi" w:cstheme="minorBidi"/>
            <w:b w:val="0"/>
            <w:bCs w:val="0"/>
            <w:noProof/>
            <w:sz w:val="22"/>
            <w:szCs w:val="22"/>
            <w:lang w:eastAsia="en-AU"/>
          </w:rPr>
          <w:tab/>
        </w:r>
        <w:r w:rsidR="009A5622" w:rsidRPr="007E48A0">
          <w:rPr>
            <w:rStyle w:val="Hyperlink"/>
            <w:noProof/>
          </w:rPr>
          <w:t>Pricing methodology</w:t>
        </w:r>
        <w:r w:rsidR="009A5622">
          <w:rPr>
            <w:noProof/>
            <w:webHidden/>
          </w:rPr>
          <w:tab/>
        </w:r>
        <w:r w:rsidR="009A5622">
          <w:rPr>
            <w:noProof/>
            <w:webHidden/>
          </w:rPr>
          <w:fldChar w:fldCharType="begin"/>
        </w:r>
        <w:r w:rsidR="009A5622">
          <w:rPr>
            <w:noProof/>
            <w:webHidden/>
          </w:rPr>
          <w:instrText xml:space="preserve"> PAGEREF _Toc392063183 \h </w:instrText>
        </w:r>
        <w:r w:rsidR="009A5622">
          <w:rPr>
            <w:noProof/>
            <w:webHidden/>
          </w:rPr>
        </w:r>
        <w:r w:rsidR="009A5622">
          <w:rPr>
            <w:noProof/>
            <w:webHidden/>
          </w:rPr>
          <w:fldChar w:fldCharType="separate"/>
        </w:r>
        <w:r w:rsidR="007D569B">
          <w:rPr>
            <w:noProof/>
            <w:webHidden/>
          </w:rPr>
          <w:t>50</w:t>
        </w:r>
        <w:r w:rsidR="009A5622">
          <w:rPr>
            <w:noProof/>
            <w:webHidden/>
          </w:rPr>
          <w:fldChar w:fldCharType="end"/>
        </w:r>
      </w:hyperlink>
    </w:p>
    <w:p w:rsidR="00A75C1F" w:rsidRDefault="00824CC8" w:rsidP="00A75C1F">
      <w:pPr>
        <w:pStyle w:val="UnnumberedHeading"/>
        <w:numPr>
          <w:ilvl w:val="0"/>
          <w:numId w:val="2"/>
        </w:numPr>
      </w:pPr>
      <w:r w:rsidRPr="00AC1B94">
        <w:lastRenderedPageBreak/>
        <w:fldChar w:fldCharType="end"/>
      </w:r>
      <w:bookmarkStart w:id="6" w:name="_Toc384813019"/>
      <w:bookmarkStart w:id="7" w:name="_Toc392063161"/>
      <w:bookmarkStart w:id="8" w:name="_Toc360023683"/>
      <w:bookmarkStart w:id="9" w:name="_Toc360024844"/>
      <w:r w:rsidR="00A75C1F">
        <w:t>Shortened forms</w:t>
      </w:r>
      <w:bookmarkEnd w:id="6"/>
      <w:bookmarkEnd w:id="7"/>
    </w:p>
    <w:tbl>
      <w:tblPr>
        <w:tblStyle w:val="AERtable-text"/>
        <w:tblW w:w="0" w:type="auto"/>
        <w:tblLook w:val="01E0" w:firstRow="1" w:lastRow="1" w:firstColumn="1" w:lastColumn="1" w:noHBand="0" w:noVBand="0"/>
      </w:tblPr>
      <w:tblGrid>
        <w:gridCol w:w="2802"/>
        <w:gridCol w:w="5726"/>
      </w:tblGrid>
      <w:tr w:rsidR="00A75C1F" w:rsidRPr="00215BAE" w:rsidTr="00660DF5">
        <w:trPr>
          <w:cnfStyle w:val="100000000000" w:firstRow="1" w:lastRow="0" w:firstColumn="0" w:lastColumn="0" w:oddVBand="0" w:evenVBand="0" w:oddHBand="0" w:evenHBand="0" w:firstRowFirstColumn="0" w:firstRowLastColumn="0" w:lastRowFirstColumn="0" w:lastRowLastColumn="0"/>
        </w:trPr>
        <w:tc>
          <w:tcPr>
            <w:tcW w:w="2802" w:type="dxa"/>
            <w:noWrap/>
          </w:tcPr>
          <w:p w:rsidR="00A75C1F" w:rsidRPr="00A75C1F" w:rsidRDefault="00A75C1F" w:rsidP="00A75C1F">
            <w:r w:rsidRPr="00C109F9">
              <w:t>Shortened form</w:t>
            </w:r>
          </w:p>
        </w:tc>
        <w:tc>
          <w:tcPr>
            <w:tcW w:w="5726" w:type="dxa"/>
            <w:noWrap/>
          </w:tcPr>
          <w:p w:rsidR="00A75C1F" w:rsidRPr="00A75C1F" w:rsidRDefault="00A75C1F" w:rsidP="00A75C1F">
            <w:r w:rsidRPr="00C109F9">
              <w:t>Extended form</w:t>
            </w:r>
          </w:p>
        </w:tc>
      </w:tr>
      <w:tr w:rsidR="00A75C1F" w:rsidRPr="00D75DE7" w:rsidTr="00660DF5">
        <w:tc>
          <w:tcPr>
            <w:tcW w:w="2802" w:type="dxa"/>
            <w:noWrap/>
          </w:tcPr>
          <w:p w:rsidR="00A75C1F" w:rsidRPr="00A75C1F" w:rsidRDefault="00A75C1F" w:rsidP="00A75C1F">
            <w:r w:rsidRPr="00C109F9">
              <w:t>AEMC</w:t>
            </w:r>
          </w:p>
        </w:tc>
        <w:tc>
          <w:tcPr>
            <w:tcW w:w="5726" w:type="dxa"/>
            <w:noWrap/>
          </w:tcPr>
          <w:p w:rsidR="00A75C1F" w:rsidRPr="00A75C1F" w:rsidRDefault="00A75C1F" w:rsidP="00A75C1F">
            <w:r w:rsidRPr="00C109F9">
              <w:t xml:space="preserve">Australian Energy Market </w:t>
            </w:r>
            <w:r w:rsidRPr="00A75C1F">
              <w:t>Commission</w:t>
            </w:r>
          </w:p>
        </w:tc>
      </w:tr>
      <w:tr w:rsidR="00A75C1F" w:rsidRPr="00D75DE7" w:rsidTr="00660DF5">
        <w:trPr>
          <w:cnfStyle w:val="000000010000" w:firstRow="0" w:lastRow="0" w:firstColumn="0" w:lastColumn="0" w:oddVBand="0" w:evenVBand="0" w:oddHBand="0" w:evenHBand="1" w:firstRowFirstColumn="0" w:firstRowLastColumn="0" w:lastRowFirstColumn="0" w:lastRowLastColumn="0"/>
        </w:trPr>
        <w:tc>
          <w:tcPr>
            <w:tcW w:w="2802" w:type="dxa"/>
            <w:noWrap/>
          </w:tcPr>
          <w:p w:rsidR="00A75C1F" w:rsidRPr="00A75C1F" w:rsidRDefault="00A75C1F" w:rsidP="00A75C1F">
            <w:r w:rsidRPr="00C109F9">
              <w:t>AEMO</w:t>
            </w:r>
          </w:p>
        </w:tc>
        <w:tc>
          <w:tcPr>
            <w:tcW w:w="5726" w:type="dxa"/>
            <w:noWrap/>
          </w:tcPr>
          <w:p w:rsidR="00A75C1F" w:rsidRPr="00A75C1F" w:rsidRDefault="00A75C1F" w:rsidP="00A75C1F">
            <w:r w:rsidRPr="00C109F9">
              <w:t>Australian Energy Market Operator</w:t>
            </w:r>
          </w:p>
        </w:tc>
      </w:tr>
      <w:tr w:rsidR="00A75C1F" w:rsidRPr="00D75DE7" w:rsidTr="00660DF5">
        <w:tc>
          <w:tcPr>
            <w:tcW w:w="2802" w:type="dxa"/>
            <w:noWrap/>
          </w:tcPr>
          <w:p w:rsidR="00A75C1F" w:rsidRPr="00A75C1F" w:rsidRDefault="00A75C1F" w:rsidP="00A75C1F">
            <w:r w:rsidRPr="00C109F9">
              <w:t>AER</w:t>
            </w:r>
          </w:p>
        </w:tc>
        <w:tc>
          <w:tcPr>
            <w:tcW w:w="5726" w:type="dxa"/>
            <w:noWrap/>
          </w:tcPr>
          <w:p w:rsidR="00A75C1F" w:rsidRPr="00A75C1F" w:rsidRDefault="00A75C1F" w:rsidP="00A75C1F">
            <w:r w:rsidRPr="00C109F9">
              <w:t>Australian Energy Regulator</w:t>
            </w:r>
          </w:p>
        </w:tc>
      </w:tr>
      <w:tr w:rsidR="00A75C1F" w:rsidRPr="00D75DE7" w:rsidTr="00660DF5">
        <w:trPr>
          <w:cnfStyle w:val="000000010000" w:firstRow="0" w:lastRow="0" w:firstColumn="0" w:lastColumn="0" w:oddVBand="0" w:evenVBand="0" w:oddHBand="0" w:evenHBand="1" w:firstRowFirstColumn="0" w:firstRowLastColumn="0" w:lastRowFirstColumn="0" w:lastRowLastColumn="0"/>
        </w:trPr>
        <w:tc>
          <w:tcPr>
            <w:tcW w:w="2802" w:type="dxa"/>
            <w:noWrap/>
          </w:tcPr>
          <w:p w:rsidR="00A75C1F" w:rsidRPr="00A75C1F" w:rsidRDefault="00A75C1F" w:rsidP="00A75C1F">
            <w:r w:rsidRPr="00C109F9">
              <w:t>capex</w:t>
            </w:r>
          </w:p>
        </w:tc>
        <w:tc>
          <w:tcPr>
            <w:tcW w:w="5726" w:type="dxa"/>
            <w:noWrap/>
          </w:tcPr>
          <w:p w:rsidR="00A75C1F" w:rsidRPr="00A75C1F" w:rsidRDefault="00A75C1F" w:rsidP="00A75C1F">
            <w:r w:rsidRPr="00C109F9">
              <w:t>capital expenditure</w:t>
            </w:r>
          </w:p>
        </w:tc>
      </w:tr>
      <w:tr w:rsidR="00A75C1F" w:rsidRPr="00D75DE7" w:rsidTr="00660DF5">
        <w:tc>
          <w:tcPr>
            <w:tcW w:w="2802" w:type="dxa"/>
            <w:noWrap/>
          </w:tcPr>
          <w:p w:rsidR="00A75C1F" w:rsidRPr="00A75C1F" w:rsidRDefault="00A75C1F" w:rsidP="00A75C1F">
            <w:r w:rsidRPr="00C109F9">
              <w:t>EBSS</w:t>
            </w:r>
          </w:p>
        </w:tc>
        <w:tc>
          <w:tcPr>
            <w:tcW w:w="5726" w:type="dxa"/>
            <w:noWrap/>
          </w:tcPr>
          <w:p w:rsidR="00A75C1F" w:rsidRPr="00A75C1F" w:rsidRDefault="00A75C1F" w:rsidP="00A75C1F">
            <w:r w:rsidRPr="00C109F9">
              <w:t xml:space="preserve">efficiency benefit sharing </w:t>
            </w:r>
            <w:r w:rsidRPr="00A75C1F">
              <w:t>scheme</w:t>
            </w:r>
          </w:p>
        </w:tc>
      </w:tr>
      <w:tr w:rsidR="00A75C1F" w:rsidRPr="00D75DE7" w:rsidTr="00660DF5">
        <w:trPr>
          <w:cnfStyle w:val="000000010000" w:firstRow="0" w:lastRow="0" w:firstColumn="0" w:lastColumn="0" w:oddVBand="0" w:evenVBand="0" w:oddHBand="0" w:evenHBand="1" w:firstRowFirstColumn="0" w:firstRowLastColumn="0" w:lastRowFirstColumn="0" w:lastRowLastColumn="0"/>
        </w:trPr>
        <w:tc>
          <w:tcPr>
            <w:tcW w:w="2802" w:type="dxa"/>
            <w:noWrap/>
          </w:tcPr>
          <w:p w:rsidR="00A75C1F" w:rsidRPr="00A75C1F" w:rsidRDefault="00A75C1F" w:rsidP="00A75C1F">
            <w:r w:rsidRPr="00C109F9">
              <w:t>kW</w:t>
            </w:r>
          </w:p>
        </w:tc>
        <w:tc>
          <w:tcPr>
            <w:tcW w:w="5726" w:type="dxa"/>
            <w:noWrap/>
          </w:tcPr>
          <w:p w:rsidR="00A75C1F" w:rsidRPr="00A75C1F" w:rsidRDefault="00A75C1F" w:rsidP="00A75C1F">
            <w:r w:rsidRPr="00C109F9">
              <w:t xml:space="preserve">kilowatt </w:t>
            </w:r>
          </w:p>
        </w:tc>
      </w:tr>
      <w:tr w:rsidR="00A75C1F" w:rsidRPr="00D75DE7" w:rsidTr="00660DF5">
        <w:tc>
          <w:tcPr>
            <w:tcW w:w="2802" w:type="dxa"/>
            <w:noWrap/>
          </w:tcPr>
          <w:p w:rsidR="00A75C1F" w:rsidRPr="00A75C1F" w:rsidRDefault="00A75C1F" w:rsidP="00A75C1F">
            <w:r w:rsidRPr="00C109F9">
              <w:t>MAR</w:t>
            </w:r>
          </w:p>
        </w:tc>
        <w:tc>
          <w:tcPr>
            <w:tcW w:w="5726" w:type="dxa"/>
            <w:noWrap/>
          </w:tcPr>
          <w:p w:rsidR="00A75C1F" w:rsidRPr="00A75C1F" w:rsidRDefault="00A75C1F" w:rsidP="00A75C1F">
            <w:r w:rsidRPr="00C109F9">
              <w:t>maximum allowed revenue</w:t>
            </w:r>
          </w:p>
        </w:tc>
      </w:tr>
      <w:tr w:rsidR="00A75C1F" w:rsidRPr="00D75DE7" w:rsidTr="00660DF5">
        <w:trPr>
          <w:cnfStyle w:val="000000010000" w:firstRow="0" w:lastRow="0" w:firstColumn="0" w:lastColumn="0" w:oddVBand="0" w:evenVBand="0" w:oddHBand="0" w:evenHBand="1" w:firstRowFirstColumn="0" w:firstRowLastColumn="0" w:lastRowFirstColumn="0" w:lastRowLastColumn="0"/>
        </w:trPr>
        <w:tc>
          <w:tcPr>
            <w:tcW w:w="2802" w:type="dxa"/>
            <w:noWrap/>
          </w:tcPr>
          <w:p w:rsidR="00A75C1F" w:rsidRPr="00A75C1F" w:rsidRDefault="00A75C1F" w:rsidP="00A75C1F">
            <w:r w:rsidRPr="00C109F9">
              <w:t>MW</w:t>
            </w:r>
          </w:p>
        </w:tc>
        <w:tc>
          <w:tcPr>
            <w:tcW w:w="5726" w:type="dxa"/>
            <w:noWrap/>
          </w:tcPr>
          <w:p w:rsidR="00A75C1F" w:rsidRPr="00A75C1F" w:rsidRDefault="00A75C1F" w:rsidP="00A75C1F">
            <w:r w:rsidRPr="00C109F9">
              <w:t xml:space="preserve">megawatt </w:t>
            </w:r>
          </w:p>
        </w:tc>
      </w:tr>
      <w:tr w:rsidR="00A75C1F" w:rsidRPr="00D75DE7" w:rsidTr="00660DF5">
        <w:tc>
          <w:tcPr>
            <w:tcW w:w="2802" w:type="dxa"/>
            <w:noWrap/>
          </w:tcPr>
          <w:p w:rsidR="00A75C1F" w:rsidRPr="00A75C1F" w:rsidRDefault="00A75C1F" w:rsidP="00A75C1F">
            <w:r w:rsidRPr="00C109F9">
              <w:t>MWh</w:t>
            </w:r>
          </w:p>
        </w:tc>
        <w:tc>
          <w:tcPr>
            <w:tcW w:w="5726" w:type="dxa"/>
            <w:noWrap/>
          </w:tcPr>
          <w:p w:rsidR="00A75C1F" w:rsidRPr="00A75C1F" w:rsidRDefault="00A75C1F" w:rsidP="00A75C1F">
            <w:r w:rsidRPr="00C109F9">
              <w:t>megawatt hour</w:t>
            </w:r>
          </w:p>
        </w:tc>
      </w:tr>
      <w:tr w:rsidR="00A75C1F" w:rsidRPr="00D75DE7" w:rsidTr="00660DF5">
        <w:trPr>
          <w:cnfStyle w:val="000000010000" w:firstRow="0" w:lastRow="0" w:firstColumn="0" w:lastColumn="0" w:oddVBand="0" w:evenVBand="0" w:oddHBand="0" w:evenHBand="1" w:firstRowFirstColumn="0" w:firstRowLastColumn="0" w:lastRowFirstColumn="0" w:lastRowLastColumn="0"/>
        </w:trPr>
        <w:tc>
          <w:tcPr>
            <w:tcW w:w="2802" w:type="dxa"/>
            <w:noWrap/>
          </w:tcPr>
          <w:p w:rsidR="00A75C1F" w:rsidRPr="00A75C1F" w:rsidRDefault="00A75C1F" w:rsidP="00A75C1F">
            <w:r w:rsidRPr="00C109F9">
              <w:t>NEL</w:t>
            </w:r>
          </w:p>
        </w:tc>
        <w:tc>
          <w:tcPr>
            <w:tcW w:w="5726" w:type="dxa"/>
            <w:noWrap/>
          </w:tcPr>
          <w:p w:rsidR="00A75C1F" w:rsidRPr="00A75C1F" w:rsidRDefault="00A75C1F" w:rsidP="00A75C1F">
            <w:r w:rsidRPr="00C109F9">
              <w:t>National Electricity Law</w:t>
            </w:r>
          </w:p>
        </w:tc>
      </w:tr>
      <w:tr w:rsidR="00A75C1F" w:rsidRPr="00D75DE7" w:rsidTr="00660DF5">
        <w:tc>
          <w:tcPr>
            <w:tcW w:w="2802" w:type="dxa"/>
            <w:noWrap/>
          </w:tcPr>
          <w:p w:rsidR="00A75C1F" w:rsidRPr="00A75C1F" w:rsidRDefault="00A75C1F" w:rsidP="00A75C1F">
            <w:r w:rsidRPr="00C109F9">
              <w:t>NEM</w:t>
            </w:r>
          </w:p>
        </w:tc>
        <w:tc>
          <w:tcPr>
            <w:tcW w:w="5726" w:type="dxa"/>
            <w:noWrap/>
          </w:tcPr>
          <w:p w:rsidR="00A75C1F" w:rsidRPr="00A75C1F" w:rsidRDefault="00A75C1F" w:rsidP="00A75C1F">
            <w:r w:rsidRPr="00C109F9">
              <w:t>National Electricity Market</w:t>
            </w:r>
          </w:p>
        </w:tc>
      </w:tr>
      <w:tr w:rsidR="00A75C1F" w:rsidRPr="00D75DE7" w:rsidTr="00660DF5">
        <w:trPr>
          <w:cnfStyle w:val="000000010000" w:firstRow="0" w:lastRow="0" w:firstColumn="0" w:lastColumn="0" w:oddVBand="0" w:evenVBand="0" w:oddHBand="0" w:evenHBand="1" w:firstRowFirstColumn="0" w:firstRowLastColumn="0" w:lastRowFirstColumn="0" w:lastRowLastColumn="0"/>
        </w:trPr>
        <w:tc>
          <w:tcPr>
            <w:tcW w:w="2802" w:type="dxa"/>
            <w:noWrap/>
          </w:tcPr>
          <w:p w:rsidR="00A75C1F" w:rsidRPr="00A75C1F" w:rsidRDefault="00A75C1F" w:rsidP="00A75C1F">
            <w:r w:rsidRPr="00C109F9">
              <w:t>NEO</w:t>
            </w:r>
          </w:p>
        </w:tc>
        <w:tc>
          <w:tcPr>
            <w:tcW w:w="5726" w:type="dxa"/>
            <w:noWrap/>
          </w:tcPr>
          <w:p w:rsidR="00A75C1F" w:rsidRPr="00A75C1F" w:rsidRDefault="0074598F" w:rsidP="00A75C1F">
            <w:r>
              <w:t>N</w:t>
            </w:r>
            <w:r w:rsidR="00A75C1F" w:rsidRPr="00C109F9">
              <w:t xml:space="preserve">ational </w:t>
            </w:r>
            <w:r w:rsidR="00817D0C">
              <w:t>E</w:t>
            </w:r>
            <w:r w:rsidR="00A75C1F" w:rsidRPr="00C109F9">
              <w:t xml:space="preserve">lectricity </w:t>
            </w:r>
            <w:r w:rsidR="00817D0C">
              <w:t>O</w:t>
            </w:r>
            <w:r w:rsidR="00A75C1F" w:rsidRPr="00C109F9">
              <w:t>bjective</w:t>
            </w:r>
          </w:p>
        </w:tc>
      </w:tr>
      <w:tr w:rsidR="00A75C1F" w:rsidRPr="00D75DE7" w:rsidTr="00660DF5">
        <w:tc>
          <w:tcPr>
            <w:tcW w:w="2802" w:type="dxa"/>
            <w:noWrap/>
          </w:tcPr>
          <w:p w:rsidR="00A75C1F" w:rsidRPr="00A75C1F" w:rsidRDefault="00A75C1F" w:rsidP="00A75C1F">
            <w:r w:rsidRPr="00C109F9">
              <w:t>NER</w:t>
            </w:r>
          </w:p>
        </w:tc>
        <w:tc>
          <w:tcPr>
            <w:tcW w:w="5726" w:type="dxa"/>
            <w:noWrap/>
          </w:tcPr>
          <w:p w:rsidR="00A75C1F" w:rsidRPr="00A75C1F" w:rsidRDefault="00A75C1F" w:rsidP="00A75C1F">
            <w:r w:rsidRPr="00C109F9">
              <w:t>National Electricity Rules</w:t>
            </w:r>
          </w:p>
        </w:tc>
      </w:tr>
      <w:tr w:rsidR="00A75C1F" w:rsidRPr="00D75DE7" w:rsidTr="00660DF5">
        <w:trPr>
          <w:cnfStyle w:val="000000010000" w:firstRow="0" w:lastRow="0" w:firstColumn="0" w:lastColumn="0" w:oddVBand="0" w:evenVBand="0" w:oddHBand="0" w:evenHBand="1" w:firstRowFirstColumn="0" w:firstRowLastColumn="0" w:lastRowFirstColumn="0" w:lastRowLastColumn="0"/>
        </w:trPr>
        <w:tc>
          <w:tcPr>
            <w:tcW w:w="2802" w:type="dxa"/>
            <w:noWrap/>
          </w:tcPr>
          <w:p w:rsidR="00A75C1F" w:rsidRPr="00A75C1F" w:rsidRDefault="00A75C1F" w:rsidP="00A75C1F">
            <w:r w:rsidRPr="00C109F9">
              <w:t>opex</w:t>
            </w:r>
          </w:p>
        </w:tc>
        <w:tc>
          <w:tcPr>
            <w:tcW w:w="5726" w:type="dxa"/>
            <w:noWrap/>
          </w:tcPr>
          <w:p w:rsidR="00A75C1F" w:rsidRPr="00A75C1F" w:rsidRDefault="00A75C1F" w:rsidP="00A75C1F">
            <w:r w:rsidRPr="00C109F9">
              <w:t>operating expenditure</w:t>
            </w:r>
          </w:p>
        </w:tc>
      </w:tr>
      <w:tr w:rsidR="00A75C1F" w:rsidRPr="00D75DE7" w:rsidTr="00660DF5">
        <w:tc>
          <w:tcPr>
            <w:tcW w:w="2802" w:type="dxa"/>
            <w:noWrap/>
          </w:tcPr>
          <w:p w:rsidR="00A75C1F" w:rsidRPr="00A75C1F" w:rsidRDefault="00A75C1F" w:rsidP="00A75C1F">
            <w:r w:rsidRPr="00C109F9">
              <w:t>RAB</w:t>
            </w:r>
          </w:p>
        </w:tc>
        <w:tc>
          <w:tcPr>
            <w:tcW w:w="5726" w:type="dxa"/>
            <w:noWrap/>
          </w:tcPr>
          <w:p w:rsidR="00A75C1F" w:rsidRPr="00A75C1F" w:rsidRDefault="00A75C1F" w:rsidP="00A75C1F">
            <w:r w:rsidRPr="00C109F9">
              <w:t>regulatory asset base</w:t>
            </w:r>
          </w:p>
        </w:tc>
      </w:tr>
      <w:tr w:rsidR="008F7595" w:rsidRPr="00D75DE7" w:rsidTr="00660DF5">
        <w:trPr>
          <w:cnfStyle w:val="000000010000" w:firstRow="0" w:lastRow="0" w:firstColumn="0" w:lastColumn="0" w:oddVBand="0" w:evenVBand="0" w:oddHBand="0" w:evenHBand="1" w:firstRowFirstColumn="0" w:firstRowLastColumn="0" w:lastRowFirstColumn="0" w:lastRowLastColumn="0"/>
        </w:trPr>
        <w:tc>
          <w:tcPr>
            <w:tcW w:w="2802" w:type="dxa"/>
            <w:noWrap/>
          </w:tcPr>
          <w:p w:rsidR="008F7595" w:rsidRPr="00C109F9" w:rsidRDefault="008F7595" w:rsidP="00A75C1F">
            <w:r>
              <w:t>RPPs</w:t>
            </w:r>
          </w:p>
        </w:tc>
        <w:tc>
          <w:tcPr>
            <w:tcW w:w="5726" w:type="dxa"/>
            <w:noWrap/>
          </w:tcPr>
          <w:p w:rsidR="008F7595" w:rsidRPr="00C109F9" w:rsidRDefault="008F7595" w:rsidP="00A75C1F">
            <w:r>
              <w:t>Revenue and pricing princ</w:t>
            </w:r>
            <w:r w:rsidR="00817D0C">
              <w:t>i</w:t>
            </w:r>
            <w:r>
              <w:t>ples</w:t>
            </w:r>
          </w:p>
        </w:tc>
      </w:tr>
      <w:tr w:rsidR="00A75C1F" w:rsidRPr="00D75DE7" w:rsidTr="00660DF5">
        <w:tc>
          <w:tcPr>
            <w:tcW w:w="2802" w:type="dxa"/>
            <w:noWrap/>
          </w:tcPr>
          <w:p w:rsidR="00A75C1F" w:rsidRPr="00A75C1F" w:rsidRDefault="00A75C1F" w:rsidP="00A75C1F">
            <w:r w:rsidRPr="00C109F9">
              <w:t>STPIS</w:t>
            </w:r>
          </w:p>
        </w:tc>
        <w:tc>
          <w:tcPr>
            <w:tcW w:w="5726" w:type="dxa"/>
            <w:noWrap/>
          </w:tcPr>
          <w:p w:rsidR="00A75C1F" w:rsidRPr="00A75C1F" w:rsidRDefault="00A75C1F" w:rsidP="00A75C1F">
            <w:r w:rsidRPr="00C109F9">
              <w:t>service target performance incentive scheme</w:t>
            </w:r>
          </w:p>
        </w:tc>
      </w:tr>
      <w:tr w:rsidR="00A75C1F" w:rsidRPr="00D75DE7" w:rsidTr="00660DF5">
        <w:trPr>
          <w:cnfStyle w:val="000000010000" w:firstRow="0" w:lastRow="0" w:firstColumn="0" w:lastColumn="0" w:oddVBand="0" w:evenVBand="0" w:oddHBand="0" w:evenHBand="1" w:firstRowFirstColumn="0" w:firstRowLastColumn="0" w:lastRowFirstColumn="0" w:lastRowLastColumn="0"/>
        </w:trPr>
        <w:tc>
          <w:tcPr>
            <w:tcW w:w="2802" w:type="dxa"/>
            <w:noWrap/>
          </w:tcPr>
          <w:p w:rsidR="00A75C1F" w:rsidRPr="00A75C1F" w:rsidRDefault="00A75C1F" w:rsidP="00A75C1F">
            <w:r w:rsidRPr="00C109F9">
              <w:t>TUOS</w:t>
            </w:r>
          </w:p>
        </w:tc>
        <w:tc>
          <w:tcPr>
            <w:tcW w:w="5726" w:type="dxa"/>
            <w:noWrap/>
          </w:tcPr>
          <w:p w:rsidR="00A75C1F" w:rsidRPr="00A75C1F" w:rsidRDefault="00A75C1F" w:rsidP="00A75C1F">
            <w:r w:rsidRPr="00C109F9">
              <w:t xml:space="preserve">transmission use of system </w:t>
            </w:r>
          </w:p>
        </w:tc>
      </w:tr>
      <w:tr w:rsidR="00A75C1F" w:rsidRPr="00D75DE7" w:rsidTr="00660DF5">
        <w:tc>
          <w:tcPr>
            <w:tcW w:w="2802" w:type="dxa"/>
            <w:noWrap/>
          </w:tcPr>
          <w:p w:rsidR="00A75C1F" w:rsidRPr="00A75C1F" w:rsidRDefault="00A75C1F" w:rsidP="00A75C1F">
            <w:r w:rsidRPr="00C109F9">
              <w:t>WACC</w:t>
            </w:r>
          </w:p>
        </w:tc>
        <w:tc>
          <w:tcPr>
            <w:tcW w:w="5726" w:type="dxa"/>
            <w:noWrap/>
          </w:tcPr>
          <w:p w:rsidR="00A75C1F" w:rsidRPr="00A75C1F" w:rsidRDefault="00A75C1F" w:rsidP="00A75C1F">
            <w:r w:rsidRPr="00C109F9">
              <w:t>weighted average cost of capital</w:t>
            </w:r>
          </w:p>
        </w:tc>
      </w:tr>
    </w:tbl>
    <w:p w:rsidR="00247499" w:rsidRDefault="00247499" w:rsidP="00247499">
      <w:pPr>
        <w:pStyle w:val="Heading1"/>
      </w:pPr>
      <w:bookmarkStart w:id="10" w:name="_Toc392063162"/>
      <w:r>
        <w:lastRenderedPageBreak/>
        <w:t>Introduction</w:t>
      </w:r>
      <w:bookmarkEnd w:id="10"/>
    </w:p>
    <w:p w:rsidR="00E613D8" w:rsidRDefault="006C03E1" w:rsidP="006C03E1">
      <w:r>
        <w:t xml:space="preserve">TransGrid, Transend </w:t>
      </w:r>
      <w:r w:rsidR="00E04788">
        <w:t xml:space="preserve">(now </w:t>
      </w:r>
      <w:r w:rsidR="006C649D">
        <w:t xml:space="preserve">merged with the distribution network service provider and known </w:t>
      </w:r>
      <w:r w:rsidR="00E04788">
        <w:t>as TasNetworks)</w:t>
      </w:r>
      <w:r w:rsidR="00E04788">
        <w:rPr>
          <w:rStyle w:val="FootnoteReference"/>
        </w:rPr>
        <w:footnoteReference w:id="1"/>
      </w:r>
      <w:r w:rsidR="00E04788">
        <w:t xml:space="preserve"> </w:t>
      </w:r>
      <w:r>
        <w:t>and Directlink</w:t>
      </w:r>
      <w:r w:rsidRPr="006C03E1">
        <w:t xml:space="preserve"> (the </w:t>
      </w:r>
      <w:r>
        <w:t xml:space="preserve">transmission </w:t>
      </w:r>
      <w:r w:rsidR="00B80393">
        <w:t>interconnector</w:t>
      </w:r>
      <w:r w:rsidRPr="006C03E1">
        <w:t xml:space="preserve">) are electricity </w:t>
      </w:r>
      <w:r w:rsidR="00AE4B10">
        <w:t xml:space="preserve">transmission </w:t>
      </w:r>
      <w:r w:rsidRPr="006C03E1">
        <w:t>network supply businesses</w:t>
      </w:r>
      <w:r>
        <w:t>.</w:t>
      </w:r>
      <w:r w:rsidRPr="006C03E1">
        <w:t xml:space="preserve"> The </w:t>
      </w:r>
      <w:r>
        <w:t>transmission businesses</w:t>
      </w:r>
      <w:r w:rsidRPr="006C03E1">
        <w:t xml:space="preserve"> have submitted to us for assessment their </w:t>
      </w:r>
      <w:r>
        <w:t>revenue</w:t>
      </w:r>
      <w:r w:rsidRPr="006C03E1">
        <w:t xml:space="preserve"> proposals for the next regulatory </w:t>
      </w:r>
      <w:r w:rsidR="0039365D">
        <w:t>c</w:t>
      </w:r>
      <w:r w:rsidR="00454D42">
        <w:t xml:space="preserve">ontrol </w:t>
      </w:r>
      <w:r w:rsidRPr="006C03E1">
        <w:t xml:space="preserve">period. These proposals will have a bearing on the price for electricity in NSW </w:t>
      </w:r>
      <w:r>
        <w:t xml:space="preserve">and Tasmania </w:t>
      </w:r>
      <w:r w:rsidR="0035591E">
        <w:t xml:space="preserve">for </w:t>
      </w:r>
      <w:r w:rsidR="00756C60">
        <w:t>the</w:t>
      </w:r>
      <w:r w:rsidR="0035591E">
        <w:t xml:space="preserve"> next period</w:t>
      </w:r>
      <w:r w:rsidRPr="006C03E1">
        <w:t>. If we, the Australian Energy Regulator (AER), were to accept these proposals</w:t>
      </w:r>
      <w:r w:rsidR="00B05A0F">
        <w:t xml:space="preserve"> without change</w:t>
      </w:r>
      <w:r w:rsidRPr="006C03E1">
        <w:t xml:space="preserve">, consumers could expect </w:t>
      </w:r>
      <w:r w:rsidR="004A1054">
        <w:t>transmission</w:t>
      </w:r>
      <w:r w:rsidRPr="006C03E1">
        <w:t xml:space="preserve"> prices to remain around current </w:t>
      </w:r>
      <w:r w:rsidR="00454D42">
        <w:t xml:space="preserve">allowed </w:t>
      </w:r>
      <w:r w:rsidRPr="006C03E1">
        <w:t>levels</w:t>
      </w:r>
      <w:r>
        <w:t xml:space="preserve"> in NSW</w:t>
      </w:r>
      <w:r w:rsidR="004A1054">
        <w:t>, w</w:t>
      </w:r>
      <w:r>
        <w:t xml:space="preserve">hile </w:t>
      </w:r>
      <w:r w:rsidR="004A1054">
        <w:t xml:space="preserve">transmission </w:t>
      </w:r>
      <w:r>
        <w:t>prices should fall in Tasmania</w:t>
      </w:r>
      <w:r w:rsidRPr="006C03E1">
        <w:t xml:space="preserve">. </w:t>
      </w:r>
    </w:p>
    <w:p w:rsidR="00E613D8" w:rsidRDefault="006C03E1" w:rsidP="006C03E1">
      <w:r w:rsidRPr="006C03E1">
        <w:t xml:space="preserve">Whether or not the proposals should be accepted or revised </w:t>
      </w:r>
      <w:r w:rsidR="004A1054">
        <w:t>will be determined by our assessment of the proposals</w:t>
      </w:r>
      <w:r w:rsidRPr="006C03E1">
        <w:t>. However, we are keen to hear the views of electricity consumers and other stakeholder as these views will form a critical part of our assessment. We encourage consumers and stakeholders to tell us what you think about these proposals. This</w:t>
      </w:r>
      <w:r w:rsidR="00454D42">
        <w:t xml:space="preserve"> </w:t>
      </w:r>
      <w:r w:rsidRPr="006C03E1">
        <w:t xml:space="preserve">paper aims to draw to your attention some of the issues </w:t>
      </w:r>
      <w:r w:rsidR="00CC722A">
        <w:t xml:space="preserve">that </w:t>
      </w:r>
      <w:r w:rsidRPr="006C03E1">
        <w:t xml:space="preserve">we </w:t>
      </w:r>
      <w:r>
        <w:t>consider</w:t>
      </w:r>
      <w:r w:rsidRPr="006C03E1">
        <w:t xml:space="preserve"> are likely to be important</w:t>
      </w:r>
      <w:r>
        <w:t xml:space="preserve"> to our review</w:t>
      </w:r>
      <w:r w:rsidRPr="006C03E1">
        <w:t xml:space="preserve">. However, we will consider </w:t>
      </w:r>
      <w:r w:rsidR="00454D42">
        <w:t xml:space="preserve">your </w:t>
      </w:r>
      <w:r w:rsidRPr="006C03E1">
        <w:t xml:space="preserve">submissions on any aspects of the </w:t>
      </w:r>
      <w:r w:rsidR="009A5622">
        <w:t xml:space="preserve">revenue </w:t>
      </w:r>
      <w:r w:rsidRPr="006C03E1">
        <w:t>proposals.</w:t>
      </w:r>
      <w:r w:rsidR="00454D42">
        <w:t xml:space="preserve"> </w:t>
      </w:r>
    </w:p>
    <w:p w:rsidR="006C03E1" w:rsidRPr="006C03E1" w:rsidRDefault="006C03E1" w:rsidP="006C03E1">
      <w:r w:rsidRPr="006C03E1">
        <w:t xml:space="preserve">In the first part of this paper, we provide a high level perspective on the </w:t>
      </w:r>
      <w:r>
        <w:t>transmission businesses</w:t>
      </w:r>
      <w:r w:rsidRPr="006C03E1">
        <w:t xml:space="preserve"> proposals and our initial observations. We have identified several aspects of </w:t>
      </w:r>
      <w:r>
        <w:t xml:space="preserve">some of </w:t>
      </w:r>
      <w:r w:rsidRPr="006C03E1">
        <w:t xml:space="preserve">the proposals </w:t>
      </w:r>
      <w:r w:rsidR="004A1054">
        <w:t>that</w:t>
      </w:r>
      <w:r w:rsidRPr="006C03E1">
        <w:t xml:space="preserve"> </w:t>
      </w:r>
      <w:r w:rsidR="00454D42">
        <w:t>we consider should be examined more closely</w:t>
      </w:r>
      <w:r w:rsidR="00872259">
        <w:t>.</w:t>
      </w:r>
      <w:r w:rsidRPr="006C03E1">
        <w:t xml:space="preserve"> </w:t>
      </w:r>
    </w:p>
    <w:p w:rsidR="00BA535A" w:rsidRDefault="006C03E1" w:rsidP="006C03E1">
      <w:r w:rsidRPr="006C03E1">
        <w:t xml:space="preserve">Our initial observations about the </w:t>
      </w:r>
      <w:r>
        <w:t>revenue</w:t>
      </w:r>
      <w:r w:rsidRPr="006C03E1">
        <w:t xml:space="preserve"> proposals take account of the circumstances in which the </w:t>
      </w:r>
      <w:r>
        <w:t>businesses</w:t>
      </w:r>
      <w:r w:rsidRPr="006C03E1">
        <w:t xml:space="preserve"> are now operating. These circumstances are very different to when we last reviewed the </w:t>
      </w:r>
      <w:r w:rsidR="00EB43B5">
        <w:t>revenue</w:t>
      </w:r>
      <w:r w:rsidRPr="006C03E1">
        <w:t xml:space="preserve"> proposals </w:t>
      </w:r>
      <w:r w:rsidR="00CC722A">
        <w:t xml:space="preserve">for </w:t>
      </w:r>
      <w:r w:rsidR="00BA535A">
        <w:t>TransGrid and Transend</w:t>
      </w:r>
      <w:r w:rsidR="00756C60">
        <w:t xml:space="preserve"> (now TasNetworks)</w:t>
      </w:r>
      <w:r w:rsidRPr="006C03E1">
        <w:t>. At that time</w:t>
      </w:r>
      <w:r w:rsidR="00BA535A">
        <w:t>,</w:t>
      </w:r>
      <w:r w:rsidRPr="006C03E1">
        <w:t xml:space="preserve"> the global financial crisis </w:t>
      </w:r>
      <w:r w:rsidR="00BA535A">
        <w:t xml:space="preserve">created an uncertain environment which </w:t>
      </w:r>
      <w:r w:rsidR="00BF3170">
        <w:t xml:space="preserve">increased the expected cost </w:t>
      </w:r>
      <w:r w:rsidRPr="006C03E1">
        <w:t xml:space="preserve">of capital </w:t>
      </w:r>
      <w:r w:rsidR="00BA535A">
        <w:t>for capital-</w:t>
      </w:r>
      <w:r w:rsidRPr="006C03E1">
        <w:t xml:space="preserve">intensive businesses, like electricity </w:t>
      </w:r>
      <w:r w:rsidR="00CC722A">
        <w:t>transmission</w:t>
      </w:r>
      <w:r w:rsidRPr="006C03E1">
        <w:t xml:space="preserve"> networks. </w:t>
      </w:r>
      <w:r w:rsidR="00BA535A">
        <w:t>S</w:t>
      </w:r>
      <w:r w:rsidRPr="006C03E1">
        <w:t>ince then</w:t>
      </w:r>
      <w:r w:rsidR="00BA535A">
        <w:t>,</w:t>
      </w:r>
      <w:r w:rsidRPr="006C03E1">
        <w:t xml:space="preserve"> we have seen </w:t>
      </w:r>
      <w:r w:rsidR="00CC722A">
        <w:t>ongoing</w:t>
      </w:r>
      <w:r w:rsidRPr="006C03E1">
        <w:t xml:space="preserve"> levels of network investment and </w:t>
      </w:r>
      <w:r w:rsidR="009A5622">
        <w:t>a continuation of high levels of</w:t>
      </w:r>
      <w:r w:rsidR="00CC722A">
        <w:t xml:space="preserve"> network reliability</w:t>
      </w:r>
      <w:r w:rsidRPr="006C03E1">
        <w:t>. We have also seen a historically significant downturn in electricity consumption and slowing growth in peak demand.</w:t>
      </w:r>
      <w:r w:rsidR="00A93DC3">
        <w:t xml:space="preserve"> </w:t>
      </w:r>
      <w:r w:rsidR="00BA535A">
        <w:t xml:space="preserve">As well, the proposals have been submitted when financial markets are </w:t>
      </w:r>
      <w:r w:rsidR="00DA7A13">
        <w:t>more certain</w:t>
      </w:r>
      <w:r w:rsidR="00BA535A">
        <w:t xml:space="preserve"> and financing costs have moderated.</w:t>
      </w:r>
    </w:p>
    <w:p w:rsidR="006C03E1" w:rsidRPr="006C03E1" w:rsidRDefault="00BB63CD" w:rsidP="006C03E1">
      <w:r>
        <w:t>Our assessment will focus on whether these changed circumstances have been fully reflected in the transmission businesses</w:t>
      </w:r>
      <w:r w:rsidR="009A5622">
        <w:t>'</w:t>
      </w:r>
      <w:r>
        <w:t xml:space="preserve"> </w:t>
      </w:r>
      <w:r w:rsidR="00756C60">
        <w:t>revenue</w:t>
      </w:r>
      <w:r>
        <w:t xml:space="preserve"> proposals. </w:t>
      </w:r>
      <w:r w:rsidR="00A93DC3" w:rsidRPr="006C03E1">
        <w:t xml:space="preserve">We </w:t>
      </w:r>
      <w:r>
        <w:t xml:space="preserve">also </w:t>
      </w:r>
      <w:r w:rsidR="00A93DC3" w:rsidRPr="006C03E1">
        <w:t xml:space="preserve">seek </w:t>
      </w:r>
      <w:r>
        <w:t xml:space="preserve">the views of </w:t>
      </w:r>
      <w:r w:rsidR="00A93DC3" w:rsidRPr="006C03E1">
        <w:t xml:space="preserve">stakeholders </w:t>
      </w:r>
      <w:r>
        <w:t>on</w:t>
      </w:r>
      <w:r w:rsidR="00A93DC3" w:rsidRPr="006C03E1">
        <w:t xml:space="preserve"> whether the </w:t>
      </w:r>
      <w:r w:rsidR="004A2278">
        <w:t>transmission businesses</w:t>
      </w:r>
      <w:r w:rsidR="00A93DC3" w:rsidRPr="006C03E1">
        <w:t xml:space="preserve"> </w:t>
      </w:r>
      <w:r w:rsidR="00756C60">
        <w:t>revenue</w:t>
      </w:r>
      <w:r w:rsidR="00A93DC3" w:rsidRPr="006C03E1">
        <w:t xml:space="preserve"> proposals </w:t>
      </w:r>
      <w:r w:rsidR="004A2278">
        <w:t xml:space="preserve">adequately </w:t>
      </w:r>
      <w:r w:rsidR="00A93DC3" w:rsidRPr="006C03E1">
        <w:t xml:space="preserve">reflect these circumstances. </w:t>
      </w:r>
      <w:r w:rsidR="00CC722A">
        <w:t xml:space="preserve">    </w:t>
      </w:r>
    </w:p>
    <w:p w:rsidR="00A93DC3" w:rsidRDefault="00027073" w:rsidP="006C03E1">
      <w:r>
        <w:t>Further, Transend</w:t>
      </w:r>
      <w:r w:rsidR="00CC722A">
        <w:t xml:space="preserve"> </w:t>
      </w:r>
      <w:r w:rsidR="00ED0E34">
        <w:t xml:space="preserve">now TasNetworks </w:t>
      </w:r>
      <w:r w:rsidR="00CC722A">
        <w:t xml:space="preserve">has undergone a </w:t>
      </w:r>
      <w:r w:rsidR="00E04788">
        <w:t>restructure to merge</w:t>
      </w:r>
      <w:r w:rsidR="00CC722A">
        <w:t xml:space="preserve"> the corporate and operating functions of the distribution and transmission businesses.</w:t>
      </w:r>
      <w:r w:rsidR="00E04788">
        <w:t xml:space="preserve"> As </w:t>
      </w:r>
      <w:r w:rsidR="00A93DC3">
        <w:t>a consequence</w:t>
      </w:r>
      <w:r w:rsidR="00E04788">
        <w:t xml:space="preserve"> of this restructure, </w:t>
      </w:r>
      <w:r w:rsidR="00744118">
        <w:t>TasNetworks</w:t>
      </w:r>
      <w:r w:rsidR="00E04788">
        <w:t xml:space="preserve"> has embe</w:t>
      </w:r>
      <w:r w:rsidR="00DE0CA8">
        <w:t xml:space="preserve">dded expected efficiencies </w:t>
      </w:r>
      <w:r w:rsidR="00E04788">
        <w:t xml:space="preserve">in its operating expenditure forecasts as part of its proposal. </w:t>
      </w:r>
      <w:r w:rsidR="00CC722A">
        <w:t xml:space="preserve"> </w:t>
      </w:r>
      <w:r w:rsidR="0051677A">
        <w:t xml:space="preserve">Overall, </w:t>
      </w:r>
      <w:r w:rsidR="00756C60">
        <w:t>TasNetwok</w:t>
      </w:r>
      <w:r w:rsidR="0051677A">
        <w:t xml:space="preserve">s opex proposal provides for real reductions </w:t>
      </w:r>
      <w:r w:rsidR="00B11A54">
        <w:t>i</w:t>
      </w:r>
      <w:r w:rsidR="0051677A">
        <w:t xml:space="preserve">n operating expenditure for the next regulatory control period to service a higher asset base. </w:t>
      </w:r>
      <w:r w:rsidR="00744118">
        <w:t>We understand that t</w:t>
      </w:r>
      <w:r w:rsidR="006C03E1" w:rsidRPr="006C03E1">
        <w:t xml:space="preserve">he owner </w:t>
      </w:r>
      <w:r w:rsidR="0051677A">
        <w:t>of TransGrid</w:t>
      </w:r>
      <w:r w:rsidR="006C03E1" w:rsidRPr="006C03E1">
        <w:t xml:space="preserve"> (the NSW Government) is also actively seeking tighter controls on </w:t>
      </w:r>
      <w:r w:rsidR="0051677A">
        <w:t xml:space="preserve">the level of network prices, where any </w:t>
      </w:r>
      <w:r w:rsidR="00351DC3">
        <w:t>average consumer price changes</w:t>
      </w:r>
      <w:r w:rsidR="0051677A">
        <w:t xml:space="preserve"> </w:t>
      </w:r>
      <w:r w:rsidR="00351DC3">
        <w:t xml:space="preserve">should be within </w:t>
      </w:r>
      <w:r w:rsidR="0051677A">
        <w:t xml:space="preserve">inflation. </w:t>
      </w:r>
      <w:r w:rsidR="006C03E1" w:rsidRPr="006C03E1">
        <w:t xml:space="preserve"> </w:t>
      </w:r>
    </w:p>
    <w:p w:rsidR="0051677A" w:rsidRDefault="000C413B" w:rsidP="006C03E1">
      <w:r>
        <w:t xml:space="preserve">There have also been significant changes to the regulatory framework we administer. The Australian Energy Market Commission (AEMC) finalised significant changes to the rules in November 2012. These changes resulted in a renewed emphasis on the long term interests of consumers. The appeal </w:t>
      </w:r>
      <w:r>
        <w:lastRenderedPageBreak/>
        <w:t>process relating to our network determinations was also amended so that any appeals by the businesses must demonstrate that the changes sought would leave consumers better off. The revised rules also required us to develop new guidelines that set out how we propose to approach important aspects of our review.</w:t>
      </w:r>
      <w:r>
        <w:rPr>
          <w:rStyle w:val="FootnoteReference"/>
        </w:rPr>
        <w:footnoteReference w:id="2"/>
      </w:r>
      <w:r>
        <w:t xml:space="preserve"> For example,</w:t>
      </w:r>
      <w:r w:rsidR="0051677A">
        <w:t xml:space="preserve"> we have developed a suite of assessment tools (e.g. benchmarking techniques) to enable greater use of top down assessments of proposals</w:t>
      </w:r>
      <w:r w:rsidR="0083488D">
        <w:t>.</w:t>
      </w:r>
      <w:r w:rsidR="00453DD1">
        <w:rPr>
          <w:rStyle w:val="FootnoteReference"/>
        </w:rPr>
        <w:footnoteReference w:id="3"/>
      </w:r>
      <w:r w:rsidR="0051677A">
        <w:t xml:space="preserve">  </w:t>
      </w:r>
      <w:r w:rsidR="00A93DC3">
        <w:t xml:space="preserve">We intend to use these assessment tools to </w:t>
      </w:r>
      <w:r w:rsidR="00351DC3">
        <w:t xml:space="preserve">conduct a first pass assessment of the expenditure proposals in terms of their relative efficiency with other businesses. </w:t>
      </w:r>
    </w:p>
    <w:p w:rsidR="008B7C18" w:rsidRDefault="00345C63" w:rsidP="006C03E1">
      <w:r>
        <w:t>A</w:t>
      </w:r>
      <w:r w:rsidR="009A5622">
        <w:t xml:space="preserve">nother important change in the regulatory framework requires </w:t>
      </w:r>
      <w:r w:rsidR="008B7C18">
        <w:t xml:space="preserve">the transmission businesses to engage with consumers and to take into account any consumer preferences in developing the revenue proposals (e.g. proposed expenditure and </w:t>
      </w:r>
      <w:r w:rsidR="00941018">
        <w:t xml:space="preserve">the accompanying </w:t>
      </w:r>
      <w:r w:rsidR="008B7C18">
        <w:t xml:space="preserve">service levels).  </w:t>
      </w:r>
    </w:p>
    <w:p w:rsidR="00B2706F" w:rsidRDefault="006C03E1" w:rsidP="006C03E1">
      <w:r w:rsidRPr="006C03E1">
        <w:t xml:space="preserve">The </w:t>
      </w:r>
      <w:r w:rsidR="00A93DC3">
        <w:t>transmission businesses revenue</w:t>
      </w:r>
      <w:r w:rsidRPr="006C03E1">
        <w:t xml:space="preserve"> proposals are available on our website (</w:t>
      </w:r>
      <w:hyperlink r:id="rId17" w:history="1">
        <w:r w:rsidRPr="006C03E1">
          <w:t>www.aer.gov.au</w:t>
        </w:r>
      </w:hyperlink>
      <w:r w:rsidRPr="006C03E1">
        <w:t xml:space="preserve">). While your submission may refer to this issues paper, ideally it will be in response to the </w:t>
      </w:r>
      <w:r w:rsidR="00A93DC3">
        <w:t>revenue</w:t>
      </w:r>
      <w:r w:rsidRPr="006C03E1">
        <w:t xml:space="preserve"> proposals themselves. We have included in this paper some questions on issues arising from the </w:t>
      </w:r>
      <w:r w:rsidR="00A93DC3">
        <w:t>revenue</w:t>
      </w:r>
      <w:r w:rsidRPr="006C03E1">
        <w:t xml:space="preserve"> proposals that we consider are relevant. We invite you to respond to any or all of those questions. However, feel free also to send us your views on any aspect of the </w:t>
      </w:r>
      <w:r w:rsidR="00A93DC3">
        <w:t>revenue</w:t>
      </w:r>
      <w:r w:rsidRPr="006C03E1">
        <w:t xml:space="preserve"> proposals. </w:t>
      </w:r>
    </w:p>
    <w:p w:rsidR="00DB0E75" w:rsidRDefault="00B05A0F" w:rsidP="006C03E1">
      <w:r>
        <w:t>The attachments in this p</w:t>
      </w:r>
      <w:r w:rsidR="00527C83">
        <w:t>a</w:t>
      </w:r>
      <w:r>
        <w:t>p</w:t>
      </w:r>
      <w:r w:rsidR="00527C83">
        <w:t>er provide a more detailed discussion of the businesses revenue proposals. This detailed material examines the main components of the busine</w:t>
      </w:r>
      <w:r w:rsidR="00DB0E75">
        <w:t>s</w:t>
      </w:r>
      <w:r w:rsidR="00527C83">
        <w:t>ses total revenue proposals</w:t>
      </w:r>
      <w:r w:rsidR="00527C83">
        <w:softHyphen/>
        <w:t xml:space="preserve"> - capital expenditure (capex), operating expenditure (opex) and the rate of retur</w:t>
      </w:r>
      <w:r>
        <w:t xml:space="preserve">n. </w:t>
      </w:r>
      <w:r w:rsidR="00B2706F">
        <w:t>In addition, this paper highlights proposed changes to the pricing methodology which affects transmission charges</w:t>
      </w:r>
      <w:r w:rsidR="00B2706F" w:rsidRPr="006C03E1">
        <w:t xml:space="preserve">. </w:t>
      </w:r>
    </w:p>
    <w:p w:rsidR="006C03E1" w:rsidRPr="006C03E1" w:rsidRDefault="006C03E1" w:rsidP="006C03E1">
      <w:r w:rsidRPr="006C03E1">
        <w:t xml:space="preserve">See section </w:t>
      </w:r>
      <w:r w:rsidR="00B05A0F">
        <w:t>3</w:t>
      </w:r>
      <w:r w:rsidR="00B05A0F" w:rsidRPr="006C03E1">
        <w:t xml:space="preserve"> </w:t>
      </w:r>
      <w:r w:rsidRPr="006C03E1">
        <w:t>below for more details on what to include in your submission and key dates in our assessment process.</w:t>
      </w:r>
    </w:p>
    <w:p w:rsidR="006C03E1" w:rsidRDefault="006C03E1" w:rsidP="0074092C">
      <w:pPr>
        <w:pStyle w:val="AERbodytext"/>
      </w:pPr>
    </w:p>
    <w:p w:rsidR="006C03E1" w:rsidRDefault="006C03E1" w:rsidP="0074092C">
      <w:pPr>
        <w:pStyle w:val="AERbodytext"/>
      </w:pPr>
    </w:p>
    <w:p w:rsidR="006C03E1" w:rsidRDefault="006C03E1" w:rsidP="0074092C">
      <w:pPr>
        <w:pStyle w:val="AERbodytext"/>
      </w:pPr>
    </w:p>
    <w:p w:rsidR="006C03E1" w:rsidRDefault="006C03E1" w:rsidP="0074092C">
      <w:pPr>
        <w:pStyle w:val="AERbodytext"/>
      </w:pPr>
    </w:p>
    <w:p w:rsidR="0074092C" w:rsidRPr="0074092C" w:rsidRDefault="0074092C" w:rsidP="0074092C">
      <w:pPr>
        <w:pStyle w:val="AERbodytext"/>
      </w:pPr>
      <w:r w:rsidRPr="0074092C">
        <w:t xml:space="preserve"> </w:t>
      </w:r>
    </w:p>
    <w:p w:rsidR="00373CBB" w:rsidRDefault="00373CBB" w:rsidP="00204291">
      <w:pPr>
        <w:pStyle w:val="AERbodytext"/>
      </w:pPr>
    </w:p>
    <w:p w:rsidR="00A8649A" w:rsidRPr="00B53DCC" w:rsidRDefault="00A8649A" w:rsidP="00A8649A">
      <w:pPr>
        <w:rPr>
          <w:rStyle w:val="AERtexthighlight"/>
        </w:rPr>
      </w:pPr>
      <w:r w:rsidRPr="00B53DCC">
        <w:rPr>
          <w:rStyle w:val="AERtexthighlight"/>
        </w:rPr>
        <w:t xml:space="preserve"> </w:t>
      </w:r>
    </w:p>
    <w:p w:rsidR="00A8649A" w:rsidRDefault="00247499" w:rsidP="00247499">
      <w:pPr>
        <w:pStyle w:val="Heading1"/>
      </w:pPr>
      <w:bookmarkStart w:id="11" w:name="_Toc392063163"/>
      <w:r>
        <w:lastRenderedPageBreak/>
        <w:t>Our initial observations</w:t>
      </w:r>
      <w:bookmarkEnd w:id="11"/>
    </w:p>
    <w:p w:rsidR="00B53DCC" w:rsidRDefault="00B53DCC" w:rsidP="00B53DCC">
      <w:pPr>
        <w:pStyle w:val="AERbodytext"/>
      </w:pPr>
      <w:r>
        <w:t>Th</w:t>
      </w:r>
      <w:r w:rsidR="00B05A0F">
        <w:t xml:space="preserve">e following </w:t>
      </w:r>
      <w:r>
        <w:t>section</w:t>
      </w:r>
      <w:r w:rsidR="00B05A0F">
        <w:t>s</w:t>
      </w:r>
      <w:r>
        <w:t xml:space="preserve"> set out our initial observations on the proposals. We have included this material to guide stakeholders to the key </w:t>
      </w:r>
      <w:r w:rsidR="00B05A0F">
        <w:t>issues that we have identified.</w:t>
      </w:r>
    </w:p>
    <w:p w:rsidR="001D5804" w:rsidRDefault="005173BB" w:rsidP="00453DD1">
      <w:pPr>
        <w:pStyle w:val="HeadingBoldBlue"/>
      </w:pPr>
      <w:r>
        <w:t xml:space="preserve">How do the </w:t>
      </w:r>
      <w:r w:rsidR="00453DD1">
        <w:t xml:space="preserve">proposed </w:t>
      </w:r>
      <w:r w:rsidR="00EF09BB">
        <w:t xml:space="preserve">revenue (and </w:t>
      </w:r>
      <w:r w:rsidR="00453DD1">
        <w:t>prices</w:t>
      </w:r>
      <w:r w:rsidR="00EF09BB">
        <w:t>)</w:t>
      </w:r>
      <w:r w:rsidR="00453DD1">
        <w:t xml:space="preserve"> c</w:t>
      </w:r>
      <w:r>
        <w:t xml:space="preserve">hanges </w:t>
      </w:r>
      <w:r w:rsidR="004A2278">
        <w:t>compare to</w:t>
      </w:r>
      <w:r w:rsidR="00453DD1">
        <w:t xml:space="preserve"> the recent past?</w:t>
      </w:r>
    </w:p>
    <w:p w:rsidR="001B3CE0" w:rsidRPr="009925F5" w:rsidRDefault="00EF09BB" w:rsidP="008A7A16">
      <w:pPr>
        <w:pStyle w:val="AERbodytext"/>
        <w:rPr>
          <w:rStyle w:val="AERtexthighlight"/>
          <w:shd w:val="clear" w:color="auto" w:fill="auto"/>
        </w:rPr>
      </w:pPr>
      <w:r w:rsidRPr="009925F5">
        <w:t xml:space="preserve">The transmission </w:t>
      </w:r>
      <w:r w:rsidR="005173BB" w:rsidRPr="009925F5">
        <w:t xml:space="preserve">businesses are </w:t>
      </w:r>
      <w:r w:rsidRPr="009925F5">
        <w:t xml:space="preserve">proposing revenues that </w:t>
      </w:r>
      <w:r w:rsidR="00CA0AB7" w:rsidRPr="009925F5">
        <w:t xml:space="preserve">vary noticeably from those in the current </w:t>
      </w:r>
      <w:r w:rsidR="009A5622" w:rsidRPr="009925F5">
        <w:t xml:space="preserve">regulatory control </w:t>
      </w:r>
      <w:r w:rsidR="00CA0AB7" w:rsidRPr="00925743">
        <w:t xml:space="preserve">period. For example, </w:t>
      </w:r>
      <w:r w:rsidR="00D67F8C">
        <w:t>TasNetworks</w:t>
      </w:r>
      <w:r w:rsidR="00D67F8C" w:rsidRPr="00925743">
        <w:t xml:space="preserve"> </w:t>
      </w:r>
      <w:r w:rsidR="00CA0AB7" w:rsidRPr="00925743">
        <w:t xml:space="preserve">proposes </w:t>
      </w:r>
      <w:r w:rsidR="005173BB" w:rsidRPr="009925F5">
        <w:t xml:space="preserve">a </w:t>
      </w:r>
      <w:r w:rsidR="002A4EF7" w:rsidRPr="009925F5">
        <w:t xml:space="preserve">significant </w:t>
      </w:r>
      <w:r w:rsidR="004A2278" w:rsidRPr="009925F5">
        <w:t xml:space="preserve">reduction in revenue </w:t>
      </w:r>
      <w:r w:rsidR="00617E42" w:rsidRPr="009925F5">
        <w:t xml:space="preserve">from the approved allowances </w:t>
      </w:r>
      <w:r w:rsidR="00CA0AB7" w:rsidRPr="009925F5">
        <w:t xml:space="preserve">in </w:t>
      </w:r>
      <w:r w:rsidR="00B11A54" w:rsidRPr="009925F5">
        <w:t xml:space="preserve">the current </w:t>
      </w:r>
      <w:r w:rsidR="009A5622" w:rsidRPr="009925F5">
        <w:t xml:space="preserve">regulatory control </w:t>
      </w:r>
      <w:r w:rsidR="00B11A54" w:rsidRPr="009925F5">
        <w:t xml:space="preserve">period which is expected to reduce </w:t>
      </w:r>
      <w:r w:rsidR="005173BB" w:rsidRPr="009925F5">
        <w:t>prices</w:t>
      </w:r>
      <w:r w:rsidR="006A32D1" w:rsidRPr="009925F5">
        <w:t>.</w:t>
      </w:r>
      <w:r w:rsidR="005173BB" w:rsidRPr="009925F5">
        <w:t xml:space="preserve"> </w:t>
      </w:r>
      <w:r w:rsidR="00CA0AB7" w:rsidRPr="009925F5">
        <w:t xml:space="preserve">TransGrid </w:t>
      </w:r>
      <w:r w:rsidR="002A4EF7" w:rsidRPr="009925F5">
        <w:t xml:space="preserve">is also proposing a revenue decrease from the current revenue allowances, whereas </w:t>
      </w:r>
      <w:r w:rsidR="00CA0AB7" w:rsidRPr="009925F5">
        <w:t>Directlink propos</w:t>
      </w:r>
      <w:r w:rsidR="00462B64">
        <w:t>es a significant</w:t>
      </w:r>
      <w:r w:rsidR="00CA0AB7" w:rsidRPr="009925F5">
        <w:t xml:space="preserve"> </w:t>
      </w:r>
      <w:r w:rsidR="00B11A54" w:rsidRPr="009925F5">
        <w:t>revenue (and price) increase</w:t>
      </w:r>
      <w:r w:rsidR="007132B6" w:rsidRPr="009925F5">
        <w:t xml:space="preserve"> from its current revenue allowance</w:t>
      </w:r>
      <w:r w:rsidR="002A4EF7" w:rsidRPr="009925F5">
        <w:t>.</w:t>
      </w:r>
      <w:r w:rsidR="00B11A54" w:rsidRPr="009925F5">
        <w:t xml:space="preserve"> </w:t>
      </w:r>
      <w:r w:rsidR="002A4EF7" w:rsidRPr="009925F5">
        <w:rPr>
          <w:rStyle w:val="AERtexthighlight"/>
          <w:shd w:val="clear" w:color="auto" w:fill="auto"/>
        </w:rPr>
        <w:t>In particular</w:t>
      </w:r>
      <w:r w:rsidR="00393E4D" w:rsidRPr="009925F5">
        <w:rPr>
          <w:rStyle w:val="AERtexthighlight"/>
          <w:shd w:val="clear" w:color="auto" w:fill="auto"/>
        </w:rPr>
        <w:t xml:space="preserve">, TransGrid and </w:t>
      </w:r>
      <w:r w:rsidR="002A4EF7" w:rsidRPr="009925F5">
        <w:rPr>
          <w:rStyle w:val="AERtexthighlight"/>
          <w:shd w:val="clear" w:color="auto" w:fill="auto"/>
        </w:rPr>
        <w:t>T</w:t>
      </w:r>
      <w:r w:rsidR="00722F76" w:rsidRPr="009925F5">
        <w:rPr>
          <w:rStyle w:val="AERtexthighlight"/>
          <w:shd w:val="clear" w:color="auto" w:fill="auto"/>
        </w:rPr>
        <w:t>asNetworks</w:t>
      </w:r>
      <w:r w:rsidR="002A4EF7" w:rsidRPr="009925F5">
        <w:rPr>
          <w:rStyle w:val="AERtexthighlight"/>
          <w:shd w:val="clear" w:color="auto" w:fill="auto"/>
        </w:rPr>
        <w:t xml:space="preserve"> </w:t>
      </w:r>
      <w:r w:rsidR="00393E4D" w:rsidRPr="009925F5">
        <w:rPr>
          <w:rStyle w:val="AERtexthighlight"/>
          <w:shd w:val="clear" w:color="auto" w:fill="auto"/>
        </w:rPr>
        <w:t xml:space="preserve">are proposing a </w:t>
      </w:r>
      <w:r w:rsidR="002A4EF7" w:rsidRPr="009925F5">
        <w:rPr>
          <w:rStyle w:val="AERtexthighlight"/>
          <w:shd w:val="clear" w:color="auto" w:fill="auto"/>
        </w:rPr>
        <w:t xml:space="preserve">decrease </w:t>
      </w:r>
      <w:r w:rsidR="00393E4D" w:rsidRPr="009925F5">
        <w:rPr>
          <w:rStyle w:val="AERtexthighlight"/>
          <w:shd w:val="clear" w:color="auto" w:fill="auto"/>
        </w:rPr>
        <w:t xml:space="preserve">in allowed revenue of </w:t>
      </w:r>
      <w:r w:rsidR="002A4EF7" w:rsidRPr="009925F5">
        <w:rPr>
          <w:rStyle w:val="AERtexthighlight"/>
          <w:shd w:val="clear" w:color="auto" w:fill="auto"/>
        </w:rPr>
        <w:t>2</w:t>
      </w:r>
      <w:r w:rsidR="00EC3B95" w:rsidRPr="009925F5">
        <w:rPr>
          <w:rStyle w:val="AERtexthighlight"/>
          <w:shd w:val="clear" w:color="auto" w:fill="auto"/>
        </w:rPr>
        <w:t xml:space="preserve"> </w:t>
      </w:r>
      <w:r w:rsidR="00393E4D" w:rsidRPr="009925F5">
        <w:rPr>
          <w:rStyle w:val="AERtexthighlight"/>
          <w:shd w:val="clear" w:color="auto" w:fill="auto"/>
        </w:rPr>
        <w:t>per cent</w:t>
      </w:r>
      <w:r w:rsidR="002A4EF7" w:rsidRPr="009925F5">
        <w:rPr>
          <w:rStyle w:val="AERtexthighlight"/>
          <w:shd w:val="clear" w:color="auto" w:fill="auto"/>
        </w:rPr>
        <w:t xml:space="preserve"> and 18 per cent, respectively.</w:t>
      </w:r>
      <w:r w:rsidR="002A4EF7" w:rsidRPr="00462B64">
        <w:rPr>
          <w:rStyle w:val="AERsuperscript"/>
        </w:rPr>
        <w:footnoteReference w:id="4"/>
      </w:r>
      <w:r w:rsidR="002A4EF7" w:rsidRPr="009925F5">
        <w:rPr>
          <w:rStyle w:val="AERtexthighlight"/>
          <w:shd w:val="clear" w:color="auto" w:fill="auto"/>
        </w:rPr>
        <w:t xml:space="preserve"> </w:t>
      </w:r>
      <w:r w:rsidR="001B3CE0" w:rsidRPr="009925F5">
        <w:rPr>
          <w:rStyle w:val="AERtexthighlight"/>
          <w:shd w:val="clear" w:color="auto" w:fill="auto"/>
        </w:rPr>
        <w:t xml:space="preserve">Directlink proposes an increase </w:t>
      </w:r>
      <w:r w:rsidR="00EC3B95" w:rsidRPr="009925F5">
        <w:rPr>
          <w:rStyle w:val="AERtexthighlight"/>
          <w:shd w:val="clear" w:color="auto" w:fill="auto"/>
        </w:rPr>
        <w:t>of 30 per cent</w:t>
      </w:r>
      <w:r w:rsidR="001B3CE0" w:rsidRPr="009925F5">
        <w:rPr>
          <w:rStyle w:val="AERtexthighlight"/>
          <w:shd w:val="clear" w:color="auto" w:fill="auto"/>
        </w:rPr>
        <w:t xml:space="preserve"> above its current revenue allowance. </w:t>
      </w:r>
      <w:r w:rsidR="007132B6" w:rsidRPr="009925F5">
        <w:rPr>
          <w:rStyle w:val="AERtexthighlight"/>
          <w:shd w:val="clear" w:color="auto" w:fill="auto"/>
        </w:rPr>
        <w:t xml:space="preserve">We have provided </w:t>
      </w:r>
      <w:r w:rsidR="00FA2F8A">
        <w:rPr>
          <w:rStyle w:val="AERtexthighlight"/>
          <w:shd w:val="clear" w:color="auto" w:fill="auto"/>
        </w:rPr>
        <w:t xml:space="preserve">in </w:t>
      </w:r>
      <w:r w:rsidR="00FA2F8A" w:rsidRPr="00FA2F8A">
        <w:rPr>
          <w:rStyle w:val="AERtexthighlight"/>
          <w:shd w:val="clear" w:color="auto" w:fill="auto"/>
        </w:rPr>
        <w:t>section 2 (attachment)</w:t>
      </w:r>
      <w:r w:rsidR="00C465BF" w:rsidRPr="0019197D">
        <w:rPr>
          <w:rStyle w:val="AERtexthighlight"/>
          <w:shd w:val="clear" w:color="auto" w:fill="auto"/>
        </w:rPr>
        <w:t xml:space="preserve"> </w:t>
      </w:r>
      <w:r w:rsidR="007132B6" w:rsidRPr="0019197D">
        <w:rPr>
          <w:rStyle w:val="AERtexthighlight"/>
          <w:shd w:val="clear" w:color="auto" w:fill="auto"/>
        </w:rPr>
        <w:t xml:space="preserve">more </w:t>
      </w:r>
      <w:r w:rsidR="00C93D7C" w:rsidRPr="0019197D">
        <w:rPr>
          <w:rStyle w:val="AERtexthighlight"/>
          <w:shd w:val="clear" w:color="auto" w:fill="auto"/>
        </w:rPr>
        <w:t>details regarding the drivers of these revenue changes</w:t>
      </w:r>
      <w:r w:rsidR="00C465BF" w:rsidRPr="0019197D">
        <w:rPr>
          <w:rStyle w:val="AERtexthighlight"/>
          <w:shd w:val="clear" w:color="auto" w:fill="auto"/>
        </w:rPr>
        <w:t>, as submitted by each of the businesses.</w:t>
      </w:r>
      <w:r w:rsidR="00C93D7C" w:rsidRPr="009925F5">
        <w:rPr>
          <w:rStyle w:val="AERtexthighlight"/>
          <w:shd w:val="clear" w:color="auto" w:fill="auto"/>
        </w:rPr>
        <w:t xml:space="preserve">  While the revenue proposals show the change in revenue from the current allowance to the proposed revenue allowance, we have compared the</w:t>
      </w:r>
      <w:r w:rsidR="0019197D">
        <w:rPr>
          <w:rStyle w:val="AERtexthighlight"/>
          <w:shd w:val="clear" w:color="auto" w:fill="auto"/>
        </w:rPr>
        <w:t xml:space="preserve"> change in </w:t>
      </w:r>
      <w:r w:rsidR="00C93D7C" w:rsidRPr="0019197D">
        <w:rPr>
          <w:rStyle w:val="AERtexthighlight"/>
          <w:shd w:val="clear" w:color="auto" w:fill="auto"/>
        </w:rPr>
        <w:t>revenue</w:t>
      </w:r>
      <w:r w:rsidR="0019197D" w:rsidRPr="0019197D">
        <w:rPr>
          <w:rStyle w:val="AERtexthighlight"/>
          <w:shd w:val="clear" w:color="auto" w:fill="auto"/>
        </w:rPr>
        <w:t xml:space="preserve"> adjusted to reflect actual costs </w:t>
      </w:r>
      <w:r w:rsidR="00C93D7C" w:rsidRPr="0019197D">
        <w:rPr>
          <w:rStyle w:val="AERtexthighlight"/>
          <w:shd w:val="clear" w:color="auto" w:fill="auto"/>
        </w:rPr>
        <w:t>to</w:t>
      </w:r>
      <w:r w:rsidR="00C93D7C" w:rsidRPr="009925F5">
        <w:rPr>
          <w:rStyle w:val="AERtexthighlight"/>
          <w:shd w:val="clear" w:color="auto" w:fill="auto"/>
        </w:rPr>
        <w:t xml:space="preserve"> the proposed allowances.  As a result, the revenue changes outlined in section </w:t>
      </w:r>
      <w:r w:rsidR="00756C60" w:rsidRPr="00756C60">
        <w:rPr>
          <w:rStyle w:val="AERtexthighlight"/>
          <w:shd w:val="clear" w:color="auto" w:fill="auto"/>
        </w:rPr>
        <w:t>2</w:t>
      </w:r>
      <w:r w:rsidR="00C93D7C" w:rsidRPr="00756C60">
        <w:rPr>
          <w:rStyle w:val="AERtexthighlight"/>
          <w:shd w:val="clear" w:color="auto" w:fill="auto"/>
        </w:rPr>
        <w:t xml:space="preserve"> </w:t>
      </w:r>
      <w:r w:rsidR="008A7A16" w:rsidRPr="008A7A16">
        <w:rPr>
          <w:rStyle w:val="AERtexthighlight"/>
          <w:shd w:val="clear" w:color="auto" w:fill="auto"/>
        </w:rPr>
        <w:t xml:space="preserve">(attachment) </w:t>
      </w:r>
      <w:r w:rsidR="00C93D7C" w:rsidRPr="008A7A16">
        <w:rPr>
          <w:rStyle w:val="AERtexthighlight"/>
          <w:shd w:val="clear" w:color="auto" w:fill="auto"/>
        </w:rPr>
        <w:t>differ</w:t>
      </w:r>
      <w:r w:rsidR="00C93D7C" w:rsidRPr="009925F5">
        <w:rPr>
          <w:rStyle w:val="AERtexthighlight"/>
          <w:shd w:val="clear" w:color="auto" w:fill="auto"/>
        </w:rPr>
        <w:t xml:space="preserve"> from the changes identified above. </w:t>
      </w:r>
    </w:p>
    <w:p w:rsidR="00EF09BB" w:rsidRPr="00EF09BB" w:rsidRDefault="00EF09BB" w:rsidP="00EF09BB">
      <w:r w:rsidRPr="00EF09BB">
        <w:t xml:space="preserve">However, given the significant changes to the operating environment the </w:t>
      </w:r>
      <w:r w:rsidR="004A2278">
        <w:t>businesses</w:t>
      </w:r>
      <w:r w:rsidRPr="00EF09BB">
        <w:t xml:space="preserve"> now face, we ask whether </w:t>
      </w:r>
      <w:r w:rsidR="003D3A3C">
        <w:t>stakeholders</w:t>
      </w:r>
      <w:r w:rsidRPr="00EF09BB">
        <w:t xml:space="preserve"> consider the </w:t>
      </w:r>
      <w:r w:rsidR="004A2278">
        <w:t xml:space="preserve">revenue </w:t>
      </w:r>
      <w:r w:rsidR="007132B6">
        <w:t xml:space="preserve">changes </w:t>
      </w:r>
      <w:r w:rsidR="007B1E39">
        <w:t xml:space="preserve">proposed by </w:t>
      </w:r>
      <w:r w:rsidR="007132B6">
        <w:t xml:space="preserve">the businesses </w:t>
      </w:r>
      <w:r w:rsidRPr="00EF09BB">
        <w:t xml:space="preserve">adequately reflect current circumstances. </w:t>
      </w:r>
      <w:r w:rsidR="009F5C2E">
        <w:t xml:space="preserve">We recognise that the recent growth in their regulatory asset bases (RABs) will have an upward pressure on their revenues. </w:t>
      </w:r>
      <w:r w:rsidR="00410B81">
        <w:rPr>
          <w:rStyle w:val="AERbody"/>
        </w:rPr>
        <w:t>T</w:t>
      </w:r>
      <w:r w:rsidR="009F5C2E" w:rsidRPr="0059339E">
        <w:rPr>
          <w:rStyle w:val="AERbody"/>
        </w:rPr>
        <w:t xml:space="preserve">his investment base needs to be funded and this is adding to the cost of running the networks. However, other factors </w:t>
      </w:r>
      <w:r w:rsidR="009F5C2E">
        <w:rPr>
          <w:rStyle w:val="AERbody"/>
        </w:rPr>
        <w:t>could be reducing</w:t>
      </w:r>
      <w:r w:rsidR="009F5C2E" w:rsidRPr="0059339E">
        <w:rPr>
          <w:rStyle w:val="AERbody"/>
        </w:rPr>
        <w:t xml:space="preserve"> pressure on the </w:t>
      </w:r>
      <w:r w:rsidR="009F5C2E">
        <w:rPr>
          <w:rStyle w:val="AERbody"/>
        </w:rPr>
        <w:t>businesses</w:t>
      </w:r>
      <w:r w:rsidR="009F5C2E" w:rsidRPr="0059339E">
        <w:rPr>
          <w:rStyle w:val="AERbody"/>
        </w:rPr>
        <w:t xml:space="preserve"> required revenues and therefore on prices. These include less capex than expected in the 2009–14 regulatory control period</w:t>
      </w:r>
      <w:r w:rsidR="00345C63">
        <w:rPr>
          <w:rStyle w:val="AERbody"/>
        </w:rPr>
        <w:t xml:space="preserve"> for TransGrid and T</w:t>
      </w:r>
      <w:r w:rsidR="00ED0E34">
        <w:rPr>
          <w:rStyle w:val="AERbody"/>
        </w:rPr>
        <w:t>asNetworks</w:t>
      </w:r>
      <w:r w:rsidR="009F5C2E" w:rsidRPr="0059339E">
        <w:rPr>
          <w:rStyle w:val="AERbody"/>
        </w:rPr>
        <w:t xml:space="preserve">, reduced demand for electricity, opportunities for more efficient supply of services and a </w:t>
      </w:r>
      <w:r w:rsidR="00ED4637">
        <w:rPr>
          <w:rStyle w:val="AERbody"/>
        </w:rPr>
        <w:t xml:space="preserve">more certain </w:t>
      </w:r>
      <w:r w:rsidR="009F5C2E" w:rsidRPr="0059339E">
        <w:rPr>
          <w:rStyle w:val="AERbody"/>
        </w:rPr>
        <w:t xml:space="preserve"> investment climate</w:t>
      </w:r>
      <w:r w:rsidR="009F5C2E">
        <w:rPr>
          <w:rStyle w:val="AERbody"/>
        </w:rPr>
        <w:t xml:space="preserve">, leading to lower funding costs, post </w:t>
      </w:r>
      <w:r w:rsidR="00756C60">
        <w:rPr>
          <w:rStyle w:val="AERbody"/>
        </w:rPr>
        <w:t>the global financial crisis.</w:t>
      </w:r>
    </w:p>
    <w:p w:rsidR="00026F2F" w:rsidRPr="00026F2F" w:rsidRDefault="0058798D" w:rsidP="003C1D4E">
      <w:pPr>
        <w:pStyle w:val="AERbodytext"/>
        <w:rPr>
          <w:shd w:val="clear" w:color="auto" w:fill="FFFF00"/>
        </w:rPr>
      </w:pPr>
      <w:r>
        <w:t>Figures 1 and figure 2</w:t>
      </w:r>
      <w:r w:rsidR="00026F2F">
        <w:t xml:space="preserve"> show the expected price paths derived from t</w:t>
      </w:r>
      <w:r w:rsidR="0019197D">
        <w:t>he businesses revenue proposals.</w:t>
      </w:r>
      <w:r w:rsidR="0019197D">
        <w:rPr>
          <w:rStyle w:val="FootnoteReference"/>
        </w:rPr>
        <w:footnoteReference w:id="5"/>
      </w:r>
      <w:r w:rsidR="00026F2F">
        <w:t xml:space="preserve"> The solid lines represent actual average price changes and the dashed lines represent the average price path from our transitional decision</w:t>
      </w:r>
      <w:r w:rsidR="007132B6">
        <w:rPr>
          <w:rStyle w:val="FootnoteReference"/>
        </w:rPr>
        <w:footnoteReference w:id="6"/>
      </w:r>
      <w:r w:rsidR="00026F2F">
        <w:t xml:space="preserve"> </w:t>
      </w:r>
      <w:r w:rsidR="0035591E">
        <w:t xml:space="preserve">(which applies for 2014-15) </w:t>
      </w:r>
      <w:r w:rsidR="00026F2F">
        <w:t>and the changes proposed by the businesses over the next regulatory control period.</w:t>
      </w:r>
    </w:p>
    <w:p w:rsidR="00026F2F" w:rsidRPr="00026F2F" w:rsidRDefault="00026F2F" w:rsidP="00026F2F">
      <w:pPr>
        <w:pStyle w:val="Caption"/>
      </w:pPr>
      <w:r w:rsidRPr="00026F2F">
        <w:rPr>
          <w:rStyle w:val="AERbody"/>
        </w:rPr>
        <w:lastRenderedPageBreak/>
        <w:t>Figure</w:t>
      </w:r>
      <w:r w:rsidRPr="00026F2F">
        <w:t xml:space="preserve"> </w:t>
      </w:r>
      <w:r w:rsidR="00B27D9D">
        <w:fldChar w:fldCharType="begin"/>
      </w:r>
      <w:r w:rsidR="00B27D9D">
        <w:instrText xml:space="preserve"> SEQ Figure \* ARABIC </w:instrText>
      </w:r>
      <w:r w:rsidR="00B27D9D">
        <w:fldChar w:fldCharType="separate"/>
      </w:r>
      <w:r w:rsidR="007D569B">
        <w:rPr>
          <w:noProof/>
        </w:rPr>
        <w:t>1</w:t>
      </w:r>
      <w:r w:rsidR="00B27D9D">
        <w:rPr>
          <w:noProof/>
        </w:rPr>
        <w:fldChar w:fldCharType="end"/>
      </w:r>
      <w:r w:rsidRPr="00026F2F">
        <w:tab/>
        <w:t>TransGrid–Indicative transmission price path from 2009–10 to 2018–19 ($/MWh, nominal)</w:t>
      </w:r>
      <w:r w:rsidRPr="00026F2F">
        <w:rPr>
          <w:rStyle w:val="FootnoteReference"/>
        </w:rPr>
        <w:footnoteReference w:id="7"/>
      </w:r>
    </w:p>
    <w:p w:rsidR="00026F2F" w:rsidRDefault="009C6EF5" w:rsidP="00026F2F">
      <w:pPr>
        <w:pStyle w:val="AERbodytext"/>
        <w:numPr>
          <w:ilvl w:val="0"/>
          <w:numId w:val="0"/>
        </w:numPr>
      </w:pPr>
      <w:r w:rsidRPr="009C6EF5">
        <w:rPr>
          <w:noProof/>
          <w:lang w:eastAsia="en-AU"/>
        </w:rPr>
        <w:drawing>
          <wp:inline distT="0" distB="0" distL="0" distR="0" wp14:anchorId="7397AB03" wp14:editId="1C888914">
            <wp:extent cx="5731510" cy="3949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949700"/>
                    </a:xfrm>
                    <a:prstGeom prst="rect">
                      <a:avLst/>
                    </a:prstGeom>
                    <a:noFill/>
                    <a:ln>
                      <a:noFill/>
                    </a:ln>
                  </pic:spPr>
                </pic:pic>
              </a:graphicData>
            </a:graphic>
          </wp:inline>
        </w:drawing>
      </w:r>
    </w:p>
    <w:p w:rsidR="0058798D" w:rsidRDefault="0058798D" w:rsidP="0058798D">
      <w:pPr>
        <w:pStyle w:val="AERtablesource"/>
      </w:pPr>
      <w:r>
        <w:t>Source:</w:t>
      </w:r>
      <w:r>
        <w:tab/>
      </w:r>
      <w:r w:rsidRPr="002F15B5">
        <w:t xml:space="preserve">AER, Final decision PTRM for </w:t>
      </w:r>
      <w:r>
        <w:t>TransGrid</w:t>
      </w:r>
      <w:r w:rsidRPr="002F15B5">
        <w:t>–Tribunal varied</w:t>
      </w:r>
      <w:r>
        <w:t>, 2009; TransGrid, Proposed PTRM, May 2014; TransGrid’s 2009-10 to 2012–13 annual regulatory accounts; AEMO, National Electricity forecasting reports 2012 and 2013; AER, TransGrid Transend Transitional determinations 2014–15, March 2014, p. 20; AER analysis.</w:t>
      </w:r>
    </w:p>
    <w:p w:rsidR="0058798D" w:rsidRDefault="0058798D" w:rsidP="0058798D">
      <w:pPr>
        <w:pStyle w:val="AERtablesource"/>
      </w:pPr>
      <w:r w:rsidRPr="007C16DD">
        <w:t>Note:</w:t>
      </w:r>
      <w:r w:rsidRPr="007C16DD">
        <w:tab/>
        <w:t xml:space="preserve">Actual prices for 2009–10 to 2012–13 are calculated by dividing actual annual revenue (as shown in TransGrid’s regulatory accounts) by actual annual energy delivered in NSW (as published by AEMO). </w:t>
      </w:r>
    </w:p>
    <w:p w:rsidR="00026F2F" w:rsidRDefault="00026F2F" w:rsidP="0058798D">
      <w:pPr>
        <w:pStyle w:val="AERtablesource"/>
      </w:pPr>
    </w:p>
    <w:p w:rsidR="0058798D" w:rsidRDefault="0058798D" w:rsidP="0058798D">
      <w:pPr>
        <w:pStyle w:val="Caption"/>
      </w:pPr>
      <w:r w:rsidRPr="0058798D">
        <w:lastRenderedPageBreak/>
        <w:t xml:space="preserve">Figure </w:t>
      </w:r>
      <w:r w:rsidR="00B27D9D">
        <w:fldChar w:fldCharType="begin"/>
      </w:r>
      <w:r w:rsidR="00B27D9D">
        <w:instrText xml:space="preserve"> SEQ Figure \* ARABIC </w:instrText>
      </w:r>
      <w:r w:rsidR="00B27D9D">
        <w:fldChar w:fldCharType="separate"/>
      </w:r>
      <w:r w:rsidR="007D569B">
        <w:rPr>
          <w:noProof/>
        </w:rPr>
        <w:t>2</w:t>
      </w:r>
      <w:r w:rsidR="00B27D9D">
        <w:rPr>
          <w:noProof/>
        </w:rPr>
        <w:fldChar w:fldCharType="end"/>
      </w:r>
      <w:r w:rsidRPr="0058798D">
        <w:tab/>
      </w:r>
      <w:r w:rsidR="00ED0E34">
        <w:t>TasNetwoks</w:t>
      </w:r>
      <w:r w:rsidRPr="0058798D">
        <w:t>–Indicative transmission price path from 2009–10 to 2018–19 ($/MWh, nominal)</w:t>
      </w:r>
    </w:p>
    <w:p w:rsidR="0058798D" w:rsidRDefault="0058798D" w:rsidP="00026F2F">
      <w:pPr>
        <w:pStyle w:val="AERbodytext"/>
        <w:numPr>
          <w:ilvl w:val="0"/>
          <w:numId w:val="0"/>
        </w:numPr>
      </w:pPr>
      <w:r w:rsidRPr="0058798D">
        <w:rPr>
          <w:noProof/>
          <w:lang w:eastAsia="en-AU"/>
        </w:rPr>
        <w:drawing>
          <wp:inline distT="0" distB="0" distL="0" distR="0" wp14:anchorId="3CFF88D3" wp14:editId="3230E836">
            <wp:extent cx="5720316" cy="337052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377117"/>
                    </a:xfrm>
                    <a:prstGeom prst="rect">
                      <a:avLst/>
                    </a:prstGeom>
                    <a:noFill/>
                    <a:ln>
                      <a:noFill/>
                    </a:ln>
                  </pic:spPr>
                </pic:pic>
              </a:graphicData>
            </a:graphic>
          </wp:inline>
        </w:drawing>
      </w:r>
    </w:p>
    <w:p w:rsidR="0058798D" w:rsidRPr="0058798D" w:rsidRDefault="0058798D" w:rsidP="0058798D">
      <w:pPr>
        <w:pStyle w:val="AERtablesource"/>
      </w:pPr>
      <w:r w:rsidRPr="0058798D">
        <w:t>Source:</w:t>
      </w:r>
      <w:r w:rsidRPr="0058798D">
        <w:tab/>
        <w:t>AER, Final decision PTRM for Transend–Tribunal varied, 2009; Transend, Proposed PTRM, May 2014; Transend’s 2009-10 to 2012–13 annual regulatory accounts; AEMO, National Electricity forecasting reports 2012 and 2013; AER, TransGrid Transend Transitional determinations 2014–15, March 2014, p. 22; AER analysis.</w:t>
      </w:r>
    </w:p>
    <w:p w:rsidR="0058798D" w:rsidRPr="0058798D" w:rsidRDefault="0058798D" w:rsidP="0058798D">
      <w:pPr>
        <w:pStyle w:val="AERtablesource"/>
      </w:pPr>
      <w:r w:rsidRPr="0058798D">
        <w:t>Note:</w:t>
      </w:r>
      <w:r w:rsidRPr="0058798D">
        <w:tab/>
        <w:t>Actual prices for 2009–10 to 2012–13 are calculated by dividing actual annual revenue (as shown in Transend’s regulatory accounts) by actual annual energy delivered in Tasmania (as published by AEMO).</w:t>
      </w:r>
    </w:p>
    <w:p w:rsidR="0058798D" w:rsidRDefault="0058798D" w:rsidP="00026F2F">
      <w:pPr>
        <w:pStyle w:val="AERbodytext"/>
        <w:numPr>
          <w:ilvl w:val="0"/>
          <w:numId w:val="0"/>
        </w:numPr>
      </w:pPr>
      <w:r>
        <w:t>These proposed price paths are determined by proposed revenue (and expected energy demand) over the regulatory control period.  In assessing the businesses total revenue proposals over the next regulatory control period we are required to assess the following components of their proposed revenue:</w:t>
      </w:r>
    </w:p>
    <w:p w:rsidR="0058798D" w:rsidRDefault="0058798D" w:rsidP="0058798D">
      <w:pPr>
        <w:pStyle w:val="AERbulletlistfirststyle"/>
      </w:pPr>
      <w:r>
        <w:t xml:space="preserve">The required rate of return - </w:t>
      </w:r>
      <w:r w:rsidR="003B55E3">
        <w:t xml:space="preserve">an allowance </w:t>
      </w:r>
      <w:r>
        <w:t xml:space="preserve">determined by the value of the transmission businesses' asset base, multiplied by the required rate of return on these assets. The change in the asset base is influenced by expenditure (capex). </w:t>
      </w:r>
    </w:p>
    <w:p w:rsidR="0058798D" w:rsidRDefault="003B55E3" w:rsidP="0058798D">
      <w:pPr>
        <w:pStyle w:val="AERbulletlistfirststyle"/>
      </w:pPr>
      <w:r>
        <w:t>The return of capital - an allowance for the asset value depreciation</w:t>
      </w:r>
    </w:p>
    <w:p w:rsidR="003B55E3" w:rsidRDefault="003B55E3" w:rsidP="0058798D">
      <w:pPr>
        <w:pStyle w:val="AERbulletlistfirststyle"/>
      </w:pPr>
      <w:r>
        <w:t>Operating expenditure (opex)</w:t>
      </w:r>
      <w:r w:rsidR="0035591E">
        <w:t xml:space="preserve"> </w:t>
      </w:r>
      <w:r>
        <w:t>- an allowance for the costs of operating and maintaining the network</w:t>
      </w:r>
    </w:p>
    <w:p w:rsidR="003B55E3" w:rsidRDefault="003B55E3" w:rsidP="0058798D">
      <w:pPr>
        <w:pStyle w:val="AERbulletlistfirststyle"/>
      </w:pPr>
      <w:r>
        <w:t>Tax</w:t>
      </w:r>
      <w:r w:rsidR="0035591E">
        <w:t xml:space="preserve"> </w:t>
      </w:r>
      <w:r>
        <w:t>-</w:t>
      </w:r>
      <w:r w:rsidR="0035591E">
        <w:t xml:space="preserve"> </w:t>
      </w:r>
      <w:r>
        <w:t xml:space="preserve">an allowance to cover the businesses tax liability. </w:t>
      </w:r>
    </w:p>
    <w:p w:rsidR="00590B71" w:rsidRPr="00590B71" w:rsidRDefault="003B55E3" w:rsidP="00155100">
      <w:pPr>
        <w:pStyle w:val="AERbodytext"/>
      </w:pPr>
      <w:r>
        <w:t>O</w:t>
      </w:r>
      <w:r w:rsidR="0058798D">
        <w:t xml:space="preserve">ur analysis of the transmission businesses revenue proposals </w:t>
      </w:r>
      <w:r>
        <w:t xml:space="preserve">will necessarily consider each of the building blocks components and any inter-relationships between these components as we must decide the businesses revenues as a whole.  </w:t>
      </w:r>
      <w:r w:rsidR="00590B71">
        <w:t>In particular, i</w:t>
      </w:r>
      <w:r w:rsidR="00590B71" w:rsidRPr="00590B71">
        <w:t xml:space="preserve">n 2012 and 2013, the </w:t>
      </w:r>
      <w:r w:rsidR="008F7595">
        <w:t xml:space="preserve">National Electricity </w:t>
      </w:r>
      <w:r w:rsidR="00590B71" w:rsidRPr="00590B71">
        <w:t xml:space="preserve">Law </w:t>
      </w:r>
      <w:r w:rsidR="008F7595">
        <w:t xml:space="preserve">(NEL) </w:t>
      </w:r>
      <w:r w:rsidR="00590B71" w:rsidRPr="00590B71">
        <w:t xml:space="preserve">and </w:t>
      </w:r>
      <w:r w:rsidR="00C465BF">
        <w:t xml:space="preserve">National Electricity </w:t>
      </w:r>
      <w:r w:rsidR="00590B71" w:rsidRPr="00590B71">
        <w:t xml:space="preserve">Rules </w:t>
      </w:r>
      <w:r w:rsidR="00C465BF">
        <w:t xml:space="preserve">(NER) </w:t>
      </w:r>
      <w:r w:rsidR="00590B71" w:rsidRPr="00590B71">
        <w:t>were changed to provide greater emphasis on the N</w:t>
      </w:r>
      <w:r w:rsidR="007C7D43">
        <w:t xml:space="preserve">ational </w:t>
      </w:r>
      <w:r w:rsidR="00590B71" w:rsidRPr="00590B71">
        <w:t>E</w:t>
      </w:r>
      <w:r w:rsidR="007C7D43">
        <w:t xml:space="preserve">lectricity </w:t>
      </w:r>
      <w:r w:rsidR="00590B71" w:rsidRPr="00590B71">
        <w:t>O</w:t>
      </w:r>
      <w:r w:rsidR="007C7D43">
        <w:t>bjective (NEO)</w:t>
      </w:r>
      <w:r w:rsidR="00590B71" w:rsidRPr="00590B71">
        <w:t xml:space="preserve"> and greater discretion to us.</w:t>
      </w:r>
      <w:r w:rsidR="00590B71">
        <w:rPr>
          <w:rStyle w:val="FootnoteReference"/>
        </w:rPr>
        <w:footnoteReference w:id="8"/>
      </w:r>
      <w:r w:rsidR="00590B71" w:rsidRPr="00590B71">
        <w:t xml:space="preserve"> The amended Rules allow and </w:t>
      </w:r>
      <w:r w:rsidR="00590B71" w:rsidRPr="00590B71">
        <w:lastRenderedPageBreak/>
        <w:t>encourage us to approach decision making more holistically to meet overall objectives consistent with the NEO and RPPs</w:t>
      </w:r>
      <w:r w:rsidR="00590B71">
        <w:t>.</w:t>
      </w:r>
      <w:r w:rsidR="00590B71">
        <w:rPr>
          <w:rStyle w:val="FootnoteReference"/>
        </w:rPr>
        <w:footnoteReference w:id="9"/>
      </w:r>
      <w:r w:rsidR="00590B71" w:rsidRPr="00590B71">
        <w:t xml:space="preserve"> These changes also sought to give consumers a clearer and more prominent role in the decision making process.</w:t>
      </w:r>
      <w:r w:rsidR="00590B71">
        <w:rPr>
          <w:rStyle w:val="FootnoteReference"/>
        </w:rPr>
        <w:footnoteReference w:id="10"/>
      </w:r>
    </w:p>
    <w:p w:rsidR="00026F2F" w:rsidRDefault="003B55E3" w:rsidP="00026F2F">
      <w:pPr>
        <w:pStyle w:val="AERbodytext"/>
        <w:numPr>
          <w:ilvl w:val="0"/>
          <w:numId w:val="0"/>
        </w:numPr>
      </w:pPr>
      <w:r>
        <w:t xml:space="preserve">Indeed, our decision is guided by the </w:t>
      </w:r>
      <w:r w:rsidR="007C7D43">
        <w:t xml:space="preserve">NEL </w:t>
      </w:r>
      <w:r>
        <w:t>which requires us to specify the manner in which revenue components relate to each other. We must also specify how we have taken those interrelationships into account.</w:t>
      </w:r>
    </w:p>
    <w:p w:rsidR="006431D0" w:rsidRDefault="006431D0" w:rsidP="006431D0">
      <w:pPr>
        <w:pStyle w:val="HeadingBoldBlue"/>
        <w:numPr>
          <w:ilvl w:val="0"/>
          <w:numId w:val="49"/>
        </w:numPr>
      </w:pPr>
      <w:r>
        <w:t>Relative efficiency of the transmission businesses</w:t>
      </w:r>
    </w:p>
    <w:p w:rsidR="00C465BF" w:rsidRDefault="006431D0" w:rsidP="006431D0">
      <w:r w:rsidRPr="00535C8C">
        <w:t xml:space="preserve">Both TransGrid and </w:t>
      </w:r>
      <w:r w:rsidR="00D67F8C">
        <w:t>TasNetworks</w:t>
      </w:r>
      <w:r w:rsidR="00D67F8C" w:rsidRPr="00535C8C">
        <w:t xml:space="preserve"> </w:t>
      </w:r>
      <w:r w:rsidRPr="00535C8C">
        <w:t xml:space="preserve">have provided information </w:t>
      </w:r>
      <w:r w:rsidR="00C465BF">
        <w:t>which they submit</w:t>
      </w:r>
      <w:r w:rsidR="00C465BF" w:rsidRPr="00535C8C">
        <w:t xml:space="preserve"> </w:t>
      </w:r>
      <w:r w:rsidRPr="00535C8C">
        <w:t>demonstrate</w:t>
      </w:r>
      <w:r w:rsidR="00C465BF">
        <w:t>s</w:t>
      </w:r>
      <w:r w:rsidRPr="00535C8C">
        <w:t xml:space="preserve"> that they are relatively cost efficient compared to other transmission businesses.  </w:t>
      </w:r>
    </w:p>
    <w:p w:rsidR="006431D0" w:rsidRPr="00535C8C" w:rsidRDefault="006431D0" w:rsidP="006431D0">
      <w:r w:rsidRPr="00535C8C">
        <w:t xml:space="preserve">TransGrid state that </w:t>
      </w:r>
      <w:r w:rsidR="0019197D">
        <w:t>its</w:t>
      </w:r>
      <w:r w:rsidRPr="00535C8C">
        <w:t xml:space="preserve"> benchmarking analysis is based on average cost performance against selected categories of operating costs </w:t>
      </w:r>
      <w:r w:rsidR="00E5775B">
        <w:t>and is not</w:t>
      </w:r>
      <w:r w:rsidR="00E5775B" w:rsidRPr="00535C8C">
        <w:t xml:space="preserve"> </w:t>
      </w:r>
      <w:r w:rsidRPr="00535C8C">
        <w:t xml:space="preserve">attempting to establish </w:t>
      </w:r>
      <w:r w:rsidR="00E5775B">
        <w:t xml:space="preserve">whether these businesses are on the </w:t>
      </w:r>
      <w:r w:rsidRPr="00535C8C">
        <w:t xml:space="preserve">frontier </w:t>
      </w:r>
      <w:r w:rsidR="00E5775B">
        <w:t>of efficient performance</w:t>
      </w:r>
      <w:r w:rsidRPr="00535C8C">
        <w:t>.</w:t>
      </w:r>
      <w:r w:rsidRPr="00535C8C">
        <w:rPr>
          <w:rStyle w:val="AERsuperscript"/>
        </w:rPr>
        <w:footnoteReference w:id="11"/>
      </w:r>
      <w:r w:rsidRPr="00535C8C">
        <w:rPr>
          <w:rStyle w:val="AERsuperscript"/>
        </w:rPr>
        <w:t xml:space="preserve"> </w:t>
      </w:r>
      <w:r w:rsidRPr="00535C8C">
        <w:t xml:space="preserve">TransGrid indicates that for areas where cost performance does not compare favourably with other transmission businesses, it has undertaken </w:t>
      </w:r>
      <w:r>
        <w:t xml:space="preserve">some </w:t>
      </w:r>
      <w:r w:rsidRPr="00535C8C">
        <w:t xml:space="preserve">initiatives to reduce costs in the next period (e.g. payroll, corporate costs).        </w:t>
      </w:r>
    </w:p>
    <w:p w:rsidR="006431D0" w:rsidRPr="00535C8C" w:rsidRDefault="006431D0" w:rsidP="006431D0">
      <w:pPr>
        <w:pStyle w:val="AERbodytext"/>
        <w:numPr>
          <w:ilvl w:val="0"/>
          <w:numId w:val="49"/>
        </w:numPr>
      </w:pPr>
      <w:r>
        <w:t>As outlined in our expenditure assessment guideline</w:t>
      </w:r>
      <w:r w:rsidR="004F0ADD">
        <w:rPr>
          <w:rStyle w:val="FootnoteReference"/>
        </w:rPr>
        <w:footnoteReference w:id="12"/>
      </w:r>
      <w:r>
        <w:t xml:space="preserve"> and in our Framework and Approach Paper</w:t>
      </w:r>
      <w:r w:rsidR="00252FDD">
        <w:t>,</w:t>
      </w:r>
      <w:r>
        <w:t xml:space="preserve"> we intend to apply a range of assessment techniques as part of our assessment of the cost efficiency of the businesses.  These include </w:t>
      </w:r>
      <w:r w:rsidRPr="008B7C18">
        <w:t>benchmarking (economic techniques and category analysis)</w:t>
      </w:r>
      <w:r w:rsidR="00E5775B">
        <w:t xml:space="preserve">, the use of partial indicators, predictive models as well as </w:t>
      </w:r>
      <w:r w:rsidRPr="008B7C18">
        <w:t>detailed project review</w:t>
      </w:r>
      <w:r>
        <w:t>s</w:t>
      </w:r>
      <w:r w:rsidRPr="008B7C18">
        <w:t xml:space="preserve"> (including engineering review). </w:t>
      </w:r>
      <w:r w:rsidR="00C465BF">
        <w:t>TasNetworks has undertaken some econometric analysis to support the efficiency of its past opex.</w:t>
      </w:r>
      <w:r w:rsidR="00C465BF" w:rsidRPr="00535C8C">
        <w:t xml:space="preserve">  </w:t>
      </w:r>
      <w:r w:rsidRPr="00535C8C">
        <w:t>TransGrid comments that it has not attempted high level economic benchmarking, due to the small number of transmission businesses in the National Electricity Market, the lumpiness of capex and the difficulties of measuring outputs. While these concerns were raised by the industry in the development of our expenditure assessment guideline</w:t>
      </w:r>
      <w:r w:rsidR="00252FDD">
        <w:t>,</w:t>
      </w:r>
      <w:r w:rsidRPr="00535C8C">
        <w:t xml:space="preserve"> we consider that economic benchmarking </w:t>
      </w:r>
      <w:r>
        <w:t>will</w:t>
      </w:r>
      <w:r w:rsidRPr="00535C8C">
        <w:t xml:space="preserve"> provide valuable information regarding the relative </w:t>
      </w:r>
      <w:r>
        <w:t xml:space="preserve">total cost </w:t>
      </w:r>
      <w:r w:rsidRPr="00535C8C">
        <w:t xml:space="preserve">efficiency of the businesses. </w:t>
      </w:r>
    </w:p>
    <w:p w:rsidR="006431D0" w:rsidRPr="00351DC3" w:rsidRDefault="006431D0" w:rsidP="006431D0">
      <w:pPr>
        <w:pStyle w:val="AERbodytext"/>
        <w:numPr>
          <w:ilvl w:val="0"/>
          <w:numId w:val="49"/>
        </w:numPr>
      </w:pPr>
      <w:r>
        <w:t>We will publish our first annual benchmarking report on 30 September 2014 and we will take into account the results from this report as part of our assessment of the proposed expenditure</w:t>
      </w:r>
      <w:r w:rsidR="00C465BF">
        <w:t xml:space="preserve"> of each business</w:t>
      </w:r>
      <w:r>
        <w:t>.</w:t>
      </w:r>
    </w:p>
    <w:p w:rsidR="00872259" w:rsidRDefault="00872259" w:rsidP="00872259">
      <w:pPr>
        <w:pStyle w:val="HeadingBoldBlue"/>
      </w:pPr>
      <w:r>
        <w:t xml:space="preserve">Capital expenditure in 2009-14 for TransGrid and </w:t>
      </w:r>
      <w:r w:rsidR="00D67F8C">
        <w:t xml:space="preserve">TasNetworks </w:t>
      </w:r>
      <w:r>
        <w:t>has been lower than expected</w:t>
      </w:r>
    </w:p>
    <w:p w:rsidR="00201CD8" w:rsidRDefault="003B373F" w:rsidP="001D4553">
      <w:pPr>
        <w:pStyle w:val="AERbodytext"/>
        <w:numPr>
          <w:ilvl w:val="0"/>
          <w:numId w:val="49"/>
        </w:numPr>
        <w:rPr>
          <w:rStyle w:val="AERbody"/>
        </w:rPr>
      </w:pPr>
      <w:r>
        <w:t xml:space="preserve">TransGrid and </w:t>
      </w:r>
      <w:r w:rsidR="00D67F8C">
        <w:t xml:space="preserve">TasNetworks </w:t>
      </w:r>
      <w:r>
        <w:t xml:space="preserve">have underspent their capex allowances in the 2009-14 regulatory control period.  </w:t>
      </w:r>
      <w:r w:rsidR="00EF09BB" w:rsidRPr="00EF09BB">
        <w:t>This means that their opening RABs for the 2014–19 regulatory control period</w:t>
      </w:r>
      <w:r w:rsidR="00252FDD">
        <w:t>, while increasing, did not increase as much as was expected in the AER's previous decision</w:t>
      </w:r>
      <w:r w:rsidR="00EF09BB" w:rsidRPr="00EF09BB">
        <w:t xml:space="preserve">, which </w:t>
      </w:r>
      <w:r w:rsidR="00252FDD">
        <w:t>would</w:t>
      </w:r>
      <w:r w:rsidR="00252FDD" w:rsidRPr="00EF09BB">
        <w:t xml:space="preserve"> </w:t>
      </w:r>
      <w:r w:rsidR="00EF09BB" w:rsidRPr="00EF09BB">
        <w:t>generate lower future revenues than otherwise. It also suggests that the previous allowances were higher than necessary</w:t>
      </w:r>
      <w:r w:rsidR="00200955">
        <w:t>.</w:t>
      </w:r>
      <w:r w:rsidR="00EF09BB" w:rsidRPr="00EF09BB">
        <w:t xml:space="preserve"> This lower actual spending compared to the allowances we approved in part reflects that, for the first time in many years, demand for electrici</w:t>
      </w:r>
      <w:r w:rsidR="001A5B4B">
        <w:t xml:space="preserve">ty </w:t>
      </w:r>
      <w:r w:rsidR="00EF09BB" w:rsidRPr="00EF09BB">
        <w:t>has diminished</w:t>
      </w:r>
      <w:r w:rsidR="001A5B4B">
        <w:t>. We have seen</w:t>
      </w:r>
      <w:r w:rsidR="001A5B4B" w:rsidRPr="001A5B4B">
        <w:t xml:space="preserve"> </w:t>
      </w:r>
      <w:r w:rsidR="001A5B4B" w:rsidRPr="00EF09BB">
        <w:t xml:space="preserve">slower growth in peak demand </w:t>
      </w:r>
      <w:r w:rsidR="001A5B4B">
        <w:t xml:space="preserve">and </w:t>
      </w:r>
      <w:r w:rsidR="00E5775B">
        <w:t xml:space="preserve">significant </w:t>
      </w:r>
      <w:r w:rsidR="001A5B4B">
        <w:t>f</w:t>
      </w:r>
      <w:r w:rsidR="00EF09BB" w:rsidRPr="00EF09BB">
        <w:t>alls in total electricity consumption</w:t>
      </w:r>
      <w:r w:rsidR="00E5775B">
        <w:t xml:space="preserve"> in recent periods and this trend has continued</w:t>
      </w:r>
      <w:r w:rsidR="00EF09BB" w:rsidRPr="00EF09BB">
        <w:t xml:space="preserve">. </w:t>
      </w:r>
      <w:r w:rsidR="00610B7D" w:rsidRPr="00E138B7">
        <w:rPr>
          <w:rStyle w:val="AERbody"/>
        </w:rPr>
        <w:t xml:space="preserve">This ongoing trend reduction in demand should </w:t>
      </w:r>
      <w:r w:rsidR="00E5775B">
        <w:rPr>
          <w:rStyle w:val="AERbody"/>
        </w:rPr>
        <w:t>mean</w:t>
      </w:r>
      <w:r w:rsidR="00E5775B" w:rsidRPr="00E138B7">
        <w:rPr>
          <w:rStyle w:val="AERbody"/>
        </w:rPr>
        <w:t xml:space="preserve"> </w:t>
      </w:r>
      <w:r w:rsidR="00610B7D" w:rsidRPr="00E138B7">
        <w:rPr>
          <w:rStyle w:val="AERbody"/>
        </w:rPr>
        <w:t xml:space="preserve">lower </w:t>
      </w:r>
      <w:r w:rsidR="00E5775B">
        <w:rPr>
          <w:rStyle w:val="AERbody"/>
        </w:rPr>
        <w:t xml:space="preserve">overall </w:t>
      </w:r>
      <w:r w:rsidR="00610B7D" w:rsidRPr="00E138B7">
        <w:rPr>
          <w:rStyle w:val="AERbody"/>
        </w:rPr>
        <w:t>capex requirements for the next regulatory control period</w:t>
      </w:r>
      <w:r w:rsidR="00610B7D" w:rsidRPr="008568D8">
        <w:rPr>
          <w:rStyle w:val="AERbody"/>
        </w:rPr>
        <w:t xml:space="preserve">. </w:t>
      </w:r>
    </w:p>
    <w:p w:rsidR="00F54138" w:rsidRDefault="00252FDD" w:rsidP="001D4553">
      <w:pPr>
        <w:pStyle w:val="AERbodytext"/>
        <w:numPr>
          <w:ilvl w:val="0"/>
          <w:numId w:val="49"/>
        </w:numPr>
        <w:rPr>
          <w:rStyle w:val="AERbody"/>
        </w:rPr>
      </w:pPr>
      <w:r>
        <w:rPr>
          <w:rStyle w:val="AERbody"/>
        </w:rPr>
        <w:lastRenderedPageBreak/>
        <w:t xml:space="preserve">This has led to </w:t>
      </w:r>
      <w:r w:rsidR="006C63AE" w:rsidRPr="001D4553">
        <w:rPr>
          <w:rStyle w:val="AERbody"/>
        </w:rPr>
        <w:t xml:space="preserve">TransGrid and </w:t>
      </w:r>
      <w:r w:rsidR="00F23E72">
        <w:rPr>
          <w:rStyle w:val="AERbody"/>
        </w:rPr>
        <w:t>TasNetworks</w:t>
      </w:r>
      <w:r w:rsidR="00F23E72" w:rsidRPr="001D4553">
        <w:rPr>
          <w:rStyle w:val="AERbody"/>
        </w:rPr>
        <w:t xml:space="preserve"> </w:t>
      </w:r>
      <w:r w:rsidR="006C63AE" w:rsidRPr="001D4553">
        <w:rPr>
          <w:rStyle w:val="AERbody"/>
        </w:rPr>
        <w:t>propos</w:t>
      </w:r>
      <w:r>
        <w:rPr>
          <w:rStyle w:val="AERbody"/>
        </w:rPr>
        <w:t>ing</w:t>
      </w:r>
      <w:r w:rsidR="006C63AE" w:rsidRPr="001D4553">
        <w:rPr>
          <w:rStyle w:val="AERbody"/>
        </w:rPr>
        <w:t xml:space="preserve"> </w:t>
      </w:r>
      <w:r w:rsidR="00E5775B">
        <w:rPr>
          <w:rStyle w:val="AERbody"/>
        </w:rPr>
        <w:t xml:space="preserve">much </w:t>
      </w:r>
      <w:r w:rsidR="006C63AE" w:rsidRPr="001D4553">
        <w:rPr>
          <w:rStyle w:val="AERbody"/>
        </w:rPr>
        <w:t>lower demand driven capex for the next regulatory</w:t>
      </w:r>
      <w:r w:rsidR="001D4553">
        <w:rPr>
          <w:rStyle w:val="AERbody"/>
        </w:rPr>
        <w:t xml:space="preserve"> control period</w:t>
      </w:r>
      <w:r w:rsidR="002E136C">
        <w:rPr>
          <w:rStyle w:val="AERbody"/>
        </w:rPr>
        <w:t>.</w:t>
      </w:r>
    </w:p>
    <w:p w:rsidR="008568D8" w:rsidRDefault="00590B71" w:rsidP="001D4553">
      <w:pPr>
        <w:pStyle w:val="AERbodytext"/>
        <w:numPr>
          <w:ilvl w:val="0"/>
          <w:numId w:val="49"/>
        </w:numPr>
        <w:rPr>
          <w:rStyle w:val="AERbody"/>
        </w:rPr>
      </w:pPr>
      <w:r>
        <w:rPr>
          <w:rStyle w:val="AERbody"/>
        </w:rPr>
        <w:t>TransGrid has proposed a</w:t>
      </w:r>
      <w:r w:rsidR="001D4553">
        <w:rPr>
          <w:rStyle w:val="AERbody"/>
        </w:rPr>
        <w:t xml:space="preserve"> </w:t>
      </w:r>
      <w:r w:rsidR="00E5775B">
        <w:rPr>
          <w:rStyle w:val="AERbody"/>
        </w:rPr>
        <w:t xml:space="preserve">significant </w:t>
      </w:r>
      <w:r w:rsidR="001D4553">
        <w:rPr>
          <w:rStyle w:val="AERbody"/>
        </w:rPr>
        <w:t xml:space="preserve">increase in expenditure to replace </w:t>
      </w:r>
      <w:r w:rsidR="00F54138">
        <w:rPr>
          <w:rStyle w:val="AERbody"/>
        </w:rPr>
        <w:t xml:space="preserve">existing </w:t>
      </w:r>
      <w:r w:rsidR="001D4553">
        <w:rPr>
          <w:rStyle w:val="AERbody"/>
        </w:rPr>
        <w:t>assets on the basis that a significant proportion of assets are reaching the end of their lives.  At the same time</w:t>
      </w:r>
      <w:r w:rsidR="00E5775B">
        <w:rPr>
          <w:rStyle w:val="AERbody"/>
        </w:rPr>
        <w:t xml:space="preserve">, </w:t>
      </w:r>
      <w:r w:rsidR="001D4553">
        <w:rPr>
          <w:rStyle w:val="AERbody"/>
        </w:rPr>
        <w:t>TransGrid has proposed increases in maintenance costs.</w:t>
      </w:r>
      <w:r>
        <w:rPr>
          <w:rStyle w:val="AERbody"/>
        </w:rPr>
        <w:t xml:space="preserve">  Given the lower level of expected demand we will scrutinise proposed </w:t>
      </w:r>
      <w:r w:rsidR="00252FDD">
        <w:rPr>
          <w:rStyle w:val="AERbody"/>
        </w:rPr>
        <w:t xml:space="preserve">higher </w:t>
      </w:r>
      <w:r>
        <w:rPr>
          <w:rStyle w:val="AERbody"/>
        </w:rPr>
        <w:t>capex to replace existing assets</w:t>
      </w:r>
      <w:r w:rsidR="00725C1B">
        <w:rPr>
          <w:rStyle w:val="AERbody"/>
        </w:rPr>
        <w:t>. For example,</w:t>
      </w:r>
      <w:r w:rsidR="00252FDD">
        <w:rPr>
          <w:rStyle w:val="AERbody"/>
        </w:rPr>
        <w:t xml:space="preserve"> </w:t>
      </w:r>
      <w:r w:rsidR="00725C1B">
        <w:rPr>
          <w:rStyle w:val="AERbody"/>
        </w:rPr>
        <w:t>we would consider w</w:t>
      </w:r>
      <w:r w:rsidR="00252FDD">
        <w:rPr>
          <w:rStyle w:val="AERbody"/>
        </w:rPr>
        <w:t>hether</w:t>
      </w:r>
      <w:r>
        <w:rPr>
          <w:rStyle w:val="AERbody"/>
        </w:rPr>
        <w:t xml:space="preserve"> any </w:t>
      </w:r>
      <w:r w:rsidR="00756C60">
        <w:rPr>
          <w:rStyle w:val="AERbody"/>
        </w:rPr>
        <w:t xml:space="preserve">of these assets should be replaced by smaller assets (i.e. with a lower capacity) to deliver existing </w:t>
      </w:r>
      <w:r w:rsidR="00D03D56">
        <w:rPr>
          <w:rStyle w:val="AERbody"/>
        </w:rPr>
        <w:t>service levels.</w:t>
      </w:r>
    </w:p>
    <w:p w:rsidR="008568D8" w:rsidRDefault="00F23E72" w:rsidP="001D4553">
      <w:pPr>
        <w:pStyle w:val="AERbodytext"/>
        <w:numPr>
          <w:ilvl w:val="0"/>
          <w:numId w:val="49"/>
        </w:numPr>
        <w:rPr>
          <w:rStyle w:val="AERbody"/>
        </w:rPr>
      </w:pPr>
      <w:r>
        <w:rPr>
          <w:rStyle w:val="AERbody"/>
        </w:rPr>
        <w:t xml:space="preserve">TasNetworks </w:t>
      </w:r>
      <w:r w:rsidR="001556D5">
        <w:rPr>
          <w:rStyle w:val="AERbody"/>
        </w:rPr>
        <w:t xml:space="preserve">has indicated that it has reduced proposed expenditure on replacing assets from the current </w:t>
      </w:r>
      <w:r w:rsidR="007E5040">
        <w:rPr>
          <w:rStyle w:val="AERbody"/>
        </w:rPr>
        <w:t xml:space="preserve">regulatory control </w:t>
      </w:r>
      <w:r w:rsidR="001556D5">
        <w:rPr>
          <w:rStyle w:val="AERbody"/>
        </w:rPr>
        <w:t xml:space="preserve">period which was undertaken to clear a backlog of projects. In addition, </w:t>
      </w:r>
      <w:r w:rsidR="005138BA">
        <w:rPr>
          <w:rStyle w:val="AERbody"/>
        </w:rPr>
        <w:t>TasNetworks</w:t>
      </w:r>
      <w:r w:rsidR="001556D5">
        <w:rPr>
          <w:rStyle w:val="AERbody"/>
        </w:rPr>
        <w:t xml:space="preserve"> proposed extending the serviceable life of some assets in the next period.</w:t>
      </w:r>
      <w:r w:rsidR="002E136C">
        <w:rPr>
          <w:rStyle w:val="AERbody"/>
        </w:rPr>
        <w:t xml:space="preserve">  </w:t>
      </w:r>
      <w:r>
        <w:rPr>
          <w:rStyle w:val="AERbody"/>
        </w:rPr>
        <w:t xml:space="preserve">TasNetworks </w:t>
      </w:r>
      <w:r w:rsidR="002E136C">
        <w:rPr>
          <w:rStyle w:val="AERbody"/>
        </w:rPr>
        <w:t xml:space="preserve">proposes expenditure on business operational support that reflects the deferral of some projects to derive synergies from the merged </w:t>
      </w:r>
      <w:r w:rsidR="00725C1B">
        <w:rPr>
          <w:rStyle w:val="AERbody"/>
        </w:rPr>
        <w:t xml:space="preserve">transmission and distribution </w:t>
      </w:r>
      <w:r w:rsidR="002E136C">
        <w:rPr>
          <w:rStyle w:val="AERbody"/>
        </w:rPr>
        <w:t xml:space="preserve">business. </w:t>
      </w:r>
    </w:p>
    <w:p w:rsidR="00026F2F" w:rsidRDefault="007E5040" w:rsidP="00EF09BB">
      <w:r w:rsidRPr="007E5040">
        <w:t xml:space="preserve">Directlink </w:t>
      </w:r>
      <w:r w:rsidR="00201CD8">
        <w:t xml:space="preserve">submits it </w:t>
      </w:r>
      <w:r w:rsidRPr="007E5040">
        <w:t>has overspent on its capex allowance for the 2006-2015 regulatory control period</w:t>
      </w:r>
      <w:r w:rsidR="008568D8">
        <w:t xml:space="preserve"> </w:t>
      </w:r>
      <w:r w:rsidR="00F53C40">
        <w:t xml:space="preserve">mainly </w:t>
      </w:r>
      <w:r w:rsidR="008568D8">
        <w:t>due to</w:t>
      </w:r>
      <w:r w:rsidR="00F53C40">
        <w:t xml:space="preserve"> the need to replace assets and allocation of asset management costs to Directlink.</w:t>
      </w:r>
      <w:r w:rsidR="00F53C40">
        <w:rPr>
          <w:rStyle w:val="FootnoteReference"/>
        </w:rPr>
        <w:footnoteReference w:id="13"/>
      </w:r>
      <w:r w:rsidR="00F53C40">
        <w:t xml:space="preserve"> </w:t>
      </w:r>
      <w:r w:rsidRPr="007E5040">
        <w:t xml:space="preserve"> </w:t>
      </w:r>
      <w:r w:rsidR="005711CB">
        <w:rPr>
          <w:rStyle w:val="AERbody"/>
        </w:rPr>
        <w:t>Figures</w:t>
      </w:r>
      <w:r>
        <w:rPr>
          <w:rStyle w:val="AERbody"/>
        </w:rPr>
        <w:t xml:space="preserve">, </w:t>
      </w:r>
      <w:r w:rsidR="004F0ADD">
        <w:rPr>
          <w:rStyle w:val="AERbody"/>
        </w:rPr>
        <w:t>3, 4 and 5</w:t>
      </w:r>
      <w:r w:rsidR="001A5B4B" w:rsidRPr="00590B71">
        <w:rPr>
          <w:rStyle w:val="AERbody"/>
        </w:rPr>
        <w:t xml:space="preserve"> </w:t>
      </w:r>
      <w:r w:rsidR="008568D8">
        <w:t>show</w:t>
      </w:r>
      <w:r w:rsidR="00EF09BB" w:rsidRPr="00EF09BB">
        <w:t xml:space="preserve"> the growth in </w:t>
      </w:r>
      <w:r w:rsidR="001A5B4B">
        <w:t>TransGrid</w:t>
      </w:r>
      <w:r>
        <w:t xml:space="preserve">, </w:t>
      </w:r>
      <w:r w:rsidR="00F23E72">
        <w:t xml:space="preserve">TasNetworks </w:t>
      </w:r>
      <w:r>
        <w:t>and Directlink's</w:t>
      </w:r>
      <w:r w:rsidR="001A5B4B">
        <w:t xml:space="preserve"> </w:t>
      </w:r>
      <w:r>
        <w:t>RAB</w:t>
      </w:r>
      <w:r w:rsidR="003D3A3C">
        <w:t xml:space="preserve"> values </w:t>
      </w:r>
      <w:r w:rsidR="00EF09BB" w:rsidRPr="00EF09BB">
        <w:t xml:space="preserve">over the last 10 years and </w:t>
      </w:r>
      <w:r>
        <w:t>their</w:t>
      </w:r>
      <w:r w:rsidRPr="00EF09BB">
        <w:t xml:space="preserve"> </w:t>
      </w:r>
      <w:r w:rsidR="00EF09BB" w:rsidRPr="00EF09BB">
        <w:t xml:space="preserve">proposed further growth for the </w:t>
      </w:r>
      <w:r w:rsidR="00DF536D">
        <w:t xml:space="preserve">next </w:t>
      </w:r>
      <w:r w:rsidR="00EF09BB" w:rsidRPr="00EF09BB">
        <w:t>regulatory control period.</w:t>
      </w:r>
    </w:p>
    <w:p w:rsidR="00B26011" w:rsidRDefault="00EF09BB" w:rsidP="00872259">
      <w:pPr>
        <w:pStyle w:val="Caption"/>
      </w:pPr>
      <w:r w:rsidRPr="00EF09BB">
        <w:t xml:space="preserve"> </w:t>
      </w:r>
      <w:r w:rsidR="003D3A3C">
        <w:t>Figure 3</w:t>
      </w:r>
      <w:r w:rsidR="00766E77">
        <w:tab/>
      </w:r>
      <w:r w:rsidR="003D3A3C">
        <w:t>TransGrid - Regulatory Asset Base values ($ nominal)</w:t>
      </w:r>
    </w:p>
    <w:p w:rsidR="00B26011" w:rsidRDefault="003D3A3C" w:rsidP="00EF09BB">
      <w:r w:rsidRPr="003D3A3C">
        <w:rPr>
          <w:noProof/>
          <w:lang w:eastAsia="en-AU"/>
        </w:rPr>
        <w:drawing>
          <wp:inline distT="0" distB="0" distL="0" distR="0" wp14:anchorId="19492621" wp14:editId="2648708B">
            <wp:extent cx="5644444" cy="33753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44863" cy="3375628"/>
                    </a:xfrm>
                    <a:prstGeom prst="rect">
                      <a:avLst/>
                    </a:prstGeom>
                    <a:noFill/>
                    <a:ln>
                      <a:noFill/>
                    </a:ln>
                  </pic:spPr>
                </pic:pic>
              </a:graphicData>
            </a:graphic>
          </wp:inline>
        </w:drawing>
      </w:r>
    </w:p>
    <w:p w:rsidR="003D3A3C" w:rsidRDefault="003D3A3C" w:rsidP="003D3A3C">
      <w:pPr>
        <w:pStyle w:val="AERtablesource"/>
      </w:pPr>
      <w:r>
        <w:t>Source:</w:t>
      </w:r>
      <w:r>
        <w:tab/>
      </w:r>
      <w:r w:rsidRPr="002F15B5">
        <w:t xml:space="preserve">AER, Final decision PTRM for </w:t>
      </w:r>
      <w:r>
        <w:t>TransGrid</w:t>
      </w:r>
      <w:r w:rsidRPr="002F15B5">
        <w:t>–Tribunal varied</w:t>
      </w:r>
      <w:r>
        <w:t xml:space="preserve">, 2009; </w:t>
      </w:r>
      <w:r w:rsidRPr="002F15B5">
        <w:t xml:space="preserve">AER, Final decision </w:t>
      </w:r>
      <w:r>
        <w:t>RFM</w:t>
      </w:r>
      <w:r w:rsidRPr="002F15B5">
        <w:t xml:space="preserve"> for </w:t>
      </w:r>
      <w:r>
        <w:t>TransGrid, 2009; TransGrid, Proposed PTRM, May 2014; TransGrid, Proposed RFM, May 2014; TransGrid’s annual regulatory accounts; AER analysis.</w:t>
      </w:r>
    </w:p>
    <w:p w:rsidR="00B26011" w:rsidRDefault="00766E77" w:rsidP="003D3A3C">
      <w:pPr>
        <w:pStyle w:val="Caption"/>
      </w:pPr>
      <w:r>
        <w:lastRenderedPageBreak/>
        <w:t>Figure 4</w:t>
      </w:r>
      <w:r>
        <w:tab/>
      </w:r>
      <w:r w:rsidR="00F23E72">
        <w:t>TasNetworks</w:t>
      </w:r>
      <w:r w:rsidR="003D3A3C">
        <w:t xml:space="preserve"> - Regulatory Asset Base values ($ nominal)</w:t>
      </w:r>
    </w:p>
    <w:p w:rsidR="00B26011" w:rsidRDefault="003D3A3C" w:rsidP="00EF09BB">
      <w:r w:rsidRPr="003D3A3C">
        <w:rPr>
          <w:noProof/>
          <w:lang w:eastAsia="en-AU"/>
        </w:rPr>
        <w:drawing>
          <wp:inline distT="0" distB="0" distL="0" distR="0" wp14:anchorId="441252F2" wp14:editId="0E04EE93">
            <wp:extent cx="5565421" cy="360115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65835" cy="3601424"/>
                    </a:xfrm>
                    <a:prstGeom prst="rect">
                      <a:avLst/>
                    </a:prstGeom>
                    <a:noFill/>
                    <a:ln>
                      <a:noFill/>
                    </a:ln>
                  </pic:spPr>
                </pic:pic>
              </a:graphicData>
            </a:graphic>
          </wp:inline>
        </w:drawing>
      </w:r>
    </w:p>
    <w:p w:rsidR="003D3A3C" w:rsidRDefault="003D3A3C" w:rsidP="003D3A3C">
      <w:pPr>
        <w:pStyle w:val="AERtablesource"/>
      </w:pPr>
      <w:r>
        <w:t>Source:</w:t>
      </w:r>
      <w:r>
        <w:tab/>
      </w:r>
      <w:r w:rsidRPr="002F15B5">
        <w:t xml:space="preserve">AER, Final decision PTRM for </w:t>
      </w:r>
      <w:r>
        <w:t>Transend</w:t>
      </w:r>
      <w:r w:rsidRPr="002F15B5">
        <w:t>–Tribunal varied</w:t>
      </w:r>
      <w:r>
        <w:t xml:space="preserve">, 2009; </w:t>
      </w:r>
      <w:r w:rsidRPr="002F15B5">
        <w:t xml:space="preserve">AER, Final decision </w:t>
      </w:r>
      <w:r>
        <w:t>RFM</w:t>
      </w:r>
      <w:r w:rsidRPr="002F15B5">
        <w:t xml:space="preserve"> for </w:t>
      </w:r>
      <w:r>
        <w:t>Transend, 2009; Transend, Proposed PTRM, May 2014; Transend, Proposed RFM, May 2014; Transend’s annual regulatory accounts; AER analysis.</w:t>
      </w:r>
    </w:p>
    <w:p w:rsidR="00F47C45" w:rsidRPr="00F47C45" w:rsidRDefault="00766E77" w:rsidP="00F47C45">
      <w:pPr>
        <w:pStyle w:val="Caption"/>
      </w:pPr>
      <w:r>
        <w:t>Figure 5</w:t>
      </w:r>
      <w:r>
        <w:tab/>
      </w:r>
      <w:r w:rsidR="00F47C45">
        <w:t>Directlink</w:t>
      </w:r>
      <w:r w:rsidR="00F47C45" w:rsidRPr="00F47C45">
        <w:t xml:space="preserve"> - Regulatory Asset Base values ($ nominal)</w:t>
      </w:r>
    </w:p>
    <w:p w:rsidR="003B373F" w:rsidRDefault="003B373F" w:rsidP="0074598F">
      <w:pPr>
        <w:pStyle w:val="AERbodytext"/>
      </w:pPr>
      <w:r>
        <w:t xml:space="preserve"> </w:t>
      </w:r>
      <w:r w:rsidR="00F47C45" w:rsidRPr="00F47C45">
        <w:rPr>
          <w:noProof/>
          <w:lang w:eastAsia="en-AU"/>
        </w:rPr>
        <w:drawing>
          <wp:inline distT="0" distB="0" distL="0" distR="0" wp14:anchorId="6E413D04" wp14:editId="57CEA475">
            <wp:extent cx="5652000" cy="306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3160" cy="3060628"/>
                    </a:xfrm>
                    <a:prstGeom prst="rect">
                      <a:avLst/>
                    </a:prstGeom>
                    <a:noFill/>
                    <a:ln>
                      <a:noFill/>
                    </a:ln>
                  </pic:spPr>
                </pic:pic>
              </a:graphicData>
            </a:graphic>
          </wp:inline>
        </w:drawing>
      </w:r>
    </w:p>
    <w:p w:rsidR="00F47C45" w:rsidRPr="00590B71" w:rsidRDefault="00F47C45" w:rsidP="00F47C45">
      <w:pPr>
        <w:pStyle w:val="AERtablesource"/>
      </w:pPr>
      <w:r w:rsidRPr="00F47C45">
        <w:t>Source:</w:t>
      </w:r>
      <w:r w:rsidRPr="00F47C45">
        <w:tab/>
        <w:t xml:space="preserve">AER, Final decision PTRM for Directlink, 2005; Directlink, Proposed PTRM, May 2014; Directlink, Proposed RFM, May 2014; </w:t>
      </w:r>
      <w:r w:rsidRPr="00590B71">
        <w:t>Directlink’s annual regulatory accounts; AER analysis.</w:t>
      </w:r>
    </w:p>
    <w:p w:rsidR="00D50BA1" w:rsidRPr="00D50BA1" w:rsidRDefault="00B55C98" w:rsidP="00D50BA1">
      <w:pPr>
        <w:pStyle w:val="HeadingBoldBlue"/>
        <w:rPr>
          <w:rStyle w:val="AERtextblue"/>
        </w:rPr>
      </w:pPr>
      <w:r>
        <w:rPr>
          <w:rStyle w:val="AERtextblue"/>
        </w:rPr>
        <w:lastRenderedPageBreak/>
        <w:t xml:space="preserve">Is the proposed level of </w:t>
      </w:r>
      <w:r w:rsidR="006431D0">
        <w:rPr>
          <w:rStyle w:val="AERtextblue"/>
        </w:rPr>
        <w:t xml:space="preserve">opex </w:t>
      </w:r>
      <w:r>
        <w:rPr>
          <w:rStyle w:val="AERtextblue"/>
        </w:rPr>
        <w:t>efficient?</w:t>
      </w:r>
      <w:r w:rsidR="00D50BA1" w:rsidRPr="00D50BA1">
        <w:rPr>
          <w:rStyle w:val="AERtextblue"/>
        </w:rPr>
        <w:t xml:space="preserve"> </w:t>
      </w:r>
    </w:p>
    <w:p w:rsidR="00D50BA1" w:rsidRPr="00D50BA1" w:rsidRDefault="00D50BA1" w:rsidP="00D50BA1">
      <w:pPr>
        <w:numPr>
          <w:ilvl w:val="0"/>
          <w:numId w:val="2"/>
        </w:numPr>
      </w:pPr>
      <w:r w:rsidRPr="00D50BA1">
        <w:t xml:space="preserve">TransGrid and Directlink have proposed higher opex for the </w:t>
      </w:r>
      <w:r w:rsidR="006A738D">
        <w:t>next</w:t>
      </w:r>
      <w:r w:rsidRPr="00D50BA1">
        <w:t xml:space="preserve"> regulatory control period compared to the current regulatory control period.   TransGrid </w:t>
      </w:r>
      <w:r w:rsidR="00D15FCC">
        <w:t xml:space="preserve">and </w:t>
      </w:r>
      <w:r w:rsidR="00C65FC2">
        <w:t xml:space="preserve">TasNetworks </w:t>
      </w:r>
      <w:r w:rsidRPr="00D50BA1">
        <w:t>ha</w:t>
      </w:r>
      <w:r w:rsidR="00D15FCC">
        <w:t>ve</w:t>
      </w:r>
      <w:r w:rsidRPr="00D50BA1">
        <w:t xml:space="preserve"> spent less than the</w:t>
      </w:r>
      <w:r w:rsidR="007E5040">
        <w:t>ir</w:t>
      </w:r>
      <w:r w:rsidRPr="00D50BA1">
        <w:t xml:space="preserve"> opex allowance</w:t>
      </w:r>
      <w:r w:rsidR="007E5040">
        <w:t>s</w:t>
      </w:r>
      <w:r w:rsidRPr="00D50BA1">
        <w:t xml:space="preserve"> over the </w:t>
      </w:r>
      <w:r w:rsidR="00DC1D02">
        <w:t xml:space="preserve">current </w:t>
      </w:r>
      <w:r w:rsidRPr="00D50BA1">
        <w:t xml:space="preserve">regulatory control period resulting in a significant carryover of opex efficiencies into the next regulatory control period.  </w:t>
      </w:r>
      <w:r w:rsidR="00D15FCC">
        <w:t xml:space="preserve">However, </w:t>
      </w:r>
      <w:r w:rsidRPr="00D50BA1">
        <w:t xml:space="preserve">TransGrid's proposed increase in forecast opex outweighs the reduction in opex </w:t>
      </w:r>
      <w:r w:rsidR="00D647FC">
        <w:t xml:space="preserve">attributable to those efficiencies.  </w:t>
      </w:r>
      <w:r w:rsidRPr="00D50BA1">
        <w:t xml:space="preserve">We will </w:t>
      </w:r>
      <w:r w:rsidR="00E5775B">
        <w:t xml:space="preserve">closely </w:t>
      </w:r>
      <w:r w:rsidRPr="00D50BA1">
        <w:t>scrutinise the basis for this significant increase and seek stakeholder comments o</w:t>
      </w:r>
      <w:r w:rsidR="00AE7C25">
        <w:t xml:space="preserve">n this aspect of </w:t>
      </w:r>
      <w:r w:rsidR="00201CD8">
        <w:t>TransGrid's proposal</w:t>
      </w:r>
      <w:r w:rsidR="00AE7C25">
        <w:t>.</w:t>
      </w:r>
      <w:r w:rsidRPr="00D50BA1">
        <w:t xml:space="preserve">  </w:t>
      </w:r>
    </w:p>
    <w:p w:rsidR="00FF7353" w:rsidRDefault="00D50BA1" w:rsidP="00D50BA1">
      <w:r w:rsidRPr="00D50BA1">
        <w:t xml:space="preserve">TransGrid has </w:t>
      </w:r>
      <w:r w:rsidR="008F7595">
        <w:t xml:space="preserve">also </w:t>
      </w:r>
      <w:r w:rsidRPr="00D50BA1">
        <w:t xml:space="preserve">proposed a significant increase in forecast maintenance costs, </w:t>
      </w:r>
      <w:r w:rsidR="00201CD8">
        <w:t>at the same time that it has</w:t>
      </w:r>
      <w:r w:rsidR="00B27D9D">
        <w:t xml:space="preserve"> </w:t>
      </w:r>
      <w:r w:rsidR="00201CD8" w:rsidRPr="00D50BA1">
        <w:t>propose</w:t>
      </w:r>
      <w:r w:rsidR="00201CD8">
        <w:t>d</w:t>
      </w:r>
      <w:r w:rsidR="00201CD8" w:rsidRPr="00D50BA1">
        <w:t xml:space="preserve"> </w:t>
      </w:r>
      <w:r w:rsidRPr="00D50BA1">
        <w:t xml:space="preserve">to replace a significant proportion of assets. </w:t>
      </w:r>
      <w:r w:rsidR="00AE295A">
        <w:t>TransGrid has proposed this</w:t>
      </w:r>
      <w:r w:rsidR="00AE295A" w:rsidRPr="00D50BA1">
        <w:t xml:space="preserve"> </w:t>
      </w:r>
      <w:r w:rsidRPr="00D50BA1">
        <w:t xml:space="preserve">asset replacement program </w:t>
      </w:r>
      <w:r w:rsidR="00AE295A">
        <w:t>in order</w:t>
      </w:r>
      <w:r w:rsidR="00AE295A" w:rsidRPr="00D50BA1">
        <w:t xml:space="preserve"> </w:t>
      </w:r>
      <w:r w:rsidRPr="00D50BA1">
        <w:t xml:space="preserve">to maintain the average asset life of its assets over the next regulatory control period.  We seek stakeholder views on </w:t>
      </w:r>
      <w:r w:rsidR="00AE295A">
        <w:t xml:space="preserve">these </w:t>
      </w:r>
      <w:r w:rsidRPr="00D50BA1">
        <w:t>aspects of TransGrid's opex forecasts and whether the</w:t>
      </w:r>
      <w:bookmarkStart w:id="12" w:name="_GoBack"/>
      <w:bookmarkEnd w:id="12"/>
      <w:r w:rsidRPr="00D50BA1">
        <w:t xml:space="preserve">se forecasts </w:t>
      </w:r>
      <w:r w:rsidR="00AE295A">
        <w:t>are</w:t>
      </w:r>
      <w:r w:rsidRPr="00D50BA1">
        <w:t xml:space="preserve"> supported by </w:t>
      </w:r>
      <w:r w:rsidR="00AE295A">
        <w:t>its</w:t>
      </w:r>
      <w:r w:rsidR="00AE295A" w:rsidRPr="00D50BA1">
        <w:t xml:space="preserve"> </w:t>
      </w:r>
      <w:r w:rsidRPr="00D50BA1">
        <w:t xml:space="preserve">proposal.  </w:t>
      </w:r>
    </w:p>
    <w:p w:rsidR="00F23E72" w:rsidRDefault="00FF7353" w:rsidP="00D50BA1">
      <w:r w:rsidRPr="00D50BA1">
        <w:t xml:space="preserve">Directlink has forecast additional opex </w:t>
      </w:r>
      <w:r w:rsidR="00B55C98">
        <w:t>primarily as a result of introducing new processes and procedures and for increased costs of insurance following a fire at its Mull</w:t>
      </w:r>
      <w:r w:rsidR="00DD0BE4">
        <w:t>umbimby convert station in 2012</w:t>
      </w:r>
      <w:r w:rsidR="00D647FC">
        <w:t>.</w:t>
      </w:r>
      <w:r w:rsidR="00DD0BE4">
        <w:rPr>
          <w:rStyle w:val="FootnoteReference"/>
        </w:rPr>
        <w:footnoteReference w:id="14"/>
      </w:r>
      <w:r w:rsidR="00DD0BE4">
        <w:t xml:space="preserve"> </w:t>
      </w:r>
      <w:r w:rsidR="00B55C98">
        <w:t xml:space="preserve"> </w:t>
      </w:r>
      <w:r w:rsidR="008753E9">
        <w:t xml:space="preserve"> </w:t>
      </w:r>
      <w:r w:rsidR="00B55C98">
        <w:t xml:space="preserve"> </w:t>
      </w:r>
    </w:p>
    <w:p w:rsidR="00D50BA1" w:rsidRPr="00D50BA1" w:rsidRDefault="00F23E72" w:rsidP="00D50BA1">
      <w:r>
        <w:t>TasNetworks</w:t>
      </w:r>
      <w:r w:rsidRPr="00D50BA1">
        <w:t xml:space="preserve"> </w:t>
      </w:r>
      <w:r w:rsidR="00D50BA1" w:rsidRPr="00D50BA1">
        <w:t xml:space="preserve">is proposing an 11 per cent real reduction in opex between the current and </w:t>
      </w:r>
      <w:r w:rsidR="00146E0F">
        <w:t xml:space="preserve">the </w:t>
      </w:r>
      <w:r w:rsidR="00D50BA1" w:rsidRPr="00D50BA1">
        <w:t xml:space="preserve">next regulatory control periods.  This is despite the growing asset base which requires </w:t>
      </w:r>
      <w:r>
        <w:t>TasNetworks</w:t>
      </w:r>
      <w:r w:rsidRPr="00D50BA1">
        <w:t xml:space="preserve"> </w:t>
      </w:r>
      <w:r w:rsidR="00D50BA1" w:rsidRPr="00D50BA1">
        <w:t>to service more assets (incur</w:t>
      </w:r>
      <w:r w:rsidR="001556D5">
        <w:t>r</w:t>
      </w:r>
      <w:r w:rsidR="008753E9">
        <w:t>ing</w:t>
      </w:r>
      <w:r w:rsidR="00D50BA1" w:rsidRPr="00D50BA1">
        <w:t xml:space="preserve"> additional maintenance and operating costs).     </w:t>
      </w:r>
    </w:p>
    <w:p w:rsidR="001D5804" w:rsidRDefault="00ED4637" w:rsidP="001D5804">
      <w:pPr>
        <w:pStyle w:val="HeadingBoldBlue"/>
      </w:pPr>
      <w:r>
        <w:t xml:space="preserve">Regulated </w:t>
      </w:r>
      <w:r w:rsidR="000C413B">
        <w:t>rate of return</w:t>
      </w:r>
    </w:p>
    <w:p w:rsidR="0093105E" w:rsidRDefault="0093105E" w:rsidP="00F41289">
      <w:r w:rsidRPr="0093105E">
        <w:t xml:space="preserve">The </w:t>
      </w:r>
      <w:r w:rsidR="004F0ADD">
        <w:t xml:space="preserve">regulated </w:t>
      </w:r>
      <w:r w:rsidRPr="0093105E">
        <w:t xml:space="preserve">rate of return </w:t>
      </w:r>
      <w:r w:rsidR="00AE295A">
        <w:t xml:space="preserve">for each business is </w:t>
      </w:r>
      <w:r w:rsidR="004F0ADD">
        <w:t xml:space="preserve">what we calculate </w:t>
      </w:r>
      <w:r w:rsidR="00AE295A">
        <w:t>each business needs</w:t>
      </w:r>
      <w:r w:rsidR="004F0ADD">
        <w:t xml:space="preserve"> to adequately fund </w:t>
      </w:r>
      <w:r w:rsidR="00AE295A">
        <w:t>its</w:t>
      </w:r>
      <w:r w:rsidR="004F0ADD">
        <w:t xml:space="preserve"> investments. </w:t>
      </w:r>
      <w:r w:rsidRPr="0093105E">
        <w:t xml:space="preserve">After extensive consultation, we have developed a guideline on how to determine the </w:t>
      </w:r>
      <w:r w:rsidR="00146E0F">
        <w:t xml:space="preserve">required </w:t>
      </w:r>
      <w:r w:rsidRPr="0093105E">
        <w:t>rate of return.</w:t>
      </w:r>
      <w:r>
        <w:rPr>
          <w:rStyle w:val="FootnoteReference"/>
        </w:rPr>
        <w:footnoteReference w:id="15"/>
      </w:r>
      <w:r w:rsidRPr="0093105E">
        <w:t xml:space="preserve"> </w:t>
      </w:r>
    </w:p>
    <w:p w:rsidR="00F41289" w:rsidRPr="00F41289" w:rsidRDefault="00F23E72" w:rsidP="00F41289">
      <w:r>
        <w:t xml:space="preserve">TasNetworks </w:t>
      </w:r>
      <w:r w:rsidR="00F41289">
        <w:t xml:space="preserve">has proposed to apply our rate of return guideline to calculate the required rate of return.  </w:t>
      </w:r>
      <w:r w:rsidR="0093105E">
        <w:t xml:space="preserve">TransGrid and </w:t>
      </w:r>
      <w:r w:rsidR="004F0ADD">
        <w:t>Directlink</w:t>
      </w:r>
      <w:r w:rsidR="004F0ADD" w:rsidRPr="00F41289">
        <w:t xml:space="preserve"> </w:t>
      </w:r>
      <w:r w:rsidR="0093105E" w:rsidRPr="00F41289">
        <w:t xml:space="preserve">have used methods other than those set out </w:t>
      </w:r>
      <w:r w:rsidR="00AE295A">
        <w:t>in</w:t>
      </w:r>
      <w:r w:rsidR="00AE295A" w:rsidRPr="00F41289">
        <w:t xml:space="preserve"> </w:t>
      </w:r>
      <w:r w:rsidR="0093105E" w:rsidRPr="00F41289">
        <w:t>our rate of return guideline.</w:t>
      </w:r>
      <w:r w:rsidR="0093105E">
        <w:t xml:space="preserve"> </w:t>
      </w:r>
      <w:r w:rsidR="00AE295A">
        <w:t>T</w:t>
      </w:r>
      <w:r w:rsidR="00F41289" w:rsidRPr="00F41289">
        <w:t xml:space="preserve">he </w:t>
      </w:r>
      <w:r w:rsidR="003A0FD5">
        <w:t xml:space="preserve">required </w:t>
      </w:r>
      <w:r w:rsidR="00F41289" w:rsidRPr="00F41289">
        <w:t>rate of return of 8.8</w:t>
      </w:r>
      <w:r w:rsidR="00F41289">
        <w:t>3 per cent</w:t>
      </w:r>
      <w:r w:rsidR="00F41289" w:rsidRPr="00F41289">
        <w:t xml:space="preserve"> </w:t>
      </w:r>
      <w:r w:rsidR="00F41289">
        <w:t>and 8.06 per cent proposed by TransGrid</w:t>
      </w:r>
      <w:r w:rsidR="00F41289" w:rsidRPr="00F41289">
        <w:t xml:space="preserve"> </w:t>
      </w:r>
      <w:r w:rsidR="00F41289">
        <w:t xml:space="preserve">and Directlink respectively </w:t>
      </w:r>
      <w:r w:rsidR="00F41289" w:rsidRPr="00F41289">
        <w:t xml:space="preserve">is lower than </w:t>
      </w:r>
      <w:r w:rsidR="004F0ADD">
        <w:t xml:space="preserve">what they received </w:t>
      </w:r>
      <w:r w:rsidR="00F41289" w:rsidRPr="00F41289">
        <w:t xml:space="preserve">in the </w:t>
      </w:r>
      <w:r w:rsidR="00DF7490">
        <w:t>current</w:t>
      </w:r>
      <w:r w:rsidR="00F41289" w:rsidRPr="00F41289">
        <w:t xml:space="preserve"> r</w:t>
      </w:r>
      <w:r w:rsidR="00333E52">
        <w:t>egulatory control period (10.02 per cent for TransGrid and (8.32 per cent</w:t>
      </w:r>
      <w:r w:rsidR="00DF7490">
        <w:t xml:space="preserve"> for </w:t>
      </w:r>
      <w:r w:rsidR="00542DF9">
        <w:t>Directlink</w:t>
      </w:r>
      <w:r w:rsidR="00F41289" w:rsidRPr="00F41289">
        <w:t>)</w:t>
      </w:r>
      <w:r w:rsidR="000C413B">
        <w:t>.</w:t>
      </w:r>
      <w:r w:rsidR="000C413B" w:rsidRPr="00B00DE6">
        <w:t xml:space="preserve"> </w:t>
      </w:r>
      <w:r w:rsidR="000C413B">
        <w:t>We are interested in your views about what approach would best achieve the rate of return objective—to provide a rate of return commensurate with a benchmark efficient entity with a similar risk profile to a distributor.</w:t>
      </w:r>
      <w:r w:rsidR="000C413B">
        <w:rPr>
          <w:rStyle w:val="FootnoteReference"/>
        </w:rPr>
        <w:footnoteReference w:id="16"/>
      </w:r>
      <w:r w:rsidR="000C413B">
        <w:t xml:space="preserve"> While we consider our guideline sets out an appropriate approach, we do not wish to preclude submissions proposing alternative approaches to both our guideline and the distributors' proposals.</w:t>
      </w:r>
      <w:r w:rsidR="00542DF9">
        <w:t xml:space="preserve"> </w:t>
      </w:r>
    </w:p>
    <w:p w:rsidR="00707835" w:rsidRPr="00707835" w:rsidRDefault="00F41289" w:rsidP="00707835">
      <w:r w:rsidRPr="00F41289">
        <w:t>The investment environment has substantially improved since our last reset decision</w:t>
      </w:r>
      <w:r w:rsidR="00941018">
        <w:t xml:space="preserve"> for TransGrid and </w:t>
      </w:r>
      <w:r w:rsidR="00F23E72">
        <w:t>TasNetworks</w:t>
      </w:r>
      <w:r w:rsidRPr="00F41289">
        <w:t xml:space="preserve">, made </w:t>
      </w:r>
      <w:r w:rsidR="00941018">
        <w:t>during 2008 and early 2009. These</w:t>
      </w:r>
      <w:r w:rsidRPr="00F41289">
        <w:t xml:space="preserve"> decision</w:t>
      </w:r>
      <w:r w:rsidR="00941018">
        <w:t>s were</w:t>
      </w:r>
      <w:r w:rsidRPr="00F41289">
        <w:t xml:space="preserve"> made during the height of uncertainty surrounding the global financial crisis. The result was historically high rates of</w:t>
      </w:r>
      <w:r w:rsidR="003A0FD5">
        <w:t xml:space="preserve"> return set for TransGrid and </w:t>
      </w:r>
      <w:r w:rsidR="005138BA">
        <w:t>TasNetworks</w:t>
      </w:r>
      <w:r w:rsidRPr="00F41289">
        <w:t xml:space="preserve"> for the 2009–14 regulatory control period. These allowed rates of return reflected the risks perceived across the broader economy in the wake of significant turmoil in global financial markets. </w:t>
      </w:r>
      <w:r w:rsidR="00707835" w:rsidRPr="00707835">
        <w:t>Since the last reset</w:t>
      </w:r>
      <w:r w:rsidR="00707835">
        <w:t xml:space="preserve"> for TransGrid and </w:t>
      </w:r>
      <w:r w:rsidR="00F23E72">
        <w:t>TasNetworks</w:t>
      </w:r>
      <w:r w:rsidR="00707835" w:rsidRPr="00707835">
        <w:t xml:space="preserve">, interest rates and perceptions of economy wide risk have </w:t>
      </w:r>
      <w:r w:rsidR="004F0ADD">
        <w:t>eased</w:t>
      </w:r>
      <w:r w:rsidR="00707835" w:rsidRPr="00707835">
        <w:t xml:space="preserve">. As a consequence, lower rates </w:t>
      </w:r>
      <w:r w:rsidR="00200955">
        <w:t xml:space="preserve">should now be sufficient to </w:t>
      </w:r>
      <w:r w:rsidR="00707835" w:rsidRPr="00707835">
        <w:t xml:space="preserve">attract needed investment to the electricity network sector. </w:t>
      </w:r>
    </w:p>
    <w:p w:rsidR="00B53DCC" w:rsidRPr="009D3C0F" w:rsidRDefault="00DD0BE4" w:rsidP="00351DC3">
      <w:pPr>
        <w:pStyle w:val="HeadingBoldBlue"/>
      </w:pPr>
      <w:r>
        <w:lastRenderedPageBreak/>
        <w:t>Proposed i</w:t>
      </w:r>
      <w:r w:rsidR="00B53DCC">
        <w:t xml:space="preserve">nitiatives to </w:t>
      </w:r>
      <w:r w:rsidR="00351DC3">
        <w:t xml:space="preserve">reduce volatility </w:t>
      </w:r>
      <w:r w:rsidR="0010372D">
        <w:t xml:space="preserve">and unpredictability </w:t>
      </w:r>
      <w:r w:rsidR="00351DC3">
        <w:t>in transmission charges</w:t>
      </w:r>
      <w:r w:rsidR="00B53DCC">
        <w:t xml:space="preserve"> </w:t>
      </w:r>
    </w:p>
    <w:p w:rsidR="00572CA5" w:rsidRDefault="000129B8" w:rsidP="00572CA5">
      <w:pPr>
        <w:pStyle w:val="AERbodytext"/>
        <w:numPr>
          <w:ilvl w:val="0"/>
          <w:numId w:val="0"/>
        </w:numPr>
      </w:pPr>
      <w:r>
        <w:t xml:space="preserve">For, </w:t>
      </w:r>
      <w:r w:rsidR="006F4B8B">
        <w:t>T</w:t>
      </w:r>
      <w:r>
        <w:t xml:space="preserve">ransmission charges </w:t>
      </w:r>
      <w:r w:rsidR="00146E0F">
        <w:t>typically accoun</w:t>
      </w:r>
      <w:r w:rsidR="00572C81">
        <w:t xml:space="preserve">t for around </w:t>
      </w:r>
      <w:r w:rsidR="00461EDA">
        <w:t xml:space="preserve">12 to 14 </w:t>
      </w:r>
      <w:r w:rsidR="00146E0F">
        <w:t>per cent of a residential customers total electricity bill</w:t>
      </w:r>
      <w:r w:rsidR="00C9165C">
        <w:t xml:space="preserve"> in NSW and Tasmania</w:t>
      </w:r>
      <w:r w:rsidR="006F4B8B">
        <w:t>.</w:t>
      </w:r>
      <w:r w:rsidR="00F54138">
        <w:rPr>
          <w:rStyle w:val="FootnoteReference"/>
        </w:rPr>
        <w:footnoteReference w:id="17"/>
      </w:r>
      <w:r w:rsidR="006F4B8B">
        <w:t xml:space="preserve"> However, for large </w:t>
      </w:r>
      <w:r w:rsidR="00572C81">
        <w:t xml:space="preserve">customers transmission charges can account for a </w:t>
      </w:r>
      <w:r w:rsidR="00C9165C">
        <w:t xml:space="preserve">more </w:t>
      </w:r>
      <w:r w:rsidR="00572C81">
        <w:t>significant</w:t>
      </w:r>
      <w:r w:rsidR="00D647FC">
        <w:t xml:space="preserve"> proportion on the total bill. </w:t>
      </w:r>
      <w:r>
        <w:t xml:space="preserve">We must approve the methodology </w:t>
      </w:r>
      <w:r w:rsidR="00AE295A">
        <w:t xml:space="preserve">of each business </w:t>
      </w:r>
      <w:r>
        <w:t xml:space="preserve">for setting transmission charges. TransGrid has proposed a number of changes on the basis that these changes will result in more cost reflective prices to customers and at the same time reduce the volatility in annual charges.  In particular, TransGrid </w:t>
      </w:r>
      <w:r w:rsidR="00707835">
        <w:t xml:space="preserve">proposes </w:t>
      </w:r>
      <w:r w:rsidR="0075409F">
        <w:t xml:space="preserve">to cap the change in </w:t>
      </w:r>
      <w:r w:rsidR="001C2433">
        <w:t>transmission</w:t>
      </w:r>
      <w:r w:rsidR="00707835">
        <w:t xml:space="preserve"> charges </w:t>
      </w:r>
      <w:r w:rsidR="0075409F">
        <w:t>by CPI+3 per</w:t>
      </w:r>
      <w:r w:rsidR="00A32CA3">
        <w:t xml:space="preserve"> </w:t>
      </w:r>
      <w:r w:rsidR="0075409F">
        <w:t>cent</w:t>
      </w:r>
      <w:r w:rsidR="00572C81">
        <w:t xml:space="preserve"> and allocating costs to locational charges on the basis of network peak demand</w:t>
      </w:r>
      <w:r w:rsidR="0075409F">
        <w:t>.</w:t>
      </w:r>
      <w:r w:rsidR="00D647FC">
        <w:rPr>
          <w:rStyle w:val="FootnoteReference"/>
        </w:rPr>
        <w:footnoteReference w:id="18"/>
      </w:r>
      <w:r w:rsidR="00D647FC">
        <w:t xml:space="preserve"> </w:t>
      </w:r>
      <w:r w:rsidR="00572C81">
        <w:t>TransGrid has sought views on whether transmission charges for customers should be fixed over the regulatory control period</w:t>
      </w:r>
      <w:r w:rsidR="00572C81" w:rsidRPr="00572C81">
        <w:t xml:space="preserve">. </w:t>
      </w:r>
      <w:r>
        <w:t xml:space="preserve"> </w:t>
      </w:r>
      <w:r w:rsidR="00C9165C">
        <w:t>Under this approach</w:t>
      </w:r>
      <w:r w:rsidR="008753E9">
        <w:t>,</w:t>
      </w:r>
      <w:r w:rsidR="00A32CA3">
        <w:t xml:space="preserve"> this could lead to large changes in customer charges at the commencement of every regulatory control period. </w:t>
      </w:r>
      <w:r w:rsidR="005138BA">
        <w:t>TasNetworks</w:t>
      </w:r>
      <w:r w:rsidR="00A32CA3">
        <w:t xml:space="preserve"> has al</w:t>
      </w:r>
      <w:r w:rsidR="00A32CA3" w:rsidRPr="00A32CA3">
        <w:t>so sought some changes to ensure the methodology is more flexible in dealing with changes in a customers' load and to improve price signals to customers regarding the cost of using of the network.</w:t>
      </w:r>
    </w:p>
    <w:p w:rsidR="00A32CA3" w:rsidRDefault="00A32CA3" w:rsidP="00572CA5">
      <w:pPr>
        <w:pStyle w:val="AERbodytext"/>
        <w:numPr>
          <w:ilvl w:val="0"/>
          <w:numId w:val="0"/>
        </w:numPr>
      </w:pPr>
      <w:r>
        <w:t xml:space="preserve">We are interested in stakeholder views on these proposals.  </w:t>
      </w:r>
    </w:p>
    <w:p w:rsidR="00626D50" w:rsidRPr="00626D50" w:rsidRDefault="00626D50" w:rsidP="00626D50">
      <w:pPr>
        <w:pStyle w:val="HeadingBoldBlue"/>
      </w:pPr>
      <w:r w:rsidRPr="00626D50">
        <w:t>Our next steps</w:t>
      </w:r>
    </w:p>
    <w:p w:rsidR="00626D50" w:rsidRPr="00626D50" w:rsidRDefault="00626D50" w:rsidP="00626D50">
      <w:r w:rsidRPr="00626D50">
        <w:t xml:space="preserve">These observations will be a focus of our in–depth assessment to be undertaken over the coming </w:t>
      </w:r>
      <w:r w:rsidR="00D647FC">
        <w:t>months</w:t>
      </w:r>
      <w:r w:rsidRPr="00626D50">
        <w:t>. Our draft decision</w:t>
      </w:r>
      <w:r w:rsidR="00AE295A">
        <w:t xml:space="preserve"> for each business</w:t>
      </w:r>
      <w:r w:rsidRPr="00626D50">
        <w:t xml:space="preserve"> will present our findings within the context of the broader economic environment and the specific circumstances of the </w:t>
      </w:r>
      <w:r>
        <w:t>businesses</w:t>
      </w:r>
      <w:r w:rsidRPr="00626D50">
        <w:t xml:space="preserve"> themselves. Your submission on the </w:t>
      </w:r>
      <w:r>
        <w:t>revenue</w:t>
      </w:r>
      <w:r w:rsidRPr="00626D50">
        <w:t xml:space="preserve"> proposals will greatly assist us in preparing our draft decision.</w:t>
      </w:r>
    </w:p>
    <w:p w:rsidR="00EA78BF" w:rsidRPr="00EA78BF" w:rsidRDefault="00EA78BF" w:rsidP="00EA78BF">
      <w:pPr>
        <w:pStyle w:val="Heading1"/>
      </w:pPr>
      <w:bookmarkStart w:id="13" w:name="_Toc392063170"/>
      <w:r w:rsidRPr="00EA78BF">
        <w:lastRenderedPageBreak/>
        <w:t>Consumer engageme</w:t>
      </w:r>
      <w:bookmarkEnd w:id="13"/>
      <w:r>
        <w:t>nt</w:t>
      </w:r>
      <w:r w:rsidRPr="00EA78BF">
        <w:t xml:space="preserve"> </w:t>
      </w:r>
    </w:p>
    <w:p w:rsidR="00EA78BF" w:rsidRPr="00EA78BF" w:rsidRDefault="00EA78BF" w:rsidP="00EA78BF">
      <w:pPr>
        <w:pStyle w:val="AERbodytext"/>
        <w:numPr>
          <w:ilvl w:val="0"/>
          <w:numId w:val="49"/>
        </w:numPr>
        <w:rPr>
          <w:rStyle w:val="AERbody"/>
        </w:rPr>
      </w:pPr>
      <w:r w:rsidRPr="00EA78BF">
        <w:rPr>
          <w:rStyle w:val="AERbody"/>
        </w:rPr>
        <w:t xml:space="preserve">Consumer engagement is a key issue for our transmission determinations. When assessing the revenue proposals we will have regard to how a business engaged with its consumers and accounted for their long term interests. </w:t>
      </w:r>
    </w:p>
    <w:p w:rsidR="00EA78BF" w:rsidRPr="00EA78BF" w:rsidRDefault="00B27D9D" w:rsidP="00EA78BF">
      <w:pPr>
        <w:pStyle w:val="AERbodytext"/>
        <w:numPr>
          <w:ilvl w:val="0"/>
          <w:numId w:val="49"/>
        </w:numPr>
        <w:rPr>
          <w:rStyle w:val="AERbody"/>
        </w:rPr>
      </w:pPr>
      <w:r>
        <w:rPr>
          <w:rStyle w:val="AERbody"/>
        </w:rPr>
      </w:r>
      <w:r>
        <w:rPr>
          <w:rStyle w:val="AERbody"/>
        </w:rPr>
        <w:pict>
          <v:shapetype id="_x0000_t202" coordsize="21600,21600" o:spt="202" path="m,l,21600r21600,l21600,xe">
            <v:stroke joinstyle="miter"/>
            <v:path gradientshapeok="t" o:connecttype="rect"/>
          </v:shapetype>
          <v:shape id="Text Box 2" o:spid="_x0000_s1077" type="#_x0000_t202" style="width:453.05pt;height:61.35pt;visibility:visible;mso-height-percent:200;mso-left-percent:-10001;mso-top-percent:-10001;mso-wrap-distance-left:9pt;mso-wrap-distance-top:0;mso-wrap-distance-right:9pt;mso-wrap-distance-bottom:0;mso-position-horizontal:absolute;mso-position-horizontal-relative:char;mso-position-vertical:absolute;mso-position-vertical-relative:line;mso-height-percent:200;mso-left-percent:-10001;mso-top-percent:-10001;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LKAIAAE4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N5DBBJ3pn6EZl1ZhhwXEgUWuN+UNLhcFfUfz+A&#10;45TIDxq7sxxPp3EbkjKdzQtU3KVld2kBzRCqooGSQdyEtEGJN3uDXdyKxO9LJqeUcWgT7acFi1tx&#10;qSevl9/A+gk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oBNLKAIAAE4EAAAOAAAAAAAAAAAAAAAAAC4CAABkcnMvZTJvRG9j&#10;LnhtbFBLAQItABQABgAIAAAAIQD9LzLW2wAAAAUBAAAPAAAAAAAAAAAAAAAAAIIEAABkcnMvZG93&#10;bnJldi54bWxQSwUGAAAAAAQABADzAAAAigUAAAAA&#10;" fillcolor="#ddd">
            <v:textbox style="mso-next-textbox:#Text Box 2;mso-fit-shape-to-text:t">
              <w:txbxContent>
                <w:p w:rsidR="00DA7A13" w:rsidRPr="003D288B" w:rsidRDefault="00DA7A13" w:rsidP="00EA78BF">
                  <w:pPr>
                    <w:rPr>
                      <w:rStyle w:val="AERtextbold"/>
                    </w:rPr>
                  </w:pPr>
                  <w:r w:rsidRPr="003D288B">
                    <w:rPr>
                      <w:rStyle w:val="AERtextbold"/>
                    </w:rPr>
                    <w:t>Questions</w:t>
                  </w:r>
                </w:p>
                <w:p w:rsidR="00DA7A13" w:rsidRDefault="00DA7A13" w:rsidP="00EA78BF">
                  <w:pPr>
                    <w:pStyle w:val="AERnumberedlistfirststyle"/>
                    <w:numPr>
                      <w:ilvl w:val="0"/>
                      <w:numId w:val="0"/>
                    </w:numPr>
                    <w:ind w:left="357"/>
                  </w:pPr>
                  <w:r w:rsidRPr="003C2483">
                    <w:t xml:space="preserve">Please provide your comments on the consumer engagement conducted by the </w:t>
                  </w:r>
                  <w:r>
                    <w:t xml:space="preserve">businesses </w:t>
                  </w:r>
                  <w:r w:rsidRPr="003C2483">
                    <w:t xml:space="preserve">in </w:t>
                  </w:r>
                  <w:r>
                    <w:t>preparing</w:t>
                  </w:r>
                  <w:r w:rsidRPr="003C2483">
                    <w:t xml:space="preserve"> their regulatory proposals</w:t>
                  </w:r>
                  <w:r>
                    <w:t>, particularly with respect to:</w:t>
                  </w:r>
                </w:p>
                <w:p w:rsidR="00DA7A13" w:rsidRPr="003C2483" w:rsidRDefault="00DA7A13" w:rsidP="00EA78BF">
                  <w:pPr>
                    <w:pStyle w:val="AERbulletlistsecondstyle"/>
                  </w:pPr>
                  <w:r w:rsidRPr="003C2483">
                    <w:t>access</w:t>
                  </w:r>
                  <w:r>
                    <w:t>ibility of information provided</w:t>
                  </w:r>
                </w:p>
                <w:p w:rsidR="00DA7A13" w:rsidRPr="003C2483" w:rsidRDefault="00DA7A13" w:rsidP="00EA78BF">
                  <w:pPr>
                    <w:pStyle w:val="AERbulletlistsecondstyle"/>
                  </w:pPr>
                  <w:r w:rsidRPr="003C2483">
                    <w:t>clarity about your role and the objectives of t</w:t>
                  </w:r>
                  <w:r>
                    <w:t>he engagement activity or activities</w:t>
                  </w:r>
                </w:p>
                <w:p w:rsidR="00DA7A13" w:rsidRPr="003C2483" w:rsidRDefault="00DA7A13" w:rsidP="00EA78BF">
                  <w:pPr>
                    <w:pStyle w:val="AERbulletlistsecondstyle"/>
                  </w:pPr>
                  <w:r w:rsidRPr="003C2483">
                    <w:t>how much time was provided between</w:t>
                  </w:r>
                  <w:r>
                    <w:t xml:space="preserve"> the engagement activity and submission to us of</w:t>
                  </w:r>
                  <w:r w:rsidRPr="003C2483">
                    <w:t xml:space="preserve"> the </w:t>
                  </w:r>
                  <w:r>
                    <w:t>businesses'</w:t>
                  </w:r>
                  <w:r w:rsidRPr="003C2483">
                    <w:t xml:space="preserve"> regulatory proposal?</w:t>
                  </w:r>
                </w:p>
                <w:p w:rsidR="00DA7A13" w:rsidRDefault="00DA7A13" w:rsidP="00EA78BF">
                  <w:pPr>
                    <w:pStyle w:val="AERnumberedlistfirststyle"/>
                    <w:numPr>
                      <w:ilvl w:val="0"/>
                      <w:numId w:val="0"/>
                    </w:numPr>
                    <w:ind w:left="357"/>
                  </w:pPr>
                  <w:r>
                    <w:t>If you were consulted as part of the consumer engagement undertaken by any of the businesses, w</w:t>
                  </w:r>
                  <w:r w:rsidRPr="003C2483">
                    <w:t>ere you given options for expenditure? If yes, for each option were you asked to give preferences? For each option were you given cost</w:t>
                  </w:r>
                  <w:r>
                    <w:t xml:space="preserve"> and price</w:t>
                  </w:r>
                  <w:r w:rsidRPr="003C2483">
                    <w:t xml:space="preserve"> information? Did the options cover operating expenditure and capital expenditure?  </w:t>
                  </w:r>
                </w:p>
                <w:p w:rsidR="00DA7A13" w:rsidRDefault="00DA7A13" w:rsidP="00EA78BF">
                  <w:pPr>
                    <w:pStyle w:val="AERnumberedlistfirststyle"/>
                    <w:numPr>
                      <w:ilvl w:val="0"/>
                      <w:numId w:val="0"/>
                    </w:numPr>
                    <w:ind w:left="357"/>
                  </w:pPr>
                  <w:r w:rsidRPr="003C2483">
                    <w:t>Please provide your comments on how effective you believe the consumer engagement conducted by the business was in responding to consumer concerns, with examples where possible</w:t>
                  </w:r>
                  <w:r>
                    <w:t xml:space="preserve"> (i.e. can you see how your concerns have had an effect on the proposal)</w:t>
                  </w:r>
                  <w:r w:rsidRPr="003C2483">
                    <w:t>.</w:t>
                  </w:r>
                </w:p>
                <w:p w:rsidR="00DA7A13" w:rsidRDefault="00DA7A13" w:rsidP="00EA78BF">
                  <w:pPr>
                    <w:pStyle w:val="AERnumberedlistfirststyle"/>
                    <w:numPr>
                      <w:ilvl w:val="0"/>
                      <w:numId w:val="0"/>
                    </w:numPr>
                    <w:ind w:left="357"/>
                  </w:pPr>
                  <w:r>
                    <w:t>Please note that consumer engagement is ongoing and will form an integral part of the AER's decision-making process.</w:t>
                  </w:r>
                </w:p>
              </w:txbxContent>
            </v:textbox>
            <w10:wrap type="none"/>
            <w10:anchorlock/>
          </v:shape>
        </w:pict>
      </w:r>
    </w:p>
    <w:p w:rsidR="00EA78BF" w:rsidRPr="00EA78BF" w:rsidRDefault="00EA78BF" w:rsidP="00EA78BF">
      <w:pPr>
        <w:pStyle w:val="Heading2"/>
        <w:numPr>
          <w:ilvl w:val="2"/>
          <w:numId w:val="2"/>
        </w:numPr>
        <w:rPr>
          <w:rStyle w:val="AERbody"/>
        </w:rPr>
      </w:pPr>
      <w:bookmarkStart w:id="14" w:name="_Toc391386395"/>
      <w:bookmarkStart w:id="15" w:name="_Toc391447511"/>
      <w:bookmarkStart w:id="16" w:name="_Toc391551449"/>
      <w:bookmarkStart w:id="17" w:name="_Toc392063171"/>
      <w:r w:rsidRPr="00EA78BF">
        <w:rPr>
          <w:rStyle w:val="AERbody"/>
        </w:rPr>
        <w:t>Consumer engagement in the NER</w:t>
      </w:r>
      <w:bookmarkEnd w:id="14"/>
      <w:bookmarkEnd w:id="15"/>
      <w:bookmarkEnd w:id="16"/>
      <w:bookmarkEnd w:id="17"/>
    </w:p>
    <w:p w:rsidR="00EA78BF" w:rsidRPr="00EA78BF" w:rsidRDefault="00EA78BF" w:rsidP="00EA78BF">
      <w:pPr>
        <w:pStyle w:val="AERbodytext"/>
        <w:numPr>
          <w:ilvl w:val="0"/>
          <w:numId w:val="49"/>
        </w:numPr>
        <w:rPr>
          <w:rStyle w:val="AERbody"/>
        </w:rPr>
      </w:pPr>
      <w:r w:rsidRPr="00EA78BF">
        <w:rPr>
          <w:rStyle w:val="AERbody"/>
        </w:rPr>
        <w:t>Under the NER, consumer engagement is a factor we can consider when making our revenue determinations.</w:t>
      </w:r>
      <w:r w:rsidRPr="00EA78BF">
        <w:rPr>
          <w:rStyle w:val="FootnoteReference"/>
        </w:rPr>
        <w:footnoteReference w:id="19"/>
      </w:r>
      <w:r w:rsidRPr="00EA78BF">
        <w:rPr>
          <w:rStyle w:val="AERbody"/>
        </w:rPr>
        <w:t xml:space="preserve"> We will examine whether and how well a transmission business considered and responded to consumer views, equipped consumers to participate in consultation, made issues tangible and obtained a cross–section of views. We will make our assessment on a case–by–case basis, considering whether it would have been reasonable to engage on a particular issue. We will monitor consumer engagement activities through our consumer challenge panel and by our ongoing engagement with stakeholders. We may publicly comment on any shortcomings in a </w:t>
      </w:r>
      <w:r w:rsidR="005138BA">
        <w:rPr>
          <w:rStyle w:val="AERbody"/>
        </w:rPr>
        <w:t>businesses</w:t>
      </w:r>
      <w:r w:rsidRPr="00EA78BF">
        <w:rPr>
          <w:rStyle w:val="AERbody"/>
        </w:rPr>
        <w:t xml:space="preserve">' consumer engagement that we identify from a regulatory proposal.  </w:t>
      </w:r>
    </w:p>
    <w:p w:rsidR="00EA78BF" w:rsidRPr="00EA78BF" w:rsidRDefault="00EA78BF" w:rsidP="00EA78BF">
      <w:pPr>
        <w:pStyle w:val="Heading2"/>
        <w:numPr>
          <w:ilvl w:val="2"/>
          <w:numId w:val="2"/>
        </w:numPr>
        <w:rPr>
          <w:rStyle w:val="AERbody"/>
        </w:rPr>
      </w:pPr>
      <w:bookmarkStart w:id="18" w:name="_Toc391386396"/>
      <w:bookmarkStart w:id="19" w:name="_Toc391447512"/>
      <w:bookmarkStart w:id="20" w:name="_Toc391551450"/>
      <w:bookmarkStart w:id="21" w:name="_Toc392063172"/>
      <w:r w:rsidRPr="00EA78BF">
        <w:rPr>
          <w:rStyle w:val="AERbody"/>
        </w:rPr>
        <w:t>Our consumer engagement guideline</w:t>
      </w:r>
      <w:bookmarkEnd w:id="18"/>
      <w:bookmarkEnd w:id="19"/>
      <w:bookmarkEnd w:id="20"/>
      <w:bookmarkEnd w:id="21"/>
    </w:p>
    <w:p w:rsidR="00EA78BF" w:rsidRPr="00EA78BF" w:rsidRDefault="00EA78BF" w:rsidP="00EA78BF">
      <w:pPr>
        <w:pStyle w:val="AERbodytext"/>
        <w:numPr>
          <w:ilvl w:val="0"/>
          <w:numId w:val="49"/>
        </w:numPr>
        <w:rPr>
          <w:rStyle w:val="AERbody"/>
        </w:rPr>
      </w:pPr>
      <w:r w:rsidRPr="00EA78BF">
        <w:rPr>
          <w:rStyle w:val="AERbody"/>
        </w:rPr>
        <w:t>Our consumer engagement guideline for network service providers sets out a framework for electricity and gas network service providers to better engage with consumers.</w:t>
      </w:r>
      <w:r w:rsidRPr="00EA78BF">
        <w:rPr>
          <w:rStyle w:val="FootnoteReference"/>
        </w:rPr>
        <w:footnoteReference w:id="20"/>
      </w:r>
      <w:r w:rsidRPr="00EA78BF">
        <w:rPr>
          <w:rStyle w:val="AERbody"/>
        </w:rPr>
        <w:t xml:space="preserve"> It aims to help the businesses develop strategies to engage systematically, consistently and strategically with consumers on issues that are significant to both parties. The guideline sets out our expectations when considering service provider consumer engagement activities:</w:t>
      </w:r>
    </w:p>
    <w:p w:rsidR="00EA78BF" w:rsidRPr="00EA78BF" w:rsidRDefault="00EA78BF" w:rsidP="00EA78BF">
      <w:pPr>
        <w:pStyle w:val="AERbulletlistfirststyle"/>
        <w:rPr>
          <w:rStyle w:val="AERbody"/>
        </w:rPr>
      </w:pPr>
      <w:r w:rsidRPr="00EA78BF">
        <w:rPr>
          <w:rStyle w:val="AERtextbold"/>
        </w:rPr>
        <w:lastRenderedPageBreak/>
        <w:t>Priorities</w:t>
      </w:r>
      <w:r w:rsidRPr="00EA78BF">
        <w:rPr>
          <w:rStyle w:val="AERbody"/>
        </w:rPr>
        <w:t>—we expect service providers to identify consumer cohorts, and the current views of those cohorts and their service provider; outline their engagement objectives; and discuss the processes to best achieve those objectives.</w:t>
      </w:r>
    </w:p>
    <w:p w:rsidR="00EA78BF" w:rsidRPr="00EA78BF" w:rsidRDefault="00EA78BF" w:rsidP="00EA78BF">
      <w:pPr>
        <w:pStyle w:val="AERbulletlistfirststyle"/>
        <w:rPr>
          <w:rStyle w:val="AERbody"/>
        </w:rPr>
      </w:pPr>
      <w:r w:rsidRPr="00EA78BF">
        <w:rPr>
          <w:rStyle w:val="AERtextbold"/>
        </w:rPr>
        <w:t>Delivery</w:t>
      </w:r>
      <w:r w:rsidRPr="00EA78BF">
        <w:rPr>
          <w:rStyle w:val="AERbody"/>
        </w:rPr>
        <w:t xml:space="preserve">—we expect service providers to address the identified priorities via robust and thorough consumer engagement. </w:t>
      </w:r>
    </w:p>
    <w:p w:rsidR="00EA78BF" w:rsidRPr="00EA78BF" w:rsidRDefault="00EA78BF" w:rsidP="00EA78BF">
      <w:pPr>
        <w:pStyle w:val="AERbulletlistfirststyle"/>
        <w:rPr>
          <w:rStyle w:val="AERbody"/>
        </w:rPr>
      </w:pPr>
      <w:r w:rsidRPr="00EA78BF">
        <w:rPr>
          <w:rStyle w:val="AERtextbold"/>
        </w:rPr>
        <w:t>Results</w:t>
      </w:r>
      <w:r w:rsidRPr="00EA78BF">
        <w:rPr>
          <w:rStyle w:val="AERbody"/>
        </w:rPr>
        <w:t>—we expect service providers to articulate the outcomes of their consumer engagement processes and how they measure the success of those processes reporting back to us, their business and consumers</w:t>
      </w:r>
    </w:p>
    <w:p w:rsidR="00EA78BF" w:rsidRPr="00EA78BF" w:rsidRDefault="00EA78BF" w:rsidP="00EA78BF">
      <w:pPr>
        <w:pStyle w:val="AERbulletlistfirststyle"/>
        <w:rPr>
          <w:rStyle w:val="AERbody"/>
        </w:rPr>
      </w:pPr>
      <w:r w:rsidRPr="00EA78BF">
        <w:rPr>
          <w:rStyle w:val="AERtextbold"/>
        </w:rPr>
        <w:t>Evaluation and review</w:t>
      </w:r>
      <w:r w:rsidRPr="00EA78BF">
        <w:rPr>
          <w:rStyle w:val="AERbody"/>
        </w:rPr>
        <w:t xml:space="preserve">—we expect service providers to periodically evaluate and review the effectiveness of their consumer engagement processes. </w:t>
      </w:r>
    </w:p>
    <w:p w:rsidR="00EA78BF" w:rsidRPr="00EA78BF" w:rsidRDefault="00EA78BF" w:rsidP="00EA78BF">
      <w:pPr>
        <w:pStyle w:val="AERbodytext"/>
        <w:numPr>
          <w:ilvl w:val="0"/>
          <w:numId w:val="49"/>
        </w:numPr>
      </w:pPr>
      <w:r w:rsidRPr="00EA78BF">
        <w:t>Below, we summarise the businesses submitted approach to consumer engagement. For details, we encourage readers to review the revenue proposals and supporting documentation. As a guide, we have referenced below where each business has included consumer engagement content in their revenue proposal package of materials.</w:t>
      </w:r>
    </w:p>
    <w:p w:rsidR="00EA78BF" w:rsidRPr="00EA78BF" w:rsidRDefault="00EA78BF" w:rsidP="00EA78BF">
      <w:pPr>
        <w:pStyle w:val="HeadingBoldBlue"/>
        <w:numPr>
          <w:ilvl w:val="0"/>
          <w:numId w:val="49"/>
        </w:numPr>
      </w:pPr>
      <w:r w:rsidRPr="00EA78BF">
        <w:t>TransGrid</w:t>
      </w:r>
    </w:p>
    <w:p w:rsidR="00EA78BF" w:rsidRPr="00EA78BF" w:rsidRDefault="00EA78BF" w:rsidP="00EA78BF">
      <w:pPr>
        <w:pStyle w:val="AERbodytext"/>
        <w:numPr>
          <w:ilvl w:val="0"/>
          <w:numId w:val="49"/>
        </w:numPr>
      </w:pPr>
      <w:r w:rsidRPr="00EA78BF">
        <w:t>TransGrid submitted that it has undertaken a range of consumer engagement activities. These include consumer roundtables, consumer focussed website, deliberative forums, consumer surveys. Further details are available in TransGrid's revenue proposal.</w:t>
      </w:r>
      <w:r w:rsidR="000204C3">
        <w:rPr>
          <w:rStyle w:val="FootnoteReference"/>
        </w:rPr>
        <w:footnoteReference w:id="21"/>
      </w:r>
    </w:p>
    <w:p w:rsidR="00EA78BF" w:rsidRPr="00EA78BF" w:rsidRDefault="00EA78BF" w:rsidP="00EA78BF">
      <w:pPr>
        <w:pStyle w:val="HeadingBoldBlue"/>
        <w:numPr>
          <w:ilvl w:val="0"/>
          <w:numId w:val="49"/>
        </w:numPr>
      </w:pPr>
      <w:r w:rsidRPr="00EA78BF">
        <w:t>TasNetworks (Transend)</w:t>
      </w:r>
    </w:p>
    <w:p w:rsidR="00EA78BF" w:rsidRPr="00EA78BF" w:rsidRDefault="00D67F8C" w:rsidP="00EA78BF">
      <w:pPr>
        <w:numPr>
          <w:ilvl w:val="0"/>
          <w:numId w:val="2"/>
        </w:numPr>
      </w:pPr>
      <w:r>
        <w:t>TasNetworks</w:t>
      </w:r>
      <w:r w:rsidRPr="00EA78BF">
        <w:t xml:space="preserve"> </w:t>
      </w:r>
      <w:r w:rsidR="00EA78BF" w:rsidRPr="00EA78BF">
        <w:t>submitted that it has undertaken a number of engagement activities of an ongoing nature as well as on the revenue proposal.  Engagement related to the revenue proposal included face to face meetings with customers, meetings with customers and their consultants and representative groups, briefings and information sessions.</w:t>
      </w:r>
      <w:r w:rsidR="000204C3">
        <w:rPr>
          <w:rStyle w:val="FootnoteReference"/>
        </w:rPr>
        <w:footnoteReference w:id="22"/>
      </w:r>
      <w:r w:rsidR="00EA78BF" w:rsidRPr="00EA78BF">
        <w:t xml:space="preserve"> </w:t>
      </w:r>
    </w:p>
    <w:p w:rsidR="00EA78BF" w:rsidRPr="00EA78BF" w:rsidRDefault="00EA78BF" w:rsidP="00EA78BF">
      <w:pPr>
        <w:pStyle w:val="HeadingBoldBlue"/>
        <w:numPr>
          <w:ilvl w:val="0"/>
          <w:numId w:val="49"/>
        </w:numPr>
      </w:pPr>
      <w:r w:rsidRPr="00EA78BF">
        <w:t>Directlink</w:t>
      </w:r>
    </w:p>
    <w:p w:rsidR="00EA78BF" w:rsidRPr="00EA78BF" w:rsidRDefault="00EA78BF" w:rsidP="00EA78BF">
      <w:pPr>
        <w:pStyle w:val="AERbodytext"/>
        <w:numPr>
          <w:ilvl w:val="0"/>
          <w:numId w:val="49"/>
        </w:numPr>
      </w:pPr>
      <w:r w:rsidRPr="00EA78BF">
        <w:t xml:space="preserve">Directlink advises that </w:t>
      </w:r>
      <w:r w:rsidR="00AE295A" w:rsidRPr="00EA78BF">
        <w:t>i</w:t>
      </w:r>
      <w:r w:rsidR="00AE295A">
        <w:t>t</w:t>
      </w:r>
      <w:r w:rsidR="00AE295A" w:rsidRPr="00EA78BF">
        <w:t xml:space="preserve"> </w:t>
      </w:r>
      <w:r w:rsidRPr="00EA78BF">
        <w:t>has not been able to engage with consumers. In particular, Directlink advises that it invited consumer groups to raise any issues with a view to addressing any issues raised in its revenue proposal. However, Directlink comments that it cancelled a proposed consumer workshop on the basis that few groups were able to attend the workshop.</w:t>
      </w:r>
      <w:r w:rsidR="000204C3">
        <w:rPr>
          <w:rStyle w:val="FootnoteReference"/>
        </w:rPr>
        <w:footnoteReference w:id="23"/>
      </w:r>
      <w:r w:rsidRPr="00EA78BF">
        <w:t xml:space="preserve">  </w:t>
      </w:r>
    </w:p>
    <w:p w:rsidR="00572CA5" w:rsidRDefault="00572CA5" w:rsidP="00572CA5">
      <w:pPr>
        <w:pStyle w:val="AERbodytext"/>
        <w:numPr>
          <w:ilvl w:val="0"/>
          <w:numId w:val="0"/>
        </w:numPr>
      </w:pPr>
    </w:p>
    <w:p w:rsidR="001F0588" w:rsidRDefault="001F0588" w:rsidP="007B1E39">
      <w:pPr>
        <w:pStyle w:val="AERbodytext"/>
      </w:pPr>
    </w:p>
    <w:p w:rsidR="00373CBB" w:rsidRDefault="00373CBB" w:rsidP="00373CBB">
      <w:pPr>
        <w:pStyle w:val="Heading1"/>
      </w:pPr>
      <w:bookmarkStart w:id="22" w:name="_Toc392063164"/>
      <w:r>
        <w:lastRenderedPageBreak/>
        <w:t>Your submission and key dates</w:t>
      </w:r>
      <w:bookmarkEnd w:id="22"/>
    </w:p>
    <w:p w:rsidR="00A8649A" w:rsidRPr="00A8649A" w:rsidRDefault="004215FA" w:rsidP="00A8649A">
      <w:r>
        <w:t xml:space="preserve">Your submission will be of greater value to us if it </w:t>
      </w:r>
      <w:r w:rsidR="00A8649A" w:rsidRPr="00A8649A">
        <w:t xml:space="preserve">is supported by evidence and analysis. Submissions that address specific issues, supported by evidence and analysis, can be very useful. </w:t>
      </w:r>
    </w:p>
    <w:p w:rsidR="00A8649A" w:rsidRPr="00A8649A" w:rsidRDefault="00A8649A" w:rsidP="00A8649A">
      <w:r w:rsidRPr="00A8649A">
        <w:t xml:space="preserve">If you consider a certain aspect of the </w:t>
      </w:r>
      <w:r>
        <w:t>revenue</w:t>
      </w:r>
      <w:r w:rsidRPr="00A8649A">
        <w:t xml:space="preserve"> proposal is not justified, you should state why you consider it is not justified</w:t>
      </w:r>
      <w:r w:rsidR="00C9165C">
        <w:t>.</w:t>
      </w:r>
      <w:r w:rsidR="00EA78BF">
        <w:t xml:space="preserve"> </w:t>
      </w:r>
      <w:r w:rsidRPr="00A8649A">
        <w:t xml:space="preserve">You should also state what further information you consider the </w:t>
      </w:r>
      <w:r w:rsidR="00EA78BF">
        <w:t xml:space="preserve">business </w:t>
      </w:r>
      <w:r w:rsidRPr="00A8649A">
        <w:t>should provide to justify that aspect of its proposal.</w:t>
      </w:r>
    </w:p>
    <w:p w:rsidR="00A8649A" w:rsidRPr="00A8649A" w:rsidRDefault="00A8649A" w:rsidP="00A8649A">
      <w:r w:rsidRPr="00A8649A">
        <w:t xml:space="preserve">When considering the questions on which we would like feedback, it is useful to keep in mind that we must comply with the NEL and NER. The objective of the regulatory framework is to efficiently and reliably deliver services in the long term interests of consumers. Under the NER, we must assess the </w:t>
      </w:r>
      <w:r>
        <w:t>proposed</w:t>
      </w:r>
      <w:r w:rsidRPr="00A8649A">
        <w:t xml:space="preserve"> expenditure forecasts to determine the efficient expenditure required to meet this objective. A </w:t>
      </w:r>
      <w:r>
        <w:t>transmission businesses</w:t>
      </w:r>
      <w:r w:rsidRPr="00A8649A">
        <w:t xml:space="preserve"> capital expenditure c</w:t>
      </w:r>
      <w:r w:rsidR="006A5AD2">
        <w:t xml:space="preserve">apex and </w:t>
      </w:r>
      <w:r w:rsidRPr="00A8649A">
        <w:t>opex forecasts must be aimed at meeting expected demand and all regulatory obligations</w:t>
      </w:r>
      <w:r w:rsidR="001C2433">
        <w:t xml:space="preserve"> as well as maintaining the safety</w:t>
      </w:r>
      <w:r w:rsidR="00C9165C">
        <w:t xml:space="preserve"> and reliability</w:t>
      </w:r>
      <w:r w:rsidR="001C2433">
        <w:t xml:space="preserve"> of the system. </w:t>
      </w:r>
      <w:r w:rsidR="001C2433" w:rsidRPr="001C2433">
        <w:t xml:space="preserve">If there are no </w:t>
      </w:r>
      <w:r w:rsidR="003769FE">
        <w:t xml:space="preserve">new </w:t>
      </w:r>
      <w:r w:rsidR="001C2433" w:rsidRPr="001C2433">
        <w:t xml:space="preserve">regulatory obligations in relation to quality, reliability and security of supply, a business is to maintain existing levels. </w:t>
      </w:r>
    </w:p>
    <w:p w:rsidR="00A8649A" w:rsidRPr="00A8649A" w:rsidRDefault="00A8649A" w:rsidP="00A8649A">
      <w:r w:rsidRPr="00A8649A">
        <w:t xml:space="preserve">We are primarily interested in receiving submissions on the </w:t>
      </w:r>
      <w:r>
        <w:t>transmission businesses</w:t>
      </w:r>
      <w:r w:rsidRPr="00A8649A">
        <w:t xml:space="preserve"> proposed approaches to customer engagement, </w:t>
      </w:r>
      <w:r>
        <w:t xml:space="preserve">pricing (relevant to TransGrid and </w:t>
      </w:r>
      <w:r w:rsidR="001C2433">
        <w:t>TasNetworks</w:t>
      </w:r>
      <w:r>
        <w:t>)</w:t>
      </w:r>
      <w:r w:rsidR="00247499">
        <w:t>,</w:t>
      </w:r>
      <w:r>
        <w:t xml:space="preserve"> </w:t>
      </w:r>
      <w:r w:rsidRPr="00A8649A">
        <w:t xml:space="preserve">opex, capex and the expected rate of return. However, </w:t>
      </w:r>
      <w:r w:rsidR="004115BD">
        <w:t xml:space="preserve">we will consider </w:t>
      </w:r>
      <w:r w:rsidRPr="00A8649A">
        <w:t>submission</w:t>
      </w:r>
      <w:r w:rsidR="004115BD">
        <w:t>s</w:t>
      </w:r>
      <w:r w:rsidRPr="00A8649A">
        <w:t xml:space="preserve"> on any aspect of the proposals. Key dates for our assessment process are set out in </w:t>
      </w:r>
      <w:r w:rsidR="00ED0E34">
        <w:t>Table 1</w:t>
      </w:r>
      <w:r w:rsidRPr="00A8649A">
        <w:t>.</w:t>
      </w:r>
    </w:p>
    <w:p w:rsidR="0074092C" w:rsidRDefault="0074092C" w:rsidP="0074092C">
      <w:pPr>
        <w:pStyle w:val="HeadingBoldBlue"/>
      </w:pPr>
      <w:r>
        <w:t>Timelines</w:t>
      </w:r>
    </w:p>
    <w:p w:rsidR="0074092C" w:rsidRDefault="00ED0E34" w:rsidP="0074092C">
      <w:pPr>
        <w:pStyle w:val="AERbodytext"/>
      </w:pPr>
      <w:r>
        <w:t xml:space="preserve">Table1 </w:t>
      </w:r>
      <w:r w:rsidR="0074092C">
        <w:t>sets out the key dates for the review process.</w:t>
      </w:r>
    </w:p>
    <w:p w:rsidR="0074092C" w:rsidRPr="00DB6A17" w:rsidRDefault="0074092C" w:rsidP="0074092C">
      <w:pPr>
        <w:pStyle w:val="Caption"/>
      </w:pPr>
      <w:bookmarkStart w:id="23" w:name="_Ref387745736"/>
      <w:r w:rsidRPr="00DB6A17">
        <w:t xml:space="preserve">Table </w:t>
      </w:r>
      <w:bookmarkEnd w:id="23"/>
      <w:r w:rsidR="00ED0E34">
        <w:t>1</w:t>
      </w:r>
      <w:r w:rsidRPr="00DB6A17">
        <w:tab/>
      </w:r>
      <w:r w:rsidRPr="0074092C">
        <w:t xml:space="preserve">Key dates </w:t>
      </w:r>
      <w:r w:rsidR="00247499">
        <w:t>for</w:t>
      </w:r>
      <w:r w:rsidRPr="0074092C">
        <w:t xml:space="preserve"> the </w:t>
      </w:r>
      <w:r>
        <w:t xml:space="preserve">electricity transmission </w:t>
      </w:r>
      <w:r w:rsidRPr="0074092C">
        <w:t>review process</w:t>
      </w:r>
    </w:p>
    <w:tbl>
      <w:tblPr>
        <w:tblStyle w:val="AERtable-text"/>
        <w:tblW w:w="0" w:type="auto"/>
        <w:tblLayout w:type="fixed"/>
        <w:tblLook w:val="04A0" w:firstRow="1" w:lastRow="0" w:firstColumn="1" w:lastColumn="0" w:noHBand="0" w:noVBand="1"/>
      </w:tblPr>
      <w:tblGrid>
        <w:gridCol w:w="4590"/>
        <w:gridCol w:w="4590"/>
      </w:tblGrid>
      <w:tr w:rsidR="0074092C" w:rsidRPr="000C052F" w:rsidTr="0074092C">
        <w:trPr>
          <w:cnfStyle w:val="100000000000" w:firstRow="1" w:lastRow="0" w:firstColumn="0" w:lastColumn="0" w:oddVBand="0" w:evenVBand="0" w:oddHBand="0" w:evenHBand="0" w:firstRowFirstColumn="0" w:firstRowLastColumn="0" w:lastRowFirstColumn="0" w:lastRowLastColumn="0"/>
        </w:trPr>
        <w:tc>
          <w:tcPr>
            <w:tcW w:w="4590" w:type="dxa"/>
            <w:noWrap/>
          </w:tcPr>
          <w:p w:rsidR="0074092C" w:rsidRPr="00473449" w:rsidRDefault="0074092C" w:rsidP="00473449">
            <w:pPr>
              <w:pStyle w:val="AERtabletextleft"/>
            </w:pPr>
            <w:r w:rsidRPr="00473449">
              <w:t>Task</w:t>
            </w:r>
          </w:p>
        </w:tc>
        <w:tc>
          <w:tcPr>
            <w:tcW w:w="4590" w:type="dxa"/>
            <w:noWrap/>
          </w:tcPr>
          <w:p w:rsidR="0074092C" w:rsidRPr="00473449" w:rsidRDefault="0074092C" w:rsidP="00473449">
            <w:pPr>
              <w:pStyle w:val="AERtabletextleft"/>
            </w:pPr>
            <w:r w:rsidRPr="00473449">
              <w:t>Date</w:t>
            </w:r>
          </w:p>
        </w:tc>
      </w:tr>
      <w:tr w:rsidR="0074092C" w:rsidRPr="000C052F" w:rsidTr="00660DF5">
        <w:tc>
          <w:tcPr>
            <w:tcW w:w="4590" w:type="dxa"/>
            <w:noWrap/>
            <w:vAlign w:val="top"/>
          </w:tcPr>
          <w:p w:rsidR="0074092C" w:rsidRPr="0074092C" w:rsidRDefault="0074092C" w:rsidP="0074092C">
            <w:r w:rsidRPr="0074092C">
              <w:t>TNSP revenue proposal submitted to AER</w:t>
            </w:r>
          </w:p>
        </w:tc>
        <w:tc>
          <w:tcPr>
            <w:tcW w:w="4590" w:type="dxa"/>
            <w:noWrap/>
            <w:vAlign w:val="top"/>
          </w:tcPr>
          <w:p w:rsidR="0074092C" w:rsidRPr="0074092C" w:rsidRDefault="0074092C" w:rsidP="00660DF5">
            <w:r w:rsidRPr="0074092C">
              <w:t>2 June 2014</w:t>
            </w:r>
          </w:p>
        </w:tc>
      </w:tr>
      <w:tr w:rsidR="0074092C" w:rsidRPr="000C052F" w:rsidTr="00660DF5">
        <w:trPr>
          <w:cnfStyle w:val="000000010000" w:firstRow="0" w:lastRow="0" w:firstColumn="0" w:lastColumn="0" w:oddVBand="0" w:evenVBand="0" w:oddHBand="0" w:evenHBand="1" w:firstRowFirstColumn="0" w:firstRowLastColumn="0" w:lastRowFirstColumn="0" w:lastRowLastColumn="0"/>
        </w:trPr>
        <w:tc>
          <w:tcPr>
            <w:tcW w:w="4590" w:type="dxa"/>
            <w:noWrap/>
            <w:vAlign w:val="top"/>
          </w:tcPr>
          <w:p w:rsidR="0074092C" w:rsidRPr="0074092C" w:rsidRDefault="0074092C" w:rsidP="0074092C">
            <w:r w:rsidRPr="0074092C">
              <w:t>Publish revenue proposal and supporting documents</w:t>
            </w:r>
          </w:p>
        </w:tc>
        <w:tc>
          <w:tcPr>
            <w:tcW w:w="4590" w:type="dxa"/>
            <w:noWrap/>
            <w:vAlign w:val="top"/>
          </w:tcPr>
          <w:p w:rsidR="0074092C" w:rsidRPr="0074092C" w:rsidRDefault="00453DD1" w:rsidP="00660DF5">
            <w:r>
              <w:t>20</w:t>
            </w:r>
            <w:r w:rsidR="0074092C" w:rsidRPr="0074092C">
              <w:t xml:space="preserve"> June 2014</w:t>
            </w:r>
          </w:p>
        </w:tc>
      </w:tr>
      <w:tr w:rsidR="0074092C" w:rsidRPr="000C052F" w:rsidTr="00660DF5">
        <w:tc>
          <w:tcPr>
            <w:tcW w:w="4590" w:type="dxa"/>
            <w:noWrap/>
            <w:vAlign w:val="top"/>
          </w:tcPr>
          <w:p w:rsidR="0074092C" w:rsidRPr="0074092C" w:rsidRDefault="0074092C" w:rsidP="0074092C">
            <w:r w:rsidRPr="0074092C">
              <w:t>Stakeholder forum</w:t>
            </w:r>
            <w:r w:rsidR="00FF64E8">
              <w:t>s</w:t>
            </w:r>
          </w:p>
        </w:tc>
        <w:tc>
          <w:tcPr>
            <w:tcW w:w="4590" w:type="dxa"/>
            <w:noWrap/>
            <w:vAlign w:val="top"/>
          </w:tcPr>
          <w:p w:rsidR="0074092C" w:rsidRPr="0074092C" w:rsidRDefault="00C3122B" w:rsidP="00660DF5">
            <w:r>
              <w:t xml:space="preserve">9-10 </w:t>
            </w:r>
            <w:r w:rsidR="00FF64E8">
              <w:t>July</w:t>
            </w:r>
            <w:r w:rsidR="0074092C" w:rsidRPr="0074092C">
              <w:t xml:space="preserve"> 2014</w:t>
            </w:r>
            <w:r w:rsidR="00453DD1">
              <w:rPr>
                <w:rStyle w:val="FootnoteReference"/>
              </w:rPr>
              <w:footnoteReference w:id="24"/>
            </w:r>
          </w:p>
        </w:tc>
      </w:tr>
      <w:tr w:rsidR="0074092C" w:rsidRPr="000C052F" w:rsidTr="00660DF5">
        <w:trPr>
          <w:cnfStyle w:val="000000010000" w:firstRow="0" w:lastRow="0" w:firstColumn="0" w:lastColumn="0" w:oddVBand="0" w:evenVBand="0" w:oddHBand="0" w:evenHBand="1" w:firstRowFirstColumn="0" w:firstRowLastColumn="0" w:lastRowFirstColumn="0" w:lastRowLastColumn="0"/>
        </w:trPr>
        <w:tc>
          <w:tcPr>
            <w:tcW w:w="4590" w:type="dxa"/>
            <w:noWrap/>
            <w:vAlign w:val="top"/>
          </w:tcPr>
          <w:p w:rsidR="0074092C" w:rsidRPr="0074092C" w:rsidRDefault="0074092C" w:rsidP="0074092C">
            <w:r w:rsidRPr="0074092C">
              <w:t>Stakeholder submissions close</w:t>
            </w:r>
          </w:p>
        </w:tc>
        <w:tc>
          <w:tcPr>
            <w:tcW w:w="4590" w:type="dxa"/>
            <w:noWrap/>
            <w:vAlign w:val="top"/>
          </w:tcPr>
          <w:p w:rsidR="0074092C" w:rsidRPr="0074092C" w:rsidRDefault="00453DD1" w:rsidP="00660DF5">
            <w:r>
              <w:t>1 August</w:t>
            </w:r>
            <w:r w:rsidR="0074092C" w:rsidRPr="0074092C">
              <w:t xml:space="preserve"> 2014</w:t>
            </w:r>
          </w:p>
        </w:tc>
      </w:tr>
      <w:tr w:rsidR="0074092C" w:rsidRPr="000C052F" w:rsidTr="00660DF5">
        <w:tc>
          <w:tcPr>
            <w:tcW w:w="4590" w:type="dxa"/>
            <w:noWrap/>
            <w:vAlign w:val="top"/>
          </w:tcPr>
          <w:p w:rsidR="0074092C" w:rsidRPr="0074092C" w:rsidRDefault="0074092C" w:rsidP="0074092C">
            <w:r w:rsidRPr="0074092C">
              <w:t>Draft decision</w:t>
            </w:r>
          </w:p>
        </w:tc>
        <w:tc>
          <w:tcPr>
            <w:tcW w:w="4590" w:type="dxa"/>
            <w:noWrap/>
            <w:vAlign w:val="top"/>
          </w:tcPr>
          <w:p w:rsidR="0074092C" w:rsidRPr="0074092C" w:rsidRDefault="0074092C" w:rsidP="00660DF5">
            <w:r w:rsidRPr="0074092C">
              <w:t>30 November 2014</w:t>
            </w:r>
          </w:p>
        </w:tc>
      </w:tr>
      <w:tr w:rsidR="0074092C" w:rsidRPr="000C052F" w:rsidTr="00660DF5">
        <w:trPr>
          <w:cnfStyle w:val="000000010000" w:firstRow="0" w:lastRow="0" w:firstColumn="0" w:lastColumn="0" w:oddVBand="0" w:evenVBand="0" w:oddHBand="0" w:evenHBand="1" w:firstRowFirstColumn="0" w:firstRowLastColumn="0" w:lastRowFirstColumn="0" w:lastRowLastColumn="0"/>
        </w:trPr>
        <w:tc>
          <w:tcPr>
            <w:tcW w:w="4590" w:type="dxa"/>
            <w:noWrap/>
            <w:vAlign w:val="top"/>
          </w:tcPr>
          <w:p w:rsidR="0074092C" w:rsidRPr="0074092C" w:rsidRDefault="0074092C" w:rsidP="0074092C">
            <w:r w:rsidRPr="0074092C">
              <w:t>Revised revenue proposal</w:t>
            </w:r>
          </w:p>
        </w:tc>
        <w:tc>
          <w:tcPr>
            <w:tcW w:w="4590" w:type="dxa"/>
            <w:noWrap/>
            <w:vAlign w:val="top"/>
          </w:tcPr>
          <w:p w:rsidR="0074092C" w:rsidRPr="0074092C" w:rsidRDefault="0074092C" w:rsidP="00660DF5">
            <w:r w:rsidRPr="0074092C">
              <w:t>January 2015</w:t>
            </w:r>
          </w:p>
        </w:tc>
      </w:tr>
      <w:tr w:rsidR="0074092C" w:rsidRPr="000C052F" w:rsidTr="00660DF5">
        <w:tc>
          <w:tcPr>
            <w:tcW w:w="4590" w:type="dxa"/>
            <w:noWrap/>
            <w:vAlign w:val="top"/>
          </w:tcPr>
          <w:p w:rsidR="0074092C" w:rsidRPr="0074092C" w:rsidRDefault="0074092C" w:rsidP="0074092C">
            <w:r w:rsidRPr="0074092C">
              <w:t>Final decision</w:t>
            </w:r>
          </w:p>
        </w:tc>
        <w:tc>
          <w:tcPr>
            <w:tcW w:w="4590" w:type="dxa"/>
            <w:noWrap/>
            <w:vAlign w:val="top"/>
          </w:tcPr>
          <w:p w:rsidR="0074092C" w:rsidRPr="0074092C" w:rsidRDefault="0074092C" w:rsidP="00660DF5">
            <w:r w:rsidRPr="0074092C">
              <w:t>30 April 2015</w:t>
            </w:r>
          </w:p>
        </w:tc>
      </w:tr>
    </w:tbl>
    <w:p w:rsidR="0074092C" w:rsidRDefault="0074092C" w:rsidP="0074092C">
      <w:pPr>
        <w:pStyle w:val="AERbodytext"/>
      </w:pPr>
    </w:p>
    <w:p w:rsidR="009B77B5" w:rsidRDefault="009B77B5" w:rsidP="009B77B5">
      <w:pPr>
        <w:pStyle w:val="HeadingBoldBlue"/>
      </w:pPr>
      <w:r>
        <w:lastRenderedPageBreak/>
        <w:t>AER a</w:t>
      </w:r>
      <w:r w:rsidRPr="009B77B5">
        <w:t>nnual benchmarking report</w:t>
      </w:r>
    </w:p>
    <w:p w:rsidR="0074092C" w:rsidRDefault="009B77B5" w:rsidP="009B77B5">
      <w:pPr>
        <w:pStyle w:val="AERbodytext"/>
      </w:pPr>
      <w:r w:rsidRPr="009B77B5">
        <w:t>The NER provide</w:t>
      </w:r>
      <w:r>
        <w:t xml:space="preserve"> that the AER must publish its first </w:t>
      </w:r>
      <w:r w:rsidRPr="009B77B5">
        <w:t xml:space="preserve">benchmarking report for transmission and distribution by 30 September 2014. The purpose of this report is to describe, in reasonably plain language, the relative efficiency of each network service provider </w:t>
      </w:r>
      <w:r w:rsidRPr="00D15FCC">
        <w:rPr>
          <w:rStyle w:val="AERbody"/>
        </w:rPr>
        <w:t xml:space="preserve">over a 12 month period. </w:t>
      </w:r>
      <w:r>
        <w:t xml:space="preserve">The AER will consult </w:t>
      </w:r>
      <w:r w:rsidR="00FF64E8">
        <w:t xml:space="preserve">on </w:t>
      </w:r>
      <w:r>
        <w:t xml:space="preserve">the annual benchmarking report in a separate process. </w:t>
      </w:r>
      <w:r w:rsidR="00C3122B">
        <w:t>We will take into account the results and analysis in this report as part of our draft and final decisions.</w:t>
      </w:r>
      <w:r w:rsidR="00472D74">
        <w:rPr>
          <w:rStyle w:val="FootnoteReference"/>
        </w:rPr>
        <w:footnoteReference w:id="25"/>
      </w:r>
    </w:p>
    <w:p w:rsidR="002423F9" w:rsidRDefault="00EB26BB" w:rsidP="00AE4B10">
      <w:pPr>
        <w:pStyle w:val="HeadingBoldBlue"/>
      </w:pPr>
      <w:r>
        <w:t>Review of S</w:t>
      </w:r>
      <w:r w:rsidR="00303FCC">
        <w:t>ervice Target Incentive Performance Scheme</w:t>
      </w:r>
    </w:p>
    <w:p w:rsidR="00B2706F" w:rsidRDefault="00303FCC" w:rsidP="00B2706F">
      <w:pPr>
        <w:pStyle w:val="AERbodytext"/>
      </w:pPr>
      <w:r>
        <w:t>The AER provides an incentive for the business to improve network reliability and performance by providing an increment or decrement to revenue where the business improves reliability or where reliability deteriorates, respectively.</w:t>
      </w:r>
      <w:r w:rsidR="00CE1E4E">
        <w:t xml:space="preserve">  This increment or decrement to revenue is applied </w:t>
      </w:r>
      <w:r w:rsidR="00D15FCC">
        <w:t xml:space="preserve">and reflected in transmission prices </w:t>
      </w:r>
      <w:r w:rsidR="00CE1E4E">
        <w:t xml:space="preserve">on an annual basis. </w:t>
      </w:r>
      <w:r>
        <w:t xml:space="preserve"> </w:t>
      </w:r>
    </w:p>
    <w:p w:rsidR="00CE1E4E" w:rsidRDefault="00CE1E4E" w:rsidP="00CE1E4E">
      <w:pPr>
        <w:pStyle w:val="AERbodytext"/>
        <w:numPr>
          <w:ilvl w:val="0"/>
          <w:numId w:val="0"/>
        </w:numPr>
      </w:pPr>
      <w:r>
        <w:t>The AER intends to apply the current version of the STPIS to the businesses.  However, Directlink has not been operating at full capacity.  We</w:t>
      </w:r>
      <w:r w:rsidR="00E138B7">
        <w:t xml:space="preserve"> are currently consulting on </w:t>
      </w:r>
      <w:r>
        <w:t xml:space="preserve">amendments to the STPIS </w:t>
      </w:r>
      <w:r w:rsidR="00E138B7">
        <w:t>to take</w:t>
      </w:r>
      <w:r>
        <w:t xml:space="preserve"> into account the Directlink's recent operating experience.  Submissions on these proposed amendments are due </w:t>
      </w:r>
      <w:r w:rsidR="00E138B7">
        <w:t>by 20 July 2014.</w:t>
      </w:r>
      <w:r>
        <w:t xml:space="preserve">  </w:t>
      </w:r>
      <w:r w:rsidR="00E138B7">
        <w:t xml:space="preserve">Any amended STPIS would apply </w:t>
      </w:r>
      <w:r w:rsidR="0093105E">
        <w:t>as part of this reset</w:t>
      </w:r>
      <w:r w:rsidR="00E138B7">
        <w:t>.</w:t>
      </w:r>
    </w:p>
    <w:p w:rsidR="00EA78BF" w:rsidRPr="00B2706F" w:rsidRDefault="00EA78BF" w:rsidP="00CE1E4E">
      <w:pPr>
        <w:pStyle w:val="AERbodytext"/>
        <w:numPr>
          <w:ilvl w:val="0"/>
          <w:numId w:val="0"/>
        </w:numPr>
      </w:pPr>
    </w:p>
    <w:p w:rsidR="00247499" w:rsidRDefault="00247499" w:rsidP="00247499">
      <w:pPr>
        <w:pStyle w:val="UnnumberedHeading"/>
      </w:pPr>
      <w:bookmarkStart w:id="24" w:name="_Toc392063165"/>
      <w:r>
        <w:lastRenderedPageBreak/>
        <w:t>Attachments</w:t>
      </w:r>
      <w:bookmarkEnd w:id="24"/>
    </w:p>
    <w:p w:rsidR="00DD6F68" w:rsidRPr="00EA78BF" w:rsidRDefault="00DD6F68" w:rsidP="00EA78BF">
      <w:pPr>
        <w:pStyle w:val="Heading1"/>
      </w:pPr>
      <w:bookmarkStart w:id="25" w:name="_Toc392063166"/>
      <w:r w:rsidRPr="00EA78BF">
        <w:lastRenderedPageBreak/>
        <w:t>Background</w:t>
      </w:r>
      <w:r w:rsidR="00506EC2" w:rsidRPr="00EA78BF">
        <w:t xml:space="preserve"> to our assessment</w:t>
      </w:r>
      <w:bookmarkEnd w:id="25"/>
    </w:p>
    <w:p w:rsidR="006360F2" w:rsidRDefault="006360F2" w:rsidP="006360F2">
      <w:pPr>
        <w:pStyle w:val="AERbodytext"/>
      </w:pPr>
      <w:r w:rsidRPr="006360F2">
        <w:t xml:space="preserve">The following section provides information about us and the </w:t>
      </w:r>
      <w:r w:rsidR="00572C81">
        <w:t>transmission businesses</w:t>
      </w:r>
      <w:r w:rsidRPr="006360F2">
        <w:t xml:space="preserve">. If you are familiar with our processes and the </w:t>
      </w:r>
      <w:r w:rsidR="00572C81">
        <w:t>businesses</w:t>
      </w:r>
      <w:r w:rsidRPr="006360F2">
        <w:t>, then refer straight to section 2 (Regulatory framework).</w:t>
      </w:r>
    </w:p>
    <w:p w:rsidR="00204291" w:rsidRPr="006360F2" w:rsidRDefault="00204291" w:rsidP="006360F2">
      <w:pPr>
        <w:pStyle w:val="AERbodytext"/>
      </w:pPr>
      <w:r w:rsidRPr="00DF3452">
        <w:t>The NEL and NER set out the regulatory framework for the NEM. Chapter 6</w:t>
      </w:r>
      <w:r>
        <w:t>A</w:t>
      </w:r>
      <w:r w:rsidRPr="00DF3452">
        <w:t xml:space="preserve"> of the NER contains timelines and processes for the regulation of </w:t>
      </w:r>
      <w:r>
        <w:t>transmission</w:t>
      </w:r>
      <w:r w:rsidRPr="00DF3452">
        <w:t xml:space="preserve"> businesses. It provides that regulated </w:t>
      </w:r>
      <w:r>
        <w:t>transmission</w:t>
      </w:r>
      <w:r w:rsidRPr="00DF3452">
        <w:t xml:space="preserve"> businesses must periodically apply to us to assess their revenue requirements. Typically, this happens every five years. The </w:t>
      </w:r>
      <w:r w:rsidR="00E246D9">
        <w:t>revenue</w:t>
      </w:r>
      <w:r w:rsidRPr="00DF3452">
        <w:t xml:space="preserve"> proposal</w:t>
      </w:r>
      <w:r w:rsidR="00A62150">
        <w:t xml:space="preserve"> as submitted by each business</w:t>
      </w:r>
      <w:r w:rsidR="00A62150" w:rsidRPr="00DF3452">
        <w:t xml:space="preserve"> </w:t>
      </w:r>
      <w:r w:rsidRPr="00DF3452">
        <w:t>starts a process often referred to as a revenue reset, or simply a 'reset'.</w:t>
      </w:r>
    </w:p>
    <w:p w:rsidR="007113BD" w:rsidRDefault="007113BD" w:rsidP="007113BD">
      <w:pPr>
        <w:pStyle w:val="Heading2"/>
        <w:numPr>
          <w:ilvl w:val="2"/>
          <w:numId w:val="2"/>
        </w:numPr>
      </w:pPr>
      <w:bookmarkStart w:id="26" w:name="_Toc392063167"/>
      <w:r w:rsidRPr="007113BD">
        <w:t>The Australian Energy Regulator</w:t>
      </w:r>
      <w:bookmarkEnd w:id="26"/>
    </w:p>
    <w:p w:rsidR="007113BD" w:rsidRPr="007113BD" w:rsidRDefault="007113BD" w:rsidP="007113BD">
      <w:pPr>
        <w:pStyle w:val="AERbodytext"/>
      </w:pPr>
      <w:r w:rsidRPr="007113BD">
        <w:t>We are Australia's national energy market regulator and an independent statutory authority. Our functions are set out in national energy market legislation and rules, and mostly relate to energy markets in eastern and southern Australia. These functions include:</w:t>
      </w:r>
    </w:p>
    <w:p w:rsidR="007113BD" w:rsidRPr="007113BD" w:rsidRDefault="007113BD" w:rsidP="00E44EC5">
      <w:pPr>
        <w:pStyle w:val="AERbulletlistfirststyle"/>
      </w:pPr>
      <w:r w:rsidRPr="007113BD">
        <w:t>setting the prices charged for using energy networks (electricity poles and wires and gas pipelines) to transport energy to customers</w:t>
      </w:r>
    </w:p>
    <w:p w:rsidR="007113BD" w:rsidRPr="007113BD" w:rsidRDefault="007113BD" w:rsidP="00E44EC5">
      <w:pPr>
        <w:pStyle w:val="AERbulletlistfirststyle"/>
      </w:pPr>
      <w:r w:rsidRPr="007113BD">
        <w:t>monitoring wholesale electricity and gas markets so suppliers comply with the legislation and rules, and taking enforcement action where necessary</w:t>
      </w:r>
    </w:p>
    <w:p w:rsidR="007113BD" w:rsidRPr="007113BD" w:rsidRDefault="007113BD" w:rsidP="00E44EC5">
      <w:pPr>
        <w:pStyle w:val="AERbulletlistfirststyle"/>
      </w:pPr>
      <w:r w:rsidRPr="007113BD">
        <w:t>publishing information on energy markets, including the annual State of the Energy Market report and more detailed market and compliance reporting, to assist participants and the wider community</w:t>
      </w:r>
    </w:p>
    <w:p w:rsidR="007113BD" w:rsidRPr="007113BD" w:rsidRDefault="007113BD" w:rsidP="00E44EC5">
      <w:pPr>
        <w:pStyle w:val="AERbulletlistfirststyle"/>
      </w:pPr>
      <w:r w:rsidRPr="007113BD">
        <w:t>assisting the Australian Competition and Consumer Commission with energy-related issues arising under the Competition and Consumer Act, including enforcement, mergers and authorisations.</w:t>
      </w:r>
    </w:p>
    <w:p w:rsidR="007113BD" w:rsidRPr="007113BD" w:rsidRDefault="007113BD" w:rsidP="00E44EC5">
      <w:pPr>
        <w:pStyle w:val="AERbulletlistfirststyle"/>
      </w:pPr>
      <w:r w:rsidRPr="007113BD">
        <w:t>Specific to this review, we are responsible for the economic regulation of all transmission/distribution/gas networks in eastern and southern Australia.</w:t>
      </w:r>
    </w:p>
    <w:p w:rsidR="00E246D9" w:rsidRDefault="007113BD" w:rsidP="007113BD">
      <w:pPr>
        <w:pStyle w:val="AERbodytext"/>
      </w:pPr>
      <w:r w:rsidRPr="007113BD">
        <w:t>The NEL and NER set out the regulatory framework for the NEM.</w:t>
      </w:r>
    </w:p>
    <w:p w:rsidR="00E246D9" w:rsidRPr="00E246D9" w:rsidRDefault="00E246D9" w:rsidP="00E246D9">
      <w:pPr>
        <w:pStyle w:val="AERbodytext"/>
      </w:pPr>
      <w:r w:rsidRPr="00E246D9">
        <w:t>We are required to exercise our functions in a manner that will advance the NEO. The NEO in turn is supported through the revenue and pricing principles and the various objectives, criteria and elements within the rules. The NEO is:</w:t>
      </w:r>
      <w:r w:rsidRPr="00E246D9">
        <w:rPr>
          <w:rStyle w:val="FootnoteReference"/>
        </w:rPr>
        <w:footnoteReference w:id="26"/>
      </w:r>
    </w:p>
    <w:p w:rsidR="00E246D9" w:rsidRPr="00E246D9" w:rsidRDefault="00E246D9" w:rsidP="00E246D9">
      <w:pPr>
        <w:pStyle w:val="AERquoteindent1"/>
      </w:pPr>
      <w:r w:rsidRPr="00E246D9">
        <w:t>…to promote efficient investment in, and efficient operation and use of, electricity services for the long term interests of consumers of electricity with respect to—</w:t>
      </w:r>
    </w:p>
    <w:p w:rsidR="00E246D9" w:rsidRPr="00E246D9" w:rsidRDefault="00E246D9" w:rsidP="00E246D9">
      <w:pPr>
        <w:pStyle w:val="AERquoteindent1"/>
      </w:pPr>
      <w:r w:rsidRPr="00E246D9">
        <w:t>(a)</w:t>
      </w:r>
      <w:r w:rsidRPr="00E246D9">
        <w:tab/>
        <w:t>price, quality, safety, reliability and security of supply of electricity; and</w:t>
      </w:r>
    </w:p>
    <w:p w:rsidR="00E246D9" w:rsidRPr="00E246D9" w:rsidRDefault="00E246D9" w:rsidP="00E246D9">
      <w:pPr>
        <w:pStyle w:val="AERquoteindent1"/>
      </w:pPr>
      <w:r w:rsidRPr="00E246D9">
        <w:t>(b)</w:t>
      </w:r>
      <w:r w:rsidRPr="00E246D9">
        <w:tab/>
        <w:t xml:space="preserve">the reliability, safety and security of the national electricity system. </w:t>
      </w:r>
    </w:p>
    <w:p w:rsidR="00506EC2" w:rsidRPr="00506EC2" w:rsidRDefault="00506EC2" w:rsidP="00506EC2">
      <w:pPr>
        <w:pStyle w:val="AERbodytext"/>
        <w:numPr>
          <w:ilvl w:val="0"/>
          <w:numId w:val="49"/>
        </w:numPr>
        <w:rPr>
          <w:rStyle w:val="AERbody"/>
        </w:rPr>
      </w:pPr>
      <w:r w:rsidRPr="00506EC2">
        <w:rPr>
          <w:rStyle w:val="AERbody"/>
        </w:rPr>
        <w:t xml:space="preserve">We consider that the NEO is most likely to be advanced where consumers are offered a reasonable level of service at the lowest sustainable price. In most industries, this outcome is achieved through the operation of competition. However, in the electricity network industry the usual competitive disciplines do not operate. The electricity network businesses are natural monopolies and the </w:t>
      </w:r>
      <w:r w:rsidRPr="00506EC2">
        <w:rPr>
          <w:rStyle w:val="AERbody"/>
        </w:rPr>
        <w:lastRenderedPageBreak/>
        <w:t xml:space="preserve">products they offer are essential services for most consumers. Consequently, consumers have little choice but to accept the service quality and price offered by the </w:t>
      </w:r>
      <w:r w:rsidR="005138BA">
        <w:rPr>
          <w:rStyle w:val="AERbody"/>
        </w:rPr>
        <w:t>businesses</w:t>
      </w:r>
      <w:r w:rsidRPr="00506EC2">
        <w:rPr>
          <w:rStyle w:val="AERbody"/>
        </w:rPr>
        <w:t>.</w:t>
      </w:r>
    </w:p>
    <w:p w:rsidR="00506EC2" w:rsidRPr="00506EC2" w:rsidRDefault="00506EC2" w:rsidP="00506EC2">
      <w:pPr>
        <w:pStyle w:val="AERbodytext"/>
        <w:numPr>
          <w:ilvl w:val="0"/>
          <w:numId w:val="49"/>
        </w:numPr>
      </w:pPr>
      <w:r w:rsidRPr="00506EC2">
        <w:t xml:space="preserve">The NEL and NER aim to reflect the competitive process by empowering us, as regulator, to make determinations that are in the long term interests of consumers. In short, we may require the </w:t>
      </w:r>
      <w:r w:rsidR="005138BA">
        <w:t>businesses</w:t>
      </w:r>
      <w:r w:rsidRPr="00506EC2">
        <w:t xml:space="preserve"> to offer their services at a higher quality and lower price than they would choose themselves. This requires the exercise of careful judgement. We must form a view after considering the interests of all parties. Further, there is no single precise answer. </w:t>
      </w:r>
    </w:p>
    <w:p w:rsidR="00506EC2" w:rsidRDefault="00506EC2" w:rsidP="00506EC2">
      <w:pPr>
        <w:pStyle w:val="AERbodytext"/>
      </w:pPr>
      <w:r w:rsidRPr="00506EC2">
        <w:t xml:space="preserve">There are potentially a range of outcomes that might advance the NEO. However, there are also a range of outcomes that are unlikely to advance the NEO to a satisfactory extent. For example, we do not consider that the NEO would be advanced if prices are so high that </w:t>
      </w:r>
      <w:r w:rsidR="004215FA">
        <w:t>the businesses earn excessive returns or that large numbers of consumers s</w:t>
      </w:r>
      <w:r w:rsidR="006A5AD2">
        <w:t>ignificantly reduce their usage</w:t>
      </w:r>
      <w:r w:rsidR="004215FA">
        <w:t>, nor</w:t>
      </w:r>
      <w:r w:rsidR="00410B81">
        <w:t xml:space="preserve"> </w:t>
      </w:r>
      <w:r w:rsidRPr="00506EC2">
        <w:t>if prices are so low that investors are unwilling to supply the service. We are also mindful that electricity supply is an important input for downstream economic activity. We would like to hear views on how the NEO is best reflected in our decision.</w:t>
      </w:r>
    </w:p>
    <w:p w:rsidR="002423F9" w:rsidRDefault="007113BD" w:rsidP="007113BD">
      <w:pPr>
        <w:pStyle w:val="Heading2"/>
        <w:numPr>
          <w:ilvl w:val="2"/>
          <w:numId w:val="2"/>
        </w:numPr>
      </w:pPr>
      <w:bookmarkStart w:id="27" w:name="_Toc392063168"/>
      <w:r w:rsidRPr="007113BD">
        <w:t xml:space="preserve">Who are </w:t>
      </w:r>
      <w:r w:rsidR="00E246D9">
        <w:t>the transmission businesses</w:t>
      </w:r>
      <w:r w:rsidRPr="007113BD">
        <w:t>?</w:t>
      </w:r>
      <w:bookmarkEnd w:id="27"/>
    </w:p>
    <w:p w:rsidR="002423F9" w:rsidRDefault="007113BD" w:rsidP="002423F9">
      <w:pPr>
        <w:pStyle w:val="HeadingBoldBlue"/>
      </w:pPr>
      <w:r>
        <w:t>TransGrid</w:t>
      </w:r>
    </w:p>
    <w:p w:rsidR="007113BD" w:rsidRPr="00A5253F" w:rsidRDefault="007113BD" w:rsidP="007113BD">
      <w:pPr>
        <w:pStyle w:val="AERbodytext"/>
      </w:pPr>
      <w:r w:rsidRPr="00A5253F">
        <w:t>TransGrid is a NSW government owned corporation that owns, operates and manages the electricity transmission network in New South Wales and the Australian Capital Territory. TransGrid’s network stretches along the east coast of Australia from Queensland to Victoria, then inland to Broken Hill, making it the backbone of the NEM. It connects major generation sources in the Central Coast, Hunter Valley, Lithgow area and Snowy Mountains, and is interconnected with the Victorian and Queensland networks. TransGrid’s network also connects to four distribution businesses (in NSW and ACT).</w:t>
      </w:r>
      <w:r w:rsidRPr="00A5253F" w:rsidDel="0068391E">
        <w:t xml:space="preserve"> </w:t>
      </w:r>
      <w:r w:rsidRPr="00A5253F">
        <w:t>TransGrid operates more than 12,600 circuit kilometres of transmission lines and cables, along with 91 substations, with nominal voltages of 500 kV, 330 kV, 220 kV and 132 kV.</w:t>
      </w:r>
      <w:r w:rsidRPr="00A5253F">
        <w:rPr>
          <w:rStyle w:val="FootnoteReference"/>
        </w:rPr>
        <w:footnoteReference w:id="27"/>
      </w:r>
      <w:r w:rsidRPr="00A5253F">
        <w:t xml:space="preserve"> </w:t>
      </w:r>
    </w:p>
    <w:p w:rsidR="007113BD" w:rsidRDefault="001C2433" w:rsidP="007113BD">
      <w:pPr>
        <w:pStyle w:val="HeadingBoldBlue"/>
      </w:pPr>
      <w:r>
        <w:t xml:space="preserve">TasNetworks (previously </w:t>
      </w:r>
      <w:r w:rsidR="007113BD">
        <w:t>Transend</w:t>
      </w:r>
      <w:r>
        <w:t>)</w:t>
      </w:r>
    </w:p>
    <w:p w:rsidR="007113BD" w:rsidRPr="00A5253F" w:rsidRDefault="003769FE" w:rsidP="007113BD">
      <w:pPr>
        <w:pStyle w:val="AERbodytext"/>
      </w:pPr>
      <w:r>
        <w:t>TasNetworks (</w:t>
      </w:r>
      <w:r w:rsidR="007113BD" w:rsidRPr="00A5253F">
        <w:t>Transend</w:t>
      </w:r>
      <w:r>
        <w:t>)</w:t>
      </w:r>
      <w:r w:rsidR="007113BD" w:rsidRPr="00A5253F">
        <w:t xml:space="preserve"> is the transmission network service provider in the Tasmanian region of the national electricity market (NEM). </w:t>
      </w:r>
      <w:r w:rsidR="005138BA">
        <w:t>T</w:t>
      </w:r>
      <w:r w:rsidR="0025774B">
        <w:t>asN</w:t>
      </w:r>
      <w:r w:rsidR="005138BA">
        <w:t>etworks</w:t>
      </w:r>
      <w:r w:rsidR="007113BD" w:rsidRPr="00A5253F">
        <w:t xml:space="preserve"> owns, operates, maintains and manages Tasmania’s high-voltage 220 kV and 110 kV transmission network and lower-voltage 44, 33, 22, 11 and 6.6 kV connection assets that together form the transmission system. It owns 48 substations and eight switching stations and 3,600 circuit kilometres of transmission lines.</w:t>
      </w:r>
      <w:r w:rsidR="007113BD" w:rsidRPr="00A5253F">
        <w:rPr>
          <w:rStyle w:val="FootnoteReference"/>
        </w:rPr>
        <w:footnoteReference w:id="28"/>
      </w:r>
      <w:r w:rsidR="007113BD" w:rsidRPr="00A5253F">
        <w:t xml:space="preserve"> </w:t>
      </w:r>
    </w:p>
    <w:p w:rsidR="00E50747" w:rsidRDefault="00E50747" w:rsidP="00E50747">
      <w:pPr>
        <w:pStyle w:val="HeadingBoldBlue"/>
      </w:pPr>
      <w:r>
        <w:t>Directlink</w:t>
      </w:r>
    </w:p>
    <w:p w:rsidR="005B06C4" w:rsidRDefault="005B06C4" w:rsidP="005B06C4">
      <w:pPr>
        <w:pStyle w:val="AERbodytext"/>
      </w:pPr>
      <w:r w:rsidRPr="00415D72">
        <w:t>The Directlink interconnector is a 59 km, 180 MW High Voltage Direct Current (HVDC) interconnect connecting the NSW and Q</w:t>
      </w:r>
      <w:r w:rsidR="005F454E">
        <w:t>ueens</w:t>
      </w:r>
      <w:r w:rsidRPr="00415D72">
        <w:t>l</w:t>
      </w:r>
      <w:r w:rsidR="005F454E">
        <w:t>an</w:t>
      </w:r>
      <w:r w:rsidRPr="00415D72">
        <w:t>d markets.</w:t>
      </w:r>
      <w:r w:rsidR="009F1484" w:rsidRPr="009F1484">
        <w:t xml:space="preserve"> Directlink first came into operation on 25 July 2000 as an unregulated Market Network Service Provider, earning revenue from the National Electricity Market by providing a market network service between the NSW and Queensland power grids. In March 2006, Directlink converted to a regulated interconnector (i.e. a prescribed service) following </w:t>
      </w:r>
      <w:r w:rsidR="009F1484" w:rsidRPr="009F1484">
        <w:lastRenderedPageBreak/>
        <w:t>application for conversion and an AER determination allowing conversion of Directlink to a regulated interconnector.</w:t>
      </w:r>
      <w:r w:rsidR="006A5AD2">
        <w:rPr>
          <w:rStyle w:val="FootnoteReference"/>
        </w:rPr>
        <w:footnoteReference w:id="29"/>
      </w:r>
    </w:p>
    <w:p w:rsidR="00205A6E" w:rsidRDefault="009F1484" w:rsidP="00205A6E">
      <w:pPr>
        <w:pStyle w:val="AERbodytext"/>
      </w:pPr>
      <w:r w:rsidRPr="009F1484">
        <w:t xml:space="preserve">Directlink collects its revenues from TransGrid, acting in the role of coordinating TNSP under the NER.  As a result of the conversion to a regulated interconnector, Directlink is registered with the AEMO as a TNSP. The link is dispatched by AEMO, in a similar manner to a generator, to control flows between the NSW and Queensland regions of the NEM and thereby minimise the costs of generation in the NEM. Under these arrangements, Directlink provides the asset to be available to AEMO for dispatch as required. Directlink is not required to derive its allowed revenue over load or demand served and therefore does not establish tariffs for the provisions of its service. Accordingly, there is no need for Directlink to forecast load or peak demand as would be the case for other regulated </w:t>
      </w:r>
      <w:r w:rsidR="001D091E">
        <w:t>transmission businesses</w:t>
      </w:r>
      <w:r w:rsidRPr="009F1484">
        <w:t>.</w:t>
      </w:r>
    </w:p>
    <w:p w:rsidR="00544F99" w:rsidRPr="00205A6E" w:rsidRDefault="00544F99" w:rsidP="00205A6E">
      <w:pPr>
        <w:pStyle w:val="Heading2"/>
      </w:pPr>
      <w:bookmarkStart w:id="28" w:name="_Toc392063169"/>
      <w:r w:rsidRPr="00205A6E">
        <w:t>Regulatory framework</w:t>
      </w:r>
      <w:bookmarkEnd w:id="28"/>
    </w:p>
    <w:p w:rsidR="00544F99" w:rsidRPr="00544F99" w:rsidRDefault="00544F99" w:rsidP="00544F99">
      <w:pPr>
        <w:pStyle w:val="AERbodytext"/>
        <w:numPr>
          <w:ilvl w:val="0"/>
          <w:numId w:val="49"/>
        </w:numPr>
      </w:pPr>
      <w:r w:rsidRPr="00544F99">
        <w:t xml:space="preserve">The NSW and Tasmanian transmission businesses operate under the NEL and NER.  </w:t>
      </w:r>
    </w:p>
    <w:p w:rsidR="00544F99" w:rsidRPr="00544F99" w:rsidRDefault="00544F99" w:rsidP="00205A6E">
      <w:pPr>
        <w:pStyle w:val="Heading3"/>
      </w:pPr>
      <w:bookmarkStart w:id="29" w:name="_Toc384813026"/>
      <w:r w:rsidRPr="00544F99">
        <w:t>Applicable version of the National Electricity Rules</w:t>
      </w:r>
      <w:bookmarkEnd w:id="29"/>
    </w:p>
    <w:p w:rsidR="00544F99" w:rsidRDefault="00544F99" w:rsidP="00544F99">
      <w:pPr>
        <w:pStyle w:val="AERbodytext"/>
        <w:numPr>
          <w:ilvl w:val="0"/>
          <w:numId w:val="49"/>
        </w:numPr>
      </w:pPr>
      <w:r w:rsidRPr="00544F99">
        <w:t>We must assess the TNSP's regulatory proposals under version 58 of the NER as modified by transitional rules (set out in c</w:t>
      </w:r>
      <w:r w:rsidR="00205A6E">
        <w:t>hapter 11 of the NER) —</w:t>
      </w:r>
      <w:r w:rsidRPr="00544F99">
        <w:t xml:space="preserve"> Version 58 is available at the Australian Energy Market Commission (AEMC) website.</w:t>
      </w:r>
      <w:r w:rsidRPr="00ED4637">
        <w:rPr>
          <w:rStyle w:val="AERsuperscript"/>
        </w:rPr>
        <w:footnoteReference w:id="30"/>
      </w:r>
      <w:r w:rsidRPr="00544F99">
        <w:t xml:space="preserve"> This version of the NER includes the result of significant changes made by the AEMC in November 2012. </w:t>
      </w:r>
      <w:r w:rsidR="00D15FCC" w:rsidRPr="00D15FCC">
        <w:t>Under our Better Regulation program, during 2013 we developed, through an extensive process, a number of guidelines. The objective of this program was to refine our approach to regulation and to accommodate changes to the NEL and NER. The result was a suite of guidelines that set out approaches we consider are</w:t>
      </w:r>
      <w:r w:rsidR="002B27CB">
        <w:t xml:space="preserve"> most likely to advance the NEO:</w:t>
      </w:r>
      <w:r w:rsidR="00D15FCC" w:rsidRPr="00D15FCC">
        <w:t xml:space="preserve"> </w:t>
      </w:r>
    </w:p>
    <w:p w:rsidR="002B27CB" w:rsidRPr="002B27CB" w:rsidRDefault="002B27CB" w:rsidP="002B27CB">
      <w:pPr>
        <w:pStyle w:val="AERbulletlistfirststyle"/>
        <w:rPr>
          <w:rStyle w:val="AERtextbold"/>
        </w:rPr>
      </w:pPr>
      <w:r w:rsidRPr="002B27CB">
        <w:rPr>
          <w:rStyle w:val="AERtextbold"/>
        </w:rPr>
        <w:t xml:space="preserve">Expenditure forecast assessment guideline </w:t>
      </w:r>
    </w:p>
    <w:p w:rsidR="002B27CB" w:rsidRPr="002B27CB" w:rsidRDefault="002B27CB" w:rsidP="002B27CB">
      <w:pPr>
        <w:pStyle w:val="AERbodytext"/>
        <w:numPr>
          <w:ilvl w:val="0"/>
          <w:numId w:val="49"/>
        </w:numPr>
      </w:pPr>
      <w:r w:rsidRPr="002B27CB">
        <w:t xml:space="preserve">Assessing expenditure proposals from businesses. </w:t>
      </w:r>
    </w:p>
    <w:p w:rsidR="002B27CB" w:rsidRPr="002B27CB" w:rsidRDefault="002B27CB" w:rsidP="002B27CB">
      <w:pPr>
        <w:pStyle w:val="AERbulletlistfirststyle"/>
        <w:rPr>
          <w:rStyle w:val="AERtextbold"/>
        </w:rPr>
      </w:pPr>
      <w:r w:rsidRPr="002B27CB">
        <w:rPr>
          <w:rStyle w:val="AERtextbold"/>
        </w:rPr>
        <w:t>Rate of return guideline</w:t>
      </w:r>
    </w:p>
    <w:p w:rsidR="002B27CB" w:rsidRPr="002B27CB" w:rsidRDefault="002B27CB" w:rsidP="002B27CB">
      <w:pPr>
        <w:pStyle w:val="AERbodytext"/>
        <w:numPr>
          <w:ilvl w:val="0"/>
          <w:numId w:val="49"/>
        </w:numPr>
      </w:pPr>
      <w:r w:rsidRPr="002B27CB">
        <w:t xml:space="preserve">Determining the allowed rate of return businesses earn on their investments. </w:t>
      </w:r>
    </w:p>
    <w:p w:rsidR="002B27CB" w:rsidRPr="002B27CB" w:rsidRDefault="002B27CB" w:rsidP="002B27CB">
      <w:pPr>
        <w:pStyle w:val="AERbulletlistfirststyle"/>
        <w:rPr>
          <w:rStyle w:val="AERtextbold"/>
        </w:rPr>
      </w:pPr>
      <w:r w:rsidRPr="002B27CB">
        <w:rPr>
          <w:rStyle w:val="AERtextbold"/>
        </w:rPr>
        <w:t xml:space="preserve">Expenditure incentives guideline </w:t>
      </w:r>
    </w:p>
    <w:p w:rsidR="002B27CB" w:rsidRPr="002B27CB" w:rsidRDefault="002B27CB" w:rsidP="002B27CB">
      <w:pPr>
        <w:pStyle w:val="AERbodytext"/>
        <w:numPr>
          <w:ilvl w:val="0"/>
          <w:numId w:val="49"/>
        </w:numPr>
      </w:pPr>
      <w:r w:rsidRPr="002B27CB">
        <w:t xml:space="preserve">Creating the right incentives to encourage efficient spending by businesses. </w:t>
      </w:r>
    </w:p>
    <w:p w:rsidR="002B27CB" w:rsidRPr="002B27CB" w:rsidRDefault="002B27CB" w:rsidP="002B27CB">
      <w:pPr>
        <w:pStyle w:val="AERbulletlistfirststyle"/>
        <w:rPr>
          <w:rStyle w:val="AERtextbold"/>
        </w:rPr>
      </w:pPr>
      <w:r w:rsidRPr="002B27CB">
        <w:rPr>
          <w:rStyle w:val="AERtextbold"/>
        </w:rPr>
        <w:t xml:space="preserve">Consumer engagement guideline for network service providers </w:t>
      </w:r>
    </w:p>
    <w:p w:rsidR="002B27CB" w:rsidRPr="002B27CB" w:rsidRDefault="002B27CB" w:rsidP="002B27CB">
      <w:pPr>
        <w:pStyle w:val="AERbodytext"/>
        <w:numPr>
          <w:ilvl w:val="0"/>
          <w:numId w:val="49"/>
        </w:numPr>
      </w:pPr>
      <w:r w:rsidRPr="002B27CB">
        <w:t xml:space="preserve">Implementing consumer engagement strategies that are effective for all stakeholders. </w:t>
      </w:r>
    </w:p>
    <w:p w:rsidR="002B27CB" w:rsidRPr="002B27CB" w:rsidRDefault="002B27CB" w:rsidP="002B27CB">
      <w:pPr>
        <w:pStyle w:val="AERbulletlistfirststyle"/>
        <w:rPr>
          <w:rStyle w:val="AERtextbold"/>
        </w:rPr>
      </w:pPr>
      <w:r w:rsidRPr="002B27CB">
        <w:rPr>
          <w:rStyle w:val="AERtextbold"/>
        </w:rPr>
        <w:t xml:space="preserve">Shared asset guideline </w:t>
      </w:r>
    </w:p>
    <w:p w:rsidR="002B27CB" w:rsidRPr="002B27CB" w:rsidRDefault="002B27CB" w:rsidP="002B27CB">
      <w:pPr>
        <w:pStyle w:val="AERbodytext"/>
        <w:numPr>
          <w:ilvl w:val="0"/>
          <w:numId w:val="49"/>
        </w:numPr>
      </w:pPr>
      <w:r w:rsidRPr="002B27CB">
        <w:t xml:space="preserve">Sharing the revenue networks earn from shared assets with consumers. </w:t>
      </w:r>
    </w:p>
    <w:p w:rsidR="002B27CB" w:rsidRPr="002B27CB" w:rsidRDefault="002B27CB" w:rsidP="002B27CB">
      <w:pPr>
        <w:pStyle w:val="AERbulletlistfirststyle"/>
        <w:rPr>
          <w:rStyle w:val="AERtextbold"/>
        </w:rPr>
      </w:pPr>
      <w:r w:rsidRPr="002B27CB">
        <w:rPr>
          <w:rStyle w:val="AERtextbold"/>
        </w:rPr>
        <w:t xml:space="preserve">Confidentiality guideline </w:t>
      </w:r>
    </w:p>
    <w:p w:rsidR="002B27CB" w:rsidRPr="002B27CB" w:rsidRDefault="002B27CB" w:rsidP="002B27CB">
      <w:pPr>
        <w:pStyle w:val="AERbodytext"/>
        <w:numPr>
          <w:ilvl w:val="0"/>
          <w:numId w:val="49"/>
        </w:numPr>
      </w:pPr>
      <w:r w:rsidRPr="002B27CB">
        <w:lastRenderedPageBreak/>
        <w:t xml:space="preserve">Managing confidential information for an effective regulatory determination process. </w:t>
      </w:r>
    </w:p>
    <w:p w:rsidR="00544F99" w:rsidRPr="00544F99" w:rsidRDefault="00544F99" w:rsidP="00544F99">
      <w:pPr>
        <w:pStyle w:val="AERbodytext"/>
        <w:numPr>
          <w:ilvl w:val="0"/>
          <w:numId w:val="49"/>
        </w:numPr>
      </w:pPr>
      <w:r w:rsidRPr="00544F99">
        <w:t>We consulted extensively in developing the guidelines. This was very important for testing our views and hearing from a range of interested parties. In particular, we made a special effort to engage consumers in the process through our Consumer Reference Group.</w:t>
      </w:r>
      <w:r w:rsidRPr="00544F99">
        <w:rPr>
          <w:rStyle w:val="FootnoteReference"/>
        </w:rPr>
        <w:footnoteReference w:id="31"/>
      </w:r>
      <w:r w:rsidRPr="00544F99">
        <w:t xml:space="preserve"> We consider the guidelines provide a solid foundation for our decision making. </w:t>
      </w:r>
    </w:p>
    <w:p w:rsidR="00544F99" w:rsidRPr="00544F99" w:rsidRDefault="00544F99" w:rsidP="00544F99">
      <w:pPr>
        <w:pStyle w:val="AERbodytext"/>
        <w:numPr>
          <w:ilvl w:val="0"/>
          <w:numId w:val="49"/>
        </w:numPr>
      </w:pPr>
      <w:r w:rsidRPr="00544F99">
        <w:t>One of the themes that emerged from our consultation was a desire from stakeholders for clarity about the approach we would take in our decisions. In particular, many stakeholders observed that greater clarity would aid investment in the sector. To address this issue we set out our intended approaches in detail in the guidelines.</w:t>
      </w:r>
    </w:p>
    <w:p w:rsidR="00A04447" w:rsidRPr="00A04447" w:rsidRDefault="00A04447" w:rsidP="00A04447">
      <w:pPr>
        <w:pStyle w:val="AERbodytext"/>
        <w:numPr>
          <w:ilvl w:val="0"/>
          <w:numId w:val="49"/>
        </w:numPr>
      </w:pPr>
      <w:r w:rsidRPr="00A04447">
        <w:t xml:space="preserve">In the process established by the NER, the </w:t>
      </w:r>
      <w:r>
        <w:t>businesses</w:t>
      </w:r>
      <w:r w:rsidRPr="00A04447">
        <w:t xml:space="preserve"> have the first opportunity to propose a price/service offering. T</w:t>
      </w:r>
      <w:r>
        <w:t>he transmission businesses application, or revenue</w:t>
      </w:r>
      <w:r w:rsidRPr="00A04447">
        <w:t xml:space="preserve"> proposal, starts a process often referred to as a revenue reset, or simply a 'reset'. We will assess that proposal against the NEO and NER to form a view on whether </w:t>
      </w:r>
      <w:r w:rsidR="00A62150">
        <w:t>each of the proposals made by the businesses</w:t>
      </w:r>
      <w:r w:rsidRPr="00A04447">
        <w:t xml:space="preserve"> is in the long term interests of consumers. Where it is not, we will not accept the proposal, and instead impose our own decision.</w:t>
      </w:r>
    </w:p>
    <w:p w:rsidR="00544F99" w:rsidRPr="00205A6E" w:rsidRDefault="00544F99" w:rsidP="00205A6E">
      <w:pPr>
        <w:pStyle w:val="Heading3"/>
      </w:pPr>
      <w:r w:rsidRPr="00205A6E">
        <w:t>The transitional regulatory year</w:t>
      </w:r>
    </w:p>
    <w:p w:rsidR="00544F99" w:rsidRPr="00544F99" w:rsidRDefault="00544F99" w:rsidP="00544F99">
      <w:r w:rsidRPr="00544F99">
        <w:t xml:space="preserve">Our revenue determination process for TransGrid and </w:t>
      </w:r>
      <w:r w:rsidR="005138BA">
        <w:t>TasNetworks</w:t>
      </w:r>
      <w:r w:rsidRPr="00544F99">
        <w:t xml:space="preserve"> was due to be completed in 2014. However, the process was delayed so consumers would receive the benefit of the new network rules and we could focus on developing and applying the Better Regulation guidelines.  </w:t>
      </w:r>
    </w:p>
    <w:p w:rsidR="00544F99" w:rsidRPr="00544F99" w:rsidRDefault="00544F99" w:rsidP="00544F99">
      <w:r w:rsidRPr="00544F99">
        <w:t>Consequently, the AEMC separated the regulatory control period into:</w:t>
      </w:r>
    </w:p>
    <w:p w:rsidR="00544F99" w:rsidRPr="00544F99" w:rsidRDefault="00544F99" w:rsidP="00544F99">
      <w:pPr>
        <w:pStyle w:val="AERbulletlistfirststyle"/>
      </w:pPr>
      <w:r w:rsidRPr="00544F99">
        <w:t xml:space="preserve">the transitional  regulatory control period (1 July 2014 to 30 June 2015) </w:t>
      </w:r>
    </w:p>
    <w:p w:rsidR="00544F99" w:rsidRPr="00544F99" w:rsidRDefault="00544F99" w:rsidP="00544F99">
      <w:pPr>
        <w:pStyle w:val="AERbulletlistfirststyle"/>
      </w:pPr>
      <w:r w:rsidRPr="00544F99">
        <w:t>the subsequent regulatory control period (</w:t>
      </w:r>
      <w:r w:rsidR="00A62150">
        <w:t xml:space="preserve">beginning </w:t>
      </w:r>
      <w:r w:rsidRPr="00544F99">
        <w:t xml:space="preserve">1 July 2015). </w:t>
      </w:r>
    </w:p>
    <w:p w:rsidR="00544F99" w:rsidRPr="00544F99" w:rsidRDefault="00544F99" w:rsidP="00544F99">
      <w:pPr>
        <w:pStyle w:val="AERbodytext"/>
        <w:numPr>
          <w:ilvl w:val="0"/>
          <w:numId w:val="49"/>
        </w:numPr>
      </w:pPr>
      <w:r w:rsidRPr="00544F99">
        <w:t xml:space="preserve">We made our transitional decision for the TransGrid and </w:t>
      </w:r>
      <w:r w:rsidR="005138BA">
        <w:t>TasNetworks</w:t>
      </w:r>
      <w:r w:rsidRPr="00544F99">
        <w:t xml:space="preserve"> (covering the transitional regulatory control period</w:t>
      </w:r>
      <w:r w:rsidR="00A62150">
        <w:t>)</w:t>
      </w:r>
      <w:r w:rsidR="00A62150" w:rsidRPr="00544F99">
        <w:t xml:space="preserve"> </w:t>
      </w:r>
      <w:r w:rsidRPr="00544F99">
        <w:t xml:space="preserve">as outlined in section </w:t>
      </w:r>
      <w:r w:rsidR="003769FE">
        <w:t>1.1.3</w:t>
      </w:r>
      <w:r w:rsidRPr="00544F99">
        <w:t xml:space="preserve">. Our transitional decisions set out the placeholder revenue allowances and application of the regulatory framework for </w:t>
      </w:r>
      <w:r w:rsidR="00A62150">
        <w:t>each transmission business</w:t>
      </w:r>
      <w:r w:rsidRPr="00544F99">
        <w:t xml:space="preserve"> for the transitional regulatory control period.</w:t>
      </w:r>
      <w:r w:rsidR="00205A6E">
        <w:t xml:space="preserve">  </w:t>
      </w:r>
      <w:r w:rsidR="00A04447" w:rsidRPr="00A04447">
        <w:t xml:space="preserve">Ultimately, these placeholder revenue allowances will be replaced by the revenue allowances we approve in our full determinations to be published by 30 April 2015. </w:t>
      </w:r>
      <w:r w:rsidR="00205A6E">
        <w:t>Directl</w:t>
      </w:r>
      <w:r w:rsidRPr="00544F99">
        <w:t>ink</w:t>
      </w:r>
      <w:r w:rsidR="00205A6E">
        <w:t>'</w:t>
      </w:r>
      <w:r w:rsidRPr="00544F99">
        <w:t>s revenue determination process was always due to be completed in 2015 so there was no need for a transitional determination.</w:t>
      </w:r>
    </w:p>
    <w:p w:rsidR="00544F99" w:rsidRPr="00544F99" w:rsidRDefault="00544F99" w:rsidP="00544F99">
      <w:pPr>
        <w:pStyle w:val="Heading3"/>
      </w:pPr>
      <w:r w:rsidRPr="00544F99">
        <w:t>Our transitional determination</w:t>
      </w:r>
    </w:p>
    <w:p w:rsidR="00544F99" w:rsidRPr="00544F99" w:rsidRDefault="00544F99" w:rsidP="00544F99">
      <w:r w:rsidRPr="00544F99">
        <w:t xml:space="preserve">On 28 March 2014, we issued transitional determinations for TransGrid and Transend </w:t>
      </w:r>
      <w:r w:rsidR="00D67F8C">
        <w:t xml:space="preserve">(TasNetworks) </w:t>
      </w:r>
      <w:r w:rsidRPr="00544F99">
        <w:t>for the 2014-15 regulatory control period. These decisions determine transmission prices for NSW and Tasmanian customers in this one year period. Any discrepancies between our transitional determinations and our full determinations will be balanced up over the remaining years of the next regulatory control period.</w:t>
      </w:r>
    </w:p>
    <w:p w:rsidR="00544F99" w:rsidRPr="00544F99" w:rsidRDefault="00544F99" w:rsidP="00544F99">
      <w:r w:rsidRPr="00544F99">
        <w:t xml:space="preserve">Our transitional </w:t>
      </w:r>
      <w:r w:rsidR="00A62150">
        <w:t>determinations</w:t>
      </w:r>
      <w:r w:rsidR="00A62150" w:rsidRPr="00544F99">
        <w:t xml:space="preserve"> </w:t>
      </w:r>
      <w:r w:rsidRPr="00544F99">
        <w:t>provide, for the 2014–15 regulatory control period:</w:t>
      </w:r>
      <w:r w:rsidRPr="00544F99">
        <w:rPr>
          <w:rStyle w:val="FootnoteReference"/>
        </w:rPr>
        <w:footnoteReference w:id="32"/>
      </w:r>
    </w:p>
    <w:p w:rsidR="00544F99" w:rsidRPr="00544F99" w:rsidRDefault="00544F99" w:rsidP="00544F99">
      <w:pPr>
        <w:pStyle w:val="AERbulletlistfirststyle"/>
        <w:rPr>
          <w:rStyle w:val="AERbody"/>
        </w:rPr>
      </w:pPr>
      <w:r w:rsidRPr="00544F99">
        <w:rPr>
          <w:rStyle w:val="AERbody"/>
        </w:rPr>
        <w:lastRenderedPageBreak/>
        <w:t>TransGrid will be able to recover $845.4 million ($nominal), which is 9.1 per cent lower than it proposed</w:t>
      </w:r>
      <w:r w:rsidR="003769FE">
        <w:rPr>
          <w:rStyle w:val="AERbody"/>
        </w:rPr>
        <w:t xml:space="preserve"> in its transitional proposal</w:t>
      </w:r>
      <w:r w:rsidRPr="00544F99">
        <w:rPr>
          <w:rStyle w:val="AERbody"/>
        </w:rPr>
        <w:t>.</w:t>
      </w:r>
    </w:p>
    <w:p w:rsidR="00544F99" w:rsidRPr="00544F99" w:rsidRDefault="00544F99" w:rsidP="00544F99">
      <w:pPr>
        <w:pStyle w:val="AERbulletlistfirststyle"/>
        <w:rPr>
          <w:rStyle w:val="AERbody"/>
        </w:rPr>
      </w:pPr>
      <w:r w:rsidRPr="00544F99">
        <w:rPr>
          <w:rStyle w:val="AERbody"/>
        </w:rPr>
        <w:t xml:space="preserve">Transend </w:t>
      </w:r>
      <w:r w:rsidR="00D67F8C">
        <w:rPr>
          <w:rStyle w:val="AERbody"/>
        </w:rPr>
        <w:t xml:space="preserve">(TasNetworks) </w:t>
      </w:r>
      <w:r w:rsidRPr="00544F99">
        <w:rPr>
          <w:rStyle w:val="AERbody"/>
        </w:rPr>
        <w:t>will be able to recover $205.1 million ($nominal), which is 4.8 per cent lower than it proposed</w:t>
      </w:r>
      <w:r w:rsidR="003769FE">
        <w:rPr>
          <w:rStyle w:val="AERbody"/>
        </w:rPr>
        <w:t xml:space="preserve"> in its transitional proposal</w:t>
      </w:r>
      <w:r w:rsidRPr="00544F99">
        <w:rPr>
          <w:rStyle w:val="AERbody"/>
        </w:rPr>
        <w:t>.</w:t>
      </w:r>
    </w:p>
    <w:p w:rsidR="00544F99" w:rsidRPr="00544F99" w:rsidRDefault="00544F99" w:rsidP="00205A6E">
      <w:pPr>
        <w:pStyle w:val="Heading3"/>
      </w:pPr>
      <w:r w:rsidRPr="00544F99">
        <w:t>Our framework and approach papers</w:t>
      </w:r>
    </w:p>
    <w:p w:rsidR="00544F99" w:rsidRPr="00544F99" w:rsidRDefault="00544F99" w:rsidP="00544F99">
      <w:pPr>
        <w:pStyle w:val="AERbodytext"/>
      </w:pPr>
      <w:r w:rsidRPr="00544F99">
        <w:t xml:space="preserve">We released our Framework and Approach (F&amp;A) papers on 23 January 2014. The F&amp;A papers set out our intended application of the regulatory framework (e.g. application of incentive schemes). The purpose of this paper </w:t>
      </w:r>
      <w:r w:rsidR="00A62150">
        <w:t>wa</w:t>
      </w:r>
      <w:r w:rsidR="00A62150" w:rsidRPr="00544F99">
        <w:t xml:space="preserve">s </w:t>
      </w:r>
      <w:r w:rsidRPr="00544F99">
        <w:t xml:space="preserve">to facilitate early public consultation on relevant issues and assist the </w:t>
      </w:r>
      <w:r w:rsidR="00D67F8C">
        <w:t>businesses</w:t>
      </w:r>
      <w:r w:rsidR="00D67F8C" w:rsidRPr="00544F99">
        <w:t xml:space="preserve"> </w:t>
      </w:r>
      <w:r w:rsidRPr="00544F99">
        <w:t>to prepare their revenue proposals.</w:t>
      </w:r>
    </w:p>
    <w:p w:rsidR="00544F99" w:rsidRPr="00544F99" w:rsidRDefault="00544F99" w:rsidP="00544F99">
      <w:pPr>
        <w:pStyle w:val="AERbodytext"/>
      </w:pPr>
      <w:r w:rsidRPr="00544F99">
        <w:t>In general, the positions set out in the F&amp;A paper in relation to the regulatory control period</w:t>
      </w:r>
      <w:r w:rsidR="00A62150">
        <w:t xml:space="preserve"> beginning 1 July 2015</w:t>
      </w:r>
      <w:r w:rsidRPr="00544F99">
        <w:t xml:space="preserve">, are not binding on the </w:t>
      </w:r>
      <w:r w:rsidR="006A5AD2">
        <w:t>busines</w:t>
      </w:r>
      <w:r w:rsidR="00D67F8C">
        <w:t>ses</w:t>
      </w:r>
      <w:r w:rsidRPr="00544F99">
        <w:t xml:space="preserve">. This means it is open to us to change our position on matters set out in the F&amp;A paper for the subsequent regulatory control period where there is a reason to change, for example due to changes in circumstances.   </w:t>
      </w:r>
    </w:p>
    <w:p w:rsidR="00544F99" w:rsidRPr="00205A6E" w:rsidRDefault="00544F99" w:rsidP="00205A6E">
      <w:pPr>
        <w:pStyle w:val="Heading3"/>
      </w:pPr>
      <w:r w:rsidRPr="00205A6E">
        <w:t xml:space="preserve">Maximum allowed revenue  </w:t>
      </w:r>
    </w:p>
    <w:p w:rsidR="00544F99" w:rsidRPr="00544F99" w:rsidRDefault="00544F99" w:rsidP="00544F99">
      <w:pPr>
        <w:pStyle w:val="AERbodytext"/>
        <w:numPr>
          <w:ilvl w:val="0"/>
          <w:numId w:val="49"/>
        </w:numPr>
      </w:pPr>
      <w:r w:rsidRPr="00544F99">
        <w:t xml:space="preserve">The </w:t>
      </w:r>
      <w:r w:rsidR="001D091E">
        <w:t>transmission businesses</w:t>
      </w:r>
      <w:r w:rsidR="001D091E" w:rsidRPr="00544F99">
        <w:t xml:space="preserve"> </w:t>
      </w:r>
      <w:r w:rsidRPr="00544F99">
        <w:t xml:space="preserve">recover their revenue from its customers via their network tariffs. Their pricing methodology prescribes the way they recover this revenue. To determine the </w:t>
      </w:r>
      <w:r w:rsidR="001D091E">
        <w:t>transmission businesses</w:t>
      </w:r>
      <w:r w:rsidR="001D091E" w:rsidRPr="00544F99">
        <w:t xml:space="preserve"> </w:t>
      </w:r>
      <w:r w:rsidRPr="00544F99">
        <w:t>revenue for the next regulatory control period, we assess the total revenue required to provide prescribed transmission services for each year of the period. This annual revenue requirement reflects the efficient costs of providing prescribed transmission services across the NSW and Tasmanian electricity transmission networks.</w:t>
      </w:r>
    </w:p>
    <w:p w:rsidR="00544F99" w:rsidRPr="00544F99" w:rsidRDefault="00544F99" w:rsidP="00544F99">
      <w:pPr>
        <w:pStyle w:val="AERbodytext"/>
        <w:numPr>
          <w:ilvl w:val="0"/>
          <w:numId w:val="49"/>
        </w:numPr>
      </w:pPr>
      <w:r w:rsidRPr="00544F99">
        <w:t xml:space="preserve">In accordance with the NER, we use the building block approach to determine the annual revenue requirement. That revenue requirement is determined by estimating the efficient costs that the </w:t>
      </w:r>
      <w:r w:rsidR="00D67F8C">
        <w:t>businesses</w:t>
      </w:r>
      <w:r w:rsidR="00D67F8C" w:rsidRPr="00544F99">
        <w:t xml:space="preserve"> </w:t>
      </w:r>
      <w:r w:rsidRPr="00544F99">
        <w:t>are likely to incur in providing prescribed transmission services. The underlying cost elements include:</w:t>
      </w:r>
    </w:p>
    <w:p w:rsidR="00544F99" w:rsidRPr="00544F99" w:rsidRDefault="00544F99" w:rsidP="00544F99">
      <w:pPr>
        <w:pStyle w:val="AERbulletlistfirststyle"/>
      </w:pPr>
      <w:r w:rsidRPr="00544F99">
        <w:t>a return on the regulatory asset base (return on capital)</w:t>
      </w:r>
    </w:p>
    <w:p w:rsidR="00544F99" w:rsidRPr="00544F99" w:rsidRDefault="00544F99" w:rsidP="00544F99">
      <w:pPr>
        <w:pStyle w:val="AERbulletlistfirststyle"/>
      </w:pPr>
      <w:r w:rsidRPr="00544F99">
        <w:t>depreciation of the regulatory asset base (return of capital)</w:t>
      </w:r>
    </w:p>
    <w:p w:rsidR="00544F99" w:rsidRPr="00544F99" w:rsidRDefault="00544F99" w:rsidP="00544F99">
      <w:pPr>
        <w:pStyle w:val="AERbulletlistfirststyle"/>
      </w:pPr>
      <w:r w:rsidRPr="00544F99">
        <w:t>forecast operating expenditure (opex)</w:t>
      </w:r>
    </w:p>
    <w:p w:rsidR="00544F99" w:rsidRPr="00544F99" w:rsidRDefault="00544F99" w:rsidP="00544F99">
      <w:pPr>
        <w:pStyle w:val="AERbulletlistfirststyle"/>
      </w:pPr>
      <w:r w:rsidRPr="00544F99">
        <w:t>increments or decrements resulting from the efficiency benefit sharing scheme (EBSS)</w:t>
      </w:r>
    </w:p>
    <w:p w:rsidR="00544F99" w:rsidRPr="00544F99" w:rsidRDefault="00544F99" w:rsidP="00544F99">
      <w:pPr>
        <w:pStyle w:val="AERbulletlistfirststyle"/>
      </w:pPr>
      <w:r w:rsidRPr="00544F99">
        <w:t>the estimated cost of corporate income tax.</w:t>
      </w:r>
    </w:p>
    <w:p w:rsidR="004F5E70" w:rsidRDefault="00544F99" w:rsidP="00544F99">
      <w:r w:rsidRPr="00544F99">
        <w:t>Our assessment of capital expenditure (capex) directly affects the size of the regulatory asset base and therefore the return on capital and return of capital building blocks.</w:t>
      </w:r>
    </w:p>
    <w:p w:rsidR="004F5E70" w:rsidRPr="002914D2" w:rsidRDefault="004F5E70" w:rsidP="004F5E70">
      <w:pPr>
        <w:numPr>
          <w:ilvl w:val="0"/>
          <w:numId w:val="49"/>
        </w:numPr>
        <w:rPr>
          <w:rStyle w:val="AERbody"/>
        </w:rPr>
      </w:pPr>
      <w:r w:rsidRPr="002914D2">
        <w:rPr>
          <w:rStyle w:val="AERbody"/>
        </w:rPr>
        <w:t>Our assessment of the distributors' proposals will consider each of the building block</w:t>
      </w:r>
      <w:r>
        <w:rPr>
          <w:rStyle w:val="AERbody"/>
        </w:rPr>
        <w:t>s</w:t>
      </w:r>
      <w:r w:rsidRPr="002914D2">
        <w:rPr>
          <w:rStyle w:val="AERbody"/>
        </w:rPr>
        <w:t>. However, we must decide the distributors' revenues as a whole. This leads us to consider the interrelationships between the components.</w:t>
      </w:r>
      <w:r w:rsidRPr="003D5696">
        <w:rPr>
          <w:rStyle w:val="AERsuperscript"/>
        </w:rPr>
        <w:footnoteReference w:id="33"/>
      </w:r>
      <w:r w:rsidRPr="002914D2">
        <w:rPr>
          <w:rStyle w:val="AERbody"/>
        </w:rPr>
        <w:t xml:space="preserve"> </w:t>
      </w:r>
      <w:r>
        <w:rPr>
          <w:rStyle w:val="AERbody"/>
        </w:rPr>
        <w:t>T</w:t>
      </w:r>
      <w:r w:rsidRPr="002914D2">
        <w:rPr>
          <w:rStyle w:val="AERbody"/>
        </w:rPr>
        <w:t xml:space="preserve">he NEL requires us to describe how the components of our decision relate to each other.  We must also describe how we have taken those interrelationships into account. </w:t>
      </w:r>
    </w:p>
    <w:p w:rsidR="00544F99" w:rsidRPr="00544F99" w:rsidRDefault="00544F99" w:rsidP="00544F99">
      <w:r w:rsidRPr="00544F99">
        <w:t xml:space="preserve"> </w:t>
      </w:r>
    </w:p>
    <w:p w:rsidR="00544F99" w:rsidRPr="00BC5FD6" w:rsidRDefault="00544F99" w:rsidP="00BC5FD6">
      <w:pPr>
        <w:pStyle w:val="Caption"/>
        <w:rPr>
          <w:rStyle w:val="AERtextbold"/>
          <w:b/>
        </w:rPr>
      </w:pPr>
      <w:r w:rsidRPr="00BC5FD6">
        <w:lastRenderedPageBreak/>
        <w:t xml:space="preserve">Figure </w:t>
      </w:r>
      <w:r w:rsidR="00BC5FD6">
        <w:t>6</w:t>
      </w:r>
      <w:r w:rsidRPr="00BC5FD6">
        <w:tab/>
      </w:r>
      <w:r w:rsidRPr="00BC5FD6">
        <w:rPr>
          <w:rStyle w:val="AERtextbold"/>
          <w:b/>
        </w:rPr>
        <w:t>The building block approach to determining total revenue</w:t>
      </w:r>
    </w:p>
    <w:p w:rsidR="00544F99" w:rsidRPr="00544F99" w:rsidRDefault="00B27D9D" w:rsidP="00544F99">
      <w:pPr>
        <w:pStyle w:val="AERbodytext"/>
        <w:numPr>
          <w:ilvl w:val="0"/>
          <w:numId w:val="49"/>
        </w:numPr>
      </w:pPr>
      <w:r>
        <w:rPr>
          <w:rStyle w:val="AERbody"/>
        </w:rPr>
      </w:r>
      <w:r>
        <w:rPr>
          <w:rStyle w:val="AERbody"/>
        </w:rPr>
        <w:pict>
          <v:group id="_x0000_s1048" editas="canvas" alt="Image outlining the bulding block model. The table's contents were described in the previous paragraph." style="width:429.85pt;height:267.45pt;mso-position-horizontal-relative:char;mso-position-vertical-relative:line" coordorigin="1392,2921" coordsize="8597,534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left:1392;top:2921;width:8597;height:5349" o:preferrelative="f">
              <v:fill o:detectmouseclick="t"/>
              <v:path o:extrusionok="t" o:connecttype="none"/>
              <o:lock v:ext="edit" text="t"/>
            </v:shape>
            <v:shape id="_x0000_s1050" type="#_x0000_t202" style="position:absolute;left:3741;top:2929;width:3890;height:998" fillcolor="#c00000" strokecolor="#c00000" strokeweight="0">
              <v:fill opacity=".5" color2="fill lighten(225)" focusposition=".5,.5" focussize="" method="linear sigma" focus="100%" type="gradientRadial"/>
              <v:shadow on="t" type="perspective" color="#622423" offset="1pt" offset2="-3pt"/>
              <v:textbox style="mso-next-textbox:#_x0000_s1050">
                <w:txbxContent>
                  <w:p w:rsidR="00DA7A13" w:rsidRPr="001C2CD9" w:rsidRDefault="00DA7A13" w:rsidP="00544F99">
                    <w:pPr>
                      <w:rPr>
                        <w:rFonts w:ascii="Calibri" w:hAnsi="Calibri"/>
                        <w:b/>
                        <w:color w:val="FFFFFF"/>
                        <w:sz w:val="22"/>
                        <w:szCs w:val="22"/>
                      </w:rPr>
                    </w:pPr>
                    <w:r w:rsidRPr="00E4098A">
                      <w:rPr>
                        <w:rFonts w:ascii="Calibri" w:hAnsi="Calibri"/>
                        <w:color w:val="FFFFFF"/>
                        <w:sz w:val="22"/>
                        <w:szCs w:val="22"/>
                      </w:rPr>
                      <w:t xml:space="preserve">Return on capital </w:t>
                    </w:r>
                    <w:r>
                      <w:rPr>
                        <w:rFonts w:ascii="Calibri" w:hAnsi="Calibri"/>
                        <w:color w:val="FFFFFF"/>
                        <w:sz w:val="22"/>
                        <w:szCs w:val="22"/>
                      </w:rPr>
                      <w:t xml:space="preserve">(forecast RAB </w:t>
                    </w:r>
                    <w:r w:rsidRPr="00E4098A">
                      <w:rPr>
                        <w:rFonts w:ascii="Calibri" w:hAnsi="Calibri"/>
                        <w:color w:val="FFFFFF"/>
                        <w:sz w:val="22"/>
                        <w:szCs w:val="22"/>
                      </w:rPr>
                      <w:t>× cost of capital)</w:t>
                    </w:r>
                  </w:p>
                </w:txbxContent>
              </v:textbox>
            </v:shape>
            <v:shape id="_x0000_s1051" type="#_x0000_t202" style="position:absolute;left:3741;top:4014;width:3890;height:998" fillcolor="#c0504d" strokecolor="#d99594" strokeweight="1pt">
              <v:fill color2="fill lighten(249)" method="linear sigma" focus="50%" type="gradient"/>
              <v:shadow on="t" type="perspective" color="#622423" offset="1pt" offset2="-3pt"/>
              <v:textbox style="mso-next-textbox:#_x0000_s1051">
                <w:txbxContent>
                  <w:p w:rsidR="00DA7A13" w:rsidRPr="00E4098A" w:rsidRDefault="00DA7A13" w:rsidP="00544F99">
                    <w:pPr>
                      <w:rPr>
                        <w:rFonts w:ascii="Calibri" w:hAnsi="Calibri"/>
                        <w:color w:val="FFFFFF"/>
                        <w:sz w:val="22"/>
                        <w:szCs w:val="22"/>
                      </w:rPr>
                    </w:pPr>
                    <w:r w:rsidRPr="00E4098A">
                      <w:rPr>
                        <w:rFonts w:ascii="Calibri" w:hAnsi="Calibri"/>
                        <w:color w:val="FFFFFF"/>
                        <w:sz w:val="22"/>
                        <w:szCs w:val="22"/>
                      </w:rPr>
                      <w:t xml:space="preserve">Regulatory depreciation (depreciation </w:t>
                    </w:r>
                    <w:r>
                      <w:rPr>
                        <w:rFonts w:ascii="Calibri" w:hAnsi="Calibri"/>
                        <w:color w:val="FFFFFF"/>
                        <w:sz w:val="22"/>
                        <w:szCs w:val="22"/>
                      </w:rPr>
                      <w:t>[</w:t>
                    </w:r>
                    <w:r w:rsidRPr="00E4098A">
                      <w:rPr>
                        <w:rFonts w:ascii="Calibri" w:hAnsi="Calibri"/>
                        <w:color w:val="FFFFFF"/>
                        <w:sz w:val="22"/>
                        <w:szCs w:val="22"/>
                      </w:rPr>
                      <w:t>net of indexation</w:t>
                    </w:r>
                    <w:r>
                      <w:rPr>
                        <w:rFonts w:ascii="Calibri" w:hAnsi="Calibri"/>
                        <w:color w:val="FFFFFF"/>
                        <w:sz w:val="22"/>
                        <w:szCs w:val="22"/>
                      </w:rPr>
                      <w:t>]</w:t>
                    </w:r>
                    <w:r w:rsidRPr="00E4098A">
                      <w:rPr>
                        <w:rFonts w:ascii="Calibri" w:hAnsi="Calibri"/>
                        <w:color w:val="FFFFFF"/>
                        <w:sz w:val="22"/>
                        <w:szCs w:val="22"/>
                      </w:rPr>
                      <w:t xml:space="preserve"> applied </w:t>
                    </w:r>
                    <w:r>
                      <w:rPr>
                        <w:rFonts w:ascii="Calibri" w:hAnsi="Calibri"/>
                        <w:color w:val="FFFFFF"/>
                        <w:sz w:val="22"/>
                        <w:szCs w:val="22"/>
                      </w:rPr>
                      <w:t>RAB</w:t>
                    </w:r>
                    <w:r w:rsidRPr="00E4098A">
                      <w:rPr>
                        <w:rFonts w:ascii="Calibri" w:hAnsi="Calibri"/>
                        <w:color w:val="FFFFFF"/>
                        <w:sz w:val="22"/>
                        <w:szCs w:val="22"/>
                      </w:rPr>
                      <w:t>)</w:t>
                    </w:r>
                  </w:p>
                </w:txbxContent>
              </v:textbox>
            </v:shape>
            <v:shape id="_x0000_s1052" type="#_x0000_t202" style="position:absolute;left:3741;top:7272;width:3890;height:998" fillcolor="#76923c" strokecolor="#548dd4" strokeweight="1pt">
              <v:fill color2="fill darken(249)" focusposition="1" focussize="" method="linear sigma" focus="100%" type="gradient"/>
              <v:shadow on="t" type="perspective" color="#622423" opacity=".5" offset="1pt" offset2="-3pt"/>
              <v:textbox style="mso-next-textbox:#_x0000_s1052">
                <w:txbxContent>
                  <w:p w:rsidR="00DA7A13" w:rsidRDefault="00DA7A13" w:rsidP="00544F99">
                    <w:pPr>
                      <w:spacing w:after="200" w:line="276" w:lineRule="auto"/>
                      <w:rPr>
                        <w:rStyle w:val="AERbody"/>
                      </w:rPr>
                    </w:pPr>
                    <w:r w:rsidRPr="007F7192">
                      <w:rPr>
                        <w:rStyle w:val="AERbody"/>
                        <w:color w:val="FFFFFF"/>
                      </w:rPr>
                      <w:t>Corporate income tax (net of value of imputation credits)</w:t>
                    </w:r>
                  </w:p>
                  <w:p w:rsidR="00DA7A13" w:rsidRPr="007F7192" w:rsidRDefault="00DA7A13" w:rsidP="00544F99">
                    <w:pPr>
                      <w:spacing w:after="200" w:line="276" w:lineRule="auto"/>
                      <w:rPr>
                        <w:rStyle w:val="AERbody"/>
                        <w:color w:val="FFFFFF"/>
                      </w:rPr>
                    </w:pPr>
                    <w:r w:rsidRPr="007F7192">
                      <w:rPr>
                        <w:rStyle w:val="AERbody"/>
                        <w:color w:val="FFFFFF"/>
                      </w:rPr>
                      <w:br/>
                    </w:r>
                  </w:p>
                </w:txbxContent>
              </v:textbox>
            </v:shape>
            <v:line id="_x0000_s1053" style="position:absolute" from="7773,2929" to="8316,2929"/>
            <v:line id="_x0000_s1054" style="position:absolute" from="7773,8177" to="8316,8178"/>
            <v:line id="_x0000_s1055" style="position:absolute" from="8316,2929" to="8316,8178"/>
            <v:line id="_x0000_s1056" style="position:absolute;flip:x" from="3067,2929" to="3610,2929"/>
            <v:line id="_x0000_s1057" style="position:absolute;flip:x" from="3067,5101" to="3610,5102"/>
            <v:line id="_x0000_s1058" style="position:absolute" from="3067,2929" to="3067,5101"/>
            <v:shape id="_x0000_s1059" type="#_x0000_t202" style="position:absolute;left:1392;top:3570;width:1617;height:444" strokecolor="white">
              <v:textbox style="mso-next-textbox:#_x0000_s1059">
                <w:txbxContent>
                  <w:p w:rsidR="00DA7A13" w:rsidRPr="002569F7" w:rsidRDefault="00DA7A13" w:rsidP="00544F99">
                    <w:pPr>
                      <w:rPr>
                        <w:rFonts w:ascii="Calibri" w:hAnsi="Calibri"/>
                      </w:rPr>
                    </w:pPr>
                    <w:r w:rsidRPr="002569F7">
                      <w:rPr>
                        <w:rFonts w:ascii="Calibri" w:hAnsi="Calibri"/>
                      </w:rPr>
                      <w:t>Capital costs</w:t>
                    </w:r>
                  </w:p>
                </w:txbxContent>
              </v:textbox>
            </v:shape>
            <v:shape id="_x0000_s1060" type="#_x0000_t202" style="position:absolute;left:3741;top:5102;width:3890;height:998" fillcolor="#365f91" strokecolor="#365f91" strokeweight="1pt">
              <v:fill color2="fill" focusposition="1" focussize="" method="linear sigma" focus="100%" type="gradient"/>
              <v:shadow on="t" type="perspective" color="#3f3151" opacity=".5" offset="1pt" offset2="-3pt"/>
              <v:textbox style="mso-next-textbox:#_x0000_s1060">
                <w:txbxContent>
                  <w:p w:rsidR="00DA7A13" w:rsidRPr="008D2606" w:rsidRDefault="00DA7A13" w:rsidP="00544F99">
                    <w:pPr>
                      <w:spacing w:after="200" w:line="276" w:lineRule="auto"/>
                      <w:rPr>
                        <w:rFonts w:ascii="Calibri" w:hAnsi="Calibri"/>
                        <w:color w:val="FFFFFF"/>
                        <w:sz w:val="22"/>
                        <w:szCs w:val="22"/>
                      </w:rPr>
                    </w:pPr>
                    <w:r w:rsidRPr="008D2606">
                      <w:rPr>
                        <w:rFonts w:ascii="Calibri" w:hAnsi="Calibri"/>
                        <w:color w:val="FFFFFF"/>
                        <w:sz w:val="22"/>
                        <w:szCs w:val="22"/>
                      </w:rPr>
                      <w:t xml:space="preserve">Operating </w:t>
                    </w:r>
                    <w:r w:rsidRPr="00664FB1">
                      <w:rPr>
                        <w:rFonts w:ascii="Calibri" w:hAnsi="Calibri"/>
                        <w:color w:val="FFFFFF"/>
                        <w:sz w:val="22"/>
                        <w:szCs w:val="22"/>
                      </w:rPr>
                      <w:t>expenditure (opex)</w:t>
                    </w:r>
                    <w:r>
                      <w:t xml:space="preserve"> </w:t>
                    </w:r>
                  </w:p>
                  <w:p w:rsidR="00DA7A13" w:rsidRPr="004414F4" w:rsidRDefault="00DA7A13" w:rsidP="00544F99">
                    <w:pPr>
                      <w:rPr>
                        <w:color w:val="FFFFFF"/>
                      </w:rPr>
                    </w:pPr>
                  </w:p>
                </w:txbxContent>
              </v:textbox>
            </v:shape>
            <v:shape id="_x0000_s1061" type="#_x0000_t202" style="position:absolute;left:3741;top:6198;width:3890;height:998" fillcolor="#548dd4" strokecolor="#76923c" strokeweight="1pt">
              <v:fill color2="fill" focusposition="1" focussize="" method="linear sigma" focus="100%" type="gradient"/>
              <v:shadow on="t" type="perspective" color="#205867" opacity=".5" offset="1pt" offset2="-3pt"/>
              <v:textbox style="mso-next-textbox:#_x0000_s1061">
                <w:txbxContent>
                  <w:p w:rsidR="00DA7A13" w:rsidRPr="008D2606" w:rsidRDefault="00DA7A13" w:rsidP="00544F99">
                    <w:pPr>
                      <w:spacing w:after="200" w:line="276" w:lineRule="auto"/>
                      <w:rPr>
                        <w:rFonts w:ascii="Calibri" w:hAnsi="Calibri"/>
                        <w:color w:val="FFFFFF"/>
                        <w:sz w:val="22"/>
                        <w:szCs w:val="22"/>
                      </w:rPr>
                    </w:pPr>
                    <w:r w:rsidRPr="008D2606">
                      <w:rPr>
                        <w:rFonts w:ascii="Calibri" w:hAnsi="Calibri"/>
                        <w:color w:val="FFFFFF"/>
                        <w:sz w:val="22"/>
                        <w:szCs w:val="22"/>
                      </w:rPr>
                      <w:t>Efficiency benefit sharing scheme</w:t>
                    </w:r>
                    <w:r>
                      <w:rPr>
                        <w:rFonts w:ascii="Calibri" w:hAnsi="Calibri"/>
                        <w:color w:val="FFFFFF"/>
                        <w:sz w:val="22"/>
                        <w:szCs w:val="22"/>
                      </w:rPr>
                      <w:t xml:space="preserve"> (EBSS)</w:t>
                    </w:r>
                    <w:r>
                      <w:t xml:space="preserve"> </w:t>
                    </w:r>
                    <w:r w:rsidRPr="008D2606">
                      <w:rPr>
                        <w:rFonts w:ascii="Calibri" w:hAnsi="Calibri"/>
                        <w:color w:val="FFFFFF"/>
                        <w:sz w:val="22"/>
                        <w:szCs w:val="22"/>
                      </w:rPr>
                      <w:t>(increment or decrement)</w:t>
                    </w:r>
                  </w:p>
                  <w:p w:rsidR="00DA7A13" w:rsidRPr="00F51767" w:rsidRDefault="00DA7A13" w:rsidP="00544F99"/>
                </w:txbxContent>
              </v:textbox>
            </v:shape>
            <v:shape id="_x0000_s1062" type="#_x0000_t202" style="position:absolute;left:8502;top:5417;width:1410;height:495" strokecolor="white [3212]">
              <v:textbox style="mso-next-textbox:#_x0000_s1062">
                <w:txbxContent>
                  <w:p w:rsidR="00DA7A13" w:rsidRPr="00E91FF0" w:rsidRDefault="00DA7A13" w:rsidP="00544F99">
                    <w:pPr>
                      <w:pStyle w:val="AERtabletextleft"/>
                    </w:pPr>
                    <w:r w:rsidRPr="00E91FF0">
                      <w:t xml:space="preserve">Total </w:t>
                    </w:r>
                    <w:r>
                      <w:t>r</w:t>
                    </w:r>
                    <w:r w:rsidRPr="00E91FF0">
                      <w:t>evenue</w:t>
                    </w:r>
                  </w:p>
                  <w:p w:rsidR="00DA7A13" w:rsidRDefault="00DA7A13" w:rsidP="00544F99"/>
                </w:txbxContent>
              </v:textbox>
            </v:shape>
            <w10:wrap type="none"/>
            <w10:anchorlock/>
          </v:group>
        </w:pict>
      </w:r>
    </w:p>
    <w:p w:rsidR="00544F99" w:rsidRPr="00544F99" w:rsidRDefault="00544F99" w:rsidP="00544F99">
      <w:r w:rsidRPr="00544F99">
        <w:t>The key drivers of these co</w:t>
      </w:r>
      <w:r w:rsidR="00205A6E">
        <w:t xml:space="preserve">st elements </w:t>
      </w:r>
      <w:r w:rsidR="001D091E">
        <w:t xml:space="preserve">in the revenue proposals </w:t>
      </w:r>
      <w:r w:rsidR="00205A6E">
        <w:t xml:space="preserve">are discussed in </w:t>
      </w:r>
      <w:r w:rsidR="006A5AD2">
        <w:t xml:space="preserve">attachments </w:t>
      </w:r>
      <w:r w:rsidR="00205A6E">
        <w:t>3</w:t>
      </w:r>
      <w:r w:rsidR="006A5AD2">
        <w:t>, 4</w:t>
      </w:r>
      <w:r w:rsidR="00BC5FD6">
        <w:t xml:space="preserve"> </w:t>
      </w:r>
      <w:r w:rsidR="00205A6E">
        <w:t xml:space="preserve">and </w:t>
      </w:r>
      <w:r w:rsidR="006A5AD2">
        <w:t>5</w:t>
      </w:r>
      <w:r w:rsidRPr="00544F99">
        <w:t xml:space="preserve">. </w:t>
      </w:r>
    </w:p>
    <w:p w:rsidR="00881A9C" w:rsidRDefault="00881A9C" w:rsidP="00701382">
      <w:pPr>
        <w:pStyle w:val="AERbodytext"/>
      </w:pPr>
    </w:p>
    <w:p w:rsidR="00660DF5" w:rsidRPr="004B2BA2" w:rsidRDefault="0090338F" w:rsidP="004B2BA2">
      <w:pPr>
        <w:pStyle w:val="Heading1"/>
      </w:pPr>
      <w:bookmarkStart w:id="30" w:name="_Toc392063173"/>
      <w:r w:rsidRPr="004B2BA2">
        <w:lastRenderedPageBreak/>
        <w:t>Total revenue proposals</w:t>
      </w:r>
      <w:bookmarkEnd w:id="30"/>
    </w:p>
    <w:p w:rsidR="0090338F" w:rsidRPr="0090338F" w:rsidRDefault="0090338F" w:rsidP="0090338F">
      <w:pPr>
        <w:pStyle w:val="AERbodytext"/>
        <w:rPr>
          <w:rStyle w:val="AERbody"/>
        </w:rPr>
      </w:pPr>
      <w:r w:rsidRPr="0090338F">
        <w:rPr>
          <w:rStyle w:val="AERbody"/>
        </w:rPr>
        <w:t xml:space="preserve">The </w:t>
      </w:r>
      <w:r w:rsidR="004B2BA2">
        <w:rPr>
          <w:rStyle w:val="AERbody"/>
        </w:rPr>
        <w:t>revenue</w:t>
      </w:r>
      <w:r w:rsidRPr="0090338F">
        <w:rPr>
          <w:rStyle w:val="AERbody"/>
        </w:rPr>
        <w:t xml:space="preserve"> proposals cover many issues relevant to our responsibilities as an economic regulator. Primarily though, they set out the </w:t>
      </w:r>
      <w:r w:rsidR="00A62150">
        <w:rPr>
          <w:rStyle w:val="AERbody"/>
        </w:rPr>
        <w:t xml:space="preserve">proposed </w:t>
      </w:r>
      <w:r w:rsidR="004B2BA2">
        <w:rPr>
          <w:rStyle w:val="AERbody"/>
        </w:rPr>
        <w:t>maximum allow</w:t>
      </w:r>
      <w:r w:rsidR="00660736">
        <w:rPr>
          <w:rStyle w:val="AERbody"/>
        </w:rPr>
        <w:t>ed</w:t>
      </w:r>
      <w:r w:rsidR="004B2BA2">
        <w:rPr>
          <w:rStyle w:val="AERbody"/>
        </w:rPr>
        <w:t xml:space="preserve"> revenue</w:t>
      </w:r>
      <w:r w:rsidRPr="0090338F">
        <w:rPr>
          <w:rStyle w:val="AERbody"/>
        </w:rPr>
        <w:t xml:space="preserve"> for the </w:t>
      </w:r>
      <w:r w:rsidR="00BC5FD6">
        <w:rPr>
          <w:rStyle w:val="AERbody"/>
        </w:rPr>
        <w:t>next</w:t>
      </w:r>
      <w:r w:rsidRPr="0090338F">
        <w:rPr>
          <w:rStyle w:val="AERbody"/>
        </w:rPr>
        <w:t xml:space="preserve"> regulatory control period</w:t>
      </w:r>
      <w:r w:rsidR="00A62150">
        <w:rPr>
          <w:rStyle w:val="AERbody"/>
        </w:rPr>
        <w:t xml:space="preserve"> as submitted by each business</w:t>
      </w:r>
      <w:r w:rsidRPr="0090338F">
        <w:rPr>
          <w:rStyle w:val="AERbody"/>
        </w:rPr>
        <w:t>. This chapter dis</w:t>
      </w:r>
      <w:r w:rsidR="004B2BA2">
        <w:rPr>
          <w:rStyle w:val="AERbody"/>
        </w:rPr>
        <w:t xml:space="preserve">cusses the </w:t>
      </w:r>
      <w:r w:rsidRPr="0090338F">
        <w:rPr>
          <w:rStyle w:val="AERbody"/>
        </w:rPr>
        <w:t xml:space="preserve">revenue proposals in total. </w:t>
      </w:r>
    </w:p>
    <w:p w:rsidR="0062087E" w:rsidRPr="0062087E" w:rsidRDefault="0062087E" w:rsidP="0062087E">
      <w:r>
        <w:t xml:space="preserve">TransGrid has proposed </w:t>
      </w:r>
      <w:r w:rsidR="000756BC">
        <w:t xml:space="preserve">a </w:t>
      </w:r>
      <w:r w:rsidR="00143AE0">
        <w:t xml:space="preserve">real </w:t>
      </w:r>
      <w:r w:rsidR="000756BC">
        <w:t xml:space="preserve">revenue </w:t>
      </w:r>
      <w:r w:rsidR="001D091E">
        <w:t xml:space="preserve">decrease </w:t>
      </w:r>
      <w:r w:rsidR="000756BC">
        <w:t xml:space="preserve">of 2.13 per cent </w:t>
      </w:r>
      <w:r w:rsidR="00F552B7">
        <w:t xml:space="preserve">from the allowed revenue </w:t>
      </w:r>
      <w:r w:rsidR="000756BC">
        <w:t>in 201</w:t>
      </w:r>
      <w:r w:rsidR="00143AE0">
        <w:t>3</w:t>
      </w:r>
      <w:r w:rsidR="000756BC">
        <w:t>-1</w:t>
      </w:r>
      <w:r w:rsidR="00143AE0">
        <w:t>4</w:t>
      </w:r>
      <w:r w:rsidR="000756BC">
        <w:t xml:space="preserve"> followed by an annual change of </w:t>
      </w:r>
      <w:r w:rsidR="00F552B7">
        <w:t xml:space="preserve">zero </w:t>
      </w:r>
      <w:r w:rsidR="000756BC">
        <w:t>per cent over the remainder of the regulatory control period.</w:t>
      </w:r>
      <w:r w:rsidR="00902CD2">
        <w:rPr>
          <w:rStyle w:val="FootnoteReference"/>
        </w:rPr>
        <w:footnoteReference w:id="34"/>
      </w:r>
      <w:r w:rsidR="005138BA">
        <w:t xml:space="preserve"> </w:t>
      </w:r>
      <w:r w:rsidR="00BC5FD6">
        <w:t xml:space="preserve">TasNetworks has proposed an initial </w:t>
      </w:r>
      <w:r w:rsidR="00143AE0">
        <w:t xml:space="preserve">real </w:t>
      </w:r>
      <w:r w:rsidR="00BC5FD6">
        <w:t>revenue decrease of 26</w:t>
      </w:r>
      <w:r w:rsidR="00143AE0">
        <w:t>.5</w:t>
      </w:r>
      <w:r w:rsidR="00BC5FD6">
        <w:t xml:space="preserve"> per cent from the allowed revenue</w:t>
      </w:r>
      <w:r w:rsidR="00143AE0">
        <w:t xml:space="preserve"> in 2013-14</w:t>
      </w:r>
      <w:r w:rsidR="00BC5FD6">
        <w:t xml:space="preserve">, followed by an annual 0.5 per cent </w:t>
      </w:r>
      <w:r w:rsidR="00143AE0">
        <w:t xml:space="preserve">real </w:t>
      </w:r>
      <w:r w:rsidR="00BC5FD6">
        <w:t xml:space="preserve">decrease over the remainder of the regulatory control period. </w:t>
      </w:r>
      <w:r w:rsidR="00BC5FD6" w:rsidRPr="0062087E">
        <w:t xml:space="preserve"> </w:t>
      </w:r>
      <w:r w:rsidR="00303FCC">
        <w:t xml:space="preserve">Directlink has proposed an initial 25 per cent </w:t>
      </w:r>
      <w:r w:rsidR="00143AE0">
        <w:t xml:space="preserve">real </w:t>
      </w:r>
      <w:r w:rsidR="00303FCC">
        <w:t xml:space="preserve">increase </w:t>
      </w:r>
      <w:r w:rsidR="00F552B7">
        <w:t xml:space="preserve">from the current allowed revenue </w:t>
      </w:r>
      <w:r w:rsidR="00BC5FD6">
        <w:t xml:space="preserve">compared to the allowed revenue </w:t>
      </w:r>
      <w:r w:rsidR="00143AE0">
        <w:t xml:space="preserve">in 2014-15 </w:t>
      </w:r>
      <w:r w:rsidR="00303FCC">
        <w:t xml:space="preserve">followed by an annual </w:t>
      </w:r>
      <w:r w:rsidR="00143AE0">
        <w:t xml:space="preserve">real </w:t>
      </w:r>
      <w:r w:rsidR="00303FCC">
        <w:t xml:space="preserve">increase of 2 per cent over the remainder of the next regulatory control period. </w:t>
      </w:r>
      <w:r w:rsidR="000756BC">
        <w:t xml:space="preserve"> </w:t>
      </w:r>
    </w:p>
    <w:p w:rsidR="007C16DD" w:rsidRDefault="007C16DD" w:rsidP="00144789">
      <w:pPr>
        <w:rPr>
          <w:rStyle w:val="AERbody"/>
        </w:rPr>
      </w:pPr>
      <w:r w:rsidRPr="0013576A">
        <w:rPr>
          <w:rStyle w:val="AERbody"/>
        </w:rPr>
        <w:t xml:space="preserve">The proposed </w:t>
      </w:r>
      <w:r w:rsidR="00303FCC">
        <w:rPr>
          <w:rStyle w:val="AERbody"/>
        </w:rPr>
        <w:t>revenues</w:t>
      </w:r>
      <w:r w:rsidRPr="0013576A">
        <w:rPr>
          <w:rStyle w:val="AERbody"/>
        </w:rPr>
        <w:t xml:space="preserve"> are outline</w:t>
      </w:r>
      <w:r w:rsidR="00205A6E">
        <w:rPr>
          <w:rStyle w:val="AERbody"/>
        </w:rPr>
        <w:t>d in Figure</w:t>
      </w:r>
      <w:r w:rsidR="006C63AE">
        <w:rPr>
          <w:rStyle w:val="AERbody"/>
        </w:rPr>
        <w:t>s</w:t>
      </w:r>
      <w:r w:rsidR="00205A6E">
        <w:rPr>
          <w:rStyle w:val="AERbody"/>
        </w:rPr>
        <w:t xml:space="preserve"> </w:t>
      </w:r>
      <w:r w:rsidR="00DA7A13">
        <w:rPr>
          <w:rStyle w:val="AERbody"/>
        </w:rPr>
        <w:t>7</w:t>
      </w:r>
      <w:r w:rsidR="006C63AE">
        <w:rPr>
          <w:rStyle w:val="AERbody"/>
        </w:rPr>
        <w:t xml:space="preserve">, </w:t>
      </w:r>
      <w:r w:rsidR="00DA7A13">
        <w:rPr>
          <w:rStyle w:val="AERbody"/>
        </w:rPr>
        <w:t>8</w:t>
      </w:r>
      <w:r w:rsidR="006C63AE">
        <w:rPr>
          <w:rStyle w:val="AERbody"/>
        </w:rPr>
        <w:t xml:space="preserve"> and </w:t>
      </w:r>
      <w:r w:rsidR="00DA7A13">
        <w:rPr>
          <w:rStyle w:val="AERbody"/>
        </w:rPr>
        <w:t>9</w:t>
      </w:r>
      <w:r w:rsidRPr="0013576A">
        <w:rPr>
          <w:rStyle w:val="AERbody"/>
        </w:rPr>
        <w:t>, respectively.</w:t>
      </w:r>
    </w:p>
    <w:p w:rsidR="00303FCC" w:rsidRDefault="00205A6E" w:rsidP="00303FCC">
      <w:pPr>
        <w:pStyle w:val="Caption"/>
      </w:pPr>
      <w:r>
        <w:t xml:space="preserve">Figure </w:t>
      </w:r>
      <w:r w:rsidR="00DA7A13">
        <w:t>7</w:t>
      </w:r>
      <w:r w:rsidR="005138BA">
        <w:t xml:space="preserve"> </w:t>
      </w:r>
      <w:r w:rsidR="005138BA">
        <w:tab/>
      </w:r>
      <w:r w:rsidR="00303FCC">
        <w:t>TransGrid regulated transmission revenue ($m, nominal)</w:t>
      </w:r>
    </w:p>
    <w:p w:rsidR="00303FCC" w:rsidRDefault="00303FCC" w:rsidP="00303FCC">
      <w:r w:rsidRPr="00303FCC">
        <w:rPr>
          <w:noProof/>
          <w:lang w:eastAsia="en-AU"/>
        </w:rPr>
        <w:drawing>
          <wp:inline distT="0" distB="0" distL="0" distR="0" wp14:anchorId="39B7A193" wp14:editId="54BE5D0B">
            <wp:extent cx="5598942" cy="3221501"/>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9234" cy="3227423"/>
                    </a:xfrm>
                    <a:prstGeom prst="rect">
                      <a:avLst/>
                    </a:prstGeom>
                    <a:noFill/>
                    <a:ln>
                      <a:noFill/>
                    </a:ln>
                  </pic:spPr>
                </pic:pic>
              </a:graphicData>
            </a:graphic>
          </wp:inline>
        </w:drawing>
      </w:r>
    </w:p>
    <w:p w:rsidR="00303FCC" w:rsidRDefault="00303FCC" w:rsidP="00303FCC">
      <w:pPr>
        <w:pStyle w:val="AERtablesource"/>
      </w:pPr>
      <w:r>
        <w:t>Source:</w:t>
      </w:r>
      <w:r>
        <w:tab/>
      </w:r>
      <w:r w:rsidRPr="002F15B5">
        <w:t xml:space="preserve">AER, Final decision PTRM for </w:t>
      </w:r>
      <w:r>
        <w:t>TransGrid</w:t>
      </w:r>
      <w:r w:rsidRPr="002F15B5">
        <w:t>–Tribunal varied</w:t>
      </w:r>
      <w:r>
        <w:t>, 2009; TransGrid, Proposed PTRM, May 2014; TransGrid’s annual regulatory accounts; AER analysis.</w:t>
      </w:r>
    </w:p>
    <w:p w:rsidR="00303FCC" w:rsidRDefault="00205A6E" w:rsidP="00303FCC">
      <w:pPr>
        <w:pStyle w:val="Caption"/>
      </w:pPr>
      <w:r>
        <w:lastRenderedPageBreak/>
        <w:t xml:space="preserve">Figure </w:t>
      </w:r>
      <w:r w:rsidR="00DA7A13">
        <w:t>8</w:t>
      </w:r>
      <w:r w:rsidR="005138BA">
        <w:t xml:space="preserve"> </w:t>
      </w:r>
      <w:r w:rsidR="005138BA">
        <w:tab/>
      </w:r>
      <w:r w:rsidR="00C63654">
        <w:t xml:space="preserve">TasNetworks </w:t>
      </w:r>
      <w:r w:rsidR="00303FCC">
        <w:t xml:space="preserve"> regulated transmission revenue ($m, nominal)</w:t>
      </w:r>
    </w:p>
    <w:p w:rsidR="00303FCC" w:rsidRDefault="00C239FC" w:rsidP="00303FCC">
      <w:r w:rsidRPr="00C239FC">
        <w:rPr>
          <w:noProof/>
          <w:lang w:eastAsia="en-AU"/>
        </w:rPr>
        <w:drawing>
          <wp:inline distT="0" distB="0" distL="0" distR="0" wp14:anchorId="26044444" wp14:editId="0CBBB34E">
            <wp:extent cx="5587200" cy="3113884"/>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8620" cy="3114675"/>
                    </a:xfrm>
                    <a:prstGeom prst="rect">
                      <a:avLst/>
                    </a:prstGeom>
                    <a:noFill/>
                    <a:ln>
                      <a:noFill/>
                    </a:ln>
                  </pic:spPr>
                </pic:pic>
              </a:graphicData>
            </a:graphic>
          </wp:inline>
        </w:drawing>
      </w:r>
    </w:p>
    <w:p w:rsidR="00303FCC" w:rsidRDefault="00303FCC" w:rsidP="00303FCC">
      <w:pPr>
        <w:pStyle w:val="AERtablesource"/>
      </w:pPr>
      <w:r>
        <w:t>Source:</w:t>
      </w:r>
      <w:r>
        <w:tab/>
      </w:r>
      <w:r w:rsidRPr="002F15B5">
        <w:t xml:space="preserve">AER, Final decision PTRM for </w:t>
      </w:r>
      <w:r>
        <w:t>TransGrid</w:t>
      </w:r>
      <w:r w:rsidRPr="002F15B5">
        <w:t>–Tribunal varied</w:t>
      </w:r>
      <w:r>
        <w:t>, 2009; TransGrid, Proposed PTRM, May 2014; TransGrid’s annual regulatory accounts; AER analysis.</w:t>
      </w:r>
    </w:p>
    <w:p w:rsidR="00303FCC" w:rsidRDefault="006C63AE" w:rsidP="00303FCC">
      <w:pPr>
        <w:pStyle w:val="Caption"/>
      </w:pPr>
      <w:r>
        <w:t xml:space="preserve">Figure </w:t>
      </w:r>
      <w:r w:rsidR="00DA7A13">
        <w:t>9</w:t>
      </w:r>
      <w:r w:rsidR="005138BA">
        <w:tab/>
      </w:r>
      <w:r w:rsidR="00205A6E">
        <w:t>Directlink</w:t>
      </w:r>
      <w:r w:rsidR="00303FCC">
        <w:t xml:space="preserve"> regulated transmission revenue ($m, nominal)</w:t>
      </w:r>
    </w:p>
    <w:p w:rsidR="00303FCC" w:rsidRDefault="00205A6E" w:rsidP="00303FCC">
      <w:r w:rsidRPr="00205A6E">
        <w:rPr>
          <w:noProof/>
          <w:lang w:eastAsia="en-AU"/>
        </w:rPr>
        <w:drawing>
          <wp:inline distT="0" distB="0" distL="0" distR="0" wp14:anchorId="17DA7F92" wp14:editId="345CBB6A">
            <wp:extent cx="5510254" cy="311380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11800" cy="3114675"/>
                    </a:xfrm>
                    <a:prstGeom prst="rect">
                      <a:avLst/>
                    </a:prstGeom>
                    <a:noFill/>
                    <a:ln>
                      <a:noFill/>
                    </a:ln>
                  </pic:spPr>
                </pic:pic>
              </a:graphicData>
            </a:graphic>
          </wp:inline>
        </w:drawing>
      </w:r>
    </w:p>
    <w:p w:rsidR="00303FCC" w:rsidRDefault="00303FCC" w:rsidP="00303FCC">
      <w:pPr>
        <w:pStyle w:val="AERtablesource"/>
      </w:pPr>
      <w:r>
        <w:t>Source:</w:t>
      </w:r>
      <w:r>
        <w:tab/>
      </w:r>
      <w:r w:rsidRPr="002F15B5">
        <w:t xml:space="preserve">AER, Final decision PTRM for </w:t>
      </w:r>
      <w:r>
        <w:t>Transend</w:t>
      </w:r>
      <w:r w:rsidRPr="002F15B5">
        <w:t>–Tribunal varied</w:t>
      </w:r>
      <w:r>
        <w:t>, 2009; Transend, Proposed PTRM, May 2014; Transend’s annual regulatory accounts; AER analysis.</w:t>
      </w:r>
    </w:p>
    <w:p w:rsidR="007C16DD" w:rsidRDefault="007C16DD" w:rsidP="00144789">
      <w:pPr>
        <w:rPr>
          <w:rStyle w:val="AERtexthighlight"/>
        </w:rPr>
      </w:pPr>
    </w:p>
    <w:p w:rsidR="00626D50" w:rsidRDefault="00626D50" w:rsidP="00144789">
      <w:pPr>
        <w:rPr>
          <w:rStyle w:val="AERtexthighlight"/>
        </w:rPr>
      </w:pPr>
    </w:p>
    <w:p w:rsidR="00626D50" w:rsidRDefault="00626D50" w:rsidP="00144789">
      <w:pPr>
        <w:rPr>
          <w:rStyle w:val="AERtexthighlight"/>
        </w:rPr>
      </w:pPr>
    </w:p>
    <w:p w:rsidR="000D0439" w:rsidRPr="000D0439" w:rsidRDefault="007A73A2" w:rsidP="000D0439">
      <w:pPr>
        <w:pStyle w:val="Heading2"/>
      </w:pPr>
      <w:bookmarkStart w:id="31" w:name="_Toc392063174"/>
      <w:r>
        <w:lastRenderedPageBreak/>
        <w:t>Revenue impact by building block revenue component</w:t>
      </w:r>
      <w:bookmarkEnd w:id="31"/>
    </w:p>
    <w:p w:rsidR="000D0439" w:rsidRDefault="006A3ED5" w:rsidP="000D0439">
      <w:r>
        <w:t xml:space="preserve">The proposed revenue changes identified above show the change in revenue from the current revenue allowances approved by the AER in the current revenue determinations. </w:t>
      </w:r>
      <w:r w:rsidR="003769FE">
        <w:t>T</w:t>
      </w:r>
      <w:r>
        <w:t>he analysis in section 2.1 compares the change in rev</w:t>
      </w:r>
      <w:r w:rsidR="00143AE0">
        <w:t xml:space="preserve">enue from the </w:t>
      </w:r>
      <w:r w:rsidR="003769FE">
        <w:t>actual</w:t>
      </w:r>
      <w:r w:rsidR="00143AE0">
        <w:t xml:space="preserve"> </w:t>
      </w:r>
      <w:r>
        <w:t>revenue</w:t>
      </w:r>
      <w:r w:rsidR="00143AE0">
        <w:t xml:space="preserve"> </w:t>
      </w:r>
      <w:r w:rsidR="003769FE">
        <w:t xml:space="preserve">recovered </w:t>
      </w:r>
      <w:r w:rsidR="009564DF">
        <w:t>by</w:t>
      </w:r>
      <w:r w:rsidR="00A62150">
        <w:t xml:space="preserve"> each business </w:t>
      </w:r>
      <w:r w:rsidR="00143AE0">
        <w:t>(reflecting actual costs)</w:t>
      </w:r>
      <w:r>
        <w:t>.</w:t>
      </w:r>
      <w:r>
        <w:rPr>
          <w:rStyle w:val="FootnoteReference"/>
        </w:rPr>
        <w:footnoteReference w:id="35"/>
      </w:r>
      <w:r>
        <w:t xml:space="preserve"> </w:t>
      </w:r>
      <w:r w:rsidR="009564DF">
        <w:t xml:space="preserve">This results in a different revenue impact to that shown above. </w:t>
      </w:r>
      <w:r w:rsidR="000D0439" w:rsidRPr="000D0439">
        <w:t xml:space="preserve">We have </w:t>
      </w:r>
      <w:r w:rsidR="009564DF">
        <w:t>separated</w:t>
      </w:r>
      <w:r w:rsidR="009564DF" w:rsidRPr="000D0439">
        <w:t xml:space="preserve"> </w:t>
      </w:r>
      <w:r w:rsidR="000D0439" w:rsidRPr="000D0439">
        <w:t xml:space="preserve">the </w:t>
      </w:r>
      <w:r w:rsidR="00626D50">
        <w:t>businesses</w:t>
      </w:r>
      <w:r w:rsidR="000D0439" w:rsidRPr="000D0439">
        <w:t xml:space="preserve"> proposed changes in revenue into the various proposed building block elements</w:t>
      </w:r>
      <w:r w:rsidR="009564DF">
        <w:t xml:space="preserve"> and showed the impact of this </w:t>
      </w:r>
      <w:r w:rsidR="004F5E70">
        <w:t xml:space="preserve">as </w:t>
      </w:r>
      <w:r w:rsidR="009564DF">
        <w:t xml:space="preserve">if they were to </w:t>
      </w:r>
      <w:r w:rsidR="004F5E70">
        <w:t xml:space="preserve">all </w:t>
      </w:r>
      <w:r w:rsidR="009564DF">
        <w:t xml:space="preserve">occur in the first year. By doing </w:t>
      </w:r>
      <w:r w:rsidR="004F5E70">
        <w:t xml:space="preserve">so, </w:t>
      </w:r>
      <w:r w:rsidR="009564DF">
        <w:t>we can see more clearly the key drivers of the revenue change</w:t>
      </w:r>
      <w:r w:rsidR="000D0439" w:rsidRPr="000D0439">
        <w:t xml:space="preserve">. The revenue decomposition for </w:t>
      </w:r>
      <w:r w:rsidR="001556D5">
        <w:t>the key</w:t>
      </w:r>
      <w:r w:rsidR="001556D5" w:rsidRPr="000D0439">
        <w:t xml:space="preserve"> </w:t>
      </w:r>
      <w:r w:rsidR="000D0439" w:rsidRPr="000D0439">
        <w:t xml:space="preserve">elements of the building blocks </w:t>
      </w:r>
      <w:r w:rsidR="003D1FF4">
        <w:t>is</w:t>
      </w:r>
      <w:r w:rsidR="000D0439" w:rsidRPr="000D0439">
        <w:t xml:space="preserve"> outlined </w:t>
      </w:r>
      <w:r w:rsidR="00B63CAD">
        <w:t>below</w:t>
      </w:r>
      <w:r w:rsidR="003C49F5">
        <w:t>.</w:t>
      </w:r>
      <w:r w:rsidR="00035A24">
        <w:t xml:space="preserve"> </w:t>
      </w:r>
    </w:p>
    <w:p w:rsidR="00626D50" w:rsidRDefault="00B63CAD" w:rsidP="00215512">
      <w:pPr>
        <w:pStyle w:val="Caption"/>
      </w:pPr>
      <w:r>
        <w:t xml:space="preserve">Figure </w:t>
      </w:r>
      <w:r w:rsidR="00DA7A13">
        <w:t>10</w:t>
      </w:r>
      <w:r w:rsidR="00C31EA5">
        <w:tab/>
      </w:r>
      <w:r w:rsidR="009F10DE">
        <w:t>TransGrid - c</w:t>
      </w:r>
      <w:r w:rsidR="00C11829">
        <w:t>hange in 2013-14 revenue</w:t>
      </w:r>
      <w:r w:rsidR="00542B38">
        <w:t xml:space="preserve"> to proposed average revenue allowance for 2014-19 - by revenue component  </w:t>
      </w:r>
    </w:p>
    <w:p w:rsidR="00542B38" w:rsidRDefault="00C31EA5" w:rsidP="00C31EA5">
      <w:pPr>
        <w:pStyle w:val="AERbodytext"/>
        <w:numPr>
          <w:ilvl w:val="0"/>
          <w:numId w:val="0"/>
        </w:numPr>
      </w:pPr>
      <w:r w:rsidRPr="00C31EA5">
        <w:rPr>
          <w:noProof/>
          <w:lang w:eastAsia="en-AU"/>
        </w:rPr>
        <w:drawing>
          <wp:inline distT="0" distB="0" distL="0" distR="0" wp14:anchorId="0B08E631" wp14:editId="6F73A736">
            <wp:extent cx="5731200" cy="2736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2736148"/>
                    </a:xfrm>
                    <a:prstGeom prst="rect">
                      <a:avLst/>
                    </a:prstGeom>
                    <a:noFill/>
                    <a:ln>
                      <a:noFill/>
                    </a:ln>
                  </pic:spPr>
                </pic:pic>
              </a:graphicData>
            </a:graphic>
          </wp:inline>
        </w:drawing>
      </w:r>
    </w:p>
    <w:p w:rsidR="00542B38" w:rsidRDefault="00AD4754" w:rsidP="00AD4754">
      <w:pPr>
        <w:pStyle w:val="AERtablesource"/>
      </w:pPr>
      <w:r>
        <w:t>Source: AER analysis</w:t>
      </w:r>
    </w:p>
    <w:p w:rsidR="009F10DE" w:rsidRPr="009F10DE" w:rsidRDefault="009F10DE" w:rsidP="009F10DE">
      <w:pPr>
        <w:pStyle w:val="AERtablesource"/>
      </w:pPr>
      <w:r>
        <w:t xml:space="preserve">Note: the $14m represents the average annual amount of under-recovered revenue of $71m </w:t>
      </w:r>
    </w:p>
    <w:p w:rsidR="002B78FF" w:rsidRDefault="00063094" w:rsidP="009F10DE">
      <w:pPr>
        <w:pStyle w:val="AERbodytext"/>
      </w:pPr>
      <w:r>
        <w:t>Figure</w:t>
      </w:r>
      <w:r w:rsidR="00DA7A13">
        <w:t xml:space="preserve"> 10</w:t>
      </w:r>
      <w:r w:rsidR="00AD4754">
        <w:t xml:space="preserve"> decomposes </w:t>
      </w:r>
      <w:r w:rsidR="00215512">
        <w:t>TransGrid's</w:t>
      </w:r>
      <w:r w:rsidR="00AD4754">
        <w:t xml:space="preserve"> </w:t>
      </w:r>
      <w:r w:rsidR="00B63CAD">
        <w:t xml:space="preserve">proposed </w:t>
      </w:r>
      <w:r w:rsidR="00AD4754">
        <w:t xml:space="preserve">change in revenue </w:t>
      </w:r>
      <w:r>
        <w:t xml:space="preserve">by </w:t>
      </w:r>
      <w:r w:rsidR="00143AE0">
        <w:t>key</w:t>
      </w:r>
      <w:r>
        <w:t xml:space="preserve"> building block (revenue component) </w:t>
      </w:r>
      <w:r w:rsidR="00AD4754">
        <w:t xml:space="preserve">from the end of the current regulatory control period to next regulatory control period. </w:t>
      </w:r>
      <w:r w:rsidR="002B78FF">
        <w:t xml:space="preserve">The total change in revenue is estimated to be an increase of 4.6 per cent (before inflation). </w:t>
      </w:r>
      <w:r w:rsidR="00AD4754">
        <w:t>This analysis indicates that the proposed rate of return (WACC) component re</w:t>
      </w:r>
      <w:r w:rsidR="004F5E70">
        <w:t>duces revenue by 7.3 per cent. T</w:t>
      </w:r>
      <w:r w:rsidR="00AD4754">
        <w:t xml:space="preserve">his </w:t>
      </w:r>
      <w:r w:rsidR="000C13BA">
        <w:t xml:space="preserve">reduction </w:t>
      </w:r>
      <w:r w:rsidR="00AD4754">
        <w:t>is more than offset by</w:t>
      </w:r>
      <w:r w:rsidR="00E84BE6">
        <w:t xml:space="preserve"> proposed increases in opex and </w:t>
      </w:r>
      <w:r w:rsidR="006A5AD2">
        <w:t>the RAB</w:t>
      </w:r>
      <w:r w:rsidR="00147ECA">
        <w:t xml:space="preserve"> (including forecast capex)</w:t>
      </w:r>
      <w:r w:rsidR="00E84BE6">
        <w:t>.</w:t>
      </w:r>
      <w:r w:rsidR="00215512">
        <w:t xml:space="preserve"> </w:t>
      </w:r>
      <w:r w:rsidR="009564DF">
        <w:t xml:space="preserve">It also indicates that increases in capex and opex make the biggest contribution to the increase in total revenue. </w:t>
      </w:r>
    </w:p>
    <w:p w:rsidR="00B63CAD" w:rsidRDefault="00B63CAD" w:rsidP="00215512">
      <w:pPr>
        <w:pStyle w:val="AERbodytext"/>
      </w:pPr>
      <w:r>
        <w:t xml:space="preserve">TransGrid has </w:t>
      </w:r>
      <w:r w:rsidR="00107210">
        <w:t xml:space="preserve">also </w:t>
      </w:r>
      <w:r>
        <w:t xml:space="preserve">under-recovered </w:t>
      </w:r>
      <w:r w:rsidR="00107210">
        <w:t xml:space="preserve">its allowed revenue by </w:t>
      </w:r>
      <w:r>
        <w:t>an amount of $71m in the current regulatory control period.</w:t>
      </w:r>
      <w:r w:rsidR="00107210">
        <w:rPr>
          <w:rStyle w:val="FootnoteReference"/>
        </w:rPr>
        <w:footnoteReference w:id="36"/>
      </w:r>
      <w:r>
        <w:t xml:space="preserve"> This under-recovery has arisen from TransGrid's decision to 'freeze' revenue</w:t>
      </w:r>
      <w:r w:rsidR="00107210">
        <w:t xml:space="preserve"> in 2013-14</w:t>
      </w:r>
      <w:r>
        <w:t>.</w:t>
      </w:r>
      <w:r w:rsidR="00107210">
        <w:t xml:space="preserve"> TransGrid is allowed to recover in </w:t>
      </w:r>
      <w:r w:rsidR="00A62150">
        <w:t>the next regulatory control period</w:t>
      </w:r>
      <w:r w:rsidR="00107210">
        <w:t xml:space="preserve"> any shortfalls in revenue that are below the approved revenue allowances. Any decision by TransGrid to </w:t>
      </w:r>
      <w:r w:rsidR="00107210">
        <w:lastRenderedPageBreak/>
        <w:t>recover this revenue would affect transmission pr</w:t>
      </w:r>
      <w:r w:rsidR="00E84BE6">
        <w:t>ices for its customers independe</w:t>
      </w:r>
      <w:r w:rsidR="00107210">
        <w:t>ntly of our revenue d</w:t>
      </w:r>
      <w:r w:rsidR="00E84BE6">
        <w:t>e</w:t>
      </w:r>
      <w:r w:rsidR="00107210">
        <w:t xml:space="preserve">termination.  </w:t>
      </w:r>
      <w:r>
        <w:t xml:space="preserve">   </w:t>
      </w:r>
    </w:p>
    <w:p w:rsidR="00B63CAD" w:rsidRDefault="00DA7A13" w:rsidP="000C13BA">
      <w:r>
        <w:t>Figure 11</w:t>
      </w:r>
      <w:r w:rsidR="00B63CAD">
        <w:t xml:space="preserve"> shows the decomposition for the key elements of the buildi</w:t>
      </w:r>
      <w:r w:rsidR="00063094">
        <w:t>ng block components for TasNetworks</w:t>
      </w:r>
      <w:r w:rsidR="00B63CAD">
        <w:t>.</w:t>
      </w:r>
      <w:r w:rsidR="000C13BA" w:rsidRPr="000C13BA">
        <w:t xml:space="preserve"> </w:t>
      </w:r>
      <w:r w:rsidR="000C13BA" w:rsidRPr="00215512">
        <w:t>The total change in revenue is estimated to be a</w:t>
      </w:r>
      <w:r w:rsidR="00760AB2">
        <w:t xml:space="preserve"> de</w:t>
      </w:r>
      <w:r w:rsidR="000C13BA" w:rsidRPr="00215512">
        <w:t xml:space="preserve">crease of </w:t>
      </w:r>
      <w:r w:rsidR="000C13BA">
        <w:t>17.5</w:t>
      </w:r>
      <w:r w:rsidR="000C13BA" w:rsidRPr="00215512">
        <w:t xml:space="preserve"> per cent (before inflation). This analysis indicates that </w:t>
      </w:r>
      <w:r w:rsidR="000C13BA">
        <w:t xml:space="preserve">the proposed rate of return will result in the most significant changes in revenue (revenue reduction).  </w:t>
      </w:r>
    </w:p>
    <w:p w:rsidR="00B63CAD" w:rsidRPr="00B63CAD" w:rsidRDefault="00B63CAD" w:rsidP="00B63CAD">
      <w:pPr>
        <w:pStyle w:val="Caption"/>
      </w:pPr>
      <w:r>
        <w:t xml:space="preserve">Figure </w:t>
      </w:r>
      <w:r w:rsidR="00DA7A13">
        <w:t>11</w:t>
      </w:r>
      <w:r w:rsidR="00C31EA5">
        <w:tab/>
      </w:r>
      <w:r w:rsidR="009F10DE">
        <w:t>TasNetworks - c</w:t>
      </w:r>
      <w:r w:rsidRPr="00B63CAD">
        <w:t xml:space="preserve">hange in 2013-14 revenue to proposed average revenue allowance for 2014-19 - by revenue component  </w:t>
      </w:r>
    </w:p>
    <w:p w:rsidR="00B63CAD" w:rsidRDefault="00C31EA5" w:rsidP="00B63CAD">
      <w:pPr>
        <w:pStyle w:val="AERbodytext"/>
        <w:numPr>
          <w:ilvl w:val="0"/>
          <w:numId w:val="0"/>
        </w:numPr>
      </w:pPr>
      <w:r w:rsidRPr="00C31EA5">
        <w:rPr>
          <w:noProof/>
          <w:lang w:eastAsia="en-AU"/>
        </w:rPr>
        <w:drawing>
          <wp:inline distT="0" distB="0" distL="0" distR="0" wp14:anchorId="0BDE8535" wp14:editId="72A8EC96">
            <wp:extent cx="5730340" cy="2815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2815775"/>
                    </a:xfrm>
                    <a:prstGeom prst="rect">
                      <a:avLst/>
                    </a:prstGeom>
                    <a:noFill/>
                    <a:ln>
                      <a:noFill/>
                    </a:ln>
                  </pic:spPr>
                </pic:pic>
              </a:graphicData>
            </a:graphic>
          </wp:inline>
        </w:drawing>
      </w:r>
    </w:p>
    <w:p w:rsidR="00107210" w:rsidRPr="00C31EA5" w:rsidRDefault="00C31EA5" w:rsidP="00C31EA5">
      <w:pPr>
        <w:pStyle w:val="AERtablesource"/>
      </w:pPr>
      <w:r w:rsidRPr="00C31EA5">
        <w:t>S</w:t>
      </w:r>
      <w:r w:rsidR="00107210" w:rsidRPr="00C31EA5">
        <w:t>ource: AER analysis</w:t>
      </w:r>
    </w:p>
    <w:p w:rsidR="00FF3C95" w:rsidRDefault="00FF3C95" w:rsidP="00201395">
      <w:pPr>
        <w:numPr>
          <w:ilvl w:val="0"/>
          <w:numId w:val="49"/>
        </w:numPr>
      </w:pPr>
      <w:r w:rsidRPr="00FF3C95">
        <w:t xml:space="preserve">Figure </w:t>
      </w:r>
      <w:r w:rsidR="00DA7A13">
        <w:t>12</w:t>
      </w:r>
      <w:r w:rsidRPr="00FF3C95">
        <w:t xml:space="preserve"> </w:t>
      </w:r>
      <w:r w:rsidR="00201395">
        <w:t xml:space="preserve">shows </w:t>
      </w:r>
      <w:r w:rsidR="00760AB2">
        <w:t xml:space="preserve">Directlink's proposed </w:t>
      </w:r>
      <w:r w:rsidRPr="00FF3C95">
        <w:t xml:space="preserve">total change in revenue is estimated to be an increase of 18.5 per cent (before inflation). This analysis indicates that all elements of the Directlink's building block revenue are contributing to the proposed increase in revenue. </w:t>
      </w:r>
      <w:r w:rsidR="00201395">
        <w:t>This analysis indicates that opex and capex are the most significant drivers of Directlink's revenue proposal.</w:t>
      </w:r>
    </w:p>
    <w:p w:rsidR="009F10DE" w:rsidRPr="009F10DE" w:rsidRDefault="00DA7A13" w:rsidP="00AF4BE4">
      <w:pPr>
        <w:pStyle w:val="Caption"/>
      </w:pPr>
      <w:r>
        <w:lastRenderedPageBreak/>
        <w:t>Figure 12</w:t>
      </w:r>
      <w:r w:rsidR="00C31EA5">
        <w:tab/>
      </w:r>
      <w:r w:rsidR="009F10DE">
        <w:t>Directlink - c</w:t>
      </w:r>
      <w:r w:rsidR="00147ECA">
        <w:t>hange in 2014-15</w:t>
      </w:r>
      <w:r w:rsidR="009F10DE" w:rsidRPr="009F10DE">
        <w:t xml:space="preserve"> revenue to proposed av</w:t>
      </w:r>
      <w:r w:rsidR="00147ECA">
        <w:t>erage revenue allowance for 2015-20</w:t>
      </w:r>
      <w:r w:rsidR="009F10DE" w:rsidRPr="009F10DE">
        <w:t xml:space="preserve"> - by revenue component  </w:t>
      </w:r>
    </w:p>
    <w:p w:rsidR="009F10DE" w:rsidRDefault="00C31EA5" w:rsidP="009F10DE">
      <w:r w:rsidRPr="00C31EA5">
        <w:rPr>
          <w:noProof/>
          <w:lang w:eastAsia="en-AU"/>
        </w:rPr>
        <w:drawing>
          <wp:inline distT="0" distB="0" distL="0" distR="0" wp14:anchorId="771B9FE5" wp14:editId="79D2063B">
            <wp:extent cx="5731200" cy="2793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2793751"/>
                    </a:xfrm>
                    <a:prstGeom prst="rect">
                      <a:avLst/>
                    </a:prstGeom>
                    <a:noFill/>
                    <a:ln>
                      <a:noFill/>
                    </a:ln>
                  </pic:spPr>
                </pic:pic>
              </a:graphicData>
            </a:graphic>
          </wp:inline>
        </w:drawing>
      </w:r>
    </w:p>
    <w:p w:rsidR="00201395" w:rsidRDefault="00201395" w:rsidP="00201395">
      <w:pPr>
        <w:pStyle w:val="AERtablesource"/>
      </w:pPr>
      <w:r>
        <w:t>Source: AER analysis</w:t>
      </w:r>
    </w:p>
    <w:p w:rsidR="008B5689" w:rsidRDefault="00EB07D0" w:rsidP="00147ECA">
      <w:pPr>
        <w:pStyle w:val="AERbodytext"/>
      </w:pPr>
      <w:r>
        <w:t xml:space="preserve">These </w:t>
      </w:r>
      <w:r w:rsidR="00C054C4">
        <w:t xml:space="preserve">key revenue </w:t>
      </w:r>
      <w:r w:rsidR="00303FCC">
        <w:t>components</w:t>
      </w:r>
      <w:r>
        <w:t xml:space="preserve"> are further discussed in </w:t>
      </w:r>
      <w:r w:rsidR="00303FCC">
        <w:t xml:space="preserve">the following </w:t>
      </w:r>
      <w:r>
        <w:t>section</w:t>
      </w:r>
      <w:r w:rsidR="00303FCC">
        <w:t>s</w:t>
      </w:r>
      <w:r>
        <w:t>.</w:t>
      </w:r>
    </w:p>
    <w:p w:rsidR="00144789" w:rsidRPr="003D1FF4" w:rsidRDefault="00144789" w:rsidP="00D46EF4">
      <w:pPr>
        <w:pStyle w:val="Heading1"/>
      </w:pPr>
      <w:bookmarkStart w:id="32" w:name="_Toc392063175"/>
      <w:r w:rsidRPr="003D1FF4">
        <w:lastRenderedPageBreak/>
        <w:t>Cap</w:t>
      </w:r>
      <w:r w:rsidR="00D46EF4">
        <w:t>ital expenditure</w:t>
      </w:r>
      <w:bookmarkEnd w:id="32"/>
    </w:p>
    <w:p w:rsidR="003434F3" w:rsidRPr="003434F3" w:rsidRDefault="003434F3" w:rsidP="003434F3">
      <w:pPr>
        <w:pStyle w:val="AERrevisionbox"/>
        <w:numPr>
          <w:ilvl w:val="0"/>
          <w:numId w:val="49"/>
        </w:numPr>
        <w:rPr>
          <w:rStyle w:val="AERtextbold"/>
        </w:rPr>
      </w:pPr>
      <w:r w:rsidRPr="003434F3">
        <w:rPr>
          <w:rStyle w:val="AERtextbold"/>
        </w:rPr>
        <w:t>Questions</w:t>
      </w:r>
      <w:r w:rsidR="00A62150">
        <w:rPr>
          <w:rStyle w:val="AERtextbold"/>
        </w:rPr>
        <w:t xml:space="preserve"> (please include reasons in your responses)</w:t>
      </w:r>
    </w:p>
    <w:p w:rsidR="003434F3" w:rsidRPr="003434F3" w:rsidRDefault="009F4137" w:rsidP="003434F3">
      <w:pPr>
        <w:pStyle w:val="AERrevisionbox"/>
        <w:numPr>
          <w:ilvl w:val="0"/>
          <w:numId w:val="49"/>
        </w:numPr>
        <w:rPr>
          <w:rStyle w:val="AERbody"/>
        </w:rPr>
      </w:pPr>
      <w:r>
        <w:rPr>
          <w:rStyle w:val="AERbody"/>
        </w:rPr>
        <w:t xml:space="preserve">1. </w:t>
      </w:r>
      <w:r w:rsidR="003434F3" w:rsidRPr="003434F3">
        <w:rPr>
          <w:rStyle w:val="AERbody"/>
        </w:rPr>
        <w:t xml:space="preserve">Are the reasons for the capex proposals </w:t>
      </w:r>
      <w:r w:rsidR="00A62150">
        <w:rPr>
          <w:rStyle w:val="AERbody"/>
        </w:rPr>
        <w:t xml:space="preserve">of each business </w:t>
      </w:r>
      <w:r w:rsidR="003434F3" w:rsidRPr="003434F3">
        <w:rPr>
          <w:rStyle w:val="AERbody"/>
        </w:rPr>
        <w:t xml:space="preserve">well supported by their revenue proposals and/or consumer engagement activities? </w:t>
      </w:r>
    </w:p>
    <w:p w:rsidR="003434F3" w:rsidRPr="003434F3" w:rsidRDefault="009F4137" w:rsidP="003434F3">
      <w:pPr>
        <w:pStyle w:val="AERrevisionbox"/>
        <w:numPr>
          <w:ilvl w:val="0"/>
          <w:numId w:val="49"/>
        </w:numPr>
        <w:rPr>
          <w:rStyle w:val="AERbody"/>
        </w:rPr>
      </w:pPr>
      <w:r>
        <w:rPr>
          <w:rStyle w:val="AERbody"/>
        </w:rPr>
        <w:t>2</w:t>
      </w:r>
      <w:r w:rsidR="003434F3" w:rsidRPr="003434F3">
        <w:rPr>
          <w:rStyle w:val="AERbody"/>
        </w:rPr>
        <w:t xml:space="preserve">. What are your views </w:t>
      </w:r>
      <w:r w:rsidR="003434F3" w:rsidRPr="003434F3">
        <w:t xml:space="preserve">about the cost drivers the businesses </w:t>
      </w:r>
      <w:r w:rsidR="00147ECA">
        <w:t xml:space="preserve">we </w:t>
      </w:r>
      <w:r w:rsidR="003434F3" w:rsidRPr="003434F3">
        <w:t>have identified?</w:t>
      </w:r>
    </w:p>
    <w:p w:rsidR="003434F3" w:rsidRPr="003434F3" w:rsidRDefault="009F4137" w:rsidP="003434F3">
      <w:pPr>
        <w:pStyle w:val="AERrevisionbox"/>
        <w:numPr>
          <w:ilvl w:val="0"/>
          <w:numId w:val="49"/>
        </w:numPr>
      </w:pPr>
      <w:r>
        <w:rPr>
          <w:rStyle w:val="AERbody"/>
        </w:rPr>
        <w:t>3</w:t>
      </w:r>
      <w:r w:rsidR="003434F3" w:rsidRPr="003434F3">
        <w:rPr>
          <w:rStyle w:val="AERbody"/>
        </w:rPr>
        <w:t xml:space="preserve">. Do you consider the transmission businesses have accurately reflected </w:t>
      </w:r>
      <w:r w:rsidR="00925743">
        <w:rPr>
          <w:rStyle w:val="AERbody"/>
        </w:rPr>
        <w:t>customer</w:t>
      </w:r>
      <w:r w:rsidR="00925743" w:rsidRPr="003434F3">
        <w:rPr>
          <w:rStyle w:val="AERbody"/>
        </w:rPr>
        <w:t xml:space="preserve"> </w:t>
      </w:r>
      <w:r w:rsidR="003434F3" w:rsidRPr="003434F3">
        <w:rPr>
          <w:rStyle w:val="AERbody"/>
        </w:rPr>
        <w:t xml:space="preserve">preferences for reliability outcomes and their proposed capex to maintain existing levels of performance? </w:t>
      </w:r>
    </w:p>
    <w:p w:rsidR="00E848B6" w:rsidRDefault="00147ECA" w:rsidP="008A51C8">
      <w:pPr>
        <w:pStyle w:val="AERbodytext"/>
        <w:numPr>
          <w:ilvl w:val="0"/>
          <w:numId w:val="0"/>
        </w:numPr>
      </w:pPr>
      <w:r>
        <w:t xml:space="preserve">Capex </w:t>
      </w:r>
      <w:r w:rsidR="00474CB4" w:rsidRPr="006C63AE">
        <w:t xml:space="preserve">is added to the regulatory asset base and so </w:t>
      </w:r>
      <w:r w:rsidR="0003213B" w:rsidRPr="006C63AE">
        <w:t xml:space="preserve">forms part of the capital costs of the building blocks used to determine service providers </w:t>
      </w:r>
      <w:r w:rsidR="00BC2BD6" w:rsidRPr="006C63AE">
        <w:t>total required revenue.</w:t>
      </w:r>
      <w:r w:rsidR="003D56FA" w:rsidRPr="006C63AE">
        <w:t xml:space="preserve"> </w:t>
      </w:r>
      <w:r w:rsidR="00E848B6">
        <w:t>We must accept the proposed forecast</w:t>
      </w:r>
      <w:r w:rsidR="001455F0">
        <w:t>s</w:t>
      </w:r>
      <w:r w:rsidR="00E848B6">
        <w:t xml:space="preserve"> of total capex if we are satisfied they reasonably reflect capex criteria. We must </w:t>
      </w:r>
      <w:r w:rsidR="00686AD9">
        <w:t>h</w:t>
      </w:r>
      <w:r w:rsidR="00E848B6">
        <w:t>ave regard to the capex factors in the NER when making that decision.</w:t>
      </w:r>
    </w:p>
    <w:p w:rsidR="00E848B6" w:rsidRDefault="00E848B6" w:rsidP="008A51C8">
      <w:pPr>
        <w:pStyle w:val="AERbodytext"/>
        <w:numPr>
          <w:ilvl w:val="0"/>
          <w:numId w:val="0"/>
        </w:numPr>
      </w:pPr>
      <w:r>
        <w:t xml:space="preserve">If we are not satisfied that a capex proposal reasonably reflects the capex criteria, we must not accept the </w:t>
      </w:r>
      <w:r w:rsidR="001455F0">
        <w:t>forecast</w:t>
      </w:r>
      <w:r>
        <w:t xml:space="preserve">. In that case, we must estimate the total required capex that, in our view, does reasonably reflect the capex criteria taking into account the capex factors. </w:t>
      </w:r>
    </w:p>
    <w:p w:rsidR="00380E7D" w:rsidRPr="00380E7D" w:rsidRDefault="00380E7D" w:rsidP="00380E7D">
      <w:pPr>
        <w:pStyle w:val="Heading2"/>
      </w:pPr>
      <w:bookmarkStart w:id="33" w:name="_Toc392063176"/>
      <w:r w:rsidRPr="00380E7D">
        <w:t>Transmission businesses capital expenditure proposals</w:t>
      </w:r>
      <w:bookmarkEnd w:id="33"/>
    </w:p>
    <w:p w:rsidR="00DC5267" w:rsidRDefault="00144789" w:rsidP="008A51C8">
      <w:pPr>
        <w:pStyle w:val="AERbodytext"/>
        <w:numPr>
          <w:ilvl w:val="0"/>
          <w:numId w:val="0"/>
        </w:numPr>
      </w:pPr>
      <w:r w:rsidRPr="006C63AE">
        <w:t xml:space="preserve">The proposed total capex forecasts, compared to historic levels and </w:t>
      </w:r>
      <w:r w:rsidR="008550FB" w:rsidRPr="006C63AE">
        <w:t>capex</w:t>
      </w:r>
      <w:r w:rsidRPr="006C63AE">
        <w:t xml:space="preserve"> allowances, are outline</w:t>
      </w:r>
      <w:r w:rsidR="00A92472" w:rsidRPr="006C63AE">
        <w:t>d</w:t>
      </w:r>
      <w:r w:rsidRPr="006C63AE">
        <w:t xml:space="preserve"> in </w:t>
      </w:r>
      <w:r w:rsidR="00DA7A13">
        <w:t>figures 13</w:t>
      </w:r>
      <w:r w:rsidR="00380E7D">
        <w:t xml:space="preserve"> </w:t>
      </w:r>
      <w:r w:rsidRPr="006C63AE">
        <w:t xml:space="preserve">to </w:t>
      </w:r>
      <w:r w:rsidR="007D569B">
        <w:t>15</w:t>
      </w:r>
      <w:r w:rsidR="00DC5267">
        <w:t>.</w:t>
      </w:r>
    </w:p>
    <w:p w:rsidR="00144789" w:rsidRPr="006C63AE" w:rsidRDefault="00DA7A13" w:rsidP="008A51C8">
      <w:pPr>
        <w:pStyle w:val="AERbodytext"/>
        <w:numPr>
          <w:ilvl w:val="0"/>
          <w:numId w:val="0"/>
        </w:numPr>
      </w:pPr>
      <w:r>
        <w:t>Figure 13</w:t>
      </w:r>
      <w:r w:rsidR="00DC5267">
        <w:t xml:space="preserve"> shows that TransGrid is proposing to spend around 28 per cent less than actual expenditure </w:t>
      </w:r>
      <w:r w:rsidR="00902CD2">
        <w:t xml:space="preserve">(or 10 per cent less than </w:t>
      </w:r>
      <w:r w:rsidR="0079198F">
        <w:t xml:space="preserve">the allowance) </w:t>
      </w:r>
      <w:r w:rsidR="00DC5267">
        <w:t xml:space="preserve">in the current regulatory control period. </w:t>
      </w:r>
      <w:r w:rsidR="00144789" w:rsidRPr="006C63AE">
        <w:t xml:space="preserve"> </w:t>
      </w:r>
      <w:r w:rsidR="00DC5267">
        <w:t xml:space="preserve">  </w:t>
      </w:r>
    </w:p>
    <w:p w:rsidR="00144789" w:rsidRDefault="00144789" w:rsidP="00144789">
      <w:pPr>
        <w:pStyle w:val="Caption"/>
      </w:pPr>
      <w:bookmarkStart w:id="34" w:name="_Ref387147344"/>
      <w:r>
        <w:t xml:space="preserve">Figure </w:t>
      </w:r>
      <w:bookmarkEnd w:id="34"/>
      <w:r w:rsidR="00DA7A13">
        <w:t>13</w:t>
      </w:r>
      <w:r w:rsidR="003D1F92">
        <w:tab/>
      </w:r>
      <w:r>
        <w:t>TransGrid</w:t>
      </w:r>
      <w:r w:rsidR="003D1F92">
        <w:t>—actual and proposed capex ($ million 2013-14)</w:t>
      </w:r>
    </w:p>
    <w:p w:rsidR="00144789" w:rsidRDefault="00710BD0" w:rsidP="003D1F92">
      <w:pPr>
        <w:pStyle w:val="AERbodytext"/>
        <w:numPr>
          <w:ilvl w:val="0"/>
          <w:numId w:val="0"/>
        </w:numPr>
      </w:pPr>
      <w:r w:rsidRPr="00710BD0">
        <w:rPr>
          <w:noProof/>
          <w:lang w:eastAsia="en-AU"/>
        </w:rPr>
        <w:drawing>
          <wp:inline distT="0" distB="0" distL="0" distR="0" wp14:anchorId="675C173C" wp14:editId="52F43BED">
            <wp:extent cx="5731200" cy="3038400"/>
            <wp:effectExtent l="0" t="0" r="317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D1F92" w:rsidRDefault="002C318C" w:rsidP="002C318C">
      <w:pPr>
        <w:pStyle w:val="AERtablesource"/>
      </w:pPr>
      <w:r>
        <w:t>Source: RIN, AER analysis</w:t>
      </w:r>
    </w:p>
    <w:p w:rsidR="003D1F92" w:rsidRPr="00CD080A" w:rsidRDefault="00DA7A13" w:rsidP="003D1F92">
      <w:pPr>
        <w:pStyle w:val="AERbodytext"/>
        <w:numPr>
          <w:ilvl w:val="0"/>
          <w:numId w:val="0"/>
        </w:numPr>
      </w:pPr>
      <w:r>
        <w:lastRenderedPageBreak/>
        <w:t>Figure 14</w:t>
      </w:r>
      <w:r w:rsidR="002C318C">
        <w:t xml:space="preserve"> shows </w:t>
      </w:r>
      <w:r w:rsidR="002C318C" w:rsidRPr="002C318C">
        <w:t xml:space="preserve">that </w:t>
      </w:r>
      <w:r w:rsidR="002C318C">
        <w:t>TasNetworks</w:t>
      </w:r>
      <w:r w:rsidR="002C318C" w:rsidRPr="002C318C">
        <w:t xml:space="preserve"> is proposing to spend around </w:t>
      </w:r>
      <w:r w:rsidR="002C318C">
        <w:t>52</w:t>
      </w:r>
      <w:r w:rsidR="002C318C" w:rsidRPr="002C318C">
        <w:t xml:space="preserve"> per cent less than actual expenditure </w:t>
      </w:r>
      <w:r w:rsidR="0079198F">
        <w:t xml:space="preserve">(or 61 per cent less than the allowance) </w:t>
      </w:r>
      <w:r w:rsidR="002C318C" w:rsidRPr="002C318C">
        <w:t>in the current regulatory control period.</w:t>
      </w:r>
    </w:p>
    <w:p w:rsidR="00144789" w:rsidRDefault="00144789" w:rsidP="00144789">
      <w:pPr>
        <w:pStyle w:val="Caption"/>
      </w:pPr>
      <w:r>
        <w:t xml:space="preserve">Figure </w:t>
      </w:r>
      <w:r w:rsidR="00DA7A13">
        <w:t>14</w:t>
      </w:r>
      <w:r>
        <w:tab/>
      </w:r>
      <w:r w:rsidR="008A51C8">
        <w:t>TasNetworks</w:t>
      </w:r>
      <w:r w:rsidR="003D1F92" w:rsidRPr="00466403">
        <w:t>—</w:t>
      </w:r>
      <w:r w:rsidR="003D1F92">
        <w:t>actual and proposed capex ($ million 2013-14)</w:t>
      </w:r>
      <w:bookmarkStart w:id="35" w:name="_Ref387413397"/>
    </w:p>
    <w:p w:rsidR="00710BD0" w:rsidRDefault="00710BD0" w:rsidP="00710BD0">
      <w:pPr>
        <w:pStyle w:val="AERbodytext"/>
        <w:numPr>
          <w:ilvl w:val="0"/>
          <w:numId w:val="0"/>
        </w:numPr>
      </w:pPr>
      <w:r w:rsidRPr="00710BD0">
        <w:rPr>
          <w:noProof/>
          <w:lang w:eastAsia="en-AU"/>
        </w:rPr>
        <w:drawing>
          <wp:inline distT="0" distB="0" distL="0" distR="0" wp14:anchorId="6651EDC0" wp14:editId="701AC39A">
            <wp:extent cx="5731200" cy="2973600"/>
            <wp:effectExtent l="0" t="0" r="3175"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C318C" w:rsidRDefault="002C318C" w:rsidP="002C318C">
      <w:pPr>
        <w:pStyle w:val="AERtablesource"/>
      </w:pPr>
      <w:r>
        <w:t>Source: RIN, AER analysis</w:t>
      </w:r>
    </w:p>
    <w:p w:rsidR="00710BD0" w:rsidRPr="00710BD0" w:rsidRDefault="002C318C" w:rsidP="00710BD0">
      <w:pPr>
        <w:pStyle w:val="AERbodytext"/>
        <w:numPr>
          <w:ilvl w:val="0"/>
          <w:numId w:val="0"/>
        </w:numPr>
        <w:rPr>
          <w:lang w:eastAsia="en-AU"/>
        </w:rPr>
      </w:pPr>
      <w:r w:rsidRPr="002C318C">
        <w:t>Figure 1</w:t>
      </w:r>
      <w:r w:rsidR="00DA7A13">
        <w:t>5</w:t>
      </w:r>
      <w:r w:rsidRPr="002C318C">
        <w:t xml:space="preserve"> shows that </w:t>
      </w:r>
      <w:r>
        <w:t>Directlink</w:t>
      </w:r>
      <w:r w:rsidRPr="002C318C">
        <w:t xml:space="preserve"> is proposing to spend around </w:t>
      </w:r>
      <w:r w:rsidR="00925054">
        <w:t>175</w:t>
      </w:r>
      <w:r w:rsidRPr="002C318C">
        <w:t xml:space="preserve"> per cent </w:t>
      </w:r>
      <w:r w:rsidR="00E952A8">
        <w:t>more</w:t>
      </w:r>
      <w:r w:rsidRPr="002C318C">
        <w:t xml:space="preserve"> than actual expenditure in the current regulatory control period.</w:t>
      </w:r>
    </w:p>
    <w:p w:rsidR="00144789" w:rsidRDefault="00144789" w:rsidP="00144789">
      <w:pPr>
        <w:pStyle w:val="Caption"/>
      </w:pPr>
      <w:r>
        <w:t xml:space="preserve">Figure </w:t>
      </w:r>
      <w:r w:rsidR="002C318C">
        <w:t>1</w:t>
      </w:r>
      <w:bookmarkEnd w:id="35"/>
      <w:r w:rsidR="00DA7A13">
        <w:t>5</w:t>
      </w:r>
      <w:r w:rsidR="005B06C4">
        <w:tab/>
      </w:r>
      <w:r>
        <w:t>Directlink</w:t>
      </w:r>
      <w:r w:rsidR="003D1F92">
        <w:t>—actual an</w:t>
      </w:r>
      <w:r w:rsidR="00091C19">
        <w:t>d proposed capex ($ million 2014-15</w:t>
      </w:r>
      <w:r w:rsidR="003D1F92">
        <w:t>)</w:t>
      </w:r>
    </w:p>
    <w:p w:rsidR="007A69A3" w:rsidRDefault="00925054" w:rsidP="003D1F92">
      <w:pPr>
        <w:pStyle w:val="AERbodytext"/>
        <w:numPr>
          <w:ilvl w:val="0"/>
          <w:numId w:val="0"/>
        </w:numPr>
      </w:pPr>
      <w:r w:rsidRPr="00925054">
        <w:rPr>
          <w:noProof/>
          <w:lang w:eastAsia="en-AU"/>
        </w:rPr>
        <w:drawing>
          <wp:inline distT="0" distB="0" distL="0" distR="0" wp14:anchorId="6A1B0FA5" wp14:editId="2B3424C1">
            <wp:extent cx="5731200" cy="2851200"/>
            <wp:effectExtent l="0" t="0" r="3175" b="635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C318C" w:rsidRPr="00091C19" w:rsidRDefault="002C318C" w:rsidP="00091C19">
      <w:pPr>
        <w:pStyle w:val="AERtablesource"/>
      </w:pPr>
      <w:r w:rsidRPr="00091C19">
        <w:t>Source: RIN, AER analysis</w:t>
      </w:r>
    </w:p>
    <w:p w:rsidR="004F44BB" w:rsidRPr="004F44BB" w:rsidRDefault="00A92472" w:rsidP="004F44BB">
      <w:pPr>
        <w:pStyle w:val="AERbodytext"/>
      </w:pPr>
      <w:r>
        <w:t xml:space="preserve">The key issues </w:t>
      </w:r>
      <w:r w:rsidR="00581368">
        <w:t xml:space="preserve">impacting forecast total </w:t>
      </w:r>
      <w:r>
        <w:t xml:space="preserve">capex </w:t>
      </w:r>
      <w:r w:rsidR="00581368">
        <w:t xml:space="preserve">for each business </w:t>
      </w:r>
      <w:r>
        <w:t>are outlined below.</w:t>
      </w:r>
    </w:p>
    <w:p w:rsidR="00581368" w:rsidRDefault="00581368" w:rsidP="001767F2">
      <w:pPr>
        <w:pStyle w:val="Heading3"/>
      </w:pPr>
      <w:r w:rsidRPr="001767F2">
        <w:lastRenderedPageBreak/>
        <w:t xml:space="preserve">Key drivers of </w:t>
      </w:r>
      <w:r w:rsidR="001767F2" w:rsidRPr="001767F2">
        <w:t xml:space="preserve">the </w:t>
      </w:r>
      <w:r w:rsidRPr="001767F2">
        <w:t>cap</w:t>
      </w:r>
      <w:r w:rsidR="001767F2" w:rsidRPr="001767F2">
        <w:t xml:space="preserve">ital expenditure </w:t>
      </w:r>
      <w:r w:rsidRPr="001767F2">
        <w:t xml:space="preserve">proposals </w:t>
      </w:r>
    </w:p>
    <w:p w:rsidR="001767F2" w:rsidRPr="001767F2" w:rsidRDefault="001767F2" w:rsidP="001767F2">
      <w:r w:rsidRPr="001767F2">
        <w:t xml:space="preserve">The transmission businesses have identified a number of drivers affecting forecast </w:t>
      </w:r>
      <w:r w:rsidR="00CA566B">
        <w:t>capex</w:t>
      </w:r>
      <w:r w:rsidRPr="001767F2">
        <w:t>. A summary of the main drivers each business has identifi</w:t>
      </w:r>
      <w:r w:rsidR="00697751">
        <w:t xml:space="preserve">ed is outlined below in Tables </w:t>
      </w:r>
      <w:r w:rsidR="00E952A8">
        <w:t>2</w:t>
      </w:r>
      <w:r w:rsidR="00697751">
        <w:t xml:space="preserve"> to </w:t>
      </w:r>
      <w:r w:rsidR="00E952A8">
        <w:t>4</w:t>
      </w:r>
      <w:r w:rsidRPr="001767F2">
        <w:t xml:space="preserve">. </w:t>
      </w:r>
    </w:p>
    <w:p w:rsidR="001767F2" w:rsidRPr="001767F2" w:rsidRDefault="001767F2" w:rsidP="001767F2">
      <w:pPr>
        <w:pStyle w:val="Caption"/>
      </w:pPr>
      <w:r w:rsidRPr="001767F2">
        <w:t>Table</w:t>
      </w:r>
      <w:r w:rsidR="00380E7D">
        <w:t xml:space="preserve"> 2</w:t>
      </w:r>
      <w:r w:rsidRPr="001767F2">
        <w:tab/>
        <w:t>TransGrid—Drive</w:t>
      </w:r>
      <w:r>
        <w:t>rs of capex</w:t>
      </w:r>
      <w:r w:rsidRPr="001767F2">
        <w:t xml:space="preserve"> forecast</w:t>
      </w:r>
    </w:p>
    <w:tbl>
      <w:tblPr>
        <w:tblStyle w:val="AERtable-numbers"/>
        <w:tblW w:w="0" w:type="auto"/>
        <w:tblLook w:val="04A0" w:firstRow="1" w:lastRow="0" w:firstColumn="1" w:lastColumn="0" w:noHBand="0" w:noVBand="1"/>
      </w:tblPr>
      <w:tblGrid>
        <w:gridCol w:w="2132"/>
        <w:gridCol w:w="7110"/>
      </w:tblGrid>
      <w:tr w:rsidR="0099659C" w:rsidRPr="00473449" w:rsidTr="000532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767F2" w:rsidRPr="001767F2" w:rsidRDefault="001767F2" w:rsidP="001767F2">
            <w:r w:rsidRPr="001767F2">
              <w:t>Cost driver</w:t>
            </w:r>
          </w:p>
        </w:tc>
        <w:tc>
          <w:tcPr>
            <w:tcW w:w="0" w:type="auto"/>
          </w:tcPr>
          <w:p w:rsidR="001767F2" w:rsidRPr="001767F2" w:rsidRDefault="001767F2" w:rsidP="001767F2">
            <w:pPr>
              <w:cnfStyle w:val="100000000000" w:firstRow="1" w:lastRow="0" w:firstColumn="0" w:lastColumn="0" w:oddVBand="0" w:evenVBand="0" w:oddHBand="0" w:evenHBand="0" w:firstRowFirstColumn="0" w:firstRowLastColumn="0" w:lastRowFirstColumn="0" w:lastRowLastColumn="0"/>
            </w:pPr>
            <w:r w:rsidRPr="001767F2">
              <w:t>Description</w:t>
            </w:r>
          </w:p>
        </w:tc>
      </w:tr>
      <w:tr w:rsidR="0099659C" w:rsidRPr="00473449" w:rsidTr="000532CD">
        <w:tc>
          <w:tcPr>
            <w:cnfStyle w:val="001000000000" w:firstRow="0" w:lastRow="0" w:firstColumn="1" w:lastColumn="0" w:oddVBand="0" w:evenVBand="0" w:oddHBand="0" w:evenHBand="0" w:firstRowFirstColumn="0" w:firstRowLastColumn="0" w:lastRowFirstColumn="0" w:lastRowLastColumn="0"/>
            <w:tcW w:w="0" w:type="auto"/>
            <w:vAlign w:val="top"/>
          </w:tcPr>
          <w:p w:rsidR="001767F2" w:rsidRPr="001767F2" w:rsidRDefault="001767F2" w:rsidP="003D56FA">
            <w:r>
              <w:t xml:space="preserve">Demand </w:t>
            </w:r>
            <w:r w:rsidR="003D56FA">
              <w:t>related</w:t>
            </w:r>
            <w:r>
              <w:t xml:space="preserve"> capex</w:t>
            </w:r>
          </w:p>
        </w:tc>
        <w:tc>
          <w:tcPr>
            <w:tcW w:w="0" w:type="auto"/>
            <w:vAlign w:val="top"/>
          </w:tcPr>
          <w:p w:rsidR="001767F2" w:rsidRPr="001767F2" w:rsidRDefault="001767F2" w:rsidP="0079198F">
            <w:pPr>
              <w:cnfStyle w:val="000000000000" w:firstRow="0" w:lastRow="0" w:firstColumn="0" w:lastColumn="0" w:oddVBand="0" w:evenVBand="0" w:oddHBand="0" w:evenHBand="0" w:firstRowFirstColumn="0" w:firstRowLastColumn="0" w:lastRowFirstColumn="0" w:lastRowLastColumn="0"/>
            </w:pPr>
            <w:r>
              <w:t>TransGrid ha</w:t>
            </w:r>
            <w:r w:rsidR="00F85E72">
              <w:t>s</w:t>
            </w:r>
            <w:r>
              <w:t xml:space="preserve"> </w:t>
            </w:r>
            <w:r w:rsidR="000532CD">
              <w:t xml:space="preserve">proposed augmentation </w:t>
            </w:r>
            <w:r w:rsidR="00697751">
              <w:t xml:space="preserve">and connection </w:t>
            </w:r>
            <w:r w:rsidR="000532CD">
              <w:t>expenditure of $</w:t>
            </w:r>
            <w:r w:rsidR="0079198F">
              <w:t>77m</w:t>
            </w:r>
            <w:r w:rsidR="000532CD">
              <w:t xml:space="preserve">. This is significantly  </w:t>
            </w:r>
            <w:r w:rsidR="00697751">
              <w:t xml:space="preserve">lower </w:t>
            </w:r>
            <w:r w:rsidR="000532CD">
              <w:t xml:space="preserve">than the current period based on lower forecast growth rates for state wide </w:t>
            </w:r>
            <w:r w:rsidR="00427AC4">
              <w:t xml:space="preserve">maximum demand published by AEMO in 2013 </w:t>
            </w:r>
            <w:r w:rsidR="000532CD">
              <w:t xml:space="preserve">and connection point </w:t>
            </w:r>
            <w:r w:rsidRPr="001767F2">
              <w:t>maximum demand</w:t>
            </w:r>
            <w:r w:rsidR="00427AC4">
              <w:t xml:space="preserve"> forecasts developed by the NSW/ACT distribution businesses </w:t>
            </w:r>
            <w:r w:rsidR="00697751">
              <w:t>covering</w:t>
            </w:r>
            <w:r w:rsidR="00427AC4">
              <w:t xml:space="preserve"> the</w:t>
            </w:r>
            <w:r w:rsidRPr="001767F2">
              <w:t xml:space="preserve"> 2014–19 regulatory control period. </w:t>
            </w:r>
            <w:r w:rsidR="00393E4D">
              <w:t>TransGrid indicates that these lower demand forecasts reflect projections of solar installations, demand reduction from energy efficient initiatives and changes to consumer behaviour.</w:t>
            </w:r>
            <w:r w:rsidR="00393E4D">
              <w:rPr>
                <w:rStyle w:val="FootnoteReference"/>
              </w:rPr>
              <w:footnoteReference w:id="37"/>
            </w:r>
          </w:p>
        </w:tc>
      </w:tr>
      <w:tr w:rsidR="0099659C" w:rsidRPr="00473449" w:rsidTr="000532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rsidR="001767F2" w:rsidRPr="001767F2" w:rsidRDefault="000532CD" w:rsidP="001767F2">
            <w:r>
              <w:t>Asset replacement capex</w:t>
            </w:r>
          </w:p>
          <w:p w:rsidR="001767F2" w:rsidRPr="001767F2" w:rsidRDefault="001767F2" w:rsidP="001767F2"/>
        </w:tc>
        <w:tc>
          <w:tcPr>
            <w:tcW w:w="0" w:type="auto"/>
            <w:vAlign w:val="top"/>
          </w:tcPr>
          <w:p w:rsidR="000532CD" w:rsidRDefault="00660736" w:rsidP="001767F2">
            <w:pPr>
              <w:cnfStyle w:val="000000010000" w:firstRow="0" w:lastRow="0" w:firstColumn="0" w:lastColumn="0" w:oddVBand="0" w:evenVBand="0" w:oddHBand="0" w:evenHBand="1" w:firstRowFirstColumn="0" w:firstRowLastColumn="0" w:lastRowFirstColumn="0" w:lastRowLastColumn="0"/>
            </w:pPr>
            <w:r>
              <w:t>TransGrid</w:t>
            </w:r>
            <w:r w:rsidRPr="001767F2">
              <w:t xml:space="preserve"> </w:t>
            </w:r>
            <w:r w:rsidR="00F85E72">
              <w:t>has</w:t>
            </w:r>
            <w:r w:rsidR="000532CD">
              <w:t xml:space="preserve"> propose</w:t>
            </w:r>
            <w:r w:rsidR="007E7CFC">
              <w:t>d replacement expenditure of $</w:t>
            </w:r>
            <w:r w:rsidR="00E83ED5">
              <w:t>1174</w:t>
            </w:r>
            <w:r w:rsidR="007E7CFC">
              <w:t>m</w:t>
            </w:r>
            <w:r w:rsidR="000532CD">
              <w:t>. This is significantly higher than</w:t>
            </w:r>
            <w:r w:rsidR="001A7FB5">
              <w:t xml:space="preserve"> </w:t>
            </w:r>
            <w:r w:rsidR="00C65766">
              <w:t>$703m</w:t>
            </w:r>
            <w:r w:rsidR="000532CD">
              <w:t xml:space="preserve"> </w:t>
            </w:r>
            <w:r w:rsidR="00C65766">
              <w:t xml:space="preserve">estimated to be spent </w:t>
            </w:r>
            <w:r w:rsidR="000532CD">
              <w:t xml:space="preserve">in the current regulatory control period. </w:t>
            </w:r>
            <w:r w:rsidR="0046382B">
              <w:t>TransGrid states that t</w:t>
            </w:r>
            <w:r w:rsidR="000532CD">
              <w:t xml:space="preserve">his significant increase is driven by the need to replace assets built in </w:t>
            </w:r>
            <w:r w:rsidR="007E7CFC">
              <w:t>t</w:t>
            </w:r>
            <w:r w:rsidR="000532CD">
              <w:t>he 1950s and 1960s that are considered to be reaching the end of their serviceable lives</w:t>
            </w:r>
            <w:r w:rsidR="007E7CFC" w:rsidRPr="007E7CFC">
              <w:rPr>
                <w:rStyle w:val="AERsuperscript"/>
              </w:rPr>
              <w:footnoteReference w:id="38"/>
            </w:r>
            <w:r w:rsidR="000532CD">
              <w:t xml:space="preserve">and includes: </w:t>
            </w:r>
          </w:p>
          <w:p w:rsidR="001767F2" w:rsidRDefault="000532CD" w:rsidP="000532CD">
            <w:pPr>
              <w:pStyle w:val="AERbulletlistfirststyle"/>
              <w:cnfStyle w:val="000000010000" w:firstRow="0" w:lastRow="0" w:firstColumn="0" w:lastColumn="0" w:oddVBand="0" w:evenVBand="0" w:oddHBand="0" w:evenHBand="1" w:firstRowFirstColumn="0" w:firstRowLastColumn="0" w:lastRowFirstColumn="0" w:lastRowLastColumn="0"/>
            </w:pPr>
            <w:r>
              <w:t>substation renewal</w:t>
            </w:r>
            <w:r w:rsidR="001A7FB5">
              <w:t xml:space="preserve"> ($374m)</w:t>
            </w:r>
          </w:p>
          <w:p w:rsidR="001A7FB5" w:rsidRDefault="000532CD" w:rsidP="000532CD">
            <w:pPr>
              <w:pStyle w:val="AERbulletlistfirststyle"/>
              <w:cnfStyle w:val="000000010000" w:firstRow="0" w:lastRow="0" w:firstColumn="0" w:lastColumn="0" w:oddVBand="0" w:evenVBand="0" w:oddHBand="0" w:evenHBand="1" w:firstRowFirstColumn="0" w:firstRowLastColumn="0" w:lastRowFirstColumn="0" w:lastRowLastColumn="0"/>
            </w:pPr>
            <w:r>
              <w:t xml:space="preserve">secondary systems renewal </w:t>
            </w:r>
            <w:r w:rsidR="00766FCF">
              <w:t>($290</w:t>
            </w:r>
            <w:r w:rsidR="001A7FB5">
              <w:t xml:space="preserve">m) </w:t>
            </w:r>
            <w:r>
              <w:t>(i.e. metering, control and protection systems)</w:t>
            </w:r>
          </w:p>
          <w:p w:rsidR="000532CD" w:rsidRDefault="001A7FB5" w:rsidP="000532CD">
            <w:pPr>
              <w:pStyle w:val="AERbulletlistfirststyle"/>
              <w:cnfStyle w:val="000000010000" w:firstRow="0" w:lastRow="0" w:firstColumn="0" w:lastColumn="0" w:oddVBand="0" w:evenVBand="0" w:oddHBand="0" w:evenHBand="1" w:firstRowFirstColumn="0" w:firstRowLastColumn="0" w:lastRowFirstColumn="0" w:lastRowLastColumn="0"/>
            </w:pPr>
            <w:r>
              <w:t xml:space="preserve">communications upgrade and replacement ($121m) </w:t>
            </w:r>
          </w:p>
          <w:p w:rsidR="001767F2" w:rsidRPr="001767F2" w:rsidRDefault="000532CD" w:rsidP="001A7FB5">
            <w:pPr>
              <w:pStyle w:val="AERbulletlistfirststyle"/>
              <w:cnfStyle w:val="000000010000" w:firstRow="0" w:lastRow="0" w:firstColumn="0" w:lastColumn="0" w:oddVBand="0" w:evenVBand="0" w:oddHBand="0" w:evenHBand="1" w:firstRowFirstColumn="0" w:firstRowLastColumn="0" w:lastRowFirstColumn="0" w:lastRowLastColumn="0"/>
            </w:pPr>
            <w:r>
              <w:t>transmission line life extensions</w:t>
            </w:r>
            <w:r w:rsidR="001A7FB5">
              <w:t xml:space="preserve"> ($120m)</w:t>
            </w:r>
            <w:r>
              <w:t>.</w:t>
            </w:r>
          </w:p>
        </w:tc>
      </w:tr>
      <w:tr w:rsidR="0099659C" w:rsidRPr="00473449" w:rsidTr="000532CD">
        <w:tc>
          <w:tcPr>
            <w:cnfStyle w:val="001000000000" w:firstRow="0" w:lastRow="0" w:firstColumn="1" w:lastColumn="0" w:oddVBand="0" w:evenVBand="0" w:oddHBand="0" w:evenHBand="0" w:firstRowFirstColumn="0" w:firstRowLastColumn="0" w:lastRowFirstColumn="0" w:lastRowLastColumn="0"/>
            <w:tcW w:w="0" w:type="auto"/>
          </w:tcPr>
          <w:p w:rsidR="001767F2" w:rsidRPr="001767F2" w:rsidRDefault="001A7FB5" w:rsidP="001767F2">
            <w:r>
              <w:t>Security/compliance</w:t>
            </w:r>
          </w:p>
        </w:tc>
        <w:tc>
          <w:tcPr>
            <w:tcW w:w="0" w:type="auto"/>
          </w:tcPr>
          <w:p w:rsidR="001767F2" w:rsidRPr="001767F2" w:rsidRDefault="001A7FB5" w:rsidP="00F85E72">
            <w:pPr>
              <w:cnfStyle w:val="000000000000" w:firstRow="0" w:lastRow="0" w:firstColumn="0" w:lastColumn="0" w:oddVBand="0" w:evenVBand="0" w:oddHBand="0" w:evenHBand="0" w:firstRowFirstColumn="0" w:firstRowLastColumn="0" w:lastRowFirstColumn="0" w:lastRowLastColumn="0"/>
            </w:pPr>
            <w:r>
              <w:t xml:space="preserve">TransGrid have proposed expenditure </w:t>
            </w:r>
            <w:r w:rsidR="00F85E72">
              <w:t xml:space="preserve">of $101m </w:t>
            </w:r>
            <w:r>
              <w:t xml:space="preserve">to </w:t>
            </w:r>
            <w:r w:rsidR="00F85E72">
              <w:t xml:space="preserve">raise transmission line clearances based on aerial surveys. The forecast expenditure reflects projects to address low spans on priority lines. </w:t>
            </w:r>
          </w:p>
        </w:tc>
      </w:tr>
      <w:tr w:rsidR="0099659C" w:rsidRPr="00473449" w:rsidTr="000532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767F2" w:rsidRPr="001767F2" w:rsidRDefault="001A7FB5" w:rsidP="001767F2">
            <w:r>
              <w:t>Property acquisitions</w:t>
            </w:r>
          </w:p>
        </w:tc>
        <w:tc>
          <w:tcPr>
            <w:tcW w:w="0" w:type="auto"/>
          </w:tcPr>
          <w:p w:rsidR="001767F2" w:rsidRPr="001767F2" w:rsidRDefault="001767F2" w:rsidP="004D07B4">
            <w:pPr>
              <w:cnfStyle w:val="000000010000" w:firstRow="0" w:lastRow="0" w:firstColumn="0" w:lastColumn="0" w:oddVBand="0" w:evenVBand="0" w:oddHBand="0" w:evenHBand="1" w:firstRowFirstColumn="0" w:firstRowLastColumn="0" w:lastRowFirstColumn="0" w:lastRowLastColumn="0"/>
            </w:pPr>
            <w:r w:rsidRPr="001767F2">
              <w:t xml:space="preserve">TransGrid </w:t>
            </w:r>
            <w:r w:rsidR="00427AC4">
              <w:t>has proposed</w:t>
            </w:r>
            <w:r w:rsidR="00BA7F0D">
              <w:t xml:space="preserve"> expenditure </w:t>
            </w:r>
            <w:r w:rsidR="00427AC4">
              <w:t xml:space="preserve">of $120m </w:t>
            </w:r>
            <w:r w:rsidR="00BA7F0D">
              <w:t xml:space="preserve">to acquire land or easements for future use for projects beyond the </w:t>
            </w:r>
            <w:r w:rsidR="004D07B4">
              <w:t>next regulatory control period.</w:t>
            </w:r>
          </w:p>
        </w:tc>
      </w:tr>
      <w:tr w:rsidR="0099659C" w:rsidRPr="00473449" w:rsidTr="000532CD">
        <w:tc>
          <w:tcPr>
            <w:cnfStyle w:val="001000000000" w:firstRow="0" w:lastRow="0" w:firstColumn="1" w:lastColumn="0" w:oddVBand="0" w:evenVBand="0" w:oddHBand="0" w:evenHBand="0" w:firstRowFirstColumn="0" w:firstRowLastColumn="0" w:lastRowFirstColumn="0" w:lastRowLastColumn="0"/>
            <w:tcW w:w="0" w:type="auto"/>
          </w:tcPr>
          <w:p w:rsidR="0099659C" w:rsidRDefault="0099659C" w:rsidP="001767F2">
            <w:r>
              <w:t>Support the business</w:t>
            </w:r>
          </w:p>
        </w:tc>
        <w:tc>
          <w:tcPr>
            <w:tcW w:w="0" w:type="auto"/>
          </w:tcPr>
          <w:p w:rsidR="0099659C" w:rsidRPr="00F60F1F" w:rsidRDefault="0099659C" w:rsidP="0099659C">
            <w:pPr>
              <w:cnfStyle w:val="000000000000" w:firstRow="0" w:lastRow="0" w:firstColumn="0" w:lastColumn="0" w:oddVBand="0" w:evenVBand="0" w:oddHBand="0" w:evenHBand="0" w:firstRowFirstColumn="0" w:firstRowLastColumn="0" w:lastRowFirstColumn="0" w:lastRowLastColumn="0"/>
            </w:pPr>
            <w:r>
              <w:t>TransGrid have proposed expenditure of $190m</w:t>
            </w:r>
            <w:r w:rsidR="00140BCA">
              <w:t>. This expenditure includes information technology, accommodation, and vehicles.</w:t>
            </w:r>
          </w:p>
        </w:tc>
      </w:tr>
      <w:tr w:rsidR="0099659C" w:rsidRPr="00473449" w:rsidTr="000532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427AC4" w:rsidRDefault="0099659C" w:rsidP="001767F2">
            <w:r>
              <w:t xml:space="preserve">Labour cost, </w:t>
            </w:r>
            <w:r w:rsidR="00F60F1F">
              <w:t xml:space="preserve"> commodity </w:t>
            </w:r>
            <w:r>
              <w:t xml:space="preserve">cost and property cost </w:t>
            </w:r>
            <w:r w:rsidR="00F60F1F">
              <w:t>escalation</w:t>
            </w:r>
          </w:p>
        </w:tc>
        <w:tc>
          <w:tcPr>
            <w:tcW w:w="0" w:type="auto"/>
          </w:tcPr>
          <w:p w:rsidR="00427AC4" w:rsidRPr="001767F2" w:rsidRDefault="00F60F1F" w:rsidP="0099659C">
            <w:pPr>
              <w:cnfStyle w:val="000000010000" w:firstRow="0" w:lastRow="0" w:firstColumn="0" w:lastColumn="0" w:oddVBand="0" w:evenVBand="0" w:oddHBand="0" w:evenHBand="1" w:firstRowFirstColumn="0" w:firstRowLastColumn="0" w:lastRowFirstColumn="0" w:lastRowLastColumn="0"/>
            </w:pPr>
            <w:r w:rsidRPr="00F60F1F">
              <w:t xml:space="preserve">TransGrid forecasts real increases in labour costs above </w:t>
            </w:r>
            <w:r w:rsidR="0046382B">
              <w:t>inflation (</w:t>
            </w:r>
            <w:r w:rsidRPr="00F60F1F">
              <w:t>CPI</w:t>
            </w:r>
            <w:r w:rsidR="0046382B">
              <w:t>)</w:t>
            </w:r>
            <w:r w:rsidRPr="00F60F1F">
              <w:t>. This in part reflects labour cost increases consistent with its current Enterprise Bargaining Agreement (EBA). For the period subsequent to the expiry of the EBA it reflects advice provided by a consultant about likely forecast increases.</w:t>
            </w:r>
            <w:r w:rsidRPr="00F60F1F">
              <w:rPr>
                <w:rStyle w:val="AERsuperscript"/>
              </w:rPr>
              <w:footnoteReference w:id="39"/>
            </w:r>
            <w:r w:rsidRPr="00F60F1F">
              <w:rPr>
                <w:rStyle w:val="AERsuperscript"/>
              </w:rPr>
              <w:t xml:space="preserve"> </w:t>
            </w:r>
            <w:r w:rsidR="0099659C">
              <w:rPr>
                <w:rStyle w:val="AERsuperscript"/>
              </w:rPr>
              <w:t xml:space="preserve"> </w:t>
            </w:r>
            <w:r w:rsidR="0099659C">
              <w:t>For the majority of its materials, TransGrid has forecast real price increases based on advice from a consultant about likely forecast increases</w:t>
            </w:r>
            <w:r w:rsidR="00CA566B">
              <w:t xml:space="preserve">. Further, </w:t>
            </w:r>
            <w:r w:rsidR="0099659C">
              <w:t xml:space="preserve">TransGrid's escalation of property values exceeds inflation for the majority of property types (e.g. residential, rural) based on advice provided by a consultant. </w:t>
            </w:r>
          </w:p>
        </w:tc>
      </w:tr>
      <w:tr w:rsidR="00697751" w:rsidRPr="00473449" w:rsidTr="000532CD">
        <w:tc>
          <w:tcPr>
            <w:cnfStyle w:val="001000000000" w:firstRow="0" w:lastRow="0" w:firstColumn="1" w:lastColumn="0" w:oddVBand="0" w:evenVBand="0" w:oddHBand="0" w:evenHBand="0" w:firstRowFirstColumn="0" w:firstRowLastColumn="0" w:lastRowFirstColumn="0" w:lastRowLastColumn="0"/>
            <w:tcW w:w="0" w:type="auto"/>
          </w:tcPr>
          <w:p w:rsidR="00697751" w:rsidRDefault="00697751" w:rsidP="001767F2">
            <w:r>
              <w:t>Contingent projects</w:t>
            </w:r>
          </w:p>
        </w:tc>
        <w:tc>
          <w:tcPr>
            <w:tcW w:w="0" w:type="auto"/>
          </w:tcPr>
          <w:p w:rsidR="00697751" w:rsidRDefault="00697751" w:rsidP="0099659C">
            <w:pPr>
              <w:cnfStyle w:val="000000000000" w:firstRow="0" w:lastRow="0" w:firstColumn="0" w:lastColumn="0" w:oddVBand="0" w:evenVBand="0" w:oddHBand="0" w:evenHBand="0" w:firstRowFirstColumn="0" w:firstRowLastColumn="0" w:lastRowFirstColumn="0" w:lastRowLastColumn="0"/>
            </w:pPr>
            <w:r w:rsidRPr="00697751">
              <w:t xml:space="preserve">The regulatory framework allows a transmission business to propose projects above a defined financial threshold, but where there is significant uncertainty as to the need and timing of these projects such that these projects are not included in the proposed initial revenue allowance (and prices). However, pre-defined events or circumstances (e.g. unexpected growth in load) that would trigger the need for this project during the regulatory control period may be included in our decisions. In the event that these projects are subsequently required during the regulatory control </w:t>
            </w:r>
            <w:r w:rsidRPr="00697751">
              <w:lastRenderedPageBreak/>
              <w:t>period (subject to AER approval), the transmission business is allowed to recover these additional investments within the regulatory control period.</w:t>
            </w:r>
            <w:r>
              <w:t xml:space="preserve">  TransGrid have proposed the following contingent projects:</w:t>
            </w:r>
          </w:p>
          <w:p w:rsidR="007E7CFC" w:rsidRPr="007E7CFC" w:rsidRDefault="007E7CFC" w:rsidP="007E7CFC">
            <w:pPr>
              <w:pStyle w:val="AERbulletlistfirststyle"/>
              <w:cnfStyle w:val="000000000000" w:firstRow="0" w:lastRow="0" w:firstColumn="0" w:lastColumn="0" w:oddVBand="0" w:evenVBand="0" w:oddHBand="0" w:evenHBand="0" w:firstRowFirstColumn="0" w:firstRowLastColumn="0" w:lastRowFirstColumn="0" w:lastRowLastColumn="0"/>
              <w:rPr>
                <w:rFonts w:eastAsia="Calibri"/>
              </w:rPr>
            </w:pPr>
            <w:r>
              <w:t>'</w:t>
            </w:r>
            <w:r w:rsidRPr="007E7CFC">
              <w:t>Powering Sydney's Future</w:t>
            </w:r>
            <w:r>
              <w:t>'</w:t>
            </w:r>
            <w:r w:rsidRPr="007E7CFC">
              <w:t>: this project has an estimated cost of $430 million</w:t>
            </w:r>
          </w:p>
          <w:p w:rsidR="00697751" w:rsidRPr="00F60F1F" w:rsidRDefault="007E7CFC" w:rsidP="007E7CFC">
            <w:pPr>
              <w:pStyle w:val="AERbulletlistfirststyle"/>
              <w:cnfStyle w:val="000000000000" w:firstRow="0" w:lastRow="0" w:firstColumn="0" w:lastColumn="0" w:oddVBand="0" w:evenVBand="0" w:oddHBand="0" w:evenHBand="0" w:firstRowFirstColumn="0" w:firstRowLastColumn="0" w:lastRowFirstColumn="0" w:lastRowLastColumn="0"/>
            </w:pPr>
            <w:r w:rsidRPr="007E7CFC">
              <w:t>Reinforcement of Capacity in Southern NSW: this project has an estimated cost of $308.9 million.</w:t>
            </w:r>
            <w:r w:rsidRPr="007E7CFC">
              <w:rPr>
                <w:rStyle w:val="AERsuperscript"/>
              </w:rPr>
              <w:footnoteReference w:id="40"/>
            </w:r>
            <w:r w:rsidRPr="007E7CFC">
              <w:rPr>
                <w:rStyle w:val="AERsuperscript"/>
              </w:rPr>
              <w:t xml:space="preserve"> </w:t>
            </w:r>
            <w:r w:rsidRPr="007E7CFC">
              <w:t xml:space="preserve"> </w:t>
            </w:r>
          </w:p>
        </w:tc>
      </w:tr>
    </w:tbl>
    <w:p w:rsidR="001767F2" w:rsidRDefault="001767F2" w:rsidP="007A69A3">
      <w:pPr>
        <w:pStyle w:val="HeadingBoldBlue"/>
        <w:rPr>
          <w:rStyle w:val="AERtextorange"/>
        </w:rPr>
      </w:pPr>
    </w:p>
    <w:p w:rsidR="00697751" w:rsidRPr="00697751" w:rsidRDefault="00697751" w:rsidP="00697751">
      <w:pPr>
        <w:pStyle w:val="Caption"/>
      </w:pPr>
      <w:r w:rsidRPr="00697751">
        <w:t xml:space="preserve">Table </w:t>
      </w:r>
      <w:r w:rsidR="0046382B">
        <w:t>3</w:t>
      </w:r>
      <w:r>
        <w:tab/>
      </w:r>
      <w:r w:rsidR="0046382B">
        <w:t>TasNetworks</w:t>
      </w:r>
      <w:r w:rsidRPr="00697751">
        <w:t>—Drivers of capex forecast</w:t>
      </w:r>
    </w:p>
    <w:tbl>
      <w:tblPr>
        <w:tblStyle w:val="AERtable-numbers"/>
        <w:tblW w:w="0" w:type="auto"/>
        <w:tblLook w:val="04A0" w:firstRow="1" w:lastRow="0" w:firstColumn="1" w:lastColumn="0" w:noHBand="0" w:noVBand="1"/>
      </w:tblPr>
      <w:tblGrid>
        <w:gridCol w:w="1466"/>
        <w:gridCol w:w="7776"/>
      </w:tblGrid>
      <w:tr w:rsidR="00013834" w:rsidRPr="00473449" w:rsidTr="00B270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97751" w:rsidRPr="00697751" w:rsidRDefault="00697751" w:rsidP="00697751">
            <w:r w:rsidRPr="00697751">
              <w:t>Cost driver</w:t>
            </w:r>
          </w:p>
        </w:tc>
        <w:tc>
          <w:tcPr>
            <w:tcW w:w="0" w:type="auto"/>
          </w:tcPr>
          <w:p w:rsidR="00697751" w:rsidRPr="00697751" w:rsidRDefault="00697751" w:rsidP="00697751">
            <w:pPr>
              <w:cnfStyle w:val="100000000000" w:firstRow="1" w:lastRow="0" w:firstColumn="0" w:lastColumn="0" w:oddVBand="0" w:evenVBand="0" w:oddHBand="0" w:evenHBand="0" w:firstRowFirstColumn="0" w:firstRowLastColumn="0" w:lastRowFirstColumn="0" w:lastRowLastColumn="0"/>
            </w:pPr>
            <w:r w:rsidRPr="00697751">
              <w:t>Description</w:t>
            </w:r>
          </w:p>
        </w:tc>
      </w:tr>
      <w:tr w:rsidR="00013834" w:rsidRPr="00473449" w:rsidTr="00B2706F">
        <w:tc>
          <w:tcPr>
            <w:cnfStyle w:val="001000000000" w:firstRow="0" w:lastRow="0" w:firstColumn="1" w:lastColumn="0" w:oddVBand="0" w:evenVBand="0" w:oddHBand="0" w:evenHBand="0" w:firstRowFirstColumn="0" w:firstRowLastColumn="0" w:lastRowFirstColumn="0" w:lastRowLastColumn="0"/>
            <w:tcW w:w="0" w:type="auto"/>
            <w:vAlign w:val="top"/>
          </w:tcPr>
          <w:p w:rsidR="00697751" w:rsidRPr="00697751" w:rsidRDefault="00697751" w:rsidP="003D56FA">
            <w:r w:rsidRPr="00697751">
              <w:t xml:space="preserve">Demand </w:t>
            </w:r>
            <w:r w:rsidR="003D56FA">
              <w:t xml:space="preserve">related </w:t>
            </w:r>
            <w:r w:rsidRPr="00697751">
              <w:t>capex</w:t>
            </w:r>
          </w:p>
        </w:tc>
        <w:tc>
          <w:tcPr>
            <w:tcW w:w="0" w:type="auto"/>
            <w:vAlign w:val="top"/>
          </w:tcPr>
          <w:p w:rsidR="00697751" w:rsidRPr="00697751" w:rsidRDefault="0046382B" w:rsidP="00C65766">
            <w:pPr>
              <w:cnfStyle w:val="000000000000" w:firstRow="0" w:lastRow="0" w:firstColumn="0" w:lastColumn="0" w:oddVBand="0" w:evenVBand="0" w:oddHBand="0" w:evenHBand="0" w:firstRowFirstColumn="0" w:firstRowLastColumn="0" w:lastRowFirstColumn="0" w:lastRowLastColumn="0"/>
            </w:pPr>
            <w:r>
              <w:t>TasNetworks</w:t>
            </w:r>
            <w:r w:rsidR="00697751" w:rsidRPr="00697751">
              <w:t xml:space="preserve"> has proposed </w:t>
            </w:r>
            <w:r w:rsidR="00697751">
              <w:t>augmentation and connection expenditure of $56m</w:t>
            </w:r>
            <w:r w:rsidR="00697751" w:rsidRPr="00697751">
              <w:t xml:space="preserve">. This is significantly </w:t>
            </w:r>
            <w:r w:rsidR="00697751">
              <w:t xml:space="preserve">lower </w:t>
            </w:r>
            <w:r w:rsidR="00697751" w:rsidRPr="00697751">
              <w:t xml:space="preserve">than the </w:t>
            </w:r>
            <w:r w:rsidR="007E7CFC">
              <w:t xml:space="preserve">amount spent in </w:t>
            </w:r>
            <w:r w:rsidR="00697751" w:rsidRPr="00697751">
              <w:t xml:space="preserve">current period </w:t>
            </w:r>
            <w:r w:rsidR="007E7CFC">
              <w:t xml:space="preserve">of $260m. This lower forecast is </w:t>
            </w:r>
            <w:r w:rsidR="00697751" w:rsidRPr="00697751">
              <w:t xml:space="preserve">based on lower forecast growth rates for state wide maximum demand and connection point maximum demand forecasts </w:t>
            </w:r>
            <w:r w:rsidR="00C65766">
              <w:t xml:space="preserve">updated </w:t>
            </w:r>
            <w:r w:rsidR="007E7CFC">
              <w:t>in March 2014 covering</w:t>
            </w:r>
            <w:r w:rsidR="00697751" w:rsidRPr="00697751">
              <w:t xml:space="preserve"> the 2014–19 regulatory control period</w:t>
            </w:r>
            <w:r w:rsidR="00BC24D7">
              <w:t>.</w:t>
            </w:r>
            <w:r w:rsidR="007E7CFC" w:rsidRPr="007E7CFC">
              <w:rPr>
                <w:rStyle w:val="AERsuperscript"/>
              </w:rPr>
              <w:footnoteReference w:id="41"/>
            </w:r>
            <w:r w:rsidR="00697751" w:rsidRPr="00697751">
              <w:t xml:space="preserve"> </w:t>
            </w:r>
          </w:p>
        </w:tc>
      </w:tr>
      <w:tr w:rsidR="00013834" w:rsidRPr="00473449" w:rsidTr="00B270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rsidR="00697751" w:rsidRPr="00697751" w:rsidRDefault="00697751" w:rsidP="00697751">
            <w:r w:rsidRPr="00697751">
              <w:t>Asset replacement capex</w:t>
            </w:r>
          </w:p>
          <w:p w:rsidR="00697751" w:rsidRPr="00697751" w:rsidRDefault="00697751" w:rsidP="00697751"/>
        </w:tc>
        <w:tc>
          <w:tcPr>
            <w:tcW w:w="0" w:type="auto"/>
            <w:vAlign w:val="top"/>
          </w:tcPr>
          <w:p w:rsidR="00F31FF4" w:rsidRDefault="0046382B" w:rsidP="00F31FF4">
            <w:pPr>
              <w:cnfStyle w:val="000000010000" w:firstRow="0" w:lastRow="0" w:firstColumn="0" w:lastColumn="0" w:oddVBand="0" w:evenVBand="0" w:oddHBand="0" w:evenHBand="1" w:firstRowFirstColumn="0" w:firstRowLastColumn="0" w:lastRowFirstColumn="0" w:lastRowLastColumn="0"/>
            </w:pPr>
            <w:r>
              <w:t>TasNetworks</w:t>
            </w:r>
            <w:r w:rsidR="00660736" w:rsidRPr="00697751">
              <w:t xml:space="preserve"> </w:t>
            </w:r>
            <w:r w:rsidR="00697751" w:rsidRPr="00697751">
              <w:t>has propose</w:t>
            </w:r>
            <w:r w:rsidR="00F31FF4">
              <w:t>d replacement expenditure of $207m</w:t>
            </w:r>
            <w:r w:rsidR="00697751" w:rsidRPr="00697751">
              <w:t xml:space="preserve">. This is </w:t>
            </w:r>
            <w:r w:rsidR="00F31FF4">
              <w:t>lower than the amount spent ($285m)</w:t>
            </w:r>
            <w:r w:rsidR="00697751" w:rsidRPr="00697751">
              <w:t xml:space="preserve"> in the current</w:t>
            </w:r>
            <w:r w:rsidR="00F31FF4">
              <w:t xml:space="preserve"> regulatory control period. </w:t>
            </w:r>
            <w:r>
              <w:t>TasNetworks</w:t>
            </w:r>
            <w:r w:rsidR="00F31FF4">
              <w:t xml:space="preserve"> sates that it has cleared a backlog of asset replacement projects in the current </w:t>
            </w:r>
            <w:r w:rsidR="00C65766">
              <w:t xml:space="preserve">regulatory control </w:t>
            </w:r>
            <w:r w:rsidR="00F31FF4">
              <w:t xml:space="preserve">period such that asset replacement expenditure is expected to return to business as usual levels.   </w:t>
            </w:r>
            <w:r>
              <w:t>TasNetwork</w:t>
            </w:r>
            <w:r w:rsidR="00F31FF4">
              <w:t xml:space="preserve">'s </w:t>
            </w:r>
            <w:r w:rsidR="00C65766">
              <w:t xml:space="preserve">major </w:t>
            </w:r>
            <w:r w:rsidR="00F31FF4">
              <w:t>asset renewal expenditure includes:</w:t>
            </w:r>
          </w:p>
          <w:p w:rsidR="00F31FF4" w:rsidRDefault="00F31FF4" w:rsidP="00F31FF4">
            <w:pPr>
              <w:pStyle w:val="AERbulletlistfirststyle"/>
              <w:cnfStyle w:val="000000010000" w:firstRow="0" w:lastRow="0" w:firstColumn="0" w:lastColumn="0" w:oddVBand="0" w:evenVBand="0" w:oddHBand="0" w:evenHBand="1" w:firstRowFirstColumn="0" w:firstRowLastColumn="0" w:lastRowFirstColumn="0" w:lastRowLastColumn="0"/>
            </w:pPr>
            <w:r>
              <w:t xml:space="preserve">replacement of transmission line insulator assemblies to maintain service levels, safety </w:t>
            </w:r>
            <w:r w:rsidR="0046382B">
              <w:t>and for bushfire mitigation</w:t>
            </w:r>
          </w:p>
          <w:p w:rsidR="00697751" w:rsidRDefault="00F31FF4" w:rsidP="00F31FF4">
            <w:pPr>
              <w:pStyle w:val="AERbulletlistfirststyle"/>
              <w:cnfStyle w:val="000000010000" w:firstRow="0" w:lastRow="0" w:firstColumn="0" w:lastColumn="0" w:oddVBand="0" w:evenVBand="0" w:oddHBand="0" w:evenHBand="1" w:firstRowFirstColumn="0" w:firstRowLastColumn="0" w:lastRowFirstColumn="0" w:lastRowLastColumn="0"/>
            </w:pPr>
            <w:r>
              <w:t>renewal of telecommunication assets that have reached the end of their serviceable lives</w:t>
            </w:r>
            <w:r w:rsidR="0046382B">
              <w:t>; and</w:t>
            </w:r>
          </w:p>
          <w:p w:rsidR="00ED7381" w:rsidRPr="00697751" w:rsidRDefault="00ED7381" w:rsidP="00F31FF4">
            <w:pPr>
              <w:pStyle w:val="AERbulletlistfirststyle"/>
              <w:cnfStyle w:val="000000010000" w:firstRow="0" w:lastRow="0" w:firstColumn="0" w:lastColumn="0" w:oddVBand="0" w:evenVBand="0" w:oddHBand="0" w:evenHBand="1" w:firstRowFirstColumn="0" w:firstRowLastColumn="0" w:lastRowFirstColumn="0" w:lastRowLastColumn="0"/>
            </w:pPr>
            <w:r>
              <w:t>increased expenditure on operational support systems that partially reflects the deferral of projects to derive synergies from the merged network business.</w:t>
            </w:r>
          </w:p>
        </w:tc>
      </w:tr>
      <w:tr w:rsidR="00013834" w:rsidRPr="00473449" w:rsidTr="00B2706F">
        <w:tc>
          <w:tcPr>
            <w:cnfStyle w:val="001000000000" w:firstRow="0" w:lastRow="0" w:firstColumn="1" w:lastColumn="0" w:oddVBand="0" w:evenVBand="0" w:oddHBand="0" w:evenHBand="0" w:firstRowFirstColumn="0" w:firstRowLastColumn="0" w:lastRowFirstColumn="0" w:lastRowLastColumn="0"/>
            <w:tcW w:w="0" w:type="auto"/>
          </w:tcPr>
          <w:p w:rsidR="00697751" w:rsidRPr="00697751" w:rsidRDefault="00ED7381" w:rsidP="00BC4552">
            <w:r w:rsidRPr="00697751">
              <w:t>Labour cos</w:t>
            </w:r>
            <w:r w:rsidR="00BC4552">
              <w:t xml:space="preserve">t </w:t>
            </w:r>
            <w:r w:rsidR="00013834">
              <w:t>and property escalation</w:t>
            </w:r>
          </w:p>
        </w:tc>
        <w:tc>
          <w:tcPr>
            <w:tcW w:w="0" w:type="auto"/>
          </w:tcPr>
          <w:p w:rsidR="00697751" w:rsidRPr="00697751" w:rsidRDefault="0046382B" w:rsidP="00BC4552">
            <w:pPr>
              <w:cnfStyle w:val="000000000000" w:firstRow="0" w:lastRow="0" w:firstColumn="0" w:lastColumn="0" w:oddVBand="0" w:evenVBand="0" w:oddHBand="0" w:evenHBand="0" w:firstRowFirstColumn="0" w:firstRowLastColumn="0" w:lastRowFirstColumn="0" w:lastRowLastColumn="0"/>
            </w:pPr>
            <w:r>
              <w:t>TasNetworks</w:t>
            </w:r>
            <w:r w:rsidR="00ED7381">
              <w:t xml:space="preserve"> forecast real increases in labour costs above CPI </w:t>
            </w:r>
            <w:r w:rsidR="00ED7381" w:rsidRPr="004A1054">
              <w:t>from 2015-16</w:t>
            </w:r>
            <w:r w:rsidR="00013834">
              <w:t xml:space="preserve"> based on advice from a consultant</w:t>
            </w:r>
            <w:r w:rsidR="00ED7381">
              <w:t xml:space="preserve">. </w:t>
            </w:r>
            <w:r w:rsidR="0092344B">
              <w:t>TasNetworks</w:t>
            </w:r>
            <w:r w:rsidR="00013834">
              <w:t xml:space="preserve"> has </w:t>
            </w:r>
            <w:r w:rsidR="00BC4552">
              <w:t xml:space="preserve">also </w:t>
            </w:r>
            <w:r w:rsidR="00013834">
              <w:t>forecast property costs to also exceed CPI based on advice from consultants.</w:t>
            </w:r>
            <w:r w:rsidR="00BC4552">
              <w:rPr>
                <w:rStyle w:val="FootnoteReference"/>
              </w:rPr>
              <w:footnoteReference w:id="42"/>
            </w:r>
          </w:p>
        </w:tc>
      </w:tr>
      <w:tr w:rsidR="00013834" w:rsidRPr="00473449" w:rsidTr="00B270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97751" w:rsidRPr="00697751" w:rsidRDefault="00013834" w:rsidP="00697751">
            <w:r>
              <w:t>Cost estimation risk factor</w:t>
            </w:r>
          </w:p>
        </w:tc>
        <w:tc>
          <w:tcPr>
            <w:tcW w:w="0" w:type="auto"/>
          </w:tcPr>
          <w:p w:rsidR="00697751" w:rsidRPr="00697751" w:rsidRDefault="00013834" w:rsidP="0046382B">
            <w:pPr>
              <w:cnfStyle w:val="000000010000" w:firstRow="0" w:lastRow="0" w:firstColumn="0" w:lastColumn="0" w:oddVBand="0" w:evenVBand="0" w:oddHBand="0" w:evenHBand="1" w:firstRowFirstColumn="0" w:firstRowLastColumn="0" w:lastRowFirstColumn="0" w:lastRowLastColumn="0"/>
            </w:pPr>
            <w:r>
              <w:t>In develo</w:t>
            </w:r>
            <w:r w:rsidR="0092344B">
              <w:t>ping its forecast capex TasNetworks</w:t>
            </w:r>
            <w:r>
              <w:t xml:space="preserve"> has applied a cost estimation risk factor of 1.65 per cent. </w:t>
            </w:r>
            <w:r w:rsidR="0046382B">
              <w:t>TasNetworks</w:t>
            </w:r>
            <w:r w:rsidR="00C65766">
              <w:t xml:space="preserve"> states that t</w:t>
            </w:r>
            <w:r>
              <w:t xml:space="preserve">his risk factor is applied to recognise the uncertainties in the cost estimating process and that there is generally a higher probability that costs will increase rather than decrease, due to unforseen factors.  </w:t>
            </w:r>
          </w:p>
        </w:tc>
      </w:tr>
    </w:tbl>
    <w:p w:rsidR="00686AD9" w:rsidRDefault="00686AD9" w:rsidP="00686AD9">
      <w:pPr>
        <w:pStyle w:val="AERbodytext"/>
        <w:numPr>
          <w:ilvl w:val="0"/>
          <w:numId w:val="0"/>
        </w:numPr>
      </w:pPr>
    </w:p>
    <w:p w:rsidR="00CA566B" w:rsidRDefault="00CA566B" w:rsidP="00686AD9">
      <w:pPr>
        <w:pStyle w:val="AERbodytext"/>
        <w:numPr>
          <w:ilvl w:val="0"/>
          <w:numId w:val="0"/>
        </w:numPr>
      </w:pPr>
    </w:p>
    <w:p w:rsidR="00CA566B" w:rsidRDefault="00CA566B" w:rsidP="00686AD9">
      <w:pPr>
        <w:pStyle w:val="AERbodytext"/>
        <w:numPr>
          <w:ilvl w:val="0"/>
          <w:numId w:val="0"/>
        </w:numPr>
      </w:pPr>
    </w:p>
    <w:p w:rsidR="00CA566B" w:rsidRPr="00686AD9" w:rsidRDefault="00CA566B" w:rsidP="00686AD9">
      <w:pPr>
        <w:pStyle w:val="AERbodytext"/>
        <w:numPr>
          <w:ilvl w:val="0"/>
          <w:numId w:val="0"/>
        </w:numPr>
      </w:pPr>
    </w:p>
    <w:p w:rsidR="00013834" w:rsidRPr="00013834" w:rsidRDefault="00013834" w:rsidP="00013834">
      <w:pPr>
        <w:pStyle w:val="Caption"/>
      </w:pPr>
      <w:r w:rsidRPr="00013834">
        <w:lastRenderedPageBreak/>
        <w:t xml:space="preserve">Table </w:t>
      </w:r>
      <w:r w:rsidR="00380E7D">
        <w:t>4</w:t>
      </w:r>
      <w:r>
        <w:tab/>
        <w:t>Directlink</w:t>
      </w:r>
      <w:r w:rsidRPr="00013834">
        <w:t>—Drivers of capex forecast</w:t>
      </w:r>
    </w:p>
    <w:tbl>
      <w:tblPr>
        <w:tblStyle w:val="AERtable-numbers"/>
        <w:tblW w:w="0" w:type="auto"/>
        <w:tblLook w:val="04A0" w:firstRow="1" w:lastRow="0" w:firstColumn="1" w:lastColumn="0" w:noHBand="0" w:noVBand="1"/>
      </w:tblPr>
      <w:tblGrid>
        <w:gridCol w:w="1566"/>
        <w:gridCol w:w="7676"/>
      </w:tblGrid>
      <w:tr w:rsidR="00545DD2" w:rsidRPr="00473449" w:rsidTr="00B270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13834" w:rsidRPr="00013834" w:rsidRDefault="00013834" w:rsidP="00013834">
            <w:r w:rsidRPr="00013834">
              <w:t>Cost driver</w:t>
            </w:r>
          </w:p>
        </w:tc>
        <w:tc>
          <w:tcPr>
            <w:tcW w:w="0" w:type="auto"/>
          </w:tcPr>
          <w:p w:rsidR="00013834" w:rsidRPr="00013834" w:rsidRDefault="00013834" w:rsidP="00013834">
            <w:pPr>
              <w:cnfStyle w:val="100000000000" w:firstRow="1" w:lastRow="0" w:firstColumn="0" w:lastColumn="0" w:oddVBand="0" w:evenVBand="0" w:oddHBand="0" w:evenHBand="0" w:firstRowFirstColumn="0" w:firstRowLastColumn="0" w:lastRowFirstColumn="0" w:lastRowLastColumn="0"/>
            </w:pPr>
            <w:r w:rsidRPr="00013834">
              <w:t>Description</w:t>
            </w:r>
          </w:p>
        </w:tc>
      </w:tr>
      <w:tr w:rsidR="00545DD2" w:rsidRPr="00473449" w:rsidTr="00B2706F">
        <w:tc>
          <w:tcPr>
            <w:cnfStyle w:val="001000000000" w:firstRow="0" w:lastRow="0" w:firstColumn="1" w:lastColumn="0" w:oddVBand="0" w:evenVBand="0" w:oddHBand="0" w:evenHBand="0" w:firstRowFirstColumn="0" w:firstRowLastColumn="0" w:lastRowFirstColumn="0" w:lastRowLastColumn="0"/>
            <w:tcW w:w="0" w:type="auto"/>
            <w:vAlign w:val="top"/>
          </w:tcPr>
          <w:p w:rsidR="00013834" w:rsidRPr="00013834" w:rsidRDefault="003D56FA" w:rsidP="00013834">
            <w:r>
              <w:t>Asset replacement capex</w:t>
            </w:r>
          </w:p>
        </w:tc>
        <w:tc>
          <w:tcPr>
            <w:tcW w:w="0" w:type="auto"/>
            <w:vAlign w:val="top"/>
          </w:tcPr>
          <w:p w:rsidR="00A210CE" w:rsidRDefault="003D56FA" w:rsidP="00A210CE">
            <w:pPr>
              <w:cnfStyle w:val="000000000000" w:firstRow="0" w:lastRow="0" w:firstColumn="0" w:lastColumn="0" w:oddVBand="0" w:evenVBand="0" w:oddHBand="0" w:evenHBand="0" w:firstRowFirstColumn="0" w:firstRowLastColumn="0" w:lastRowFirstColumn="0" w:lastRowLastColumn="0"/>
            </w:pPr>
            <w:r>
              <w:t>Directlink</w:t>
            </w:r>
            <w:r w:rsidR="00013834" w:rsidRPr="00013834">
              <w:t xml:space="preserve"> has proposed </w:t>
            </w:r>
            <w:r w:rsidR="00A210CE">
              <w:t xml:space="preserve">expenditure of </w:t>
            </w:r>
            <w:r w:rsidR="008A51C8">
              <w:t>10m</w:t>
            </w:r>
            <w:r w:rsidR="00A210CE">
              <w:t xml:space="preserve"> to refurbish auxiliary equipment nearing the end of its useful life. </w:t>
            </w:r>
          </w:p>
          <w:p w:rsidR="00013834" w:rsidRPr="00013834" w:rsidRDefault="00013834" w:rsidP="00A210CE">
            <w:pPr>
              <w:cnfStyle w:val="000000000000" w:firstRow="0" w:lastRow="0" w:firstColumn="0" w:lastColumn="0" w:oddVBand="0" w:evenVBand="0" w:oddHBand="0" w:evenHBand="0" w:firstRowFirstColumn="0" w:firstRowLastColumn="0" w:lastRowFirstColumn="0" w:lastRowLastColumn="0"/>
            </w:pPr>
          </w:p>
        </w:tc>
      </w:tr>
      <w:tr w:rsidR="00545DD2" w:rsidRPr="00473449" w:rsidTr="00B270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rsidR="00013834" w:rsidRPr="00013834" w:rsidRDefault="00545DD2" w:rsidP="00013834">
            <w:r>
              <w:t>R</w:t>
            </w:r>
            <w:r w:rsidRPr="00545DD2">
              <w:t>eliability rela</w:t>
            </w:r>
            <w:r>
              <w:t>ted expenditure</w:t>
            </w:r>
          </w:p>
          <w:p w:rsidR="00013834" w:rsidRPr="00013834" w:rsidRDefault="00013834" w:rsidP="00013834"/>
        </w:tc>
        <w:tc>
          <w:tcPr>
            <w:tcW w:w="0" w:type="auto"/>
            <w:vAlign w:val="top"/>
          </w:tcPr>
          <w:p w:rsidR="00013834" w:rsidRPr="00013834" w:rsidRDefault="00545DD2" w:rsidP="00545DD2">
            <w:pPr>
              <w:cnfStyle w:val="000000010000" w:firstRow="0" w:lastRow="0" w:firstColumn="0" w:lastColumn="0" w:oddVBand="0" w:evenVBand="0" w:oddHBand="0" w:evenHBand="1" w:firstRowFirstColumn="0" w:firstRowLastColumn="0" w:lastRowFirstColumn="0" w:lastRowLastColumn="0"/>
            </w:pPr>
            <w:r w:rsidRPr="00545DD2">
              <w:t xml:space="preserve">Directlink has </w:t>
            </w:r>
            <w:r w:rsidR="008A51C8">
              <w:t xml:space="preserve">also </w:t>
            </w:r>
            <w:r w:rsidRPr="00545DD2">
              <w:t>proposed expenditure of $23m to improve the reliability of the interconnector</w:t>
            </w:r>
            <w:r>
              <w:t xml:space="preserve">. This includes an upgrade of the control system ($13m) in 2020 on the basis that the necessary components are no longer supported by the manufacturer. </w:t>
            </w:r>
          </w:p>
        </w:tc>
      </w:tr>
    </w:tbl>
    <w:p w:rsidR="004A1054" w:rsidRPr="004A1054" w:rsidRDefault="00B27D9D" w:rsidP="004A1054">
      <w:pPr>
        <w:pStyle w:val="Heading1"/>
      </w:pPr>
      <w:bookmarkStart w:id="36" w:name="_Toc387763136"/>
      <w:bookmarkStart w:id="37" w:name="_Toc392063177"/>
      <w:r>
        <w:lastRenderedPageBreak/>
        <w:pict>
          <v:shape id="_x0000_s1072" type="#_x0000_t202" style="position:absolute;left:0;text-align:left;margin-left:1.8pt;margin-top:34.6pt;width:453.05pt;height:175pt;z-index:25167257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LKAIAAE4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N5DBBJ3pn6EZl1ZhhwXEgUWuN+UNLhcFfUfz+A&#10;45TIDxq7sxxPp3EbkjKdzQtU3KVld2kBzRCqooGSQdyEtEGJN3uDXdyKxO9LJqeUcWgT7acFi1tx&#10;qSevl9/A+gk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oBNLKAIAAE4EAAAOAAAAAAAAAAAAAAAAAC4CAABkcnMvZTJvRG9j&#10;LnhtbFBLAQItABQABgAIAAAAIQD9LzLW2wAAAAUBAAAPAAAAAAAAAAAAAAAAAIIEAABkcnMvZG93&#10;bnJldi54bWxQSwUGAAAAAAQABADzAAAAigUAAAAA&#10;" fillcolor="#ddd">
            <v:textbox style="mso-next-textbox:#_x0000_s1072">
              <w:txbxContent>
                <w:p w:rsidR="00DA7A13" w:rsidRPr="008F2BDE" w:rsidRDefault="00DA7A13" w:rsidP="00424015">
                  <w:pPr>
                    <w:rPr>
                      <w:rStyle w:val="AERtextbold"/>
                    </w:rPr>
                  </w:pPr>
                  <w:r w:rsidRPr="008F2BDE">
                    <w:rPr>
                      <w:rStyle w:val="AERtextbold"/>
                    </w:rPr>
                    <w:t xml:space="preserve">Questions </w:t>
                  </w:r>
                  <w:r>
                    <w:rPr>
                      <w:rStyle w:val="AERtextbold"/>
                    </w:rPr>
                    <w:t>(please include reasons in your responses)</w:t>
                  </w:r>
                </w:p>
                <w:p w:rsidR="00DA7A13" w:rsidRDefault="00DA7A13" w:rsidP="00424015">
                  <w:pPr>
                    <w:pStyle w:val="AERnumberedlistfirststyle"/>
                  </w:pPr>
                  <w:r>
                    <w:t>Are the opex proposals of each business justified? Please identify any specific areas you consider are not justified.</w:t>
                  </w:r>
                </w:p>
                <w:p w:rsidR="00DA7A13" w:rsidRDefault="00DA7A13" w:rsidP="00424015">
                  <w:pPr>
                    <w:pStyle w:val="AERnumberedlistfirststyle"/>
                  </w:pPr>
                  <w:r>
                    <w:t>What are your views about the cost drivers the businesses have identified?</w:t>
                  </w:r>
                </w:p>
                <w:p w:rsidR="00DA7A13" w:rsidRDefault="00DA7A13" w:rsidP="00424015">
                  <w:pPr>
                    <w:pStyle w:val="AERnumberedlistfirststyle"/>
                  </w:pPr>
                  <w:r w:rsidRPr="00CD2858">
                    <w:t xml:space="preserve">Are the benefits to </w:t>
                  </w:r>
                  <w:r>
                    <w:t xml:space="preserve">electricity </w:t>
                  </w:r>
                  <w:r w:rsidRPr="00CD2858">
                    <w:t>network</w:t>
                  </w:r>
                  <w:r>
                    <w:t xml:space="preserve"> consumers</w:t>
                  </w:r>
                  <w:r w:rsidRPr="00CD2858">
                    <w:t xml:space="preserve"> resulting from revealed efficiencies</w:t>
                  </w:r>
                  <w:r>
                    <w:t xml:space="preserve"> in opex</w:t>
                  </w:r>
                  <w:r w:rsidRPr="00CD2858">
                    <w:t xml:space="preserve"> sufficient to warrant the rewards proposed by the </w:t>
                  </w:r>
                  <w:r>
                    <w:t>businesses</w:t>
                  </w:r>
                  <w:r w:rsidRPr="00CD2858">
                    <w:t xml:space="preserve"> under the EBSS</w:t>
                  </w:r>
                  <w:r>
                    <w:t>?</w:t>
                  </w:r>
                </w:p>
                <w:p w:rsidR="00DA7A13" w:rsidRDefault="00DA7A13" w:rsidP="00424015">
                  <w:pPr>
                    <w:pStyle w:val="AERnumberedlistfirststyle"/>
                  </w:pPr>
                  <w:r>
                    <w:t>Are the reasons for the opex proposals of each business clear from their regulatory proposals and/or consumer engagement activities?</w:t>
                  </w:r>
                </w:p>
              </w:txbxContent>
            </v:textbox>
          </v:shape>
        </w:pict>
      </w:r>
      <w:r w:rsidR="004A1054" w:rsidRPr="004A1054">
        <w:t>Ope</w:t>
      </w:r>
      <w:bookmarkEnd w:id="36"/>
      <w:r w:rsidR="001E183C">
        <w:t>rating expenditure</w:t>
      </w:r>
      <w:bookmarkEnd w:id="37"/>
    </w:p>
    <w:p w:rsidR="00424015" w:rsidRDefault="00424015" w:rsidP="004A1054"/>
    <w:p w:rsidR="00424015" w:rsidRDefault="00424015" w:rsidP="004A1054"/>
    <w:p w:rsidR="00424015" w:rsidRDefault="00424015" w:rsidP="004A1054"/>
    <w:p w:rsidR="00424015" w:rsidRDefault="00424015" w:rsidP="004A1054"/>
    <w:p w:rsidR="00424015" w:rsidRDefault="00424015" w:rsidP="004A1054"/>
    <w:p w:rsidR="00424015" w:rsidRDefault="00424015" w:rsidP="004A1054"/>
    <w:p w:rsidR="00424015" w:rsidRDefault="00424015" w:rsidP="004A1054"/>
    <w:p w:rsidR="004A1054" w:rsidRPr="004A1054" w:rsidRDefault="004A1054" w:rsidP="004A1054">
      <w:r w:rsidRPr="004A1054">
        <w:t>Operating expenditure (opex) refers to the operating, maintenance and other non-capital expenditure incurred in the provision of network services. It is one of the building blocks used to determine the total revenue requirement</w:t>
      </w:r>
      <w:r>
        <w:t xml:space="preserve"> </w:t>
      </w:r>
      <w:r w:rsidR="005774DE">
        <w:t xml:space="preserve">for each business </w:t>
      </w:r>
      <w:r>
        <w:t>(see section</w:t>
      </w:r>
      <w:r w:rsidR="00E83ED5">
        <w:t xml:space="preserve"> 1.1.5</w:t>
      </w:r>
      <w:r w:rsidRPr="004A1054">
        <w:t xml:space="preserve">. We must accept the </w:t>
      </w:r>
      <w:r w:rsidR="005774DE">
        <w:t xml:space="preserve">proposed </w:t>
      </w:r>
      <w:r w:rsidRPr="004A1054">
        <w:t>forecasts of total opex if we are satisfied they reasonably reflect the opex criteria.</w:t>
      </w:r>
      <w:r w:rsidRPr="004A1054">
        <w:rPr>
          <w:rStyle w:val="AERsuperscript"/>
        </w:rPr>
        <w:footnoteReference w:id="43"/>
      </w:r>
      <w:r w:rsidRPr="004A1054">
        <w:rPr>
          <w:rStyle w:val="AERsuperscript"/>
        </w:rPr>
        <w:t xml:space="preserve"> </w:t>
      </w:r>
      <w:r w:rsidRPr="004A1054">
        <w:t>We must have regard to the opex factors when making that decision.</w:t>
      </w:r>
      <w:r w:rsidRPr="004A1054">
        <w:rPr>
          <w:rStyle w:val="AERsuperscript"/>
        </w:rPr>
        <w:footnoteReference w:id="44"/>
      </w:r>
    </w:p>
    <w:p w:rsidR="004A1054" w:rsidRPr="004A1054" w:rsidRDefault="004A1054" w:rsidP="004A1054">
      <w:r w:rsidRPr="004A1054">
        <w:t>If we are not satisfied a</w:t>
      </w:r>
      <w:r w:rsidR="005774DE">
        <w:t>n</w:t>
      </w:r>
      <w:r w:rsidRPr="004A1054">
        <w:t xml:space="preserve"> opex proposal reasonably reflects the opex criteria, we must not accept it.</w:t>
      </w:r>
      <w:r w:rsidRPr="004A1054">
        <w:rPr>
          <w:rStyle w:val="AERsuperscript"/>
        </w:rPr>
        <w:footnoteReference w:id="45"/>
      </w:r>
      <w:r w:rsidRPr="004A1054">
        <w:t xml:space="preserve"> We must estimate the total required opex that, in our view, does reasonably reflect the opex criteria taking into account the opex factors. The approach we will adopt to assess the forecasts of total opex is outlined in our expenditure forecast assessment guideline.</w:t>
      </w:r>
    </w:p>
    <w:p w:rsidR="00355D01" w:rsidRPr="004A1054" w:rsidRDefault="004A1054" w:rsidP="00355D01">
      <w:pPr>
        <w:pStyle w:val="AERbodytext"/>
        <w:numPr>
          <w:ilvl w:val="0"/>
          <w:numId w:val="0"/>
        </w:numPr>
      </w:pPr>
      <w:bookmarkStart w:id="38" w:name="_Toc390341644"/>
      <w:bookmarkStart w:id="39" w:name="_Toc390950527"/>
      <w:r w:rsidRPr="004A1054">
        <w:t xml:space="preserve">To encourage a </w:t>
      </w:r>
      <w:r w:rsidR="005774DE">
        <w:t>business</w:t>
      </w:r>
      <w:r w:rsidRPr="004A1054">
        <w:t xml:space="preserve"> to become more efficient we typically apply an Efficiency Benefit Sharing Scheme (EBSS) for opex. The EBSS rewards </w:t>
      </w:r>
      <w:r w:rsidR="005774DE">
        <w:t>a business</w:t>
      </w:r>
      <w:r w:rsidR="005774DE" w:rsidRPr="004A1054">
        <w:t xml:space="preserve"> </w:t>
      </w:r>
      <w:r w:rsidRPr="004A1054">
        <w:t xml:space="preserve">for efficiency gains it makes during a regulatory control period and penalises </w:t>
      </w:r>
      <w:r w:rsidR="005774DE">
        <w:t>a business</w:t>
      </w:r>
      <w:r w:rsidR="005774DE" w:rsidRPr="004A1054">
        <w:t xml:space="preserve"> </w:t>
      </w:r>
      <w:r w:rsidRPr="004A1054">
        <w:t xml:space="preserve">for efficiency losses. </w:t>
      </w:r>
      <w:r w:rsidR="00200955">
        <w:t>TasNetworks</w:t>
      </w:r>
      <w:r w:rsidR="00200955" w:rsidRPr="004A1054">
        <w:t xml:space="preserve"> </w:t>
      </w:r>
      <w:r w:rsidRPr="004A1054">
        <w:t>and TransGrid operated under the EBSS released in September 2007.</w:t>
      </w:r>
      <w:r w:rsidRPr="004A1054">
        <w:rPr>
          <w:rStyle w:val="FootnoteReference"/>
        </w:rPr>
        <w:footnoteReference w:id="46"/>
      </w:r>
      <w:r w:rsidRPr="004A1054">
        <w:t xml:space="preserve"> They will receive any </w:t>
      </w:r>
      <w:r w:rsidR="00686AD9">
        <w:t xml:space="preserve">rewards or penalties gained during </w:t>
      </w:r>
      <w:r w:rsidRPr="004A1054">
        <w:t xml:space="preserve">the 2014–19 period. Directlink </w:t>
      </w:r>
      <w:r w:rsidR="00C10F30">
        <w:t>was</w:t>
      </w:r>
      <w:r w:rsidRPr="004A1054">
        <w:t xml:space="preserve"> not subject to an EBSS in the 2006–15 regulatory control period.</w:t>
      </w:r>
    </w:p>
    <w:p w:rsidR="00380E7D" w:rsidRPr="004A1054" w:rsidRDefault="00D14186" w:rsidP="00380E7D">
      <w:pPr>
        <w:pStyle w:val="Heading2"/>
      </w:pPr>
      <w:bookmarkStart w:id="40" w:name="_Toc392063178"/>
      <w:r>
        <w:t>Transmission business</w:t>
      </w:r>
      <w:r w:rsidR="004A1054" w:rsidRPr="004A1054">
        <w:t xml:space="preserve"> operating expenditure proposals</w:t>
      </w:r>
      <w:bookmarkStart w:id="41" w:name="_Ref390932062"/>
      <w:bookmarkEnd w:id="38"/>
      <w:bookmarkEnd w:id="39"/>
      <w:bookmarkEnd w:id="40"/>
    </w:p>
    <w:p w:rsidR="004A1054" w:rsidRDefault="00ED4637" w:rsidP="004A1054">
      <w:pPr>
        <w:pStyle w:val="AERbodytext"/>
      </w:pPr>
      <w:r>
        <w:t>Figures 18</w:t>
      </w:r>
      <w:r w:rsidR="00DA7A13">
        <w:t xml:space="preserve"> and 17</w:t>
      </w:r>
      <w:r w:rsidR="004A1054" w:rsidRPr="004A1054">
        <w:t xml:space="preserve"> </w:t>
      </w:r>
      <w:r w:rsidR="00380E7D">
        <w:t xml:space="preserve">show </w:t>
      </w:r>
      <w:r w:rsidR="004A1054" w:rsidRPr="004A1054">
        <w:t xml:space="preserve">Directlink and TransGrid have forecast increases in opex when compared to the actual opex incurred in the previous regulatory control period. </w:t>
      </w:r>
      <w:r w:rsidR="00380E7D">
        <w:t xml:space="preserve">Figure 16 shows that </w:t>
      </w:r>
      <w:r w:rsidR="0092344B">
        <w:t>TasNetworks</w:t>
      </w:r>
      <w:r w:rsidR="004A1054" w:rsidRPr="004A1054">
        <w:t xml:space="preserve"> has forecast a decrease in opex when compared to the opex it incurred in the 2009-14 regulatory control period.</w:t>
      </w:r>
    </w:p>
    <w:p w:rsidR="00264E2E" w:rsidRPr="00264E2E" w:rsidRDefault="007D569B" w:rsidP="00264E2E">
      <w:pPr>
        <w:pStyle w:val="AERbodytext"/>
        <w:numPr>
          <w:ilvl w:val="0"/>
          <w:numId w:val="49"/>
        </w:numPr>
      </w:pPr>
      <w:r>
        <w:t>In particular, f</w:t>
      </w:r>
      <w:r w:rsidR="00ED4637">
        <w:t>igure 16</w:t>
      </w:r>
      <w:r w:rsidR="00264E2E" w:rsidRPr="00264E2E">
        <w:t xml:space="preserve"> shows that TasNetworks is proposing to spend around 11 per cent less than actual expenditure (or 24 per cent less than the allowance) in the current regulatory control period.    </w:t>
      </w:r>
    </w:p>
    <w:p w:rsidR="00264E2E" w:rsidRPr="004A1054" w:rsidRDefault="00264E2E" w:rsidP="004A1054">
      <w:pPr>
        <w:pStyle w:val="AERbodytext"/>
      </w:pPr>
    </w:p>
    <w:p w:rsidR="004A1054" w:rsidRPr="004A1054" w:rsidRDefault="004A1054" w:rsidP="004A1054">
      <w:pPr>
        <w:pStyle w:val="Caption"/>
      </w:pPr>
      <w:bookmarkStart w:id="42" w:name="_Ref391024889"/>
      <w:r w:rsidRPr="004A1054">
        <w:lastRenderedPageBreak/>
        <w:t xml:space="preserve">Figure </w:t>
      </w:r>
      <w:bookmarkEnd w:id="41"/>
      <w:bookmarkEnd w:id="42"/>
      <w:r w:rsidR="00DA7A13">
        <w:t>16</w:t>
      </w:r>
      <w:r w:rsidRPr="004A1054">
        <w:tab/>
      </w:r>
      <w:r w:rsidR="00035A24">
        <w:t>TasNetworks</w:t>
      </w:r>
      <w:r w:rsidRPr="004A1054">
        <w:t>—actual and proposed opex</w:t>
      </w:r>
      <w:r w:rsidR="00D14186">
        <w:t xml:space="preserve"> ($million, 2013-14)</w:t>
      </w:r>
    </w:p>
    <w:p w:rsidR="004A1054" w:rsidRPr="004A1054" w:rsidRDefault="004A1054" w:rsidP="004A1054">
      <w:r w:rsidRPr="004A1054">
        <w:rPr>
          <w:noProof/>
          <w:lang w:eastAsia="en-AU"/>
        </w:rPr>
        <w:drawing>
          <wp:inline distT="0" distB="0" distL="0" distR="0" wp14:anchorId="4C375C32" wp14:editId="02D8CD86">
            <wp:extent cx="5731510" cy="30841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3084195"/>
                    </a:xfrm>
                    <a:prstGeom prst="rect">
                      <a:avLst/>
                    </a:prstGeom>
                    <a:noFill/>
                    <a:ln>
                      <a:noFill/>
                    </a:ln>
                  </pic:spPr>
                </pic:pic>
              </a:graphicData>
            </a:graphic>
          </wp:inline>
        </w:drawing>
      </w:r>
    </w:p>
    <w:p w:rsidR="004A1054" w:rsidRPr="004A1054" w:rsidRDefault="00355D01" w:rsidP="00355D01">
      <w:pPr>
        <w:pStyle w:val="AERtablesource"/>
      </w:pPr>
      <w:r>
        <w:t>Source: RIN, AER analysis</w:t>
      </w:r>
    </w:p>
    <w:p w:rsidR="00264E2E" w:rsidRPr="00264E2E" w:rsidRDefault="00264E2E" w:rsidP="00264E2E">
      <w:pPr>
        <w:pStyle w:val="AERbodytext"/>
        <w:numPr>
          <w:ilvl w:val="0"/>
          <w:numId w:val="49"/>
        </w:numPr>
      </w:pPr>
      <w:r w:rsidRPr="004A1054">
        <w:t xml:space="preserve">Figure </w:t>
      </w:r>
      <w:r w:rsidR="00ED4637">
        <w:t>17</w:t>
      </w:r>
      <w:r>
        <w:t xml:space="preserve"> </w:t>
      </w:r>
      <w:r w:rsidRPr="00264E2E">
        <w:t xml:space="preserve">shows that </w:t>
      </w:r>
      <w:r>
        <w:t>TransGrid</w:t>
      </w:r>
      <w:r w:rsidRPr="00264E2E">
        <w:t xml:space="preserve"> is proposing to spend around </w:t>
      </w:r>
      <w:r>
        <w:t>19</w:t>
      </w:r>
      <w:r w:rsidRPr="00264E2E">
        <w:t xml:space="preserve"> per cent </w:t>
      </w:r>
      <w:r>
        <w:t>more</w:t>
      </w:r>
      <w:r w:rsidRPr="00264E2E">
        <w:t xml:space="preserve"> than actual expenditure (or </w:t>
      </w:r>
      <w:r>
        <w:t>4</w:t>
      </w:r>
      <w:r w:rsidRPr="00264E2E">
        <w:t xml:space="preserve"> per cent </w:t>
      </w:r>
      <w:r>
        <w:t>more</w:t>
      </w:r>
      <w:r w:rsidRPr="00264E2E">
        <w:t xml:space="preserve"> than the allowance) in the current regulatory control period.    </w:t>
      </w:r>
    </w:p>
    <w:p w:rsidR="004A1054" w:rsidRPr="004A1054" w:rsidRDefault="004A1054" w:rsidP="004A1054">
      <w:pPr>
        <w:pStyle w:val="Caption"/>
      </w:pPr>
      <w:r w:rsidRPr="004A1054">
        <w:t xml:space="preserve">Figure </w:t>
      </w:r>
      <w:r w:rsidR="00DA7A13">
        <w:t>17</w:t>
      </w:r>
      <w:r w:rsidRPr="004A1054">
        <w:tab/>
        <w:t>TransGrid—actual and proposed opex</w:t>
      </w:r>
      <w:r w:rsidR="00A179A9">
        <w:t xml:space="preserve"> ($million, 2013</w:t>
      </w:r>
      <w:r w:rsidR="00D14186">
        <w:t>-14)</w:t>
      </w:r>
    </w:p>
    <w:p w:rsidR="004A1054" w:rsidRPr="004A1054" w:rsidRDefault="004A1054" w:rsidP="004A1054">
      <w:r w:rsidRPr="004A1054">
        <w:t xml:space="preserve"> </w:t>
      </w:r>
      <w:r w:rsidRPr="004A1054">
        <w:rPr>
          <w:noProof/>
          <w:lang w:eastAsia="en-AU"/>
        </w:rPr>
        <w:drawing>
          <wp:inline distT="0" distB="0" distL="0" distR="0" wp14:anchorId="52513B9C" wp14:editId="1168B6C7">
            <wp:extent cx="5729306" cy="3132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3133205"/>
                    </a:xfrm>
                    <a:prstGeom prst="rect">
                      <a:avLst/>
                    </a:prstGeom>
                    <a:noFill/>
                    <a:ln>
                      <a:noFill/>
                    </a:ln>
                  </pic:spPr>
                </pic:pic>
              </a:graphicData>
            </a:graphic>
          </wp:inline>
        </w:drawing>
      </w:r>
    </w:p>
    <w:p w:rsidR="00355D01" w:rsidRDefault="00355D01" w:rsidP="00355D01">
      <w:pPr>
        <w:pStyle w:val="AERtablesource"/>
      </w:pPr>
      <w:bookmarkStart w:id="43" w:name="_Ref390932083"/>
      <w:r>
        <w:t>Source: RIN, AER analysis</w:t>
      </w:r>
    </w:p>
    <w:p w:rsidR="00264E2E" w:rsidRDefault="00264E2E" w:rsidP="00264E2E">
      <w:pPr>
        <w:pStyle w:val="AERbodytext"/>
        <w:numPr>
          <w:ilvl w:val="0"/>
          <w:numId w:val="49"/>
        </w:numPr>
      </w:pPr>
    </w:p>
    <w:p w:rsidR="00264E2E" w:rsidRPr="00264E2E" w:rsidRDefault="00264E2E" w:rsidP="00264E2E">
      <w:pPr>
        <w:pStyle w:val="AERbodytext"/>
        <w:numPr>
          <w:ilvl w:val="0"/>
          <w:numId w:val="49"/>
        </w:numPr>
      </w:pPr>
      <w:r w:rsidRPr="004A1054">
        <w:lastRenderedPageBreak/>
        <w:t xml:space="preserve">Figure </w:t>
      </w:r>
      <w:r w:rsidR="00ED4637">
        <w:t>18</w:t>
      </w:r>
      <w:r>
        <w:t xml:space="preserve"> </w:t>
      </w:r>
      <w:r w:rsidRPr="00264E2E">
        <w:t xml:space="preserve">shows that </w:t>
      </w:r>
      <w:r>
        <w:t>Directlink</w:t>
      </w:r>
      <w:r w:rsidRPr="00264E2E">
        <w:t xml:space="preserve"> is proposing to spend around </w:t>
      </w:r>
      <w:r>
        <w:t>41</w:t>
      </w:r>
      <w:r w:rsidRPr="00264E2E">
        <w:t xml:space="preserve"> per cent </w:t>
      </w:r>
      <w:r>
        <w:t>more</w:t>
      </w:r>
      <w:r w:rsidRPr="00264E2E">
        <w:t xml:space="preserve"> than actual expenditure (or </w:t>
      </w:r>
      <w:r>
        <w:t>90</w:t>
      </w:r>
      <w:r w:rsidRPr="00264E2E">
        <w:t xml:space="preserve"> per cent </w:t>
      </w:r>
      <w:r>
        <w:t>more</w:t>
      </w:r>
      <w:r w:rsidRPr="00264E2E">
        <w:t xml:space="preserve"> than the allowance) in the</w:t>
      </w:r>
      <w:r>
        <w:t xml:space="preserve"> final five years of the</w:t>
      </w:r>
      <w:r w:rsidRPr="00264E2E">
        <w:t xml:space="preserve"> current regulatory control period.    </w:t>
      </w:r>
    </w:p>
    <w:p w:rsidR="004A1054" w:rsidRPr="004A1054" w:rsidRDefault="004A1054" w:rsidP="004A1054">
      <w:pPr>
        <w:pStyle w:val="Caption"/>
      </w:pPr>
      <w:r w:rsidRPr="004A1054">
        <w:t xml:space="preserve">Figure </w:t>
      </w:r>
      <w:r w:rsidR="00686AD9">
        <w:t>1</w:t>
      </w:r>
      <w:bookmarkEnd w:id="43"/>
      <w:r w:rsidR="00DA7A13">
        <w:t>8</w:t>
      </w:r>
      <w:r w:rsidRPr="004A1054">
        <w:tab/>
        <w:t>Directlink—actual and proposed opex</w:t>
      </w:r>
      <w:r w:rsidR="00091C19">
        <w:t xml:space="preserve"> ($million 2014-15</w:t>
      </w:r>
      <w:r w:rsidR="00D14186">
        <w:t>)</w:t>
      </w:r>
    </w:p>
    <w:p w:rsidR="004A1054" w:rsidRPr="004A1054" w:rsidRDefault="004A1054" w:rsidP="004A1054">
      <w:r w:rsidRPr="004A1054">
        <w:t xml:space="preserve"> </w:t>
      </w:r>
      <w:r w:rsidRPr="004A1054">
        <w:rPr>
          <w:noProof/>
          <w:lang w:eastAsia="en-AU"/>
        </w:rPr>
        <w:drawing>
          <wp:inline distT="0" distB="0" distL="0" distR="0" wp14:anchorId="7938B85F" wp14:editId="10060AAD">
            <wp:extent cx="5731200" cy="3117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3117769"/>
                    </a:xfrm>
                    <a:prstGeom prst="rect">
                      <a:avLst/>
                    </a:prstGeom>
                    <a:noFill/>
                    <a:ln>
                      <a:noFill/>
                    </a:ln>
                  </pic:spPr>
                </pic:pic>
              </a:graphicData>
            </a:graphic>
          </wp:inline>
        </w:drawing>
      </w:r>
      <w:bookmarkStart w:id="44" w:name="_Toc390341645"/>
      <w:bookmarkStart w:id="45" w:name="_Toc390950528"/>
    </w:p>
    <w:p w:rsidR="00355D01" w:rsidRDefault="00355D01" w:rsidP="001C30E6">
      <w:pPr>
        <w:pStyle w:val="AERtablesource"/>
      </w:pPr>
      <w:bookmarkStart w:id="46" w:name="_Toc392063179"/>
      <w:r>
        <w:t>Source: RIN, AER analysis</w:t>
      </w:r>
    </w:p>
    <w:p w:rsidR="004A1054" w:rsidRPr="00D14186" w:rsidRDefault="004A1054" w:rsidP="00D14186">
      <w:pPr>
        <w:pStyle w:val="Heading2"/>
      </w:pPr>
      <w:r w:rsidRPr="00D14186">
        <w:t>Key drivers of the operating expenditure proposals</w:t>
      </w:r>
      <w:bookmarkEnd w:id="44"/>
      <w:bookmarkEnd w:id="45"/>
      <w:bookmarkEnd w:id="46"/>
    </w:p>
    <w:p w:rsidR="004A1054" w:rsidRDefault="004A1054" w:rsidP="004A1054">
      <w:r w:rsidRPr="004A1054">
        <w:t xml:space="preserve">The </w:t>
      </w:r>
      <w:r w:rsidR="00473449">
        <w:t>transmission businesses have</w:t>
      </w:r>
      <w:r w:rsidRPr="004A1054">
        <w:t xml:space="preserve"> identified a number of drivers affecting forecast opex. A summary of the main drivers each </w:t>
      </w:r>
      <w:r w:rsidR="00473449">
        <w:t>business</w:t>
      </w:r>
      <w:r w:rsidRPr="004A1054">
        <w:t xml:space="preserve"> has identifi</w:t>
      </w:r>
      <w:r w:rsidR="00FA2F8A">
        <w:t>ed is outlined below in Tables 5 to 7</w:t>
      </w:r>
      <w:r w:rsidRPr="004A1054">
        <w:t xml:space="preserve">. </w:t>
      </w:r>
    </w:p>
    <w:p w:rsidR="00473449" w:rsidRPr="00473449" w:rsidRDefault="00473449" w:rsidP="00473449">
      <w:pPr>
        <w:pStyle w:val="Caption"/>
      </w:pPr>
      <w:r w:rsidRPr="00473449">
        <w:t xml:space="preserve">Table </w:t>
      </w:r>
      <w:r w:rsidR="00380E7D">
        <w:t>5</w:t>
      </w:r>
      <w:r w:rsidRPr="00473449">
        <w:tab/>
        <w:t>TransGrid—Drivers of opex forecast</w:t>
      </w:r>
    </w:p>
    <w:tbl>
      <w:tblPr>
        <w:tblStyle w:val="AERtable-numbers"/>
        <w:tblW w:w="0" w:type="auto"/>
        <w:tblLook w:val="04A0" w:firstRow="1" w:lastRow="0" w:firstColumn="1" w:lastColumn="0" w:noHBand="0" w:noVBand="1"/>
      </w:tblPr>
      <w:tblGrid>
        <w:gridCol w:w="1556"/>
        <w:gridCol w:w="7686"/>
      </w:tblGrid>
      <w:tr w:rsidR="00473449" w:rsidRPr="00473449" w:rsidTr="000532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473449" w:rsidRPr="00473449" w:rsidRDefault="00473449" w:rsidP="00473449">
            <w:r w:rsidRPr="00473449">
              <w:t>Cost driver</w:t>
            </w:r>
          </w:p>
        </w:tc>
        <w:tc>
          <w:tcPr>
            <w:tcW w:w="0" w:type="auto"/>
          </w:tcPr>
          <w:p w:rsidR="00473449" w:rsidRPr="00473449" w:rsidRDefault="00473449" w:rsidP="00473449">
            <w:pPr>
              <w:cnfStyle w:val="100000000000" w:firstRow="1" w:lastRow="0" w:firstColumn="0" w:lastColumn="0" w:oddVBand="0" w:evenVBand="0" w:oddHBand="0" w:evenHBand="0" w:firstRowFirstColumn="0" w:firstRowLastColumn="0" w:lastRowFirstColumn="0" w:lastRowLastColumn="0"/>
            </w:pPr>
            <w:r w:rsidRPr="00473449">
              <w:t>Description</w:t>
            </w:r>
          </w:p>
        </w:tc>
      </w:tr>
      <w:tr w:rsidR="00473449" w:rsidRPr="00473449" w:rsidTr="000532CD">
        <w:tc>
          <w:tcPr>
            <w:cnfStyle w:val="001000000000" w:firstRow="0" w:lastRow="0" w:firstColumn="1" w:lastColumn="0" w:oddVBand="0" w:evenVBand="0" w:oddHBand="0" w:evenHBand="0" w:firstRowFirstColumn="0" w:firstRowLastColumn="0" w:lastRowFirstColumn="0" w:lastRowLastColumn="0"/>
            <w:tcW w:w="0" w:type="auto"/>
            <w:vAlign w:val="top"/>
          </w:tcPr>
          <w:p w:rsidR="00473449" w:rsidRPr="00473449" w:rsidRDefault="00473449" w:rsidP="00473449">
            <w:r w:rsidRPr="00473449">
              <w:t>Corporate and Regulatory Management</w:t>
            </w:r>
          </w:p>
        </w:tc>
        <w:tc>
          <w:tcPr>
            <w:tcW w:w="0" w:type="auto"/>
            <w:vAlign w:val="top"/>
          </w:tcPr>
          <w:p w:rsidR="00473449" w:rsidRPr="00473449" w:rsidRDefault="00473449" w:rsidP="00473449">
            <w:pPr>
              <w:cnfStyle w:val="000000000000" w:firstRow="0" w:lastRow="0" w:firstColumn="0" w:lastColumn="0" w:oddVBand="0" w:evenVBand="0" w:oddHBand="0" w:evenHBand="0" w:firstRowFirstColumn="0" w:firstRowLastColumn="0" w:lastRowFirstColumn="0" w:lastRowLastColumn="0"/>
            </w:pPr>
            <w:r w:rsidRPr="00473449">
              <w:t>TransGrid is forecasting additional opex on Corporate and Regulatory Management of $67 million ($2013-14) in the 2014-19 regulatory control period compared to the 2009-14 regulatory control period.</w:t>
            </w:r>
            <w:r w:rsidRPr="00952EE8">
              <w:rPr>
                <w:rStyle w:val="AERsuperscript"/>
              </w:rPr>
              <w:footnoteReference w:id="47"/>
            </w:r>
            <w:r w:rsidRPr="00952EE8">
              <w:rPr>
                <w:rStyle w:val="AERsuperscript"/>
              </w:rPr>
              <w:t xml:space="preserve"> </w:t>
            </w:r>
          </w:p>
          <w:p w:rsidR="00473449" w:rsidRPr="00473449" w:rsidRDefault="00473449" w:rsidP="00473449">
            <w:pPr>
              <w:cnfStyle w:val="000000000000" w:firstRow="0" w:lastRow="0" w:firstColumn="0" w:lastColumn="0" w:oddVBand="0" w:evenVBand="0" w:oddHBand="0" w:evenHBand="0" w:firstRowFirstColumn="0" w:firstRowLastColumn="0" w:lastRowFirstColumn="0" w:lastRowLastColumn="0"/>
            </w:pPr>
            <w:r w:rsidRPr="00473449">
              <w:t>We understand the forecast increase in opex in this category is related to a forecast increase in opex for employee entitlements such as defined benefits superannuation and long service leave.</w:t>
            </w:r>
            <w:r w:rsidRPr="00E138B7">
              <w:rPr>
                <w:rStyle w:val="AERsuperscript"/>
              </w:rPr>
              <w:footnoteReference w:id="48"/>
            </w:r>
            <w:r w:rsidRPr="00E138B7">
              <w:rPr>
                <w:rStyle w:val="AERsuperscript"/>
              </w:rPr>
              <w:t xml:space="preserve"> </w:t>
            </w:r>
            <w:r w:rsidRPr="00473449">
              <w:t>TransGrid's reported historical opex is based on the provisions it recorded for these entitlements. Its forecast opex is based on the forecast cash it will incur relating to these entitlements.</w:t>
            </w:r>
          </w:p>
        </w:tc>
      </w:tr>
      <w:tr w:rsidR="00473449" w:rsidRPr="00473449" w:rsidTr="000532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rsidR="00473449" w:rsidRPr="00473449" w:rsidRDefault="00473449" w:rsidP="00473449">
            <w:r w:rsidRPr="00473449">
              <w:t>Step changes</w:t>
            </w:r>
          </w:p>
          <w:p w:rsidR="00473449" w:rsidRPr="00473449" w:rsidRDefault="00473449" w:rsidP="00473449"/>
        </w:tc>
        <w:tc>
          <w:tcPr>
            <w:tcW w:w="0" w:type="auto"/>
            <w:vAlign w:val="top"/>
          </w:tcPr>
          <w:p w:rsidR="00473449" w:rsidRPr="00473449" w:rsidRDefault="00473449" w:rsidP="00473449">
            <w:pPr>
              <w:cnfStyle w:val="000000010000" w:firstRow="0" w:lastRow="0" w:firstColumn="0" w:lastColumn="0" w:oddVBand="0" w:evenVBand="0" w:oddHBand="0" w:evenHBand="1" w:firstRowFirstColumn="0" w:firstRowLastColumn="0" w:lastRowFirstColumn="0" w:lastRowLastColumn="0"/>
            </w:pPr>
            <w:r w:rsidRPr="00473449">
              <w:lastRenderedPageBreak/>
              <w:t xml:space="preserve">TransGrid forecasts additional opex of $41 million ($2013-14) in the 2014-19 regulatory control period for </w:t>
            </w:r>
            <w:r w:rsidRPr="00473449">
              <w:lastRenderedPageBreak/>
              <w:t>step changes.</w:t>
            </w:r>
          </w:p>
          <w:p w:rsidR="00473449" w:rsidRPr="00473449" w:rsidRDefault="00473449" w:rsidP="00473449">
            <w:pPr>
              <w:cnfStyle w:val="000000010000" w:firstRow="0" w:lastRow="0" w:firstColumn="0" w:lastColumn="0" w:oddVBand="0" w:evenVBand="0" w:oddHBand="0" w:evenHBand="1" w:firstRowFirstColumn="0" w:firstRowLastColumn="0" w:lastRowFirstColumn="0" w:lastRowLastColumn="0"/>
            </w:pPr>
            <w:r w:rsidRPr="00473449">
              <w:t>The largest proposed step changes are for an increase in demand management of $13 million ($2013-14) and for increased consumer engagement activities of $11 million ($2013-14).</w:t>
            </w:r>
            <w:r w:rsidRPr="00952EE8">
              <w:rPr>
                <w:rStyle w:val="AERsuperscript"/>
              </w:rPr>
              <w:footnoteReference w:id="49"/>
            </w:r>
            <w:r w:rsidRPr="00952EE8">
              <w:rPr>
                <w:rStyle w:val="AERsuperscript"/>
              </w:rPr>
              <w:t xml:space="preserve"> </w:t>
            </w:r>
            <w:r w:rsidRPr="00473449">
              <w:t xml:space="preserve"> </w:t>
            </w:r>
          </w:p>
        </w:tc>
      </w:tr>
      <w:tr w:rsidR="00473449" w:rsidRPr="00473449" w:rsidTr="000532CD">
        <w:tc>
          <w:tcPr>
            <w:cnfStyle w:val="001000000000" w:firstRow="0" w:lastRow="0" w:firstColumn="1" w:lastColumn="0" w:oddVBand="0" w:evenVBand="0" w:oddHBand="0" w:evenHBand="0" w:firstRowFirstColumn="0" w:firstRowLastColumn="0" w:lastRowFirstColumn="0" w:lastRowLastColumn="0"/>
            <w:tcW w:w="0" w:type="auto"/>
          </w:tcPr>
          <w:p w:rsidR="00473449" w:rsidRPr="00473449" w:rsidRDefault="00473449" w:rsidP="00473449">
            <w:r w:rsidRPr="00473449">
              <w:lastRenderedPageBreak/>
              <w:t>Labour cost escalation</w:t>
            </w:r>
          </w:p>
        </w:tc>
        <w:tc>
          <w:tcPr>
            <w:tcW w:w="0" w:type="auto"/>
          </w:tcPr>
          <w:p w:rsidR="00473449" w:rsidRPr="00473449" w:rsidRDefault="00473449" w:rsidP="00473449">
            <w:pPr>
              <w:cnfStyle w:val="000000000000" w:firstRow="0" w:lastRow="0" w:firstColumn="0" w:lastColumn="0" w:oddVBand="0" w:evenVBand="0" w:oddHBand="0" w:evenHBand="0" w:firstRowFirstColumn="0" w:firstRowLastColumn="0" w:lastRowFirstColumn="0" w:lastRowLastColumn="0"/>
            </w:pPr>
            <w:r w:rsidRPr="00473449">
              <w:t>TransGrid forecasts real increases in labour costs above CPI. This in part reflects labour cost increases consistent with its current Enterprise Bargaining Agreement (EBA). For the period subsequent to the expiry of the EBA it reflects advice provided by a consultant about likely forecast increases.</w:t>
            </w:r>
            <w:r w:rsidRPr="00473449">
              <w:rPr>
                <w:rStyle w:val="AERsuperscript"/>
              </w:rPr>
              <w:footnoteReference w:id="50"/>
            </w:r>
            <w:r w:rsidRPr="00473449">
              <w:rPr>
                <w:rStyle w:val="AERsuperscript"/>
              </w:rPr>
              <w:t xml:space="preserve"> </w:t>
            </w:r>
            <w:r w:rsidRPr="00473449">
              <w:t>It estimates that forecast real price changes will increase its opex by $25 million ($2013-14) over the 2014-19 regulatory control period.</w:t>
            </w:r>
            <w:r w:rsidRPr="00473449">
              <w:rPr>
                <w:rStyle w:val="AERsuperscript"/>
              </w:rPr>
              <w:footnoteReference w:id="51"/>
            </w:r>
          </w:p>
        </w:tc>
      </w:tr>
      <w:tr w:rsidR="00473449" w:rsidRPr="00473449" w:rsidTr="000532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473449" w:rsidRPr="00473449" w:rsidRDefault="00473449" w:rsidP="00473449">
            <w:r w:rsidRPr="00473449">
              <w:t>Output growth</w:t>
            </w:r>
          </w:p>
        </w:tc>
        <w:tc>
          <w:tcPr>
            <w:tcW w:w="0" w:type="auto"/>
          </w:tcPr>
          <w:p w:rsidR="00473449" w:rsidRPr="00473449" w:rsidRDefault="00473449" w:rsidP="00473449">
            <w:pPr>
              <w:cnfStyle w:val="000000010000" w:firstRow="0" w:lastRow="0" w:firstColumn="0" w:lastColumn="0" w:oddVBand="0" w:evenVBand="0" w:oddHBand="0" w:evenHBand="1" w:firstRowFirstColumn="0" w:firstRowLastColumn="0" w:lastRowFirstColumn="0" w:lastRowLastColumn="0"/>
            </w:pPr>
            <w:r w:rsidRPr="00473449">
              <w:t>TransGrid forecasts increased opex for growth in the size of the network. This reflects the increase in maintenance requirements arising from growth and subsequent increase in other activities. TransGrid's forecast output growth net of productivity increases is $16 million (2013-14) over the regulatory control period.</w:t>
            </w:r>
            <w:r w:rsidRPr="001767F2">
              <w:rPr>
                <w:rStyle w:val="AERsuperscript"/>
              </w:rPr>
              <w:footnoteReference w:id="52"/>
            </w:r>
          </w:p>
        </w:tc>
      </w:tr>
    </w:tbl>
    <w:p w:rsidR="00473449" w:rsidRDefault="00473449" w:rsidP="004A1054"/>
    <w:p w:rsidR="004A1054" w:rsidRPr="004A1054" w:rsidRDefault="004A1054" w:rsidP="004A1054">
      <w:pPr>
        <w:pStyle w:val="Caption"/>
      </w:pPr>
      <w:r w:rsidRPr="004A1054">
        <w:t xml:space="preserve">Table </w:t>
      </w:r>
      <w:r w:rsidR="00380E7D">
        <w:t>6</w:t>
      </w:r>
      <w:r w:rsidRPr="004A1054">
        <w:tab/>
      </w:r>
      <w:r w:rsidR="00035A24">
        <w:t>TasNetworks</w:t>
      </w:r>
      <w:r w:rsidRPr="004A1054">
        <w:t>—Drivers of opex forecast</w:t>
      </w:r>
    </w:p>
    <w:tbl>
      <w:tblPr>
        <w:tblStyle w:val="AERtable-numbers"/>
        <w:tblW w:w="0" w:type="auto"/>
        <w:tblLook w:val="04A0" w:firstRow="1" w:lastRow="0" w:firstColumn="1" w:lastColumn="0" w:noHBand="0" w:noVBand="1"/>
      </w:tblPr>
      <w:tblGrid>
        <w:gridCol w:w="2518"/>
        <w:gridCol w:w="6724"/>
      </w:tblGrid>
      <w:tr w:rsidR="004A1054" w:rsidRPr="007244F9" w:rsidTr="000532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4A1054" w:rsidRPr="004A1054" w:rsidRDefault="004A1054" w:rsidP="004A1054">
            <w:r w:rsidRPr="004A1054">
              <w:t>Cost driver</w:t>
            </w:r>
          </w:p>
        </w:tc>
        <w:tc>
          <w:tcPr>
            <w:tcW w:w="6724" w:type="dxa"/>
          </w:tcPr>
          <w:p w:rsidR="004A1054" w:rsidRPr="004A1054" w:rsidRDefault="004A1054" w:rsidP="004A1054">
            <w:pPr>
              <w:cnfStyle w:val="100000000000" w:firstRow="1" w:lastRow="0" w:firstColumn="0" w:lastColumn="0" w:oddVBand="0" w:evenVBand="0" w:oddHBand="0" w:evenHBand="0" w:firstRowFirstColumn="0" w:firstRowLastColumn="0" w:lastRowFirstColumn="0" w:lastRowLastColumn="0"/>
            </w:pPr>
            <w:r w:rsidRPr="004A1054">
              <w:t>Description of driver</w:t>
            </w:r>
          </w:p>
        </w:tc>
      </w:tr>
      <w:tr w:rsidR="004A1054" w:rsidRPr="007244F9" w:rsidTr="000532CD">
        <w:tc>
          <w:tcPr>
            <w:cnfStyle w:val="001000000000" w:firstRow="0" w:lastRow="0" w:firstColumn="1" w:lastColumn="0" w:oddVBand="0" w:evenVBand="0" w:oddHBand="0" w:evenHBand="0" w:firstRowFirstColumn="0" w:firstRowLastColumn="0" w:lastRowFirstColumn="0" w:lastRowLastColumn="0"/>
            <w:tcW w:w="2518" w:type="dxa"/>
          </w:tcPr>
          <w:p w:rsidR="004A1054" w:rsidRPr="004A1054" w:rsidRDefault="004A1054" w:rsidP="004A1054">
            <w:r w:rsidRPr="004A1054">
              <w:t>Efficiency improvements</w:t>
            </w:r>
          </w:p>
        </w:tc>
        <w:tc>
          <w:tcPr>
            <w:tcW w:w="6724" w:type="dxa"/>
          </w:tcPr>
          <w:p w:rsidR="004A1054" w:rsidRPr="004A1054" w:rsidRDefault="004A1054" w:rsidP="004A1054">
            <w:pPr>
              <w:cnfStyle w:val="000000000000" w:firstRow="0" w:lastRow="0" w:firstColumn="0" w:lastColumn="0" w:oddVBand="0" w:evenVBand="0" w:oddHBand="0" w:evenHBand="0" w:firstRowFirstColumn="0" w:firstRowLastColumn="0" w:lastRowFirstColumn="0" w:lastRowLastColumn="0"/>
            </w:pPr>
            <w:r w:rsidRPr="004A1054">
              <w:t>T</w:t>
            </w:r>
            <w:r w:rsidR="00952EE8">
              <w:t>asNetworks</w:t>
            </w:r>
            <w:r w:rsidRPr="004A1054">
              <w:t xml:space="preserve"> forecasts to deliver efficiency improvements through its merger with Aurora distribution networks. It forecasts efficiency savings through reduced staffing levels, rationalisation of duplicate systems and improved ways of delivering</w:t>
            </w:r>
            <w:r w:rsidR="0092344B">
              <w:t xml:space="preserve"> services to customers. TasNetworks</w:t>
            </w:r>
            <w:r w:rsidRPr="004A1054">
              <w:t xml:space="preserve"> forecasts efficiency improvements will reduce its forecast opex by $30 million (2013-14) over the regulatory control period.</w:t>
            </w:r>
            <w:r w:rsidRPr="004A1054">
              <w:rPr>
                <w:rStyle w:val="FootnoteReference"/>
              </w:rPr>
              <w:footnoteReference w:id="53"/>
            </w:r>
          </w:p>
        </w:tc>
      </w:tr>
      <w:tr w:rsidR="004A1054" w:rsidRPr="007244F9" w:rsidTr="000532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4A1054" w:rsidRPr="004A1054" w:rsidRDefault="004A1054" w:rsidP="004A1054">
            <w:r w:rsidRPr="004A1054">
              <w:t>Labour cost escalation</w:t>
            </w:r>
          </w:p>
        </w:tc>
        <w:tc>
          <w:tcPr>
            <w:tcW w:w="6724" w:type="dxa"/>
          </w:tcPr>
          <w:p w:rsidR="004A1054" w:rsidRPr="004A1054" w:rsidRDefault="00952EE8" w:rsidP="004A1054">
            <w:pPr>
              <w:cnfStyle w:val="000000010000" w:firstRow="0" w:lastRow="0" w:firstColumn="0" w:lastColumn="0" w:oddVBand="0" w:evenVBand="0" w:oddHBand="0" w:evenHBand="1" w:firstRowFirstColumn="0" w:firstRowLastColumn="0" w:lastRowFirstColumn="0" w:lastRowLastColumn="0"/>
            </w:pPr>
            <w:r>
              <w:t>TasNetworks</w:t>
            </w:r>
            <w:r w:rsidRPr="004A1054">
              <w:t xml:space="preserve"> </w:t>
            </w:r>
            <w:r w:rsidR="004A1054" w:rsidRPr="004A1054">
              <w:t>forecasts real increases in labour costs above CPI from 2015-16. It forecasts this will add $6 million (2013-14) to its opex forecast over the regulatory control period.</w:t>
            </w:r>
            <w:r w:rsidR="004A1054" w:rsidRPr="004A1054">
              <w:rPr>
                <w:rStyle w:val="FootnoteReference"/>
              </w:rPr>
              <w:footnoteReference w:id="54"/>
            </w:r>
          </w:p>
        </w:tc>
      </w:tr>
      <w:tr w:rsidR="004A1054" w:rsidRPr="007244F9" w:rsidTr="000532CD">
        <w:tc>
          <w:tcPr>
            <w:cnfStyle w:val="001000000000" w:firstRow="0" w:lastRow="0" w:firstColumn="1" w:lastColumn="0" w:oddVBand="0" w:evenVBand="0" w:oddHBand="0" w:evenHBand="0" w:firstRowFirstColumn="0" w:firstRowLastColumn="0" w:lastRowFirstColumn="0" w:lastRowLastColumn="0"/>
            <w:tcW w:w="2518" w:type="dxa"/>
          </w:tcPr>
          <w:p w:rsidR="004A1054" w:rsidRPr="004A1054" w:rsidRDefault="004A1054" w:rsidP="004A1054">
            <w:r w:rsidRPr="004A1054">
              <w:t>Step changes</w:t>
            </w:r>
          </w:p>
        </w:tc>
        <w:tc>
          <w:tcPr>
            <w:tcW w:w="6724" w:type="dxa"/>
          </w:tcPr>
          <w:p w:rsidR="004A1054" w:rsidRPr="004A1054" w:rsidRDefault="0092344B" w:rsidP="0092344B">
            <w:pPr>
              <w:cnfStyle w:val="000000000000" w:firstRow="0" w:lastRow="0" w:firstColumn="0" w:lastColumn="0" w:oddVBand="0" w:evenVBand="0" w:oddHBand="0" w:evenHBand="0" w:firstRowFirstColumn="0" w:firstRowLastColumn="0" w:lastRowFirstColumn="0" w:lastRowLastColumn="0"/>
            </w:pPr>
            <w:r>
              <w:t xml:space="preserve">TasNetworks </w:t>
            </w:r>
            <w:r w:rsidR="004A1054" w:rsidRPr="004A1054">
              <w:t xml:space="preserve">forecasts step changes in opex relating to new obligations relating to consumer engagement, and data to facilitate the AER's benchmarking of NSPs. </w:t>
            </w:r>
            <w:r>
              <w:t>TasNetworks</w:t>
            </w:r>
            <w:r w:rsidR="004A1054" w:rsidRPr="004A1054">
              <w:t xml:space="preserve"> forecasts these two step changes will add $4 million (2013-14) to its opex over the regulatory control period.</w:t>
            </w:r>
            <w:r w:rsidR="004A1054" w:rsidRPr="004A1054">
              <w:rPr>
                <w:rStyle w:val="FootnoteReference"/>
              </w:rPr>
              <w:footnoteReference w:id="55"/>
            </w:r>
          </w:p>
        </w:tc>
      </w:tr>
    </w:tbl>
    <w:p w:rsidR="004A1054" w:rsidRPr="004A1054" w:rsidRDefault="004A1054" w:rsidP="004A1054"/>
    <w:p w:rsidR="004A1054" w:rsidRPr="004A1054" w:rsidRDefault="004A1054" w:rsidP="004A1054">
      <w:pPr>
        <w:pStyle w:val="Caption"/>
      </w:pPr>
      <w:r w:rsidRPr="004A1054">
        <w:t xml:space="preserve">Table </w:t>
      </w:r>
      <w:r w:rsidR="00380E7D">
        <w:t>7</w:t>
      </w:r>
      <w:r w:rsidRPr="004A1054">
        <w:tab/>
        <w:t>Directlink—Drivers of opex forecast</w:t>
      </w:r>
    </w:p>
    <w:tbl>
      <w:tblPr>
        <w:tblStyle w:val="AERtable-text"/>
        <w:tblW w:w="5000" w:type="pct"/>
        <w:tblLook w:val="04A0" w:firstRow="1" w:lastRow="0" w:firstColumn="1" w:lastColumn="0" w:noHBand="0" w:noVBand="1"/>
      </w:tblPr>
      <w:tblGrid>
        <w:gridCol w:w="3451"/>
        <w:gridCol w:w="5791"/>
      </w:tblGrid>
      <w:tr w:rsidR="004A1054" w:rsidRPr="007244F9" w:rsidTr="000532CD">
        <w:trPr>
          <w:cnfStyle w:val="100000000000" w:firstRow="1" w:lastRow="0" w:firstColumn="0" w:lastColumn="0" w:oddVBand="0" w:evenVBand="0" w:oddHBand="0" w:evenHBand="0" w:firstRowFirstColumn="0" w:firstRowLastColumn="0" w:lastRowFirstColumn="0" w:lastRowLastColumn="0"/>
        </w:trPr>
        <w:tc>
          <w:tcPr>
            <w:tcW w:w="1867" w:type="pct"/>
          </w:tcPr>
          <w:p w:rsidR="004A1054" w:rsidRPr="004A1054" w:rsidRDefault="004A1054" w:rsidP="001E183C">
            <w:r w:rsidRPr="004A1054">
              <w:t>Cost driver</w:t>
            </w:r>
          </w:p>
        </w:tc>
        <w:tc>
          <w:tcPr>
            <w:tcW w:w="3133" w:type="pct"/>
          </w:tcPr>
          <w:p w:rsidR="004A1054" w:rsidRPr="004A1054" w:rsidRDefault="004A1054" w:rsidP="001E183C">
            <w:pPr>
              <w:ind w:left="811"/>
            </w:pPr>
            <w:r w:rsidRPr="004A1054">
              <w:t>Description of driver</w:t>
            </w:r>
          </w:p>
        </w:tc>
      </w:tr>
      <w:tr w:rsidR="004A1054" w:rsidRPr="007244F9" w:rsidTr="000532CD">
        <w:tc>
          <w:tcPr>
            <w:tcW w:w="1867" w:type="pct"/>
          </w:tcPr>
          <w:p w:rsidR="004A1054" w:rsidRPr="004A1054" w:rsidRDefault="004A1054" w:rsidP="001E183C">
            <w:pPr>
              <w:pStyle w:val="AERtabletextleft"/>
            </w:pPr>
            <w:r w:rsidRPr="004A1054">
              <w:t>Changes to perceived risk levels</w:t>
            </w:r>
          </w:p>
        </w:tc>
        <w:tc>
          <w:tcPr>
            <w:tcW w:w="3133" w:type="pct"/>
          </w:tcPr>
          <w:p w:rsidR="004A1054" w:rsidRPr="004A1054" w:rsidRDefault="004A1054" w:rsidP="001E183C">
            <w:pPr>
              <w:ind w:left="811"/>
            </w:pPr>
            <w:r w:rsidRPr="004A1054">
              <w:t xml:space="preserve">Directlink engaged a consultant to review its operation and maintenance procedures following a fire at its Mullumbimby converter station in August 2012. The consultant found the asset was being operated in a manner not inconsistent with a definition </w:t>
            </w:r>
            <w:r w:rsidRPr="004A1054">
              <w:lastRenderedPageBreak/>
              <w:t>of good industry practice appropriate to the risks as understood prior to the fire.</w:t>
            </w:r>
            <w:r w:rsidRPr="004A1054">
              <w:rPr>
                <w:rStyle w:val="FootnoteReference"/>
              </w:rPr>
              <w:footnoteReference w:id="56"/>
            </w:r>
          </w:p>
          <w:p w:rsidR="004A1054" w:rsidRPr="004A1054" w:rsidRDefault="004A1054" w:rsidP="001E183C">
            <w:pPr>
              <w:ind w:left="811"/>
            </w:pPr>
            <w:r w:rsidRPr="004A1054">
              <w:t>However, following the fire Directlink has re-evaluated what it considers to be good industry practice. The consultant recommended introducing new processes and procedures as well as amending existing ones. Directlink has forecast the expenditure required to address these recommendations using a bottom up forecasting methodology.</w:t>
            </w:r>
            <w:r w:rsidRPr="004A1054">
              <w:rPr>
                <w:rStyle w:val="FootnoteReference"/>
              </w:rPr>
              <w:footnoteReference w:id="57"/>
            </w:r>
          </w:p>
        </w:tc>
      </w:tr>
      <w:tr w:rsidR="004A1054" w:rsidRPr="007244F9" w:rsidTr="000532CD">
        <w:trPr>
          <w:cnfStyle w:val="000000010000" w:firstRow="0" w:lastRow="0" w:firstColumn="0" w:lastColumn="0" w:oddVBand="0" w:evenVBand="0" w:oddHBand="0" w:evenHBand="1" w:firstRowFirstColumn="0" w:firstRowLastColumn="0" w:lastRowFirstColumn="0" w:lastRowLastColumn="0"/>
        </w:trPr>
        <w:tc>
          <w:tcPr>
            <w:tcW w:w="1867" w:type="pct"/>
          </w:tcPr>
          <w:p w:rsidR="004A1054" w:rsidRPr="004A1054" w:rsidRDefault="004A1054" w:rsidP="001E183C">
            <w:pPr>
              <w:pStyle w:val="AERtabletextleft"/>
            </w:pPr>
            <w:r w:rsidRPr="004A1054">
              <w:lastRenderedPageBreak/>
              <w:t>Forecast price changes</w:t>
            </w:r>
          </w:p>
          <w:p w:rsidR="004A1054" w:rsidRPr="004A1054" w:rsidRDefault="004A1054" w:rsidP="001E183C">
            <w:pPr>
              <w:ind w:left="811"/>
            </w:pPr>
          </w:p>
        </w:tc>
        <w:tc>
          <w:tcPr>
            <w:tcW w:w="3133" w:type="pct"/>
          </w:tcPr>
          <w:p w:rsidR="00F605FF" w:rsidRDefault="004A1054" w:rsidP="001E183C">
            <w:pPr>
              <w:ind w:left="811"/>
            </w:pPr>
            <w:r w:rsidRPr="004A1054">
              <w:t>Directlink expects its internal and contract labour costs to increase</w:t>
            </w:r>
            <w:r w:rsidR="00952EE8">
              <w:t>.</w:t>
            </w:r>
          </w:p>
          <w:p w:rsidR="004A1054" w:rsidRPr="004A1054" w:rsidRDefault="004A1054" w:rsidP="001E183C">
            <w:pPr>
              <w:ind w:left="811"/>
            </w:pPr>
            <w:r w:rsidRPr="004A1054">
              <w:t xml:space="preserve"> in real terms over the 2015–20 regulatory period. It proposed that its labour costs be escalated by the forecast labour price increases determined by the AER for the NSW transmission and distribution businesses. Because these are not yet known its proposed forecast capital and operating costs reflect zero real cost escalation for labour and materials costs.</w:t>
            </w:r>
            <w:r w:rsidRPr="004A1054">
              <w:rPr>
                <w:rStyle w:val="FootnoteReference"/>
              </w:rPr>
              <w:footnoteReference w:id="58"/>
            </w:r>
          </w:p>
        </w:tc>
      </w:tr>
      <w:tr w:rsidR="004A1054" w:rsidRPr="007244F9" w:rsidTr="000532CD">
        <w:tc>
          <w:tcPr>
            <w:tcW w:w="1867" w:type="pct"/>
          </w:tcPr>
          <w:p w:rsidR="004A1054" w:rsidRPr="004A1054" w:rsidRDefault="004A1054" w:rsidP="001E183C">
            <w:pPr>
              <w:pStyle w:val="AERtabletextleft"/>
            </w:pPr>
            <w:r w:rsidRPr="004A1054">
              <w:t>Insurance</w:t>
            </w:r>
          </w:p>
        </w:tc>
        <w:tc>
          <w:tcPr>
            <w:tcW w:w="3133" w:type="pct"/>
          </w:tcPr>
          <w:p w:rsidR="004A1054" w:rsidRPr="004A1054" w:rsidRDefault="004A1054" w:rsidP="001E183C">
            <w:pPr>
              <w:ind w:left="811"/>
            </w:pPr>
            <w:r w:rsidRPr="004A1054">
              <w:t>The fire that occurred at the Mullumbimby converter station in 2012 impacted the perception of the risks associated with this asset. This caused insurance premiums to rise to reflect the claims experience and the insurer's view of the risk of insuring the Directlink assets.</w:t>
            </w:r>
            <w:r w:rsidRPr="004A1054">
              <w:rPr>
                <w:rStyle w:val="FootnoteReference"/>
              </w:rPr>
              <w:footnoteReference w:id="59"/>
            </w:r>
          </w:p>
          <w:p w:rsidR="004A1054" w:rsidRPr="004A1054" w:rsidRDefault="004A1054" w:rsidP="001E183C">
            <w:pPr>
              <w:ind w:left="811"/>
            </w:pPr>
            <w:r w:rsidRPr="004A1054">
              <w:t>Directlink proposed insurance costs based on an estimate of the stand-alone insurance costs attributable to it determined by insurance experts Marsh.</w:t>
            </w:r>
            <w:r w:rsidRPr="004A1054">
              <w:rPr>
                <w:rStyle w:val="FootnoteReference"/>
              </w:rPr>
              <w:footnoteReference w:id="60"/>
            </w:r>
          </w:p>
        </w:tc>
      </w:tr>
    </w:tbl>
    <w:p w:rsidR="004A1054" w:rsidRPr="004A1054" w:rsidRDefault="004A1054" w:rsidP="004A1054"/>
    <w:p w:rsidR="005138BA" w:rsidRPr="007C1F6F" w:rsidRDefault="005138BA" w:rsidP="007C1F6F">
      <w:pPr>
        <w:pStyle w:val="Heading2"/>
      </w:pPr>
      <w:bookmarkStart w:id="47" w:name="_Toc392503276"/>
      <w:r w:rsidRPr="007C1F6F">
        <w:t>Cost pass throughs</w:t>
      </w:r>
      <w:bookmarkEnd w:id="47"/>
    </w:p>
    <w:p w:rsidR="005138BA" w:rsidRPr="005138BA" w:rsidRDefault="005138BA" w:rsidP="005138BA">
      <w:pPr>
        <w:pStyle w:val="AERbodytext"/>
        <w:numPr>
          <w:ilvl w:val="0"/>
          <w:numId w:val="49"/>
        </w:numPr>
        <w:rPr>
          <w:rStyle w:val="AERbody"/>
        </w:rPr>
      </w:pPr>
      <w:r w:rsidRPr="005138BA">
        <w:rPr>
          <w:rStyle w:val="AERbody"/>
        </w:rPr>
        <w:t xml:space="preserve">The NER permit the </w:t>
      </w:r>
      <w:r>
        <w:rPr>
          <w:rStyle w:val="AERbody"/>
        </w:rPr>
        <w:t>businesses</w:t>
      </w:r>
      <w:r w:rsidRPr="005138BA">
        <w:rPr>
          <w:rStyle w:val="AERbody"/>
        </w:rPr>
        <w:t xml:space="preserve"> to apply to us, during a regulatory </w:t>
      </w:r>
      <w:r>
        <w:rPr>
          <w:rStyle w:val="AERbody"/>
        </w:rPr>
        <w:t xml:space="preserve">control </w:t>
      </w:r>
      <w:r w:rsidRPr="005138BA">
        <w:rPr>
          <w:rStyle w:val="AERbody"/>
        </w:rPr>
        <w:t xml:space="preserve">period, for their prices to be adjusted because of material and an unexpected cost rises or, in some cases, if actual costs are different to the allowances included in our original determination </w:t>
      </w:r>
    </w:p>
    <w:p w:rsidR="005138BA" w:rsidRPr="005138BA" w:rsidRDefault="005138BA" w:rsidP="005138BA">
      <w:pPr>
        <w:pStyle w:val="AERbodytext"/>
        <w:numPr>
          <w:ilvl w:val="0"/>
          <w:numId w:val="49"/>
        </w:numPr>
        <w:rPr>
          <w:rStyle w:val="AERbody"/>
        </w:rPr>
      </w:pPr>
      <w:r w:rsidRPr="005138BA">
        <w:rPr>
          <w:rStyle w:val="AERbody"/>
        </w:rPr>
        <w:t xml:space="preserve">Pass throughs are only permitted if they are for events defined in the </w:t>
      </w:r>
      <w:r>
        <w:rPr>
          <w:rStyle w:val="AERbody"/>
        </w:rPr>
        <w:t>businesses' transmission</w:t>
      </w:r>
      <w:r w:rsidRPr="005138BA">
        <w:rPr>
          <w:rStyle w:val="AERbody"/>
        </w:rPr>
        <w:t xml:space="preserve"> determinations. </w:t>
      </w:r>
      <w:r>
        <w:rPr>
          <w:rStyle w:val="AERbody"/>
        </w:rPr>
        <w:t xml:space="preserve">Once a </w:t>
      </w:r>
      <w:r w:rsidRPr="005138BA">
        <w:rPr>
          <w:rStyle w:val="AERbody"/>
        </w:rPr>
        <w:t xml:space="preserve">determination has been finalised, we are required to approve a cost pass through application from a </w:t>
      </w:r>
      <w:r>
        <w:rPr>
          <w:rStyle w:val="AERbody"/>
        </w:rPr>
        <w:t>business</w:t>
      </w:r>
      <w:r w:rsidRPr="005138BA">
        <w:rPr>
          <w:rStyle w:val="AERbody"/>
        </w:rPr>
        <w:t xml:space="preserve"> if it satisfies the relevant requirements in our determination. For the </w:t>
      </w:r>
      <w:r>
        <w:rPr>
          <w:rStyle w:val="AERbody"/>
        </w:rPr>
        <w:t xml:space="preserve">next </w:t>
      </w:r>
      <w:r w:rsidRPr="005138BA">
        <w:rPr>
          <w:rStyle w:val="AERbody"/>
        </w:rPr>
        <w:t xml:space="preserve">regulatory </w:t>
      </w:r>
      <w:r>
        <w:rPr>
          <w:rStyle w:val="AERbody"/>
        </w:rPr>
        <w:t>control period, TransGrid</w:t>
      </w:r>
      <w:r w:rsidR="007C1F6F">
        <w:rPr>
          <w:rStyle w:val="AERbody"/>
        </w:rPr>
        <w:t>, TasNetworks and Directlink</w:t>
      </w:r>
      <w:r w:rsidRPr="005138BA">
        <w:rPr>
          <w:rStyle w:val="AERbody"/>
        </w:rPr>
        <w:t xml:space="preserve"> have proposed pass </w:t>
      </w:r>
      <w:r w:rsidR="007C1F6F">
        <w:rPr>
          <w:rStyle w:val="AERbody"/>
        </w:rPr>
        <w:t xml:space="preserve">the following </w:t>
      </w:r>
      <w:r w:rsidRPr="005138BA">
        <w:rPr>
          <w:rStyle w:val="AERbody"/>
        </w:rPr>
        <w:t>throughs for:</w:t>
      </w:r>
    </w:p>
    <w:p w:rsidR="005138BA" w:rsidRPr="005138BA" w:rsidRDefault="007C1F6F" w:rsidP="005138BA">
      <w:pPr>
        <w:pStyle w:val="AERbulletlistfirststyle"/>
        <w:rPr>
          <w:rStyle w:val="AERbody"/>
        </w:rPr>
      </w:pPr>
      <w:r>
        <w:rPr>
          <w:rStyle w:val="AERbody"/>
        </w:rPr>
        <w:t xml:space="preserve">insurance cap </w:t>
      </w:r>
      <w:r w:rsidR="005138BA" w:rsidRPr="005138BA">
        <w:rPr>
          <w:rStyle w:val="AERbody"/>
        </w:rPr>
        <w:t>event</w:t>
      </w:r>
      <w:r>
        <w:rPr>
          <w:rStyle w:val="AERbody"/>
        </w:rPr>
        <w:t xml:space="preserve"> (TransGrid, TasNetworks, Directlink) </w:t>
      </w:r>
    </w:p>
    <w:p w:rsidR="005138BA" w:rsidRPr="005138BA" w:rsidRDefault="005138BA" w:rsidP="005138BA">
      <w:pPr>
        <w:pStyle w:val="AERbulletlistfirststyle"/>
        <w:rPr>
          <w:rStyle w:val="AERbody"/>
        </w:rPr>
      </w:pPr>
      <w:r w:rsidRPr="005138BA">
        <w:rPr>
          <w:rStyle w:val="AERbody"/>
        </w:rPr>
        <w:t>natural disaster event</w:t>
      </w:r>
      <w:r w:rsidR="007C1F6F">
        <w:rPr>
          <w:rStyle w:val="AERbody"/>
        </w:rPr>
        <w:t xml:space="preserve"> (TransGrid and TasNetworks, Directlink)</w:t>
      </w:r>
    </w:p>
    <w:p w:rsidR="005138BA" w:rsidRPr="005138BA" w:rsidRDefault="005138BA" w:rsidP="005138BA">
      <w:pPr>
        <w:pStyle w:val="AERbulletlistfirststyle"/>
        <w:rPr>
          <w:rStyle w:val="AERbody"/>
        </w:rPr>
      </w:pPr>
      <w:r w:rsidRPr="005138BA">
        <w:rPr>
          <w:rStyle w:val="AERbody"/>
        </w:rPr>
        <w:t>terrorism event</w:t>
      </w:r>
      <w:r w:rsidR="007C1F6F">
        <w:rPr>
          <w:rStyle w:val="AERbody"/>
        </w:rPr>
        <w:t xml:space="preserve"> (TransGrid and TasNetworks, Directlink)</w:t>
      </w:r>
    </w:p>
    <w:p w:rsidR="005138BA" w:rsidRDefault="005138BA" w:rsidP="005138BA">
      <w:pPr>
        <w:pStyle w:val="AERbulletlistfirststyle"/>
        <w:rPr>
          <w:rStyle w:val="AERbody"/>
        </w:rPr>
      </w:pPr>
      <w:r w:rsidRPr="005138BA">
        <w:rPr>
          <w:rStyle w:val="AERbody"/>
        </w:rPr>
        <w:t>insurer's credit risk event</w:t>
      </w:r>
      <w:r w:rsidR="007C1F6F">
        <w:rPr>
          <w:rStyle w:val="AERbody"/>
        </w:rPr>
        <w:t xml:space="preserve"> (TransGrid and Directlink)</w:t>
      </w:r>
      <w:r w:rsidRPr="005138BA">
        <w:rPr>
          <w:rStyle w:val="AERbody"/>
        </w:rPr>
        <w:t>.</w:t>
      </w:r>
    </w:p>
    <w:p w:rsidR="007C1F6F" w:rsidRDefault="007C1F6F" w:rsidP="005138BA">
      <w:pPr>
        <w:pStyle w:val="AERbulletlistfirststyle"/>
        <w:rPr>
          <w:rStyle w:val="AERbody"/>
        </w:rPr>
      </w:pPr>
      <w:r>
        <w:rPr>
          <w:rStyle w:val="AERbody"/>
        </w:rPr>
        <w:lastRenderedPageBreak/>
        <w:t>Cyber-related external attack event (TransGrid)</w:t>
      </w:r>
    </w:p>
    <w:p w:rsidR="007C1F6F" w:rsidRDefault="007C1F6F" w:rsidP="005138BA">
      <w:pPr>
        <w:pStyle w:val="AERbulletlistfirststyle"/>
        <w:rPr>
          <w:rStyle w:val="AERbody"/>
        </w:rPr>
      </w:pPr>
      <w:r>
        <w:rPr>
          <w:rStyle w:val="AERbody"/>
        </w:rPr>
        <w:t>Gradual environmental contamination event (TransGrid)</w:t>
      </w:r>
    </w:p>
    <w:p w:rsidR="007C1F6F" w:rsidRPr="005138BA" w:rsidRDefault="007C1F6F" w:rsidP="005138BA">
      <w:pPr>
        <w:pStyle w:val="AERbulletlistfirststyle"/>
        <w:rPr>
          <w:rStyle w:val="AERbody"/>
        </w:rPr>
      </w:pPr>
      <w:r>
        <w:rPr>
          <w:rStyle w:val="AERbody"/>
        </w:rPr>
        <w:t xml:space="preserve">Carbon cost event (Directlink). </w:t>
      </w:r>
    </w:p>
    <w:p w:rsidR="00E613D8" w:rsidRDefault="005138BA" w:rsidP="005138BA">
      <w:pPr>
        <w:rPr>
          <w:rStyle w:val="AERbody"/>
        </w:rPr>
      </w:pPr>
      <w:r w:rsidRPr="005138BA">
        <w:rPr>
          <w:rStyle w:val="AERbody"/>
        </w:rPr>
        <w:t xml:space="preserve">In our recent transmission determination </w:t>
      </w:r>
      <w:r w:rsidR="007C1F6F">
        <w:rPr>
          <w:rStyle w:val="AERbody"/>
        </w:rPr>
        <w:t>for SP AusN</w:t>
      </w:r>
      <w:r w:rsidRPr="005138BA">
        <w:rPr>
          <w:rStyle w:val="AERbody"/>
        </w:rPr>
        <w:t>et we approved pass through events for insurance caps, natural disasters and terrorism.</w:t>
      </w:r>
      <w:r w:rsidRPr="005138BA">
        <w:rPr>
          <w:rStyle w:val="FootnoteReference"/>
        </w:rPr>
        <w:footnoteReference w:id="61"/>
      </w:r>
      <w:r w:rsidRPr="005138BA">
        <w:rPr>
          <w:rStyle w:val="AERbody"/>
        </w:rPr>
        <w:t xml:space="preserve"> </w:t>
      </w:r>
    </w:p>
    <w:p w:rsidR="00E613D8" w:rsidRDefault="00E613D8" w:rsidP="00E613D8">
      <w:pPr>
        <w:pStyle w:val="AERbodytext"/>
        <w:numPr>
          <w:ilvl w:val="0"/>
          <w:numId w:val="49"/>
        </w:numPr>
        <w:rPr>
          <w:rStyle w:val="AERbody"/>
        </w:rPr>
      </w:pPr>
      <w:r>
        <w:rPr>
          <w:rStyle w:val="AERbody"/>
        </w:rPr>
        <w:t xml:space="preserve">We seek your views on the pass through events nominated by the transmission networks. In particular, should they be recovered as part of a cost pass through if such events occur, or is it more appropriate for these potential impacts to be reflected in the distributors' allowances. </w:t>
      </w:r>
    </w:p>
    <w:p w:rsidR="004A1054" w:rsidRPr="004A1054" w:rsidRDefault="004A1054" w:rsidP="005138BA"/>
    <w:p w:rsidR="004A1054" w:rsidRPr="004A1054" w:rsidRDefault="004A1054" w:rsidP="004A1054"/>
    <w:p w:rsidR="002832BA" w:rsidRDefault="002832BA" w:rsidP="00D14186">
      <w:pPr>
        <w:pStyle w:val="AERbodytext"/>
        <w:numPr>
          <w:ilvl w:val="0"/>
          <w:numId w:val="0"/>
        </w:numPr>
      </w:pPr>
    </w:p>
    <w:p w:rsidR="00D14186" w:rsidRDefault="00D14186" w:rsidP="00D14186">
      <w:pPr>
        <w:pStyle w:val="AERbodytext"/>
        <w:numPr>
          <w:ilvl w:val="0"/>
          <w:numId w:val="0"/>
        </w:numPr>
      </w:pPr>
    </w:p>
    <w:p w:rsidR="00D14186" w:rsidRPr="002832BA" w:rsidRDefault="00D14186" w:rsidP="00D14186">
      <w:pPr>
        <w:pStyle w:val="AERbodytext"/>
        <w:numPr>
          <w:ilvl w:val="0"/>
          <w:numId w:val="0"/>
        </w:numPr>
      </w:pPr>
    </w:p>
    <w:p w:rsidR="00D14186" w:rsidRDefault="00D14186" w:rsidP="00D14186">
      <w:pPr>
        <w:pStyle w:val="Heading2"/>
        <w:numPr>
          <w:ilvl w:val="0"/>
          <w:numId w:val="0"/>
        </w:numPr>
      </w:pPr>
    </w:p>
    <w:p w:rsidR="00D14186" w:rsidRDefault="00D14186" w:rsidP="00D14186">
      <w:pPr>
        <w:pStyle w:val="Heading2"/>
        <w:numPr>
          <w:ilvl w:val="0"/>
          <w:numId w:val="0"/>
        </w:numPr>
      </w:pPr>
    </w:p>
    <w:p w:rsidR="00D14186" w:rsidRDefault="00D14186" w:rsidP="00D14186">
      <w:pPr>
        <w:pStyle w:val="Heading2"/>
        <w:numPr>
          <w:ilvl w:val="0"/>
          <w:numId w:val="0"/>
        </w:numPr>
      </w:pPr>
    </w:p>
    <w:p w:rsidR="00A32CA3" w:rsidRDefault="00A32CA3">
      <w:pPr>
        <w:spacing w:after="0" w:line="240" w:lineRule="auto"/>
        <w:jc w:val="left"/>
        <w:rPr>
          <w:rFonts w:eastAsia="Times New Roman"/>
          <w:b/>
          <w:color w:val="E36C0A"/>
          <w:sz w:val="28"/>
          <w:szCs w:val="26"/>
        </w:rPr>
      </w:pPr>
      <w:bookmarkStart w:id="48" w:name="_Toc387763137"/>
      <w:r>
        <w:br w:type="page"/>
      </w:r>
    </w:p>
    <w:p w:rsidR="00A32CA3" w:rsidRPr="00A32CA3" w:rsidRDefault="00A32CA3" w:rsidP="00A32CA3">
      <w:pPr>
        <w:pStyle w:val="Heading1"/>
      </w:pPr>
      <w:bookmarkStart w:id="49" w:name="_Toc392063180"/>
      <w:r w:rsidRPr="00A32CA3">
        <w:lastRenderedPageBreak/>
        <w:t>Rate of return</w:t>
      </w:r>
      <w:bookmarkEnd w:id="48"/>
      <w:bookmarkEnd w:id="49"/>
    </w:p>
    <w:p w:rsidR="00380E7D" w:rsidRDefault="00B27D9D" w:rsidP="001C30E6">
      <w:r>
        <w:pict>
          <v:shape id="_x0000_s1076" type="#_x0000_t202" style="position:absolute;left:0;text-align:left;margin-left:-.8pt;margin-top:8.5pt;width:453.05pt;height:156.45pt;z-index:25167462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LKAIAAE4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N5DBBJ3pn6EZl1ZhhwXEgUWuN+UNLhcFfUfz+A&#10;45TIDxq7sxxPp3EbkjKdzQtU3KVld2kBzRCqooGSQdyEtEGJN3uDXdyKxO9LJqeUcWgT7acFi1tx&#10;qSevl9/A+gk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oBNLKAIAAE4EAAAOAAAAAAAAAAAAAAAAAC4CAABkcnMvZTJvRG9j&#10;LnhtbFBLAQItABQABgAIAAAAIQD9LzLW2wAAAAUBAAAPAAAAAAAAAAAAAAAAAIIEAABkcnMvZG93&#10;bnJldi54bWxQSwUGAAAAAAQABADzAAAAigUAAAAA&#10;" fillcolor="#ddd">
            <v:textbox style="mso-next-textbox:#_x0000_s1076">
              <w:txbxContent>
                <w:p w:rsidR="00DA7A13" w:rsidRDefault="00DA7A13" w:rsidP="00380E7D">
                  <w:pPr>
                    <w:rPr>
                      <w:rStyle w:val="AERtextbold"/>
                    </w:rPr>
                  </w:pPr>
                  <w:r w:rsidRPr="008F2BDE">
                    <w:rPr>
                      <w:rStyle w:val="AERtextbold"/>
                    </w:rPr>
                    <w:t xml:space="preserve">Questions </w:t>
                  </w:r>
                  <w:r>
                    <w:rPr>
                      <w:rStyle w:val="AERtextbold"/>
                    </w:rPr>
                    <w:t>(please include reasons in your responses)</w:t>
                  </w:r>
                </w:p>
                <w:p w:rsidR="00DA7A13" w:rsidRDefault="00DA7A13" w:rsidP="00380E7D">
                  <w:r>
                    <w:t xml:space="preserve">1. </w:t>
                  </w:r>
                  <w:r w:rsidRPr="00A32CA3">
                    <w:t xml:space="preserve">Do you have any comments on the </w:t>
                  </w:r>
                  <w:r>
                    <w:t>businesses</w:t>
                  </w:r>
                  <w:r w:rsidRPr="00A32CA3">
                    <w:t xml:space="preserve"> proposed departures </w:t>
                  </w:r>
                  <w:r>
                    <w:t>from</w:t>
                  </w:r>
                  <w:r w:rsidRPr="00A32CA3">
                    <w:t xml:space="preserve"> our guideline?</w:t>
                  </w:r>
                </w:p>
                <w:p w:rsidR="00DA7A13" w:rsidRDefault="00DA7A13" w:rsidP="00380E7D">
                  <w:r>
                    <w:t xml:space="preserve">2. </w:t>
                  </w:r>
                  <w:r w:rsidRPr="00A32CA3">
                    <w:t xml:space="preserve">Do you consider the approach in our guideline of transitioning into the new benchmark approach to the return on debt, or </w:t>
                  </w:r>
                  <w:r>
                    <w:t>TransGrid and Directlink's</w:t>
                  </w:r>
                  <w:r w:rsidRPr="00A32CA3">
                    <w:t xml:space="preserve"> proposal for an immediate transition, is appropriate</w:t>
                  </w:r>
                  <w:r>
                    <w:t>?</w:t>
                  </w:r>
                </w:p>
                <w:p w:rsidR="00DA7A13" w:rsidRPr="008F2BDE" w:rsidRDefault="00DA7A13" w:rsidP="00380E7D">
                  <w:pPr>
                    <w:rPr>
                      <w:rStyle w:val="AERtextbold"/>
                    </w:rPr>
                  </w:pPr>
                  <w:r>
                    <w:t xml:space="preserve">3. </w:t>
                  </w:r>
                  <w:r w:rsidRPr="00CA566B">
                    <w:t>Do you consider the value in the AER’s guideline and TasNetworks proposal (0.5) or TransGrid's and Directlink's proposals (0.25) provide a more appropriate approach to estimating the value of imputation credits?</w:t>
                  </w:r>
                </w:p>
              </w:txbxContent>
            </v:textbox>
          </v:shape>
        </w:pict>
      </w:r>
    </w:p>
    <w:p w:rsidR="00380E7D" w:rsidRDefault="00380E7D" w:rsidP="001C30E6"/>
    <w:p w:rsidR="00380E7D" w:rsidRDefault="00380E7D" w:rsidP="001C30E6"/>
    <w:p w:rsidR="00380E7D" w:rsidRDefault="00380E7D" w:rsidP="001C30E6"/>
    <w:p w:rsidR="00380E7D" w:rsidRDefault="00380E7D" w:rsidP="001C30E6"/>
    <w:p w:rsidR="00380E7D" w:rsidRDefault="00380E7D" w:rsidP="001C30E6"/>
    <w:p w:rsidR="00380E7D" w:rsidRDefault="00380E7D" w:rsidP="001C30E6"/>
    <w:p w:rsidR="00355D01" w:rsidRDefault="00A32CA3" w:rsidP="001C30E6">
      <w:r w:rsidRPr="00A32CA3">
        <w:t xml:space="preserve">The </w:t>
      </w:r>
      <w:r w:rsidR="00F605FF">
        <w:t>allowed rate of return is the forecast cost of funds a tran</w:t>
      </w:r>
      <w:r w:rsidR="00CA566B">
        <w:t>s</w:t>
      </w:r>
      <w:r w:rsidR="00F605FF">
        <w:t>mission business requires to invest in the network. To estimate this cost, we consider the cost of the two sources of funds for investments-equity and debt. The return on equity is the return shareholders of the business require to attract new investment. The return on debt is the interest rate the business pays when it borrows money to invest in capex. We consider that efficient transmission network businesses would fund their investments by borrowing 60 per cent of the required funds, while raising the remaining 40 per cent from equity.</w:t>
      </w:r>
      <w:r w:rsidR="00355D01">
        <w:t xml:space="preserve"> </w:t>
      </w:r>
    </w:p>
    <w:p w:rsidR="00A32CA3" w:rsidRPr="00A32CA3" w:rsidRDefault="00A32CA3" w:rsidP="00A32CA3">
      <w:r w:rsidRPr="00A32CA3">
        <w:t xml:space="preserve">We published our </w:t>
      </w:r>
      <w:r w:rsidR="005774DE">
        <w:t>R</w:t>
      </w:r>
      <w:r w:rsidR="005774DE" w:rsidRPr="00A32CA3">
        <w:t xml:space="preserve">ate </w:t>
      </w:r>
      <w:r w:rsidRPr="00A32CA3">
        <w:t xml:space="preserve">of </w:t>
      </w:r>
      <w:r w:rsidR="005774DE">
        <w:t>R</w:t>
      </w:r>
      <w:r w:rsidR="005774DE" w:rsidRPr="00A32CA3">
        <w:t xml:space="preserve">eturn </w:t>
      </w:r>
      <w:r w:rsidRPr="00A32CA3">
        <w:t>guideline in December 2013.</w:t>
      </w:r>
      <w:r w:rsidRPr="00355D01">
        <w:rPr>
          <w:rStyle w:val="AERsuperscript"/>
        </w:rPr>
        <w:footnoteReference w:id="62"/>
      </w:r>
      <w:r w:rsidRPr="00A32CA3">
        <w:t xml:space="preserve"> </w:t>
      </w:r>
      <w:r w:rsidR="00355D01">
        <w:t>It</w:t>
      </w:r>
      <w:r w:rsidRPr="00A32CA3">
        <w:t xml:space="preserve"> sets out the method we propose to use to estimate the allowed rate of return for electricity and gas network businesses.</w:t>
      </w:r>
      <w:r w:rsidR="00355D01">
        <w:t xml:space="preserve"> The </w:t>
      </w:r>
      <w:r w:rsidR="005774DE">
        <w:t>R</w:t>
      </w:r>
      <w:r w:rsidR="00355D01">
        <w:t xml:space="preserve">ate of </w:t>
      </w:r>
      <w:r w:rsidR="005774DE">
        <w:t>R</w:t>
      </w:r>
      <w:r w:rsidR="00355D01">
        <w:t xml:space="preserve">eturn guideline is not binding, but if </w:t>
      </w:r>
      <w:r w:rsidR="005774DE">
        <w:t>a business seeks</w:t>
      </w:r>
      <w:r w:rsidR="00355D01">
        <w:t xml:space="preserve"> to depart from it</w:t>
      </w:r>
      <w:r w:rsidR="005774DE">
        <w:t xml:space="preserve">, the business must include reasons in its proposal for doing so.  If the AER seeks to depart from its guideline when making its draft or final decision, the AER must also </w:t>
      </w:r>
      <w:r w:rsidR="00355D01">
        <w:t xml:space="preserve">include reasons for doing so. </w:t>
      </w:r>
    </w:p>
    <w:p w:rsidR="00A32CA3" w:rsidRPr="00A32CA3" w:rsidRDefault="00355D01" w:rsidP="00A32CA3">
      <w:pPr>
        <w:pStyle w:val="Heading2"/>
      </w:pPr>
      <w:bookmarkStart w:id="50" w:name="_Toc392063181"/>
      <w:r>
        <w:t>Businesses proposed o</w:t>
      </w:r>
      <w:r w:rsidR="00A32CA3" w:rsidRPr="00A32CA3">
        <w:t>verall return on capital</w:t>
      </w:r>
      <w:bookmarkEnd w:id="50"/>
    </w:p>
    <w:p w:rsidR="00A32CA3" w:rsidRPr="00A32CA3" w:rsidRDefault="00A32CA3" w:rsidP="00A32CA3">
      <w:pPr>
        <w:numPr>
          <w:ilvl w:val="0"/>
          <w:numId w:val="13"/>
        </w:numPr>
      </w:pPr>
      <w:r w:rsidRPr="00A32CA3">
        <w:fldChar w:fldCharType="begin"/>
      </w:r>
      <w:r w:rsidRPr="00A32CA3">
        <w:instrText xml:space="preserve"> REF _Ref390691625 \h </w:instrText>
      </w:r>
      <w:r w:rsidRPr="00A32CA3">
        <w:fldChar w:fldCharType="separate"/>
      </w:r>
      <w:r w:rsidR="007D569B" w:rsidRPr="00A32CA3">
        <w:t xml:space="preserve">Table </w:t>
      </w:r>
      <w:r w:rsidRPr="00A32CA3">
        <w:fldChar w:fldCharType="end"/>
      </w:r>
      <w:r w:rsidR="00ED4637">
        <w:t>8</w:t>
      </w:r>
      <w:r w:rsidRPr="00A32CA3">
        <w:t xml:space="preserve"> </w:t>
      </w:r>
      <w:r w:rsidR="00ED4637">
        <w:t xml:space="preserve">summarises </w:t>
      </w:r>
      <w:r w:rsidR="001C30E6">
        <w:t xml:space="preserve">the </w:t>
      </w:r>
      <w:r w:rsidRPr="00A32CA3">
        <w:t>rate of return proposals</w:t>
      </w:r>
      <w:r w:rsidR="005774DE">
        <w:t xml:space="preserve"> submitted by each business</w:t>
      </w:r>
      <w:r w:rsidRPr="00A32CA3">
        <w:t xml:space="preserve">. In </w:t>
      </w:r>
      <w:r w:rsidRPr="00A32CA3">
        <w:fldChar w:fldCharType="begin"/>
      </w:r>
      <w:r w:rsidRPr="00A32CA3">
        <w:instrText xml:space="preserve"> REF _Ref390691625 \h </w:instrText>
      </w:r>
      <w:r w:rsidRPr="00A32CA3">
        <w:fldChar w:fldCharType="separate"/>
      </w:r>
      <w:proofErr w:type="gramStart"/>
      <w:r w:rsidR="007D569B" w:rsidRPr="00A32CA3">
        <w:t xml:space="preserve">Table </w:t>
      </w:r>
      <w:proofErr w:type="gramEnd"/>
      <w:r w:rsidRPr="00A32CA3">
        <w:fldChar w:fldCharType="end"/>
      </w:r>
      <w:r w:rsidRPr="00A32CA3">
        <w:t xml:space="preserve">, the first row shows the overall rate of return, or weighted average cost of capital (WACC), proposed by each of the three </w:t>
      </w:r>
      <w:r w:rsidR="001C30E6">
        <w:t>businesses</w:t>
      </w:r>
      <w:r w:rsidRPr="00A32CA3">
        <w:t xml:space="preserve">. The following rows show the </w:t>
      </w:r>
      <w:r w:rsidR="001C30E6">
        <w:t>businesses</w:t>
      </w:r>
      <w:r w:rsidRPr="00A32CA3">
        <w:t xml:space="preserve"> proposed values for the individual components that, when combined, make up the WACC. These are the return on equity, return on debt, gearing ratio and level of imputation credits. </w:t>
      </w:r>
    </w:p>
    <w:p w:rsidR="00A32CA3" w:rsidRPr="00A32CA3" w:rsidRDefault="00A32CA3" w:rsidP="00A32CA3">
      <w:pPr>
        <w:pStyle w:val="Caption"/>
      </w:pPr>
      <w:bookmarkStart w:id="51" w:name="_Ref390691625"/>
      <w:r w:rsidRPr="00A32CA3">
        <w:t xml:space="preserve">Table </w:t>
      </w:r>
      <w:bookmarkEnd w:id="51"/>
      <w:r w:rsidR="001C30E6">
        <w:t>8</w:t>
      </w:r>
      <w:r w:rsidRPr="00A32CA3">
        <w:tab/>
      </w:r>
      <w:r w:rsidR="001C30E6">
        <w:t>Businesses p</w:t>
      </w:r>
      <w:r w:rsidRPr="00A32CA3">
        <w:t>roposed rates of return (per cent)</w:t>
      </w:r>
    </w:p>
    <w:tbl>
      <w:tblPr>
        <w:tblStyle w:val="AERtable-text"/>
        <w:tblW w:w="0" w:type="auto"/>
        <w:tblLook w:val="04A0" w:firstRow="1" w:lastRow="0" w:firstColumn="1" w:lastColumn="0" w:noHBand="0" w:noVBand="1"/>
      </w:tblPr>
      <w:tblGrid>
        <w:gridCol w:w="2093"/>
        <w:gridCol w:w="2362"/>
        <w:gridCol w:w="2362"/>
        <w:gridCol w:w="2363"/>
      </w:tblGrid>
      <w:tr w:rsidR="00A32CA3" w:rsidRPr="00E10CC1" w:rsidTr="00026F2F">
        <w:trPr>
          <w:cnfStyle w:val="100000000000" w:firstRow="1" w:lastRow="0" w:firstColumn="0" w:lastColumn="0" w:oddVBand="0" w:evenVBand="0" w:oddHBand="0" w:evenHBand="0" w:firstRowFirstColumn="0" w:firstRowLastColumn="0" w:lastRowFirstColumn="0" w:lastRowLastColumn="0"/>
        </w:trPr>
        <w:tc>
          <w:tcPr>
            <w:tcW w:w="2093" w:type="dxa"/>
          </w:tcPr>
          <w:p w:rsidR="00A32CA3" w:rsidRPr="00A32CA3" w:rsidRDefault="00A32CA3" w:rsidP="00A32CA3">
            <w:pPr>
              <w:pStyle w:val="AERtabletextright"/>
            </w:pPr>
          </w:p>
        </w:tc>
        <w:tc>
          <w:tcPr>
            <w:tcW w:w="2362" w:type="dxa"/>
          </w:tcPr>
          <w:p w:rsidR="00A32CA3" w:rsidRPr="00A32CA3" w:rsidRDefault="00A32CA3" w:rsidP="00A32CA3">
            <w:pPr>
              <w:pStyle w:val="AERtabletextright"/>
            </w:pPr>
            <w:r w:rsidRPr="00A32CA3">
              <w:t>TransGrid</w:t>
            </w:r>
          </w:p>
        </w:tc>
        <w:tc>
          <w:tcPr>
            <w:tcW w:w="2362" w:type="dxa"/>
          </w:tcPr>
          <w:p w:rsidR="00A32CA3" w:rsidRPr="00A32CA3" w:rsidRDefault="001C30E6" w:rsidP="00A32CA3">
            <w:pPr>
              <w:pStyle w:val="AERtabletextright"/>
            </w:pPr>
            <w:r>
              <w:t>TasNetworks</w:t>
            </w:r>
          </w:p>
        </w:tc>
        <w:tc>
          <w:tcPr>
            <w:tcW w:w="2363" w:type="dxa"/>
          </w:tcPr>
          <w:p w:rsidR="00A32CA3" w:rsidRPr="00A32CA3" w:rsidRDefault="00A32CA3" w:rsidP="00A32CA3">
            <w:pPr>
              <w:pStyle w:val="AERtabletextright"/>
            </w:pPr>
            <w:r w:rsidRPr="00A32CA3">
              <w:t>Directlink</w:t>
            </w:r>
          </w:p>
        </w:tc>
      </w:tr>
      <w:tr w:rsidR="00A32CA3" w:rsidRPr="00E10CC1" w:rsidTr="00026F2F">
        <w:tc>
          <w:tcPr>
            <w:tcW w:w="2093" w:type="dxa"/>
          </w:tcPr>
          <w:p w:rsidR="00A32CA3" w:rsidRPr="00A32CA3" w:rsidRDefault="00A32CA3" w:rsidP="00A32CA3">
            <w:pPr>
              <w:pStyle w:val="AERtabletextleft"/>
            </w:pPr>
            <w:r w:rsidRPr="00A32CA3">
              <w:t>Overall WACC</w:t>
            </w:r>
          </w:p>
        </w:tc>
        <w:tc>
          <w:tcPr>
            <w:tcW w:w="2362" w:type="dxa"/>
          </w:tcPr>
          <w:p w:rsidR="00A32CA3" w:rsidRPr="00A32CA3" w:rsidRDefault="00A32CA3" w:rsidP="00A32CA3">
            <w:pPr>
              <w:pStyle w:val="AERtabletextright"/>
            </w:pPr>
            <w:r w:rsidRPr="00A32CA3">
              <w:t>8.83</w:t>
            </w:r>
          </w:p>
        </w:tc>
        <w:tc>
          <w:tcPr>
            <w:tcW w:w="2362" w:type="dxa"/>
          </w:tcPr>
          <w:p w:rsidR="00A32CA3" w:rsidRPr="00A32CA3" w:rsidRDefault="00A32CA3" w:rsidP="00A32CA3">
            <w:pPr>
              <w:pStyle w:val="AERtabletextright"/>
            </w:pPr>
            <w:r w:rsidRPr="00A32CA3">
              <w:t>7.58</w:t>
            </w:r>
          </w:p>
        </w:tc>
        <w:tc>
          <w:tcPr>
            <w:tcW w:w="2363" w:type="dxa"/>
          </w:tcPr>
          <w:p w:rsidR="00A32CA3" w:rsidRPr="00A32CA3" w:rsidRDefault="00A32CA3" w:rsidP="00A32CA3">
            <w:pPr>
              <w:pStyle w:val="AERtabletextright"/>
            </w:pPr>
            <w:r w:rsidRPr="00A32CA3">
              <w:t>8.06</w:t>
            </w:r>
          </w:p>
        </w:tc>
      </w:tr>
      <w:tr w:rsidR="00A32CA3" w:rsidRPr="00E10CC1" w:rsidTr="00026F2F">
        <w:trPr>
          <w:cnfStyle w:val="000000010000" w:firstRow="0" w:lastRow="0" w:firstColumn="0" w:lastColumn="0" w:oddVBand="0" w:evenVBand="0" w:oddHBand="0" w:evenHBand="1" w:firstRowFirstColumn="0" w:firstRowLastColumn="0" w:lastRowFirstColumn="0" w:lastRowLastColumn="0"/>
        </w:trPr>
        <w:tc>
          <w:tcPr>
            <w:tcW w:w="2093" w:type="dxa"/>
          </w:tcPr>
          <w:p w:rsidR="00A32CA3" w:rsidRPr="00A32CA3" w:rsidRDefault="00A32CA3" w:rsidP="00A32CA3">
            <w:pPr>
              <w:pStyle w:val="AERtabletextleft"/>
            </w:pPr>
            <w:r w:rsidRPr="00A32CA3">
              <w:t>Return on equity</w:t>
            </w:r>
          </w:p>
        </w:tc>
        <w:tc>
          <w:tcPr>
            <w:tcW w:w="2362" w:type="dxa"/>
          </w:tcPr>
          <w:p w:rsidR="00A32CA3" w:rsidRPr="00A32CA3" w:rsidRDefault="00A32CA3" w:rsidP="00A32CA3">
            <w:pPr>
              <w:pStyle w:val="AERtabletextright"/>
            </w:pPr>
            <w:r w:rsidRPr="00A32CA3">
              <w:t>10.50</w:t>
            </w:r>
          </w:p>
        </w:tc>
        <w:tc>
          <w:tcPr>
            <w:tcW w:w="2362" w:type="dxa"/>
          </w:tcPr>
          <w:p w:rsidR="00A32CA3" w:rsidRPr="00A32CA3" w:rsidRDefault="00A32CA3" w:rsidP="00A32CA3">
            <w:pPr>
              <w:pStyle w:val="AERtabletextright"/>
            </w:pPr>
            <w:r w:rsidRPr="00A32CA3">
              <w:t>8.70</w:t>
            </w:r>
          </w:p>
        </w:tc>
        <w:tc>
          <w:tcPr>
            <w:tcW w:w="2363" w:type="dxa"/>
          </w:tcPr>
          <w:p w:rsidR="00A32CA3" w:rsidRPr="00A32CA3" w:rsidRDefault="00A32CA3" w:rsidP="00A32CA3">
            <w:pPr>
              <w:pStyle w:val="AERtabletextright"/>
            </w:pPr>
            <w:r w:rsidRPr="00A32CA3">
              <w:t>8.90</w:t>
            </w:r>
          </w:p>
        </w:tc>
      </w:tr>
      <w:tr w:rsidR="00A32CA3" w:rsidRPr="00E10CC1" w:rsidTr="00026F2F">
        <w:tc>
          <w:tcPr>
            <w:tcW w:w="2093" w:type="dxa"/>
          </w:tcPr>
          <w:p w:rsidR="00A32CA3" w:rsidRPr="00A32CA3" w:rsidRDefault="00A32CA3" w:rsidP="00A32CA3">
            <w:pPr>
              <w:pStyle w:val="AERtabletextleft"/>
            </w:pPr>
            <w:r w:rsidRPr="00A32CA3">
              <w:t>Return on debt</w:t>
            </w:r>
          </w:p>
        </w:tc>
        <w:tc>
          <w:tcPr>
            <w:tcW w:w="2362" w:type="dxa"/>
          </w:tcPr>
          <w:p w:rsidR="00A32CA3" w:rsidRPr="00A32CA3" w:rsidRDefault="00A32CA3" w:rsidP="00A32CA3">
            <w:pPr>
              <w:pStyle w:val="AERtabletextright"/>
            </w:pPr>
            <w:r w:rsidRPr="00A32CA3">
              <w:t>7.72</w:t>
            </w:r>
          </w:p>
        </w:tc>
        <w:tc>
          <w:tcPr>
            <w:tcW w:w="2362" w:type="dxa"/>
          </w:tcPr>
          <w:p w:rsidR="00A32CA3" w:rsidRPr="00A32CA3" w:rsidRDefault="00A32CA3" w:rsidP="00A32CA3">
            <w:pPr>
              <w:pStyle w:val="AERtabletextright"/>
            </w:pPr>
            <w:r w:rsidRPr="00A32CA3">
              <w:t>6.84</w:t>
            </w:r>
          </w:p>
        </w:tc>
        <w:tc>
          <w:tcPr>
            <w:tcW w:w="2363" w:type="dxa"/>
          </w:tcPr>
          <w:p w:rsidR="00A32CA3" w:rsidRPr="00A32CA3" w:rsidRDefault="00A32CA3" w:rsidP="00A32CA3">
            <w:pPr>
              <w:pStyle w:val="AERtabletextright"/>
            </w:pPr>
            <w:r w:rsidRPr="00A32CA3">
              <w:t>7.50</w:t>
            </w:r>
          </w:p>
        </w:tc>
      </w:tr>
      <w:tr w:rsidR="00A32CA3" w:rsidRPr="00E10CC1" w:rsidTr="00026F2F">
        <w:trPr>
          <w:cnfStyle w:val="000000010000" w:firstRow="0" w:lastRow="0" w:firstColumn="0" w:lastColumn="0" w:oddVBand="0" w:evenVBand="0" w:oddHBand="0" w:evenHBand="1" w:firstRowFirstColumn="0" w:firstRowLastColumn="0" w:lastRowFirstColumn="0" w:lastRowLastColumn="0"/>
        </w:trPr>
        <w:tc>
          <w:tcPr>
            <w:tcW w:w="2093" w:type="dxa"/>
          </w:tcPr>
          <w:p w:rsidR="00A32CA3" w:rsidRPr="00A32CA3" w:rsidRDefault="00A32CA3" w:rsidP="00A32CA3">
            <w:pPr>
              <w:pStyle w:val="AERtabletextleft"/>
            </w:pPr>
            <w:r w:rsidRPr="00A32CA3">
              <w:t>Gearing</w:t>
            </w:r>
          </w:p>
        </w:tc>
        <w:tc>
          <w:tcPr>
            <w:tcW w:w="2362" w:type="dxa"/>
          </w:tcPr>
          <w:p w:rsidR="00A32CA3" w:rsidRPr="00A32CA3" w:rsidRDefault="00A32CA3" w:rsidP="00A32CA3">
            <w:pPr>
              <w:pStyle w:val="AERtabletextright"/>
            </w:pPr>
            <w:r w:rsidRPr="00A32CA3">
              <w:t>60</w:t>
            </w:r>
          </w:p>
        </w:tc>
        <w:tc>
          <w:tcPr>
            <w:tcW w:w="2362" w:type="dxa"/>
          </w:tcPr>
          <w:p w:rsidR="00A32CA3" w:rsidRPr="00A32CA3" w:rsidRDefault="00A32CA3" w:rsidP="00A32CA3">
            <w:pPr>
              <w:pStyle w:val="AERtabletextright"/>
            </w:pPr>
            <w:r w:rsidRPr="00A32CA3">
              <w:t>60</w:t>
            </w:r>
          </w:p>
        </w:tc>
        <w:tc>
          <w:tcPr>
            <w:tcW w:w="2363" w:type="dxa"/>
          </w:tcPr>
          <w:p w:rsidR="00A32CA3" w:rsidRPr="00A32CA3" w:rsidRDefault="00A32CA3" w:rsidP="00A32CA3">
            <w:pPr>
              <w:pStyle w:val="AERtabletextright"/>
            </w:pPr>
            <w:r w:rsidRPr="00A32CA3">
              <w:t>60</w:t>
            </w:r>
          </w:p>
        </w:tc>
      </w:tr>
      <w:tr w:rsidR="00A32CA3" w:rsidRPr="00E10CC1" w:rsidTr="00026F2F">
        <w:tc>
          <w:tcPr>
            <w:tcW w:w="2093" w:type="dxa"/>
          </w:tcPr>
          <w:p w:rsidR="00A32CA3" w:rsidRPr="00A32CA3" w:rsidRDefault="00A32CA3" w:rsidP="00A32CA3">
            <w:pPr>
              <w:pStyle w:val="AERtabletextleft"/>
            </w:pPr>
            <w:r w:rsidRPr="00A32CA3">
              <w:t>Imputation credits</w:t>
            </w:r>
          </w:p>
        </w:tc>
        <w:tc>
          <w:tcPr>
            <w:tcW w:w="2362" w:type="dxa"/>
          </w:tcPr>
          <w:p w:rsidR="00A32CA3" w:rsidRPr="00A32CA3" w:rsidRDefault="00A32CA3" w:rsidP="00A32CA3">
            <w:pPr>
              <w:pStyle w:val="AERtabletextright"/>
            </w:pPr>
            <w:r w:rsidRPr="00A32CA3">
              <w:t>25%</w:t>
            </w:r>
          </w:p>
        </w:tc>
        <w:tc>
          <w:tcPr>
            <w:tcW w:w="2362" w:type="dxa"/>
          </w:tcPr>
          <w:p w:rsidR="00A32CA3" w:rsidRPr="00A32CA3" w:rsidRDefault="00A32CA3" w:rsidP="00A32CA3">
            <w:pPr>
              <w:pStyle w:val="AERtabletextright"/>
            </w:pPr>
            <w:r w:rsidRPr="00A32CA3">
              <w:t>50%</w:t>
            </w:r>
          </w:p>
        </w:tc>
        <w:tc>
          <w:tcPr>
            <w:tcW w:w="2363" w:type="dxa"/>
          </w:tcPr>
          <w:p w:rsidR="00A32CA3" w:rsidRPr="00A32CA3" w:rsidRDefault="00A32CA3" w:rsidP="00A32CA3">
            <w:pPr>
              <w:pStyle w:val="AERtabletextright"/>
            </w:pPr>
            <w:r w:rsidRPr="00A32CA3">
              <w:t>25%</w:t>
            </w:r>
          </w:p>
        </w:tc>
      </w:tr>
    </w:tbl>
    <w:p w:rsidR="00A32CA3" w:rsidRPr="00A32CA3" w:rsidRDefault="00A32CA3" w:rsidP="00A32CA3">
      <w:pPr>
        <w:pStyle w:val="AERtablesource"/>
      </w:pPr>
      <w:r w:rsidRPr="00A32CA3">
        <w:lastRenderedPageBreak/>
        <w:t>Note:</w:t>
      </w:r>
      <w:r w:rsidRPr="00A32CA3">
        <w:tab/>
        <w:t>The return on debt numbers apply only for the first regulatory year. All the TNSPs proposed to annual</w:t>
      </w:r>
      <w:r w:rsidR="001C30E6">
        <w:t xml:space="preserve">ly update the return on debt. </w:t>
      </w:r>
      <w:r w:rsidRPr="00A32CA3">
        <w:t>We expect Directlink's proposed rate of return to be higher than 8.06 per cent because its proposed return on debt of 7.50 per cent is only a place holder. In fact, Directlink's calculation based on the trailing average suggests return on debt estimate of 8.03 per cent.</w:t>
      </w:r>
    </w:p>
    <w:p w:rsidR="00A32CA3" w:rsidRPr="00A32CA3" w:rsidRDefault="00A32CA3" w:rsidP="00A32CA3">
      <w:r w:rsidRPr="00A32CA3">
        <w:t xml:space="preserve">In the sections below, we discuss the proposed values for the WACC parameters and </w:t>
      </w:r>
      <w:r w:rsidR="005774DE">
        <w:t>the methods used by the businesses</w:t>
      </w:r>
      <w:r w:rsidRPr="00A32CA3">
        <w:t xml:space="preserve"> for calculating these. We have also briefly described how the proposed approaches are consistent with, or differ from, the approaches set out in our </w:t>
      </w:r>
      <w:r w:rsidR="00CC31E3">
        <w:t>R</w:t>
      </w:r>
      <w:r w:rsidR="00CC31E3" w:rsidRPr="00A32CA3">
        <w:t xml:space="preserve">ate </w:t>
      </w:r>
      <w:r w:rsidRPr="00A32CA3">
        <w:t xml:space="preserve">of </w:t>
      </w:r>
      <w:r w:rsidR="00CC31E3">
        <w:t>R</w:t>
      </w:r>
      <w:r w:rsidR="00CC31E3" w:rsidRPr="00A32CA3">
        <w:t xml:space="preserve">eturn </w:t>
      </w:r>
      <w:r w:rsidR="00CC31E3">
        <w:t>G</w:t>
      </w:r>
      <w:r w:rsidR="00CC31E3" w:rsidRPr="00A32CA3">
        <w:t>uideline</w:t>
      </w:r>
      <w:r w:rsidRPr="00A32CA3">
        <w:t>.</w:t>
      </w:r>
    </w:p>
    <w:p w:rsidR="00A32CA3" w:rsidRPr="00A32CA3" w:rsidRDefault="00A32CA3" w:rsidP="00A32CA3">
      <w:pPr>
        <w:pStyle w:val="Heading3"/>
      </w:pPr>
      <w:r w:rsidRPr="00A32CA3">
        <w:t>Return on equity</w:t>
      </w:r>
    </w:p>
    <w:p w:rsidR="00A32CA3" w:rsidRPr="00A32CA3" w:rsidRDefault="00A32CA3" w:rsidP="00A32CA3">
      <w:r w:rsidRPr="00A32CA3">
        <w:t>Recognising there is not one perfect model to estimate the return on equity, our rate of return guideline approach draws on a variety of models and information which we have assessed as relevant. Our starting point is the standard capital asset pricing model (CAPM)—our ‘foundation model.’ We then use a range of models, methods, and information to inform our return on equity estimate. We use this information to either set the range of inputs into the CAPM foundation model or assist in determining a point estimate within the range of estimates of overall return on equity resulting from the CAPM foundation model.</w:t>
      </w:r>
    </w:p>
    <w:p w:rsidR="00A32CA3" w:rsidRPr="00A32CA3" w:rsidRDefault="00A32CA3" w:rsidP="00A32CA3">
      <w:r w:rsidRPr="00A32CA3">
        <w:t>We propose to use the Sharpe–Lintner capital asset pricing model (SLCAPM) as the foundation model, which runs as follows:</w:t>
      </w:r>
    </w:p>
    <w:p w:rsidR="00A32CA3" w:rsidRPr="00A32CA3" w:rsidRDefault="00A32CA3" w:rsidP="00A32CA3">
      <w:pPr>
        <w:pStyle w:val="AERbulletlistfirststyle"/>
      </w:pPr>
      <w:r w:rsidRPr="00A32CA3">
        <w:t>The SLCAPM is estimated by adding to the risk free rate the product of the equity beta and market risk premium (MRP).</w:t>
      </w:r>
    </w:p>
    <w:p w:rsidR="00A32CA3" w:rsidRPr="00A32CA3" w:rsidRDefault="00A32CA3" w:rsidP="00A32CA3">
      <w:pPr>
        <w:pStyle w:val="AERbulletlistsecondstyle"/>
      </w:pPr>
      <w:r w:rsidRPr="00A32CA3">
        <w:t>Our approach is to estimate the risk free rate based on market conditions that prevail as close as possible to the commencement of the regulatory control period.</w:t>
      </w:r>
    </w:p>
    <w:p w:rsidR="00A32CA3" w:rsidRPr="00A32CA3" w:rsidRDefault="00A32CA3" w:rsidP="00A32CA3">
      <w:pPr>
        <w:pStyle w:val="AERbulletlistsecondstyle"/>
      </w:pPr>
      <w:r w:rsidRPr="00A32CA3">
        <w:t>Our point estimates for equity beta is 0.7.</w:t>
      </w:r>
    </w:p>
    <w:p w:rsidR="00A32CA3" w:rsidRPr="00A32CA3" w:rsidRDefault="00A32CA3" w:rsidP="00A32CA3">
      <w:pPr>
        <w:pStyle w:val="AERbulletlistsecondstyle"/>
      </w:pPr>
      <w:r w:rsidRPr="00A32CA3">
        <w:t xml:space="preserve">As at December 2013, our point estimate for MRP is 6.5. </w:t>
      </w:r>
    </w:p>
    <w:p w:rsidR="00A32CA3" w:rsidRPr="00A32CA3" w:rsidRDefault="00A32CA3" w:rsidP="00A32CA3">
      <w:pPr>
        <w:pStyle w:val="AERbulletlistfirststyle"/>
      </w:pPr>
      <w:r w:rsidRPr="00A32CA3">
        <w:t>The range and point estimate for the expected return on equity is calculated based on the range and point estimates from the corresponding input parameters. For example, the lower bound of the expected return on equity range is calculated by applying the point estimate for the risk free rate and the lower bound estimates of the equity beta and MRP. A probability will not be assigned to values within the range, but it will not be assumed that all values within the range are equally probable.</w:t>
      </w:r>
    </w:p>
    <w:p w:rsidR="00A32CA3" w:rsidRPr="00A32CA3" w:rsidRDefault="00A32CA3" w:rsidP="00A32CA3">
      <w:r w:rsidRPr="00A32CA3">
        <w:t>Directlink proposes to apply our foundation model in accordance with the Rate of Return Guideline.</w:t>
      </w:r>
      <w:r w:rsidRPr="00A32CA3">
        <w:rPr>
          <w:rStyle w:val="FootnoteReference"/>
        </w:rPr>
        <w:footnoteReference w:id="63"/>
      </w:r>
    </w:p>
    <w:p w:rsidR="00A32CA3" w:rsidRPr="00A32CA3" w:rsidRDefault="001C30E6" w:rsidP="00A32CA3">
      <w:r>
        <w:t>TasNetworks</w:t>
      </w:r>
      <w:r w:rsidR="00A32CA3" w:rsidRPr="00A32CA3">
        <w:t xml:space="preserve"> adopts the parameter values identified by the AER in its Rate of Return Guidelines on the basis that it balances the competing interest of sustainable prices for consumers and what its expert considers to be the true cost of equity.</w:t>
      </w:r>
      <w:r w:rsidR="00A32CA3" w:rsidRPr="00A32CA3">
        <w:rPr>
          <w:rStyle w:val="FootnoteReference"/>
        </w:rPr>
        <w:footnoteReference w:id="64"/>
      </w:r>
      <w:r w:rsidR="00A32CA3" w:rsidRPr="00A32CA3">
        <w:rPr>
          <w:rStyle w:val="FootnoteReference"/>
        </w:rPr>
        <w:footnoteReference w:id="65"/>
      </w:r>
      <w:r w:rsidR="00A32CA3" w:rsidRPr="00A32CA3">
        <w:t xml:space="preserve">   </w:t>
      </w:r>
    </w:p>
    <w:p w:rsidR="00A32CA3" w:rsidRPr="00A32CA3" w:rsidRDefault="00A32CA3" w:rsidP="00A32CA3">
      <w:r w:rsidRPr="00A32CA3">
        <w:t>TransGrid does not support the application of our foundation model as set out in the Rate of Return Guidelines.</w:t>
      </w:r>
      <w:r w:rsidRPr="00A32CA3">
        <w:rPr>
          <w:rStyle w:val="FootnoteReference"/>
        </w:rPr>
        <w:footnoteReference w:id="66"/>
      </w:r>
      <w:r w:rsidRPr="00A32CA3">
        <w:t xml:space="preserve"> TransGrid has instead applied a multi model approach to estimating the allowed return on equity.</w:t>
      </w:r>
      <w:r w:rsidRPr="00A32CA3">
        <w:rPr>
          <w:rStyle w:val="FootnoteReference"/>
        </w:rPr>
        <w:footnoteReference w:id="67"/>
      </w:r>
      <w:r w:rsidRPr="00A32CA3">
        <w:t xml:space="preserve"> TransGrid establish their return on equity within a range of empirical estimates that </w:t>
      </w:r>
      <w:r w:rsidRPr="00A32CA3">
        <w:lastRenderedPageBreak/>
        <w:t>includes the SLCAPM.</w:t>
      </w:r>
      <w:r w:rsidRPr="00A32CA3">
        <w:rPr>
          <w:rStyle w:val="FootnoteReference"/>
        </w:rPr>
        <w:footnoteReference w:id="68"/>
      </w:r>
      <w:r w:rsidRPr="00A32CA3">
        <w:t xml:space="preserve"> Deviations from the AER’s foundation model include using the following information to develop its range of estimates for the allowed return on equity:</w:t>
      </w:r>
      <w:r w:rsidRPr="00A32CA3">
        <w:rPr>
          <w:rStyle w:val="FootnoteReference"/>
        </w:rPr>
        <w:footnoteReference w:id="69"/>
      </w:r>
    </w:p>
    <w:p w:rsidR="00A32CA3" w:rsidRPr="00A32CA3" w:rsidRDefault="00A32CA3" w:rsidP="00A32CA3">
      <w:pPr>
        <w:pStyle w:val="AERbulletlistfirststyle"/>
      </w:pPr>
      <w:r w:rsidRPr="00A32CA3">
        <w:t>the mid-point of the gamma adjusted return on equity Grant Samuel used to value Envestra Pty Ltd in 2014</w:t>
      </w:r>
    </w:p>
    <w:p w:rsidR="00A32CA3" w:rsidRPr="006C63AE" w:rsidRDefault="00A32CA3" w:rsidP="006C63AE">
      <w:pPr>
        <w:pStyle w:val="AERbulletlistfirststyle"/>
        <w:rPr>
          <w:rStyle w:val="AERbody"/>
        </w:rPr>
      </w:pPr>
      <w:r w:rsidRPr="006C63AE">
        <w:rPr>
          <w:rStyle w:val="AERbody"/>
          <w:rFonts w:eastAsia="Calibri"/>
        </w:rPr>
        <w:t>an empirical cost of equity estimate from the Black CAPM</w:t>
      </w:r>
    </w:p>
    <w:p w:rsidR="00A32CA3" w:rsidRPr="006C63AE" w:rsidRDefault="00A32CA3" w:rsidP="006C63AE">
      <w:pPr>
        <w:pStyle w:val="AERbulletlistfirststyle"/>
        <w:rPr>
          <w:rStyle w:val="AERbody"/>
        </w:rPr>
      </w:pPr>
      <w:r w:rsidRPr="006C63AE">
        <w:rPr>
          <w:rStyle w:val="AERbody"/>
          <w:rFonts w:eastAsia="Calibri"/>
        </w:rPr>
        <w:t xml:space="preserve">an empirical cost of equity estimates from the Fama-French three-factor model (FFM) </w:t>
      </w:r>
    </w:p>
    <w:p w:rsidR="00A32CA3" w:rsidRPr="006C63AE" w:rsidRDefault="00A32CA3" w:rsidP="006C63AE">
      <w:pPr>
        <w:pStyle w:val="AERbulletlistfirststyle"/>
        <w:rPr>
          <w:rStyle w:val="AERbody"/>
        </w:rPr>
      </w:pPr>
      <w:r w:rsidRPr="006C63AE">
        <w:rPr>
          <w:rStyle w:val="AERbody"/>
          <w:rFonts w:eastAsia="Calibri"/>
        </w:rPr>
        <w:t>an empirical estimate from the dividend growth model (DGM).</w:t>
      </w:r>
    </w:p>
    <w:p w:rsidR="00A32CA3" w:rsidRDefault="00A32CA3" w:rsidP="00A32CA3">
      <w:r w:rsidRPr="00A32CA3">
        <w:fldChar w:fldCharType="begin"/>
      </w:r>
      <w:r w:rsidRPr="00A32CA3">
        <w:instrText xml:space="preserve"> REF _Ref390691683 \h </w:instrText>
      </w:r>
      <w:r w:rsidRPr="00A32CA3">
        <w:fldChar w:fldCharType="separate"/>
      </w:r>
      <w:r w:rsidR="007D569B" w:rsidRPr="00A32CA3">
        <w:t xml:space="preserve">Table </w:t>
      </w:r>
      <w:r w:rsidRPr="00A32CA3">
        <w:fldChar w:fldCharType="end"/>
      </w:r>
      <w:r w:rsidR="00ED4637">
        <w:t>9</w:t>
      </w:r>
      <w:r w:rsidRPr="00A32CA3">
        <w:t xml:space="preserve"> sets out the </w:t>
      </w:r>
      <w:r w:rsidR="00722F76">
        <w:t>businesses</w:t>
      </w:r>
      <w:r w:rsidRPr="00A32CA3">
        <w:t xml:space="preserve"> proposed return on equity and their proposed values for the risk free rate, equity beta and MRP.  </w:t>
      </w:r>
    </w:p>
    <w:p w:rsidR="00A32CA3" w:rsidRPr="00A32CA3" w:rsidRDefault="00A32CA3" w:rsidP="00A32CA3">
      <w:pPr>
        <w:pStyle w:val="Caption"/>
      </w:pPr>
      <w:bookmarkStart w:id="52" w:name="_Ref390691683"/>
      <w:r w:rsidRPr="00A32CA3">
        <w:t xml:space="preserve">Table </w:t>
      </w:r>
      <w:bookmarkEnd w:id="52"/>
      <w:r w:rsidR="00722F76">
        <w:t>9</w:t>
      </w:r>
      <w:r w:rsidRPr="00A32CA3">
        <w:tab/>
      </w:r>
      <w:r w:rsidR="00722F76">
        <w:t>Businesses</w:t>
      </w:r>
      <w:r w:rsidRPr="00A32CA3">
        <w:t xml:space="preserve"> proposed return on equity</w:t>
      </w:r>
    </w:p>
    <w:tbl>
      <w:tblPr>
        <w:tblStyle w:val="AERtable-text"/>
        <w:tblW w:w="0" w:type="auto"/>
        <w:tblLook w:val="04A0" w:firstRow="1" w:lastRow="0" w:firstColumn="1" w:lastColumn="0" w:noHBand="0" w:noVBand="1"/>
      </w:tblPr>
      <w:tblGrid>
        <w:gridCol w:w="2093"/>
        <w:gridCol w:w="2362"/>
        <w:gridCol w:w="2362"/>
        <w:gridCol w:w="2363"/>
      </w:tblGrid>
      <w:tr w:rsidR="00A32CA3" w:rsidRPr="00B175E0" w:rsidTr="00026F2F">
        <w:trPr>
          <w:cnfStyle w:val="100000000000" w:firstRow="1" w:lastRow="0" w:firstColumn="0" w:lastColumn="0" w:oddVBand="0" w:evenVBand="0" w:oddHBand="0" w:evenHBand="0" w:firstRowFirstColumn="0" w:firstRowLastColumn="0" w:lastRowFirstColumn="0" w:lastRowLastColumn="0"/>
        </w:trPr>
        <w:tc>
          <w:tcPr>
            <w:tcW w:w="2093" w:type="dxa"/>
          </w:tcPr>
          <w:p w:rsidR="00A32CA3" w:rsidRPr="00A32CA3" w:rsidRDefault="00A32CA3" w:rsidP="00A32CA3">
            <w:pPr>
              <w:pStyle w:val="AERtabletextright"/>
            </w:pPr>
          </w:p>
        </w:tc>
        <w:tc>
          <w:tcPr>
            <w:tcW w:w="2362" w:type="dxa"/>
          </w:tcPr>
          <w:p w:rsidR="00A32CA3" w:rsidRPr="00A32CA3" w:rsidRDefault="00A32CA3" w:rsidP="00A32CA3">
            <w:pPr>
              <w:pStyle w:val="AERtabletextright"/>
            </w:pPr>
            <w:r w:rsidRPr="00A32CA3">
              <w:t>TransGrid</w:t>
            </w:r>
          </w:p>
        </w:tc>
        <w:tc>
          <w:tcPr>
            <w:tcW w:w="2362" w:type="dxa"/>
          </w:tcPr>
          <w:p w:rsidR="00A32CA3" w:rsidRPr="00A32CA3" w:rsidRDefault="00722F76" w:rsidP="00A32CA3">
            <w:pPr>
              <w:pStyle w:val="AERtabletextright"/>
            </w:pPr>
            <w:r>
              <w:t>TasNetworks</w:t>
            </w:r>
          </w:p>
        </w:tc>
        <w:tc>
          <w:tcPr>
            <w:tcW w:w="2363" w:type="dxa"/>
          </w:tcPr>
          <w:p w:rsidR="00A32CA3" w:rsidRPr="00A32CA3" w:rsidRDefault="00A32CA3" w:rsidP="00A32CA3">
            <w:pPr>
              <w:pStyle w:val="AERtabletextright"/>
            </w:pPr>
            <w:r w:rsidRPr="00A32CA3">
              <w:t>Directlink</w:t>
            </w:r>
          </w:p>
        </w:tc>
      </w:tr>
      <w:tr w:rsidR="00A32CA3" w:rsidRPr="00B175E0" w:rsidTr="00026F2F">
        <w:tc>
          <w:tcPr>
            <w:tcW w:w="2093" w:type="dxa"/>
          </w:tcPr>
          <w:p w:rsidR="00A32CA3" w:rsidRPr="00A32CA3" w:rsidRDefault="00A32CA3" w:rsidP="00A32CA3">
            <w:pPr>
              <w:pStyle w:val="AERtabletextleft"/>
            </w:pPr>
            <w:r w:rsidRPr="00A32CA3">
              <w:t>Overall return on equity</w:t>
            </w:r>
          </w:p>
        </w:tc>
        <w:tc>
          <w:tcPr>
            <w:tcW w:w="2362" w:type="dxa"/>
          </w:tcPr>
          <w:p w:rsidR="00A32CA3" w:rsidRPr="00A32CA3" w:rsidRDefault="00A32CA3" w:rsidP="00A32CA3">
            <w:pPr>
              <w:pStyle w:val="AERtabletextright"/>
            </w:pPr>
            <w:r w:rsidRPr="00A32CA3">
              <w:t>10.50</w:t>
            </w:r>
          </w:p>
        </w:tc>
        <w:tc>
          <w:tcPr>
            <w:tcW w:w="2362" w:type="dxa"/>
          </w:tcPr>
          <w:p w:rsidR="00A32CA3" w:rsidRPr="00A32CA3" w:rsidRDefault="00A32CA3" w:rsidP="00A32CA3">
            <w:pPr>
              <w:pStyle w:val="AERtabletextright"/>
            </w:pPr>
            <w:r w:rsidRPr="00A32CA3">
              <w:t>8.70</w:t>
            </w:r>
          </w:p>
        </w:tc>
        <w:tc>
          <w:tcPr>
            <w:tcW w:w="2363" w:type="dxa"/>
          </w:tcPr>
          <w:p w:rsidR="00A32CA3" w:rsidRPr="00A32CA3" w:rsidRDefault="00A32CA3" w:rsidP="00A32CA3">
            <w:pPr>
              <w:pStyle w:val="AERtabletextright"/>
            </w:pPr>
            <w:r w:rsidRPr="00A32CA3">
              <w:t>8.90</w:t>
            </w:r>
          </w:p>
        </w:tc>
      </w:tr>
      <w:tr w:rsidR="00A32CA3" w:rsidRPr="00B175E0" w:rsidTr="00026F2F">
        <w:trPr>
          <w:cnfStyle w:val="000000010000" w:firstRow="0" w:lastRow="0" w:firstColumn="0" w:lastColumn="0" w:oddVBand="0" w:evenVBand="0" w:oddHBand="0" w:evenHBand="1" w:firstRowFirstColumn="0" w:firstRowLastColumn="0" w:lastRowFirstColumn="0" w:lastRowLastColumn="0"/>
        </w:trPr>
        <w:tc>
          <w:tcPr>
            <w:tcW w:w="2093" w:type="dxa"/>
          </w:tcPr>
          <w:p w:rsidR="00A32CA3" w:rsidRPr="00A32CA3" w:rsidRDefault="00A32CA3" w:rsidP="00A32CA3">
            <w:pPr>
              <w:pStyle w:val="AERtabletextleft"/>
            </w:pPr>
            <w:r w:rsidRPr="00A32CA3">
              <w:t>Risk free rate</w:t>
            </w:r>
          </w:p>
        </w:tc>
        <w:tc>
          <w:tcPr>
            <w:tcW w:w="2362" w:type="dxa"/>
          </w:tcPr>
          <w:p w:rsidR="00A32CA3" w:rsidRPr="00A32CA3" w:rsidRDefault="00A32CA3" w:rsidP="00A32CA3">
            <w:pPr>
              <w:pStyle w:val="AERtabletextright"/>
            </w:pPr>
            <w:r w:rsidRPr="00A32CA3">
              <w:t>4.14</w:t>
            </w:r>
          </w:p>
        </w:tc>
        <w:tc>
          <w:tcPr>
            <w:tcW w:w="2362" w:type="dxa"/>
          </w:tcPr>
          <w:p w:rsidR="00A32CA3" w:rsidRPr="00A32CA3" w:rsidRDefault="00A32CA3" w:rsidP="00A32CA3">
            <w:pPr>
              <w:pStyle w:val="AERtabletextright"/>
            </w:pPr>
            <w:r w:rsidRPr="00A32CA3">
              <w:t>4.11</w:t>
            </w:r>
          </w:p>
        </w:tc>
        <w:tc>
          <w:tcPr>
            <w:tcW w:w="2363" w:type="dxa"/>
          </w:tcPr>
          <w:p w:rsidR="00A32CA3" w:rsidRPr="00A32CA3" w:rsidRDefault="00A32CA3" w:rsidP="00A32CA3">
            <w:pPr>
              <w:pStyle w:val="AERtabletextright"/>
            </w:pPr>
            <w:r w:rsidRPr="00A32CA3">
              <w:t>4.30</w:t>
            </w:r>
          </w:p>
        </w:tc>
      </w:tr>
      <w:tr w:rsidR="00A32CA3" w:rsidRPr="00B175E0" w:rsidTr="00026F2F">
        <w:tc>
          <w:tcPr>
            <w:tcW w:w="2093" w:type="dxa"/>
          </w:tcPr>
          <w:p w:rsidR="00A32CA3" w:rsidRPr="00A32CA3" w:rsidRDefault="00A32CA3" w:rsidP="00A32CA3">
            <w:pPr>
              <w:pStyle w:val="AERtabletextleft"/>
            </w:pPr>
            <w:r w:rsidRPr="00A32CA3">
              <w:t>Equity beta</w:t>
            </w:r>
          </w:p>
        </w:tc>
        <w:tc>
          <w:tcPr>
            <w:tcW w:w="2362" w:type="dxa"/>
          </w:tcPr>
          <w:p w:rsidR="00A32CA3" w:rsidRPr="00A32CA3" w:rsidRDefault="00A32CA3" w:rsidP="00A32CA3">
            <w:pPr>
              <w:pStyle w:val="AERtabletextright"/>
            </w:pPr>
            <w:r w:rsidRPr="00A32CA3">
              <w:t>0.58</w:t>
            </w:r>
          </w:p>
        </w:tc>
        <w:tc>
          <w:tcPr>
            <w:tcW w:w="2362" w:type="dxa"/>
          </w:tcPr>
          <w:p w:rsidR="00A32CA3" w:rsidRPr="00A32CA3" w:rsidRDefault="00A32CA3" w:rsidP="00A32CA3">
            <w:pPr>
              <w:pStyle w:val="AERtabletextright"/>
            </w:pPr>
            <w:r w:rsidRPr="00A32CA3">
              <w:t>0.70</w:t>
            </w:r>
          </w:p>
        </w:tc>
        <w:tc>
          <w:tcPr>
            <w:tcW w:w="2363" w:type="dxa"/>
          </w:tcPr>
          <w:p w:rsidR="00A32CA3" w:rsidRPr="00A32CA3" w:rsidRDefault="00A32CA3" w:rsidP="00A32CA3">
            <w:pPr>
              <w:pStyle w:val="AERtabletextright"/>
            </w:pPr>
            <w:r w:rsidRPr="00A32CA3">
              <w:t>0.70</w:t>
            </w:r>
          </w:p>
        </w:tc>
      </w:tr>
      <w:tr w:rsidR="00A32CA3" w:rsidRPr="00B175E0" w:rsidTr="00026F2F">
        <w:trPr>
          <w:cnfStyle w:val="000000010000" w:firstRow="0" w:lastRow="0" w:firstColumn="0" w:lastColumn="0" w:oddVBand="0" w:evenVBand="0" w:oddHBand="0" w:evenHBand="1" w:firstRowFirstColumn="0" w:firstRowLastColumn="0" w:lastRowFirstColumn="0" w:lastRowLastColumn="0"/>
        </w:trPr>
        <w:tc>
          <w:tcPr>
            <w:tcW w:w="2093" w:type="dxa"/>
          </w:tcPr>
          <w:p w:rsidR="00A32CA3" w:rsidRPr="00A32CA3" w:rsidRDefault="00A32CA3" w:rsidP="00A32CA3">
            <w:pPr>
              <w:pStyle w:val="AERtabletextleft"/>
            </w:pPr>
            <w:r w:rsidRPr="00A32CA3">
              <w:t>MRP</w:t>
            </w:r>
          </w:p>
        </w:tc>
        <w:tc>
          <w:tcPr>
            <w:tcW w:w="2362" w:type="dxa"/>
          </w:tcPr>
          <w:p w:rsidR="00A32CA3" w:rsidRPr="00A32CA3" w:rsidRDefault="00A32CA3" w:rsidP="00A32CA3">
            <w:pPr>
              <w:pStyle w:val="AERtabletextright"/>
            </w:pPr>
            <w:r w:rsidRPr="00A32CA3">
              <w:t>7.26</w:t>
            </w:r>
          </w:p>
        </w:tc>
        <w:tc>
          <w:tcPr>
            <w:tcW w:w="2362" w:type="dxa"/>
          </w:tcPr>
          <w:p w:rsidR="00A32CA3" w:rsidRPr="00A32CA3" w:rsidRDefault="00A32CA3" w:rsidP="00A32CA3">
            <w:pPr>
              <w:pStyle w:val="AERtabletextright"/>
            </w:pPr>
            <w:r w:rsidRPr="00A32CA3">
              <w:t>6.50</w:t>
            </w:r>
          </w:p>
        </w:tc>
        <w:tc>
          <w:tcPr>
            <w:tcW w:w="2363" w:type="dxa"/>
          </w:tcPr>
          <w:p w:rsidR="00A32CA3" w:rsidRPr="00A32CA3" w:rsidRDefault="00A32CA3" w:rsidP="00A32CA3">
            <w:pPr>
              <w:pStyle w:val="AERtabletextright"/>
            </w:pPr>
            <w:r w:rsidRPr="00A32CA3">
              <w:t>6.50</w:t>
            </w:r>
          </w:p>
        </w:tc>
      </w:tr>
    </w:tbl>
    <w:p w:rsidR="00A32CA3" w:rsidRPr="00A32CA3" w:rsidRDefault="00A32CA3" w:rsidP="00A32CA3">
      <w:pPr>
        <w:pStyle w:val="AERtablesource"/>
      </w:pPr>
      <w:r w:rsidRPr="00A32CA3">
        <w:t>Note:</w:t>
      </w:r>
      <w:r w:rsidRPr="00A32CA3">
        <w:tab/>
        <w:t>Implied beta estimates from TransGrid's regulatory proposals range from 0.48 to 1.00, but these betas are implied from TransGrid's multi-model approach are not all are intended for use in a SLCAPM model. Only a beta of 0.58 was applied in the SLCAPM framework.</w:t>
      </w:r>
    </w:p>
    <w:p w:rsidR="00A32CA3" w:rsidRPr="00A32CA3" w:rsidRDefault="00722F76" w:rsidP="00A32CA3">
      <w:pPr>
        <w:pStyle w:val="AERtablesource"/>
      </w:pPr>
      <w:r>
        <w:t>Source:</w:t>
      </w:r>
      <w:r>
        <w:tab/>
        <w:t>TNSP revenue</w:t>
      </w:r>
      <w:r w:rsidR="00A32CA3" w:rsidRPr="00A32CA3">
        <w:t xml:space="preserve"> proposals</w:t>
      </w:r>
    </w:p>
    <w:p w:rsidR="00A32CA3" w:rsidRPr="00A32CA3" w:rsidRDefault="00A32CA3" w:rsidP="00A32CA3">
      <w:pPr>
        <w:pStyle w:val="AERbodytext"/>
      </w:pPr>
      <w:r w:rsidRPr="00A32CA3">
        <w:t xml:space="preserve">Consistent with the guideline, </w:t>
      </w:r>
      <w:r w:rsidR="00722F76">
        <w:t>TasNetworks</w:t>
      </w:r>
      <w:r w:rsidRPr="00A32CA3">
        <w:t xml:space="preserve"> and Directlink set out indicative risk free rates for the return on equity estimated with an averaging period of 20 business days. They noted the indicative averaging period would be updated to reflect the most recent data at the time the AER makes its determination.</w:t>
      </w:r>
      <w:r w:rsidRPr="00A32CA3">
        <w:rPr>
          <w:rStyle w:val="FootnoteReference"/>
        </w:rPr>
        <w:footnoteReference w:id="70"/>
      </w:r>
      <w:r w:rsidRPr="00A32CA3">
        <w:t xml:space="preserve"> </w:t>
      </w:r>
    </w:p>
    <w:p w:rsidR="00A32CA3" w:rsidRPr="00A32CA3" w:rsidRDefault="00A32CA3" w:rsidP="00A32CA3">
      <w:pPr>
        <w:pStyle w:val="AERbodytext"/>
      </w:pPr>
      <w:r w:rsidRPr="00A32CA3">
        <w:t>Inconsistent with the guideline, Directlink stated that it reserves the right to nominate an alternative averaging period to what it had agreed upon with the AER in advance. Directlink proposed this would be in the event that market conditions within the proposed averaging period appear abnormal.</w:t>
      </w:r>
      <w:r w:rsidRPr="00A32CA3">
        <w:rPr>
          <w:rStyle w:val="FootnoteReference"/>
        </w:rPr>
        <w:footnoteReference w:id="71"/>
      </w:r>
    </w:p>
    <w:p w:rsidR="00A32CA3" w:rsidRPr="00A32CA3" w:rsidRDefault="00A32CA3" w:rsidP="00A32CA3">
      <w:pPr>
        <w:pStyle w:val="AERbodytext"/>
        <w:rPr>
          <w:rStyle w:val="AERtextblue"/>
        </w:rPr>
      </w:pPr>
      <w:r w:rsidRPr="00A32CA3">
        <w:t>In departing from the foundation model approach, TransGrid did not directly propose a risk free rate.</w:t>
      </w:r>
      <w:r w:rsidRPr="00A32CA3">
        <w:rPr>
          <w:rStyle w:val="FootnoteReference"/>
        </w:rPr>
        <w:footnoteReference w:id="72"/>
      </w:r>
      <w:r w:rsidRPr="00A32CA3">
        <w:t xml:space="preserve"> This is because TransGrid estimated the return on equity using a qualitative assessment of several asset pricing models (including the SLCAPM), a DGM and an independent expert's report. However, TransGrid adopted the return on equity estimates of its consultant, NERA. NERA recommended the SLCAPM be estimated using prevailing estimates of the risk free rate and provided indicative estimates of the risk free rate using a 20 business day averaging period.</w:t>
      </w:r>
      <w:r w:rsidRPr="00A32CA3">
        <w:rPr>
          <w:rStyle w:val="FootnoteReference"/>
        </w:rPr>
        <w:footnoteReference w:id="73"/>
      </w:r>
    </w:p>
    <w:p w:rsidR="00A32CA3" w:rsidRPr="00A32CA3" w:rsidRDefault="00722F76" w:rsidP="00A32CA3">
      <w:pPr>
        <w:pStyle w:val="AERbodytext"/>
      </w:pPr>
      <w:r>
        <w:t>TasNetworks</w:t>
      </w:r>
      <w:r w:rsidR="00A32CA3" w:rsidRPr="00A32CA3">
        <w:t xml:space="preserve"> proposed to adopt the parameter values identified by the AER in the guideline.</w:t>
      </w:r>
      <w:r w:rsidR="00A32CA3" w:rsidRPr="00A32CA3">
        <w:rPr>
          <w:rStyle w:val="FootnoteReference"/>
        </w:rPr>
        <w:footnoteReference w:id="74"/>
      </w:r>
      <w:r w:rsidR="00A32CA3" w:rsidRPr="00A32CA3">
        <w:t xml:space="preserve"> While this includes a MRP of 6.5 per cent, we note that this was a point in time estimate at December 2013, </w:t>
      </w:r>
      <w:r w:rsidR="00A32CA3" w:rsidRPr="00A32CA3">
        <w:lastRenderedPageBreak/>
        <w:t>and will be updated using the approach set out in the guideline. Directlink has also proposed to apply the guideline for estimating the return on equity.</w:t>
      </w:r>
      <w:r w:rsidR="00A32CA3" w:rsidRPr="00A32CA3">
        <w:rPr>
          <w:rStyle w:val="FootnoteReference"/>
        </w:rPr>
        <w:footnoteReference w:id="75"/>
      </w:r>
      <w:r w:rsidR="00A32CA3" w:rsidRPr="00A32CA3">
        <w:t xml:space="preserve"> </w:t>
      </w:r>
    </w:p>
    <w:p w:rsidR="00A32CA3" w:rsidRPr="00A32CA3" w:rsidRDefault="00A32CA3" w:rsidP="00A32CA3">
      <w:pPr>
        <w:pStyle w:val="AERbodytext"/>
      </w:pPr>
      <w:r w:rsidRPr="00A32CA3">
        <w:t>In departing from the foundation model approach, TransGrid did not directly propose a MRP. This is because TransGrid estimated the return on equity using a qualitative assessment of several asset pricing models, a DGM and an independent expert's report. However, TransGrid adopted the return on equity estimates of its consultant, NERA. In its report, NERA considered 7.26 per cent to be the best estimate of a prevailing MRP.</w:t>
      </w:r>
      <w:r w:rsidRPr="00A32CA3">
        <w:rPr>
          <w:rStyle w:val="FootnoteReference"/>
        </w:rPr>
        <w:footnoteReference w:id="76"/>
      </w:r>
    </w:p>
    <w:p w:rsidR="00A32CA3" w:rsidRPr="00A32CA3" w:rsidRDefault="00722F76" w:rsidP="00A32CA3">
      <w:pPr>
        <w:pStyle w:val="AERbodytext"/>
      </w:pPr>
      <w:r>
        <w:t>TasNetworks</w:t>
      </w:r>
      <w:r w:rsidR="00A32CA3" w:rsidRPr="00A32CA3">
        <w:t xml:space="preserve"> and Directlink adopted the Rate of Return Guideline equity beta estimate of 0.7.</w:t>
      </w:r>
      <w:r w:rsidR="00A32CA3" w:rsidRPr="00A32CA3">
        <w:rPr>
          <w:rStyle w:val="FootnoteReference"/>
        </w:rPr>
        <w:footnoteReference w:id="77"/>
      </w:r>
    </w:p>
    <w:p w:rsidR="00A32CA3" w:rsidRPr="00A32CA3" w:rsidRDefault="00A32CA3" w:rsidP="00CA566B">
      <w:pPr>
        <w:pStyle w:val="AERbodytext"/>
      </w:pPr>
      <w:r w:rsidRPr="00A32CA3">
        <w:t>TransGrid did not propose a specific value for equity beta. Instead, it estimated a number of relevant risk parameters applicable under different return on equity models. For example, it specified an equity beta of 0.58 across a number of CAPM specifications.</w:t>
      </w:r>
      <w:r w:rsidRPr="00A32CA3">
        <w:rPr>
          <w:rStyle w:val="FootnoteReference"/>
        </w:rPr>
        <w:footnoteReference w:id="78"/>
      </w:r>
      <w:r w:rsidRPr="00A32CA3">
        <w:t xml:space="preserve"> TransGrid submits that the Rate of Return Guideline equity beta estimate of 0.7 is insufficient to correct for potential shortcomings associated with empirically implementing the SLCAPM.</w:t>
      </w:r>
      <w:r w:rsidRPr="00A32CA3">
        <w:rPr>
          <w:rStyle w:val="FootnoteReference"/>
        </w:rPr>
        <w:footnoteReference w:id="79"/>
      </w:r>
    </w:p>
    <w:p w:rsidR="00A32CA3" w:rsidRPr="00A32CA3" w:rsidRDefault="00A32CA3" w:rsidP="00A32CA3">
      <w:pPr>
        <w:pStyle w:val="Heading3"/>
      </w:pPr>
      <w:r w:rsidRPr="00A32CA3">
        <w:t>Return on debt</w:t>
      </w:r>
    </w:p>
    <w:p w:rsidR="00A32CA3" w:rsidRPr="00A32CA3" w:rsidRDefault="00A32CA3" w:rsidP="00A32CA3">
      <w:pPr>
        <w:pStyle w:val="AERbodytext"/>
      </w:pPr>
      <w:r w:rsidRPr="00A32CA3">
        <w:t>To estimate the return on debt, our rate of return guideline proposes a ten year trailing average portfolio approach, with annual updates, after a period of transition. Our proposed transitional arrangement recognises the importance of transitioning from one benchmark approach to another benchmark approach. We consider a benchmark efficient entity would refinance its debt on a staggered basis, consistent with the trailing average approach. That is, a benchmark efficient transmission business would refinance ten per cent of its total debt each year over a ten year period. Our proposed transitional arrangements provide a ten period for regulated network service providers to restructure their debt to match our proposed long term approach.</w:t>
      </w:r>
    </w:p>
    <w:p w:rsidR="00A32CA3" w:rsidRPr="00A32CA3" w:rsidRDefault="00A32CA3" w:rsidP="00A32CA3">
      <w:pPr>
        <w:pStyle w:val="AERbodytext"/>
      </w:pPr>
      <w:r w:rsidRPr="00A32CA3">
        <w:t>Under our proposed transitional arrangement, we would set 100 per cent of the allowed return on debt for the first year of the next regulatory period based on current observed corporate bond yields. For the second year, we would set 90 per cent of the allowed return on debt based on then-current corporate yields. For the third year we would set 80 per cent of the allowed return based on then-current corporate yields. And so on. For each of those ten years, progressively more of the allowed return on debt would be based on our proposed ten year trailing average portfolio approach. After the ten year transition period, 100 per cent of the allowed return on debt would be based on the ten year trailing average portfolio.</w:t>
      </w:r>
    </w:p>
    <w:p w:rsidR="00A32CA3" w:rsidRPr="00A32CA3" w:rsidRDefault="00A32CA3" w:rsidP="00A32CA3">
      <w:pPr>
        <w:numPr>
          <w:ilvl w:val="0"/>
          <w:numId w:val="13"/>
        </w:numPr>
      </w:pPr>
      <w:r w:rsidRPr="00A32CA3">
        <w:t xml:space="preserve">The </w:t>
      </w:r>
      <w:r w:rsidR="008339E4">
        <w:t>businesses</w:t>
      </w:r>
      <w:r w:rsidRPr="00A32CA3">
        <w:t xml:space="preserve"> proposed return on debt approach is consistent with the approach in our guideline, apart from one significant departure </w:t>
      </w:r>
      <w:r w:rsidR="00CC31E3">
        <w:t>by</w:t>
      </w:r>
      <w:r w:rsidR="00CC31E3" w:rsidRPr="00A32CA3">
        <w:t xml:space="preserve"> </w:t>
      </w:r>
      <w:r w:rsidRPr="00A32CA3">
        <w:t xml:space="preserve">two of the </w:t>
      </w:r>
      <w:r w:rsidR="008339E4">
        <w:t>businesses</w:t>
      </w:r>
      <w:r w:rsidRPr="00A32CA3">
        <w:t>.</w:t>
      </w:r>
      <w:r w:rsidRPr="00A32CA3">
        <w:rPr>
          <w:rStyle w:val="FootnoteReference"/>
        </w:rPr>
        <w:footnoteReference w:id="80"/>
      </w:r>
      <w:r w:rsidRPr="00A32CA3">
        <w:t xml:space="preserve"> </w:t>
      </w:r>
      <w:r w:rsidR="00CC31E3" w:rsidRPr="00A32CA3">
        <w:t>Trans</w:t>
      </w:r>
      <w:r w:rsidR="00CC31E3">
        <w:t>G</w:t>
      </w:r>
      <w:r w:rsidR="00CC31E3" w:rsidRPr="00A32CA3">
        <w:t xml:space="preserve">rid </w:t>
      </w:r>
      <w:r w:rsidRPr="00A32CA3">
        <w:t>and Directlink have departed from the guideline by proposing immediate transition.</w:t>
      </w:r>
      <w:r w:rsidRPr="00A32CA3">
        <w:rPr>
          <w:rStyle w:val="FootnoteReference"/>
        </w:rPr>
        <w:footnoteReference w:id="81"/>
      </w:r>
      <w:r w:rsidRPr="00A32CA3">
        <w:t xml:space="preserve"> The implementation of transitional arrangements is therefore one of the key issues on return on debt. </w:t>
      </w:r>
      <w:r w:rsidR="00CC31E3" w:rsidRPr="00A32CA3">
        <w:t>Trans</w:t>
      </w:r>
      <w:r w:rsidR="00CC31E3">
        <w:t>G</w:t>
      </w:r>
      <w:r w:rsidR="00CC31E3" w:rsidRPr="00A32CA3">
        <w:t xml:space="preserve">rid </w:t>
      </w:r>
      <w:r w:rsidRPr="00A32CA3">
        <w:t xml:space="preserve">states that a transition is not appropriate for its circumstances. This is because of its lack of access to hedging markets due to its size, and its current financing strategy which already resembles a staggered debt portfolio. </w:t>
      </w:r>
      <w:r w:rsidRPr="00A32CA3">
        <w:lastRenderedPageBreak/>
        <w:t>Directlink, on the other hand, states that applying a transition is complex and not required due to the availability of high quality data.</w:t>
      </w:r>
    </w:p>
    <w:p w:rsidR="00A32CA3" w:rsidRPr="00A32CA3" w:rsidRDefault="00A32CA3" w:rsidP="00A32CA3">
      <w:pPr>
        <w:pStyle w:val="AERbodytext"/>
      </w:pPr>
      <w:r w:rsidRPr="00A32CA3">
        <w:t xml:space="preserve">Whether or not transitional arrangements are adopted is likely to have a substantial revenue impact. For example, the largest </w:t>
      </w:r>
      <w:r w:rsidR="008339E4">
        <w:t>business</w:t>
      </w:r>
      <w:r w:rsidRPr="00A32CA3">
        <w:t>—</w:t>
      </w:r>
      <w:r w:rsidR="00CC31E3" w:rsidRPr="00A32CA3">
        <w:t>Trans</w:t>
      </w:r>
      <w:r w:rsidR="00CC31E3">
        <w:t>G</w:t>
      </w:r>
      <w:r w:rsidR="00CC31E3" w:rsidRPr="00A32CA3">
        <w:t>rid</w:t>
      </w:r>
      <w:r w:rsidRPr="00A32CA3">
        <w:t xml:space="preserve">— estimated this could have a $141 million ($ nominal) impact on its revenue over the regulatory </w:t>
      </w:r>
      <w:r w:rsidR="008339E4">
        <w:t xml:space="preserve">control </w:t>
      </w:r>
      <w:r w:rsidRPr="00A32CA3">
        <w:t>period.</w:t>
      </w:r>
      <w:r w:rsidRPr="00A32CA3">
        <w:rPr>
          <w:rStyle w:val="FootnoteReference"/>
        </w:rPr>
        <w:footnoteReference w:id="82"/>
      </w:r>
    </w:p>
    <w:p w:rsidR="00A32CA3" w:rsidRPr="00A32CA3" w:rsidRDefault="00A32CA3" w:rsidP="00A32CA3">
      <w:pPr>
        <w:pStyle w:val="HeadingBoldBlue"/>
      </w:pPr>
      <w:r w:rsidRPr="00A32CA3">
        <w:t>Implementation</w:t>
      </w:r>
    </w:p>
    <w:p w:rsidR="00A32CA3" w:rsidRPr="00A32CA3" w:rsidRDefault="00A32CA3" w:rsidP="00A32CA3">
      <w:pPr>
        <w:numPr>
          <w:ilvl w:val="0"/>
          <w:numId w:val="13"/>
        </w:numPr>
      </w:pPr>
      <w:r w:rsidRPr="00A32CA3">
        <w:t xml:space="preserve">In </w:t>
      </w:r>
      <w:r w:rsidR="008339E4">
        <w:t>our rate of return</w:t>
      </w:r>
      <w:r w:rsidRPr="00A32CA3">
        <w:t xml:space="preserve"> guideline we proposed to apply the published yields from an independent third party data service provider for estimating the prevailing return on debt for each service provider during the averaging period. All the </w:t>
      </w:r>
      <w:r w:rsidR="008339E4">
        <w:t>businesses</w:t>
      </w:r>
      <w:r w:rsidRPr="00A32CA3">
        <w:t xml:space="preserve"> adopted a benchmark 10 year term of debt and the use of published yields from an independent third party data service provider–the Reserve Bank of Australia (RBA).</w:t>
      </w:r>
      <w:r w:rsidRPr="00A32CA3">
        <w:rPr>
          <w:rStyle w:val="FootnoteReference"/>
        </w:rPr>
        <w:footnoteReference w:id="83"/>
      </w:r>
      <w:r w:rsidRPr="00A32CA3">
        <w:t xml:space="preserve"> </w:t>
      </w:r>
    </w:p>
    <w:p w:rsidR="00A32CA3" w:rsidRPr="00A32CA3" w:rsidRDefault="00A32CA3" w:rsidP="00A32CA3">
      <w:pPr>
        <w:numPr>
          <w:ilvl w:val="0"/>
          <w:numId w:val="13"/>
        </w:numPr>
      </w:pPr>
      <w:r w:rsidRPr="00A32CA3">
        <w:t>On 7 April 2014, the AER released an issues paper seeking submissions on which third party data service provider it should use to estimate the return on debt. Stakeholders should read the April issues paper for more details on this matter. The issues paper and submissions on the issues paper are available on the AER's website. We will consider and respond to submissions on this separate issues paper in the context of our November draft decisions on current distribution and transmission determinations.</w:t>
      </w:r>
    </w:p>
    <w:p w:rsidR="00A32CA3" w:rsidRPr="00A32CA3" w:rsidRDefault="00A32CA3" w:rsidP="00CA566B">
      <w:pPr>
        <w:numPr>
          <w:ilvl w:val="0"/>
          <w:numId w:val="13"/>
        </w:numPr>
      </w:pPr>
      <w:r w:rsidRPr="00A32CA3">
        <w:t>Our guideline also sets a benchmark credit rating of BBB+, based on the median credit rating for a sample of Australian utilities over the period 2002 to 2012. All the TNSPs have adopted our benchmark credit rating.</w:t>
      </w:r>
      <w:r w:rsidRPr="00A32CA3">
        <w:rPr>
          <w:rStyle w:val="FootnoteReference"/>
        </w:rPr>
        <w:footnoteReference w:id="84"/>
      </w:r>
      <w:r w:rsidRPr="00A32CA3">
        <w:t xml:space="preserve"> We note that the two possible data series providers available (the RBA and Bloomberg) both publish broad BBB rated data series.</w:t>
      </w:r>
    </w:p>
    <w:p w:rsidR="00A32CA3" w:rsidRPr="00A32CA3" w:rsidRDefault="00A32CA3" w:rsidP="00A32CA3">
      <w:pPr>
        <w:pStyle w:val="Heading2"/>
      </w:pPr>
      <w:bookmarkStart w:id="53" w:name="_Toc392063182"/>
      <w:r w:rsidRPr="00A32CA3">
        <w:t>Value of imputation credits</w:t>
      </w:r>
      <w:bookmarkEnd w:id="53"/>
    </w:p>
    <w:p w:rsidR="00A32CA3" w:rsidRPr="00A32CA3" w:rsidRDefault="00A32CA3" w:rsidP="00A32CA3">
      <w:r w:rsidRPr="00A32CA3">
        <w:t>Under the Australian taxation system, investors can receive an 'imputation credit' for income tax paid at the company level. For investors that meet certain eligibility criteria, this credit can be used to offset their tax liabilities. If the value of the imputation credit exceeds an eligible investor's tax liability, that investor can receive a cash refund of the balance. Imputation credits are, therefore, a benefit to investors in addition to any cash dividend or capital gains from owning shares.</w:t>
      </w:r>
    </w:p>
    <w:p w:rsidR="00A32CA3" w:rsidRPr="00A32CA3" w:rsidRDefault="00A32CA3" w:rsidP="00A32CA3">
      <w:r w:rsidRPr="00A32CA3">
        <w:t xml:space="preserve">The </w:t>
      </w:r>
      <w:r w:rsidR="008339E4">
        <w:t>NER</w:t>
      </w:r>
      <w:r w:rsidRPr="00A32CA3">
        <w:t xml:space="preserve"> account</w:t>
      </w:r>
      <w:r w:rsidR="008339E4">
        <w:t>s</w:t>
      </w:r>
      <w:r w:rsidRPr="00A32CA3">
        <w:t xml:space="preserve"> for the value of imputation credits through an adjustment the cost of company income tax building block allowance.  The lower the value of imputation credits, the larger the revenue allowance for the regulated business. Our guideline proposes that the value of imputation credits would be estimated as a market-wide parameter, rather than estimating this on an industry or business specific basis. Specifically, it would be determined as the product of: </w:t>
      </w:r>
    </w:p>
    <w:p w:rsidR="00A32CA3" w:rsidRPr="00A32CA3" w:rsidRDefault="00A32CA3" w:rsidP="00A32CA3">
      <w:pPr>
        <w:pStyle w:val="AERbulletlistfirststyle"/>
      </w:pPr>
      <w:r w:rsidRPr="00A32CA3">
        <w:t xml:space="preserve">a payout ratio, which represents the proportion of imputation credits generated by the benchmark entity that are distributed to investors </w:t>
      </w:r>
    </w:p>
    <w:p w:rsidR="00A32CA3" w:rsidRPr="00A32CA3" w:rsidRDefault="00A32CA3" w:rsidP="00A32CA3">
      <w:pPr>
        <w:pStyle w:val="AERbulletlistfirststyle"/>
      </w:pPr>
      <w:r w:rsidRPr="00A32CA3">
        <w:lastRenderedPageBreak/>
        <w:t>a utilisation rate, which is the extent to which investors can use the imputation credits they receive to reduce their tax or to get a refund.</w:t>
      </w:r>
    </w:p>
    <w:p w:rsidR="00A32CA3" w:rsidRPr="00A32CA3" w:rsidRDefault="00A32CA3" w:rsidP="00A32CA3">
      <w:r w:rsidRPr="00A32CA3">
        <w:t>The payout ratio would be estimated using the cumulative payout ratio approach. This approach uses ATO tax statistics to calculate the proportion of imputation credits generated (via tax payments) that have been distributed by companies since the start of the imputation system. At the time of the guideline's publication, this approach produced an estimate of 0.7 for the payout ratio.</w:t>
      </w:r>
    </w:p>
    <w:p w:rsidR="00A32CA3" w:rsidRPr="00A32CA3" w:rsidRDefault="00A32CA3" w:rsidP="00A32CA3">
      <w:r w:rsidRPr="00A32CA3">
        <w:t>The utilisation rate would be estimated using the body of relevant evidence with regards to its strengths and limitations, checked against a range of supporting evidence. The body of evidence includes:</w:t>
      </w:r>
    </w:p>
    <w:p w:rsidR="00A32CA3" w:rsidRPr="00A32CA3" w:rsidRDefault="00A32CA3" w:rsidP="00A32CA3">
      <w:pPr>
        <w:pStyle w:val="AERbulletlistfirststyle"/>
      </w:pPr>
      <w:r w:rsidRPr="00A32CA3">
        <w:t>the equity ownership approach—this considers the proportion of investors in the Australian market that are expected to fully redeem imputation credits</w:t>
      </w:r>
    </w:p>
    <w:p w:rsidR="00A32CA3" w:rsidRPr="00A32CA3" w:rsidRDefault="00A32CA3" w:rsidP="00A32CA3">
      <w:pPr>
        <w:pStyle w:val="AERbulletlistfirststyle"/>
      </w:pPr>
      <w:r w:rsidRPr="00A32CA3">
        <w:t>tax statistic estimates—these indicate the actual value of imputation credits redeemed</w:t>
      </w:r>
    </w:p>
    <w:p w:rsidR="00A32CA3" w:rsidRPr="00A32CA3" w:rsidRDefault="00A32CA3" w:rsidP="00A32CA3">
      <w:pPr>
        <w:pStyle w:val="AERbulletlistfirststyle"/>
      </w:pPr>
      <w:r w:rsidRPr="00A32CA3">
        <w:t>implied market value studies—these seek to measure the value attributed to imputation credits by investors through considering the difference between the market price of a security with and without an entitlement to imputation credits</w:t>
      </w:r>
    </w:p>
    <w:p w:rsidR="00A32CA3" w:rsidRPr="00A32CA3" w:rsidRDefault="00A32CA3" w:rsidP="00A32CA3">
      <w:pPr>
        <w:pStyle w:val="AERbulletlistfirststyle"/>
      </w:pPr>
      <w:r w:rsidRPr="00A32CA3">
        <w:t>the conceptual goalposts approach—this proposes that a reasonable estimate of the utilisation rate is one that contributes to a return on equity that lies between two theoretical extremes: the return on equity in an Australian market that is completely segmented from the rest of the world, and the return on equity in an Australian market that is completely integrated with the rest of the world.</w:t>
      </w:r>
    </w:p>
    <w:p w:rsidR="00A32CA3" w:rsidRPr="00A32CA3" w:rsidRDefault="00A32CA3" w:rsidP="00A32CA3">
      <w:r w:rsidRPr="00A32CA3">
        <w:t xml:space="preserve">In particular, we have higher regard to those approaches that: </w:t>
      </w:r>
    </w:p>
    <w:p w:rsidR="00A32CA3" w:rsidRPr="00A32CA3" w:rsidRDefault="00A32CA3" w:rsidP="00A32CA3">
      <w:pPr>
        <w:pStyle w:val="AERbulletlistfirststyle"/>
      </w:pPr>
      <w:r w:rsidRPr="00A32CA3">
        <w:t xml:space="preserve">accord with the our interpretation of the nature of the utilisation rate parameter in the conceptual framework provided by Officer and Monkhouse (while acknowledging that interpretation of this framework is a matter of debate) </w:t>
      </w:r>
    </w:p>
    <w:p w:rsidR="00A32CA3" w:rsidRPr="00A32CA3" w:rsidRDefault="00A32CA3" w:rsidP="00A32CA3">
      <w:pPr>
        <w:pStyle w:val="AERbulletlistfirststyle"/>
      </w:pPr>
      <w:r w:rsidRPr="00A32CA3">
        <w:t xml:space="preserve">are simpler and more transparent </w:t>
      </w:r>
    </w:p>
    <w:p w:rsidR="00A32CA3" w:rsidRPr="00A32CA3" w:rsidRDefault="00A32CA3" w:rsidP="00A32CA3">
      <w:pPr>
        <w:pStyle w:val="AERbulletlistfirststyle"/>
      </w:pPr>
      <w:r w:rsidRPr="00A32CA3">
        <w:t>produce reasonable estimates in light of empirical realities and conceptual considerations; namely, that most (but not all) investors are eligible to redeem imputation credits, and that eligible investors in the possession of imputation credits have the incentive to redeem them.</w:t>
      </w:r>
    </w:p>
    <w:p w:rsidR="00A32CA3" w:rsidRPr="00A32CA3" w:rsidRDefault="00A32CA3" w:rsidP="00A32CA3">
      <w:r w:rsidRPr="00A32CA3">
        <w:t xml:space="preserve">In the guideline, our assessment of this evidence produced an estimate of 0.7 for the utilisation rate. The guideline therefore proposed an estimate of 0.5 for the value of imputation credits, based on a payout ratio of 0.7 and a utilisation rate of 0.7. </w:t>
      </w:r>
    </w:p>
    <w:p w:rsidR="00A32CA3" w:rsidRPr="00A32CA3" w:rsidRDefault="00A32CA3" w:rsidP="00A32CA3">
      <w:r w:rsidRPr="00A32CA3">
        <w:t xml:space="preserve">All of the transmission businesses support a payout ratio of 0.7, but some do not support our approach to interpreting and estimating the utilisation rate. TransGrid </w:t>
      </w:r>
      <w:r w:rsidR="007B01FE">
        <w:t xml:space="preserve">and Directlink </w:t>
      </w:r>
      <w:r w:rsidRPr="00A32CA3">
        <w:t>consider that gamma is the product of a payout ratio and the value of distributed credits to investors per dollar of imputation credit received. They consider also that the best estimate of this parameter comes from an implied market value study p</w:t>
      </w:r>
      <w:r w:rsidR="007B01FE">
        <w:t xml:space="preserve">erformed by SFG Consulting. These businesses </w:t>
      </w:r>
      <w:r w:rsidRPr="00A32CA3">
        <w:t xml:space="preserve">therefore propose an estimate of 0.25 for the value of imputation credits. On the other hand, </w:t>
      </w:r>
      <w:r w:rsidR="007B01FE">
        <w:t>TasNetworks proposes</w:t>
      </w:r>
      <w:r w:rsidRPr="00A32CA3">
        <w:t xml:space="preserve"> a 0.5 value for imputation credits, consistent with our guideline.</w:t>
      </w:r>
    </w:p>
    <w:p w:rsidR="00A32CA3" w:rsidRPr="00A32CA3" w:rsidRDefault="00A32CA3" w:rsidP="00CA566B">
      <w:r w:rsidRPr="00A32CA3">
        <w:t>TransGrid</w:t>
      </w:r>
      <w:r w:rsidR="005774DE">
        <w:t>'s</w:t>
      </w:r>
      <w:r w:rsidRPr="00A32CA3">
        <w:t xml:space="preserve"> and Directlink</w:t>
      </w:r>
      <w:r w:rsidR="005774DE">
        <w:t>'s</w:t>
      </w:r>
      <w:r w:rsidRPr="00A32CA3">
        <w:t xml:space="preserve"> proposed estimate for the value of imputation credits is consistent with the findings of the </w:t>
      </w:r>
      <w:r w:rsidR="007B01FE">
        <w:t xml:space="preserve">Australian Competition </w:t>
      </w:r>
      <w:r w:rsidRPr="00A32CA3">
        <w:t xml:space="preserve">Tribunal in 2011. However, since that Tribunal decision we </w:t>
      </w:r>
      <w:r w:rsidRPr="00A32CA3">
        <w:lastRenderedPageBreak/>
        <w:t xml:space="preserve">have re-evaluated the conceptual task of estimating the value of imputation credits and this is reflected in the approach set out in the guideline. An important issue in determining the value of imputation credits for the next regulatory </w:t>
      </w:r>
      <w:r w:rsidR="007B01FE">
        <w:t xml:space="preserve">control </w:t>
      </w:r>
      <w:r w:rsidRPr="00A32CA3">
        <w:t xml:space="preserve">period is the interpretation and estimation of this second parameter. </w:t>
      </w:r>
    </w:p>
    <w:p w:rsidR="004B78E2" w:rsidRDefault="00B27D9D" w:rsidP="003D1D48">
      <w:pPr>
        <w:pStyle w:val="Heading1"/>
      </w:pPr>
      <w:bookmarkStart w:id="54" w:name="_Toc392063183"/>
      <w:r>
        <w:lastRenderedPageBreak/>
        <w:pict>
          <v:shape id="_x0000_s1075" type="#_x0000_t202" style="position:absolute;left:0;text-align:left;margin-left:.55pt;margin-top:28.9pt;width:453.05pt;height:219.4pt;z-index:25167360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LKAIAAE4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N5DBBJ3pn6EZl1ZhhwXEgUWuN+UNLhcFfUfz+A&#10;45TIDxq7sxxPp3EbkjKdzQtU3KVld2kBzRCqooGSQdyEtEGJN3uDXdyKxO9LJqeUcWgT7acFi1tx&#10;qSevl9/A+gk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oBNLKAIAAE4EAAAOAAAAAAAAAAAAAAAAAC4CAABkcnMvZTJvRG9j&#10;LnhtbFBLAQItABQABgAIAAAAIQD9LzLW2wAAAAUBAAAPAAAAAAAAAAAAAAAAAIIEAABkcnMvZG93&#10;bnJldi54bWxQSwUGAAAAAAQABADzAAAAigUAAAAA&#10;" fillcolor="#ddd">
            <v:textbox style="mso-next-textbox:#_x0000_s1075">
              <w:txbxContent>
                <w:p w:rsidR="00DA7A13" w:rsidRDefault="00DA7A13" w:rsidP="00380E7D">
                  <w:pPr>
                    <w:rPr>
                      <w:rStyle w:val="AERtextbold"/>
                    </w:rPr>
                  </w:pPr>
                  <w:r w:rsidRPr="008F2BDE">
                    <w:rPr>
                      <w:rStyle w:val="AERtextbold"/>
                    </w:rPr>
                    <w:t xml:space="preserve">Questions </w:t>
                  </w:r>
                  <w:r>
                    <w:rPr>
                      <w:rStyle w:val="AERtextbold"/>
                    </w:rPr>
                    <w:t>(please include reasons in your responses)</w:t>
                  </w:r>
                </w:p>
                <w:p w:rsidR="00DA7A13" w:rsidRPr="00424015" w:rsidRDefault="00DA7A13" w:rsidP="00380E7D">
                  <w:pPr>
                    <w:numPr>
                      <w:ilvl w:val="0"/>
                      <w:numId w:val="49"/>
                    </w:numPr>
                  </w:pPr>
                  <w:r>
                    <w:t xml:space="preserve">1. </w:t>
                  </w:r>
                  <w:r w:rsidRPr="00424015">
                    <w:t>TransGrid has proposed an alternative pricing structure for locational prices. That is, rather than putting forward a structure expressly permitted in the pricing methodology guidelines, it has proposed its own alternative (20-day peak method). The pricing methodology guidelines allow for alternative pricing structures where they give effect to the NER, improve on the permitted pricing structures, and contribute to the national electricity objective. Do stakeholders consider the '20-day peak method' which TransGrid has proposed meets those requirements?</w:t>
                  </w:r>
                </w:p>
                <w:p w:rsidR="00DA7A13" w:rsidRPr="00424015" w:rsidRDefault="00DA7A13" w:rsidP="00380E7D">
                  <w:pPr>
                    <w:numPr>
                      <w:ilvl w:val="0"/>
                      <w:numId w:val="49"/>
                    </w:numPr>
                  </w:pPr>
                  <w:r>
                    <w:t xml:space="preserve">2. </w:t>
                  </w:r>
                  <w:r w:rsidRPr="00424015">
                    <w:t>Do you support the specific proposals by TransGrid to promote greater stability in annual transmission charges?</w:t>
                  </w:r>
                </w:p>
                <w:p w:rsidR="00DA7A13" w:rsidRPr="00424015" w:rsidRDefault="00DA7A13" w:rsidP="00380E7D">
                  <w:pPr>
                    <w:numPr>
                      <w:ilvl w:val="0"/>
                      <w:numId w:val="49"/>
                    </w:numPr>
                  </w:pPr>
                  <w:r>
                    <w:t xml:space="preserve">3. </w:t>
                  </w:r>
                  <w:r w:rsidRPr="00424015">
                    <w:t xml:space="preserve">TasNetworks has proposed the introduction of standby provisions in its pricing methodology. Do stakeholders have any comments regarding those arrangements and the process by which TasNetworks has stated it will agree to them?  </w:t>
                  </w:r>
                </w:p>
                <w:p w:rsidR="00DA7A13" w:rsidRPr="008F2BDE" w:rsidRDefault="00DA7A13" w:rsidP="00380E7D">
                  <w:pPr>
                    <w:rPr>
                      <w:rStyle w:val="AERtextbold"/>
                    </w:rPr>
                  </w:pPr>
                </w:p>
              </w:txbxContent>
            </v:textbox>
          </v:shape>
        </w:pict>
      </w:r>
      <w:r w:rsidR="004B78E2" w:rsidRPr="00701382">
        <w:t>Pricing methodology</w:t>
      </w:r>
      <w:bookmarkEnd w:id="54"/>
      <w:r w:rsidR="004B78E2" w:rsidRPr="00701382">
        <w:t xml:space="preserve"> </w:t>
      </w:r>
    </w:p>
    <w:p w:rsidR="00380E7D" w:rsidRDefault="00380E7D" w:rsidP="004B78E2">
      <w:pPr>
        <w:pStyle w:val="AERbodytext"/>
      </w:pPr>
    </w:p>
    <w:p w:rsidR="00380E7D" w:rsidRDefault="00380E7D" w:rsidP="004B78E2">
      <w:pPr>
        <w:pStyle w:val="AERbodytext"/>
      </w:pPr>
    </w:p>
    <w:p w:rsidR="00380E7D" w:rsidRDefault="00380E7D" w:rsidP="004B78E2">
      <w:pPr>
        <w:pStyle w:val="AERbodytext"/>
      </w:pPr>
    </w:p>
    <w:p w:rsidR="00380E7D" w:rsidRDefault="00380E7D" w:rsidP="004B78E2">
      <w:pPr>
        <w:pStyle w:val="AERbodytext"/>
      </w:pPr>
    </w:p>
    <w:p w:rsidR="00380E7D" w:rsidRDefault="00380E7D" w:rsidP="004B78E2">
      <w:pPr>
        <w:pStyle w:val="AERbodytext"/>
      </w:pPr>
    </w:p>
    <w:p w:rsidR="00380E7D" w:rsidRDefault="00380E7D" w:rsidP="004B78E2">
      <w:pPr>
        <w:pStyle w:val="AERbodytext"/>
      </w:pPr>
    </w:p>
    <w:p w:rsidR="00380E7D" w:rsidRDefault="00380E7D" w:rsidP="004B78E2">
      <w:pPr>
        <w:pStyle w:val="AERbodytext"/>
      </w:pPr>
    </w:p>
    <w:p w:rsidR="00380E7D" w:rsidRDefault="00380E7D" w:rsidP="004B78E2">
      <w:pPr>
        <w:pStyle w:val="AERbodytext"/>
      </w:pPr>
    </w:p>
    <w:p w:rsidR="00380E7D" w:rsidRDefault="00380E7D" w:rsidP="004B78E2">
      <w:pPr>
        <w:pStyle w:val="AERbodytext"/>
      </w:pPr>
    </w:p>
    <w:p w:rsidR="004B78E2" w:rsidRDefault="00D81551" w:rsidP="004B78E2">
      <w:pPr>
        <w:pStyle w:val="AERbodytext"/>
      </w:pPr>
      <w:r>
        <w:t>The transmission businesses</w:t>
      </w:r>
      <w:r w:rsidR="004B78E2">
        <w:t xml:space="preserve"> provide prescribed transmission services and negotiated services. We set the revenue which </w:t>
      </w:r>
      <w:r>
        <w:t xml:space="preserve">the businesses </w:t>
      </w:r>
      <w:r w:rsidR="004B78E2">
        <w:t>can recover for providing prescribed transmission services and approve a pricing methodology that prescribes how that revenue is recovered</w:t>
      </w:r>
      <w:r w:rsidR="004B78E2" w:rsidRPr="00643E0B">
        <w:t>.</w:t>
      </w:r>
      <w:r w:rsidR="004B78E2" w:rsidRPr="00643E0B">
        <w:rPr>
          <w:rStyle w:val="FootnoteReference"/>
        </w:rPr>
        <w:footnoteReference w:id="85"/>
      </w:r>
      <w:r w:rsidR="004B78E2" w:rsidRPr="00643E0B">
        <w:t xml:space="preserve"> </w:t>
      </w:r>
    </w:p>
    <w:p w:rsidR="00424015" w:rsidRDefault="004B78E2" w:rsidP="004B78E2">
      <w:pPr>
        <w:pStyle w:val="AERbodytext"/>
      </w:pPr>
      <w:r w:rsidRPr="008745FB">
        <w:t>The pricing methodology must accord with the principles and other requirements of the Rules</w:t>
      </w:r>
      <w:r w:rsidR="00CC31E3">
        <w:t>. T</w:t>
      </w:r>
      <w:r w:rsidRPr="008745FB">
        <w:t xml:space="preserve">hese are set out in Part J (“Prescribed Transmission Services - Regulation of Pricing”) of Chapter 6A and the Pricing Methodology Guidelines published by the AER. The Pricing Methodology must be approved by the AER before it is applied by the </w:t>
      </w:r>
      <w:r w:rsidR="00424015">
        <w:t>business</w:t>
      </w:r>
      <w:r w:rsidRPr="008745FB">
        <w:t>.</w:t>
      </w:r>
    </w:p>
    <w:p w:rsidR="004B78E2" w:rsidRPr="008745FB" w:rsidRDefault="004B78E2" w:rsidP="004B78E2">
      <w:pPr>
        <w:pStyle w:val="AERbodytext"/>
      </w:pPr>
      <w:r w:rsidRPr="008745FB">
        <w:t xml:space="preserve">The costs of the prescribed transmission services are recovered based on a </w:t>
      </w:r>
      <w:r w:rsidR="00D81551">
        <w:t>maximum allowed revenue (</w:t>
      </w:r>
      <w:r w:rsidR="006C63AE">
        <w:t>MAR</w:t>
      </w:r>
      <w:r w:rsidR="00D81551">
        <w:t>)</w:t>
      </w:r>
      <w:r w:rsidRPr="008745FB">
        <w:t xml:space="preserve"> set every </w:t>
      </w:r>
      <w:r>
        <w:t xml:space="preserve">five </w:t>
      </w:r>
      <w:r w:rsidRPr="008745FB">
        <w:t xml:space="preserve">years by the Australian Energy Regulator (AER). The MAR is adjusted to </w:t>
      </w:r>
      <w:r>
        <w:t>derive</w:t>
      </w:r>
      <w:r w:rsidRPr="008745FB">
        <w:t xml:space="preserve"> an Aggregate Annual Rev</w:t>
      </w:r>
      <w:r>
        <w:t>en</w:t>
      </w:r>
      <w:r w:rsidRPr="008745FB">
        <w:t xml:space="preserve">ue Requirement (AARR) for transmission companies. This is the revenue that relates to the costs of prescribed transmission services only (‘negotiated’ and unregulated services are excluded). </w:t>
      </w:r>
    </w:p>
    <w:p w:rsidR="004B78E2" w:rsidRDefault="004B78E2" w:rsidP="004B78E2">
      <w:pPr>
        <w:pStyle w:val="AERbodytext"/>
      </w:pPr>
      <w:r w:rsidRPr="007F6D14">
        <w:t xml:space="preserve">The process governing cost allocation, revenue recovery and pricing is shown diagrammatically </w:t>
      </w:r>
      <w:r w:rsidR="00ED4637">
        <w:t>in figure 19</w:t>
      </w:r>
      <w:r>
        <w:t xml:space="preserve">. </w:t>
      </w:r>
      <w:r w:rsidRPr="004B78E2">
        <w:t xml:space="preserve">There are four categories of regulated or ‘prescribed’ transmission services: </w:t>
      </w:r>
    </w:p>
    <w:p w:rsidR="004B78E2" w:rsidRPr="004B78E2" w:rsidRDefault="004B78E2" w:rsidP="004B78E2">
      <w:pPr>
        <w:pStyle w:val="AERbulletlistfirststyle"/>
      </w:pPr>
      <w:r w:rsidRPr="00E95463">
        <w:rPr>
          <w:rStyle w:val="AERtextbold"/>
        </w:rPr>
        <w:t>Prescribed entry services</w:t>
      </w:r>
      <w:r w:rsidRPr="004B78E2">
        <w:t xml:space="preserve"> </w:t>
      </w:r>
      <w:r>
        <w:t xml:space="preserve">- </w:t>
      </w:r>
      <w:r w:rsidRPr="004B78E2">
        <w:t xml:space="preserve">(entry services which include assets that are directly attributable to serving a generator or a group of generators at a single connection point); </w:t>
      </w:r>
    </w:p>
    <w:p w:rsidR="004B78E2" w:rsidRPr="000A5216" w:rsidRDefault="004B78E2" w:rsidP="004B78E2">
      <w:pPr>
        <w:pStyle w:val="AERbulletlistfirststyle"/>
      </w:pPr>
      <w:r w:rsidRPr="00E95463">
        <w:rPr>
          <w:rStyle w:val="AERtextbold"/>
        </w:rPr>
        <w:t>Prescribed exit services</w:t>
      </w:r>
      <w:r w:rsidRPr="000A5216">
        <w:t xml:space="preserve"> </w:t>
      </w:r>
      <w:r>
        <w:t xml:space="preserve">- </w:t>
      </w:r>
      <w:r w:rsidRPr="000A5216">
        <w:t xml:space="preserve">(exit services include assets that are directly attributable to serving a transmission customer or group of transmission customers at a single connection point); </w:t>
      </w:r>
    </w:p>
    <w:p w:rsidR="004B78E2" w:rsidRPr="000A5216" w:rsidRDefault="004B78E2" w:rsidP="004B78E2">
      <w:pPr>
        <w:pStyle w:val="AERbulletlistfirststyle"/>
      </w:pPr>
      <w:r w:rsidRPr="00E95463">
        <w:rPr>
          <w:rStyle w:val="AERtextbold"/>
        </w:rPr>
        <w:t>Prescribed common transmission services</w:t>
      </w:r>
      <w:r w:rsidRPr="000A5216">
        <w:t xml:space="preserve"> </w:t>
      </w:r>
      <w:r>
        <w:t xml:space="preserve">- </w:t>
      </w:r>
      <w:r w:rsidRPr="000A5216">
        <w:t xml:space="preserve">(which are services that provide equivalent benefits to all transmission customers without any differentiation based on their location, and therefore cannot be reasonably allocated on a locational basis) - $/MW/day (contract demand) or $/MWh (historical demand); and </w:t>
      </w:r>
    </w:p>
    <w:p w:rsidR="004B78E2" w:rsidRPr="000A5216" w:rsidRDefault="004B78E2" w:rsidP="004B78E2">
      <w:pPr>
        <w:pStyle w:val="AERbulletlistfirststyle"/>
      </w:pPr>
      <w:r w:rsidRPr="00E95463">
        <w:rPr>
          <w:rStyle w:val="AERtextbold"/>
        </w:rPr>
        <w:lastRenderedPageBreak/>
        <w:t>Prescribed transmission use of system services/ TUOS</w:t>
      </w:r>
      <w:r w:rsidRPr="000A5216">
        <w:t xml:space="preserve"> </w:t>
      </w:r>
      <w:r>
        <w:t xml:space="preserve">- </w:t>
      </w:r>
      <w:r w:rsidRPr="000A5216">
        <w:t xml:space="preserve">(which include services that provide benefits to transmission customers depending on their location within the transmission system, that are shared by a greater or lesser extent by all users across the transmission system and are not prescribed common transmission services, prescribed entry services or prescribed exit services) - $/MW/day (contract demand) or $/MWh (historical demand). </w:t>
      </w:r>
    </w:p>
    <w:p w:rsidR="004B78E2" w:rsidRDefault="004B78E2" w:rsidP="004B78E2">
      <w:pPr>
        <w:pStyle w:val="AERbodytext"/>
      </w:pPr>
      <w:r w:rsidRPr="007F6D14">
        <w:t>The transmission pricing issues a</w:t>
      </w:r>
      <w:r>
        <w:t xml:space="preserve">rise in relation to each of those </w:t>
      </w:r>
      <w:r w:rsidRPr="007F6D14">
        <w:t>different categories of transmission</w:t>
      </w:r>
      <w:r>
        <w:t xml:space="preserve"> services. </w:t>
      </w:r>
      <w:r w:rsidRPr="007F6D14">
        <w:t>In addition, as transmission networks in different regions are interconnected, the users in one region may affect</w:t>
      </w:r>
      <w:r>
        <w:t xml:space="preserve"> </w:t>
      </w:r>
      <w:r w:rsidRPr="007F6D14">
        <w:t>the costs of providing transmission services in another region. It is therefore important to consider the costs of providing</w:t>
      </w:r>
      <w:r>
        <w:t xml:space="preserve"> </w:t>
      </w:r>
      <w:r w:rsidRPr="007F6D14">
        <w:t>transmission services both within a region and also between regions. This latter issue has recently been addressed</w:t>
      </w:r>
      <w:r>
        <w:t xml:space="preserve"> </w:t>
      </w:r>
      <w:r w:rsidRPr="007F6D14">
        <w:t>through a rule change relating to inter-regional transmission use of system (TUOS) charges</w:t>
      </w:r>
      <w:r>
        <w:t xml:space="preserve"> in February 2013.</w:t>
      </w:r>
      <w:r w:rsidRPr="00643E0B">
        <w:rPr>
          <w:rStyle w:val="FootnoteReference"/>
        </w:rPr>
        <w:footnoteReference w:id="86"/>
      </w:r>
      <w:r w:rsidRPr="00643E0B">
        <w:t xml:space="preserve"> </w:t>
      </w:r>
      <w:r>
        <w:t xml:space="preserve"> Under the r</w:t>
      </w:r>
      <w:r w:rsidRPr="007F6D14">
        <w:t>ule</w:t>
      </w:r>
      <w:r>
        <w:t>s, a</w:t>
      </w:r>
      <w:r w:rsidRPr="007F6D14">
        <w:t xml:space="preserve"> new inter-regional transmission charge will be levied between TNSPs in neighbouring</w:t>
      </w:r>
      <w:r>
        <w:t xml:space="preserve"> </w:t>
      </w:r>
      <w:r w:rsidRPr="007F6D14">
        <w:t>regions.</w:t>
      </w:r>
      <w:r>
        <w:t xml:space="preserve"> </w:t>
      </w:r>
      <w:r w:rsidR="00424015">
        <w:t>The businesses</w:t>
      </w:r>
      <w:r w:rsidRPr="007F6D14">
        <w:t xml:space="preserve"> will recover this charge from individual consumers through the locational component</w:t>
      </w:r>
      <w:r>
        <w:t xml:space="preserve"> of their prescribed TUOS</w:t>
      </w:r>
      <w:r w:rsidRPr="007F6D14">
        <w:t>.</w:t>
      </w:r>
    </w:p>
    <w:p w:rsidR="004B78E2" w:rsidRDefault="004B78E2" w:rsidP="004B78E2">
      <w:pPr>
        <w:pStyle w:val="Caption"/>
      </w:pPr>
      <w:r>
        <w:t xml:space="preserve">Figure </w:t>
      </w:r>
      <w:r w:rsidR="00D81551">
        <w:t>1</w:t>
      </w:r>
      <w:r w:rsidR="00ED4637">
        <w:t>9</w:t>
      </w:r>
      <w:r>
        <w:tab/>
      </w:r>
      <w:r w:rsidRPr="008745FB">
        <w:t>Process for allocating transmission costs and determining charges</w:t>
      </w:r>
    </w:p>
    <w:p w:rsidR="004B78E2" w:rsidRDefault="004B78E2" w:rsidP="004B78E2">
      <w:r w:rsidRPr="004B78E2">
        <w:rPr>
          <w:noProof/>
          <w:lang w:eastAsia="en-AU"/>
        </w:rPr>
        <w:drawing>
          <wp:inline distT="0" distB="0" distL="0" distR="0" wp14:anchorId="52D4538E" wp14:editId="36965E15">
            <wp:extent cx="5642085" cy="5184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42808" cy="5184664"/>
                    </a:xfrm>
                    <a:prstGeom prst="rect">
                      <a:avLst/>
                    </a:prstGeom>
                    <a:noFill/>
                    <a:ln>
                      <a:noFill/>
                    </a:ln>
                  </pic:spPr>
                </pic:pic>
              </a:graphicData>
            </a:graphic>
          </wp:inline>
        </w:drawing>
      </w:r>
    </w:p>
    <w:p w:rsidR="004E7C97" w:rsidRDefault="004E642C" w:rsidP="004E642C">
      <w:pPr>
        <w:pStyle w:val="AERbodytext"/>
      </w:pPr>
      <w:r w:rsidRPr="004E642C">
        <w:lastRenderedPageBreak/>
        <w:t>As noted above, for a proposed pricing methodology to be approved it must comply with</w:t>
      </w:r>
      <w:r>
        <w:t xml:space="preserve"> the pricing principles in the rules and the pricing methodology g</w:t>
      </w:r>
      <w:r w:rsidRPr="004E642C">
        <w:t>uidelines.</w:t>
      </w:r>
      <w:r w:rsidRPr="004E642C">
        <w:rPr>
          <w:rStyle w:val="AERsuperscript"/>
        </w:rPr>
        <w:footnoteReference w:id="87"/>
      </w:r>
      <w:r w:rsidRPr="004E642C">
        <w:t xml:space="preserve"> The Rules are 'principles-based'.</w:t>
      </w:r>
      <w:r w:rsidRPr="00D81551">
        <w:rPr>
          <w:rStyle w:val="AERsuperscript"/>
        </w:rPr>
        <w:footnoteReference w:id="88"/>
      </w:r>
      <w:r w:rsidRPr="00D81551">
        <w:rPr>
          <w:rStyle w:val="AERsuperscript"/>
        </w:rPr>
        <w:t xml:space="preserve"> </w:t>
      </w:r>
      <w:r w:rsidRPr="004E642C">
        <w:t xml:space="preserve">That is, they do not prescribe the requirements of a pricing methodology, but </w:t>
      </w:r>
      <w:r w:rsidR="004E7C97">
        <w:t xml:space="preserve">are </w:t>
      </w:r>
      <w:r w:rsidRPr="004E642C">
        <w:t>comprise</w:t>
      </w:r>
      <w:r w:rsidR="004E7C97">
        <w:t>d</w:t>
      </w:r>
      <w:r w:rsidRPr="004E642C">
        <w:t xml:space="preserve"> of high level 'principles' intended to provide </w:t>
      </w:r>
      <w:r>
        <w:t>the businesses</w:t>
      </w:r>
      <w:r w:rsidRPr="004E642C">
        <w:t xml:space="preserve"> with the scope to develop innovative pricing arrangements over time.</w:t>
      </w:r>
      <w:r w:rsidRPr="00D81551">
        <w:rPr>
          <w:rStyle w:val="AERsuperscript"/>
        </w:rPr>
        <w:footnoteReference w:id="89"/>
      </w:r>
      <w:r>
        <w:t xml:space="preserve"> </w:t>
      </w:r>
    </w:p>
    <w:p w:rsidR="004E642C" w:rsidRPr="004E642C" w:rsidRDefault="004E642C" w:rsidP="004E7C97">
      <w:pPr>
        <w:pStyle w:val="AERbodytext"/>
      </w:pPr>
      <w:r>
        <w:t>The pricing methodology g</w:t>
      </w:r>
      <w:r w:rsidRPr="004E642C">
        <w:t>uidelines</w:t>
      </w:r>
      <w:r w:rsidR="004E7C97">
        <w:t xml:space="preserve"> set out</w:t>
      </w:r>
      <w:r w:rsidRPr="004E642C">
        <w:t xml:space="preserve"> more specific requirements for a pricing methodology</w:t>
      </w:r>
      <w:r w:rsidR="004E7C97">
        <w:t xml:space="preserve">. </w:t>
      </w:r>
      <w:r w:rsidRPr="004E642C">
        <w:t xml:space="preserve">Among other things, the </w:t>
      </w:r>
      <w:r>
        <w:t>pricing methodology g</w:t>
      </w:r>
      <w:r w:rsidRPr="004E642C">
        <w:t>uidelines specify:</w:t>
      </w:r>
    </w:p>
    <w:p w:rsidR="004E642C" w:rsidRPr="004E642C" w:rsidRDefault="004E642C" w:rsidP="004E642C">
      <w:pPr>
        <w:pStyle w:val="AERbulletlistfirststyle"/>
      </w:pPr>
      <w:r w:rsidRPr="004E642C">
        <w:t>the permissible pricing structures for the recovery of the locational component of prescribed TUOS services</w:t>
      </w:r>
      <w:r w:rsidR="0012769B">
        <w:t xml:space="preserve"> is e</w:t>
      </w:r>
      <w:r w:rsidRPr="004E642C">
        <w:t>ither:</w:t>
      </w:r>
    </w:p>
    <w:p w:rsidR="004E642C" w:rsidRPr="004E642C" w:rsidRDefault="004E642C" w:rsidP="00744118">
      <w:pPr>
        <w:pStyle w:val="AERbulletlistsecondstyle"/>
      </w:pPr>
      <w:r w:rsidRPr="004E642C">
        <w:t>the current contract agreed maximum demand (prevailing at the time transmission prices are published) as negotiated in a transmission customer's connection agreement or the transmission customer's maximum demand in the previous 12 months if the transmission customer has exceeded its current contract agree</w:t>
      </w:r>
      <w:r w:rsidR="0012769B">
        <w:t>d</w:t>
      </w:r>
      <w:r w:rsidRPr="004E642C">
        <w:t xml:space="preserve"> maximum demand, expressed as $/MW/day; or</w:t>
      </w:r>
    </w:p>
    <w:p w:rsidR="004E642C" w:rsidRPr="004E642C" w:rsidRDefault="004E642C" w:rsidP="00744118">
      <w:pPr>
        <w:pStyle w:val="AERbulletlistsecondstyle"/>
      </w:pPr>
      <w:r w:rsidRPr="004E642C">
        <w:t>the average of the transmission customer's half-hourly maximum demand recorded at a connection point on the 10 weekdays when system demand was highest between the hours of 11:00 and 19:00 in the local time zone during the previ</w:t>
      </w:r>
      <w:r w:rsidR="0012769B">
        <w:t>ous 12 months, expressed as $/</w:t>
      </w:r>
      <w:r w:rsidRPr="004E642C">
        <w:t>MW/day</w:t>
      </w:r>
    </w:p>
    <w:p w:rsidR="004E642C" w:rsidRPr="004E642C" w:rsidRDefault="004E642C" w:rsidP="00744118">
      <w:pPr>
        <w:pStyle w:val="AERbulletlistfirststyle"/>
      </w:pPr>
      <w:r w:rsidRPr="004E642C">
        <w:t>the permissible postage stamp pricing structures for the recovery of the adjusted non-locational component of prescribed TUOS services and prescribed common transmission services</w:t>
      </w:r>
      <w:r w:rsidR="004E7C97">
        <w:t xml:space="preserve"> is any of</w:t>
      </w:r>
      <w:r w:rsidRPr="004E642C">
        <w:t>:</w:t>
      </w:r>
    </w:p>
    <w:p w:rsidR="004E642C" w:rsidRPr="004E642C" w:rsidRDefault="004E642C" w:rsidP="00744118">
      <w:pPr>
        <w:pStyle w:val="AERbulletlistsecondstyle"/>
      </w:pPr>
      <w:r w:rsidRPr="004E642C">
        <w:t>contract agreed maximum demand or historical energy; or</w:t>
      </w:r>
    </w:p>
    <w:p w:rsidR="004E642C" w:rsidRDefault="004E642C" w:rsidP="00744118">
      <w:pPr>
        <w:pStyle w:val="AERbulletlistsecondstyle"/>
      </w:pPr>
      <w:r w:rsidRPr="004E642C">
        <w:t>maximum demand</w:t>
      </w:r>
      <w:r w:rsidR="004E7C97">
        <w:t>; or</w:t>
      </w:r>
    </w:p>
    <w:p w:rsidR="004E7C97" w:rsidRPr="004E642C" w:rsidRDefault="004E7C97" w:rsidP="00744118">
      <w:pPr>
        <w:pStyle w:val="AERbulletlistsecondstyle"/>
      </w:pPr>
      <w:r>
        <w:t>an alternative pricing structure proposed by the business.</w:t>
      </w:r>
    </w:p>
    <w:p w:rsidR="000C54EC" w:rsidRDefault="000C54EC" w:rsidP="004B78E2">
      <w:r>
        <w:t xml:space="preserve">TransGrid has proposed a number of changes to the current pricing methodology which </w:t>
      </w:r>
      <w:r w:rsidR="0012769B">
        <w:t>seek to provide</w:t>
      </w:r>
      <w:r>
        <w:t xml:space="preserve"> for cost reflective prices and to provide greater certainty of pricing outcomes to customers/consumers. These proposed changes include</w:t>
      </w:r>
      <w:r w:rsidR="004E7C97">
        <w:t xml:space="preserve"> to</w:t>
      </w:r>
      <w:r>
        <w:t>:</w:t>
      </w:r>
      <w:r w:rsidR="00424015">
        <w:rPr>
          <w:rStyle w:val="FootnoteReference"/>
        </w:rPr>
        <w:footnoteReference w:id="90"/>
      </w:r>
    </w:p>
    <w:p w:rsidR="000C54EC" w:rsidRDefault="000C54EC" w:rsidP="000C54EC">
      <w:pPr>
        <w:pStyle w:val="AERbulletlistfirststyle"/>
      </w:pPr>
      <w:r>
        <w:t>modify the current methodology to take into account network utilisation</w:t>
      </w:r>
      <w:r w:rsidR="0012769B">
        <w:t xml:space="preserve"> </w:t>
      </w:r>
      <w:r>
        <w:t>locational prices which vary by connection point to be more focused on peak demand (over a 20 day period), rather than over a 12 month period</w:t>
      </w:r>
    </w:p>
    <w:p w:rsidR="008F3CC5" w:rsidRDefault="004E7C97" w:rsidP="000C54EC">
      <w:pPr>
        <w:pStyle w:val="AERbulletlistfirststyle"/>
      </w:pPr>
      <w:r>
        <w:t xml:space="preserve">set </w:t>
      </w:r>
      <w:r w:rsidR="008F3CC5">
        <w:t xml:space="preserve">the common service charge according to peak demand and no longer </w:t>
      </w:r>
      <w:r>
        <w:t>base it</w:t>
      </w:r>
      <w:r w:rsidR="008F3CC5">
        <w:t xml:space="preserve"> on energy consumption</w:t>
      </w:r>
    </w:p>
    <w:p w:rsidR="008F3CC5" w:rsidRDefault="004E7C97" w:rsidP="000C54EC">
      <w:pPr>
        <w:pStyle w:val="AERbulletlistfirststyle"/>
      </w:pPr>
      <w:r>
        <w:t xml:space="preserve">cap </w:t>
      </w:r>
      <w:r w:rsidR="008F3CC5">
        <w:t>annual changes in transmission charges for any directly connected customer or a large distribution customer at CPI+3 per cent; and</w:t>
      </w:r>
    </w:p>
    <w:p w:rsidR="008F3CC5" w:rsidRDefault="008F3CC5" w:rsidP="008F3CC5">
      <w:pPr>
        <w:pStyle w:val="AERbulletlistfirststyle"/>
      </w:pPr>
      <w:r>
        <w:t>fix transmission charges for the duration of the regulatory control period.</w:t>
      </w:r>
      <w:r w:rsidR="000C54EC">
        <w:t xml:space="preserve"> </w:t>
      </w:r>
    </w:p>
    <w:p w:rsidR="008F3CC5" w:rsidRDefault="00D81551" w:rsidP="008F3CC5">
      <w:pPr>
        <w:pStyle w:val="AERbulletlistfirststyle"/>
        <w:numPr>
          <w:ilvl w:val="0"/>
          <w:numId w:val="0"/>
        </w:numPr>
      </w:pPr>
      <w:r>
        <w:lastRenderedPageBreak/>
        <w:t xml:space="preserve">TasNetworks </w:t>
      </w:r>
      <w:r w:rsidR="008F3CC5">
        <w:t xml:space="preserve">submits that it </w:t>
      </w:r>
      <w:r>
        <w:t xml:space="preserve">acknowledges </w:t>
      </w:r>
      <w:r w:rsidR="008F3CC5">
        <w:t>that customer feedback has indicated that unpredictable and volatile transmission prices from year to year</w:t>
      </w:r>
      <w:r>
        <w:t>,</w:t>
      </w:r>
      <w:r w:rsidR="008F3CC5">
        <w:t xml:space="preserve"> is a concern for customers/consumers.  </w:t>
      </w:r>
      <w:r>
        <w:t>TasNetwork</w:t>
      </w:r>
      <w:r w:rsidR="004E7C97">
        <w:t>'s</w:t>
      </w:r>
      <w:r w:rsidR="008F3CC5">
        <w:t xml:space="preserve"> proposed changes to the current pricing methodology</w:t>
      </w:r>
      <w:r w:rsidR="004E7C97">
        <w:t xml:space="preserve"> include</w:t>
      </w:r>
      <w:r w:rsidR="008F3CC5">
        <w:t>:</w:t>
      </w:r>
    </w:p>
    <w:p w:rsidR="008F3CC5" w:rsidRDefault="008F3CC5" w:rsidP="008F3CC5">
      <w:pPr>
        <w:pStyle w:val="AERbulletlistfirststyle"/>
      </w:pPr>
      <w:r>
        <w:t>allow</w:t>
      </w:r>
      <w:r w:rsidR="004E7C97">
        <w:t>ing</w:t>
      </w:r>
      <w:r>
        <w:t xml:space="preserve"> any reduction in maximum demand that is agreed with the customer to be applied in the prevailing financial year, where the reduction is not temporary in nature; and</w:t>
      </w:r>
    </w:p>
    <w:p w:rsidR="008F3CC5" w:rsidRDefault="004E7C97" w:rsidP="008F3CC5">
      <w:pPr>
        <w:pStyle w:val="AERbulletlistfirststyle"/>
      </w:pPr>
      <w:r>
        <w:t>including</w:t>
      </w:r>
      <w:r w:rsidR="008F3CC5">
        <w:t xml:space="preserve"> standby provisions to encourage customers to better manage their peak demand and reduce their demand on the network at times of peak congestion.</w:t>
      </w:r>
      <w:r w:rsidR="002B27CB">
        <w:rPr>
          <w:rStyle w:val="FootnoteReference"/>
        </w:rPr>
        <w:footnoteReference w:id="91"/>
      </w:r>
    </w:p>
    <w:p w:rsidR="008F3CC5" w:rsidRDefault="008F3CC5" w:rsidP="008F3CC5">
      <w:pPr>
        <w:pStyle w:val="AERbulletlistfirststyle"/>
        <w:numPr>
          <w:ilvl w:val="0"/>
          <w:numId w:val="0"/>
        </w:numPr>
      </w:pPr>
    </w:p>
    <w:p w:rsidR="008F3CC5" w:rsidRDefault="008F3CC5" w:rsidP="008F3CC5">
      <w:pPr>
        <w:pStyle w:val="AERbulletlistfirststyle"/>
        <w:numPr>
          <w:ilvl w:val="0"/>
          <w:numId w:val="0"/>
        </w:numPr>
      </w:pPr>
      <w:r>
        <w:t xml:space="preserve">  </w:t>
      </w:r>
      <w:bookmarkEnd w:id="8"/>
      <w:bookmarkEnd w:id="9"/>
    </w:p>
    <w:sectPr w:rsidR="008F3CC5" w:rsidSect="00456081">
      <w:footerReference w:type="even" r:id="rId36"/>
      <w:footerReference w:type="defaul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7A13" w:rsidRPr="00AB4345" w:rsidRDefault="00DA7A13" w:rsidP="00AB4345">
      <w:r>
        <w:separator/>
      </w:r>
    </w:p>
  </w:endnote>
  <w:endnote w:type="continuationSeparator" w:id="0">
    <w:p w:rsidR="00DA7A13" w:rsidRPr="00AB4345" w:rsidRDefault="00DA7A13" w:rsidP="00AB4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Gautami">
    <w:panose1 w:val="02000500000000000000"/>
    <w:charset w:val="00"/>
    <w:family w:val="auto"/>
    <w:pitch w:val="variable"/>
    <w:sig w:usb0="002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4882516"/>
      <w:docPartObj>
        <w:docPartGallery w:val="Page Numbers (Bottom of Page)"/>
        <w:docPartUnique/>
      </w:docPartObj>
    </w:sdtPr>
    <w:sdtEndPr/>
    <w:sdtContent>
      <w:p w:rsidR="00DA7A13" w:rsidRPr="00824CC8" w:rsidRDefault="00DA7A13" w:rsidP="00824CC8">
        <w:pPr>
          <w:pStyle w:val="Footer"/>
        </w:pPr>
        <w:r w:rsidRPr="00824CC8">
          <w:fldChar w:fldCharType="begin"/>
        </w:r>
        <w:r w:rsidRPr="00824CC8">
          <w:instrText xml:space="preserve"> PAGE   \* MERGEFORMAT </w:instrText>
        </w:r>
        <w:r w:rsidRPr="00824CC8">
          <w:fldChar w:fldCharType="separate"/>
        </w:r>
        <w:r>
          <w:rPr>
            <w:noProof/>
          </w:rPr>
          <w:t>18</w:t>
        </w:r>
        <w:r w:rsidRPr="00824CC8">
          <w:fldChar w:fldCharType="end"/>
        </w:r>
        <w:r w:rsidRPr="00824CC8">
          <w:tab/>
        </w:r>
        <w:r w:rsidRPr="00824CC8">
          <w:rPr>
            <w:rStyle w:val="AERbody"/>
          </w:rPr>
          <w:t>Attachment heading | Distribution/transmission determination heading</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A13" w:rsidRPr="00824CC8" w:rsidRDefault="00DA7A13" w:rsidP="00824CC8">
    <w:pPr>
      <w:pStyle w:val="Footer"/>
      <w:rPr>
        <w:rStyle w:val="AERbody"/>
      </w:rPr>
    </w:pPr>
    <w:r>
      <w:rPr>
        <w:rStyle w:val="AERbody"/>
      </w:rPr>
      <w:t xml:space="preserve">TransGrid, TasNetworks and Directlink - electricity </w:t>
    </w:r>
    <w:r w:rsidRPr="00210880">
      <w:rPr>
        <w:rStyle w:val="AERbody"/>
      </w:rPr>
      <w:t>tr</w:t>
    </w:r>
    <w:r>
      <w:rPr>
        <w:rStyle w:val="AERbody"/>
      </w:rPr>
      <w:t>ansmission determination</w:t>
    </w:r>
    <w:r w:rsidRPr="00210880">
      <w:rPr>
        <w:rStyle w:val="AERbody"/>
      </w:rPr>
      <w:t xml:space="preserve"> | </w:t>
    </w:r>
    <w:r>
      <w:rPr>
        <w:rStyle w:val="AERbody"/>
      </w:rPr>
      <w:t>Issues Paper</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B27D9D">
      <w:rPr>
        <w:rStyle w:val="AERbody"/>
        <w:noProof/>
      </w:rPr>
      <w:t>1</w:t>
    </w:r>
    <w:r w:rsidRPr="00824CC8">
      <w:rPr>
        <w:rStyle w:val="AERbody"/>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7A13" w:rsidRPr="00AB4345" w:rsidRDefault="00DA7A13" w:rsidP="00AB4345">
      <w:r>
        <w:separator/>
      </w:r>
    </w:p>
  </w:footnote>
  <w:footnote w:type="continuationSeparator" w:id="0">
    <w:p w:rsidR="00DA7A13" w:rsidRPr="00AB4345" w:rsidRDefault="00DA7A13" w:rsidP="00AB4345">
      <w:r>
        <w:continuationSeparator/>
      </w:r>
    </w:p>
  </w:footnote>
  <w:footnote w:id="1">
    <w:p w:rsidR="00DA7A13" w:rsidRDefault="00DA7A13">
      <w:pPr>
        <w:pStyle w:val="FootnoteText"/>
      </w:pPr>
      <w:r>
        <w:rPr>
          <w:rStyle w:val="FootnoteReference"/>
        </w:rPr>
        <w:footnoteRef/>
      </w:r>
      <w:r>
        <w:t xml:space="preserve"> </w:t>
      </w:r>
      <w:r>
        <w:tab/>
        <w:t xml:space="preserve">Transend Networks Pty Ltd (Transend) which owns and operates the Tasmanian electricity transmission network merged with the Tasmanian electricity distribution network (Aurora Energy) on 1 July 2014 to form Tasmanian Networks Pty Ltd (TasNetworks).  </w:t>
      </w:r>
    </w:p>
  </w:footnote>
  <w:footnote w:id="2">
    <w:p w:rsidR="00DA7A13" w:rsidRDefault="00DA7A13" w:rsidP="000C413B">
      <w:pPr>
        <w:pStyle w:val="FootnoteText"/>
      </w:pPr>
      <w:r>
        <w:rPr>
          <w:rStyle w:val="FootnoteReference"/>
        </w:rPr>
        <w:footnoteRef/>
      </w:r>
      <w:r>
        <w:t xml:space="preserve"> </w:t>
      </w:r>
      <w:r>
        <w:tab/>
        <w:t>Our new guidelines are available on our website (</w:t>
      </w:r>
      <w:hyperlink r:id="rId1" w:history="1">
        <w:r w:rsidRPr="006B0D57">
          <w:rPr>
            <w:rStyle w:val="Hyperlink"/>
          </w:rPr>
          <w:t>www.aer.gov.au</w:t>
        </w:r>
      </w:hyperlink>
      <w:r>
        <w:t>) under the 'better regulation' tab.</w:t>
      </w:r>
    </w:p>
  </w:footnote>
  <w:footnote w:id="3">
    <w:p w:rsidR="00DA7A13" w:rsidRDefault="00DA7A13">
      <w:pPr>
        <w:pStyle w:val="FootnoteText"/>
      </w:pPr>
      <w:r>
        <w:rPr>
          <w:rStyle w:val="FootnoteReference"/>
        </w:rPr>
        <w:footnoteRef/>
      </w:r>
      <w:r>
        <w:t xml:space="preserve"> </w:t>
      </w:r>
      <w:r>
        <w:tab/>
        <w:t>The full suite of benchmarking tools will not be applied to Directlink due to the unique characteristics of the business.</w:t>
      </w:r>
    </w:p>
  </w:footnote>
  <w:footnote w:id="4">
    <w:p w:rsidR="00DA7A13" w:rsidRDefault="00DA7A13">
      <w:pPr>
        <w:pStyle w:val="FootnoteText"/>
      </w:pPr>
      <w:r>
        <w:rPr>
          <w:rStyle w:val="FootnoteReference"/>
        </w:rPr>
        <w:footnoteRef/>
      </w:r>
      <w:r>
        <w:t xml:space="preserve"> </w:t>
      </w:r>
      <w:r>
        <w:tab/>
        <w:t>Transend (TasNetworks) has under-recovered revenue of around $26m in the current regulatory control period. Transend's current revenue allowance has been adjusted to reflect that Transend does not seek to recover this allowance in the future.</w:t>
      </w:r>
    </w:p>
  </w:footnote>
  <w:footnote w:id="5">
    <w:p w:rsidR="00DA7A13" w:rsidRDefault="00DA7A13">
      <w:pPr>
        <w:pStyle w:val="FootnoteText"/>
      </w:pPr>
      <w:r>
        <w:rPr>
          <w:rStyle w:val="FootnoteReference"/>
        </w:rPr>
        <w:footnoteRef/>
      </w:r>
      <w:r>
        <w:t xml:space="preserve"> </w:t>
      </w:r>
      <w:r>
        <w:tab/>
        <w:t>The expected price path for Directlink is not shown as it does not directly charge customers- see section 1.2</w:t>
      </w:r>
    </w:p>
  </w:footnote>
  <w:footnote w:id="6">
    <w:p w:rsidR="00DA7A13" w:rsidRDefault="00DA7A13">
      <w:pPr>
        <w:pStyle w:val="FootnoteText"/>
      </w:pPr>
      <w:r>
        <w:rPr>
          <w:rStyle w:val="FootnoteReference"/>
        </w:rPr>
        <w:footnoteRef/>
      </w:r>
      <w:r>
        <w:t xml:space="preserve"> </w:t>
      </w:r>
      <w:r>
        <w:tab/>
        <w:t xml:space="preserve">AER </w:t>
      </w:r>
      <w:r w:rsidRPr="007132B6">
        <w:rPr>
          <w:rStyle w:val="AERtextitalic"/>
        </w:rPr>
        <w:t>Transitional determination, TransGrid, Transend</w:t>
      </w:r>
      <w:r>
        <w:t>, 28 March 2014</w:t>
      </w:r>
    </w:p>
  </w:footnote>
  <w:footnote w:id="7">
    <w:p w:rsidR="00DA7A13" w:rsidRDefault="00DA7A13" w:rsidP="00026F2F">
      <w:pPr>
        <w:pStyle w:val="FootnoteText"/>
      </w:pPr>
      <w:r>
        <w:rPr>
          <w:rStyle w:val="FootnoteReference"/>
        </w:rPr>
        <w:footnoteRef/>
      </w:r>
      <w:r>
        <w:t xml:space="preserve"> </w:t>
      </w:r>
      <w:r>
        <w:tab/>
        <w:t>TransGrid has proposed revenue allowances based on a five year and a four year regulatory control period. For the purposes of this price path analysis we have assumed a five year regulatory control period. We are required to determine the length of the regulatory control period as part of the determination.</w:t>
      </w:r>
    </w:p>
  </w:footnote>
  <w:footnote w:id="8">
    <w:p w:rsidR="00DA7A13" w:rsidRPr="00590B71" w:rsidRDefault="00DA7A13" w:rsidP="00590B71">
      <w:pPr>
        <w:pStyle w:val="FootnoteText"/>
      </w:pPr>
      <w:r>
        <w:rPr>
          <w:rStyle w:val="FootnoteReference"/>
        </w:rPr>
        <w:footnoteRef/>
      </w:r>
      <w:r>
        <w:t xml:space="preserve"> </w:t>
      </w:r>
      <w:r>
        <w:tab/>
      </w:r>
      <w:r w:rsidRPr="00590B71">
        <w:t>AEMC, Rule Determination National Electricity Amendment (Economic Regulation of Network Service Providers) Rule 2012, National Gas Amendment (Price and Revenue Regulation of Gas Services) Rule 2012 p. 32 and 36</w:t>
      </w:r>
    </w:p>
    <w:p w:rsidR="00DA7A13" w:rsidRDefault="00DA7A13">
      <w:pPr>
        <w:pStyle w:val="FootnoteText"/>
      </w:pPr>
    </w:p>
  </w:footnote>
  <w:footnote w:id="9">
    <w:p w:rsidR="00DA7A13" w:rsidRDefault="00DA7A13">
      <w:pPr>
        <w:pStyle w:val="FootnoteText"/>
      </w:pPr>
      <w:r>
        <w:rPr>
          <w:rStyle w:val="FootnoteReference"/>
        </w:rPr>
        <w:footnoteRef/>
      </w:r>
      <w:r>
        <w:t xml:space="preserve"> </w:t>
      </w:r>
      <w:r>
        <w:tab/>
      </w:r>
      <w:r w:rsidRPr="00590B71">
        <w:t>AEMC, Rule Determination National Electricity Amendment (Economic Regulation of Network Service Providers) Rule 2012, National Gas Amendment (Price and Revenue Regulation of Gas Services) Rule 2012 pp. xi, 10, 19, 32 and 35</w:t>
      </w:r>
    </w:p>
  </w:footnote>
  <w:footnote w:id="10">
    <w:p w:rsidR="00DA7A13" w:rsidRDefault="00DA7A13">
      <w:pPr>
        <w:pStyle w:val="FootnoteText"/>
      </w:pPr>
      <w:r>
        <w:rPr>
          <w:rStyle w:val="FootnoteReference"/>
        </w:rPr>
        <w:footnoteRef/>
      </w:r>
      <w:r>
        <w:t xml:space="preserve"> </w:t>
      </w:r>
      <w:r>
        <w:tab/>
      </w:r>
      <w:r w:rsidRPr="00590B71">
        <w:t>AEMC, Rule Determination National Electricity Amendment (Economic Regulation of Network Service Providers) Rule 2012, National Gas Amendment (Price and Revenue Regulation of Gas Services) Rule 2012 esp pp. 166-170</w:t>
      </w:r>
    </w:p>
  </w:footnote>
  <w:footnote w:id="11">
    <w:p w:rsidR="00DA7A13" w:rsidRDefault="00DA7A13" w:rsidP="006431D0">
      <w:pPr>
        <w:pStyle w:val="FootnoteText"/>
      </w:pPr>
      <w:r>
        <w:rPr>
          <w:rStyle w:val="FootnoteReference"/>
        </w:rPr>
        <w:footnoteRef/>
      </w:r>
      <w:r>
        <w:t xml:space="preserve"> </w:t>
      </w:r>
      <w:r>
        <w:tab/>
        <w:t xml:space="preserve">TransGrid, </w:t>
      </w:r>
      <w:r w:rsidRPr="00F53C40">
        <w:rPr>
          <w:rStyle w:val="AERtextitalic"/>
        </w:rPr>
        <w:t>Revenue  proposal</w:t>
      </w:r>
      <w:r>
        <w:t>, p.143</w:t>
      </w:r>
    </w:p>
  </w:footnote>
  <w:footnote w:id="12">
    <w:p w:rsidR="00DA7A13" w:rsidRDefault="00DA7A13">
      <w:pPr>
        <w:pStyle w:val="FootnoteText"/>
      </w:pPr>
      <w:r>
        <w:rPr>
          <w:rStyle w:val="FootnoteReference"/>
        </w:rPr>
        <w:footnoteRef/>
      </w:r>
      <w:r>
        <w:t xml:space="preserve"> </w:t>
      </w:r>
      <w:r>
        <w:tab/>
        <w:t xml:space="preserve">AER, </w:t>
      </w:r>
      <w:r w:rsidRPr="004F0ADD">
        <w:rPr>
          <w:rStyle w:val="AERtextitalic"/>
        </w:rPr>
        <w:t>Expenditure assessment guideline</w:t>
      </w:r>
      <w:r>
        <w:t>, November 2013</w:t>
      </w:r>
    </w:p>
  </w:footnote>
  <w:footnote w:id="13">
    <w:p w:rsidR="00DA7A13" w:rsidRDefault="00DA7A13">
      <w:pPr>
        <w:pStyle w:val="FootnoteText"/>
      </w:pPr>
      <w:r>
        <w:rPr>
          <w:rStyle w:val="FootnoteReference"/>
        </w:rPr>
        <w:footnoteRef/>
      </w:r>
      <w:r>
        <w:t xml:space="preserve"> Directlink, </w:t>
      </w:r>
      <w:r w:rsidRPr="00543537">
        <w:rPr>
          <w:rStyle w:val="AERtextitalic"/>
        </w:rPr>
        <w:t>Revenue proposal</w:t>
      </w:r>
      <w:r>
        <w:t>, pp.24-25</w:t>
      </w:r>
    </w:p>
  </w:footnote>
  <w:footnote w:id="14">
    <w:p w:rsidR="00DA7A13" w:rsidRDefault="00DA7A13">
      <w:pPr>
        <w:pStyle w:val="FootnoteText"/>
      </w:pPr>
      <w:r>
        <w:rPr>
          <w:rStyle w:val="FootnoteReference"/>
        </w:rPr>
        <w:footnoteRef/>
      </w:r>
      <w:r>
        <w:t xml:space="preserve"> </w:t>
      </w:r>
      <w:r w:rsidR="00ED4637">
        <w:tab/>
      </w:r>
      <w:r>
        <w:t xml:space="preserve">Directlink, </w:t>
      </w:r>
      <w:r w:rsidRPr="00DD0BE4">
        <w:rPr>
          <w:rStyle w:val="AERtextitalic"/>
        </w:rPr>
        <w:t>Revenue proposal</w:t>
      </w:r>
      <w:r>
        <w:t>, pp.62-64, 73-74</w:t>
      </w:r>
    </w:p>
  </w:footnote>
  <w:footnote w:id="15">
    <w:p w:rsidR="00DA7A13" w:rsidRDefault="00DA7A13">
      <w:pPr>
        <w:pStyle w:val="FootnoteText"/>
      </w:pPr>
      <w:r>
        <w:rPr>
          <w:rStyle w:val="FootnoteReference"/>
        </w:rPr>
        <w:footnoteRef/>
      </w:r>
      <w:r>
        <w:t xml:space="preserve"> </w:t>
      </w:r>
      <w:r w:rsidR="00ED4637">
        <w:tab/>
      </w:r>
      <w:r>
        <w:t xml:space="preserve">AER, </w:t>
      </w:r>
      <w:r w:rsidRPr="0059339E">
        <w:rPr>
          <w:rStyle w:val="AERtextitalic"/>
        </w:rPr>
        <w:t>Rate of return guideline</w:t>
      </w:r>
      <w:r>
        <w:t>, December 2013.</w:t>
      </w:r>
    </w:p>
  </w:footnote>
  <w:footnote w:id="16">
    <w:p w:rsidR="00DA7A13" w:rsidRDefault="00DA7A13" w:rsidP="000C413B">
      <w:pPr>
        <w:pStyle w:val="FootnoteText"/>
      </w:pPr>
      <w:r>
        <w:rPr>
          <w:rStyle w:val="FootnoteReference"/>
        </w:rPr>
        <w:footnoteRef/>
      </w:r>
      <w:r>
        <w:t xml:space="preserve"> </w:t>
      </w:r>
      <w:r>
        <w:tab/>
        <w:t>NER, cl</w:t>
      </w:r>
      <w:r w:rsidR="00B27D9D">
        <w:t>.</w:t>
      </w:r>
      <w:r>
        <w:t xml:space="preserve"> 6.5.2(c).</w:t>
      </w:r>
    </w:p>
  </w:footnote>
  <w:footnote w:id="17">
    <w:p w:rsidR="00DA7A13" w:rsidRDefault="00DA7A13">
      <w:pPr>
        <w:pStyle w:val="FootnoteText"/>
      </w:pPr>
      <w:r>
        <w:rPr>
          <w:rStyle w:val="FootnoteReference"/>
        </w:rPr>
        <w:footnoteRef/>
      </w:r>
      <w:r>
        <w:t xml:space="preserve"> AEMC, </w:t>
      </w:r>
      <w:r w:rsidRPr="00F54138">
        <w:rPr>
          <w:rStyle w:val="AERtextitalic"/>
        </w:rPr>
        <w:t>Retail Electricity Price Movements 2012</w:t>
      </w:r>
      <w:r>
        <w:t xml:space="preserve">, March 2013 </w:t>
      </w:r>
    </w:p>
  </w:footnote>
  <w:footnote w:id="18">
    <w:p w:rsidR="00DA7A13" w:rsidRDefault="00DA7A13">
      <w:pPr>
        <w:pStyle w:val="FootnoteText"/>
      </w:pPr>
      <w:r>
        <w:rPr>
          <w:rStyle w:val="FootnoteReference"/>
        </w:rPr>
        <w:footnoteRef/>
      </w:r>
      <w:r>
        <w:t xml:space="preserve"> TransGrid, </w:t>
      </w:r>
      <w:r w:rsidRPr="00D647FC">
        <w:rPr>
          <w:rStyle w:val="AERtextitalic"/>
        </w:rPr>
        <w:t>Revenue proposal</w:t>
      </w:r>
      <w:r>
        <w:t>, appendix AH</w:t>
      </w:r>
    </w:p>
  </w:footnote>
  <w:footnote w:id="19">
    <w:p w:rsidR="00DA7A13" w:rsidRDefault="00DA7A13" w:rsidP="00EA78BF">
      <w:pPr>
        <w:pStyle w:val="FootnoteText"/>
      </w:pPr>
      <w:r>
        <w:rPr>
          <w:rStyle w:val="FootnoteReference"/>
        </w:rPr>
        <w:footnoteRef/>
      </w:r>
      <w:r>
        <w:t xml:space="preserve"> </w:t>
      </w:r>
      <w:r>
        <w:tab/>
        <w:t>NER, cl. 6A.6.6(e)(5a), cl. 6A6.7(e)(5A).</w:t>
      </w:r>
    </w:p>
  </w:footnote>
  <w:footnote w:id="20">
    <w:p w:rsidR="00DA7A13" w:rsidRDefault="00DA7A13" w:rsidP="00EA78BF">
      <w:pPr>
        <w:pStyle w:val="FootnoteText"/>
      </w:pPr>
      <w:r>
        <w:rPr>
          <w:rStyle w:val="FootnoteReference"/>
        </w:rPr>
        <w:footnoteRef/>
      </w:r>
      <w:r>
        <w:t xml:space="preserve"> </w:t>
      </w:r>
      <w:r>
        <w:tab/>
        <w:t xml:space="preserve">AER, </w:t>
      </w:r>
      <w:r w:rsidRPr="00932621">
        <w:rPr>
          <w:rStyle w:val="AERtextitalic"/>
        </w:rPr>
        <w:t>Consumer engagement guideline for network service providers</w:t>
      </w:r>
      <w:r>
        <w:t xml:space="preserve">, November 2013; </w:t>
      </w:r>
      <w:r w:rsidRPr="000E7E39">
        <w:t>www.aer.gov.au/Better-regulation-reform-program</w:t>
      </w:r>
    </w:p>
  </w:footnote>
  <w:footnote w:id="21">
    <w:p w:rsidR="00DA7A13" w:rsidRDefault="00DA7A13">
      <w:pPr>
        <w:pStyle w:val="FootnoteText"/>
      </w:pPr>
      <w:r>
        <w:rPr>
          <w:rStyle w:val="FootnoteReference"/>
        </w:rPr>
        <w:footnoteRef/>
      </w:r>
      <w:r>
        <w:t xml:space="preserve"> TransGrid, </w:t>
      </w:r>
      <w:r w:rsidRPr="000204C3">
        <w:rPr>
          <w:rStyle w:val="AERtextitalic"/>
        </w:rPr>
        <w:t>Overview</w:t>
      </w:r>
      <w:r>
        <w:t>, p.13</w:t>
      </w:r>
    </w:p>
  </w:footnote>
  <w:footnote w:id="22">
    <w:p w:rsidR="00DA7A13" w:rsidRDefault="00DA7A13">
      <w:pPr>
        <w:pStyle w:val="FootnoteText"/>
      </w:pPr>
      <w:r>
        <w:rPr>
          <w:rStyle w:val="FootnoteReference"/>
        </w:rPr>
        <w:footnoteRef/>
      </w:r>
      <w:r>
        <w:t xml:space="preserve"> Transend, </w:t>
      </w:r>
      <w:r w:rsidRPr="000204C3">
        <w:rPr>
          <w:rStyle w:val="AERtextitalic"/>
        </w:rPr>
        <w:t>Revenue Proposals</w:t>
      </w:r>
      <w:r>
        <w:t>, p.31</w:t>
      </w:r>
    </w:p>
  </w:footnote>
  <w:footnote w:id="23">
    <w:p w:rsidR="00DA7A13" w:rsidRDefault="00DA7A13">
      <w:pPr>
        <w:pStyle w:val="FootnoteText"/>
      </w:pPr>
      <w:r>
        <w:rPr>
          <w:rStyle w:val="FootnoteReference"/>
        </w:rPr>
        <w:footnoteRef/>
      </w:r>
      <w:r>
        <w:t xml:space="preserve"> Directlink, </w:t>
      </w:r>
      <w:r w:rsidRPr="000204C3">
        <w:rPr>
          <w:rStyle w:val="AERtextitalic"/>
        </w:rPr>
        <w:t>Revenue proposal</w:t>
      </w:r>
      <w:r>
        <w:t>, pp.14-15</w:t>
      </w:r>
    </w:p>
  </w:footnote>
  <w:footnote w:id="24">
    <w:p w:rsidR="00DA7A13" w:rsidRDefault="00DA7A13">
      <w:pPr>
        <w:pStyle w:val="FootnoteText"/>
      </w:pPr>
      <w:r>
        <w:rPr>
          <w:rStyle w:val="FootnoteReference"/>
        </w:rPr>
        <w:footnoteRef/>
      </w:r>
      <w:r>
        <w:t xml:space="preserve"> TasNetworks on 9 July 2014; TransGrid and Directlink on 10 July 2014</w:t>
      </w:r>
    </w:p>
  </w:footnote>
  <w:footnote w:id="25">
    <w:p w:rsidR="00DA7A13" w:rsidRDefault="00DA7A13">
      <w:pPr>
        <w:pStyle w:val="FootnoteText"/>
      </w:pPr>
      <w:r>
        <w:rPr>
          <w:rStyle w:val="FootnoteReference"/>
        </w:rPr>
        <w:footnoteRef/>
      </w:r>
      <w:r w:rsidR="00ED4637">
        <w:t xml:space="preserve"> </w:t>
      </w:r>
      <w:r w:rsidR="00ED4637">
        <w:tab/>
      </w:r>
      <w:r>
        <w:t xml:space="preserve">Directlink will not be included in this report.  </w:t>
      </w:r>
    </w:p>
  </w:footnote>
  <w:footnote w:id="26">
    <w:p w:rsidR="00DA7A13" w:rsidRDefault="00DA7A13" w:rsidP="00E246D9">
      <w:pPr>
        <w:pStyle w:val="FootnoteText"/>
      </w:pPr>
      <w:r>
        <w:rPr>
          <w:rStyle w:val="FootnoteReference"/>
        </w:rPr>
        <w:footnoteRef/>
      </w:r>
      <w:r>
        <w:t xml:space="preserve"> </w:t>
      </w:r>
      <w:r>
        <w:tab/>
        <w:t>NEL, s.7</w:t>
      </w:r>
    </w:p>
  </w:footnote>
  <w:footnote w:id="27">
    <w:p w:rsidR="00DA7A13" w:rsidRPr="00E42D6F" w:rsidRDefault="00DA7A13" w:rsidP="007113BD">
      <w:pPr>
        <w:pStyle w:val="FootnoteText"/>
        <w:rPr>
          <w:i/>
        </w:rPr>
      </w:pPr>
      <w:r>
        <w:rPr>
          <w:rStyle w:val="FootnoteReference"/>
        </w:rPr>
        <w:footnoteRef/>
      </w:r>
      <w:r>
        <w:t xml:space="preserve"> </w:t>
      </w:r>
      <w:r>
        <w:tab/>
        <w:t xml:space="preserve">See </w:t>
      </w:r>
      <w:hyperlink r:id="rId2" w:history="1">
        <w:r w:rsidRPr="003A26EF">
          <w:rPr>
            <w:rStyle w:val="Hyperlink"/>
            <w:i/>
          </w:rPr>
          <w:t>http://www.transgrid.com.au/aboutus/Pages/default.aspx</w:t>
        </w:r>
      </w:hyperlink>
      <w:r>
        <w:t>;</w:t>
      </w:r>
      <w:r>
        <w:rPr>
          <w:i/>
        </w:rPr>
        <w:t xml:space="preserve"> </w:t>
      </w:r>
      <w:r w:rsidRPr="00E42D6F">
        <w:t>A</w:t>
      </w:r>
      <w:r>
        <w:t xml:space="preserve">ER, </w:t>
      </w:r>
      <w:r w:rsidRPr="00E42D6F">
        <w:rPr>
          <w:i/>
        </w:rPr>
        <w:t>Transmission network service provider performance report 2010-11</w:t>
      </w:r>
      <w:r>
        <w:rPr>
          <w:i/>
        </w:rPr>
        <w:t xml:space="preserve">, </w:t>
      </w:r>
      <w:r w:rsidRPr="00E42D6F">
        <w:t>July 2013</w:t>
      </w:r>
      <w:r>
        <w:rPr>
          <w:i/>
        </w:rPr>
        <w:t xml:space="preserve">, </w:t>
      </w:r>
      <w:r>
        <w:t>p. 32</w:t>
      </w:r>
      <w:r w:rsidRPr="00E42D6F">
        <w:rPr>
          <w:i/>
        </w:rPr>
        <w:t xml:space="preserve"> </w:t>
      </w:r>
    </w:p>
  </w:footnote>
  <w:footnote w:id="28">
    <w:p w:rsidR="00DA7A13" w:rsidRDefault="00DA7A13" w:rsidP="007113BD">
      <w:pPr>
        <w:pStyle w:val="FootnoteText"/>
      </w:pPr>
      <w:r>
        <w:rPr>
          <w:rStyle w:val="FootnoteReference"/>
        </w:rPr>
        <w:footnoteRef/>
      </w:r>
      <w:r>
        <w:t xml:space="preserve"> </w:t>
      </w:r>
      <w:r>
        <w:tab/>
        <w:t xml:space="preserve">Transend, </w:t>
      </w:r>
      <w:r w:rsidRPr="00791780">
        <w:rPr>
          <w:rStyle w:val="AERtextitalic"/>
        </w:rPr>
        <w:t>Transitional revenue proposal</w:t>
      </w:r>
      <w:r>
        <w:rPr>
          <w:rStyle w:val="AERtextitalic"/>
        </w:rPr>
        <w:t>, Regulatory control period 1 July 2014–30 June 2015</w:t>
      </w:r>
      <w:r>
        <w:t xml:space="preserve">, January 2014, p. 21; </w:t>
      </w:r>
      <w:r w:rsidRPr="00E42D6F">
        <w:t xml:space="preserve">AER, Transmission network service provider performance </w:t>
      </w:r>
      <w:r>
        <w:t>report 2010-11, July 2013, p. 29.</w:t>
      </w:r>
    </w:p>
  </w:footnote>
  <w:footnote w:id="29">
    <w:p w:rsidR="00DA7A13" w:rsidRDefault="00DA7A13">
      <w:pPr>
        <w:pStyle w:val="FootnoteText"/>
      </w:pPr>
      <w:r>
        <w:rPr>
          <w:rStyle w:val="FootnoteReference"/>
        </w:rPr>
        <w:footnoteRef/>
      </w:r>
      <w:r>
        <w:t xml:space="preserve"> </w:t>
      </w:r>
      <w:r>
        <w:tab/>
        <w:t xml:space="preserve">Directlink, </w:t>
      </w:r>
      <w:r w:rsidRPr="006A5AD2">
        <w:rPr>
          <w:rStyle w:val="AERtextitalic"/>
        </w:rPr>
        <w:t>Revenue proposal</w:t>
      </w:r>
      <w:r>
        <w:t>, pp.7-9</w:t>
      </w:r>
    </w:p>
  </w:footnote>
  <w:footnote w:id="30">
    <w:p w:rsidR="00DA7A13" w:rsidRDefault="00DA7A13" w:rsidP="00544F99">
      <w:pPr>
        <w:pStyle w:val="FootnoteText"/>
      </w:pPr>
      <w:r>
        <w:rPr>
          <w:rStyle w:val="FootnoteReference"/>
        </w:rPr>
        <w:footnoteRef/>
      </w:r>
      <w:r>
        <w:t xml:space="preserve"> </w:t>
      </w:r>
      <w:r>
        <w:tab/>
      </w:r>
      <w:hyperlink r:id="rId3" w:history="1">
        <w:r w:rsidRPr="00375B9D">
          <w:rPr>
            <w:rStyle w:val="Hyperlink"/>
          </w:rPr>
          <w:t>www.aemc.gov.au/Australias-Energy-Market/Market-Legislation/Relevant-Legislation-Electricity</w:t>
        </w:r>
      </w:hyperlink>
      <w:r>
        <w:t xml:space="preserve"> </w:t>
      </w:r>
    </w:p>
  </w:footnote>
  <w:footnote w:id="31">
    <w:p w:rsidR="00DA7A13" w:rsidRDefault="00DA7A13" w:rsidP="00544F99">
      <w:pPr>
        <w:pStyle w:val="FootnoteText"/>
      </w:pPr>
      <w:r>
        <w:rPr>
          <w:rStyle w:val="FootnoteReference"/>
        </w:rPr>
        <w:footnoteRef/>
      </w:r>
      <w:r>
        <w:t xml:space="preserve"> </w:t>
      </w:r>
      <w:r>
        <w:tab/>
        <w:t xml:space="preserve">See our website for our assessment of the Consumer Reference Group:  </w:t>
      </w:r>
      <w:hyperlink r:id="rId4" w:history="1">
        <w:r w:rsidRPr="00375B9D">
          <w:rPr>
            <w:rStyle w:val="Hyperlink"/>
          </w:rPr>
          <w:t>www.aer.gov.au/node/19166</w:t>
        </w:r>
      </w:hyperlink>
      <w:r>
        <w:t xml:space="preserve"> </w:t>
      </w:r>
    </w:p>
  </w:footnote>
  <w:footnote w:id="32">
    <w:p w:rsidR="00DA7A13" w:rsidRDefault="00DA7A13" w:rsidP="00544F99">
      <w:pPr>
        <w:pStyle w:val="FootnoteText"/>
      </w:pPr>
      <w:r>
        <w:rPr>
          <w:rStyle w:val="FootnoteReference"/>
        </w:rPr>
        <w:footnoteRef/>
      </w:r>
      <w:r>
        <w:t xml:space="preserve"> </w:t>
      </w:r>
      <w:r>
        <w:tab/>
      </w:r>
      <w:hyperlink r:id="rId5" w:history="1">
        <w:r w:rsidRPr="00375B9D">
          <w:rPr>
            <w:rStyle w:val="Hyperlink"/>
          </w:rPr>
          <w:t>www.aer.gov.au/node/11482</w:t>
        </w:r>
      </w:hyperlink>
    </w:p>
  </w:footnote>
  <w:footnote w:id="33">
    <w:p w:rsidR="00DA7A13" w:rsidRDefault="00DA7A13" w:rsidP="004F5E70">
      <w:pPr>
        <w:pStyle w:val="FootnoteText"/>
      </w:pPr>
      <w:r>
        <w:rPr>
          <w:rStyle w:val="FootnoteReference"/>
        </w:rPr>
        <w:footnoteRef/>
      </w:r>
      <w:r>
        <w:t xml:space="preserve"> </w:t>
      </w:r>
      <w:r>
        <w:tab/>
        <w:t>NEL, s. 16(1)(c).</w:t>
      </w:r>
    </w:p>
  </w:footnote>
  <w:footnote w:id="34">
    <w:p w:rsidR="00DA7A13" w:rsidRDefault="00DA7A13">
      <w:pPr>
        <w:pStyle w:val="FootnoteText"/>
      </w:pPr>
      <w:r>
        <w:rPr>
          <w:rStyle w:val="FootnoteReference"/>
        </w:rPr>
        <w:footnoteRef/>
      </w:r>
      <w:r>
        <w:t xml:space="preserve"> </w:t>
      </w:r>
      <w:r>
        <w:tab/>
        <w:t xml:space="preserve">This is based on a five year regulatory control period. TransGrid has proposed a four year regulatory control period which we have to consider in our determination.   </w:t>
      </w:r>
    </w:p>
  </w:footnote>
  <w:footnote w:id="35">
    <w:p w:rsidR="00DA7A13" w:rsidRDefault="00DA7A13">
      <w:pPr>
        <w:pStyle w:val="FootnoteText"/>
      </w:pPr>
      <w:r>
        <w:rPr>
          <w:rStyle w:val="FootnoteReference"/>
        </w:rPr>
        <w:footnoteRef/>
      </w:r>
      <w:r>
        <w:t xml:space="preserve"> </w:t>
      </w:r>
      <w:r>
        <w:tab/>
        <w:t xml:space="preserve">The businesses actual revenue in 2013-14 (2014-15 for Directlink) has been adjusted to reflect any under or over recovery against the approved smoothed revenue allowance, the opex and capex allowances.  Transend and TransGrid's actual revenue also reflects an under-recovery by TasNetworks of $26m and $71m for TransGrid in the current period, respectively. </w:t>
      </w:r>
    </w:p>
  </w:footnote>
  <w:footnote w:id="36">
    <w:p w:rsidR="00DA7A13" w:rsidRDefault="00DA7A13">
      <w:pPr>
        <w:pStyle w:val="FootnoteText"/>
      </w:pPr>
      <w:r>
        <w:rPr>
          <w:rStyle w:val="FootnoteReference"/>
        </w:rPr>
        <w:footnoteRef/>
      </w:r>
      <w:r>
        <w:t xml:space="preserve"> </w:t>
      </w:r>
      <w:r>
        <w:tab/>
        <w:t xml:space="preserve">TransGrid, </w:t>
      </w:r>
      <w:r w:rsidRPr="00107210">
        <w:rPr>
          <w:rStyle w:val="AERtextitalic"/>
        </w:rPr>
        <w:t>Transitional revenue proposal 2014/15</w:t>
      </w:r>
      <w:r>
        <w:t>, January 2014, p.65</w:t>
      </w:r>
    </w:p>
  </w:footnote>
  <w:footnote w:id="37">
    <w:p w:rsidR="00DA7A13" w:rsidRDefault="00DA7A13">
      <w:pPr>
        <w:pStyle w:val="FootnoteText"/>
      </w:pPr>
      <w:r>
        <w:rPr>
          <w:rStyle w:val="FootnoteReference"/>
        </w:rPr>
        <w:footnoteRef/>
      </w:r>
      <w:r>
        <w:t xml:space="preserve"> </w:t>
      </w:r>
      <w:r>
        <w:tab/>
        <w:t>TransGrid</w:t>
      </w:r>
      <w:r w:rsidRPr="0079198F">
        <w:rPr>
          <w:rStyle w:val="AERtextitalic"/>
        </w:rPr>
        <w:t>, Revenue proposal</w:t>
      </w:r>
      <w:r>
        <w:t>, p.4</w:t>
      </w:r>
    </w:p>
  </w:footnote>
  <w:footnote w:id="38">
    <w:p w:rsidR="00DA7A13" w:rsidRDefault="00DA7A13" w:rsidP="007E7CFC">
      <w:pPr>
        <w:pStyle w:val="FootnoteText"/>
      </w:pPr>
      <w:r>
        <w:rPr>
          <w:rStyle w:val="FootnoteReference"/>
        </w:rPr>
        <w:footnoteRef/>
      </w:r>
      <w:r>
        <w:t xml:space="preserve"> </w:t>
      </w:r>
      <w:r>
        <w:tab/>
        <w:t xml:space="preserve">TransGrid, </w:t>
      </w:r>
      <w:r w:rsidRPr="0079198F">
        <w:rPr>
          <w:rStyle w:val="AERtextitalic"/>
        </w:rPr>
        <w:t>Revenue proposal</w:t>
      </w:r>
      <w:r>
        <w:t>, p7</w:t>
      </w:r>
    </w:p>
  </w:footnote>
  <w:footnote w:id="39">
    <w:p w:rsidR="00DA7A13" w:rsidRDefault="00DA7A13" w:rsidP="00F60F1F">
      <w:pPr>
        <w:pStyle w:val="FootnoteText"/>
      </w:pPr>
      <w:r>
        <w:rPr>
          <w:rStyle w:val="FootnoteReference"/>
        </w:rPr>
        <w:footnoteRef/>
      </w:r>
      <w:r>
        <w:t xml:space="preserve"> </w:t>
      </w:r>
      <w:r>
        <w:tab/>
        <w:t xml:space="preserve">TransGrid, </w:t>
      </w:r>
      <w:r w:rsidRPr="0079198F">
        <w:rPr>
          <w:rStyle w:val="AERtextitalic"/>
        </w:rPr>
        <w:t>Revenue</w:t>
      </w:r>
      <w:r w:rsidRPr="00902CD2">
        <w:rPr>
          <w:rStyle w:val="AERtextitalic"/>
        </w:rPr>
        <w:t xml:space="preserve"> proposal</w:t>
      </w:r>
      <w:r>
        <w:t>, pp. 136-137</w:t>
      </w:r>
    </w:p>
  </w:footnote>
  <w:footnote w:id="40">
    <w:p w:rsidR="00DA7A13" w:rsidRPr="00BC24D7" w:rsidRDefault="00DA7A13" w:rsidP="007E7CFC">
      <w:pPr>
        <w:pStyle w:val="FootnoteText"/>
        <w:rPr>
          <w:rStyle w:val="AERtextitalic"/>
        </w:rPr>
      </w:pPr>
      <w:r>
        <w:rPr>
          <w:rStyle w:val="FootnoteReference"/>
        </w:rPr>
        <w:footnoteRef/>
      </w:r>
      <w:r>
        <w:t xml:space="preserve"> </w:t>
      </w:r>
      <w:r>
        <w:tab/>
        <w:t xml:space="preserve">TransGrid, </w:t>
      </w:r>
      <w:r w:rsidRPr="00BC24D7">
        <w:rPr>
          <w:rStyle w:val="AERtextitalic"/>
        </w:rPr>
        <w:t xml:space="preserve">Revenue proposal p. 81-83 </w:t>
      </w:r>
    </w:p>
  </w:footnote>
  <w:footnote w:id="41">
    <w:p w:rsidR="00DA7A13" w:rsidRDefault="00DA7A13" w:rsidP="007E7CFC">
      <w:pPr>
        <w:pStyle w:val="FootnoteText"/>
      </w:pPr>
      <w:r w:rsidRPr="00BC24D7">
        <w:rPr>
          <w:rStyle w:val="AERtextitalic"/>
        </w:rPr>
        <w:footnoteRef/>
      </w:r>
      <w:r w:rsidRPr="00BC24D7">
        <w:rPr>
          <w:rStyle w:val="AERtextitalic"/>
        </w:rPr>
        <w:t xml:space="preserve"> </w:t>
      </w:r>
      <w:r w:rsidRPr="00BC24D7">
        <w:rPr>
          <w:rStyle w:val="AERtextitalic"/>
        </w:rPr>
        <w:tab/>
        <w:t>Transend, Revenue proposal</w:t>
      </w:r>
      <w:r>
        <w:t xml:space="preserve"> p. 78; TransGrid, </w:t>
      </w:r>
      <w:r w:rsidRPr="00BC24D7">
        <w:rPr>
          <w:rStyle w:val="AERtextitalic"/>
        </w:rPr>
        <w:t>Revenue proposal</w:t>
      </w:r>
      <w:r>
        <w:rPr>
          <w:rStyle w:val="AERtextitalic"/>
        </w:rPr>
        <w:t>,</w:t>
      </w:r>
      <w:r>
        <w:t xml:space="preserve"> p. 66 </w:t>
      </w:r>
    </w:p>
  </w:footnote>
  <w:footnote w:id="42">
    <w:p w:rsidR="00DA7A13" w:rsidRDefault="00DA7A13">
      <w:pPr>
        <w:pStyle w:val="FootnoteText"/>
      </w:pPr>
      <w:r>
        <w:rPr>
          <w:rStyle w:val="FootnoteReference"/>
        </w:rPr>
        <w:footnoteRef/>
      </w:r>
      <w:r>
        <w:t xml:space="preserve"> </w:t>
      </w:r>
      <w:r>
        <w:tab/>
        <w:t xml:space="preserve">Transend, </w:t>
      </w:r>
      <w:r w:rsidRPr="00BC4552">
        <w:rPr>
          <w:rStyle w:val="AERtextitalic"/>
        </w:rPr>
        <w:t>Revenue proposal</w:t>
      </w:r>
      <w:r>
        <w:t>, appendix 12 and appendix 13</w:t>
      </w:r>
    </w:p>
  </w:footnote>
  <w:footnote w:id="43">
    <w:p w:rsidR="00DA7A13" w:rsidRDefault="00DA7A13" w:rsidP="004A1054">
      <w:pPr>
        <w:pStyle w:val="FootnoteText"/>
        <w:tabs>
          <w:tab w:val="left" w:pos="3195"/>
        </w:tabs>
      </w:pPr>
      <w:r>
        <w:rPr>
          <w:rStyle w:val="FootnoteReference"/>
        </w:rPr>
        <w:footnoteRef/>
      </w:r>
      <w:r>
        <w:t xml:space="preserve"> </w:t>
      </w:r>
      <w:r>
        <w:tab/>
        <w:t>NER, cl. 6A.6.6(c).</w:t>
      </w:r>
      <w:r>
        <w:tab/>
      </w:r>
    </w:p>
  </w:footnote>
  <w:footnote w:id="44">
    <w:p w:rsidR="00DA7A13" w:rsidRDefault="00DA7A13" w:rsidP="004A1054">
      <w:pPr>
        <w:pStyle w:val="FootnoteText"/>
      </w:pPr>
      <w:r>
        <w:rPr>
          <w:rStyle w:val="FootnoteReference"/>
        </w:rPr>
        <w:footnoteRef/>
      </w:r>
      <w:r>
        <w:t xml:space="preserve"> </w:t>
      </w:r>
      <w:r>
        <w:tab/>
        <w:t>NER, cl. 6A.6.6(e).</w:t>
      </w:r>
    </w:p>
  </w:footnote>
  <w:footnote w:id="45">
    <w:p w:rsidR="00DA7A13" w:rsidRDefault="00DA7A13" w:rsidP="004A1054">
      <w:pPr>
        <w:pStyle w:val="FootnoteText"/>
      </w:pPr>
      <w:r>
        <w:rPr>
          <w:rStyle w:val="FootnoteReference"/>
        </w:rPr>
        <w:footnoteRef/>
      </w:r>
      <w:r>
        <w:t xml:space="preserve"> </w:t>
      </w:r>
      <w:r>
        <w:tab/>
        <w:t>NER, cl. 6A.6.6(d).</w:t>
      </w:r>
    </w:p>
  </w:footnote>
  <w:footnote w:id="46">
    <w:p w:rsidR="00DA7A13" w:rsidRPr="00893B0D" w:rsidRDefault="00DA7A13" w:rsidP="004A1054">
      <w:pPr>
        <w:pStyle w:val="FootnoteText"/>
        <w:rPr>
          <w:rStyle w:val="AERtextitalic"/>
          <w:i w:val="0"/>
        </w:rPr>
      </w:pPr>
      <w:r>
        <w:rPr>
          <w:rStyle w:val="FootnoteReference"/>
        </w:rPr>
        <w:footnoteRef/>
      </w:r>
      <w:r>
        <w:t xml:space="preserve"> </w:t>
      </w:r>
      <w:r>
        <w:tab/>
        <w:t xml:space="preserve">AER, </w:t>
      </w:r>
      <w:r w:rsidRPr="00893B0D">
        <w:rPr>
          <w:rStyle w:val="AERtextitalic"/>
        </w:rPr>
        <w:t>Electricity Transmission network service providers - Efficiency Benefit Sharing Scheme</w:t>
      </w:r>
      <w:r>
        <w:rPr>
          <w:rStyle w:val="AERtextitalic"/>
          <w:i w:val="0"/>
        </w:rPr>
        <w:t>, September 2007</w:t>
      </w:r>
    </w:p>
  </w:footnote>
  <w:footnote w:id="47">
    <w:p w:rsidR="00DA7A13" w:rsidRDefault="00DA7A13" w:rsidP="00473449">
      <w:pPr>
        <w:pStyle w:val="FootnoteText"/>
      </w:pPr>
      <w:r>
        <w:rPr>
          <w:rStyle w:val="FootnoteReference"/>
        </w:rPr>
        <w:footnoteRef/>
      </w:r>
      <w:r>
        <w:t xml:space="preserve"> </w:t>
      </w:r>
      <w:r>
        <w:tab/>
        <w:t xml:space="preserve">TransGrid, </w:t>
      </w:r>
      <w:r>
        <w:rPr>
          <w:rStyle w:val="AERtextitalic"/>
        </w:rPr>
        <w:t>Revenue</w:t>
      </w:r>
      <w:r w:rsidRPr="00C314B4">
        <w:rPr>
          <w:rStyle w:val="AERtextitalic"/>
        </w:rPr>
        <w:t xml:space="preserve"> proposal</w:t>
      </w:r>
      <w:r>
        <w:t>, p. 118, p. 156</w:t>
      </w:r>
    </w:p>
  </w:footnote>
  <w:footnote w:id="48">
    <w:p w:rsidR="00DA7A13" w:rsidRDefault="00DA7A13" w:rsidP="00473449">
      <w:pPr>
        <w:pStyle w:val="FootnoteText"/>
      </w:pPr>
      <w:r>
        <w:rPr>
          <w:rStyle w:val="FootnoteReference"/>
        </w:rPr>
        <w:footnoteRef/>
      </w:r>
      <w:r>
        <w:t xml:space="preserve"> </w:t>
      </w:r>
      <w:r>
        <w:tab/>
        <w:t xml:space="preserve">TransGrid, </w:t>
      </w:r>
      <w:r>
        <w:rPr>
          <w:rStyle w:val="AERtextitalic"/>
        </w:rPr>
        <w:t>Revenue</w:t>
      </w:r>
      <w:r w:rsidRPr="00C314B4">
        <w:rPr>
          <w:rStyle w:val="AERtextitalic"/>
        </w:rPr>
        <w:t xml:space="preserve"> proposal</w:t>
      </w:r>
      <w:r>
        <w:t xml:space="preserve">, p. 139 </w:t>
      </w:r>
    </w:p>
  </w:footnote>
  <w:footnote w:id="49">
    <w:p w:rsidR="00DA7A13" w:rsidRDefault="00DA7A13" w:rsidP="00473449">
      <w:pPr>
        <w:pStyle w:val="FootnoteText"/>
      </w:pPr>
      <w:r>
        <w:rPr>
          <w:rStyle w:val="FootnoteReference"/>
        </w:rPr>
        <w:footnoteRef/>
      </w:r>
      <w:r>
        <w:t xml:space="preserve"> </w:t>
      </w:r>
      <w:r>
        <w:tab/>
        <w:t xml:space="preserve">TransGrid, </w:t>
      </w:r>
      <w:r>
        <w:rPr>
          <w:rStyle w:val="AERtextitalic"/>
        </w:rPr>
        <w:t>Revenue</w:t>
      </w:r>
      <w:r w:rsidRPr="00C314B4">
        <w:rPr>
          <w:rStyle w:val="AERtextitalic"/>
        </w:rPr>
        <w:t xml:space="preserve"> proposal</w:t>
      </w:r>
      <w:r>
        <w:t>, pp. 126-129</w:t>
      </w:r>
    </w:p>
  </w:footnote>
  <w:footnote w:id="50">
    <w:p w:rsidR="00DA7A13" w:rsidRDefault="00DA7A13" w:rsidP="00473449">
      <w:pPr>
        <w:pStyle w:val="FootnoteText"/>
      </w:pPr>
      <w:r>
        <w:rPr>
          <w:rStyle w:val="FootnoteReference"/>
        </w:rPr>
        <w:footnoteRef/>
      </w:r>
      <w:r>
        <w:t xml:space="preserve"> </w:t>
      </w:r>
      <w:r>
        <w:tab/>
        <w:t xml:space="preserve">TransGrid, </w:t>
      </w:r>
      <w:r>
        <w:rPr>
          <w:rStyle w:val="AERtextitalic"/>
        </w:rPr>
        <w:t>Revenue</w:t>
      </w:r>
      <w:r w:rsidRPr="00FA1C04">
        <w:rPr>
          <w:rStyle w:val="AERtextitalic"/>
        </w:rPr>
        <w:t xml:space="preserve"> proposal</w:t>
      </w:r>
      <w:r>
        <w:t>, pp. 136-137</w:t>
      </w:r>
    </w:p>
  </w:footnote>
  <w:footnote w:id="51">
    <w:p w:rsidR="00DA7A13" w:rsidRDefault="00DA7A13" w:rsidP="00473449">
      <w:pPr>
        <w:pStyle w:val="FootnoteText"/>
      </w:pPr>
      <w:r>
        <w:rPr>
          <w:rStyle w:val="FootnoteReference"/>
        </w:rPr>
        <w:footnoteRef/>
      </w:r>
      <w:r>
        <w:t xml:space="preserve"> </w:t>
      </w:r>
      <w:r>
        <w:tab/>
        <w:t>TransGrid RIN, Table 2.14.1</w:t>
      </w:r>
    </w:p>
  </w:footnote>
  <w:footnote w:id="52">
    <w:p w:rsidR="00DA7A13" w:rsidRDefault="00DA7A13" w:rsidP="00473449">
      <w:pPr>
        <w:pStyle w:val="FootnoteText"/>
      </w:pPr>
      <w:r>
        <w:rPr>
          <w:rStyle w:val="FootnoteReference"/>
        </w:rPr>
        <w:footnoteRef/>
      </w:r>
      <w:r>
        <w:t xml:space="preserve"> </w:t>
      </w:r>
      <w:r>
        <w:tab/>
        <w:t>TransGrid, RIN, Table 2.14.1</w:t>
      </w:r>
    </w:p>
  </w:footnote>
  <w:footnote w:id="53">
    <w:p w:rsidR="00DA7A13" w:rsidRDefault="00DA7A13" w:rsidP="004A1054">
      <w:pPr>
        <w:pStyle w:val="FootnoteText"/>
      </w:pPr>
      <w:r>
        <w:rPr>
          <w:rStyle w:val="FootnoteReference"/>
        </w:rPr>
        <w:footnoteRef/>
      </w:r>
      <w:r>
        <w:t xml:space="preserve"> </w:t>
      </w:r>
      <w:r>
        <w:tab/>
        <w:t xml:space="preserve">Transend, </w:t>
      </w:r>
      <w:r>
        <w:rPr>
          <w:rStyle w:val="AERtextitalic"/>
        </w:rPr>
        <w:t>Revenue</w:t>
      </w:r>
      <w:r w:rsidRPr="00FA1C04">
        <w:rPr>
          <w:rStyle w:val="AERtextitalic"/>
        </w:rPr>
        <w:t xml:space="preserve"> proposal</w:t>
      </w:r>
      <w:r>
        <w:t>, pp. 86-87</w:t>
      </w:r>
    </w:p>
  </w:footnote>
  <w:footnote w:id="54">
    <w:p w:rsidR="00DA7A13" w:rsidRDefault="00DA7A13" w:rsidP="004A1054">
      <w:pPr>
        <w:pStyle w:val="FootnoteText"/>
      </w:pPr>
      <w:r>
        <w:rPr>
          <w:rStyle w:val="FootnoteReference"/>
        </w:rPr>
        <w:footnoteRef/>
      </w:r>
      <w:r>
        <w:t xml:space="preserve"> </w:t>
      </w:r>
      <w:r>
        <w:tab/>
        <w:t xml:space="preserve">Transend, </w:t>
      </w:r>
      <w:r w:rsidRPr="00FA1C04">
        <w:rPr>
          <w:rStyle w:val="AERtextitalic"/>
        </w:rPr>
        <w:t>Regulatory proposal</w:t>
      </w:r>
      <w:r>
        <w:t>, p. 86</w:t>
      </w:r>
    </w:p>
  </w:footnote>
  <w:footnote w:id="55">
    <w:p w:rsidR="00DA7A13" w:rsidRDefault="00DA7A13" w:rsidP="004A1054">
      <w:pPr>
        <w:pStyle w:val="FootnoteText"/>
      </w:pPr>
      <w:r>
        <w:rPr>
          <w:rStyle w:val="FootnoteReference"/>
        </w:rPr>
        <w:footnoteRef/>
      </w:r>
      <w:r>
        <w:t xml:space="preserve"> </w:t>
      </w:r>
      <w:r>
        <w:tab/>
        <w:t xml:space="preserve">Transend, </w:t>
      </w:r>
      <w:r w:rsidRPr="00FA1C04">
        <w:rPr>
          <w:rStyle w:val="AERtextitalic"/>
        </w:rPr>
        <w:t>Regulatory proposal</w:t>
      </w:r>
      <w:r>
        <w:t>, pp. 84-85</w:t>
      </w:r>
    </w:p>
  </w:footnote>
  <w:footnote w:id="56">
    <w:p w:rsidR="00DA7A13" w:rsidRDefault="00DA7A13" w:rsidP="004A1054">
      <w:pPr>
        <w:pStyle w:val="FootnoteText"/>
      </w:pPr>
      <w:r>
        <w:rPr>
          <w:rStyle w:val="FootnoteReference"/>
        </w:rPr>
        <w:footnoteRef/>
      </w:r>
      <w:r>
        <w:t xml:space="preserve"> </w:t>
      </w:r>
      <w:r>
        <w:tab/>
        <w:t>Directlink, Revenue proposal, p. 62</w:t>
      </w:r>
    </w:p>
  </w:footnote>
  <w:footnote w:id="57">
    <w:p w:rsidR="00DA7A13" w:rsidRDefault="00DA7A13" w:rsidP="004A1054">
      <w:pPr>
        <w:pStyle w:val="FootnoteText"/>
      </w:pPr>
      <w:r>
        <w:rPr>
          <w:rStyle w:val="FootnoteReference"/>
        </w:rPr>
        <w:footnoteRef/>
      </w:r>
      <w:r>
        <w:t xml:space="preserve"> </w:t>
      </w:r>
      <w:r>
        <w:tab/>
        <w:t xml:space="preserve">Directlink, </w:t>
      </w:r>
      <w:r w:rsidRPr="00CA566B">
        <w:rPr>
          <w:rStyle w:val="AERtextitalic"/>
        </w:rPr>
        <w:t>Revenue proposal</w:t>
      </w:r>
      <w:r>
        <w:t>, pp. 62–63</w:t>
      </w:r>
    </w:p>
  </w:footnote>
  <w:footnote w:id="58">
    <w:p w:rsidR="00DA7A13" w:rsidRDefault="00DA7A13" w:rsidP="00CA566B">
      <w:pPr>
        <w:pStyle w:val="FootnoteText"/>
        <w:ind w:left="0" w:firstLine="0"/>
      </w:pPr>
      <w:r>
        <w:rPr>
          <w:rStyle w:val="FootnoteReference"/>
        </w:rPr>
        <w:footnoteRef/>
      </w:r>
      <w:r>
        <w:t xml:space="preserve"> </w:t>
      </w:r>
      <w:r>
        <w:tab/>
        <w:t xml:space="preserve">Directlink, </w:t>
      </w:r>
      <w:r w:rsidRPr="00CA566B">
        <w:rPr>
          <w:rStyle w:val="AERtextitalic"/>
        </w:rPr>
        <w:t>Revenue proposal</w:t>
      </w:r>
      <w:r>
        <w:t>, p. 19</w:t>
      </w:r>
    </w:p>
  </w:footnote>
  <w:footnote w:id="59">
    <w:p w:rsidR="00DA7A13" w:rsidRDefault="00DA7A13" w:rsidP="004A1054">
      <w:pPr>
        <w:pStyle w:val="FootnoteText"/>
      </w:pPr>
      <w:r>
        <w:rPr>
          <w:rStyle w:val="FootnoteReference"/>
        </w:rPr>
        <w:footnoteRef/>
      </w:r>
      <w:r>
        <w:t xml:space="preserve"> </w:t>
      </w:r>
      <w:r>
        <w:tab/>
        <w:t xml:space="preserve">Directlink, </w:t>
      </w:r>
      <w:r w:rsidRPr="00CA566B">
        <w:rPr>
          <w:rStyle w:val="AERtextitalic"/>
        </w:rPr>
        <w:t>Revenue proposal</w:t>
      </w:r>
      <w:r>
        <w:t>, pp. 73–74</w:t>
      </w:r>
    </w:p>
  </w:footnote>
  <w:footnote w:id="60">
    <w:p w:rsidR="00DA7A13" w:rsidRDefault="00DA7A13" w:rsidP="004A1054">
      <w:pPr>
        <w:pStyle w:val="FootnoteText"/>
      </w:pPr>
      <w:r>
        <w:rPr>
          <w:rStyle w:val="FootnoteReference"/>
        </w:rPr>
        <w:footnoteRef/>
      </w:r>
      <w:r>
        <w:t xml:space="preserve"> </w:t>
      </w:r>
      <w:r>
        <w:tab/>
        <w:t xml:space="preserve">Directlink, </w:t>
      </w:r>
      <w:r w:rsidRPr="00CA566B">
        <w:rPr>
          <w:rStyle w:val="AERtextitalic"/>
        </w:rPr>
        <w:t>Revenue proposal</w:t>
      </w:r>
      <w:r>
        <w:t>, p. 73</w:t>
      </w:r>
    </w:p>
  </w:footnote>
  <w:footnote w:id="61">
    <w:p w:rsidR="00DA7A13" w:rsidRDefault="00DA7A13" w:rsidP="005138BA">
      <w:pPr>
        <w:pStyle w:val="FootnoteText"/>
      </w:pPr>
      <w:r>
        <w:rPr>
          <w:rStyle w:val="FootnoteReference"/>
        </w:rPr>
        <w:footnoteRef/>
      </w:r>
      <w:r>
        <w:t xml:space="preserve"> </w:t>
      </w:r>
      <w:r>
        <w:tab/>
        <w:t>AER, Final decision - SP AusNet transmission determination 2014–15 to 2016–17, January 2014, p. 54.</w:t>
      </w:r>
    </w:p>
  </w:footnote>
  <w:footnote w:id="62">
    <w:p w:rsidR="00DA7A13" w:rsidRDefault="00DA7A13" w:rsidP="00A32CA3">
      <w:pPr>
        <w:pStyle w:val="FootnoteText"/>
      </w:pPr>
      <w:r>
        <w:rPr>
          <w:rStyle w:val="FootnoteReference"/>
        </w:rPr>
        <w:footnoteRef/>
      </w:r>
      <w:r>
        <w:t xml:space="preserve"> </w:t>
      </w:r>
      <w:r>
        <w:tab/>
        <w:t xml:space="preserve">AER, </w:t>
      </w:r>
      <w:r w:rsidRPr="00044971">
        <w:rPr>
          <w:rStyle w:val="AERtextitalic"/>
        </w:rPr>
        <w:t>Rate of return guideline</w:t>
      </w:r>
      <w:r>
        <w:t>, December 2013.</w:t>
      </w:r>
    </w:p>
  </w:footnote>
  <w:footnote w:id="63">
    <w:p w:rsidR="00DA7A13" w:rsidRPr="002A6A39" w:rsidRDefault="00DA7A13" w:rsidP="00A32CA3">
      <w:pPr>
        <w:pStyle w:val="FootnoteText"/>
        <w:rPr>
          <w:lang w:val="en-US"/>
        </w:rPr>
      </w:pPr>
      <w:r>
        <w:rPr>
          <w:rStyle w:val="FootnoteReference"/>
        </w:rPr>
        <w:footnoteRef/>
      </w:r>
      <w:r>
        <w:t xml:space="preserve"> </w:t>
      </w:r>
      <w:r>
        <w:tab/>
      </w:r>
      <w:r>
        <w:rPr>
          <w:lang w:val="en-US"/>
        </w:rPr>
        <w:t>Directlink</w:t>
      </w:r>
      <w:r>
        <w:t>,</w:t>
      </w:r>
      <w:r>
        <w:rPr>
          <w:lang w:val="en-US"/>
        </w:rPr>
        <w:t xml:space="preserve"> </w:t>
      </w:r>
      <w:r w:rsidRPr="00722F76">
        <w:rPr>
          <w:rStyle w:val="AERtextitalic"/>
        </w:rPr>
        <w:t>Revenue proposal</w:t>
      </w:r>
      <w:r>
        <w:t>,</w:t>
      </w:r>
      <w:r>
        <w:rPr>
          <w:lang w:val="en-US"/>
        </w:rPr>
        <w:t xml:space="preserve"> pp</w:t>
      </w:r>
      <w:r>
        <w:t>.</w:t>
      </w:r>
      <w:r>
        <w:rPr>
          <w:lang w:val="en-US"/>
        </w:rPr>
        <w:t>35-36</w:t>
      </w:r>
    </w:p>
  </w:footnote>
  <w:footnote w:id="64">
    <w:p w:rsidR="00DA7A13" w:rsidRPr="002A6A39" w:rsidRDefault="00DA7A13" w:rsidP="00A32CA3">
      <w:pPr>
        <w:pStyle w:val="FootnoteText"/>
        <w:rPr>
          <w:lang w:val="en-US"/>
        </w:rPr>
      </w:pPr>
      <w:r>
        <w:rPr>
          <w:rStyle w:val="FootnoteReference"/>
        </w:rPr>
        <w:footnoteRef/>
      </w:r>
      <w:r>
        <w:t xml:space="preserve"> </w:t>
      </w:r>
      <w:r>
        <w:rPr>
          <w:lang w:val="en-US"/>
        </w:rPr>
        <w:tab/>
        <w:t>T</w:t>
      </w:r>
      <w:r>
        <w:t>ransend,</w:t>
      </w:r>
      <w:r>
        <w:rPr>
          <w:lang w:val="en-US"/>
        </w:rPr>
        <w:t xml:space="preserve"> </w:t>
      </w:r>
      <w:r w:rsidRPr="00722F76">
        <w:rPr>
          <w:rStyle w:val="AERtextitalic"/>
        </w:rPr>
        <w:t>Revenue proposal</w:t>
      </w:r>
      <w:r>
        <w:t>,</w:t>
      </w:r>
      <w:r>
        <w:rPr>
          <w:lang w:val="en-US"/>
        </w:rPr>
        <w:t xml:space="preserve"> p</w:t>
      </w:r>
      <w:r>
        <w:t>.</w:t>
      </w:r>
      <w:r>
        <w:rPr>
          <w:lang w:val="en-US"/>
        </w:rPr>
        <w:t xml:space="preserve">107 </w:t>
      </w:r>
    </w:p>
  </w:footnote>
  <w:footnote w:id="65">
    <w:p w:rsidR="00DA7A13" w:rsidRPr="002A6A39" w:rsidRDefault="00DA7A13" w:rsidP="00A32CA3">
      <w:pPr>
        <w:pStyle w:val="FootnoteText"/>
        <w:rPr>
          <w:lang w:val="en-US"/>
        </w:rPr>
      </w:pPr>
      <w:r>
        <w:rPr>
          <w:rStyle w:val="FootnoteReference"/>
        </w:rPr>
        <w:footnoteRef/>
      </w:r>
      <w:r>
        <w:t xml:space="preserve"> </w:t>
      </w:r>
      <w:r>
        <w:rPr>
          <w:lang w:val="en-US"/>
        </w:rPr>
        <w:tab/>
        <w:t>T</w:t>
      </w:r>
      <w:r>
        <w:t>ransend,</w:t>
      </w:r>
      <w:r>
        <w:rPr>
          <w:lang w:val="en-US"/>
        </w:rPr>
        <w:t xml:space="preserve"> </w:t>
      </w:r>
      <w:r w:rsidRPr="00722F76">
        <w:rPr>
          <w:rStyle w:val="AERtextitalic"/>
        </w:rPr>
        <w:t>Revenue proposal</w:t>
      </w:r>
      <w:r>
        <w:t>,</w:t>
      </w:r>
      <w:r>
        <w:rPr>
          <w:lang w:val="en-US"/>
        </w:rPr>
        <w:t xml:space="preserve"> p</w:t>
      </w:r>
      <w:r>
        <w:t>.</w:t>
      </w:r>
      <w:r>
        <w:rPr>
          <w:lang w:val="en-US"/>
        </w:rPr>
        <w:t>10</w:t>
      </w:r>
    </w:p>
  </w:footnote>
  <w:footnote w:id="66">
    <w:p w:rsidR="00DA7A13" w:rsidRPr="002A6A39" w:rsidRDefault="00DA7A13" w:rsidP="00A32CA3">
      <w:pPr>
        <w:pStyle w:val="FootnoteText"/>
        <w:rPr>
          <w:lang w:val="en-US"/>
        </w:rPr>
      </w:pPr>
      <w:r>
        <w:rPr>
          <w:rStyle w:val="FootnoteReference"/>
        </w:rPr>
        <w:footnoteRef/>
      </w:r>
      <w:r>
        <w:t xml:space="preserve"> </w:t>
      </w:r>
      <w:r>
        <w:rPr>
          <w:lang w:val="en-US"/>
        </w:rPr>
        <w:tab/>
        <w:t>Transgrid</w:t>
      </w:r>
      <w:r>
        <w:t>,</w:t>
      </w:r>
      <w:r>
        <w:rPr>
          <w:lang w:val="en-US"/>
        </w:rPr>
        <w:t xml:space="preserve"> </w:t>
      </w:r>
      <w:r w:rsidRPr="00722F76">
        <w:rPr>
          <w:rStyle w:val="AERtextitalic"/>
        </w:rPr>
        <w:t>Revenue proposal</w:t>
      </w:r>
      <w:r>
        <w:t>,</w:t>
      </w:r>
      <w:r>
        <w:rPr>
          <w:lang w:val="en-US"/>
        </w:rPr>
        <w:t xml:space="preserve"> pp</w:t>
      </w:r>
      <w:r>
        <w:t>.</w:t>
      </w:r>
      <w:r>
        <w:rPr>
          <w:lang w:val="en-US"/>
        </w:rPr>
        <w:t>186-187</w:t>
      </w:r>
    </w:p>
  </w:footnote>
  <w:footnote w:id="67">
    <w:p w:rsidR="00DA7A13" w:rsidRPr="002A6A39" w:rsidRDefault="00DA7A13" w:rsidP="00A32CA3">
      <w:pPr>
        <w:pStyle w:val="FootnoteText"/>
        <w:rPr>
          <w:lang w:val="en-US"/>
        </w:rPr>
      </w:pPr>
      <w:r>
        <w:rPr>
          <w:rStyle w:val="FootnoteReference"/>
        </w:rPr>
        <w:footnoteRef/>
      </w:r>
      <w:r>
        <w:t xml:space="preserve"> </w:t>
      </w:r>
      <w:r>
        <w:rPr>
          <w:lang w:val="en-US"/>
        </w:rPr>
        <w:tab/>
      </w:r>
      <w:r w:rsidRPr="009D60EF">
        <w:t>Tran</w:t>
      </w:r>
      <w:r>
        <w:t xml:space="preserve">sgrid, </w:t>
      </w:r>
      <w:r w:rsidRPr="00722F76">
        <w:rPr>
          <w:rStyle w:val="AERtextitalic"/>
        </w:rPr>
        <w:t>Revenue proposal</w:t>
      </w:r>
      <w:r>
        <w:t>, pp.186-187</w:t>
      </w:r>
    </w:p>
  </w:footnote>
  <w:footnote w:id="68">
    <w:p w:rsidR="00DA7A13" w:rsidRPr="002A6A39" w:rsidRDefault="00DA7A13" w:rsidP="00A32CA3">
      <w:pPr>
        <w:pStyle w:val="FootnoteText"/>
        <w:rPr>
          <w:lang w:val="en-US"/>
        </w:rPr>
      </w:pPr>
      <w:r>
        <w:rPr>
          <w:rStyle w:val="FootnoteReference"/>
        </w:rPr>
        <w:footnoteRef/>
      </w:r>
      <w:r>
        <w:t xml:space="preserve"> </w:t>
      </w:r>
      <w:r>
        <w:rPr>
          <w:lang w:val="en-US"/>
        </w:rPr>
        <w:tab/>
        <w:t>Transgrid</w:t>
      </w:r>
      <w:r>
        <w:t>,</w:t>
      </w:r>
      <w:r>
        <w:rPr>
          <w:lang w:val="en-US"/>
        </w:rPr>
        <w:t xml:space="preserve"> </w:t>
      </w:r>
      <w:r w:rsidRPr="008339E4">
        <w:rPr>
          <w:rStyle w:val="AERtextitalic"/>
        </w:rPr>
        <w:t>Revenue proposal</w:t>
      </w:r>
      <w:r>
        <w:t>,</w:t>
      </w:r>
      <w:r>
        <w:rPr>
          <w:lang w:val="en-US"/>
        </w:rPr>
        <w:t xml:space="preserve"> p</w:t>
      </w:r>
      <w:r>
        <w:t>.</w:t>
      </w:r>
      <w:r>
        <w:rPr>
          <w:lang w:val="en-US"/>
        </w:rPr>
        <w:t>189</w:t>
      </w:r>
    </w:p>
  </w:footnote>
  <w:footnote w:id="69">
    <w:p w:rsidR="00DA7A13" w:rsidRPr="002A6A39" w:rsidRDefault="00DA7A13" w:rsidP="00A32CA3">
      <w:pPr>
        <w:pStyle w:val="FootnoteText"/>
        <w:rPr>
          <w:lang w:val="en-US"/>
        </w:rPr>
      </w:pPr>
      <w:r>
        <w:rPr>
          <w:rStyle w:val="FootnoteReference"/>
        </w:rPr>
        <w:footnoteRef/>
      </w:r>
      <w:r>
        <w:t xml:space="preserve"> </w:t>
      </w:r>
      <w:r>
        <w:rPr>
          <w:lang w:val="en-US"/>
        </w:rPr>
        <w:tab/>
        <w:t>Transgrid</w:t>
      </w:r>
      <w:r>
        <w:t>,</w:t>
      </w:r>
      <w:r>
        <w:rPr>
          <w:lang w:val="en-US"/>
        </w:rPr>
        <w:t xml:space="preserve"> </w:t>
      </w:r>
      <w:r w:rsidRPr="008339E4">
        <w:rPr>
          <w:rStyle w:val="AERtextitalic"/>
        </w:rPr>
        <w:t>Revenue proposal</w:t>
      </w:r>
      <w:r>
        <w:t>,</w:t>
      </w:r>
      <w:r>
        <w:rPr>
          <w:lang w:val="en-US"/>
        </w:rPr>
        <w:t xml:space="preserve"> pp</w:t>
      </w:r>
      <w:r>
        <w:t>.</w:t>
      </w:r>
      <w:r>
        <w:rPr>
          <w:lang w:val="en-US"/>
        </w:rPr>
        <w:t xml:space="preserve">189-190 </w:t>
      </w:r>
    </w:p>
  </w:footnote>
  <w:footnote w:id="70">
    <w:p w:rsidR="00DA7A13" w:rsidRDefault="00DA7A13" w:rsidP="00A32CA3">
      <w:pPr>
        <w:pStyle w:val="FootnoteText"/>
      </w:pPr>
      <w:r>
        <w:rPr>
          <w:rStyle w:val="FootnoteReference"/>
        </w:rPr>
        <w:footnoteRef/>
      </w:r>
      <w:r>
        <w:t xml:space="preserve"> </w:t>
      </w:r>
      <w:r>
        <w:tab/>
        <w:t xml:space="preserve">Transend, </w:t>
      </w:r>
      <w:r w:rsidRPr="008339E4">
        <w:rPr>
          <w:rStyle w:val="AERtextitalic"/>
        </w:rPr>
        <w:t>Revenue proposal</w:t>
      </w:r>
      <w:r>
        <w:t xml:space="preserve">, p. 108; Directlink, </w:t>
      </w:r>
      <w:r w:rsidRPr="008339E4">
        <w:rPr>
          <w:rStyle w:val="AERtextitalic"/>
        </w:rPr>
        <w:t>Revenue proposal</w:t>
      </w:r>
      <w:r w:rsidRPr="00CD2484">
        <w:t xml:space="preserve">, </w:t>
      </w:r>
      <w:r>
        <w:t>p. 36</w:t>
      </w:r>
    </w:p>
  </w:footnote>
  <w:footnote w:id="71">
    <w:p w:rsidR="00DA7A13" w:rsidRDefault="00DA7A13" w:rsidP="00A32CA3">
      <w:pPr>
        <w:pStyle w:val="FootnoteText"/>
      </w:pPr>
      <w:r>
        <w:rPr>
          <w:rStyle w:val="FootnoteReference"/>
        </w:rPr>
        <w:footnoteRef/>
      </w:r>
      <w:r>
        <w:t xml:space="preserve"> </w:t>
      </w:r>
      <w:r>
        <w:tab/>
        <w:t>Directlink,</w:t>
      </w:r>
      <w:r w:rsidRPr="00CD2484">
        <w:t xml:space="preserve"> </w:t>
      </w:r>
      <w:r w:rsidRPr="008339E4">
        <w:rPr>
          <w:rStyle w:val="AERtextitalic"/>
        </w:rPr>
        <w:t>Revenue proposal</w:t>
      </w:r>
      <w:r>
        <w:t>, pp. 36</w:t>
      </w:r>
      <w:r>
        <w:rPr>
          <w:rFonts w:cs="Gautami"/>
        </w:rPr>
        <w:t>–</w:t>
      </w:r>
      <w:r>
        <w:t>37</w:t>
      </w:r>
    </w:p>
  </w:footnote>
  <w:footnote w:id="72">
    <w:p w:rsidR="00DA7A13" w:rsidRDefault="00DA7A13" w:rsidP="00A32CA3">
      <w:pPr>
        <w:pStyle w:val="FootnoteText"/>
      </w:pPr>
      <w:r>
        <w:rPr>
          <w:rStyle w:val="FootnoteReference"/>
        </w:rPr>
        <w:footnoteRef/>
      </w:r>
      <w:r>
        <w:t xml:space="preserve"> </w:t>
      </w:r>
      <w:r>
        <w:tab/>
        <w:t xml:space="preserve">See TransGrid, </w:t>
      </w:r>
      <w:r w:rsidRPr="008339E4">
        <w:rPr>
          <w:rStyle w:val="AERtextitalic"/>
        </w:rPr>
        <w:t>Revenue proposal</w:t>
      </w:r>
      <w:r>
        <w:t>, pp. 175</w:t>
      </w:r>
      <w:r>
        <w:rPr>
          <w:rFonts w:cs="Gautami"/>
        </w:rPr>
        <w:t>–</w:t>
      </w:r>
      <w:r>
        <w:t>199</w:t>
      </w:r>
    </w:p>
  </w:footnote>
  <w:footnote w:id="73">
    <w:p w:rsidR="00DA7A13" w:rsidRDefault="00DA7A13" w:rsidP="00A32CA3">
      <w:pPr>
        <w:pStyle w:val="FootnoteText"/>
      </w:pPr>
      <w:r>
        <w:rPr>
          <w:rStyle w:val="FootnoteReference"/>
        </w:rPr>
        <w:footnoteRef/>
      </w:r>
      <w:r>
        <w:t xml:space="preserve"> </w:t>
      </w:r>
      <w:r>
        <w:tab/>
        <w:t xml:space="preserve">NERA, </w:t>
      </w:r>
      <w:r w:rsidRPr="00CD2484">
        <w:t>Return on Cap</w:t>
      </w:r>
      <w:r>
        <w:t xml:space="preserve">ital of a Regulated Electricity </w:t>
      </w:r>
      <w:r w:rsidRPr="00CD2484">
        <w:t>Network: A report for Ashurst, May 2014</w:t>
      </w:r>
      <w:r>
        <w:t>, p. 86</w:t>
      </w:r>
    </w:p>
  </w:footnote>
  <w:footnote w:id="74">
    <w:p w:rsidR="00DA7A13" w:rsidRDefault="00DA7A13" w:rsidP="00A32CA3">
      <w:pPr>
        <w:pStyle w:val="FootnoteText"/>
      </w:pPr>
      <w:r>
        <w:rPr>
          <w:rStyle w:val="FootnoteReference"/>
        </w:rPr>
        <w:footnoteRef/>
      </w:r>
      <w:r>
        <w:t xml:space="preserve"> </w:t>
      </w:r>
      <w:r>
        <w:tab/>
        <w:t xml:space="preserve">Transend, </w:t>
      </w:r>
      <w:r w:rsidRPr="00D81551">
        <w:rPr>
          <w:rStyle w:val="AERtextitalic"/>
        </w:rPr>
        <w:t>Revenue proposal</w:t>
      </w:r>
      <w:r w:rsidRPr="00FE223B">
        <w:t xml:space="preserve">, </w:t>
      </w:r>
      <w:r>
        <w:t>p. 107</w:t>
      </w:r>
    </w:p>
  </w:footnote>
  <w:footnote w:id="75">
    <w:p w:rsidR="00DA7A13" w:rsidRDefault="00DA7A13" w:rsidP="00A32CA3">
      <w:pPr>
        <w:pStyle w:val="FootnoteText"/>
      </w:pPr>
      <w:r>
        <w:rPr>
          <w:rStyle w:val="FootnoteReference"/>
        </w:rPr>
        <w:footnoteRef/>
      </w:r>
      <w:r>
        <w:t xml:space="preserve"> </w:t>
      </w:r>
      <w:r>
        <w:tab/>
        <w:t xml:space="preserve">Directlink, </w:t>
      </w:r>
      <w:r w:rsidRPr="00D81551">
        <w:rPr>
          <w:rStyle w:val="AERtextitalic"/>
        </w:rPr>
        <w:t>Revenue proposal</w:t>
      </w:r>
      <w:r w:rsidRPr="00FE223B">
        <w:t>,</w:t>
      </w:r>
      <w:r>
        <w:t xml:space="preserve"> p. 35</w:t>
      </w:r>
    </w:p>
  </w:footnote>
  <w:footnote w:id="76">
    <w:p w:rsidR="00DA7A13" w:rsidRDefault="00DA7A13" w:rsidP="00A32CA3">
      <w:pPr>
        <w:pStyle w:val="FootnoteText"/>
      </w:pPr>
      <w:r>
        <w:rPr>
          <w:rStyle w:val="FootnoteReference"/>
        </w:rPr>
        <w:footnoteRef/>
      </w:r>
      <w:r>
        <w:t xml:space="preserve"> </w:t>
      </w:r>
      <w:r>
        <w:tab/>
      </w:r>
      <w:r w:rsidRPr="00FE223B">
        <w:t>NERA, Return on Capital of a Regulated Electricity Network: A report for Ashurst, May 2014</w:t>
      </w:r>
      <w:r>
        <w:t>, p. 96</w:t>
      </w:r>
    </w:p>
  </w:footnote>
  <w:footnote w:id="77">
    <w:p w:rsidR="00DA7A13" w:rsidRDefault="00DA7A13" w:rsidP="00A32CA3">
      <w:pPr>
        <w:pStyle w:val="FootnoteText"/>
      </w:pPr>
      <w:r>
        <w:rPr>
          <w:rStyle w:val="FootnoteReference"/>
        </w:rPr>
        <w:footnoteRef/>
      </w:r>
      <w:r>
        <w:t xml:space="preserve"> </w:t>
      </w:r>
      <w:r>
        <w:tab/>
      </w:r>
      <w:r w:rsidRPr="006C2B26">
        <w:t xml:space="preserve">Transend, </w:t>
      </w:r>
      <w:r w:rsidRPr="00822394">
        <w:rPr>
          <w:rStyle w:val="AERtextitalic"/>
        </w:rPr>
        <w:t>Revenue proposal</w:t>
      </w:r>
      <w:r w:rsidRPr="006C2B26">
        <w:t xml:space="preserve">, May 2014, p. 108. Directlink, </w:t>
      </w:r>
      <w:r w:rsidRPr="00822394">
        <w:rPr>
          <w:rStyle w:val="AERtextitalic"/>
        </w:rPr>
        <w:t>Revenue proposal</w:t>
      </w:r>
      <w:r>
        <w:t>, May 2014, p. 36</w:t>
      </w:r>
    </w:p>
  </w:footnote>
  <w:footnote w:id="78">
    <w:p w:rsidR="00DA7A13" w:rsidRDefault="00DA7A13" w:rsidP="00A32CA3">
      <w:pPr>
        <w:pStyle w:val="FootnoteText"/>
      </w:pPr>
      <w:r>
        <w:rPr>
          <w:rStyle w:val="FootnoteReference"/>
        </w:rPr>
        <w:footnoteRef/>
      </w:r>
      <w:r>
        <w:t xml:space="preserve"> </w:t>
      </w:r>
      <w:r>
        <w:tab/>
      </w:r>
      <w:r w:rsidRPr="000F6AFE">
        <w:t xml:space="preserve">TransGrid, </w:t>
      </w:r>
      <w:r w:rsidRPr="000F6AFE">
        <w:rPr>
          <w:rStyle w:val="AERtextitalic"/>
        </w:rPr>
        <w:t>Revenue proposal</w:t>
      </w:r>
      <w:r>
        <w:t>, May 2014, pp. 185–195</w:t>
      </w:r>
      <w:r w:rsidRPr="000F6AFE">
        <w:t>.</w:t>
      </w:r>
      <w:r>
        <w:t xml:space="preserve"> TransGrid's proposal is based on a report by NERA. </w:t>
      </w:r>
      <w:r w:rsidRPr="006C2B26">
        <w:t xml:space="preserve">NERA, </w:t>
      </w:r>
      <w:r w:rsidRPr="006E7445">
        <w:rPr>
          <w:rStyle w:val="AERtextitalic"/>
        </w:rPr>
        <w:t>Return on capital of a regulated electricity network</w:t>
      </w:r>
      <w:r w:rsidRPr="006C2B26">
        <w:t xml:space="preserve">, May 2014. NERA’s report </w:t>
      </w:r>
      <w:r>
        <w:t>considers multiple financial models and other evidence to determine the</w:t>
      </w:r>
      <w:r w:rsidRPr="006C2B26">
        <w:t xml:space="preserve"> return on equity.</w:t>
      </w:r>
    </w:p>
  </w:footnote>
  <w:footnote w:id="79">
    <w:p w:rsidR="00DA7A13" w:rsidRDefault="00DA7A13" w:rsidP="00A32CA3">
      <w:pPr>
        <w:pStyle w:val="FootnoteText"/>
      </w:pPr>
      <w:r>
        <w:rPr>
          <w:rStyle w:val="FootnoteReference"/>
        </w:rPr>
        <w:footnoteRef/>
      </w:r>
      <w:r>
        <w:t xml:space="preserve"> </w:t>
      </w:r>
      <w:r>
        <w:tab/>
      </w:r>
      <w:r w:rsidRPr="006C2B26">
        <w:t xml:space="preserve">TransGrid, </w:t>
      </w:r>
      <w:r w:rsidRPr="006E7445">
        <w:rPr>
          <w:rStyle w:val="AERtextitalic"/>
        </w:rPr>
        <w:t>Revenue proposal</w:t>
      </w:r>
      <w:r>
        <w:t>, May 2014, pp. 185, 194</w:t>
      </w:r>
    </w:p>
  </w:footnote>
  <w:footnote w:id="80">
    <w:p w:rsidR="00DA7A13" w:rsidRDefault="00DA7A13" w:rsidP="00A32CA3">
      <w:pPr>
        <w:pStyle w:val="FootnoteText"/>
      </w:pPr>
      <w:r>
        <w:rPr>
          <w:rStyle w:val="FootnoteReference"/>
        </w:rPr>
        <w:footnoteRef/>
      </w:r>
      <w:r>
        <w:t xml:space="preserve"> </w:t>
      </w:r>
      <w:r>
        <w:tab/>
        <w:t xml:space="preserve">TransGrid, </w:t>
      </w:r>
      <w:r w:rsidRPr="000F6AFE">
        <w:rPr>
          <w:rStyle w:val="AERtextitalic"/>
        </w:rPr>
        <w:t>Revenue proposal</w:t>
      </w:r>
      <w:r>
        <w:t xml:space="preserve">, May 2014, pp. 178–179; Directlink, </w:t>
      </w:r>
      <w:r w:rsidRPr="000F6AFE">
        <w:rPr>
          <w:rStyle w:val="AERtextitalic"/>
        </w:rPr>
        <w:t>Revenue proposal</w:t>
      </w:r>
      <w:r>
        <w:t xml:space="preserve">, May 2014, pp. 37–38; Transend, </w:t>
      </w:r>
      <w:r w:rsidRPr="000F6AFE">
        <w:rPr>
          <w:rStyle w:val="AERtextitalic"/>
        </w:rPr>
        <w:t>Revenue proposal</w:t>
      </w:r>
      <w:r>
        <w:t>, May 2014, pp. 107–108.</w:t>
      </w:r>
    </w:p>
  </w:footnote>
  <w:footnote w:id="81">
    <w:p w:rsidR="00DA7A13" w:rsidRDefault="00DA7A13" w:rsidP="00A32CA3">
      <w:pPr>
        <w:pStyle w:val="FootnoteText"/>
      </w:pPr>
      <w:r>
        <w:rPr>
          <w:rStyle w:val="FootnoteReference"/>
        </w:rPr>
        <w:footnoteRef/>
      </w:r>
      <w:r>
        <w:t xml:space="preserve"> </w:t>
      </w:r>
      <w:r>
        <w:tab/>
        <w:t xml:space="preserve">TransGrid, </w:t>
      </w:r>
      <w:r w:rsidRPr="000F6AFE">
        <w:rPr>
          <w:rStyle w:val="AERtextitalic"/>
        </w:rPr>
        <w:t>Revenue proposal</w:t>
      </w:r>
      <w:r>
        <w:t xml:space="preserve">, May 2014, pp. 178–179; Directlink, </w:t>
      </w:r>
      <w:r w:rsidRPr="000F6AFE">
        <w:rPr>
          <w:rStyle w:val="AERtextitalic"/>
        </w:rPr>
        <w:t>Revenue proposal</w:t>
      </w:r>
      <w:r>
        <w:t>, May 2014, pp. 37–38.</w:t>
      </w:r>
    </w:p>
  </w:footnote>
  <w:footnote w:id="82">
    <w:p w:rsidR="00DA7A13" w:rsidRDefault="00DA7A13" w:rsidP="00A32CA3">
      <w:pPr>
        <w:pStyle w:val="FootnoteText"/>
      </w:pPr>
      <w:r>
        <w:rPr>
          <w:rStyle w:val="FootnoteReference"/>
        </w:rPr>
        <w:footnoteRef/>
      </w:r>
      <w:r>
        <w:t xml:space="preserve"> </w:t>
      </w:r>
      <w:r>
        <w:tab/>
        <w:t>TransG</w:t>
      </w:r>
      <w:r w:rsidRPr="007C6B9A">
        <w:t>rid’s proposed trailing average cost of debt, as calculated by NERA, uses the RBA data. NERA computed an annual yield as a simple average of observed yields over 12 month</w:t>
      </w:r>
      <w:r>
        <w:t>s; it then estimated TransG</w:t>
      </w:r>
      <w:r w:rsidRPr="007C6B9A">
        <w:t>rid’s proposed cost of debt for the first regulatory year as an average yield over ten historical years. Our issues paper published in April 2014 sought submissions on the choice of a third party data provider and implementation of third party data to estimating the allowed cost of debt.  We will asse</w:t>
      </w:r>
      <w:r>
        <w:t>ss the appropriateness of TransG</w:t>
      </w:r>
      <w:r w:rsidRPr="007C6B9A">
        <w:t>rid proposed data source (RBA) and implementation during the regulatory determination.</w:t>
      </w:r>
    </w:p>
  </w:footnote>
  <w:footnote w:id="83">
    <w:p w:rsidR="00DA7A13" w:rsidRDefault="00DA7A13" w:rsidP="00A32CA3">
      <w:pPr>
        <w:pStyle w:val="FootnoteText"/>
      </w:pPr>
      <w:r>
        <w:rPr>
          <w:rStyle w:val="FootnoteReference"/>
        </w:rPr>
        <w:footnoteRef/>
      </w:r>
      <w:r>
        <w:t xml:space="preserve"> </w:t>
      </w:r>
      <w:r>
        <w:tab/>
        <w:t xml:space="preserve">TransGrid, </w:t>
      </w:r>
      <w:r w:rsidRPr="000F6AFE">
        <w:rPr>
          <w:rStyle w:val="AERtextitalic"/>
        </w:rPr>
        <w:t>Revenue proposal</w:t>
      </w:r>
      <w:r>
        <w:t xml:space="preserve">, May 2014, pp. 178–179; Directlink, </w:t>
      </w:r>
      <w:r w:rsidRPr="000F6AFE">
        <w:rPr>
          <w:rStyle w:val="AERtextitalic"/>
        </w:rPr>
        <w:t>Revenue proposal</w:t>
      </w:r>
      <w:r>
        <w:t xml:space="preserve">, May 2014, pp. 37–38; Transend, </w:t>
      </w:r>
      <w:r w:rsidRPr="000F6AFE">
        <w:rPr>
          <w:rStyle w:val="AERtextitalic"/>
        </w:rPr>
        <w:t>Revenue proposal</w:t>
      </w:r>
      <w:r>
        <w:t>, May 2014, pp. 107–108.</w:t>
      </w:r>
    </w:p>
  </w:footnote>
  <w:footnote w:id="84">
    <w:p w:rsidR="00DA7A13" w:rsidRDefault="00DA7A13" w:rsidP="00A32CA3">
      <w:pPr>
        <w:pStyle w:val="FootnoteText"/>
      </w:pPr>
      <w:r>
        <w:rPr>
          <w:rStyle w:val="FootnoteReference"/>
        </w:rPr>
        <w:footnoteRef/>
      </w:r>
      <w:r>
        <w:t xml:space="preserve"> </w:t>
      </w:r>
      <w:r>
        <w:tab/>
        <w:t>Ibid.</w:t>
      </w:r>
    </w:p>
  </w:footnote>
  <w:footnote w:id="85">
    <w:p w:rsidR="00DA7A13" w:rsidRDefault="00DA7A13" w:rsidP="004B78E2">
      <w:pPr>
        <w:pStyle w:val="FootnoteText"/>
      </w:pPr>
      <w:r>
        <w:rPr>
          <w:rStyle w:val="FootnoteReference"/>
        </w:rPr>
        <w:footnoteRef/>
      </w:r>
      <w:r>
        <w:t xml:space="preserve"> </w:t>
      </w:r>
      <w:r>
        <w:tab/>
        <w:t xml:space="preserve">NER, clause 6A.24.1(b)(1) and (2). </w:t>
      </w:r>
    </w:p>
  </w:footnote>
  <w:footnote w:id="86">
    <w:p w:rsidR="00DA7A13" w:rsidRDefault="00DA7A13" w:rsidP="004B78E2">
      <w:pPr>
        <w:pStyle w:val="FootnoteText"/>
      </w:pPr>
      <w:r>
        <w:rPr>
          <w:rStyle w:val="FootnoteReference"/>
        </w:rPr>
        <w:footnoteRef/>
      </w:r>
      <w:r>
        <w:t xml:space="preserve"> </w:t>
      </w:r>
      <w:r>
        <w:tab/>
      </w:r>
      <w:r w:rsidRPr="00431B18">
        <w:t>AEMC, Rule Determination:</w:t>
      </w:r>
      <w:r>
        <w:t xml:space="preserve"> </w:t>
      </w:r>
      <w:r w:rsidRPr="00431B18">
        <w:t>National Electricity Amendment (Inter-regional transmission charging) Rule, 28 February 2013</w:t>
      </w:r>
      <w:r>
        <w:t xml:space="preserve">. </w:t>
      </w:r>
    </w:p>
  </w:footnote>
  <w:footnote w:id="87">
    <w:p w:rsidR="00DA7A13" w:rsidRDefault="00DA7A13" w:rsidP="004E642C">
      <w:pPr>
        <w:pStyle w:val="FootnoteText"/>
      </w:pPr>
      <w:r>
        <w:rPr>
          <w:rStyle w:val="FootnoteReference"/>
        </w:rPr>
        <w:footnoteRef/>
      </w:r>
      <w:r>
        <w:t xml:space="preserve"> </w:t>
      </w:r>
      <w:r>
        <w:tab/>
        <w:t>NER, clause 6A.10.1(e)(1)-(2).</w:t>
      </w:r>
    </w:p>
  </w:footnote>
  <w:footnote w:id="88">
    <w:p w:rsidR="00DA7A13" w:rsidRDefault="00DA7A13" w:rsidP="004E642C">
      <w:pPr>
        <w:pStyle w:val="FootnoteText"/>
      </w:pPr>
      <w:r>
        <w:rPr>
          <w:rStyle w:val="FootnoteReference"/>
        </w:rPr>
        <w:footnoteRef/>
      </w:r>
      <w:r>
        <w:t xml:space="preserve"> </w:t>
      </w:r>
      <w:r>
        <w:tab/>
        <w:t>AEMC, Rules determination: National electricity amendment (Pricing of prescribed transmission services) Rule 2006 No. 22, 21 December 2006, p. 26.</w:t>
      </w:r>
    </w:p>
  </w:footnote>
  <w:footnote w:id="89">
    <w:p w:rsidR="00DA7A13" w:rsidRDefault="00DA7A13" w:rsidP="004E642C">
      <w:pPr>
        <w:pStyle w:val="FootnoteText"/>
      </w:pPr>
      <w:r>
        <w:rPr>
          <w:rStyle w:val="FootnoteReference"/>
        </w:rPr>
        <w:footnoteRef/>
      </w:r>
      <w:r>
        <w:t xml:space="preserve"> </w:t>
      </w:r>
      <w:r>
        <w:tab/>
        <w:t>AEMC, Rules determination: National electricity amendment (Pricing of prescribed transmission services) Rule 2006 No. 22, 21 December 2006, p. 26.</w:t>
      </w:r>
    </w:p>
  </w:footnote>
  <w:footnote w:id="90">
    <w:p w:rsidR="00DA7A13" w:rsidRDefault="00DA7A13">
      <w:pPr>
        <w:pStyle w:val="FootnoteText"/>
      </w:pPr>
      <w:r>
        <w:rPr>
          <w:rStyle w:val="FootnoteReference"/>
        </w:rPr>
        <w:footnoteRef/>
      </w:r>
      <w:r>
        <w:t xml:space="preserve"> TransGrid, </w:t>
      </w:r>
      <w:r w:rsidRPr="00424015">
        <w:rPr>
          <w:rStyle w:val="AERtextitalic"/>
        </w:rPr>
        <w:t>Revenue proposal</w:t>
      </w:r>
      <w:r>
        <w:t>, appendix AH</w:t>
      </w:r>
    </w:p>
  </w:footnote>
  <w:footnote w:id="91">
    <w:p w:rsidR="00DA7A13" w:rsidRDefault="00DA7A13">
      <w:pPr>
        <w:pStyle w:val="FootnoteText"/>
      </w:pPr>
      <w:r>
        <w:rPr>
          <w:rStyle w:val="FootnoteReference"/>
        </w:rPr>
        <w:footnoteRef/>
      </w:r>
      <w:r>
        <w:t xml:space="preserve"> Transend, </w:t>
      </w:r>
      <w:r w:rsidRPr="002B27CB">
        <w:rPr>
          <w:rStyle w:val="AERtextitalic"/>
        </w:rPr>
        <w:t>Revenue proposal</w:t>
      </w:r>
      <w:r>
        <w:t>, appendix 23 - proposed pricing methodology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83E63"/>
    <w:multiLevelType w:val="multilevel"/>
    <w:tmpl w:val="950A1C52"/>
    <w:numStyleLink w:val="AERHeadings"/>
  </w:abstractNum>
  <w:abstractNum w:abstractNumId="1">
    <w:nsid w:val="031C7FA6"/>
    <w:multiLevelType w:val="hybridMultilevel"/>
    <w:tmpl w:val="1A7E9E04"/>
    <w:lvl w:ilvl="0" w:tplc="A356B254">
      <w:start w:val="1"/>
      <w:numFmt w:val="bullet"/>
      <w:pStyle w:val="AERbulletlistsecondstyle"/>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
    <w:nsid w:val="0B102140"/>
    <w:multiLevelType w:val="multilevel"/>
    <w:tmpl w:val="1E563206"/>
    <w:numStyleLink w:val="AERnumberedlist"/>
  </w:abstractNum>
  <w:abstractNum w:abstractNumId="3">
    <w:nsid w:val="0D517D24"/>
    <w:multiLevelType w:val="hybridMultilevel"/>
    <w:tmpl w:val="BD7E2B36"/>
    <w:lvl w:ilvl="0" w:tplc="23B41A36">
      <w:start w:val="1"/>
      <w:numFmt w:val="lowerRoman"/>
      <w:lvlText w:val="%1."/>
      <w:lvlJc w:val="left"/>
      <w:pPr>
        <w:tabs>
          <w:tab w:val="num" w:pos="1440"/>
        </w:tabs>
        <w:ind w:left="1440" w:hanging="360"/>
      </w:pPr>
      <w:rPr>
        <w:rFonts w:hint="default"/>
        <w:b w:val="0"/>
        <w:i w:val="0"/>
        <w:sz w:val="22"/>
      </w:rPr>
    </w:lvl>
    <w:lvl w:ilvl="1" w:tplc="0C090003" w:tentative="1">
      <w:start w:val="1"/>
      <w:numFmt w:val="bullet"/>
      <w:lvlText w:val="o"/>
      <w:lvlJc w:val="left"/>
      <w:pPr>
        <w:tabs>
          <w:tab w:val="num" w:pos="1806"/>
        </w:tabs>
        <w:ind w:left="1806" w:hanging="360"/>
      </w:pPr>
      <w:rPr>
        <w:rFonts w:ascii="Courier New" w:hAnsi="Courier New" w:cs="Courier New" w:hint="default"/>
      </w:rPr>
    </w:lvl>
    <w:lvl w:ilvl="2" w:tplc="0C090005" w:tentative="1">
      <w:start w:val="1"/>
      <w:numFmt w:val="bullet"/>
      <w:lvlText w:val=""/>
      <w:lvlJc w:val="left"/>
      <w:pPr>
        <w:tabs>
          <w:tab w:val="num" w:pos="2526"/>
        </w:tabs>
        <w:ind w:left="2526" w:hanging="360"/>
      </w:pPr>
      <w:rPr>
        <w:rFonts w:ascii="Wingdings" w:hAnsi="Wingdings" w:hint="default"/>
      </w:rPr>
    </w:lvl>
    <w:lvl w:ilvl="3" w:tplc="0C090001" w:tentative="1">
      <w:start w:val="1"/>
      <w:numFmt w:val="bullet"/>
      <w:lvlText w:val=""/>
      <w:lvlJc w:val="left"/>
      <w:pPr>
        <w:tabs>
          <w:tab w:val="num" w:pos="3246"/>
        </w:tabs>
        <w:ind w:left="3246" w:hanging="360"/>
      </w:pPr>
      <w:rPr>
        <w:rFonts w:ascii="Symbol" w:hAnsi="Symbol" w:hint="default"/>
      </w:rPr>
    </w:lvl>
    <w:lvl w:ilvl="4" w:tplc="0C090003" w:tentative="1">
      <w:start w:val="1"/>
      <w:numFmt w:val="bullet"/>
      <w:lvlText w:val="o"/>
      <w:lvlJc w:val="left"/>
      <w:pPr>
        <w:tabs>
          <w:tab w:val="num" w:pos="3966"/>
        </w:tabs>
        <w:ind w:left="3966" w:hanging="360"/>
      </w:pPr>
      <w:rPr>
        <w:rFonts w:ascii="Courier New" w:hAnsi="Courier New" w:cs="Courier New" w:hint="default"/>
      </w:rPr>
    </w:lvl>
    <w:lvl w:ilvl="5" w:tplc="0C090005" w:tentative="1">
      <w:start w:val="1"/>
      <w:numFmt w:val="bullet"/>
      <w:lvlText w:val=""/>
      <w:lvlJc w:val="left"/>
      <w:pPr>
        <w:tabs>
          <w:tab w:val="num" w:pos="4686"/>
        </w:tabs>
        <w:ind w:left="4686" w:hanging="360"/>
      </w:pPr>
      <w:rPr>
        <w:rFonts w:ascii="Wingdings" w:hAnsi="Wingdings" w:hint="default"/>
      </w:rPr>
    </w:lvl>
    <w:lvl w:ilvl="6" w:tplc="0C090001" w:tentative="1">
      <w:start w:val="1"/>
      <w:numFmt w:val="bullet"/>
      <w:lvlText w:val=""/>
      <w:lvlJc w:val="left"/>
      <w:pPr>
        <w:tabs>
          <w:tab w:val="num" w:pos="5406"/>
        </w:tabs>
        <w:ind w:left="5406" w:hanging="360"/>
      </w:pPr>
      <w:rPr>
        <w:rFonts w:ascii="Symbol" w:hAnsi="Symbol" w:hint="default"/>
      </w:rPr>
    </w:lvl>
    <w:lvl w:ilvl="7" w:tplc="0C090003" w:tentative="1">
      <w:start w:val="1"/>
      <w:numFmt w:val="bullet"/>
      <w:lvlText w:val="o"/>
      <w:lvlJc w:val="left"/>
      <w:pPr>
        <w:tabs>
          <w:tab w:val="num" w:pos="6126"/>
        </w:tabs>
        <w:ind w:left="6126" w:hanging="360"/>
      </w:pPr>
      <w:rPr>
        <w:rFonts w:ascii="Courier New" w:hAnsi="Courier New" w:cs="Courier New" w:hint="default"/>
      </w:rPr>
    </w:lvl>
    <w:lvl w:ilvl="8" w:tplc="0C090005" w:tentative="1">
      <w:start w:val="1"/>
      <w:numFmt w:val="bullet"/>
      <w:lvlText w:val=""/>
      <w:lvlJc w:val="left"/>
      <w:pPr>
        <w:tabs>
          <w:tab w:val="num" w:pos="6846"/>
        </w:tabs>
        <w:ind w:left="6846" w:hanging="360"/>
      </w:pPr>
      <w:rPr>
        <w:rFonts w:ascii="Wingdings" w:hAnsi="Wingdings" w:hint="default"/>
      </w:rPr>
    </w:lvl>
  </w:abstractNum>
  <w:abstractNum w:abstractNumId="4">
    <w:nsid w:val="100126CE"/>
    <w:multiLevelType w:val="hybridMultilevel"/>
    <w:tmpl w:val="34B2EBCA"/>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3597CF9"/>
    <w:multiLevelType w:val="multilevel"/>
    <w:tmpl w:val="1E563206"/>
    <w:numStyleLink w:val="AERnumberedlist"/>
  </w:abstractNum>
  <w:abstractNum w:abstractNumId="6">
    <w:nsid w:val="176B27A6"/>
    <w:multiLevelType w:val="multilevel"/>
    <w:tmpl w:val="950A1C52"/>
    <w:numStyleLink w:val="AERHeadings"/>
  </w:abstractNum>
  <w:abstractNum w:abstractNumId="7">
    <w:nsid w:val="1972601F"/>
    <w:multiLevelType w:val="multilevel"/>
    <w:tmpl w:val="950A1C52"/>
    <w:numStyleLink w:val="AERHeadings"/>
  </w:abstractNum>
  <w:abstractNum w:abstractNumId="8">
    <w:nsid w:val="1DFA331B"/>
    <w:multiLevelType w:val="multilevel"/>
    <w:tmpl w:val="1E563206"/>
    <w:numStyleLink w:val="AERnumberedlist"/>
  </w:abstractNum>
  <w:abstractNum w:abstractNumId="9">
    <w:nsid w:val="233428C7"/>
    <w:multiLevelType w:val="multilevel"/>
    <w:tmpl w:val="1E563206"/>
    <w:numStyleLink w:val="AERnumberedlist"/>
  </w:abstractNum>
  <w:abstractNum w:abstractNumId="10">
    <w:nsid w:val="2776270C"/>
    <w:multiLevelType w:val="multilevel"/>
    <w:tmpl w:val="1E563206"/>
    <w:numStyleLink w:val="AERnumberedlist"/>
  </w:abstractNum>
  <w:abstractNum w:abstractNumId="11">
    <w:nsid w:val="281977C0"/>
    <w:multiLevelType w:val="multilevel"/>
    <w:tmpl w:val="950A1C52"/>
    <w:numStyleLink w:val="AERHeadings"/>
  </w:abstractNum>
  <w:abstractNum w:abstractNumId="12">
    <w:nsid w:val="295C7239"/>
    <w:multiLevelType w:val="multilevel"/>
    <w:tmpl w:val="950A1C52"/>
    <w:numStyleLink w:val="AERHeadings"/>
  </w:abstractNum>
  <w:abstractNum w:abstractNumId="13">
    <w:nsid w:val="2C2D6B9E"/>
    <w:multiLevelType w:val="multilevel"/>
    <w:tmpl w:val="950A1C52"/>
    <w:numStyleLink w:val="AERHeadings"/>
  </w:abstractNum>
  <w:abstractNum w:abstractNumId="14">
    <w:nsid w:val="2DB12A3A"/>
    <w:multiLevelType w:val="multilevel"/>
    <w:tmpl w:val="950A1C52"/>
    <w:numStyleLink w:val="AERHeadings"/>
  </w:abstractNum>
  <w:abstractNum w:abstractNumId="15">
    <w:nsid w:val="2FB612CC"/>
    <w:multiLevelType w:val="multilevel"/>
    <w:tmpl w:val="950A1C52"/>
    <w:styleLink w:val="AERHeadings"/>
    <w:lvl w:ilvl="0">
      <w:start w:val="1"/>
      <w:numFmt w:val="none"/>
      <w:pStyle w:val="UnnumberedHeading"/>
      <w:lvlText w:val="%1"/>
      <w:lvlJc w:val="left"/>
      <w:pPr>
        <w:tabs>
          <w:tab w:val="num" w:pos="0"/>
        </w:tabs>
        <w:ind w:left="0" w:firstLine="0"/>
      </w:pPr>
      <w:rPr>
        <w:rFonts w:hint="default"/>
      </w:rPr>
    </w:lvl>
    <w:lvl w:ilvl="1">
      <w:start w:val="1"/>
      <w:numFmt w:val="decimal"/>
      <w:pStyle w:val="Heading1"/>
      <w:lvlText w:val="%1%2"/>
      <w:lvlJc w:val="left"/>
      <w:pPr>
        <w:tabs>
          <w:tab w:val="num" w:pos="0"/>
        </w:tabs>
        <w:ind w:left="0" w:hanging="851"/>
      </w:pPr>
      <w:rPr>
        <w:rFonts w:hint="default"/>
      </w:rPr>
    </w:lvl>
    <w:lvl w:ilvl="2">
      <w:start w:val="1"/>
      <w:numFmt w:val="decimal"/>
      <w:pStyle w:val="Heading2"/>
      <w:lvlText w:val="%1%2.%3"/>
      <w:lvlJc w:val="left"/>
      <w:pPr>
        <w:tabs>
          <w:tab w:val="num" w:pos="0"/>
        </w:tabs>
        <w:ind w:left="0" w:hanging="851"/>
      </w:pPr>
      <w:rPr>
        <w:rFonts w:hint="default"/>
      </w:rPr>
    </w:lvl>
    <w:lvl w:ilvl="3">
      <w:start w:val="1"/>
      <w:numFmt w:val="decimal"/>
      <w:pStyle w:val="Heading3"/>
      <w:lvlText w:val="%2.%3.%4"/>
      <w:lvlJc w:val="left"/>
      <w:pPr>
        <w:tabs>
          <w:tab w:val="num" w:pos="0"/>
        </w:tabs>
        <w:ind w:left="0" w:hanging="851"/>
      </w:pPr>
      <w:rPr>
        <w:rFonts w:hint="default"/>
      </w:rPr>
    </w:lvl>
    <w:lvl w:ilvl="4">
      <w:start w:val="1"/>
      <w:numFmt w:val="upperLetter"/>
      <w:lvlRestart w:val="1"/>
      <w:pStyle w:val="Heading7"/>
      <w:lvlText w:val="%5"/>
      <w:lvlJc w:val="left"/>
      <w:pPr>
        <w:tabs>
          <w:tab w:val="num" w:pos="0"/>
        </w:tabs>
        <w:ind w:left="0" w:hanging="851"/>
      </w:pPr>
      <w:rPr>
        <w:rFonts w:hint="default"/>
      </w:rPr>
    </w:lvl>
    <w:lvl w:ilvl="5">
      <w:start w:val="1"/>
      <w:numFmt w:val="decimal"/>
      <w:pStyle w:val="Heading8"/>
      <w:lvlText w:val="%5.%6"/>
      <w:lvlJc w:val="left"/>
      <w:pPr>
        <w:tabs>
          <w:tab w:val="num" w:pos="0"/>
        </w:tabs>
        <w:ind w:left="0" w:hanging="851"/>
      </w:pPr>
      <w:rPr>
        <w:rFonts w:hint="default"/>
      </w:rPr>
    </w:lvl>
    <w:lvl w:ilvl="6">
      <w:start w:val="1"/>
      <w:numFmt w:val="decimal"/>
      <w:pStyle w:val="Heading9"/>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16">
    <w:nsid w:val="301B31FF"/>
    <w:multiLevelType w:val="multilevel"/>
    <w:tmpl w:val="A5AEB1CE"/>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7">
    <w:nsid w:val="31AA058E"/>
    <w:multiLevelType w:val="hybridMultilevel"/>
    <w:tmpl w:val="3C70101E"/>
    <w:lvl w:ilvl="0" w:tplc="B336B1FC">
      <w:start w:val="1"/>
      <w:numFmt w:val="bullet"/>
      <w:pStyle w:val="AERbulletlistthirdstyle"/>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8">
    <w:nsid w:val="333E0E05"/>
    <w:multiLevelType w:val="multilevel"/>
    <w:tmpl w:val="950A1C52"/>
    <w:numStyleLink w:val="AERHeadings"/>
  </w:abstractNum>
  <w:abstractNum w:abstractNumId="19">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3AF336BC"/>
    <w:multiLevelType w:val="hybridMultilevel"/>
    <w:tmpl w:val="955A02CC"/>
    <w:lvl w:ilvl="0" w:tplc="C90C7928">
      <w:start w:val="1"/>
      <w:numFmt w:val="bullet"/>
      <w:pStyle w:val="AERbulletlistfirststyle"/>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C721288"/>
    <w:multiLevelType w:val="multilevel"/>
    <w:tmpl w:val="950A1C52"/>
    <w:numStyleLink w:val="AERHeadings"/>
  </w:abstractNum>
  <w:abstractNum w:abstractNumId="22">
    <w:nsid w:val="443F74CB"/>
    <w:multiLevelType w:val="hybridMultilevel"/>
    <w:tmpl w:val="5FB40038"/>
    <w:lvl w:ilvl="0" w:tplc="921A7DDA">
      <w:start w:val="1"/>
      <w:numFmt w:val="decimal"/>
      <w:lvlText w:val="%1."/>
      <w:lvlJc w:val="left"/>
      <w:pPr>
        <w:tabs>
          <w:tab w:val="num" w:pos="357"/>
        </w:tabs>
        <w:ind w:left="357" w:hanging="357"/>
      </w:pPr>
      <w:rPr>
        <w:rFonts w:ascii="Gautami" w:hAnsi="Gautami" w:hint="default"/>
        <w:b w:val="0"/>
        <w:i w:val="0"/>
        <w:sz w:val="22"/>
      </w:rPr>
    </w:lvl>
    <w:lvl w:ilvl="1" w:tplc="6A7A61AE">
      <w:start w:val="1"/>
      <w:numFmt w:val="bullet"/>
      <w:lvlText w:val=""/>
      <w:lvlJc w:val="left"/>
      <w:pPr>
        <w:tabs>
          <w:tab w:val="num" w:pos="4498"/>
        </w:tabs>
        <w:ind w:left="4498" w:hanging="358"/>
      </w:pPr>
      <w:rPr>
        <w:rFonts w:ascii="Wingdings" w:hAnsi="Wingdings" w:hint="default"/>
        <w:b w:val="0"/>
        <w:i w:val="0"/>
        <w:sz w:val="22"/>
      </w:rPr>
    </w:lvl>
    <w:lvl w:ilvl="2" w:tplc="0C090005" w:tentative="1">
      <w:start w:val="1"/>
      <w:numFmt w:val="lowerRoman"/>
      <w:lvlText w:val="%3."/>
      <w:lvlJc w:val="right"/>
      <w:pPr>
        <w:tabs>
          <w:tab w:val="num" w:pos="5220"/>
        </w:tabs>
        <w:ind w:left="5220" w:hanging="180"/>
      </w:pPr>
    </w:lvl>
    <w:lvl w:ilvl="3" w:tplc="0C090001" w:tentative="1">
      <w:start w:val="1"/>
      <w:numFmt w:val="decimal"/>
      <w:lvlText w:val="%4."/>
      <w:lvlJc w:val="left"/>
      <w:pPr>
        <w:tabs>
          <w:tab w:val="num" w:pos="5940"/>
        </w:tabs>
        <w:ind w:left="5940" w:hanging="360"/>
      </w:pPr>
    </w:lvl>
    <w:lvl w:ilvl="4" w:tplc="0C090003">
      <w:start w:val="1"/>
      <w:numFmt w:val="lowerLetter"/>
      <w:lvlText w:val="%5."/>
      <w:lvlJc w:val="left"/>
      <w:pPr>
        <w:tabs>
          <w:tab w:val="num" w:pos="6660"/>
        </w:tabs>
        <w:ind w:left="6660" w:hanging="360"/>
      </w:pPr>
    </w:lvl>
    <w:lvl w:ilvl="5" w:tplc="0C090005">
      <w:start w:val="1"/>
      <w:numFmt w:val="lowerRoman"/>
      <w:lvlText w:val="%6."/>
      <w:lvlJc w:val="right"/>
      <w:pPr>
        <w:tabs>
          <w:tab w:val="num" w:pos="7380"/>
        </w:tabs>
        <w:ind w:left="7380" w:hanging="180"/>
      </w:pPr>
    </w:lvl>
    <w:lvl w:ilvl="6" w:tplc="0C090001" w:tentative="1">
      <w:start w:val="1"/>
      <w:numFmt w:val="decimal"/>
      <w:lvlText w:val="%7."/>
      <w:lvlJc w:val="left"/>
      <w:pPr>
        <w:tabs>
          <w:tab w:val="num" w:pos="8100"/>
        </w:tabs>
        <w:ind w:left="8100" w:hanging="360"/>
      </w:pPr>
    </w:lvl>
    <w:lvl w:ilvl="7" w:tplc="0C090003" w:tentative="1">
      <w:start w:val="1"/>
      <w:numFmt w:val="lowerLetter"/>
      <w:lvlText w:val="%8."/>
      <w:lvlJc w:val="left"/>
      <w:pPr>
        <w:tabs>
          <w:tab w:val="num" w:pos="8820"/>
        </w:tabs>
        <w:ind w:left="8820" w:hanging="360"/>
      </w:pPr>
    </w:lvl>
    <w:lvl w:ilvl="8" w:tplc="0C090005" w:tentative="1">
      <w:start w:val="1"/>
      <w:numFmt w:val="lowerRoman"/>
      <w:lvlText w:val="%9."/>
      <w:lvlJc w:val="right"/>
      <w:pPr>
        <w:tabs>
          <w:tab w:val="num" w:pos="9540"/>
        </w:tabs>
        <w:ind w:left="9540" w:hanging="180"/>
      </w:pPr>
    </w:lvl>
  </w:abstractNum>
  <w:abstractNum w:abstractNumId="23">
    <w:nsid w:val="4F037C49"/>
    <w:multiLevelType w:val="multilevel"/>
    <w:tmpl w:val="1E563206"/>
    <w:numStyleLink w:val="AERnumberedlist"/>
  </w:abstractNum>
  <w:abstractNum w:abstractNumId="24">
    <w:nsid w:val="4F820549"/>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nsid w:val="51487971"/>
    <w:multiLevelType w:val="multilevel"/>
    <w:tmpl w:val="1E563206"/>
    <w:styleLink w:val="AERnumberedlist"/>
    <w:lvl w:ilvl="0">
      <w:start w:val="1"/>
      <w:numFmt w:val="none"/>
      <w:pStyle w:val="AERbodytext"/>
      <w:lvlText w:val="%1"/>
      <w:lvlJc w:val="left"/>
      <w:pPr>
        <w:tabs>
          <w:tab w:val="num" w:pos="0"/>
        </w:tabs>
        <w:ind w:left="0" w:firstLine="0"/>
      </w:pPr>
      <w:rPr>
        <w:rFonts w:hint="default"/>
      </w:rPr>
    </w:lvl>
    <w:lvl w:ilvl="1">
      <w:start w:val="1"/>
      <w:numFmt w:val="decimal"/>
      <w:pStyle w:val="AERnumberedlistfirststyle"/>
      <w:lvlText w:val="%2."/>
      <w:lvlJc w:val="left"/>
      <w:pPr>
        <w:tabs>
          <w:tab w:val="num" w:pos="357"/>
        </w:tabs>
        <w:ind w:left="357" w:hanging="357"/>
      </w:pPr>
      <w:rPr>
        <w:rFonts w:hint="default"/>
      </w:rPr>
    </w:lvl>
    <w:lvl w:ilvl="2">
      <w:start w:val="1"/>
      <w:numFmt w:val="lowerLetter"/>
      <w:pStyle w:val="AERnumberedlistsecondstyle"/>
      <w:lvlText w:val="%3."/>
      <w:lvlJc w:val="left"/>
      <w:pPr>
        <w:tabs>
          <w:tab w:val="num" w:pos="720"/>
        </w:tabs>
        <w:ind w:left="720" w:hanging="363"/>
      </w:pPr>
      <w:rPr>
        <w:rFonts w:hint="default"/>
      </w:rPr>
    </w:lvl>
    <w:lvl w:ilvl="3">
      <w:start w:val="1"/>
      <w:numFmt w:val="lowerRoman"/>
      <w:pStyle w:val="AERnumberedlistthirdstyle"/>
      <w:lvlText w:val="%4."/>
      <w:lvlJc w:val="left"/>
      <w:pPr>
        <w:tabs>
          <w:tab w:val="num" w:pos="1077"/>
        </w:tabs>
        <w:ind w:left="1077" w:hanging="357"/>
      </w:pPr>
      <w:rPr>
        <w:rFonts w:hint="default"/>
      </w:rPr>
    </w:lvl>
    <w:lvl w:ilvl="4">
      <w:start w:val="1"/>
      <w:numFmt w:val="decimal"/>
      <w:lvlRestart w:val="1"/>
      <w:pStyle w:val="AERnumberedlist2first"/>
      <w:lvlText w:val="(%5)"/>
      <w:lvlJc w:val="left"/>
      <w:pPr>
        <w:tabs>
          <w:tab w:val="num" w:pos="454"/>
        </w:tabs>
        <w:ind w:left="454" w:hanging="454"/>
      </w:pPr>
      <w:rPr>
        <w:rFonts w:hint="default"/>
      </w:rPr>
    </w:lvl>
    <w:lvl w:ilvl="5">
      <w:start w:val="1"/>
      <w:numFmt w:val="lowerLetter"/>
      <w:pStyle w:val="AERnumberedlist2second"/>
      <w:lvlText w:val="(%6)"/>
      <w:lvlJc w:val="left"/>
      <w:pPr>
        <w:tabs>
          <w:tab w:val="num" w:pos="811"/>
        </w:tabs>
        <w:ind w:left="811" w:hanging="357"/>
      </w:pPr>
      <w:rPr>
        <w:rFonts w:hint="default"/>
      </w:rPr>
    </w:lvl>
    <w:lvl w:ilvl="6">
      <w:start w:val="1"/>
      <w:numFmt w:val="lowerRoman"/>
      <w:pStyle w:val="AERnumberedlist2third"/>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51807103"/>
    <w:multiLevelType w:val="multilevel"/>
    <w:tmpl w:val="1E563206"/>
    <w:numStyleLink w:val="AERnumberedlist"/>
  </w:abstractNum>
  <w:abstractNum w:abstractNumId="27">
    <w:nsid w:val="5D386EA7"/>
    <w:multiLevelType w:val="multilevel"/>
    <w:tmpl w:val="950A1C52"/>
    <w:numStyleLink w:val="AERHeadings"/>
  </w:abstractNum>
  <w:abstractNum w:abstractNumId="28">
    <w:nsid w:val="5DCC1B18"/>
    <w:multiLevelType w:val="multilevel"/>
    <w:tmpl w:val="1E563206"/>
    <w:numStyleLink w:val="AERnumberedlist"/>
  </w:abstractNum>
  <w:abstractNum w:abstractNumId="29">
    <w:nsid w:val="68247CF7"/>
    <w:multiLevelType w:val="multilevel"/>
    <w:tmpl w:val="950A1C52"/>
    <w:numStyleLink w:val="AERHeadings"/>
  </w:abstractNum>
  <w:abstractNum w:abstractNumId="30">
    <w:nsid w:val="69315B1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74595980"/>
    <w:multiLevelType w:val="multilevel"/>
    <w:tmpl w:val="950A1C52"/>
    <w:numStyleLink w:val="AERHeadings"/>
  </w:abstractNum>
  <w:abstractNum w:abstractNumId="32">
    <w:nsid w:val="74BB6C5B"/>
    <w:multiLevelType w:val="hybridMultilevel"/>
    <w:tmpl w:val="09C0822A"/>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33">
    <w:nsid w:val="74F81DDF"/>
    <w:multiLevelType w:val="multilevel"/>
    <w:tmpl w:val="950A1C52"/>
    <w:numStyleLink w:val="AERHeadings"/>
  </w:abstractNum>
  <w:abstractNum w:abstractNumId="34">
    <w:nsid w:val="787F66A4"/>
    <w:multiLevelType w:val="multilevel"/>
    <w:tmpl w:val="950A1C52"/>
    <w:numStyleLink w:val="AERHeadings"/>
  </w:abstractNum>
  <w:abstractNum w:abstractNumId="35">
    <w:nsid w:val="7AAC6DD7"/>
    <w:multiLevelType w:val="multilevel"/>
    <w:tmpl w:val="950A1C52"/>
    <w:numStyleLink w:val="AERHeadings"/>
  </w:abstractNum>
  <w:abstractNum w:abstractNumId="36">
    <w:nsid w:val="7AEA3AE1"/>
    <w:multiLevelType w:val="hybridMultilevel"/>
    <w:tmpl w:val="52969776"/>
    <w:lvl w:ilvl="0" w:tplc="1B665800">
      <w:start w:val="1"/>
      <w:numFmt w:val="bullet"/>
      <w:pStyle w:val="AERquotebullet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BE97BF8"/>
    <w:multiLevelType w:val="multilevel"/>
    <w:tmpl w:val="950A1C52"/>
    <w:numStyleLink w:val="AERHeadings"/>
  </w:abstractNum>
  <w:abstractNum w:abstractNumId="38">
    <w:nsid w:val="7CDA0F5F"/>
    <w:multiLevelType w:val="multilevel"/>
    <w:tmpl w:val="950A1C52"/>
    <w:numStyleLink w:val="AERHeadings"/>
  </w:abstractNum>
  <w:num w:numId="1">
    <w:abstractNumId w:val="30"/>
  </w:num>
  <w:num w:numId="2">
    <w:abstractNumId w:val="15"/>
  </w:num>
  <w:num w:numId="3">
    <w:abstractNumId w:val="22"/>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22"/>
    <w:lvlOverride w:ilvl="0">
      <w:startOverride w:val="1"/>
    </w:lvlOverride>
  </w:num>
  <w:num w:numId="7">
    <w:abstractNumId w:val="20"/>
  </w:num>
  <w:num w:numId="8">
    <w:abstractNumId w:val="17"/>
  </w:num>
  <w:num w:numId="9">
    <w:abstractNumId w:val="36"/>
  </w:num>
  <w:num w:numId="10">
    <w:abstractNumId w:val="22"/>
    <w:lvlOverride w:ilvl="0">
      <w:startOverride w:val="1"/>
    </w:lvlOverride>
  </w:num>
  <w:num w:numId="11">
    <w:abstractNumId w:val="1"/>
  </w:num>
  <w:num w:numId="12">
    <w:abstractNumId w:val="22"/>
    <w:lvlOverride w:ilvl="0">
      <w:startOverride w:val="1"/>
    </w:lvlOverride>
  </w:num>
  <w:num w:numId="13">
    <w:abstractNumId w:val="25"/>
    <w:lvlOverride w:ilvl="1">
      <w:lvl w:ilvl="1">
        <w:start w:val="1"/>
        <w:numFmt w:val="decimal"/>
        <w:pStyle w:val="AERnumberedlistfirststyle"/>
        <w:lvlText w:val="%2."/>
        <w:lvlJc w:val="left"/>
        <w:pPr>
          <w:tabs>
            <w:tab w:val="num" w:pos="357"/>
          </w:tabs>
          <w:ind w:left="357" w:hanging="357"/>
        </w:pPr>
        <w:rPr>
          <w:rFonts w:cs="Times New Roman"/>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2"/>
  </w:num>
  <w:num w:numId="17">
    <w:abstractNumId w:val="23"/>
  </w:num>
  <w:num w:numId="18">
    <w:abstractNumId w:val="8"/>
  </w:num>
  <w:num w:numId="19">
    <w:abstractNumId w:val="10"/>
  </w:num>
  <w:num w:numId="20">
    <w:abstractNumId w:val="33"/>
  </w:num>
  <w:num w:numId="21">
    <w:abstractNumId w:val="28"/>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38"/>
  </w:num>
  <w:num w:numId="28">
    <w:abstractNumId w:val="18"/>
  </w:num>
  <w:num w:numId="29">
    <w:abstractNumId w:val="11"/>
  </w:num>
  <w:num w:numId="30">
    <w:abstractNumId w:val="6"/>
  </w:num>
  <w:num w:numId="31">
    <w:abstractNumId w:val="0"/>
  </w:num>
  <w:num w:numId="32">
    <w:abstractNumId w:val="7"/>
  </w:num>
  <w:num w:numId="33">
    <w:abstractNumId w:val="34"/>
  </w:num>
  <w:num w:numId="34">
    <w:abstractNumId w:val="29"/>
  </w:num>
  <w:num w:numId="35">
    <w:abstractNumId w:val="31"/>
  </w:num>
  <w:num w:numId="36">
    <w:abstractNumId w:val="37"/>
  </w:num>
  <w:num w:numId="37">
    <w:abstractNumId w:val="27"/>
  </w:num>
  <w:num w:numId="38">
    <w:abstractNumId w:val="13"/>
  </w:num>
  <w:num w:numId="39">
    <w:abstractNumId w:val="14"/>
  </w:num>
  <w:num w:numId="40">
    <w:abstractNumId w:val="21"/>
  </w:num>
  <w:num w:numId="41">
    <w:abstractNumId w:val="26"/>
  </w:num>
  <w:num w:numId="42">
    <w:abstractNumId w:val="5"/>
  </w:num>
  <w:num w:numId="43">
    <w:abstractNumId w:val="35"/>
  </w:num>
  <w:num w:numId="44">
    <w:abstractNumId w:val="24"/>
  </w:num>
  <w:num w:numId="45">
    <w:abstractNumId w:val="6"/>
  </w:num>
  <w:num w:numId="46">
    <w:abstractNumId w:val="4"/>
  </w:num>
  <w:num w:numId="47">
    <w:abstractNumId w:val="32"/>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num>
  <w:num w:numId="50">
    <w:abstractNumId w:val="25"/>
    <w:lvlOverride w:ilvl="0">
      <w:lvl w:ilvl="0">
        <w:start w:val="1"/>
        <w:numFmt w:val="none"/>
        <w:pStyle w:val="AERbodytext"/>
        <w:lvlText w:val="%1"/>
        <w:lvlJc w:val="left"/>
        <w:pPr>
          <w:tabs>
            <w:tab w:val="num" w:pos="0"/>
          </w:tabs>
          <w:ind w:left="0" w:firstLine="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ocumentProtection w:formatting="1" w:enforcement="1"/>
  <w:defaultTabStop w:val="720"/>
  <w:drawingGridHorizontalSpacing w:val="100"/>
  <w:displayHorizontalDrawingGridEvery w:val="2"/>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2"/>
  </w:compat>
  <w:docVars>
    <w:docVar w:name="currentname" w:val="H:\TRIMDATA\TRIM\TEMP\HPTRIM.1800\D14 87557  AER electricity transmission - Issues paper.DOCX"/>
  </w:docVars>
  <w:rsids>
    <w:rsidRoot w:val="000C052F"/>
    <w:rsid w:val="000069E0"/>
    <w:rsid w:val="000105B6"/>
    <w:rsid w:val="00011129"/>
    <w:rsid w:val="0001156E"/>
    <w:rsid w:val="000129B8"/>
    <w:rsid w:val="00013834"/>
    <w:rsid w:val="000153E1"/>
    <w:rsid w:val="000204C3"/>
    <w:rsid w:val="00022606"/>
    <w:rsid w:val="00026F2F"/>
    <w:rsid w:val="00027073"/>
    <w:rsid w:val="0003213B"/>
    <w:rsid w:val="00035A24"/>
    <w:rsid w:val="00036C59"/>
    <w:rsid w:val="00040599"/>
    <w:rsid w:val="00040749"/>
    <w:rsid w:val="000532CD"/>
    <w:rsid w:val="00063094"/>
    <w:rsid w:val="00072618"/>
    <w:rsid w:val="00074B4C"/>
    <w:rsid w:val="000756BC"/>
    <w:rsid w:val="00077FEB"/>
    <w:rsid w:val="00081068"/>
    <w:rsid w:val="00091C19"/>
    <w:rsid w:val="000945EE"/>
    <w:rsid w:val="000A1CC2"/>
    <w:rsid w:val="000A5216"/>
    <w:rsid w:val="000A5342"/>
    <w:rsid w:val="000B15CA"/>
    <w:rsid w:val="000B5E77"/>
    <w:rsid w:val="000C052F"/>
    <w:rsid w:val="000C13BA"/>
    <w:rsid w:val="000C3430"/>
    <w:rsid w:val="000C413B"/>
    <w:rsid w:val="000C54EC"/>
    <w:rsid w:val="000D03C2"/>
    <w:rsid w:val="000D0439"/>
    <w:rsid w:val="000D04B1"/>
    <w:rsid w:val="000D28E6"/>
    <w:rsid w:val="000D2F5B"/>
    <w:rsid w:val="000D401F"/>
    <w:rsid w:val="000D6261"/>
    <w:rsid w:val="000E1A25"/>
    <w:rsid w:val="000E44B3"/>
    <w:rsid w:val="000F2F71"/>
    <w:rsid w:val="000F3A6A"/>
    <w:rsid w:val="000F6AFE"/>
    <w:rsid w:val="001033B3"/>
    <w:rsid w:val="0010372D"/>
    <w:rsid w:val="00105181"/>
    <w:rsid w:val="00105636"/>
    <w:rsid w:val="00107185"/>
    <w:rsid w:val="00107210"/>
    <w:rsid w:val="001109C6"/>
    <w:rsid w:val="001120ED"/>
    <w:rsid w:val="00115F59"/>
    <w:rsid w:val="001275BF"/>
    <w:rsid w:val="0012769B"/>
    <w:rsid w:val="0013022D"/>
    <w:rsid w:val="00133150"/>
    <w:rsid w:val="0013576A"/>
    <w:rsid w:val="00140BCA"/>
    <w:rsid w:val="0014232B"/>
    <w:rsid w:val="00143AE0"/>
    <w:rsid w:val="00144789"/>
    <w:rsid w:val="001455F0"/>
    <w:rsid w:val="00145A8A"/>
    <w:rsid w:val="00146DA7"/>
    <w:rsid w:val="00146E0F"/>
    <w:rsid w:val="00147ECA"/>
    <w:rsid w:val="001543D2"/>
    <w:rsid w:val="00155100"/>
    <w:rsid w:val="001556D5"/>
    <w:rsid w:val="001613D0"/>
    <w:rsid w:val="0016524B"/>
    <w:rsid w:val="00174026"/>
    <w:rsid w:val="00175715"/>
    <w:rsid w:val="001767F2"/>
    <w:rsid w:val="001856EE"/>
    <w:rsid w:val="001867C6"/>
    <w:rsid w:val="00187FAE"/>
    <w:rsid w:val="0019197D"/>
    <w:rsid w:val="00194C3C"/>
    <w:rsid w:val="00197413"/>
    <w:rsid w:val="001A5B4B"/>
    <w:rsid w:val="001A780F"/>
    <w:rsid w:val="001A7FB5"/>
    <w:rsid w:val="001B3CE0"/>
    <w:rsid w:val="001C12E5"/>
    <w:rsid w:val="001C1D30"/>
    <w:rsid w:val="001C2433"/>
    <w:rsid w:val="001C30E6"/>
    <w:rsid w:val="001C36F5"/>
    <w:rsid w:val="001D091E"/>
    <w:rsid w:val="001D4553"/>
    <w:rsid w:val="001D5804"/>
    <w:rsid w:val="001D6834"/>
    <w:rsid w:val="001E1704"/>
    <w:rsid w:val="001E183C"/>
    <w:rsid w:val="001E512A"/>
    <w:rsid w:val="001E5A4C"/>
    <w:rsid w:val="001F0588"/>
    <w:rsid w:val="001F7118"/>
    <w:rsid w:val="00200955"/>
    <w:rsid w:val="00201395"/>
    <w:rsid w:val="00201CD8"/>
    <w:rsid w:val="00204291"/>
    <w:rsid w:val="00205A6E"/>
    <w:rsid w:val="0020711E"/>
    <w:rsid w:val="00210880"/>
    <w:rsid w:val="0021403E"/>
    <w:rsid w:val="00215512"/>
    <w:rsid w:val="002200BA"/>
    <w:rsid w:val="002257B9"/>
    <w:rsid w:val="0023116F"/>
    <w:rsid w:val="0023137D"/>
    <w:rsid w:val="002320EF"/>
    <w:rsid w:val="002423F9"/>
    <w:rsid w:val="00244202"/>
    <w:rsid w:val="00244F24"/>
    <w:rsid w:val="00245100"/>
    <w:rsid w:val="00247499"/>
    <w:rsid w:val="002476EF"/>
    <w:rsid w:val="00252380"/>
    <w:rsid w:val="00252FDD"/>
    <w:rsid w:val="0025774B"/>
    <w:rsid w:val="00263142"/>
    <w:rsid w:val="00264E2E"/>
    <w:rsid w:val="00266710"/>
    <w:rsid w:val="00271AD4"/>
    <w:rsid w:val="002726C6"/>
    <w:rsid w:val="002771F0"/>
    <w:rsid w:val="002802AF"/>
    <w:rsid w:val="002805B8"/>
    <w:rsid w:val="002832BA"/>
    <w:rsid w:val="002938CE"/>
    <w:rsid w:val="002A4EF7"/>
    <w:rsid w:val="002A75D9"/>
    <w:rsid w:val="002B27CB"/>
    <w:rsid w:val="002B6640"/>
    <w:rsid w:val="002B78FF"/>
    <w:rsid w:val="002C318C"/>
    <w:rsid w:val="002D2160"/>
    <w:rsid w:val="002D61AC"/>
    <w:rsid w:val="002E002F"/>
    <w:rsid w:val="002E136C"/>
    <w:rsid w:val="002E4720"/>
    <w:rsid w:val="002E4812"/>
    <w:rsid w:val="002F3A5A"/>
    <w:rsid w:val="002F78A5"/>
    <w:rsid w:val="00303452"/>
    <w:rsid w:val="00303FCC"/>
    <w:rsid w:val="00316955"/>
    <w:rsid w:val="00322AB2"/>
    <w:rsid w:val="003324F7"/>
    <w:rsid w:val="003325CC"/>
    <w:rsid w:val="00333E52"/>
    <w:rsid w:val="00334F88"/>
    <w:rsid w:val="00336498"/>
    <w:rsid w:val="003434F3"/>
    <w:rsid w:val="00343D6E"/>
    <w:rsid w:val="00345C63"/>
    <w:rsid w:val="00351DC3"/>
    <w:rsid w:val="0035591E"/>
    <w:rsid w:val="00355D01"/>
    <w:rsid w:val="003640EE"/>
    <w:rsid w:val="003707DB"/>
    <w:rsid w:val="00373CBB"/>
    <w:rsid w:val="00375AEC"/>
    <w:rsid w:val="00376236"/>
    <w:rsid w:val="0037652C"/>
    <w:rsid w:val="003769FE"/>
    <w:rsid w:val="003800E4"/>
    <w:rsid w:val="00380E7D"/>
    <w:rsid w:val="00380FF5"/>
    <w:rsid w:val="0039365D"/>
    <w:rsid w:val="00393E4D"/>
    <w:rsid w:val="003A0FD5"/>
    <w:rsid w:val="003A1E33"/>
    <w:rsid w:val="003A4F2A"/>
    <w:rsid w:val="003A6174"/>
    <w:rsid w:val="003A7546"/>
    <w:rsid w:val="003B373F"/>
    <w:rsid w:val="003B4870"/>
    <w:rsid w:val="003B55E3"/>
    <w:rsid w:val="003B7050"/>
    <w:rsid w:val="003C1D4E"/>
    <w:rsid w:val="003C49F5"/>
    <w:rsid w:val="003D1D48"/>
    <w:rsid w:val="003D1F92"/>
    <w:rsid w:val="003D1FF4"/>
    <w:rsid w:val="003D3279"/>
    <w:rsid w:val="003D3A3C"/>
    <w:rsid w:val="003D56FA"/>
    <w:rsid w:val="003E01EC"/>
    <w:rsid w:val="003F36C2"/>
    <w:rsid w:val="003F51F7"/>
    <w:rsid w:val="00402AF5"/>
    <w:rsid w:val="004030AB"/>
    <w:rsid w:val="004034C8"/>
    <w:rsid w:val="00406F9A"/>
    <w:rsid w:val="00407E8D"/>
    <w:rsid w:val="00410B81"/>
    <w:rsid w:val="004115BD"/>
    <w:rsid w:val="00412282"/>
    <w:rsid w:val="004215FA"/>
    <w:rsid w:val="00424015"/>
    <w:rsid w:val="004256BA"/>
    <w:rsid w:val="00427AC4"/>
    <w:rsid w:val="00431999"/>
    <w:rsid w:val="00431B18"/>
    <w:rsid w:val="00435682"/>
    <w:rsid w:val="004359D1"/>
    <w:rsid w:val="004369F7"/>
    <w:rsid w:val="0045351C"/>
    <w:rsid w:val="00453DD1"/>
    <w:rsid w:val="0045464C"/>
    <w:rsid w:val="00454D42"/>
    <w:rsid w:val="00456081"/>
    <w:rsid w:val="00461EDA"/>
    <w:rsid w:val="0046261B"/>
    <w:rsid w:val="00462B64"/>
    <w:rsid w:val="0046382B"/>
    <w:rsid w:val="00464F5D"/>
    <w:rsid w:val="00472D74"/>
    <w:rsid w:val="00473449"/>
    <w:rsid w:val="00473AD3"/>
    <w:rsid w:val="00474CB4"/>
    <w:rsid w:val="00474FBD"/>
    <w:rsid w:val="00476CB1"/>
    <w:rsid w:val="004914CD"/>
    <w:rsid w:val="00491D7D"/>
    <w:rsid w:val="004942DF"/>
    <w:rsid w:val="004A1054"/>
    <w:rsid w:val="004A1CB4"/>
    <w:rsid w:val="004A2278"/>
    <w:rsid w:val="004B2BA2"/>
    <w:rsid w:val="004B5FAC"/>
    <w:rsid w:val="004B78E2"/>
    <w:rsid w:val="004C3F45"/>
    <w:rsid w:val="004C485F"/>
    <w:rsid w:val="004D07B4"/>
    <w:rsid w:val="004D09DD"/>
    <w:rsid w:val="004E40EF"/>
    <w:rsid w:val="004E5C2D"/>
    <w:rsid w:val="004E642C"/>
    <w:rsid w:val="004E73F7"/>
    <w:rsid w:val="004E7C97"/>
    <w:rsid w:val="004F0ADD"/>
    <w:rsid w:val="004F44BB"/>
    <w:rsid w:val="004F5E70"/>
    <w:rsid w:val="004F76A0"/>
    <w:rsid w:val="00500E7F"/>
    <w:rsid w:val="005068C9"/>
    <w:rsid w:val="00506EC2"/>
    <w:rsid w:val="005105CC"/>
    <w:rsid w:val="005138BA"/>
    <w:rsid w:val="0051677A"/>
    <w:rsid w:val="005173BB"/>
    <w:rsid w:val="00517CDB"/>
    <w:rsid w:val="0052179D"/>
    <w:rsid w:val="0052533C"/>
    <w:rsid w:val="00527927"/>
    <w:rsid w:val="00527C83"/>
    <w:rsid w:val="00535C8C"/>
    <w:rsid w:val="005417DF"/>
    <w:rsid w:val="00541EA6"/>
    <w:rsid w:val="00542B38"/>
    <w:rsid w:val="00542DF9"/>
    <w:rsid w:val="00543537"/>
    <w:rsid w:val="00544F99"/>
    <w:rsid w:val="005456A9"/>
    <w:rsid w:val="00545DD2"/>
    <w:rsid w:val="00547300"/>
    <w:rsid w:val="00551EF5"/>
    <w:rsid w:val="00552249"/>
    <w:rsid w:val="00555D52"/>
    <w:rsid w:val="005566D7"/>
    <w:rsid w:val="00561F7F"/>
    <w:rsid w:val="00566B35"/>
    <w:rsid w:val="00567739"/>
    <w:rsid w:val="005711CB"/>
    <w:rsid w:val="00572C81"/>
    <w:rsid w:val="00572CA5"/>
    <w:rsid w:val="00572CF3"/>
    <w:rsid w:val="005732CC"/>
    <w:rsid w:val="00575422"/>
    <w:rsid w:val="005774DE"/>
    <w:rsid w:val="00580D2D"/>
    <w:rsid w:val="00581368"/>
    <w:rsid w:val="00583DE7"/>
    <w:rsid w:val="00584644"/>
    <w:rsid w:val="0058798D"/>
    <w:rsid w:val="00590B71"/>
    <w:rsid w:val="005938C6"/>
    <w:rsid w:val="00594049"/>
    <w:rsid w:val="005A0431"/>
    <w:rsid w:val="005B06C4"/>
    <w:rsid w:val="005B1A40"/>
    <w:rsid w:val="005B3752"/>
    <w:rsid w:val="005B39A8"/>
    <w:rsid w:val="005B61C2"/>
    <w:rsid w:val="005D0C0E"/>
    <w:rsid w:val="005D26B7"/>
    <w:rsid w:val="005D46CC"/>
    <w:rsid w:val="005D4AA1"/>
    <w:rsid w:val="005F2510"/>
    <w:rsid w:val="005F454E"/>
    <w:rsid w:val="0060146C"/>
    <w:rsid w:val="0060207D"/>
    <w:rsid w:val="006039F2"/>
    <w:rsid w:val="006061B0"/>
    <w:rsid w:val="0060732E"/>
    <w:rsid w:val="006076A9"/>
    <w:rsid w:val="00610B7D"/>
    <w:rsid w:val="00617E42"/>
    <w:rsid w:val="0062087E"/>
    <w:rsid w:val="00626D50"/>
    <w:rsid w:val="006360F2"/>
    <w:rsid w:val="00641ECB"/>
    <w:rsid w:val="006431D0"/>
    <w:rsid w:val="006544EA"/>
    <w:rsid w:val="00654966"/>
    <w:rsid w:val="00660736"/>
    <w:rsid w:val="00660DF5"/>
    <w:rsid w:val="0066569F"/>
    <w:rsid w:val="006720EE"/>
    <w:rsid w:val="00672306"/>
    <w:rsid w:val="006772C7"/>
    <w:rsid w:val="0067797C"/>
    <w:rsid w:val="00686AD9"/>
    <w:rsid w:val="00687629"/>
    <w:rsid w:val="0069004B"/>
    <w:rsid w:val="00693CF9"/>
    <w:rsid w:val="00697751"/>
    <w:rsid w:val="006A227C"/>
    <w:rsid w:val="006A32D1"/>
    <w:rsid w:val="006A3ED5"/>
    <w:rsid w:val="006A5AD2"/>
    <w:rsid w:val="006A5D2B"/>
    <w:rsid w:val="006A6F8D"/>
    <w:rsid w:val="006A738D"/>
    <w:rsid w:val="006B08EB"/>
    <w:rsid w:val="006B481F"/>
    <w:rsid w:val="006C03E1"/>
    <w:rsid w:val="006C2B26"/>
    <w:rsid w:val="006C305D"/>
    <w:rsid w:val="006C5510"/>
    <w:rsid w:val="006C63AE"/>
    <w:rsid w:val="006C649D"/>
    <w:rsid w:val="006D1053"/>
    <w:rsid w:val="006E2623"/>
    <w:rsid w:val="006E4CA1"/>
    <w:rsid w:val="006F4B8B"/>
    <w:rsid w:val="006F638E"/>
    <w:rsid w:val="006F754B"/>
    <w:rsid w:val="00701382"/>
    <w:rsid w:val="00703E42"/>
    <w:rsid w:val="00707835"/>
    <w:rsid w:val="00710BD0"/>
    <w:rsid w:val="007113BD"/>
    <w:rsid w:val="007132B6"/>
    <w:rsid w:val="0072066E"/>
    <w:rsid w:val="00722F76"/>
    <w:rsid w:val="0072548C"/>
    <w:rsid w:val="00725C1B"/>
    <w:rsid w:val="00731C94"/>
    <w:rsid w:val="007368AD"/>
    <w:rsid w:val="00737296"/>
    <w:rsid w:val="0074092C"/>
    <w:rsid w:val="007418B1"/>
    <w:rsid w:val="00744118"/>
    <w:rsid w:val="0074598F"/>
    <w:rsid w:val="00751D2A"/>
    <w:rsid w:val="0075409F"/>
    <w:rsid w:val="00755095"/>
    <w:rsid w:val="00756C60"/>
    <w:rsid w:val="00760AB2"/>
    <w:rsid w:val="00763446"/>
    <w:rsid w:val="00766E77"/>
    <w:rsid w:val="00766FCF"/>
    <w:rsid w:val="0079198F"/>
    <w:rsid w:val="00793D5A"/>
    <w:rsid w:val="00796A07"/>
    <w:rsid w:val="00796F5F"/>
    <w:rsid w:val="007A43BC"/>
    <w:rsid w:val="007A69A3"/>
    <w:rsid w:val="007A73A2"/>
    <w:rsid w:val="007B01FE"/>
    <w:rsid w:val="007B1E39"/>
    <w:rsid w:val="007C16DD"/>
    <w:rsid w:val="007C1F6F"/>
    <w:rsid w:val="007C7D43"/>
    <w:rsid w:val="007D13A8"/>
    <w:rsid w:val="007D4E90"/>
    <w:rsid w:val="007D569B"/>
    <w:rsid w:val="007E5040"/>
    <w:rsid w:val="007E7CFC"/>
    <w:rsid w:val="007F0C9C"/>
    <w:rsid w:val="007F10E3"/>
    <w:rsid w:val="007F2C0E"/>
    <w:rsid w:val="007F3F3C"/>
    <w:rsid w:val="007F654C"/>
    <w:rsid w:val="007F6BDC"/>
    <w:rsid w:val="007F6D14"/>
    <w:rsid w:val="00801B4C"/>
    <w:rsid w:val="00804AEB"/>
    <w:rsid w:val="00816142"/>
    <w:rsid w:val="00817D0C"/>
    <w:rsid w:val="00824CC8"/>
    <w:rsid w:val="00825020"/>
    <w:rsid w:val="00826448"/>
    <w:rsid w:val="008339E4"/>
    <w:rsid w:val="0083488D"/>
    <w:rsid w:val="00836D17"/>
    <w:rsid w:val="00840A55"/>
    <w:rsid w:val="00841E25"/>
    <w:rsid w:val="0084393F"/>
    <w:rsid w:val="008464CD"/>
    <w:rsid w:val="008515EE"/>
    <w:rsid w:val="008550FB"/>
    <w:rsid w:val="008568D8"/>
    <w:rsid w:val="00861C4E"/>
    <w:rsid w:val="0086539F"/>
    <w:rsid w:val="00866D21"/>
    <w:rsid w:val="00872259"/>
    <w:rsid w:val="00872D85"/>
    <w:rsid w:val="008745FB"/>
    <w:rsid w:val="008750BC"/>
    <w:rsid w:val="008753E9"/>
    <w:rsid w:val="00881A9C"/>
    <w:rsid w:val="00883DDA"/>
    <w:rsid w:val="0088713F"/>
    <w:rsid w:val="00891FF9"/>
    <w:rsid w:val="008928B2"/>
    <w:rsid w:val="00892DA2"/>
    <w:rsid w:val="00893367"/>
    <w:rsid w:val="00893D07"/>
    <w:rsid w:val="008978DC"/>
    <w:rsid w:val="008A51C8"/>
    <w:rsid w:val="008A7A16"/>
    <w:rsid w:val="008B5689"/>
    <w:rsid w:val="008B7956"/>
    <w:rsid w:val="008B7C18"/>
    <w:rsid w:val="008C1259"/>
    <w:rsid w:val="008C29DB"/>
    <w:rsid w:val="008C3722"/>
    <w:rsid w:val="008C3B67"/>
    <w:rsid w:val="008C3F48"/>
    <w:rsid w:val="008D49B4"/>
    <w:rsid w:val="008D5D3B"/>
    <w:rsid w:val="008D7498"/>
    <w:rsid w:val="008D76F8"/>
    <w:rsid w:val="008E1337"/>
    <w:rsid w:val="008F3CC5"/>
    <w:rsid w:val="008F7595"/>
    <w:rsid w:val="009019C4"/>
    <w:rsid w:val="00902CD2"/>
    <w:rsid w:val="0090338F"/>
    <w:rsid w:val="009074BD"/>
    <w:rsid w:val="00917BD7"/>
    <w:rsid w:val="00920782"/>
    <w:rsid w:val="0092344B"/>
    <w:rsid w:val="00925054"/>
    <w:rsid w:val="00925743"/>
    <w:rsid w:val="00925CEA"/>
    <w:rsid w:val="0093105E"/>
    <w:rsid w:val="00932C59"/>
    <w:rsid w:val="00932E96"/>
    <w:rsid w:val="00941018"/>
    <w:rsid w:val="009418E6"/>
    <w:rsid w:val="0094235F"/>
    <w:rsid w:val="0094279F"/>
    <w:rsid w:val="00946B98"/>
    <w:rsid w:val="00946CFE"/>
    <w:rsid w:val="0095052A"/>
    <w:rsid w:val="00952EE8"/>
    <w:rsid w:val="009564DF"/>
    <w:rsid w:val="00956D5A"/>
    <w:rsid w:val="00961864"/>
    <w:rsid w:val="00964094"/>
    <w:rsid w:val="00965511"/>
    <w:rsid w:val="009658F0"/>
    <w:rsid w:val="00971655"/>
    <w:rsid w:val="00971C63"/>
    <w:rsid w:val="00991876"/>
    <w:rsid w:val="00991EDD"/>
    <w:rsid w:val="009925F5"/>
    <w:rsid w:val="0099659C"/>
    <w:rsid w:val="009A38F8"/>
    <w:rsid w:val="009A4AE9"/>
    <w:rsid w:val="009A5622"/>
    <w:rsid w:val="009B2BD3"/>
    <w:rsid w:val="009B54A0"/>
    <w:rsid w:val="009B743F"/>
    <w:rsid w:val="009B77B5"/>
    <w:rsid w:val="009C6EF5"/>
    <w:rsid w:val="009C71D5"/>
    <w:rsid w:val="009D3C0F"/>
    <w:rsid w:val="009D7671"/>
    <w:rsid w:val="009F10DE"/>
    <w:rsid w:val="009F1484"/>
    <w:rsid w:val="009F4137"/>
    <w:rsid w:val="009F5C2E"/>
    <w:rsid w:val="009F7CE4"/>
    <w:rsid w:val="00A04447"/>
    <w:rsid w:val="00A11162"/>
    <w:rsid w:val="00A120A7"/>
    <w:rsid w:val="00A159A5"/>
    <w:rsid w:val="00A179A9"/>
    <w:rsid w:val="00A210CE"/>
    <w:rsid w:val="00A27C35"/>
    <w:rsid w:val="00A32CA3"/>
    <w:rsid w:val="00A41240"/>
    <w:rsid w:val="00A43227"/>
    <w:rsid w:val="00A43628"/>
    <w:rsid w:val="00A46CCD"/>
    <w:rsid w:val="00A517AB"/>
    <w:rsid w:val="00A54A27"/>
    <w:rsid w:val="00A62150"/>
    <w:rsid w:val="00A65133"/>
    <w:rsid w:val="00A652C5"/>
    <w:rsid w:val="00A7277F"/>
    <w:rsid w:val="00A72D8E"/>
    <w:rsid w:val="00A750C8"/>
    <w:rsid w:val="00A75C1F"/>
    <w:rsid w:val="00A8135B"/>
    <w:rsid w:val="00A85C5A"/>
    <w:rsid w:val="00A8649A"/>
    <w:rsid w:val="00A92472"/>
    <w:rsid w:val="00A93DC3"/>
    <w:rsid w:val="00A964C5"/>
    <w:rsid w:val="00A9689D"/>
    <w:rsid w:val="00A96A08"/>
    <w:rsid w:val="00AA0161"/>
    <w:rsid w:val="00AB1D08"/>
    <w:rsid w:val="00AB4345"/>
    <w:rsid w:val="00AB5BD7"/>
    <w:rsid w:val="00AC0135"/>
    <w:rsid w:val="00AC070D"/>
    <w:rsid w:val="00AC1B94"/>
    <w:rsid w:val="00AD0616"/>
    <w:rsid w:val="00AD122D"/>
    <w:rsid w:val="00AD285C"/>
    <w:rsid w:val="00AD34FF"/>
    <w:rsid w:val="00AD4754"/>
    <w:rsid w:val="00AD4DE6"/>
    <w:rsid w:val="00AE0D1B"/>
    <w:rsid w:val="00AE295A"/>
    <w:rsid w:val="00AE45FC"/>
    <w:rsid w:val="00AE4B10"/>
    <w:rsid w:val="00AE54FB"/>
    <w:rsid w:val="00AE6DBC"/>
    <w:rsid w:val="00AE7C25"/>
    <w:rsid w:val="00AF15F1"/>
    <w:rsid w:val="00AF3E95"/>
    <w:rsid w:val="00AF4B27"/>
    <w:rsid w:val="00AF4BE4"/>
    <w:rsid w:val="00AF7C67"/>
    <w:rsid w:val="00B00C2A"/>
    <w:rsid w:val="00B04293"/>
    <w:rsid w:val="00B05A0F"/>
    <w:rsid w:val="00B06FE4"/>
    <w:rsid w:val="00B11A54"/>
    <w:rsid w:val="00B15FE9"/>
    <w:rsid w:val="00B26011"/>
    <w:rsid w:val="00B2706F"/>
    <w:rsid w:val="00B27D9D"/>
    <w:rsid w:val="00B359BE"/>
    <w:rsid w:val="00B365F6"/>
    <w:rsid w:val="00B40456"/>
    <w:rsid w:val="00B5122D"/>
    <w:rsid w:val="00B51883"/>
    <w:rsid w:val="00B53DCC"/>
    <w:rsid w:val="00B54D87"/>
    <w:rsid w:val="00B55C98"/>
    <w:rsid w:val="00B61FD4"/>
    <w:rsid w:val="00B62AC5"/>
    <w:rsid w:val="00B63CAD"/>
    <w:rsid w:val="00B674DB"/>
    <w:rsid w:val="00B72F5B"/>
    <w:rsid w:val="00B746F1"/>
    <w:rsid w:val="00B7526E"/>
    <w:rsid w:val="00B768CF"/>
    <w:rsid w:val="00B80393"/>
    <w:rsid w:val="00B81560"/>
    <w:rsid w:val="00B8234A"/>
    <w:rsid w:val="00B82E8D"/>
    <w:rsid w:val="00B9264D"/>
    <w:rsid w:val="00B94D99"/>
    <w:rsid w:val="00BA535A"/>
    <w:rsid w:val="00BA7F0D"/>
    <w:rsid w:val="00BB1BFF"/>
    <w:rsid w:val="00BB3FA1"/>
    <w:rsid w:val="00BB62BB"/>
    <w:rsid w:val="00BB63CD"/>
    <w:rsid w:val="00BC05C5"/>
    <w:rsid w:val="00BC24D7"/>
    <w:rsid w:val="00BC2BD6"/>
    <w:rsid w:val="00BC4552"/>
    <w:rsid w:val="00BC5FD6"/>
    <w:rsid w:val="00BC6450"/>
    <w:rsid w:val="00BC797D"/>
    <w:rsid w:val="00BD04BE"/>
    <w:rsid w:val="00BD2B50"/>
    <w:rsid w:val="00BD71AA"/>
    <w:rsid w:val="00BE6F28"/>
    <w:rsid w:val="00BF29FA"/>
    <w:rsid w:val="00BF3170"/>
    <w:rsid w:val="00C04D2B"/>
    <w:rsid w:val="00C054C4"/>
    <w:rsid w:val="00C0670D"/>
    <w:rsid w:val="00C1046F"/>
    <w:rsid w:val="00C10F30"/>
    <w:rsid w:val="00C11829"/>
    <w:rsid w:val="00C23245"/>
    <w:rsid w:val="00C239FC"/>
    <w:rsid w:val="00C27A12"/>
    <w:rsid w:val="00C3122B"/>
    <w:rsid w:val="00C31EA5"/>
    <w:rsid w:val="00C43CD1"/>
    <w:rsid w:val="00C465BF"/>
    <w:rsid w:val="00C52301"/>
    <w:rsid w:val="00C63654"/>
    <w:rsid w:val="00C65766"/>
    <w:rsid w:val="00C65FC2"/>
    <w:rsid w:val="00C737C5"/>
    <w:rsid w:val="00C82E64"/>
    <w:rsid w:val="00C9165C"/>
    <w:rsid w:val="00C92D86"/>
    <w:rsid w:val="00C93D7C"/>
    <w:rsid w:val="00CA0AB7"/>
    <w:rsid w:val="00CA3540"/>
    <w:rsid w:val="00CA566B"/>
    <w:rsid w:val="00CA6DED"/>
    <w:rsid w:val="00CC31E3"/>
    <w:rsid w:val="00CC404B"/>
    <w:rsid w:val="00CC49D4"/>
    <w:rsid w:val="00CC722A"/>
    <w:rsid w:val="00CC7F5C"/>
    <w:rsid w:val="00CD0CA0"/>
    <w:rsid w:val="00CD22B3"/>
    <w:rsid w:val="00CD5B40"/>
    <w:rsid w:val="00CE1E4E"/>
    <w:rsid w:val="00CE6F5A"/>
    <w:rsid w:val="00CF42CF"/>
    <w:rsid w:val="00D00304"/>
    <w:rsid w:val="00D03D56"/>
    <w:rsid w:val="00D0535C"/>
    <w:rsid w:val="00D102E9"/>
    <w:rsid w:val="00D14186"/>
    <w:rsid w:val="00D15FCC"/>
    <w:rsid w:val="00D1688F"/>
    <w:rsid w:val="00D2117F"/>
    <w:rsid w:val="00D25317"/>
    <w:rsid w:val="00D25F38"/>
    <w:rsid w:val="00D2651B"/>
    <w:rsid w:val="00D406AD"/>
    <w:rsid w:val="00D413D5"/>
    <w:rsid w:val="00D4460B"/>
    <w:rsid w:val="00D46EF4"/>
    <w:rsid w:val="00D50BA1"/>
    <w:rsid w:val="00D55A8E"/>
    <w:rsid w:val="00D647FC"/>
    <w:rsid w:val="00D66E8B"/>
    <w:rsid w:val="00D67F8C"/>
    <w:rsid w:val="00D81551"/>
    <w:rsid w:val="00D85715"/>
    <w:rsid w:val="00D8706C"/>
    <w:rsid w:val="00DA0A46"/>
    <w:rsid w:val="00DA4C62"/>
    <w:rsid w:val="00DA5E98"/>
    <w:rsid w:val="00DA7A13"/>
    <w:rsid w:val="00DB07A7"/>
    <w:rsid w:val="00DB0E75"/>
    <w:rsid w:val="00DB1769"/>
    <w:rsid w:val="00DB5D06"/>
    <w:rsid w:val="00DB6A17"/>
    <w:rsid w:val="00DC1D02"/>
    <w:rsid w:val="00DC5267"/>
    <w:rsid w:val="00DD0BE4"/>
    <w:rsid w:val="00DD4E84"/>
    <w:rsid w:val="00DD5520"/>
    <w:rsid w:val="00DD67D6"/>
    <w:rsid w:val="00DD6F68"/>
    <w:rsid w:val="00DE0CA8"/>
    <w:rsid w:val="00DE43E9"/>
    <w:rsid w:val="00DF16C2"/>
    <w:rsid w:val="00DF536D"/>
    <w:rsid w:val="00DF58B0"/>
    <w:rsid w:val="00DF7490"/>
    <w:rsid w:val="00E00F76"/>
    <w:rsid w:val="00E021E9"/>
    <w:rsid w:val="00E04788"/>
    <w:rsid w:val="00E1160D"/>
    <w:rsid w:val="00E118D1"/>
    <w:rsid w:val="00E138B7"/>
    <w:rsid w:val="00E141D5"/>
    <w:rsid w:val="00E21E75"/>
    <w:rsid w:val="00E246D9"/>
    <w:rsid w:val="00E44EC5"/>
    <w:rsid w:val="00E50747"/>
    <w:rsid w:val="00E519DC"/>
    <w:rsid w:val="00E5775B"/>
    <w:rsid w:val="00E613D8"/>
    <w:rsid w:val="00E807DA"/>
    <w:rsid w:val="00E82CB0"/>
    <w:rsid w:val="00E83ED5"/>
    <w:rsid w:val="00E848B6"/>
    <w:rsid w:val="00E84BE6"/>
    <w:rsid w:val="00E84E3A"/>
    <w:rsid w:val="00E851F5"/>
    <w:rsid w:val="00E878DC"/>
    <w:rsid w:val="00E91C12"/>
    <w:rsid w:val="00E952A8"/>
    <w:rsid w:val="00E95463"/>
    <w:rsid w:val="00EA05AF"/>
    <w:rsid w:val="00EA4C87"/>
    <w:rsid w:val="00EA57F0"/>
    <w:rsid w:val="00EA606C"/>
    <w:rsid w:val="00EA78BF"/>
    <w:rsid w:val="00EB07D0"/>
    <w:rsid w:val="00EB26BB"/>
    <w:rsid w:val="00EB43B5"/>
    <w:rsid w:val="00EB5CDF"/>
    <w:rsid w:val="00EB7A05"/>
    <w:rsid w:val="00EC3B95"/>
    <w:rsid w:val="00EC43B9"/>
    <w:rsid w:val="00ED0E34"/>
    <w:rsid w:val="00ED36E7"/>
    <w:rsid w:val="00ED4637"/>
    <w:rsid w:val="00ED4D69"/>
    <w:rsid w:val="00ED548E"/>
    <w:rsid w:val="00ED7381"/>
    <w:rsid w:val="00EE362F"/>
    <w:rsid w:val="00EE7C37"/>
    <w:rsid w:val="00EF09BB"/>
    <w:rsid w:val="00EF0E19"/>
    <w:rsid w:val="00F03438"/>
    <w:rsid w:val="00F114AE"/>
    <w:rsid w:val="00F23E72"/>
    <w:rsid w:val="00F24E34"/>
    <w:rsid w:val="00F3190B"/>
    <w:rsid w:val="00F31FF4"/>
    <w:rsid w:val="00F41289"/>
    <w:rsid w:val="00F43CA0"/>
    <w:rsid w:val="00F47C45"/>
    <w:rsid w:val="00F535E1"/>
    <w:rsid w:val="00F53C40"/>
    <w:rsid w:val="00F54138"/>
    <w:rsid w:val="00F55030"/>
    <w:rsid w:val="00F552B7"/>
    <w:rsid w:val="00F601BE"/>
    <w:rsid w:val="00F605FF"/>
    <w:rsid w:val="00F60F1F"/>
    <w:rsid w:val="00F7696F"/>
    <w:rsid w:val="00F8209B"/>
    <w:rsid w:val="00F82BC6"/>
    <w:rsid w:val="00F84E62"/>
    <w:rsid w:val="00F85E72"/>
    <w:rsid w:val="00F867DB"/>
    <w:rsid w:val="00F90442"/>
    <w:rsid w:val="00F944E0"/>
    <w:rsid w:val="00F97CD9"/>
    <w:rsid w:val="00FA0576"/>
    <w:rsid w:val="00FA2F8A"/>
    <w:rsid w:val="00FB50B4"/>
    <w:rsid w:val="00FC07AE"/>
    <w:rsid w:val="00FD4B97"/>
    <w:rsid w:val="00FD7D37"/>
    <w:rsid w:val="00FE55EB"/>
    <w:rsid w:val="00FF20A4"/>
    <w:rsid w:val="00FF3C95"/>
    <w:rsid w:val="00FF3E02"/>
    <w:rsid w:val="00FF57FA"/>
    <w:rsid w:val="00FF64E8"/>
    <w:rsid w:val="00FF73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utami" w:eastAsia="Calibri" w:hAnsi="Gautami" w:cs="Times New Roman"/>
        <w:lang w:val="en-AU" w:eastAsia="en-AU"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semiHidden="0" w:uiPriority="9" w:unhideWhenUsed="0" w:qFormat="1"/>
    <w:lsdException w:name="heading 3" w:locked="0" w:semiHidden="0" w:uiPriority="9" w:unhideWhenUsed="0" w:qFormat="1"/>
    <w:lsdException w:name="heading 4" w:semiHidden="0" w:uiPriority="9" w:unhideWhenUsed="0" w:qFormat="1"/>
    <w:lsdException w:name="heading 5" w:uiPriority="9" w:qFormat="1"/>
    <w:lsdException w:name="heading 6" w:uiPriority="9" w:qFormat="1"/>
    <w:lsdException w:name="heading 7" w:locked="0" w:uiPriority="9" w:qFormat="1"/>
    <w:lsdException w:name="heading 8" w:locked="0" w:uiPriority="9" w:qFormat="1"/>
    <w:lsdException w:name="heading 9" w:locked="0" w:uiPriority="9"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uiPriority="39" w:qFormat="1"/>
    <w:lsdException w:name="toc 2" w:locked="0" w:uiPriority="39" w:qFormat="1"/>
    <w:lsdException w:name="toc 3" w:locked="0"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locked="0" w:qFormat="1"/>
    <w:lsdException w:name="header" w:locked="0"/>
    <w:lsdException w:name="footer" w:locked="0" w:qFormat="1"/>
    <w:lsdException w:name="index heading" w:locked="0"/>
    <w:lsdException w:name="caption" w:locked="0" w:uiPriority="35" w:qFormat="1"/>
    <w:lsdException w:name="table of figures" w:locked="0"/>
    <w:lsdException w:name="envelope address" w:locked="0"/>
    <w:lsdException w:name="envelope return" w:locked="0"/>
    <w:lsdException w:name="footnote reference" w:locked="0"/>
    <w:lsdException w:name="line number" w:locked="0"/>
    <w:lsdException w:name="page number" w:locked="0" w:uiPriority="0"/>
    <w:lsdException w:name="endnote reference" w:locked="0"/>
    <w:lsdException w:name="endnote text" w:locked="0"/>
    <w:lsdException w:name="table of authorities" w:locked="0"/>
    <w:lsdException w:name="macro" w:locked="0"/>
    <w:lsdException w:name="toa heading" w:locked="0"/>
    <w:lsdException w:name="Title" w:locked="0" w:uiPriority="10"/>
    <w:lsdException w:name="Closing" w:locked="0"/>
    <w:lsdException w:name="Signature" w:locked="0"/>
    <w:lsdException w:name="Default Paragraph Font" w:locked="0" w:uiPriority="1"/>
    <w:lsdException w:name="Message Header" w:locked="0"/>
    <w:lsdException w:name="Subtitle" w:locked="0" w:uiPriority="11" w:qFormat="1"/>
    <w:lsdException w:name="Salutation" w:locked="0"/>
    <w:lsdException w:name="Date" w:locked="0"/>
    <w:lsdException w:name="Note Heading" w:locked="0"/>
    <w:lsdException w:name="Hyperlink" w:locked="0"/>
    <w:lsdException w:name="FollowedHyperlink" w:locked="0"/>
    <w:lsdException w:name="Strong" w:locked="0" w:uiPriority="22" w:qFormat="1"/>
    <w:lsdException w:name="Emphasis" w:locked="0" w:uiPriority="20" w:qFormat="1"/>
    <w:lsdException w:name="Document Map" w:locked="0"/>
    <w:lsdException w:name="Plain Text" w:locked="0"/>
    <w:lsdException w:name="E-mail Signature" w:locked="0"/>
    <w:lsdException w:name="HTML Top of Form" w:locked="0"/>
    <w:lsdException w:name="HTML Bottom of Form"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lsdException w:name="HTML Sample" w:locked="0"/>
    <w:lsdException w:name="HTML Typewriter" w:locked="0"/>
    <w:lsdException w:name="HTML Variable" w:locked="0"/>
    <w:lsdException w:name="Normal Table" w:locked="0"/>
    <w:lsdException w:name="No List" w:locked="0"/>
    <w:lsdException w:name="Outline List 3" w:locked="0"/>
    <w:lsdException w:name="Table Grid" w:locked="0" w:semiHidden="0" w:uiPriority="59" w:unhideWhenUsed="0"/>
    <w:lsdException w:name="Placeholder Text" w:locked="0"/>
    <w:lsdException w:name="No Spacing" w:locked="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uiPriority="34" w:qFormat="1"/>
    <w:lsdException w:name="Quote" w:locked="0" w:uiPriority="29" w:qFormat="1"/>
    <w:lsdException w:name="Intense Quote" w:locked="0"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uiPriority="37"/>
    <w:lsdException w:name="TOC Heading" w:uiPriority="39" w:qFormat="1"/>
  </w:latentStyles>
  <w:style w:type="paragraph" w:default="1" w:styleId="Normal">
    <w:name w:val="Normal"/>
    <w:qFormat/>
    <w:rsid w:val="00AF4BE4"/>
    <w:pPr>
      <w:spacing w:after="240" w:line="288" w:lineRule="auto"/>
      <w:jc w:val="both"/>
    </w:pPr>
    <w:rPr>
      <w:lang w:eastAsia="en-US"/>
    </w:rPr>
  </w:style>
  <w:style w:type="paragraph" w:styleId="Heading1">
    <w:name w:val="heading 1"/>
    <w:next w:val="AERbodytext"/>
    <w:link w:val="Heading1Char"/>
    <w:uiPriority w:val="9"/>
    <w:qFormat/>
    <w:rsid w:val="00B94D99"/>
    <w:pPr>
      <w:keepNext/>
      <w:keepLines/>
      <w:pageBreakBefore/>
      <w:numPr>
        <w:ilvl w:val="1"/>
        <w:numId w:val="43"/>
      </w:numPr>
      <w:spacing w:before="120" w:after="120" w:line="288" w:lineRule="auto"/>
      <w:outlineLvl w:val="0"/>
    </w:pPr>
    <w:rPr>
      <w:rFonts w:eastAsia="Times New Roman"/>
      <w:b/>
      <w:bCs/>
      <w:color w:val="E36C0A"/>
      <w:sz w:val="36"/>
      <w:szCs w:val="28"/>
      <w:lang w:eastAsia="en-US"/>
    </w:rPr>
  </w:style>
  <w:style w:type="paragraph" w:styleId="Heading2">
    <w:name w:val="heading 2"/>
    <w:basedOn w:val="Heading1"/>
    <w:next w:val="AERbodytext"/>
    <w:link w:val="Heading2Char"/>
    <w:uiPriority w:val="9"/>
    <w:qFormat/>
    <w:rsid w:val="000A1CC2"/>
    <w:pPr>
      <w:pageBreakBefore w:val="0"/>
      <w:numPr>
        <w:ilvl w:val="2"/>
      </w:numPr>
      <w:outlineLvl w:val="1"/>
    </w:pPr>
    <w:rPr>
      <w:bCs w:val="0"/>
      <w:sz w:val="28"/>
      <w:szCs w:val="26"/>
    </w:rPr>
  </w:style>
  <w:style w:type="paragraph" w:styleId="Heading3">
    <w:name w:val="heading 3"/>
    <w:basedOn w:val="Heading2"/>
    <w:next w:val="AERbodytext"/>
    <w:link w:val="Heading3Char"/>
    <w:uiPriority w:val="9"/>
    <w:qFormat/>
    <w:rsid w:val="000A1CC2"/>
    <w:pPr>
      <w:numPr>
        <w:ilvl w:val="3"/>
      </w:numPr>
      <w:outlineLvl w:val="2"/>
    </w:pPr>
    <w:rPr>
      <w:bCs/>
      <w:sz w:val="24"/>
    </w:rPr>
  </w:style>
  <w:style w:type="paragraph" w:styleId="Heading4">
    <w:name w:val="heading 4"/>
    <w:basedOn w:val="AERbodytext"/>
    <w:next w:val="AERbodytext"/>
    <w:link w:val="Heading4Char"/>
    <w:uiPriority w:val="9"/>
    <w:semiHidden/>
    <w:qFormat/>
    <w:rsid w:val="005A0431"/>
    <w:pPr>
      <w:keepNext/>
      <w:numPr>
        <w:numId w:val="0"/>
      </w:numPr>
      <w:outlineLvl w:val="3"/>
    </w:pPr>
    <w:rPr>
      <w:b/>
      <w:iCs/>
      <w:color w:val="FF0000"/>
      <w:sz w:val="22"/>
    </w:rPr>
  </w:style>
  <w:style w:type="paragraph" w:styleId="Heading5">
    <w:name w:val="heading 5"/>
    <w:basedOn w:val="Heading4"/>
    <w:next w:val="AERbodytext"/>
    <w:link w:val="Heading5Char"/>
    <w:uiPriority w:val="9"/>
    <w:semiHidden/>
    <w:qFormat/>
    <w:rsid w:val="005A0431"/>
    <w:pPr>
      <w:numPr>
        <w:ilvl w:val="5"/>
      </w:numPr>
      <w:outlineLvl w:val="4"/>
    </w:pPr>
    <w:rPr>
      <w:i/>
      <w:sz w:val="20"/>
    </w:rPr>
  </w:style>
  <w:style w:type="paragraph" w:styleId="Heading6">
    <w:name w:val="heading 6"/>
    <w:basedOn w:val="Heading5"/>
    <w:next w:val="AERbodytext"/>
    <w:link w:val="Heading6Char"/>
    <w:uiPriority w:val="9"/>
    <w:semiHidden/>
    <w:qFormat/>
    <w:rsid w:val="005A0431"/>
    <w:pPr>
      <w:numPr>
        <w:ilvl w:val="6"/>
      </w:numPr>
      <w:outlineLvl w:val="5"/>
    </w:pPr>
    <w:rPr>
      <w:b w:val="0"/>
      <w:iCs w:val="0"/>
    </w:rPr>
  </w:style>
  <w:style w:type="paragraph" w:styleId="Heading7">
    <w:name w:val="heading 7"/>
    <w:basedOn w:val="UnnumberedHeading"/>
    <w:next w:val="AERbodytext"/>
    <w:link w:val="Heading7Char"/>
    <w:uiPriority w:val="9"/>
    <w:qFormat/>
    <w:rsid w:val="00303452"/>
    <w:pPr>
      <w:numPr>
        <w:ilvl w:val="4"/>
      </w:numPr>
      <w:outlineLvl w:val="6"/>
    </w:pPr>
    <w:rPr>
      <w:iCs/>
      <w:szCs w:val="24"/>
    </w:rPr>
  </w:style>
  <w:style w:type="paragraph" w:styleId="Heading8">
    <w:name w:val="heading 8"/>
    <w:basedOn w:val="Heading7"/>
    <w:next w:val="AERbodytext"/>
    <w:link w:val="Heading8Char"/>
    <w:uiPriority w:val="9"/>
    <w:qFormat/>
    <w:rsid w:val="00303452"/>
    <w:pPr>
      <w:pageBreakBefore w:val="0"/>
      <w:numPr>
        <w:ilvl w:val="5"/>
      </w:numPr>
      <w:outlineLvl w:val="7"/>
    </w:pPr>
    <w:rPr>
      <w:sz w:val="28"/>
      <w:szCs w:val="20"/>
    </w:rPr>
  </w:style>
  <w:style w:type="paragraph" w:styleId="Heading9">
    <w:name w:val="heading 9"/>
    <w:basedOn w:val="Heading8"/>
    <w:next w:val="AERbodytext"/>
    <w:link w:val="Heading9Char"/>
    <w:uiPriority w:val="9"/>
    <w:qFormat/>
    <w:rsid w:val="00303452"/>
    <w:pPr>
      <w:numPr>
        <w:ilvl w:val="6"/>
      </w:numPr>
      <w:outlineLvl w:val="8"/>
    </w:pPr>
    <w:rPr>
      <w:iCs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ERHeadings">
    <w:name w:val="AER Headings"/>
    <w:uiPriority w:val="99"/>
    <w:rsid w:val="004E73F7"/>
    <w:pPr>
      <w:numPr>
        <w:numId w:val="2"/>
      </w:numPr>
    </w:pPr>
  </w:style>
  <w:style w:type="character" w:customStyle="1" w:styleId="Heading1Char">
    <w:name w:val="Heading 1 Char"/>
    <w:basedOn w:val="DefaultParagraphFont"/>
    <w:link w:val="Heading1"/>
    <w:uiPriority w:val="9"/>
    <w:rsid w:val="00B94D99"/>
    <w:rPr>
      <w:rFonts w:eastAsia="Times New Roman"/>
      <w:b/>
      <w:bCs/>
      <w:color w:val="E36C0A"/>
      <w:sz w:val="36"/>
      <w:szCs w:val="28"/>
      <w:lang w:eastAsia="en-US"/>
    </w:rPr>
  </w:style>
  <w:style w:type="character" w:customStyle="1" w:styleId="Heading2Char">
    <w:name w:val="Heading 2 Char"/>
    <w:basedOn w:val="DefaultParagraphFont"/>
    <w:link w:val="Heading2"/>
    <w:uiPriority w:val="9"/>
    <w:rsid w:val="000A1CC2"/>
    <w:rPr>
      <w:rFonts w:ascii="Gautami" w:eastAsia="Times New Roman" w:hAnsi="Gautami" w:cs="Times New Roman"/>
      <w:b/>
      <w:color w:val="F79646"/>
      <w:sz w:val="28"/>
      <w:szCs w:val="26"/>
    </w:rPr>
  </w:style>
  <w:style w:type="character" w:customStyle="1" w:styleId="Heading3Char">
    <w:name w:val="Heading 3 Char"/>
    <w:basedOn w:val="DefaultParagraphFont"/>
    <w:link w:val="Heading3"/>
    <w:uiPriority w:val="9"/>
    <w:rsid w:val="000A1CC2"/>
    <w:rPr>
      <w:rFonts w:ascii="Gautami" w:eastAsia="Times New Roman" w:hAnsi="Gautami" w:cs="Times New Roman"/>
      <w:b/>
      <w:bCs/>
      <w:color w:val="F79646"/>
      <w:sz w:val="24"/>
      <w:szCs w:val="26"/>
    </w:rPr>
  </w:style>
  <w:style w:type="character" w:customStyle="1" w:styleId="Heading4Char">
    <w:name w:val="Heading 4 Char"/>
    <w:basedOn w:val="DefaultParagraphFont"/>
    <w:link w:val="Heading4"/>
    <w:uiPriority w:val="9"/>
    <w:semiHidden/>
    <w:rsid w:val="00F97CD9"/>
    <w:rPr>
      <w:rFonts w:eastAsia="Times New Roman"/>
      <w:b/>
      <w:iCs/>
      <w:color w:val="FF0000"/>
      <w:sz w:val="22"/>
      <w:szCs w:val="24"/>
      <w:lang w:eastAsia="en-US"/>
    </w:rPr>
  </w:style>
  <w:style w:type="character" w:customStyle="1" w:styleId="Heading5Char">
    <w:name w:val="Heading 5 Char"/>
    <w:basedOn w:val="DefaultParagraphFont"/>
    <w:link w:val="Heading5"/>
    <w:uiPriority w:val="9"/>
    <w:semiHidden/>
    <w:rsid w:val="00F97CD9"/>
    <w:rPr>
      <w:rFonts w:eastAsia="Times New Roman"/>
      <w:b/>
      <w:i/>
      <w:iCs/>
      <w:color w:val="FF0000"/>
      <w:szCs w:val="24"/>
      <w:lang w:eastAsia="en-US"/>
    </w:rPr>
  </w:style>
  <w:style w:type="character" w:customStyle="1" w:styleId="Heading6Char">
    <w:name w:val="Heading 6 Char"/>
    <w:basedOn w:val="DefaultParagraphFont"/>
    <w:link w:val="Heading6"/>
    <w:uiPriority w:val="9"/>
    <w:semiHidden/>
    <w:rsid w:val="00F97CD9"/>
    <w:rPr>
      <w:rFonts w:eastAsia="Times New Roman"/>
      <w:i/>
      <w:color w:val="FF0000"/>
      <w:szCs w:val="24"/>
      <w:lang w:eastAsia="en-US"/>
    </w:rPr>
  </w:style>
  <w:style w:type="character" w:customStyle="1" w:styleId="Heading7Char">
    <w:name w:val="Heading 7 Char"/>
    <w:basedOn w:val="DefaultParagraphFont"/>
    <w:link w:val="Heading7"/>
    <w:uiPriority w:val="9"/>
    <w:rsid w:val="00303452"/>
    <w:rPr>
      <w:rFonts w:ascii="Gautami" w:eastAsia="Times New Roman" w:hAnsi="Gautami" w:cs="Times New Roman"/>
      <w:b/>
      <w:bCs/>
      <w:iCs/>
      <w:color w:val="E36C0A"/>
      <w:sz w:val="36"/>
      <w:szCs w:val="24"/>
    </w:rPr>
  </w:style>
  <w:style w:type="character" w:customStyle="1" w:styleId="Heading8Char">
    <w:name w:val="Heading 8 Char"/>
    <w:basedOn w:val="DefaultParagraphFont"/>
    <w:link w:val="Heading8"/>
    <w:uiPriority w:val="9"/>
    <w:rsid w:val="00303452"/>
    <w:rPr>
      <w:rFonts w:ascii="Gautami" w:eastAsia="Times New Roman" w:hAnsi="Gautami" w:cs="Times New Roman"/>
      <w:b/>
      <w:bCs/>
      <w:iCs/>
      <w:color w:val="E36C0A"/>
      <w:sz w:val="28"/>
      <w:szCs w:val="20"/>
    </w:rPr>
  </w:style>
  <w:style w:type="character" w:customStyle="1" w:styleId="Heading9Char">
    <w:name w:val="Heading 9 Char"/>
    <w:basedOn w:val="DefaultParagraphFont"/>
    <w:link w:val="Heading9"/>
    <w:uiPriority w:val="9"/>
    <w:rsid w:val="00303452"/>
    <w:rPr>
      <w:rFonts w:ascii="Gautami" w:eastAsia="Times New Roman" w:hAnsi="Gautami" w:cs="Times New Roman"/>
      <w:b/>
      <w:bCs/>
      <w:color w:val="E36C0A"/>
      <w:sz w:val="24"/>
      <w:szCs w:val="20"/>
    </w:rPr>
  </w:style>
  <w:style w:type="paragraph" w:styleId="Caption">
    <w:name w:val="caption"/>
    <w:basedOn w:val="AERbodytext"/>
    <w:next w:val="AERbodytext"/>
    <w:uiPriority w:val="35"/>
    <w:qFormat/>
    <w:rsid w:val="00DA4C62"/>
    <w:pPr>
      <w:keepNext/>
      <w:numPr>
        <w:numId w:val="0"/>
      </w:numPr>
      <w:tabs>
        <w:tab w:val="left" w:pos="1440"/>
      </w:tabs>
      <w:spacing w:before="120" w:after="120"/>
      <w:ind w:left="1440" w:hanging="1440"/>
    </w:pPr>
    <w:rPr>
      <w:b/>
      <w:bCs/>
      <w:szCs w:val="18"/>
    </w:rPr>
  </w:style>
  <w:style w:type="character" w:customStyle="1" w:styleId="AERbody">
    <w:name w:val="AER body"/>
    <w:basedOn w:val="DefaultParagraphFont"/>
    <w:qFormat/>
    <w:rsid w:val="00971C63"/>
    <w:rPr>
      <w:rFonts w:ascii="Gautami" w:hAnsi="Gautami"/>
      <w:color w:val="auto"/>
      <w:sz w:val="20"/>
    </w:rPr>
  </w:style>
  <w:style w:type="paragraph" w:customStyle="1" w:styleId="AERbodytext">
    <w:name w:val="AER body text"/>
    <w:link w:val="AERbodytextChar"/>
    <w:qFormat/>
    <w:rsid w:val="00EB5CDF"/>
    <w:pPr>
      <w:numPr>
        <w:numId w:val="13"/>
      </w:numPr>
      <w:spacing w:after="240" w:line="288" w:lineRule="auto"/>
      <w:jc w:val="both"/>
    </w:pPr>
    <w:rPr>
      <w:rFonts w:eastAsia="Times New Roman"/>
      <w:szCs w:val="24"/>
      <w:lang w:eastAsia="en-US"/>
    </w:rPr>
  </w:style>
  <w:style w:type="paragraph" w:customStyle="1" w:styleId="AERbodytextindent1">
    <w:name w:val="AER body text (indent 1)"/>
    <w:basedOn w:val="AERbodytext"/>
    <w:qFormat/>
    <w:rsid w:val="008D49B4"/>
    <w:pPr>
      <w:numPr>
        <w:numId w:val="0"/>
      </w:numPr>
      <w:ind w:left="357"/>
    </w:pPr>
  </w:style>
  <w:style w:type="paragraph" w:customStyle="1" w:styleId="AERbodytextindent2">
    <w:name w:val="AER body text (indent 2)"/>
    <w:basedOn w:val="AERbodytextindent1"/>
    <w:qFormat/>
    <w:rsid w:val="00BC05C5"/>
    <w:pPr>
      <w:ind w:left="709"/>
    </w:pPr>
  </w:style>
  <w:style w:type="paragraph" w:customStyle="1" w:styleId="AERbodytextindent3">
    <w:name w:val="AER body text (indent 3)"/>
    <w:basedOn w:val="AERbodytext"/>
    <w:qFormat/>
    <w:rsid w:val="008D49B4"/>
    <w:pPr>
      <w:numPr>
        <w:numId w:val="0"/>
      </w:numPr>
      <w:ind w:left="1077"/>
    </w:pPr>
  </w:style>
  <w:style w:type="paragraph" w:customStyle="1" w:styleId="AERbulletlistfirststyle">
    <w:name w:val="AER bullet list (first style)"/>
    <w:basedOn w:val="AERbodytext"/>
    <w:qFormat/>
    <w:rsid w:val="005732CC"/>
    <w:pPr>
      <w:numPr>
        <w:numId w:val="7"/>
      </w:numPr>
      <w:tabs>
        <w:tab w:val="left" w:pos="357"/>
      </w:tabs>
      <w:spacing w:after="200"/>
      <w:ind w:left="357" w:hanging="357"/>
    </w:pPr>
  </w:style>
  <w:style w:type="paragraph" w:customStyle="1" w:styleId="AERbulletlistsecondstyle">
    <w:name w:val="AER bullet list (second style)"/>
    <w:basedOn w:val="AERbodytext"/>
    <w:qFormat/>
    <w:rsid w:val="005732CC"/>
    <w:pPr>
      <w:numPr>
        <w:numId w:val="11"/>
      </w:numPr>
      <w:tabs>
        <w:tab w:val="left" w:pos="709"/>
      </w:tabs>
      <w:spacing w:after="200"/>
      <w:ind w:left="714" w:hanging="357"/>
    </w:pPr>
  </w:style>
  <w:style w:type="paragraph" w:customStyle="1" w:styleId="AERbulletlistthirdstyle">
    <w:name w:val="AER bullet list (third style)"/>
    <w:basedOn w:val="AERbodytext"/>
    <w:qFormat/>
    <w:rsid w:val="005732CC"/>
    <w:pPr>
      <w:numPr>
        <w:numId w:val="8"/>
      </w:numPr>
      <w:tabs>
        <w:tab w:val="left" w:pos="1077"/>
      </w:tabs>
      <w:spacing w:after="200"/>
      <w:ind w:left="1071" w:hanging="357"/>
    </w:pPr>
  </w:style>
  <w:style w:type="character" w:customStyle="1" w:styleId="AERtextconfidential">
    <w:name w:val="AER text confidential"/>
    <w:qFormat/>
    <w:rsid w:val="00971C63"/>
    <w:rPr>
      <w:bdr w:val="none" w:sz="0" w:space="0" w:color="auto"/>
      <w:shd w:val="clear" w:color="auto" w:fill="CCFFFF"/>
    </w:rPr>
  </w:style>
  <w:style w:type="paragraph" w:customStyle="1" w:styleId="AERnumberedlistfirststyle">
    <w:name w:val="AER numbered list (first style)"/>
    <w:basedOn w:val="AERbodytext"/>
    <w:qFormat/>
    <w:rsid w:val="005732CC"/>
    <w:pPr>
      <w:numPr>
        <w:ilvl w:val="1"/>
      </w:numPr>
      <w:spacing w:after="200"/>
    </w:pPr>
  </w:style>
  <w:style w:type="paragraph" w:customStyle="1" w:styleId="AERnumberedlistsecondstyle">
    <w:name w:val="AER numbered list (second style)"/>
    <w:basedOn w:val="AERnumberedlistfirststyle"/>
    <w:qFormat/>
    <w:rsid w:val="005732CC"/>
    <w:pPr>
      <w:numPr>
        <w:ilvl w:val="2"/>
      </w:numPr>
    </w:pPr>
  </w:style>
  <w:style w:type="paragraph" w:customStyle="1" w:styleId="AERnumberedlistthirdstyle">
    <w:name w:val="AER numbered list (third style)"/>
    <w:basedOn w:val="AERnumberedlistsecondstyle"/>
    <w:qFormat/>
    <w:rsid w:val="005732CC"/>
    <w:pPr>
      <w:numPr>
        <w:ilvl w:val="3"/>
      </w:numPr>
    </w:pPr>
  </w:style>
  <w:style w:type="paragraph" w:customStyle="1" w:styleId="AERquote">
    <w:name w:val="AER quote"/>
    <w:next w:val="AERbodytext"/>
    <w:qFormat/>
    <w:rsid w:val="002938CE"/>
    <w:pPr>
      <w:tabs>
        <w:tab w:val="num" w:pos="709"/>
      </w:tabs>
      <w:spacing w:after="160" w:line="288" w:lineRule="auto"/>
      <w:ind w:left="709" w:right="720"/>
      <w:jc w:val="both"/>
    </w:pPr>
    <w:rPr>
      <w:rFonts w:eastAsia="Times New Roman"/>
      <w:color w:val="000000"/>
      <w:sz w:val="16"/>
      <w:szCs w:val="24"/>
      <w:lang w:eastAsia="en-US"/>
    </w:rPr>
  </w:style>
  <w:style w:type="paragraph" w:customStyle="1" w:styleId="AERquoteindent1">
    <w:name w:val="AER quote (indent 1)"/>
    <w:basedOn w:val="AERquote"/>
    <w:qFormat/>
    <w:rsid w:val="003A6174"/>
    <w:pPr>
      <w:tabs>
        <w:tab w:val="clear" w:pos="709"/>
        <w:tab w:val="num" w:pos="1077"/>
      </w:tabs>
      <w:ind w:left="1077" w:right="1440"/>
    </w:pPr>
  </w:style>
  <w:style w:type="paragraph" w:customStyle="1" w:styleId="AERquoteindent2">
    <w:name w:val="AER quote (indent 2)"/>
    <w:basedOn w:val="AERquoteindent1"/>
    <w:qFormat/>
    <w:rsid w:val="003A6174"/>
    <w:pPr>
      <w:tabs>
        <w:tab w:val="clear" w:pos="1077"/>
        <w:tab w:val="left" w:pos="1440"/>
      </w:tabs>
      <w:ind w:left="1440" w:right="1797"/>
    </w:pPr>
  </w:style>
  <w:style w:type="paragraph" w:customStyle="1" w:styleId="AERquoteindent3">
    <w:name w:val="AER quote (indent 3)"/>
    <w:basedOn w:val="AERquoteindent2"/>
    <w:qFormat/>
    <w:rsid w:val="003A6174"/>
    <w:pPr>
      <w:tabs>
        <w:tab w:val="clear" w:pos="1440"/>
        <w:tab w:val="left" w:pos="1803"/>
      </w:tabs>
      <w:ind w:left="1803" w:right="2160"/>
    </w:pPr>
  </w:style>
  <w:style w:type="paragraph" w:customStyle="1" w:styleId="AERquotebullet1">
    <w:name w:val="AER quote bullet 1"/>
    <w:basedOn w:val="Normal"/>
    <w:qFormat/>
    <w:rsid w:val="003A6174"/>
    <w:pPr>
      <w:numPr>
        <w:numId w:val="9"/>
      </w:numPr>
      <w:tabs>
        <w:tab w:val="left" w:pos="1077"/>
      </w:tabs>
      <w:spacing w:line="200" w:lineRule="atLeast"/>
      <w:ind w:left="1077" w:right="663" w:hanging="357"/>
    </w:pPr>
    <w:rPr>
      <w:rFonts w:eastAsia="Times New Roman"/>
      <w:sz w:val="16"/>
      <w:szCs w:val="16"/>
    </w:rPr>
  </w:style>
  <w:style w:type="paragraph" w:customStyle="1" w:styleId="AERrevisionbox">
    <w:name w:val="AER revision box"/>
    <w:basedOn w:val="AERbodytext"/>
    <w:qFormat/>
    <w:rsid w:val="00971C63"/>
    <w:pPr>
      <w:pBdr>
        <w:top w:val="single" w:sz="4" w:space="1" w:color="auto"/>
        <w:left w:val="single" w:sz="4" w:space="4" w:color="auto"/>
        <w:bottom w:val="single" w:sz="4" w:space="1" w:color="auto"/>
        <w:right w:val="single" w:sz="4" w:space="4" w:color="auto"/>
      </w:pBdr>
      <w:shd w:val="clear" w:color="auto" w:fill="E0E0E0"/>
    </w:pPr>
  </w:style>
  <w:style w:type="character" w:customStyle="1" w:styleId="AERsubscript">
    <w:name w:val="AER subscript"/>
    <w:qFormat/>
    <w:rsid w:val="00971C63"/>
    <w:rPr>
      <w:rFonts w:ascii="Gautami" w:hAnsi="Gautami"/>
      <w:vertAlign w:val="subscript"/>
    </w:rPr>
  </w:style>
  <w:style w:type="character" w:customStyle="1" w:styleId="AERsuperscript">
    <w:name w:val="AER superscript"/>
    <w:qFormat/>
    <w:rsid w:val="00971C63"/>
    <w:rPr>
      <w:rFonts w:ascii="Gautami" w:hAnsi="Gautami"/>
      <w:vertAlign w:val="superscript"/>
    </w:rPr>
  </w:style>
  <w:style w:type="paragraph" w:customStyle="1" w:styleId="AERtablesource">
    <w:name w:val="AER table source"/>
    <w:next w:val="AERbodytext"/>
    <w:qFormat/>
    <w:rsid w:val="00474FBD"/>
    <w:pPr>
      <w:tabs>
        <w:tab w:val="left" w:pos="794"/>
      </w:tabs>
      <w:spacing w:before="40" w:after="240"/>
      <w:ind w:left="794" w:hanging="794"/>
      <w:contextualSpacing/>
      <w:jc w:val="both"/>
    </w:pPr>
    <w:rPr>
      <w:rFonts w:eastAsia="Times New Roman"/>
      <w:sz w:val="16"/>
      <w:szCs w:val="24"/>
      <w:lang w:eastAsia="en-US"/>
    </w:rPr>
  </w:style>
  <w:style w:type="table" w:customStyle="1" w:styleId="AERtable-text">
    <w:name w:val="AER table - text"/>
    <w:basedOn w:val="TableNormal"/>
    <w:uiPriority w:val="99"/>
    <w:rsid w:val="00C04D2B"/>
    <w:pPr>
      <w:spacing w:before="120" w:after="80"/>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customStyle="1" w:styleId="AERtabletextleft">
    <w:name w:val="AER table text left"/>
    <w:qFormat/>
    <w:rsid w:val="00BC05C5"/>
    <w:pPr>
      <w:spacing w:before="80" w:after="120" w:line="288" w:lineRule="auto"/>
    </w:pPr>
    <w:rPr>
      <w:rFonts w:eastAsia="Times New Roman"/>
      <w:sz w:val="16"/>
      <w:szCs w:val="24"/>
      <w:lang w:eastAsia="en-US"/>
    </w:rPr>
  </w:style>
  <w:style w:type="character" w:customStyle="1" w:styleId="AERtextbold">
    <w:name w:val="AER text bold"/>
    <w:qFormat/>
    <w:rsid w:val="00971C63"/>
    <w:rPr>
      <w:b/>
    </w:rPr>
  </w:style>
  <w:style w:type="character" w:customStyle="1" w:styleId="AERtextbolditalics">
    <w:name w:val="AER text bold italics"/>
    <w:basedOn w:val="AERtextbold"/>
    <w:qFormat/>
    <w:rsid w:val="00971C63"/>
    <w:rPr>
      <w:b/>
      <w:i/>
    </w:rPr>
  </w:style>
  <w:style w:type="character" w:customStyle="1" w:styleId="AERtextboldunderline">
    <w:name w:val="AER text bold underline"/>
    <w:qFormat/>
    <w:rsid w:val="00971C63"/>
    <w:rPr>
      <w:b/>
      <w:u w:val="single"/>
    </w:rPr>
  </w:style>
  <w:style w:type="character" w:customStyle="1" w:styleId="AERtexthighlight">
    <w:name w:val="AER text highlight"/>
    <w:qFormat/>
    <w:rsid w:val="005566D7"/>
    <w:rPr>
      <w:bdr w:val="none" w:sz="0" w:space="0" w:color="auto"/>
      <w:shd w:val="clear" w:color="auto" w:fill="FFFF00"/>
    </w:rPr>
  </w:style>
  <w:style w:type="character" w:customStyle="1" w:styleId="AERtextitalic">
    <w:name w:val="AER text italic"/>
    <w:qFormat/>
    <w:rsid w:val="00971C63"/>
    <w:rPr>
      <w:i/>
    </w:rPr>
  </w:style>
  <w:style w:type="character" w:customStyle="1" w:styleId="AERtextunderline">
    <w:name w:val="AER text underline"/>
    <w:qFormat/>
    <w:rsid w:val="00971C63"/>
    <w:rPr>
      <w:u w:val="single"/>
    </w:r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AERbodytext"/>
    <w:link w:val="FootnoteTextChar"/>
    <w:uiPriority w:val="99"/>
    <w:qFormat/>
    <w:rsid w:val="00DD5520"/>
    <w:pPr>
      <w:numPr>
        <w:numId w:val="0"/>
      </w:numPr>
      <w:tabs>
        <w:tab w:val="left" w:pos="426"/>
      </w:tabs>
      <w:spacing w:after="0" w:line="240" w:lineRule="auto"/>
      <w:ind w:left="426" w:hanging="426"/>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D5520"/>
    <w:rPr>
      <w:rFonts w:ascii="Gautami" w:eastAsia="Times New Roman" w:hAnsi="Gautami" w:cs="Times New Roman"/>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3800E4"/>
    <w:rPr>
      <w:vertAlign w:val="superscript"/>
    </w:rPr>
  </w:style>
  <w:style w:type="paragraph" w:styleId="Header">
    <w:name w:val="header"/>
    <w:basedOn w:val="Normal"/>
    <w:link w:val="HeaderChar"/>
    <w:uiPriority w:val="99"/>
    <w:unhideWhenUsed/>
    <w:rsid w:val="00380F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0FF5"/>
  </w:style>
  <w:style w:type="paragraph" w:styleId="Footer">
    <w:name w:val="footer"/>
    <w:basedOn w:val="Normal"/>
    <w:link w:val="FooterChar"/>
    <w:uiPriority w:val="99"/>
    <w:qFormat/>
    <w:rsid w:val="007368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68AD"/>
    <w:rPr>
      <w:rFonts w:ascii="Gautami" w:hAnsi="Gautami"/>
      <w:sz w:val="20"/>
    </w:rPr>
  </w:style>
  <w:style w:type="paragraph" w:customStyle="1" w:styleId="UnnumberedHeading">
    <w:name w:val="Unnumbered Heading"/>
    <w:basedOn w:val="Heading1"/>
    <w:next w:val="AERbodytext"/>
    <w:link w:val="UnnumberedHeadingChar"/>
    <w:qFormat/>
    <w:rsid w:val="00B94D99"/>
    <w:pPr>
      <w:numPr>
        <w:ilvl w:val="0"/>
      </w:numPr>
    </w:pPr>
  </w:style>
  <w:style w:type="table" w:styleId="TableGrid">
    <w:name w:val="Table Grid"/>
    <w:basedOn w:val="TableNormal"/>
    <w:uiPriority w:val="59"/>
    <w:rsid w:val="00500E7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ERnumberedlist">
    <w:name w:val="AER numbered list"/>
    <w:uiPriority w:val="99"/>
    <w:rsid w:val="00EB5CDF"/>
    <w:pPr>
      <w:numPr>
        <w:numId w:val="49"/>
      </w:numPr>
    </w:pPr>
  </w:style>
  <w:style w:type="numbering" w:customStyle="1" w:styleId="OldAERheadings">
    <w:name w:val="Old AER headings"/>
    <w:uiPriority w:val="99"/>
    <w:locked/>
    <w:rsid w:val="008515EE"/>
    <w:pPr>
      <w:numPr>
        <w:numId w:val="24"/>
      </w:numPr>
    </w:pPr>
  </w:style>
  <w:style w:type="character" w:customStyle="1" w:styleId="AERtextorange">
    <w:name w:val="AER text orange"/>
    <w:uiPriority w:val="1"/>
    <w:qFormat/>
    <w:rsid w:val="00DB6A17"/>
    <w:rPr>
      <w:color w:val="E36C0A"/>
    </w:rPr>
  </w:style>
  <w:style w:type="paragraph" w:customStyle="1" w:styleId="AERtitle1">
    <w:name w:val="AER title 1"/>
    <w:qFormat/>
    <w:rsid w:val="000A1CC2"/>
    <w:pPr>
      <w:spacing w:after="240" w:line="288" w:lineRule="auto"/>
      <w:jc w:val="center"/>
    </w:pPr>
    <w:rPr>
      <w:rFonts w:eastAsia="Times New Roman"/>
      <w:b/>
      <w:sz w:val="40"/>
      <w:szCs w:val="24"/>
    </w:rPr>
  </w:style>
  <w:style w:type="paragraph" w:customStyle="1" w:styleId="AERtitle2">
    <w:name w:val="AER title 2"/>
    <w:qFormat/>
    <w:rsid w:val="000A1CC2"/>
    <w:pPr>
      <w:spacing w:after="240" w:line="288" w:lineRule="auto"/>
      <w:jc w:val="center"/>
    </w:pPr>
    <w:rPr>
      <w:rFonts w:eastAsia="Times New Roman"/>
      <w:sz w:val="32"/>
      <w:szCs w:val="24"/>
      <w:lang w:eastAsia="en-US"/>
    </w:rPr>
  </w:style>
  <w:style w:type="paragraph" w:styleId="ListParagraph">
    <w:name w:val="List Paragraph"/>
    <w:basedOn w:val="Normal"/>
    <w:uiPriority w:val="34"/>
    <w:unhideWhenUsed/>
    <w:qFormat/>
    <w:rsid w:val="005D26B7"/>
    <w:pPr>
      <w:ind w:left="720"/>
      <w:contextualSpacing/>
    </w:pPr>
  </w:style>
  <w:style w:type="character" w:customStyle="1" w:styleId="AERtextblue">
    <w:name w:val="AER text blue"/>
    <w:uiPriority w:val="1"/>
    <w:qFormat/>
    <w:rsid w:val="00D2117F"/>
    <w:rPr>
      <w:color w:val="365F91"/>
    </w:rPr>
  </w:style>
  <w:style w:type="character" w:customStyle="1" w:styleId="UnnumberedHeadingChar">
    <w:name w:val="Unnumbered Heading Char"/>
    <w:basedOn w:val="Heading1Char"/>
    <w:link w:val="UnnumberedHeading"/>
    <w:rsid w:val="00B94D99"/>
    <w:rPr>
      <w:rFonts w:eastAsia="Times New Roman"/>
      <w:b/>
      <w:bCs/>
      <w:color w:val="E36C0A"/>
      <w:sz w:val="36"/>
      <w:szCs w:val="28"/>
      <w:lang w:eastAsia="en-US"/>
    </w:rPr>
  </w:style>
  <w:style w:type="table" w:customStyle="1" w:styleId="AERtable-numbers">
    <w:name w:val="AER table - numbers"/>
    <w:basedOn w:val="TableNormal"/>
    <w:uiPriority w:val="99"/>
    <w:rsid w:val="00C04D2B"/>
    <w:pPr>
      <w:spacing w:before="120" w:after="80"/>
      <w:jc w:val="right"/>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locked/>
    <w:rsid w:val="00B82E8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bodytextnospace">
    <w:name w:val="AER body text no space"/>
    <w:basedOn w:val="AERbodytext"/>
    <w:qFormat/>
    <w:rsid w:val="00BC05C5"/>
    <w:pPr>
      <w:spacing w:after="0"/>
    </w:pPr>
  </w:style>
  <w:style w:type="paragraph" w:customStyle="1" w:styleId="AERtabletextright">
    <w:name w:val="AER table text right"/>
    <w:basedOn w:val="AERtabletextleft"/>
    <w:qFormat/>
    <w:rsid w:val="00435682"/>
    <w:pPr>
      <w:spacing w:before="120" w:after="80"/>
      <w:jc w:val="right"/>
    </w:pPr>
  </w:style>
  <w:style w:type="paragraph" w:styleId="TOCHeading">
    <w:name w:val="TOC Heading"/>
    <w:basedOn w:val="Heading1"/>
    <w:next w:val="Normal"/>
    <w:uiPriority w:val="39"/>
    <w:semiHidden/>
    <w:unhideWhenUsed/>
    <w:qFormat/>
    <w:rsid w:val="00AF3E95"/>
    <w:pPr>
      <w:pageBreakBefore w:val="0"/>
      <w:numPr>
        <w:ilvl w:val="0"/>
        <w:numId w:val="0"/>
      </w:numPr>
      <w:spacing w:before="480" w:after="0" w:line="276" w:lineRule="auto"/>
      <w:outlineLvl w:val="9"/>
    </w:pPr>
    <w:rPr>
      <w:rFonts w:ascii="Cambria" w:hAnsi="Cambria"/>
      <w:color w:val="365F91"/>
      <w:sz w:val="28"/>
      <w:lang w:val="en-US"/>
    </w:rPr>
  </w:style>
  <w:style w:type="paragraph" w:styleId="TOC1">
    <w:name w:val="toc 1"/>
    <w:basedOn w:val="Normal"/>
    <w:next w:val="Normal"/>
    <w:autoRedefine/>
    <w:uiPriority w:val="39"/>
    <w:unhideWhenUsed/>
    <w:qFormat/>
    <w:rsid w:val="00AF3E95"/>
    <w:pPr>
      <w:spacing w:before="240" w:after="120"/>
      <w:jc w:val="left"/>
    </w:pPr>
    <w:rPr>
      <w:b/>
      <w:bCs/>
    </w:rPr>
  </w:style>
  <w:style w:type="paragraph" w:styleId="TOC2">
    <w:name w:val="toc 2"/>
    <w:basedOn w:val="Normal"/>
    <w:next w:val="Normal"/>
    <w:autoRedefine/>
    <w:uiPriority w:val="39"/>
    <w:unhideWhenUsed/>
    <w:qFormat/>
    <w:rsid w:val="00AF3E95"/>
    <w:pPr>
      <w:spacing w:before="120" w:after="0"/>
      <w:ind w:left="200"/>
      <w:jc w:val="left"/>
    </w:pPr>
    <w:rPr>
      <w:iCs/>
    </w:rPr>
  </w:style>
  <w:style w:type="paragraph" w:styleId="TOC3">
    <w:name w:val="toc 3"/>
    <w:basedOn w:val="Normal"/>
    <w:next w:val="Normal"/>
    <w:autoRedefine/>
    <w:uiPriority w:val="39"/>
    <w:unhideWhenUsed/>
    <w:qFormat/>
    <w:rsid w:val="00AF3E95"/>
    <w:pPr>
      <w:spacing w:after="0"/>
      <w:ind w:left="400"/>
      <w:jc w:val="left"/>
    </w:pPr>
  </w:style>
  <w:style w:type="character" w:styleId="Hyperlink">
    <w:name w:val="Hyperlink"/>
    <w:basedOn w:val="DefaultParagraphFont"/>
    <w:uiPriority w:val="99"/>
    <w:unhideWhenUsed/>
    <w:rsid w:val="00AF3E95"/>
    <w:rPr>
      <w:color w:val="0000FF"/>
      <w:u w:val="single"/>
    </w:rPr>
  </w:style>
  <w:style w:type="paragraph" w:styleId="BalloonText">
    <w:name w:val="Balloon Text"/>
    <w:basedOn w:val="Normal"/>
    <w:link w:val="BalloonTextChar"/>
    <w:uiPriority w:val="99"/>
    <w:semiHidden/>
    <w:unhideWhenUsed/>
    <w:rsid w:val="00AF3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E95"/>
    <w:rPr>
      <w:rFonts w:ascii="Tahoma" w:hAnsi="Tahoma" w:cs="Tahoma"/>
      <w:sz w:val="16"/>
      <w:szCs w:val="16"/>
    </w:rPr>
  </w:style>
  <w:style w:type="paragraph" w:styleId="TOC4">
    <w:name w:val="toc 4"/>
    <w:basedOn w:val="Normal"/>
    <w:next w:val="Normal"/>
    <w:autoRedefine/>
    <w:uiPriority w:val="39"/>
    <w:semiHidden/>
    <w:locked/>
    <w:rsid w:val="00AF3E95"/>
    <w:pPr>
      <w:spacing w:after="0"/>
      <w:ind w:left="600"/>
      <w:jc w:val="left"/>
    </w:pPr>
    <w:rPr>
      <w:rFonts w:ascii="Calibri" w:hAnsi="Calibri"/>
    </w:rPr>
  </w:style>
  <w:style w:type="paragraph" w:styleId="TOC5">
    <w:name w:val="toc 5"/>
    <w:basedOn w:val="Normal"/>
    <w:next w:val="Normal"/>
    <w:autoRedefine/>
    <w:uiPriority w:val="39"/>
    <w:semiHidden/>
    <w:locked/>
    <w:rsid w:val="00AF3E95"/>
    <w:pPr>
      <w:spacing w:after="0"/>
      <w:ind w:left="800"/>
      <w:jc w:val="left"/>
    </w:pPr>
    <w:rPr>
      <w:rFonts w:ascii="Calibri" w:hAnsi="Calibri"/>
    </w:rPr>
  </w:style>
  <w:style w:type="paragraph" w:styleId="TOC6">
    <w:name w:val="toc 6"/>
    <w:basedOn w:val="Normal"/>
    <w:next w:val="Normal"/>
    <w:autoRedefine/>
    <w:uiPriority w:val="39"/>
    <w:semiHidden/>
    <w:locked/>
    <w:rsid w:val="00AF3E95"/>
    <w:pPr>
      <w:spacing w:after="0"/>
      <w:ind w:left="1000"/>
      <w:jc w:val="left"/>
    </w:pPr>
    <w:rPr>
      <w:rFonts w:ascii="Calibri" w:hAnsi="Calibri"/>
    </w:rPr>
  </w:style>
  <w:style w:type="paragraph" w:styleId="TOC7">
    <w:name w:val="toc 7"/>
    <w:basedOn w:val="Normal"/>
    <w:next w:val="Normal"/>
    <w:autoRedefine/>
    <w:uiPriority w:val="39"/>
    <w:semiHidden/>
    <w:locked/>
    <w:rsid w:val="00AF3E95"/>
    <w:pPr>
      <w:spacing w:after="0"/>
      <w:ind w:left="1200"/>
      <w:jc w:val="left"/>
    </w:pPr>
    <w:rPr>
      <w:rFonts w:ascii="Calibri" w:hAnsi="Calibri"/>
    </w:rPr>
  </w:style>
  <w:style w:type="paragraph" w:styleId="TOC8">
    <w:name w:val="toc 8"/>
    <w:basedOn w:val="Normal"/>
    <w:next w:val="Normal"/>
    <w:autoRedefine/>
    <w:uiPriority w:val="39"/>
    <w:semiHidden/>
    <w:locked/>
    <w:rsid w:val="00AF3E95"/>
    <w:pPr>
      <w:spacing w:after="0"/>
      <w:ind w:left="1400"/>
      <w:jc w:val="left"/>
    </w:pPr>
    <w:rPr>
      <w:rFonts w:ascii="Calibri" w:hAnsi="Calibri"/>
    </w:rPr>
  </w:style>
  <w:style w:type="paragraph" w:styleId="TOC9">
    <w:name w:val="toc 9"/>
    <w:basedOn w:val="Normal"/>
    <w:next w:val="Normal"/>
    <w:autoRedefine/>
    <w:uiPriority w:val="39"/>
    <w:semiHidden/>
    <w:locked/>
    <w:rsid w:val="00AF3E95"/>
    <w:pPr>
      <w:spacing w:after="0"/>
      <w:ind w:left="1600"/>
      <w:jc w:val="left"/>
    </w:pPr>
    <w:rPr>
      <w:rFonts w:ascii="Calibri" w:hAnsi="Calibri"/>
    </w:rPr>
  </w:style>
  <w:style w:type="character" w:styleId="CommentReference">
    <w:name w:val="annotation reference"/>
    <w:basedOn w:val="DefaultParagraphFont"/>
    <w:uiPriority w:val="99"/>
    <w:semiHidden/>
    <w:unhideWhenUsed/>
    <w:rsid w:val="00BE6F28"/>
    <w:rPr>
      <w:sz w:val="16"/>
      <w:szCs w:val="16"/>
    </w:rPr>
  </w:style>
  <w:style w:type="paragraph" w:styleId="CommentText">
    <w:name w:val="annotation text"/>
    <w:basedOn w:val="Normal"/>
    <w:link w:val="CommentTextChar"/>
    <w:uiPriority w:val="99"/>
    <w:unhideWhenUsed/>
    <w:rsid w:val="00BE6F28"/>
    <w:pPr>
      <w:spacing w:line="240" w:lineRule="auto"/>
    </w:pPr>
  </w:style>
  <w:style w:type="character" w:customStyle="1" w:styleId="CommentTextChar">
    <w:name w:val="Comment Text Char"/>
    <w:basedOn w:val="DefaultParagraphFont"/>
    <w:link w:val="CommentText"/>
    <w:uiPriority w:val="99"/>
    <w:semiHidden/>
    <w:rsid w:val="00BE6F28"/>
  </w:style>
  <w:style w:type="paragraph" w:styleId="CommentSubject">
    <w:name w:val="annotation subject"/>
    <w:basedOn w:val="CommentText"/>
    <w:next w:val="CommentText"/>
    <w:link w:val="CommentSubjectChar"/>
    <w:uiPriority w:val="99"/>
    <w:semiHidden/>
    <w:unhideWhenUsed/>
    <w:rsid w:val="00BE6F28"/>
    <w:rPr>
      <w:b/>
      <w:bCs/>
    </w:rPr>
  </w:style>
  <w:style w:type="character" w:customStyle="1" w:styleId="CommentSubjectChar">
    <w:name w:val="Comment Subject Char"/>
    <w:basedOn w:val="CommentTextChar"/>
    <w:link w:val="CommentSubject"/>
    <w:uiPriority w:val="99"/>
    <w:semiHidden/>
    <w:rsid w:val="00BE6F28"/>
    <w:rPr>
      <w:b/>
      <w:bCs/>
    </w:rPr>
  </w:style>
  <w:style w:type="character" w:customStyle="1" w:styleId="AERtextsize8">
    <w:name w:val="AER text size 8"/>
    <w:uiPriority w:val="1"/>
    <w:qFormat/>
    <w:rsid w:val="0020711E"/>
    <w:rPr>
      <w:sz w:val="16"/>
    </w:rPr>
  </w:style>
  <w:style w:type="character" w:customStyle="1" w:styleId="AERtextsize10">
    <w:name w:val="AER text size 10"/>
    <w:uiPriority w:val="1"/>
    <w:qFormat/>
    <w:rsid w:val="0020711E"/>
    <w:rPr>
      <w:sz w:val="20"/>
    </w:rPr>
  </w:style>
  <w:style w:type="paragraph" w:customStyle="1" w:styleId="AERnumberedlist2first">
    <w:name w:val="AER numbered list 2 first"/>
    <w:basedOn w:val="AERbodytext"/>
    <w:qFormat/>
    <w:rsid w:val="000E1A25"/>
    <w:pPr>
      <w:numPr>
        <w:ilvl w:val="4"/>
      </w:numPr>
    </w:pPr>
  </w:style>
  <w:style w:type="paragraph" w:customStyle="1" w:styleId="AERnumberedlist2second">
    <w:name w:val="AER numbered list 2 second"/>
    <w:basedOn w:val="AERnumberedlist2first"/>
    <w:qFormat/>
    <w:rsid w:val="000E1A25"/>
    <w:pPr>
      <w:numPr>
        <w:ilvl w:val="5"/>
      </w:numPr>
    </w:pPr>
  </w:style>
  <w:style w:type="paragraph" w:customStyle="1" w:styleId="AERnumberedlist2third">
    <w:name w:val="AER numbered list 2 third"/>
    <w:basedOn w:val="AERnumberedlist2second"/>
    <w:qFormat/>
    <w:rsid w:val="000E1A25"/>
    <w:pPr>
      <w:numPr>
        <w:ilvl w:val="6"/>
      </w:numPr>
    </w:pPr>
  </w:style>
  <w:style w:type="paragraph" w:customStyle="1" w:styleId="HeadingBoldBlue">
    <w:name w:val="Heading Bold Blue"/>
    <w:basedOn w:val="AERbodytext"/>
    <w:next w:val="AERbodytext"/>
    <w:link w:val="HeadingBoldBlueChar"/>
    <w:qFormat/>
    <w:rsid w:val="008C3722"/>
    <w:pPr>
      <w:keepNext/>
      <w:spacing w:before="120" w:after="120"/>
      <w:jc w:val="left"/>
    </w:pPr>
    <w:rPr>
      <w:b/>
      <w:color w:val="365F91" w:themeColor="accent1" w:themeShade="BF"/>
      <w:sz w:val="24"/>
    </w:rPr>
  </w:style>
  <w:style w:type="paragraph" w:customStyle="1" w:styleId="HeadingBoldItalic">
    <w:name w:val="Heading Bold Italic"/>
    <w:basedOn w:val="AERbodytext"/>
    <w:next w:val="AERbodytext"/>
    <w:qFormat/>
    <w:rsid w:val="008C3722"/>
    <w:pPr>
      <w:keepNext/>
      <w:spacing w:before="120" w:after="120"/>
      <w:jc w:val="left"/>
    </w:pPr>
    <w:rPr>
      <w:b/>
      <w:i/>
      <w:color w:val="E36C0A"/>
      <w:sz w:val="22"/>
    </w:rPr>
  </w:style>
  <w:style w:type="character" w:customStyle="1" w:styleId="AERbodytextChar">
    <w:name w:val="AER body text Char"/>
    <w:basedOn w:val="DefaultParagraphFont"/>
    <w:link w:val="AERbodytext"/>
    <w:rsid w:val="00EB5CDF"/>
    <w:rPr>
      <w:rFonts w:eastAsia="Times New Roman"/>
      <w:szCs w:val="24"/>
      <w:lang w:eastAsia="en-US"/>
    </w:rPr>
  </w:style>
  <w:style w:type="character" w:customStyle="1" w:styleId="HeadingBoldBlueChar">
    <w:name w:val="Heading Bold Blue Char"/>
    <w:basedOn w:val="AERbodytextChar"/>
    <w:link w:val="HeadingBoldBlue"/>
    <w:rsid w:val="008C3722"/>
    <w:rPr>
      <w:rFonts w:eastAsia="Times New Roman"/>
      <w:b/>
      <w:color w:val="365F91" w:themeColor="accent1" w:themeShade="BF"/>
      <w:sz w:val="24"/>
      <w:szCs w:val="24"/>
      <w:lang w:eastAsia="en-US"/>
    </w:rPr>
  </w:style>
  <w:style w:type="paragraph" w:customStyle="1" w:styleId="HeadingItalic">
    <w:name w:val="Heading Italic"/>
    <w:basedOn w:val="AERbodytext"/>
    <w:next w:val="AERbodytext"/>
    <w:qFormat/>
    <w:rsid w:val="008C3722"/>
    <w:pPr>
      <w:keepNext/>
      <w:spacing w:before="120" w:after="120"/>
      <w:jc w:val="left"/>
    </w:pPr>
    <w:rPr>
      <w:b/>
      <w:i/>
      <w:color w:val="365F91" w:themeColor="accent1" w:themeShade="BF"/>
      <w:sz w:val="22"/>
    </w:rPr>
  </w:style>
  <w:style w:type="character" w:styleId="PageNumber">
    <w:name w:val="page number"/>
    <w:basedOn w:val="DefaultParagraphFont"/>
    <w:rsid w:val="00CC49D4"/>
    <w:rPr>
      <w:rFonts w:ascii="Gautami" w:hAnsi="Gautami"/>
      <w:sz w:val="18"/>
    </w:rPr>
  </w:style>
  <w:style w:type="paragraph" w:customStyle="1" w:styleId="AERbodytextnospaceleftalign">
    <w:name w:val="AER body text no space left align"/>
    <w:basedOn w:val="AERbodytextnospace"/>
    <w:qFormat/>
    <w:rsid w:val="00DD4E84"/>
    <w:pPr>
      <w:numPr>
        <w:numId w:val="0"/>
      </w:numPr>
      <w:tabs>
        <w:tab w:val="num" w:pos="0"/>
      </w:tabs>
      <w:jc w:val="left"/>
    </w:pPr>
  </w:style>
  <w:style w:type="paragraph" w:customStyle="1" w:styleId="AERbodytextleftalign">
    <w:name w:val="AER body text left align"/>
    <w:basedOn w:val="AERbodytext"/>
    <w:qFormat/>
    <w:rsid w:val="00DD4E84"/>
    <w:pPr>
      <w:jc w:val="left"/>
    </w:pPr>
  </w:style>
  <w:style w:type="paragraph" w:customStyle="1" w:styleId="AERbodytextcentre">
    <w:name w:val="AER body text centre"/>
    <w:basedOn w:val="AERbodytext"/>
    <w:qFormat/>
    <w:rsid w:val="0013022D"/>
    <w:pPr>
      <w:jc w:val="center"/>
    </w:pPr>
  </w:style>
  <w:style w:type="paragraph" w:customStyle="1" w:styleId="AERbodytextnospacecentre">
    <w:name w:val="AER body text no space centre"/>
    <w:basedOn w:val="AERbodytextnospace"/>
    <w:qFormat/>
    <w:rsid w:val="0013022D"/>
    <w:pPr>
      <w:jc w:val="center"/>
    </w:pPr>
  </w:style>
  <w:style w:type="paragraph" w:customStyle="1" w:styleId="HeadingOrange">
    <w:name w:val="Heading Orange"/>
    <w:basedOn w:val="HeadingBoldItalic"/>
    <w:qFormat/>
    <w:rsid w:val="008C3722"/>
    <w:rPr>
      <w:i w:val="0"/>
      <w:sz w:val="20"/>
    </w:rPr>
  </w:style>
  <w:style w:type="paragraph" w:styleId="NormalWeb">
    <w:name w:val="Normal (Web)"/>
    <w:basedOn w:val="Normal"/>
    <w:uiPriority w:val="99"/>
    <w:semiHidden/>
    <w:unhideWhenUsed/>
    <w:locked/>
    <w:rsid w:val="00BC6450"/>
    <w:rPr>
      <w:rFonts w:ascii="Times New Roman" w:hAnsi="Times New Roman"/>
      <w:sz w:val="24"/>
      <w:szCs w:val="24"/>
    </w:rPr>
  </w:style>
  <w:style w:type="paragraph" w:styleId="Revision">
    <w:name w:val="Revision"/>
    <w:hidden/>
    <w:uiPriority w:val="99"/>
    <w:semiHidden/>
    <w:rsid w:val="006C2B26"/>
    <w:rPr>
      <w:lang w:eastAsia="en-US"/>
    </w:rPr>
  </w:style>
  <w:style w:type="paragraph" w:styleId="EndnoteText">
    <w:name w:val="endnote text"/>
    <w:basedOn w:val="Normal"/>
    <w:link w:val="EndnoteTextChar"/>
    <w:uiPriority w:val="99"/>
    <w:semiHidden/>
    <w:unhideWhenUsed/>
    <w:rsid w:val="000204C3"/>
    <w:pPr>
      <w:spacing w:after="0" w:line="240" w:lineRule="auto"/>
    </w:pPr>
  </w:style>
  <w:style w:type="character" w:customStyle="1" w:styleId="EndnoteTextChar">
    <w:name w:val="Endnote Text Char"/>
    <w:basedOn w:val="DefaultParagraphFont"/>
    <w:link w:val="EndnoteText"/>
    <w:uiPriority w:val="99"/>
    <w:semiHidden/>
    <w:rsid w:val="000204C3"/>
    <w:rPr>
      <w:lang w:eastAsia="en-US"/>
    </w:rPr>
  </w:style>
  <w:style w:type="character" w:styleId="EndnoteReference">
    <w:name w:val="endnote reference"/>
    <w:basedOn w:val="DefaultParagraphFont"/>
    <w:uiPriority w:val="99"/>
    <w:semiHidden/>
    <w:unhideWhenUsed/>
    <w:rsid w:val="000204C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ERHeadings">
    <w:name w:val="AERHeadings"/>
    <w:pPr>
      <w:numPr>
        <w:numId w:val="2"/>
      </w:numPr>
    </w:pPr>
  </w:style>
  <w:style w:type="numbering" w:customStyle="1" w:styleId="Heading1Char">
    <w:name w:val="OldAERheadings"/>
    <w:pPr>
      <w:numPr>
        <w:numId w:val="24"/>
      </w:numPr>
    </w:pPr>
  </w:style>
  <w:style w:type="numbering" w:customStyle="1" w:styleId="Heading2Char">
    <w:name w:val="AERnumberedlist"/>
    <w:pPr>
      <w:numPr>
        <w:numId w:val="4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0189129">
      <w:bodyDiv w:val="1"/>
      <w:marLeft w:val="0"/>
      <w:marRight w:val="0"/>
      <w:marTop w:val="0"/>
      <w:marBottom w:val="0"/>
      <w:divBdr>
        <w:top w:val="none" w:sz="0" w:space="0" w:color="auto"/>
        <w:left w:val="none" w:sz="0" w:space="0" w:color="auto"/>
        <w:bottom w:val="none" w:sz="0" w:space="0" w:color="auto"/>
        <w:right w:val="none" w:sz="0" w:space="0" w:color="auto"/>
      </w:divBdr>
    </w:div>
    <w:div w:id="641234325">
      <w:bodyDiv w:val="1"/>
      <w:marLeft w:val="0"/>
      <w:marRight w:val="0"/>
      <w:marTop w:val="0"/>
      <w:marBottom w:val="0"/>
      <w:divBdr>
        <w:top w:val="none" w:sz="0" w:space="0" w:color="auto"/>
        <w:left w:val="none" w:sz="0" w:space="0" w:color="auto"/>
        <w:bottom w:val="none" w:sz="0" w:space="0" w:color="auto"/>
        <w:right w:val="none" w:sz="0" w:space="0" w:color="auto"/>
      </w:divBdr>
    </w:div>
    <w:div w:id="777330612">
      <w:bodyDiv w:val="1"/>
      <w:marLeft w:val="0"/>
      <w:marRight w:val="0"/>
      <w:marTop w:val="0"/>
      <w:marBottom w:val="0"/>
      <w:divBdr>
        <w:top w:val="none" w:sz="0" w:space="0" w:color="auto"/>
        <w:left w:val="none" w:sz="0" w:space="0" w:color="auto"/>
        <w:bottom w:val="none" w:sz="0" w:space="0" w:color="auto"/>
        <w:right w:val="none" w:sz="0" w:space="0" w:color="auto"/>
      </w:divBdr>
    </w:div>
    <w:div w:id="988094528">
      <w:bodyDiv w:val="1"/>
      <w:marLeft w:val="0"/>
      <w:marRight w:val="0"/>
      <w:marTop w:val="0"/>
      <w:marBottom w:val="0"/>
      <w:divBdr>
        <w:top w:val="none" w:sz="0" w:space="0" w:color="auto"/>
        <w:left w:val="none" w:sz="0" w:space="0" w:color="auto"/>
        <w:bottom w:val="none" w:sz="0" w:space="0" w:color="auto"/>
        <w:right w:val="none" w:sz="0" w:space="0" w:color="auto"/>
      </w:divBdr>
    </w:div>
    <w:div w:id="993216248">
      <w:bodyDiv w:val="1"/>
      <w:marLeft w:val="0"/>
      <w:marRight w:val="0"/>
      <w:marTop w:val="0"/>
      <w:marBottom w:val="0"/>
      <w:divBdr>
        <w:top w:val="none" w:sz="0" w:space="0" w:color="auto"/>
        <w:left w:val="none" w:sz="0" w:space="0" w:color="auto"/>
        <w:bottom w:val="none" w:sz="0" w:space="0" w:color="auto"/>
        <w:right w:val="none" w:sz="0" w:space="0" w:color="auto"/>
      </w:divBdr>
    </w:div>
    <w:div w:id="1003895143">
      <w:bodyDiv w:val="1"/>
      <w:marLeft w:val="0"/>
      <w:marRight w:val="0"/>
      <w:marTop w:val="0"/>
      <w:marBottom w:val="0"/>
      <w:divBdr>
        <w:top w:val="none" w:sz="0" w:space="0" w:color="auto"/>
        <w:left w:val="none" w:sz="0" w:space="0" w:color="auto"/>
        <w:bottom w:val="none" w:sz="0" w:space="0" w:color="auto"/>
        <w:right w:val="none" w:sz="0" w:space="0" w:color="auto"/>
      </w:divBdr>
      <w:divsChild>
        <w:div w:id="767769839">
          <w:marLeft w:val="0"/>
          <w:marRight w:val="0"/>
          <w:marTop w:val="0"/>
          <w:marBottom w:val="0"/>
          <w:divBdr>
            <w:top w:val="none" w:sz="0" w:space="0" w:color="auto"/>
            <w:left w:val="none" w:sz="0" w:space="0" w:color="auto"/>
            <w:bottom w:val="none" w:sz="0" w:space="0" w:color="auto"/>
            <w:right w:val="none" w:sz="0" w:space="0" w:color="auto"/>
          </w:divBdr>
          <w:divsChild>
            <w:div w:id="10184142">
              <w:marLeft w:val="0"/>
              <w:marRight w:val="0"/>
              <w:marTop w:val="0"/>
              <w:marBottom w:val="0"/>
              <w:divBdr>
                <w:top w:val="none" w:sz="0" w:space="0" w:color="auto"/>
                <w:left w:val="none" w:sz="0" w:space="0" w:color="auto"/>
                <w:bottom w:val="none" w:sz="0" w:space="0" w:color="auto"/>
                <w:right w:val="none" w:sz="0" w:space="0" w:color="auto"/>
              </w:divBdr>
              <w:divsChild>
                <w:div w:id="1078476808">
                  <w:marLeft w:val="0"/>
                  <w:marRight w:val="0"/>
                  <w:marTop w:val="0"/>
                  <w:marBottom w:val="0"/>
                  <w:divBdr>
                    <w:top w:val="none" w:sz="0" w:space="0" w:color="auto"/>
                    <w:left w:val="none" w:sz="0" w:space="0" w:color="auto"/>
                    <w:bottom w:val="none" w:sz="0" w:space="0" w:color="auto"/>
                    <w:right w:val="none" w:sz="0" w:space="0" w:color="auto"/>
                  </w:divBdr>
                  <w:divsChild>
                    <w:div w:id="1123500031">
                      <w:marLeft w:val="0"/>
                      <w:marRight w:val="0"/>
                      <w:marTop w:val="0"/>
                      <w:marBottom w:val="0"/>
                      <w:divBdr>
                        <w:top w:val="none" w:sz="0" w:space="0" w:color="auto"/>
                        <w:left w:val="none" w:sz="0" w:space="0" w:color="auto"/>
                        <w:bottom w:val="none" w:sz="0" w:space="0" w:color="auto"/>
                        <w:right w:val="none" w:sz="0" w:space="0" w:color="auto"/>
                      </w:divBdr>
                      <w:divsChild>
                        <w:div w:id="876622630">
                          <w:marLeft w:val="0"/>
                          <w:marRight w:val="0"/>
                          <w:marTop w:val="0"/>
                          <w:marBottom w:val="0"/>
                          <w:divBdr>
                            <w:top w:val="none" w:sz="0" w:space="0" w:color="auto"/>
                            <w:left w:val="none" w:sz="0" w:space="0" w:color="auto"/>
                            <w:bottom w:val="none" w:sz="0" w:space="0" w:color="auto"/>
                            <w:right w:val="none" w:sz="0" w:space="0" w:color="auto"/>
                          </w:divBdr>
                          <w:divsChild>
                            <w:div w:id="1129472899">
                              <w:marLeft w:val="0"/>
                              <w:marRight w:val="0"/>
                              <w:marTop w:val="0"/>
                              <w:marBottom w:val="0"/>
                              <w:divBdr>
                                <w:top w:val="none" w:sz="0" w:space="0" w:color="auto"/>
                                <w:left w:val="none" w:sz="0" w:space="0" w:color="auto"/>
                                <w:bottom w:val="none" w:sz="0" w:space="0" w:color="auto"/>
                                <w:right w:val="none" w:sz="0" w:space="0" w:color="auto"/>
                              </w:divBdr>
                              <w:divsChild>
                                <w:div w:id="562450376">
                                  <w:marLeft w:val="0"/>
                                  <w:marRight w:val="0"/>
                                  <w:marTop w:val="0"/>
                                  <w:marBottom w:val="0"/>
                                  <w:divBdr>
                                    <w:top w:val="none" w:sz="0" w:space="0" w:color="auto"/>
                                    <w:left w:val="none" w:sz="0" w:space="0" w:color="auto"/>
                                    <w:bottom w:val="none" w:sz="0" w:space="0" w:color="auto"/>
                                    <w:right w:val="none" w:sz="0" w:space="0" w:color="auto"/>
                                  </w:divBdr>
                                  <w:divsChild>
                                    <w:div w:id="2004894305">
                                      <w:marLeft w:val="240"/>
                                      <w:marRight w:val="240"/>
                                      <w:marTop w:val="240"/>
                                      <w:marBottom w:val="0"/>
                                      <w:divBdr>
                                        <w:top w:val="none" w:sz="0" w:space="0" w:color="auto"/>
                                        <w:left w:val="none" w:sz="0" w:space="0" w:color="auto"/>
                                        <w:bottom w:val="none" w:sz="0" w:space="0" w:color="auto"/>
                                        <w:right w:val="none" w:sz="0" w:space="0" w:color="auto"/>
                                      </w:divBdr>
                                      <w:divsChild>
                                        <w:div w:id="1518033439">
                                          <w:marLeft w:val="0"/>
                                          <w:marRight w:val="0"/>
                                          <w:marTop w:val="0"/>
                                          <w:marBottom w:val="0"/>
                                          <w:divBdr>
                                            <w:top w:val="none" w:sz="0" w:space="0" w:color="auto"/>
                                            <w:left w:val="none" w:sz="0" w:space="0" w:color="auto"/>
                                            <w:bottom w:val="none" w:sz="0" w:space="0" w:color="auto"/>
                                            <w:right w:val="none" w:sz="0" w:space="0" w:color="auto"/>
                                          </w:divBdr>
                                          <w:divsChild>
                                            <w:div w:id="426191323">
                                              <w:marLeft w:val="0"/>
                                              <w:marRight w:val="0"/>
                                              <w:marTop w:val="0"/>
                                              <w:marBottom w:val="0"/>
                                              <w:divBdr>
                                                <w:top w:val="none" w:sz="0" w:space="0" w:color="auto"/>
                                                <w:left w:val="none" w:sz="0" w:space="0" w:color="auto"/>
                                                <w:bottom w:val="none" w:sz="0" w:space="0" w:color="auto"/>
                                                <w:right w:val="none" w:sz="0" w:space="0" w:color="auto"/>
                                              </w:divBdr>
                                              <w:divsChild>
                                                <w:div w:id="846553779">
                                                  <w:marLeft w:val="0"/>
                                                  <w:marRight w:val="0"/>
                                                  <w:marTop w:val="0"/>
                                                  <w:marBottom w:val="0"/>
                                                  <w:divBdr>
                                                    <w:top w:val="none" w:sz="0" w:space="0" w:color="auto"/>
                                                    <w:left w:val="none" w:sz="0" w:space="0" w:color="auto"/>
                                                    <w:bottom w:val="none" w:sz="0" w:space="0" w:color="auto"/>
                                                    <w:right w:val="none" w:sz="0" w:space="0" w:color="auto"/>
                                                  </w:divBdr>
                                                  <w:divsChild>
                                                    <w:div w:id="1277984308">
                                                      <w:marLeft w:val="0"/>
                                                      <w:marRight w:val="0"/>
                                                      <w:marTop w:val="0"/>
                                                      <w:marBottom w:val="0"/>
                                                      <w:divBdr>
                                                        <w:top w:val="none" w:sz="0" w:space="0" w:color="auto"/>
                                                        <w:left w:val="none" w:sz="0" w:space="0" w:color="auto"/>
                                                        <w:bottom w:val="none" w:sz="0" w:space="0" w:color="auto"/>
                                                        <w:right w:val="none" w:sz="0" w:space="0" w:color="auto"/>
                                                      </w:divBdr>
                                                      <w:divsChild>
                                                        <w:div w:id="312681433">
                                                          <w:marLeft w:val="0"/>
                                                          <w:marRight w:val="0"/>
                                                          <w:marTop w:val="0"/>
                                                          <w:marBottom w:val="0"/>
                                                          <w:divBdr>
                                                            <w:top w:val="none" w:sz="0" w:space="0" w:color="auto"/>
                                                            <w:left w:val="none" w:sz="0" w:space="0" w:color="auto"/>
                                                            <w:bottom w:val="none" w:sz="0" w:space="0" w:color="auto"/>
                                                            <w:right w:val="none" w:sz="0" w:space="0" w:color="auto"/>
                                                          </w:divBdr>
                                                          <w:divsChild>
                                                            <w:div w:id="1365180903">
                                                              <w:marLeft w:val="0"/>
                                                              <w:marRight w:val="0"/>
                                                              <w:marTop w:val="0"/>
                                                              <w:marBottom w:val="0"/>
                                                              <w:divBdr>
                                                                <w:top w:val="none" w:sz="0" w:space="0" w:color="auto"/>
                                                                <w:left w:val="none" w:sz="0" w:space="0" w:color="auto"/>
                                                                <w:bottom w:val="none" w:sz="0" w:space="0" w:color="auto"/>
                                                                <w:right w:val="none" w:sz="0" w:space="0" w:color="auto"/>
                                                              </w:divBdr>
                                                              <w:divsChild>
                                                                <w:div w:id="631180004">
                                                                  <w:marLeft w:val="0"/>
                                                                  <w:marRight w:val="0"/>
                                                                  <w:marTop w:val="0"/>
                                                                  <w:marBottom w:val="0"/>
                                                                  <w:divBdr>
                                                                    <w:top w:val="none" w:sz="0" w:space="0" w:color="auto"/>
                                                                    <w:left w:val="none" w:sz="0" w:space="0" w:color="auto"/>
                                                                    <w:bottom w:val="none" w:sz="0" w:space="0" w:color="auto"/>
                                                                    <w:right w:val="none" w:sz="0" w:space="0" w:color="auto"/>
                                                                  </w:divBdr>
                                                                  <w:divsChild>
                                                                    <w:div w:id="939332784">
                                                                      <w:marLeft w:val="0"/>
                                                                      <w:marRight w:val="0"/>
                                                                      <w:marTop w:val="0"/>
                                                                      <w:marBottom w:val="0"/>
                                                                      <w:divBdr>
                                                                        <w:top w:val="none" w:sz="0" w:space="0" w:color="auto"/>
                                                                        <w:left w:val="none" w:sz="0" w:space="0" w:color="auto"/>
                                                                        <w:bottom w:val="none" w:sz="0" w:space="0" w:color="auto"/>
                                                                        <w:right w:val="none" w:sz="0" w:space="0" w:color="auto"/>
                                                                      </w:divBdr>
                                                                      <w:divsChild>
                                                                        <w:div w:id="388041310">
                                                                          <w:marLeft w:val="0"/>
                                                                          <w:marRight w:val="0"/>
                                                                          <w:marTop w:val="0"/>
                                                                          <w:marBottom w:val="120"/>
                                                                          <w:divBdr>
                                                                            <w:top w:val="none" w:sz="0" w:space="0" w:color="auto"/>
                                                                            <w:left w:val="none" w:sz="0" w:space="0" w:color="auto"/>
                                                                            <w:bottom w:val="none" w:sz="0" w:space="0" w:color="auto"/>
                                                                            <w:right w:val="none" w:sz="0" w:space="0" w:color="auto"/>
                                                                          </w:divBdr>
                                                                          <w:divsChild>
                                                                            <w:div w:id="497888827">
                                                                              <w:marLeft w:val="0"/>
                                                                              <w:marRight w:val="0"/>
                                                                              <w:marTop w:val="0"/>
                                                                              <w:marBottom w:val="0"/>
                                                                              <w:divBdr>
                                                                                <w:top w:val="none" w:sz="0" w:space="0" w:color="auto"/>
                                                                                <w:left w:val="none" w:sz="0" w:space="0" w:color="auto"/>
                                                                                <w:bottom w:val="none" w:sz="0" w:space="0" w:color="auto"/>
                                                                                <w:right w:val="none" w:sz="0" w:space="0" w:color="auto"/>
                                                                              </w:divBdr>
                                                                              <w:divsChild>
                                                                                <w:div w:id="719281946">
                                                                                  <w:marLeft w:val="0"/>
                                                                                  <w:marRight w:val="0"/>
                                                                                  <w:marTop w:val="0"/>
                                                                                  <w:marBottom w:val="0"/>
                                                                                  <w:divBdr>
                                                                                    <w:top w:val="none" w:sz="0" w:space="0" w:color="auto"/>
                                                                                    <w:left w:val="none" w:sz="0" w:space="0" w:color="auto"/>
                                                                                    <w:bottom w:val="none" w:sz="0" w:space="0" w:color="auto"/>
                                                                                    <w:right w:val="none" w:sz="0" w:space="0" w:color="auto"/>
                                                                                  </w:divBdr>
                                                                                  <w:divsChild>
                                                                                    <w:div w:id="1593583887">
                                                                                      <w:marLeft w:val="0"/>
                                                                                      <w:marRight w:val="0"/>
                                                                                      <w:marTop w:val="0"/>
                                                                                      <w:marBottom w:val="0"/>
                                                                                      <w:divBdr>
                                                                                        <w:top w:val="none" w:sz="0" w:space="0" w:color="auto"/>
                                                                                        <w:left w:val="none" w:sz="0" w:space="0" w:color="auto"/>
                                                                                        <w:bottom w:val="none" w:sz="0" w:space="0" w:color="auto"/>
                                                                                        <w:right w:val="none" w:sz="0" w:space="0" w:color="auto"/>
                                                                                      </w:divBdr>
                                                                                      <w:divsChild>
                                                                                        <w:div w:id="1218854822">
                                                                                          <w:marLeft w:val="0"/>
                                                                                          <w:marRight w:val="0"/>
                                                                                          <w:marTop w:val="0"/>
                                                                                          <w:marBottom w:val="0"/>
                                                                                          <w:divBdr>
                                                                                            <w:top w:val="none" w:sz="0" w:space="0" w:color="auto"/>
                                                                                            <w:left w:val="none" w:sz="0" w:space="0" w:color="auto"/>
                                                                                            <w:bottom w:val="none" w:sz="0" w:space="0" w:color="auto"/>
                                                                                            <w:right w:val="none" w:sz="0" w:space="0" w:color="auto"/>
                                                                                          </w:divBdr>
                                                                                          <w:divsChild>
                                                                                            <w:div w:id="463811372">
                                                                                              <w:marLeft w:val="0"/>
                                                                                              <w:marRight w:val="0"/>
                                                                                              <w:marTop w:val="0"/>
                                                                                              <w:marBottom w:val="0"/>
                                                                                              <w:divBdr>
                                                                                                <w:top w:val="none" w:sz="0" w:space="0" w:color="auto"/>
                                                                                                <w:left w:val="none" w:sz="0" w:space="0" w:color="auto"/>
                                                                                                <w:bottom w:val="none" w:sz="0" w:space="0" w:color="auto"/>
                                                                                                <w:right w:val="none" w:sz="0" w:space="0" w:color="auto"/>
                                                                                              </w:divBdr>
                                                                                              <w:divsChild>
                                                                                                <w:div w:id="1593930083">
                                                                                                  <w:marLeft w:val="0"/>
                                                                                                  <w:marRight w:val="0"/>
                                                                                                  <w:marTop w:val="0"/>
                                                                                                  <w:marBottom w:val="0"/>
                                                                                                  <w:divBdr>
                                                                                                    <w:top w:val="none" w:sz="0" w:space="0" w:color="auto"/>
                                                                                                    <w:left w:val="none" w:sz="0" w:space="0" w:color="auto"/>
                                                                                                    <w:bottom w:val="none" w:sz="0" w:space="0" w:color="auto"/>
                                                                                                    <w:right w:val="none" w:sz="0" w:space="0" w:color="auto"/>
                                                                                                  </w:divBdr>
                                                                                                  <w:divsChild>
                                                                                                    <w:div w:id="84490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Transendrevenuereset@aer.gov.au" TargetMode="External"/><Relationship Id="rId18" Type="http://schemas.openxmlformats.org/officeDocument/2006/relationships/image" Target="media/image2.emf"/><Relationship Id="rId26" Type="http://schemas.openxmlformats.org/officeDocument/2006/relationships/image" Target="media/image10.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image" Target="media/image15.emf"/><Relationship Id="rId7" Type="http://schemas.openxmlformats.org/officeDocument/2006/relationships/footnotes" Target="footnotes.xml"/><Relationship Id="rId12" Type="http://schemas.openxmlformats.org/officeDocument/2006/relationships/hyperlink" Target="mailto:TransGridrevenuereset@aer.gov.au" TargetMode="External"/><Relationship Id="rId17" Type="http://schemas.openxmlformats.org/officeDocument/2006/relationships/hyperlink" Target="http://www.aer.gov.au" TargetMode="External"/><Relationship Id="rId25" Type="http://schemas.openxmlformats.org/officeDocument/2006/relationships/image" Target="media/image9.emf"/><Relationship Id="rId33" Type="http://schemas.openxmlformats.org/officeDocument/2006/relationships/image" Target="media/image14.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er.gov.au" TargetMode="External"/><Relationship Id="rId20" Type="http://schemas.openxmlformats.org/officeDocument/2006/relationships/image" Target="media/image4.emf"/><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ERInquiry@aer.gov.au" TargetMode="External"/><Relationship Id="rId24" Type="http://schemas.openxmlformats.org/officeDocument/2006/relationships/image" Target="media/image8.emf"/><Relationship Id="rId32" Type="http://schemas.openxmlformats.org/officeDocument/2006/relationships/image" Target="media/image13.emf"/><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mailto:AERInquiry@aer.gov.au" TargetMode="Externa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footer" Target="footer1.xml"/><Relationship Id="rId10" Type="http://schemas.openxmlformats.org/officeDocument/2006/relationships/hyperlink" Target="mailto:publishing.unit@accc.gov.au" TargetMode="External"/><Relationship Id="rId19" Type="http://schemas.openxmlformats.org/officeDocument/2006/relationships/image" Target="media/image3.emf"/><Relationship Id="rId31" Type="http://schemas.openxmlformats.org/officeDocument/2006/relationships/chart" Target="charts/chart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Directlinkrevenuereset@aer.gov.au" TargetMode="Externa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chart" Target="charts/chart2.xml"/><Relationship Id="rId35" Type="http://schemas.openxmlformats.org/officeDocument/2006/relationships/image" Target="media/image16.emf"/></Relationships>
</file>

<file path=word/_rels/footnotes.xml.rels><?xml version="1.0" encoding="UTF-8" standalone="yes"?>
<Relationships xmlns="http://schemas.openxmlformats.org/package/2006/relationships"><Relationship Id="rId3" Type="http://schemas.openxmlformats.org/officeDocument/2006/relationships/hyperlink" Target="http://www.aemc.gov.au/Australias-Energy-Market/Market-Legislation/Relevant-Legislation-Electricity" TargetMode="External"/><Relationship Id="rId2" Type="http://schemas.openxmlformats.org/officeDocument/2006/relationships/hyperlink" Target="http://www.transgrid.com.au/aboutus/Pages/default.aspx" TargetMode="External"/><Relationship Id="rId1" Type="http://schemas.openxmlformats.org/officeDocument/2006/relationships/hyperlink" Target="http://www.aer.gov.au" TargetMode="External"/><Relationship Id="rId5" Type="http://schemas.openxmlformats.org/officeDocument/2006/relationships/hyperlink" Target="http://www.aer.gov.au/node/11482" TargetMode="External"/><Relationship Id="rId4" Type="http://schemas.openxmlformats.org/officeDocument/2006/relationships/hyperlink" Target="http://www.aer.gov.au/node/19166"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oleObject" Target="file:///\\SCBRFS001\home$\bburk\TRIMDATA\TRIM\TEMP\HPTRIM.1160\D14%2078293%20%20AER14%20498%20%20Transmission%202014%20-%20data%20-issues%20paper.XLSX.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'Capex - TransGrid'!$B$4</c:f>
              <c:strCache>
                <c:ptCount val="1"/>
                <c:pt idx="0">
                  <c:v>Actual capex</c:v>
                </c:pt>
              </c:strCache>
            </c:strRef>
          </c:tx>
          <c:invertIfNegative val="0"/>
          <c:cat>
            <c:strRef>
              <c:f>'Capex - TransGrid'!$C$3:$L$3</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'Capex - TransGrid'!$C$4:$L$4</c:f>
              <c:numCache>
                <c:formatCode>_("$"* #,##0.00_);_("$"* \(#,##0.00\);_("$"* "-"??_);_(@_)</c:formatCode>
                <c:ptCount val="10"/>
                <c:pt idx="0">
                  <c:v>454.89659969490395</c:v>
                </c:pt>
                <c:pt idx="1">
                  <c:v>398.02017478177112</c:v>
                </c:pt>
                <c:pt idx="2">
                  <c:v>373.72168406605351</c:v>
                </c:pt>
                <c:pt idx="3">
                  <c:v>502.90402604787272</c:v>
                </c:pt>
              </c:numCache>
            </c:numRef>
          </c:val>
        </c:ser>
        <c:ser>
          <c:idx val="2"/>
          <c:order val="1"/>
          <c:tx>
            <c:strRef>
              <c:f>'Capex - TransGrid'!$B$5</c:f>
              <c:strCache>
                <c:ptCount val="1"/>
                <c:pt idx="0">
                  <c:v>Final year estimate</c:v>
                </c:pt>
              </c:strCache>
            </c:strRef>
          </c:tx>
          <c:spPr>
            <a:solidFill>
              <a:schemeClr val="accent5">
                <a:lumMod val="40000"/>
                <a:lumOff val="60000"/>
              </a:schemeClr>
            </a:solidFill>
          </c:spPr>
          <c:invertIfNegative val="0"/>
          <c:cat>
            <c:strRef>
              <c:f>'Capex - TransGrid'!$C$3:$L$3</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'Capex - TransGrid'!$C$5:$L$5</c:f>
              <c:numCache>
                <c:formatCode>General</c:formatCode>
                <c:ptCount val="10"/>
                <c:pt idx="4" formatCode="_(&quot;$&quot;* #,##0.00_);_(&quot;$&quot;* \(#,##0.00\);_(&quot;$&quot;* &quot;-&quot;??_);_(@_)">
                  <c:v>557.97255420369947</c:v>
                </c:pt>
              </c:numCache>
            </c:numRef>
          </c:val>
        </c:ser>
        <c:ser>
          <c:idx val="3"/>
          <c:order val="2"/>
          <c:tx>
            <c:strRef>
              <c:f>'Capex - TransGrid'!$B$6</c:f>
              <c:strCache>
                <c:ptCount val="1"/>
                <c:pt idx="0">
                  <c:v>TransGrid reg proposal forecast</c:v>
                </c:pt>
              </c:strCache>
            </c:strRef>
          </c:tx>
          <c:spPr>
            <a:solidFill>
              <a:srgbClr val="92D050"/>
            </a:solidFill>
          </c:spPr>
          <c:invertIfNegative val="0"/>
          <c:cat>
            <c:strRef>
              <c:f>'Capex - TransGrid'!$C$3:$L$3</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'Capex - TransGrid'!$C$6:$L$6</c:f>
              <c:numCache>
                <c:formatCode>General</c:formatCode>
                <c:ptCount val="10"/>
                <c:pt idx="5" formatCode="_(&quot;$&quot;* #,##0.00_);_(&quot;$&quot;* \(#,##0.00\);_(&quot;$&quot;* &quot;-&quot;??_);_(@_)">
                  <c:v>353.49104828167316</c:v>
                </c:pt>
                <c:pt idx="6" formatCode="_(&quot;$&quot;* #,##0.00_);_(&quot;$&quot;* \(#,##0.00\);_(&quot;$&quot;* &quot;-&quot;??_);_(@_)">
                  <c:v>400.85267458757414</c:v>
                </c:pt>
                <c:pt idx="7" formatCode="_(&quot;$&quot;* #,##0.00_);_(&quot;$&quot;* \(#,##0.00\);_(&quot;$&quot;* &quot;-&quot;??_);_(@_)">
                  <c:v>311.02224333528528</c:v>
                </c:pt>
                <c:pt idx="8" formatCode="_(&quot;$&quot;* #,##0.00_);_(&quot;$&quot;* \(#,##0.00\);_(&quot;$&quot;* &quot;-&quot;??_);_(@_)">
                  <c:v>322.02454624070197</c:v>
                </c:pt>
                <c:pt idx="9" formatCode="_(&quot;$&quot;* #,##0.00_);_(&quot;$&quot;* \(#,##0.00\);_(&quot;$&quot;* &quot;-&quot;??_);_(@_)">
                  <c:v>220.97314459297564</c:v>
                </c:pt>
              </c:numCache>
            </c:numRef>
          </c:val>
        </c:ser>
        <c:dLbls>
          <c:showLegendKey val="0"/>
          <c:showVal val="0"/>
          <c:showCatName val="0"/>
          <c:showSerName val="0"/>
          <c:showPercent val="0"/>
          <c:showBubbleSize val="0"/>
        </c:dLbls>
        <c:gapWidth val="50"/>
        <c:overlap val="100"/>
        <c:axId val="350925184"/>
        <c:axId val="350926720"/>
      </c:barChart>
      <c:lineChart>
        <c:grouping val="standard"/>
        <c:varyColors val="0"/>
        <c:ser>
          <c:idx val="1"/>
          <c:order val="3"/>
          <c:tx>
            <c:strRef>
              <c:f>'Capex - TransGrid'!$B$7</c:f>
              <c:strCache>
                <c:ptCount val="1"/>
                <c:pt idx="0">
                  <c:v>AER allowance</c:v>
                </c:pt>
              </c:strCache>
            </c:strRef>
          </c:tx>
          <c:spPr>
            <a:ln>
              <a:solidFill>
                <a:schemeClr val="tx1"/>
              </a:solidFill>
            </a:ln>
          </c:spPr>
          <c:marker>
            <c:symbol val="none"/>
          </c:marker>
          <c:cat>
            <c:strRef>
              <c:f>'Capex - TransGrid'!$C$3:$L$3</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'Capex - TransGrid'!$C$7:$L$7</c:f>
              <c:numCache>
                <c:formatCode>_("$"* #,##0.00_);_("$"* \(#,##0.00\);_("$"* "-"??_);_(@_)</c:formatCode>
                <c:ptCount val="10"/>
                <c:pt idx="0">
                  <c:v>587.62624196579418</c:v>
                </c:pt>
                <c:pt idx="1">
                  <c:v>489.02121501766942</c:v>
                </c:pt>
                <c:pt idx="2">
                  <c:v>576.90202114886176</c:v>
                </c:pt>
                <c:pt idx="3">
                  <c:v>524.28211712625944</c:v>
                </c:pt>
                <c:pt idx="4">
                  <c:v>385.2218603599992</c:v>
                </c:pt>
              </c:numCache>
            </c:numRef>
          </c:val>
          <c:smooth val="0"/>
        </c:ser>
        <c:dLbls>
          <c:showLegendKey val="0"/>
          <c:showVal val="0"/>
          <c:showCatName val="0"/>
          <c:showSerName val="0"/>
          <c:showPercent val="0"/>
          <c:showBubbleSize val="0"/>
        </c:dLbls>
        <c:marker val="1"/>
        <c:smooth val="0"/>
        <c:axId val="350925184"/>
        <c:axId val="350926720"/>
      </c:lineChart>
      <c:catAx>
        <c:axId val="350925184"/>
        <c:scaling>
          <c:orientation val="minMax"/>
        </c:scaling>
        <c:delete val="0"/>
        <c:axPos val="b"/>
        <c:majorTickMark val="out"/>
        <c:minorTickMark val="none"/>
        <c:tickLblPos val="nextTo"/>
        <c:crossAx val="350926720"/>
        <c:crosses val="autoZero"/>
        <c:auto val="1"/>
        <c:lblAlgn val="ctr"/>
        <c:lblOffset val="100"/>
        <c:noMultiLvlLbl val="0"/>
      </c:catAx>
      <c:valAx>
        <c:axId val="350926720"/>
        <c:scaling>
          <c:orientation val="minMax"/>
        </c:scaling>
        <c:delete val="0"/>
        <c:axPos val="l"/>
        <c:majorGridlines/>
        <c:title>
          <c:tx>
            <c:rich>
              <a:bodyPr rot="-5400000" vert="horz"/>
              <a:lstStyle/>
              <a:p>
                <a:pPr>
                  <a:defRPr/>
                </a:pPr>
                <a:r>
                  <a:rPr lang="en-AU" sz="1000" b="1" i="0" u="none" strike="noStrike" baseline="0">
                    <a:effectLst/>
                  </a:rPr>
                  <a:t>$m, 2013–14</a:t>
                </a:r>
                <a:endParaRPr lang="en-AU"/>
              </a:p>
            </c:rich>
          </c:tx>
          <c:layout/>
          <c:overlay val="0"/>
        </c:title>
        <c:numFmt formatCode="_(&quot;$&quot;* #,##0_);_(&quot;$&quot;* \(#,##0\);_(&quot;$&quot;* &quot;-&quot;_);_(@_)" sourceLinked="0"/>
        <c:majorTickMark val="out"/>
        <c:minorTickMark val="none"/>
        <c:tickLblPos val="nextTo"/>
        <c:crossAx val="350925184"/>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'Capex - Transend'!$B$4</c:f>
              <c:strCache>
                <c:ptCount val="1"/>
                <c:pt idx="0">
                  <c:v>Actual capex</c:v>
                </c:pt>
              </c:strCache>
            </c:strRef>
          </c:tx>
          <c:invertIfNegative val="0"/>
          <c:cat>
            <c:strRef>
              <c:f>'Capex - Transend'!$C$3:$L$3</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'Capex - Transend'!$C$4:$L$4</c:f>
              <c:numCache>
                <c:formatCode>0</c:formatCode>
                <c:ptCount val="10"/>
                <c:pt idx="0">
                  <c:v>148.58756681279456</c:v>
                </c:pt>
                <c:pt idx="1">
                  <c:v>126.33503788999309</c:v>
                </c:pt>
                <c:pt idx="2">
                  <c:v>131.86992637878296</c:v>
                </c:pt>
                <c:pt idx="3">
                  <c:v>88.343415102029681</c:v>
                </c:pt>
              </c:numCache>
            </c:numRef>
          </c:val>
        </c:ser>
        <c:ser>
          <c:idx val="2"/>
          <c:order val="1"/>
          <c:tx>
            <c:strRef>
              <c:f>'Capex - Transend'!$B$5</c:f>
              <c:strCache>
                <c:ptCount val="1"/>
                <c:pt idx="0">
                  <c:v>Final year estimate</c:v>
                </c:pt>
              </c:strCache>
            </c:strRef>
          </c:tx>
          <c:spPr>
            <a:solidFill>
              <a:schemeClr val="accent5">
                <a:lumMod val="40000"/>
                <a:lumOff val="60000"/>
              </a:schemeClr>
            </a:solidFill>
          </c:spPr>
          <c:invertIfNegative val="0"/>
          <c:cat>
            <c:strRef>
              <c:f>'Capex - Transend'!$C$3:$L$3</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'Capex - Transend'!$C$5:$L$5</c:f>
              <c:numCache>
                <c:formatCode>General</c:formatCode>
                <c:ptCount val="10"/>
                <c:pt idx="4" formatCode="0">
                  <c:v>79.814073622652472</c:v>
                </c:pt>
              </c:numCache>
            </c:numRef>
          </c:val>
        </c:ser>
        <c:ser>
          <c:idx val="3"/>
          <c:order val="2"/>
          <c:tx>
            <c:strRef>
              <c:f>'Capex - Transend'!$B$6</c:f>
              <c:strCache>
                <c:ptCount val="1"/>
                <c:pt idx="0">
                  <c:v>Transend reg proposal forecast</c:v>
                </c:pt>
              </c:strCache>
            </c:strRef>
          </c:tx>
          <c:spPr>
            <a:solidFill>
              <a:srgbClr val="92D050"/>
            </a:solidFill>
          </c:spPr>
          <c:invertIfNegative val="0"/>
          <c:cat>
            <c:strRef>
              <c:f>'Capex - Transend'!$C$3:$L$3</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'Capex - Transend'!$C$6:$L$6</c:f>
              <c:numCache>
                <c:formatCode>General</c:formatCode>
                <c:ptCount val="10"/>
                <c:pt idx="5" formatCode="_(&quot;$&quot;* #,##0.00_);_(&quot;$&quot;* \(#,##0.00\);_(&quot;$&quot;* &quot;-&quot;??_);_(@_)">
                  <c:v>51.009000000000007</c:v>
                </c:pt>
                <c:pt idx="6" formatCode="_(&quot;$&quot;* #,##0.00_);_(&quot;$&quot;* \(#,##0.00\);_(&quot;$&quot;* &quot;-&quot;??_);_(@_)">
                  <c:v>66.097999999999999</c:v>
                </c:pt>
                <c:pt idx="7" formatCode="_(&quot;$&quot;* #,##0.00_);_(&quot;$&quot;* \(#,##0.00\);_(&quot;$&quot;* &quot;-&quot;??_);_(@_)">
                  <c:v>59.872989999999987</c:v>
                </c:pt>
                <c:pt idx="8" formatCode="_(&quot;$&quot;* #,##0.00_);_(&quot;$&quot;* \(#,##0.00\);_(&quot;$&quot;* &quot;-&quot;??_);_(@_)">
                  <c:v>53.69</c:v>
                </c:pt>
                <c:pt idx="9" formatCode="_(&quot;$&quot;* #,##0.00_);_(&quot;$&quot;* \(#,##0.00\);_(&quot;$&quot;* &quot;-&quot;??_);_(@_)">
                  <c:v>45.27299</c:v>
                </c:pt>
              </c:numCache>
            </c:numRef>
          </c:val>
        </c:ser>
        <c:dLbls>
          <c:showLegendKey val="0"/>
          <c:showVal val="0"/>
          <c:showCatName val="0"/>
          <c:showSerName val="0"/>
          <c:showPercent val="0"/>
          <c:showBubbleSize val="0"/>
        </c:dLbls>
        <c:gapWidth val="50"/>
        <c:overlap val="100"/>
        <c:axId val="426873600"/>
        <c:axId val="426875136"/>
      </c:barChart>
      <c:lineChart>
        <c:grouping val="standard"/>
        <c:varyColors val="0"/>
        <c:ser>
          <c:idx val="1"/>
          <c:order val="3"/>
          <c:tx>
            <c:strRef>
              <c:f>'Capex - Transend'!$B$7</c:f>
              <c:strCache>
                <c:ptCount val="1"/>
                <c:pt idx="0">
                  <c:v>AER allowance</c:v>
                </c:pt>
              </c:strCache>
            </c:strRef>
          </c:tx>
          <c:spPr>
            <a:ln>
              <a:solidFill>
                <a:schemeClr val="tx1"/>
              </a:solidFill>
            </a:ln>
          </c:spPr>
          <c:marker>
            <c:symbol val="none"/>
          </c:marker>
          <c:cat>
            <c:strRef>
              <c:f>'Capex - Transend'!$C$3:$L$3</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'Capex - Transend'!$C$7:$L$7</c:f>
              <c:numCache>
                <c:formatCode>0</c:formatCode>
                <c:ptCount val="10"/>
                <c:pt idx="0">
                  <c:v>188.88980041578228</c:v>
                </c:pt>
                <c:pt idx="1">
                  <c:v>185.91933866528612</c:v>
                </c:pt>
                <c:pt idx="2">
                  <c:v>109.14050139833935</c:v>
                </c:pt>
                <c:pt idx="3">
                  <c:v>116.26812020155734</c:v>
                </c:pt>
                <c:pt idx="4">
                  <c:v>116.20302918371803</c:v>
                </c:pt>
              </c:numCache>
            </c:numRef>
          </c:val>
          <c:smooth val="0"/>
        </c:ser>
        <c:dLbls>
          <c:showLegendKey val="0"/>
          <c:showVal val="0"/>
          <c:showCatName val="0"/>
          <c:showSerName val="0"/>
          <c:showPercent val="0"/>
          <c:showBubbleSize val="0"/>
        </c:dLbls>
        <c:marker val="1"/>
        <c:smooth val="0"/>
        <c:axId val="426873600"/>
        <c:axId val="426875136"/>
      </c:lineChart>
      <c:catAx>
        <c:axId val="426873600"/>
        <c:scaling>
          <c:orientation val="minMax"/>
        </c:scaling>
        <c:delete val="0"/>
        <c:axPos val="b"/>
        <c:majorTickMark val="out"/>
        <c:minorTickMark val="none"/>
        <c:tickLblPos val="nextTo"/>
        <c:crossAx val="426875136"/>
        <c:crosses val="autoZero"/>
        <c:auto val="1"/>
        <c:lblAlgn val="ctr"/>
        <c:lblOffset val="100"/>
        <c:noMultiLvlLbl val="0"/>
      </c:catAx>
      <c:valAx>
        <c:axId val="426875136"/>
        <c:scaling>
          <c:orientation val="minMax"/>
        </c:scaling>
        <c:delete val="0"/>
        <c:axPos val="l"/>
        <c:majorGridlines/>
        <c:title>
          <c:tx>
            <c:rich>
              <a:bodyPr rot="-5400000" vert="horz"/>
              <a:lstStyle/>
              <a:p>
                <a:pPr>
                  <a:defRPr/>
                </a:pPr>
                <a:r>
                  <a:rPr lang="en-AU"/>
                  <a:t>$m, 2013–14</a:t>
                </a:r>
              </a:p>
            </c:rich>
          </c:tx>
          <c:layout/>
          <c:overlay val="0"/>
        </c:title>
        <c:numFmt formatCode="0" sourceLinked="1"/>
        <c:majorTickMark val="out"/>
        <c:minorTickMark val="none"/>
        <c:tickLblPos val="nextTo"/>
        <c:crossAx val="426873600"/>
        <c:crosses val="autoZero"/>
        <c:crossBetween val="between"/>
      </c:valAx>
    </c:plotArea>
    <c:legend>
      <c:legendPos val="b"/>
      <c:layout/>
      <c:overlay val="0"/>
    </c:legend>
    <c:plotVisOnly val="1"/>
    <c:dispBlanksAs val="gap"/>
    <c:showDLblsOverMax val="0"/>
  </c:chart>
  <c:spPr>
    <a:ln w="0"/>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'Capex - Directlink'!$B$4</c:f>
              <c:strCache>
                <c:ptCount val="1"/>
                <c:pt idx="0">
                  <c:v>Actual capex</c:v>
                </c:pt>
              </c:strCache>
            </c:strRef>
          </c:tx>
          <c:invertIfNegative val="0"/>
          <c:cat>
            <c:strRef>
              <c:f>'Capex - Directlink'!$C$3:$L$3</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'Capex - Directlink'!$C$4:$L$4</c:f>
              <c:numCache>
                <c:formatCode>0.00</c:formatCode>
                <c:ptCount val="10"/>
                <c:pt idx="0">
                  <c:v>2.3325112302341695E-2</c:v>
                </c:pt>
                <c:pt idx="1">
                  <c:v>2.3024596344921706</c:v>
                </c:pt>
                <c:pt idx="2">
                  <c:v>1.720100081335419</c:v>
                </c:pt>
                <c:pt idx="3">
                  <c:v>0.73073614381243024</c:v>
                </c:pt>
              </c:numCache>
            </c:numRef>
          </c:val>
        </c:ser>
        <c:ser>
          <c:idx val="2"/>
          <c:order val="1"/>
          <c:tx>
            <c:strRef>
              <c:f>'Capex - Directlink'!$B$5</c:f>
              <c:strCache>
                <c:ptCount val="1"/>
                <c:pt idx="0">
                  <c:v>Final year estimate</c:v>
                </c:pt>
              </c:strCache>
            </c:strRef>
          </c:tx>
          <c:spPr>
            <a:solidFill>
              <a:schemeClr val="accent5">
                <a:lumMod val="40000"/>
                <a:lumOff val="60000"/>
              </a:schemeClr>
            </a:solidFill>
          </c:spPr>
          <c:invertIfNegative val="0"/>
          <c:cat>
            <c:strRef>
              <c:f>'Capex - Directlink'!$C$3:$L$3</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'Capex - Directlink'!$C$5:$L$5</c:f>
              <c:numCache>
                <c:formatCode>General</c:formatCode>
                <c:ptCount val="10"/>
                <c:pt idx="4" formatCode="0.00">
                  <c:v>3.7326189643625911</c:v>
                </c:pt>
              </c:numCache>
            </c:numRef>
          </c:val>
        </c:ser>
        <c:ser>
          <c:idx val="3"/>
          <c:order val="2"/>
          <c:tx>
            <c:strRef>
              <c:f>'Capex - Directlink'!$B$6</c:f>
              <c:strCache>
                <c:ptCount val="1"/>
                <c:pt idx="0">
                  <c:v>Directlink reg proposal forecast</c:v>
                </c:pt>
              </c:strCache>
            </c:strRef>
          </c:tx>
          <c:spPr>
            <a:solidFill>
              <a:schemeClr val="accent2">
                <a:lumMod val="60000"/>
                <a:lumOff val="40000"/>
              </a:schemeClr>
            </a:solidFill>
          </c:spPr>
          <c:invertIfNegative val="0"/>
          <c:dPt>
            <c:idx val="5"/>
            <c:invertIfNegative val="0"/>
            <c:bubble3D val="0"/>
            <c:spPr>
              <a:solidFill>
                <a:srgbClr val="92D050"/>
              </a:solidFill>
            </c:spPr>
          </c:dPt>
          <c:dPt>
            <c:idx val="6"/>
            <c:invertIfNegative val="0"/>
            <c:bubble3D val="0"/>
            <c:spPr>
              <a:solidFill>
                <a:srgbClr val="92D050"/>
              </a:solidFill>
            </c:spPr>
          </c:dPt>
          <c:dPt>
            <c:idx val="7"/>
            <c:invertIfNegative val="0"/>
            <c:bubble3D val="0"/>
            <c:spPr>
              <a:solidFill>
                <a:srgbClr val="92D050"/>
              </a:solidFill>
            </c:spPr>
          </c:dPt>
          <c:dPt>
            <c:idx val="8"/>
            <c:invertIfNegative val="0"/>
            <c:bubble3D val="0"/>
            <c:spPr>
              <a:solidFill>
                <a:srgbClr val="92D050"/>
              </a:solidFill>
            </c:spPr>
          </c:dPt>
          <c:dPt>
            <c:idx val="9"/>
            <c:invertIfNegative val="0"/>
            <c:bubble3D val="0"/>
            <c:spPr>
              <a:solidFill>
                <a:srgbClr val="92D050"/>
              </a:solidFill>
            </c:spPr>
          </c:dPt>
          <c:cat>
            <c:strRef>
              <c:f>'Capex - Directlink'!$C$3:$L$3</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'Capex - Directlink'!$C$6:$L$6</c:f>
              <c:numCache>
                <c:formatCode>General</c:formatCode>
                <c:ptCount val="10"/>
                <c:pt idx="5" formatCode="0.00">
                  <c:v>3.03</c:v>
                </c:pt>
                <c:pt idx="6" formatCode="0.00">
                  <c:v>5.856395383580864</c:v>
                </c:pt>
                <c:pt idx="7" formatCode="0.00">
                  <c:v>5.4094279757981258</c:v>
                </c:pt>
                <c:pt idx="8" formatCode="0.00">
                  <c:v>4.0275262528724376</c:v>
                </c:pt>
                <c:pt idx="9" formatCode="0.00">
                  <c:v>5.104003587259248</c:v>
                </c:pt>
              </c:numCache>
            </c:numRef>
          </c:val>
        </c:ser>
        <c:dLbls>
          <c:showLegendKey val="0"/>
          <c:showVal val="0"/>
          <c:showCatName val="0"/>
          <c:showSerName val="0"/>
          <c:showPercent val="0"/>
          <c:showBubbleSize val="0"/>
        </c:dLbls>
        <c:gapWidth val="50"/>
        <c:overlap val="100"/>
        <c:axId val="427150336"/>
        <c:axId val="428675840"/>
      </c:barChart>
      <c:lineChart>
        <c:grouping val="standard"/>
        <c:varyColors val="0"/>
        <c:ser>
          <c:idx val="1"/>
          <c:order val="3"/>
          <c:tx>
            <c:strRef>
              <c:f>'Capex - Directlink'!$B$7</c:f>
              <c:strCache>
                <c:ptCount val="1"/>
                <c:pt idx="0">
                  <c:v>AER allowance</c:v>
                </c:pt>
              </c:strCache>
            </c:strRef>
          </c:tx>
          <c:spPr>
            <a:ln>
              <a:solidFill>
                <a:schemeClr val="tx1"/>
              </a:solidFill>
            </a:ln>
          </c:spPr>
          <c:marker>
            <c:symbol val="none"/>
          </c:marker>
          <c:cat>
            <c:strRef>
              <c:f>'Capex - Directlink'!$C$3:$L$3</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'Capex - Directlink'!$C$7:$L$7</c:f>
              <c:numCache>
                <c:formatCode>0.00</c:formatCode>
                <c:ptCount val="10"/>
                <c:pt idx="0">
                  <c:v>0</c:v>
                </c:pt>
                <c:pt idx="1">
                  <c:v>0</c:v>
                </c:pt>
                <c:pt idx="2">
                  <c:v>0</c:v>
                </c:pt>
                <c:pt idx="3">
                  <c:v>0</c:v>
                </c:pt>
                <c:pt idx="4">
                  <c:v>0</c:v>
                </c:pt>
              </c:numCache>
            </c:numRef>
          </c:val>
          <c:smooth val="0"/>
        </c:ser>
        <c:dLbls>
          <c:showLegendKey val="0"/>
          <c:showVal val="0"/>
          <c:showCatName val="0"/>
          <c:showSerName val="0"/>
          <c:showPercent val="0"/>
          <c:showBubbleSize val="0"/>
        </c:dLbls>
        <c:marker val="1"/>
        <c:smooth val="0"/>
        <c:axId val="427150336"/>
        <c:axId val="428675840"/>
      </c:lineChart>
      <c:catAx>
        <c:axId val="427150336"/>
        <c:scaling>
          <c:orientation val="minMax"/>
        </c:scaling>
        <c:delete val="0"/>
        <c:axPos val="b"/>
        <c:majorTickMark val="out"/>
        <c:minorTickMark val="none"/>
        <c:tickLblPos val="nextTo"/>
        <c:crossAx val="428675840"/>
        <c:crosses val="autoZero"/>
        <c:auto val="1"/>
        <c:lblAlgn val="ctr"/>
        <c:lblOffset val="100"/>
        <c:noMultiLvlLbl val="0"/>
      </c:catAx>
      <c:valAx>
        <c:axId val="428675840"/>
        <c:scaling>
          <c:orientation val="minMax"/>
        </c:scaling>
        <c:delete val="0"/>
        <c:axPos val="l"/>
        <c:majorGridlines/>
        <c:title>
          <c:tx>
            <c:rich>
              <a:bodyPr rot="-5400000" vert="horz"/>
              <a:lstStyle/>
              <a:p>
                <a:pPr>
                  <a:defRPr/>
                </a:pPr>
                <a:r>
                  <a:rPr lang="en-AU"/>
                  <a:t>$m, 2014–14</a:t>
                </a:r>
              </a:p>
            </c:rich>
          </c:tx>
          <c:layout/>
          <c:overlay val="0"/>
        </c:title>
        <c:numFmt formatCode="_(* #,##0_);_(* \(#,##0\);_(* &quot;-&quot;_);_(@_)" sourceLinked="0"/>
        <c:majorTickMark val="out"/>
        <c:minorTickMark val="none"/>
        <c:tickLblPos val="nextTo"/>
        <c:crossAx val="427150336"/>
        <c:crosses val="autoZero"/>
        <c:crossBetween val="between"/>
      </c:valAx>
    </c:plotArea>
    <c:legend>
      <c:legendPos val="b"/>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18FFCA-1F56-4801-BB95-4173C4F9B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85124F70.dotm</Template>
  <TotalTime>0</TotalTime>
  <Pages>53</Pages>
  <Words>15068</Words>
  <Characters>79262</Characters>
  <Application>Microsoft Office Word</Application>
  <DocSecurity>4</DocSecurity>
  <Lines>1933</Lines>
  <Paragraphs>1598</Paragraphs>
  <ScaleCrop>false</ScaleCrop>
  <HeadingPairs>
    <vt:vector size="2" baseType="variant">
      <vt:variant>
        <vt:lpstr>Title</vt:lpstr>
      </vt:variant>
      <vt:variant>
        <vt:i4>1</vt:i4>
      </vt:variant>
    </vt:vector>
  </HeadingPairs>
  <TitlesOfParts>
    <vt:vector size="1" baseType="lpstr">
      <vt:lpstr/>
    </vt:vector>
  </TitlesOfParts>
  <Company>ACCC</Company>
  <LinksUpToDate>false</LinksUpToDate>
  <CharactersWithSpaces>92732</CharactersWithSpaces>
  <SharedDoc>false</SharedDoc>
  <HLinks>
    <vt:vector size="108" baseType="variant">
      <vt:variant>
        <vt:i4>1048636</vt:i4>
      </vt:variant>
      <vt:variant>
        <vt:i4>104</vt:i4>
      </vt:variant>
      <vt:variant>
        <vt:i4>0</vt:i4>
      </vt:variant>
      <vt:variant>
        <vt:i4>5</vt:i4>
      </vt:variant>
      <vt:variant>
        <vt:lpwstr/>
      </vt:variant>
      <vt:variant>
        <vt:lpwstr>_Toc322596469</vt:lpwstr>
      </vt:variant>
      <vt:variant>
        <vt:i4>1048636</vt:i4>
      </vt:variant>
      <vt:variant>
        <vt:i4>98</vt:i4>
      </vt:variant>
      <vt:variant>
        <vt:i4>0</vt:i4>
      </vt:variant>
      <vt:variant>
        <vt:i4>5</vt:i4>
      </vt:variant>
      <vt:variant>
        <vt:lpwstr/>
      </vt:variant>
      <vt:variant>
        <vt:lpwstr>_Toc322596468</vt:lpwstr>
      </vt:variant>
      <vt:variant>
        <vt:i4>1048636</vt:i4>
      </vt:variant>
      <vt:variant>
        <vt:i4>92</vt:i4>
      </vt:variant>
      <vt:variant>
        <vt:i4>0</vt:i4>
      </vt:variant>
      <vt:variant>
        <vt:i4>5</vt:i4>
      </vt:variant>
      <vt:variant>
        <vt:lpwstr/>
      </vt:variant>
      <vt:variant>
        <vt:lpwstr>_Toc322596467</vt:lpwstr>
      </vt:variant>
      <vt:variant>
        <vt:i4>1048636</vt:i4>
      </vt:variant>
      <vt:variant>
        <vt:i4>86</vt:i4>
      </vt:variant>
      <vt:variant>
        <vt:i4>0</vt:i4>
      </vt:variant>
      <vt:variant>
        <vt:i4>5</vt:i4>
      </vt:variant>
      <vt:variant>
        <vt:lpwstr/>
      </vt:variant>
      <vt:variant>
        <vt:lpwstr>_Toc322596466</vt:lpwstr>
      </vt:variant>
      <vt:variant>
        <vt:i4>1048636</vt:i4>
      </vt:variant>
      <vt:variant>
        <vt:i4>80</vt:i4>
      </vt:variant>
      <vt:variant>
        <vt:i4>0</vt:i4>
      </vt:variant>
      <vt:variant>
        <vt:i4>5</vt:i4>
      </vt:variant>
      <vt:variant>
        <vt:lpwstr/>
      </vt:variant>
      <vt:variant>
        <vt:lpwstr>_Toc322596465</vt:lpwstr>
      </vt:variant>
      <vt:variant>
        <vt:i4>1048636</vt:i4>
      </vt:variant>
      <vt:variant>
        <vt:i4>74</vt:i4>
      </vt:variant>
      <vt:variant>
        <vt:i4>0</vt:i4>
      </vt:variant>
      <vt:variant>
        <vt:i4>5</vt:i4>
      </vt:variant>
      <vt:variant>
        <vt:lpwstr/>
      </vt:variant>
      <vt:variant>
        <vt:lpwstr>_Toc322596464</vt:lpwstr>
      </vt:variant>
      <vt:variant>
        <vt:i4>1048636</vt:i4>
      </vt:variant>
      <vt:variant>
        <vt:i4>68</vt:i4>
      </vt:variant>
      <vt:variant>
        <vt:i4>0</vt:i4>
      </vt:variant>
      <vt:variant>
        <vt:i4>5</vt:i4>
      </vt:variant>
      <vt:variant>
        <vt:lpwstr/>
      </vt:variant>
      <vt:variant>
        <vt:lpwstr>_Toc322596463</vt:lpwstr>
      </vt:variant>
      <vt:variant>
        <vt:i4>1048636</vt:i4>
      </vt:variant>
      <vt:variant>
        <vt:i4>62</vt:i4>
      </vt:variant>
      <vt:variant>
        <vt:i4>0</vt:i4>
      </vt:variant>
      <vt:variant>
        <vt:i4>5</vt:i4>
      </vt:variant>
      <vt:variant>
        <vt:lpwstr/>
      </vt:variant>
      <vt:variant>
        <vt:lpwstr>_Toc322596462</vt:lpwstr>
      </vt:variant>
      <vt:variant>
        <vt:i4>1048636</vt:i4>
      </vt:variant>
      <vt:variant>
        <vt:i4>56</vt:i4>
      </vt:variant>
      <vt:variant>
        <vt:i4>0</vt:i4>
      </vt:variant>
      <vt:variant>
        <vt:i4>5</vt:i4>
      </vt:variant>
      <vt:variant>
        <vt:lpwstr/>
      </vt:variant>
      <vt:variant>
        <vt:lpwstr>_Toc322596461</vt:lpwstr>
      </vt:variant>
      <vt:variant>
        <vt:i4>1048636</vt:i4>
      </vt:variant>
      <vt:variant>
        <vt:i4>50</vt:i4>
      </vt:variant>
      <vt:variant>
        <vt:i4>0</vt:i4>
      </vt:variant>
      <vt:variant>
        <vt:i4>5</vt:i4>
      </vt:variant>
      <vt:variant>
        <vt:lpwstr/>
      </vt:variant>
      <vt:variant>
        <vt:lpwstr>_Toc322596460</vt:lpwstr>
      </vt:variant>
      <vt:variant>
        <vt:i4>1245244</vt:i4>
      </vt:variant>
      <vt:variant>
        <vt:i4>44</vt:i4>
      </vt:variant>
      <vt:variant>
        <vt:i4>0</vt:i4>
      </vt:variant>
      <vt:variant>
        <vt:i4>5</vt:i4>
      </vt:variant>
      <vt:variant>
        <vt:lpwstr/>
      </vt:variant>
      <vt:variant>
        <vt:lpwstr>_Toc322596459</vt:lpwstr>
      </vt:variant>
      <vt:variant>
        <vt:i4>1245244</vt:i4>
      </vt:variant>
      <vt:variant>
        <vt:i4>38</vt:i4>
      </vt:variant>
      <vt:variant>
        <vt:i4>0</vt:i4>
      </vt:variant>
      <vt:variant>
        <vt:i4>5</vt:i4>
      </vt:variant>
      <vt:variant>
        <vt:lpwstr/>
      </vt:variant>
      <vt:variant>
        <vt:lpwstr>_Toc322596458</vt:lpwstr>
      </vt:variant>
      <vt:variant>
        <vt:i4>1245244</vt:i4>
      </vt:variant>
      <vt:variant>
        <vt:i4>32</vt:i4>
      </vt:variant>
      <vt:variant>
        <vt:i4>0</vt:i4>
      </vt:variant>
      <vt:variant>
        <vt:i4>5</vt:i4>
      </vt:variant>
      <vt:variant>
        <vt:lpwstr/>
      </vt:variant>
      <vt:variant>
        <vt:lpwstr>_Toc322596457</vt:lpwstr>
      </vt:variant>
      <vt:variant>
        <vt:i4>1245244</vt:i4>
      </vt:variant>
      <vt:variant>
        <vt:i4>26</vt:i4>
      </vt:variant>
      <vt:variant>
        <vt:i4>0</vt:i4>
      </vt:variant>
      <vt:variant>
        <vt:i4>5</vt:i4>
      </vt:variant>
      <vt:variant>
        <vt:lpwstr/>
      </vt:variant>
      <vt:variant>
        <vt:lpwstr>_Toc322596456</vt:lpwstr>
      </vt:variant>
      <vt:variant>
        <vt:i4>1245244</vt:i4>
      </vt:variant>
      <vt:variant>
        <vt:i4>20</vt:i4>
      </vt:variant>
      <vt:variant>
        <vt:i4>0</vt:i4>
      </vt:variant>
      <vt:variant>
        <vt:i4>5</vt:i4>
      </vt:variant>
      <vt:variant>
        <vt:lpwstr/>
      </vt:variant>
      <vt:variant>
        <vt:lpwstr>_Toc322596455</vt:lpwstr>
      </vt:variant>
      <vt:variant>
        <vt:i4>1245244</vt:i4>
      </vt:variant>
      <vt:variant>
        <vt:i4>14</vt:i4>
      </vt:variant>
      <vt:variant>
        <vt:i4>0</vt:i4>
      </vt:variant>
      <vt:variant>
        <vt:i4>5</vt:i4>
      </vt:variant>
      <vt:variant>
        <vt:lpwstr/>
      </vt:variant>
      <vt:variant>
        <vt:lpwstr>_Toc322596454</vt:lpwstr>
      </vt:variant>
      <vt:variant>
        <vt:i4>1245244</vt:i4>
      </vt:variant>
      <vt:variant>
        <vt:i4>8</vt:i4>
      </vt:variant>
      <vt:variant>
        <vt:i4>0</vt:i4>
      </vt:variant>
      <vt:variant>
        <vt:i4>5</vt:i4>
      </vt:variant>
      <vt:variant>
        <vt:lpwstr/>
      </vt:variant>
      <vt:variant>
        <vt:lpwstr>_Toc322596453</vt:lpwstr>
      </vt:variant>
      <vt:variant>
        <vt:i4>1245244</vt:i4>
      </vt:variant>
      <vt:variant>
        <vt:i4>2</vt:i4>
      </vt:variant>
      <vt:variant>
        <vt:i4>0</vt:i4>
      </vt:variant>
      <vt:variant>
        <vt:i4>5</vt:i4>
      </vt:variant>
      <vt:variant>
        <vt:lpwstr/>
      </vt:variant>
      <vt:variant>
        <vt:lpwstr>_Toc322596452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AER</dc:creator>
  <cp:keywords/>
  <cp:lastModifiedBy>Lowien, Robyn</cp:lastModifiedBy>
  <cp:revision>2</cp:revision>
  <cp:lastPrinted>2014-07-08T03:38:00Z</cp:lastPrinted>
  <dcterms:created xsi:type="dcterms:W3CDTF">2014-07-08T05:10:00Z</dcterms:created>
  <dcterms:modified xsi:type="dcterms:W3CDTF">2014-07-08T05:10:00Z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rrfile">
    <vt:lpwstr>H:\TRIMDATA\TRIM\TEMP\HPTRIM.1800\D14 87557  AER electricity transmission - Issues paper.DOCX</vt:lpwstr>
  </property>
</Properties>
</file>