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C2" w:rsidRPr="0020711E" w:rsidRDefault="002423F9" w:rsidP="008C3722">
      <w:pPr>
        <w:pStyle w:val="HeadingOrange"/>
        <w:rPr>
          <w:rStyle w:val="AERtextsize8"/>
        </w:rPr>
      </w:pPr>
      <w:r w:rsidRPr="002423F9">
        <w:rPr>
          <w:noProof/>
          <w:lang w:eastAsia="en-AU"/>
        </w:rPr>
        <w:drawing>
          <wp:anchor distT="0" distB="0" distL="114300" distR="114300" simplePos="0" relativeHeight="251653632" behindDoc="1" locked="0" layoutInCell="1" allowOverlap="1" wp14:anchorId="24D8BB82" wp14:editId="299E3408">
            <wp:simplePos x="0" y="0"/>
            <wp:positionH relativeFrom="column">
              <wp:posOffset>-921224</wp:posOffset>
            </wp:positionH>
            <wp:positionV relativeFrom="paragraph">
              <wp:posOffset>-914399</wp:posOffset>
            </wp:positionV>
            <wp:extent cx="7574508" cy="11311998"/>
            <wp:effectExtent l="0" t="0" r="0" b="0"/>
            <wp:wrapNone/>
            <wp:docPr id="6"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4508" cy="11311998"/>
                    </a:xfrm>
                    <a:prstGeom prst="rect">
                      <a:avLst/>
                    </a:prstGeom>
                    <a:noFill/>
                    <a:ln w="9525">
                      <a:noFill/>
                      <a:miter lim="800000"/>
                      <a:headEnd/>
                      <a:tailEnd/>
                    </a:ln>
                  </pic:spPr>
                </pic:pic>
              </a:graphicData>
            </a:graphic>
            <wp14:sizeRelV relativeFrom="margin">
              <wp14:pctHeight>0</wp14:pctHeight>
            </wp14:sizeRelV>
          </wp:anchor>
        </w:drawing>
      </w:r>
      <w:r w:rsidR="00CC49D4" w:rsidRPr="00824CC8">
        <w:rPr>
          <w:noProof/>
          <w:lang w:eastAsia="en-AU"/>
        </w:rPr>
        <w:drawing>
          <wp:anchor distT="0" distB="0" distL="114300" distR="114300" simplePos="0" relativeHeight="251652608" behindDoc="1" locked="0" layoutInCell="1" allowOverlap="1" wp14:anchorId="353EED86" wp14:editId="4A2B069F">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2423F9" w:rsidRPr="00824CC8" w:rsidRDefault="002423F9" w:rsidP="002423F9"/>
    <w:p w:rsidR="002423F9" w:rsidRDefault="002423F9" w:rsidP="002423F9">
      <w:pPr>
        <w:pStyle w:val="AERbodytextnospace"/>
      </w:pPr>
    </w:p>
    <w:p w:rsidR="002423F9" w:rsidRDefault="002423F9" w:rsidP="002423F9"/>
    <w:p w:rsidR="002423F9" w:rsidRDefault="002423F9" w:rsidP="002423F9"/>
    <w:p w:rsidR="002423F9" w:rsidRDefault="002423F9" w:rsidP="002423F9"/>
    <w:p w:rsidR="002423F9" w:rsidRDefault="002423F9" w:rsidP="002423F9"/>
    <w:p w:rsidR="002423F9" w:rsidRDefault="002423F9" w:rsidP="002423F9"/>
    <w:p w:rsidR="002423F9" w:rsidRDefault="002423F9" w:rsidP="002423F9"/>
    <w:p w:rsidR="002423F9" w:rsidRDefault="002423F9" w:rsidP="002423F9"/>
    <w:p w:rsidR="002423F9" w:rsidRDefault="002423F9" w:rsidP="002423F9">
      <w:pPr>
        <w:pStyle w:val="AERtitle1"/>
      </w:pPr>
      <w:r>
        <w:t xml:space="preserve">Issues paper </w:t>
      </w:r>
    </w:p>
    <w:p w:rsidR="002423F9" w:rsidRPr="00421895" w:rsidRDefault="000F41DC" w:rsidP="002423F9">
      <w:pPr>
        <w:pStyle w:val="AERtitle1"/>
      </w:pPr>
      <w:r>
        <w:t>ActewAGL</w:t>
      </w:r>
      <w:r w:rsidR="00D23887">
        <w:t xml:space="preserve"> e</w:t>
      </w:r>
      <w:r w:rsidR="002423F9" w:rsidRPr="00421895">
        <w:t xml:space="preserve">lectricity </w:t>
      </w:r>
      <w:r w:rsidR="000A5512">
        <w:t>distribution</w:t>
      </w:r>
      <w:r w:rsidR="00E33A10">
        <w:t xml:space="preserve"> regulatory</w:t>
      </w:r>
      <w:r w:rsidR="002423F9" w:rsidRPr="00421895">
        <w:t xml:space="preserve"> proposal</w:t>
      </w:r>
    </w:p>
    <w:p w:rsidR="002423F9" w:rsidRPr="00421895" w:rsidRDefault="002423F9" w:rsidP="002423F9">
      <w:pPr>
        <w:pStyle w:val="AERtitle1"/>
      </w:pPr>
      <w:r>
        <w:t>201</w:t>
      </w:r>
      <w:r w:rsidR="00517CDB">
        <w:t>4</w:t>
      </w:r>
      <w:r>
        <w:t>–1</w:t>
      </w:r>
      <w:r w:rsidR="00517CDB">
        <w:t>5</w:t>
      </w:r>
      <w:r>
        <w:t xml:space="preserve"> to 2018–19</w:t>
      </w:r>
      <w:r w:rsidRPr="00421895">
        <w:t xml:space="preserve"> </w:t>
      </w:r>
    </w:p>
    <w:p w:rsidR="002423F9" w:rsidRDefault="002423F9" w:rsidP="002423F9"/>
    <w:p w:rsidR="002423F9" w:rsidRDefault="002423F9" w:rsidP="002423F9"/>
    <w:p w:rsidR="002423F9" w:rsidRPr="00F6235D" w:rsidRDefault="002423F9" w:rsidP="002423F9"/>
    <w:p w:rsidR="002423F9" w:rsidRDefault="002423F9" w:rsidP="002423F9">
      <w:pPr>
        <w:pStyle w:val="AERtitle2"/>
      </w:pPr>
      <w:r>
        <w:t>J</w:t>
      </w:r>
      <w:r w:rsidR="005F7D5D">
        <w:t>uly</w:t>
      </w:r>
      <w:r>
        <w:t xml:space="preserve"> 2014</w:t>
      </w:r>
    </w:p>
    <w:p w:rsidR="002423F9" w:rsidRPr="00824CC8" w:rsidRDefault="002423F9" w:rsidP="002423F9">
      <w:pPr>
        <w:rPr>
          <w:rStyle w:val="AERtextbold"/>
        </w:rPr>
      </w:pPr>
      <w:r>
        <w:rPr>
          <w:rStyle w:val="AERtextbold"/>
        </w:rPr>
        <w:br w:type="page"/>
      </w:r>
    </w:p>
    <w:p w:rsidR="00C643B1" w:rsidRPr="00540029" w:rsidRDefault="00C643B1" w:rsidP="00540029">
      <w:pPr>
        <w:pStyle w:val="AERbodytextnospaceleftalign"/>
        <w:rPr>
          <w:rStyle w:val="AERtextbold"/>
        </w:rPr>
      </w:pPr>
      <w:r w:rsidRPr="00540029">
        <w:rPr>
          <w:rStyle w:val="AERtextbold"/>
        </w:rPr>
        <w:lastRenderedPageBreak/>
        <w:t>© Commonwealth of Australia 2014</w:t>
      </w:r>
    </w:p>
    <w:p w:rsidR="00C643B1" w:rsidRPr="00C643B1" w:rsidRDefault="00C643B1" w:rsidP="00540029">
      <w:pPr>
        <w:pStyle w:val="AERbodytext"/>
      </w:pPr>
      <w:r w:rsidRPr="00C643B1">
        <w:t>This work is copyright. In addition to any use permitted under the Copyright Act 1968, all material contained within this work is provided under a Creative Commons Attribution 3.0 Australia licence, with the exception of:</w:t>
      </w:r>
    </w:p>
    <w:p w:rsidR="00C643B1" w:rsidRPr="00C643B1" w:rsidRDefault="00C643B1" w:rsidP="00540029">
      <w:pPr>
        <w:pStyle w:val="AERbulletlistfirststyle"/>
      </w:pPr>
      <w:r w:rsidRPr="00C643B1">
        <w:t>the Commonwealth Coat of Arms</w:t>
      </w:r>
    </w:p>
    <w:p w:rsidR="00C643B1" w:rsidRPr="00C643B1" w:rsidRDefault="00C643B1" w:rsidP="00540029">
      <w:pPr>
        <w:pStyle w:val="AERbulletlistfirststyle"/>
      </w:pPr>
      <w:r w:rsidRPr="00C643B1">
        <w:t>the ACCC and AER logos</w:t>
      </w:r>
    </w:p>
    <w:p w:rsidR="00C643B1" w:rsidRPr="00C643B1" w:rsidRDefault="00C643B1" w:rsidP="00540029">
      <w:pPr>
        <w:pStyle w:val="AERbulletlistfirststyle"/>
        <w:rPr>
          <w:lang w:val="en-US"/>
        </w:rPr>
      </w:pPr>
      <w:r w:rsidRPr="00C643B1">
        <w:t>any illustration, diagram, photograph or graphic over which the Australian Competition and Consumer Commission does not hold copyright, but which may be part of or contained within this publication.</w:t>
      </w:r>
    </w:p>
    <w:p w:rsidR="00C643B1" w:rsidRDefault="00C643B1" w:rsidP="00540029">
      <w:pPr>
        <w:pStyle w:val="AERbodytextnospaceleftalign"/>
      </w:pPr>
      <w:r w:rsidRPr="00C643B1">
        <w:t>The details of the relevant licence conditions are available on the Creative Commons website, as is the full legal code for the CC BY 3.0 AU licence.</w:t>
      </w:r>
    </w:p>
    <w:p w:rsidR="00C643B1" w:rsidRPr="00C643B1" w:rsidRDefault="00C643B1" w:rsidP="00540029">
      <w:pPr>
        <w:pStyle w:val="AERbodytextnospaceleftalign"/>
      </w:pPr>
    </w:p>
    <w:p w:rsidR="00C643B1" w:rsidRPr="00C643B1" w:rsidRDefault="00C643B1" w:rsidP="00540029">
      <w:pPr>
        <w:pStyle w:val="AERbodytextnospaceleftalign"/>
      </w:pPr>
      <w:r w:rsidRPr="00C643B1">
        <w:t xml:space="preserve">Requests and inquiries concerning reproduction and rights should be addressed to the Director, Corporate Communications, ACCC, GPO Box 3131, Canberra ACT 2601, or </w:t>
      </w:r>
      <w:hyperlink r:id="rId10" w:history="1">
        <w:r w:rsidRPr="00C643B1">
          <w:rPr>
            <w:rStyle w:val="Hyperlink"/>
          </w:rPr>
          <w:t>publishing.unit@accc.gov.au</w:t>
        </w:r>
      </w:hyperlink>
      <w:r w:rsidRPr="00C643B1">
        <w:t xml:space="preserve"> .</w:t>
      </w:r>
    </w:p>
    <w:p w:rsidR="00C643B1" w:rsidRDefault="00C643B1" w:rsidP="00540029">
      <w:pPr>
        <w:pStyle w:val="AERbodytextnospace"/>
        <w:rPr>
          <w:rStyle w:val="AERbody"/>
        </w:rPr>
      </w:pPr>
    </w:p>
    <w:p w:rsidR="00C643B1" w:rsidRPr="00C643B1" w:rsidRDefault="00C643B1" w:rsidP="00540029">
      <w:pPr>
        <w:pStyle w:val="AERbodytextnospace"/>
        <w:rPr>
          <w:rStyle w:val="AERbody"/>
        </w:rPr>
      </w:pPr>
      <w:r w:rsidRPr="00540029">
        <w:rPr>
          <w:rStyle w:val="AERbody"/>
        </w:rPr>
        <w:t>Inquiries about this decision should be addressed to:</w:t>
      </w:r>
    </w:p>
    <w:p w:rsidR="00C643B1" w:rsidRPr="00C643B1" w:rsidRDefault="00C643B1" w:rsidP="00540029">
      <w:pPr>
        <w:pStyle w:val="AERbodytextnospace"/>
        <w:rPr>
          <w:rStyle w:val="AERbody"/>
        </w:rPr>
      </w:pPr>
      <w:r w:rsidRPr="00540029">
        <w:rPr>
          <w:rStyle w:val="AERbody"/>
        </w:rPr>
        <w:t>Australian Energy Regulator</w:t>
      </w:r>
    </w:p>
    <w:p w:rsidR="00C643B1" w:rsidRPr="00540029" w:rsidRDefault="00C643B1" w:rsidP="00540029">
      <w:pPr>
        <w:pStyle w:val="AERbodytextnospace"/>
        <w:rPr>
          <w:rStyle w:val="AERbody"/>
        </w:rPr>
      </w:pPr>
      <w:r w:rsidRPr="00540029">
        <w:rPr>
          <w:rStyle w:val="AERbody"/>
        </w:rPr>
        <w:t>GPO Box 520</w:t>
      </w:r>
    </w:p>
    <w:p w:rsidR="00C643B1" w:rsidRPr="00540029" w:rsidRDefault="00C643B1" w:rsidP="00540029">
      <w:pPr>
        <w:pStyle w:val="AERbodytextnospace"/>
        <w:rPr>
          <w:rStyle w:val="AERbody"/>
        </w:rPr>
      </w:pPr>
      <w:r w:rsidRPr="00540029">
        <w:rPr>
          <w:rStyle w:val="AERbody"/>
        </w:rPr>
        <w:t>Melbourne  Vic  3001</w:t>
      </w:r>
    </w:p>
    <w:p w:rsidR="00C643B1" w:rsidRPr="00540029" w:rsidRDefault="00C643B1" w:rsidP="00540029">
      <w:pPr>
        <w:pStyle w:val="AERbodytextnospace"/>
        <w:rPr>
          <w:rStyle w:val="AERbody"/>
        </w:rPr>
      </w:pPr>
      <w:r w:rsidRPr="00540029">
        <w:rPr>
          <w:rStyle w:val="AERbody"/>
        </w:rPr>
        <w:t>Tel: (03) 9290 1444</w:t>
      </w:r>
    </w:p>
    <w:p w:rsidR="00C643B1" w:rsidRDefault="00C643B1" w:rsidP="00540029">
      <w:pPr>
        <w:pStyle w:val="AERbodytextnospace"/>
        <w:rPr>
          <w:rStyle w:val="AERbody"/>
        </w:rPr>
      </w:pPr>
      <w:r w:rsidRPr="00540029">
        <w:rPr>
          <w:rStyle w:val="AERbody"/>
        </w:rPr>
        <w:t>Fax: (03) 9290 1457</w:t>
      </w:r>
    </w:p>
    <w:p w:rsidR="00C643B1" w:rsidRPr="00540029" w:rsidRDefault="00C643B1" w:rsidP="00540029">
      <w:pPr>
        <w:pStyle w:val="AERbodytextnospace"/>
        <w:rPr>
          <w:rStyle w:val="AERbody"/>
        </w:rPr>
      </w:pPr>
    </w:p>
    <w:p w:rsidR="00C643B1" w:rsidRPr="00C643B1" w:rsidRDefault="00C643B1" w:rsidP="00C643B1">
      <w:r w:rsidRPr="00C643B1">
        <w:t xml:space="preserve">Email: </w:t>
      </w:r>
      <w:hyperlink r:id="rId11" w:history="1">
        <w:r w:rsidRPr="00C643B1">
          <w:rPr>
            <w:rStyle w:val="Hyperlink"/>
          </w:rPr>
          <w:t>AERInquiry@aer.gov.au</w:t>
        </w:r>
      </w:hyperlink>
    </w:p>
    <w:p w:rsidR="002423F9" w:rsidRPr="00780CA6" w:rsidRDefault="00317AF6" w:rsidP="001060C4">
      <w:pPr>
        <w:pStyle w:val="AERbodytext"/>
        <w:rPr>
          <w:rStyle w:val="AERbody"/>
        </w:rPr>
      </w:pPr>
      <w:r w:rsidRPr="00780CA6">
        <w:rPr>
          <w:rStyle w:val="AERbody"/>
        </w:rPr>
        <w:t xml:space="preserve">AER reference:  </w:t>
      </w:r>
      <w:r w:rsidR="000F41DC">
        <w:rPr>
          <w:rStyle w:val="AERbody"/>
        </w:rPr>
        <w:t>52254</w:t>
      </w:r>
      <w:r w:rsidR="000F41DC">
        <w:rPr>
          <w:rStyle w:val="AERbody"/>
        </w:rPr>
        <w:tab/>
      </w:r>
      <w:r w:rsidR="000F41DC" w:rsidRPr="001060C4">
        <w:rPr>
          <w:rStyle w:val="AERbody"/>
        </w:rPr>
        <w:t>D14/</w:t>
      </w:r>
      <w:r w:rsidR="001060C4" w:rsidRPr="001060C4">
        <w:rPr>
          <w:rStyle w:val="AERbody"/>
        </w:rPr>
        <w:t>92549</w:t>
      </w:r>
    </w:p>
    <w:p w:rsidR="002A3246" w:rsidRPr="003324F7" w:rsidRDefault="002A3246" w:rsidP="002A3246">
      <w:pPr>
        <w:pStyle w:val="AERbodytext"/>
        <w:numPr>
          <w:ilvl w:val="0"/>
          <w:numId w:val="58"/>
        </w:numPr>
      </w:pPr>
    </w:p>
    <w:p w:rsidR="002A3246" w:rsidRPr="00F6235D" w:rsidRDefault="002A3246" w:rsidP="002A3246">
      <w:pPr>
        <w:pStyle w:val="AERtitle2"/>
      </w:pPr>
    </w:p>
    <w:p w:rsidR="002423F9" w:rsidRPr="00F6235D" w:rsidRDefault="002423F9" w:rsidP="002423F9"/>
    <w:p w:rsidR="00892DA2" w:rsidRPr="001D5B42" w:rsidRDefault="00892DA2" w:rsidP="00892DA2">
      <w:pPr>
        <w:pStyle w:val="UnnumberedHeading"/>
      </w:pPr>
      <w:bookmarkStart w:id="0" w:name="_Toc341968859"/>
      <w:bookmarkStart w:id="1" w:name="_Toc383780211"/>
      <w:bookmarkStart w:id="2" w:name="_Toc393880966"/>
      <w:r w:rsidRPr="001D5B42">
        <w:lastRenderedPageBreak/>
        <w:t>Request for submissions</w:t>
      </w:r>
      <w:bookmarkEnd w:id="0"/>
      <w:bookmarkEnd w:id="1"/>
      <w:bookmarkEnd w:id="2"/>
    </w:p>
    <w:p w:rsidR="00892DA2" w:rsidRPr="0019405D" w:rsidRDefault="00892DA2" w:rsidP="00892DA2">
      <w:pPr>
        <w:pStyle w:val="AERbodytext"/>
      </w:pPr>
      <w:r w:rsidRPr="0019405D">
        <w:t xml:space="preserve">Interested parties are invited to make written submissions </w:t>
      </w:r>
      <w:r w:rsidR="008412E7" w:rsidRPr="008412E7">
        <w:t xml:space="preserve">regarding </w:t>
      </w:r>
      <w:r w:rsidR="00A325DB">
        <w:t>ActewAGL's regulatory proposal</w:t>
      </w:r>
      <w:r w:rsidR="008412E7" w:rsidRPr="008412E7">
        <w:t xml:space="preserve"> </w:t>
      </w:r>
      <w:r w:rsidRPr="0019405D">
        <w:t xml:space="preserve">to </w:t>
      </w:r>
      <w:r w:rsidR="00E52E4E">
        <w:t xml:space="preserve">us, </w:t>
      </w:r>
      <w:r w:rsidRPr="0019405D">
        <w:t>the Australian Energy Regulator (AER)</w:t>
      </w:r>
      <w:r w:rsidR="00E52E4E">
        <w:t xml:space="preserve">, </w:t>
      </w:r>
      <w:r w:rsidRPr="0019405D">
        <w:t>by close of business</w:t>
      </w:r>
      <w:r w:rsidRPr="00692EE2">
        <w:rPr>
          <w:rStyle w:val="AERbody"/>
        </w:rPr>
        <w:t>,</w:t>
      </w:r>
      <w:r w:rsidR="005569C6" w:rsidRPr="00692EE2">
        <w:rPr>
          <w:rStyle w:val="AERbody"/>
        </w:rPr>
        <w:t xml:space="preserve"> </w:t>
      </w:r>
      <w:r w:rsidR="005569C6" w:rsidRPr="00C50AE4">
        <w:rPr>
          <w:rStyle w:val="AERtextbold"/>
        </w:rPr>
        <w:t>22 August</w:t>
      </w:r>
      <w:r w:rsidRPr="00C50AE4">
        <w:rPr>
          <w:rStyle w:val="AERtextbold"/>
        </w:rPr>
        <w:t xml:space="preserve"> 2014</w:t>
      </w:r>
      <w:r w:rsidRPr="00692EE2">
        <w:rPr>
          <w:rStyle w:val="AERbody"/>
        </w:rPr>
        <w:t>.</w:t>
      </w:r>
    </w:p>
    <w:p w:rsidR="00B746F1" w:rsidRDefault="0078406B" w:rsidP="00892DA2">
      <w:r>
        <w:t>We</w:t>
      </w:r>
      <w:r w:rsidR="00892DA2">
        <w:t xml:space="preserve"> prefer that all submissions sent in an electronic format are in Microsoft Word or other text readable document form.</w:t>
      </w:r>
      <w:r w:rsidR="00B746F1" w:rsidRPr="00B746F1">
        <w:t xml:space="preserve"> </w:t>
      </w:r>
      <w:r w:rsidR="00B746F1" w:rsidRPr="00552D1A">
        <w:t>Submissions should be sent electronically to</w:t>
      </w:r>
      <w:r w:rsidR="004C70DC">
        <w:t>:</w:t>
      </w:r>
      <w:r w:rsidR="00B746F1" w:rsidRPr="00552D1A">
        <w:t xml:space="preserve"> </w:t>
      </w:r>
    </w:p>
    <w:p w:rsidR="00A325DB" w:rsidRDefault="00203B35" w:rsidP="00892DA2">
      <w:pPr>
        <w:pStyle w:val="AERbulletlistfirststyle"/>
      </w:pPr>
      <w:hyperlink r:id="rId12" w:history="1">
        <w:r w:rsidR="003D45CA" w:rsidRPr="003D45CA">
          <w:rPr>
            <w:rStyle w:val="Hyperlink"/>
          </w:rPr>
          <w:t>NSWACTelectricity@aer.gov.au</w:t>
        </w:r>
      </w:hyperlink>
      <w:r w:rsidR="00B746F1">
        <w:t xml:space="preserve"> </w:t>
      </w:r>
    </w:p>
    <w:p w:rsidR="00892DA2" w:rsidRPr="00433BD9" w:rsidRDefault="00892DA2" w:rsidP="00A325DB">
      <w:pPr>
        <w:pStyle w:val="AERbulletlistfirststyle"/>
        <w:numPr>
          <w:ilvl w:val="0"/>
          <w:numId w:val="0"/>
        </w:numPr>
      </w:pPr>
      <w:r w:rsidRPr="00433BD9">
        <w:t>Alternatively, submissions can be sent to:</w:t>
      </w:r>
    </w:p>
    <w:p w:rsidR="00892DA2" w:rsidRDefault="00892DA2" w:rsidP="00892DA2">
      <w:pPr>
        <w:pStyle w:val="AERbodytextnospace"/>
      </w:pPr>
      <w:r>
        <w:t xml:space="preserve">Mr </w:t>
      </w:r>
      <w:r w:rsidR="003D45CA">
        <w:t>Warwick Anderson</w:t>
      </w:r>
    </w:p>
    <w:p w:rsidR="00B746F1" w:rsidRDefault="00516B10" w:rsidP="00892DA2">
      <w:pPr>
        <w:pStyle w:val="AERbodytextnospace"/>
      </w:pPr>
      <w:r>
        <w:t>General Manager</w:t>
      </w:r>
    </w:p>
    <w:p w:rsidR="00892DA2" w:rsidRDefault="00892DA2" w:rsidP="00892DA2">
      <w:pPr>
        <w:pStyle w:val="AERbodytextnospace"/>
      </w:pPr>
      <w:r>
        <w:t>Australian Energy Regulator</w:t>
      </w:r>
    </w:p>
    <w:p w:rsidR="003D45CA" w:rsidRDefault="003D45CA" w:rsidP="00892DA2">
      <w:pPr>
        <w:pStyle w:val="AERbodytextnospace"/>
      </w:pPr>
      <w:r>
        <w:t>GPO Box 3131</w:t>
      </w:r>
    </w:p>
    <w:p w:rsidR="003D45CA" w:rsidRDefault="003D45CA" w:rsidP="00892DA2">
      <w:pPr>
        <w:pStyle w:val="AERbodytextnospace"/>
      </w:pPr>
      <w:r>
        <w:t>Canberra ACT 2601</w:t>
      </w:r>
    </w:p>
    <w:p w:rsidR="00892DA2" w:rsidRDefault="00892DA2" w:rsidP="00892DA2">
      <w:pPr>
        <w:pStyle w:val="AERbodytextnospace"/>
      </w:pPr>
      <w:r>
        <w:t xml:space="preserve">Email: </w:t>
      </w:r>
      <w:hyperlink r:id="rId13" w:history="1">
        <w:r w:rsidRPr="003E184A">
          <w:rPr>
            <w:rStyle w:val="Hyperlink"/>
          </w:rPr>
          <w:t>AERInquiry@aer.gov.au</w:t>
        </w:r>
      </w:hyperlink>
    </w:p>
    <w:p w:rsidR="00F372AE" w:rsidRDefault="00F372AE" w:rsidP="00540029">
      <w:pPr>
        <w:pStyle w:val="AERbodytextnospace"/>
      </w:pPr>
    </w:p>
    <w:p w:rsidR="00892DA2" w:rsidRPr="00540029" w:rsidRDefault="00892DA2">
      <w:pPr>
        <w:pStyle w:val="AERbodytext"/>
        <w:rPr>
          <w:rStyle w:val="AERbody"/>
        </w:rPr>
      </w:pPr>
      <w:r w:rsidRPr="00540029">
        <w:rPr>
          <w:rStyle w:val="AERbody"/>
        </w:rPr>
        <w:t>We prefer that all submissions be publicly available to facilitate an informed and transparent consultative process. Submissions will be treated as public documents unless otherwise requested. Parties wishing to submit confidential information are requested to:</w:t>
      </w:r>
    </w:p>
    <w:p w:rsidR="00892DA2" w:rsidRPr="00F35E5A" w:rsidRDefault="00892DA2" w:rsidP="00892DA2">
      <w:pPr>
        <w:pStyle w:val="AERbulletlistfirststyle"/>
      </w:pPr>
      <w:r w:rsidRPr="00F35E5A">
        <w:t>clearly identify the information that is the subject of the confidentiality claim</w:t>
      </w:r>
    </w:p>
    <w:p w:rsidR="00892DA2" w:rsidRPr="00F35E5A" w:rsidRDefault="00892DA2" w:rsidP="00892DA2">
      <w:pPr>
        <w:pStyle w:val="AERbulletlistfirststyle"/>
      </w:pPr>
      <w:r w:rsidRPr="00F35E5A">
        <w:t>provide a non-confidential version of the submission in a form suitable for publication.</w:t>
      </w:r>
    </w:p>
    <w:p w:rsidR="00892DA2" w:rsidRPr="00433BD9" w:rsidRDefault="00892DA2" w:rsidP="00892DA2">
      <w:pPr>
        <w:pStyle w:val="AERbodytext"/>
      </w:pPr>
      <w:r w:rsidRPr="00433BD9">
        <w:t xml:space="preserve">All non-confidential submissions will be placed on </w:t>
      </w:r>
      <w:r>
        <w:t>our</w:t>
      </w:r>
      <w:r w:rsidRPr="00433BD9">
        <w:t xml:space="preserve"> website at </w:t>
      </w:r>
      <w:hyperlink r:id="rId14" w:history="1">
        <w:r w:rsidRPr="00433BD9">
          <w:rPr>
            <w:rStyle w:val="Hyperlink"/>
          </w:rPr>
          <w:t>www.aer.gov.au</w:t>
        </w:r>
      </w:hyperlink>
      <w:r w:rsidRPr="00433BD9">
        <w:t xml:space="preserve">. For further information regarding </w:t>
      </w:r>
      <w:r>
        <w:t>our</w:t>
      </w:r>
      <w:r w:rsidRPr="00433BD9">
        <w:t xml:space="preserve"> use and disclosure of information provided to </w:t>
      </w:r>
      <w:r>
        <w:t>us</w:t>
      </w:r>
      <w:r w:rsidRPr="00433BD9">
        <w:t xml:space="preserve">, see the ACCC/AER Information Policy, October 2008 available on </w:t>
      </w:r>
      <w:r>
        <w:t>our</w:t>
      </w:r>
      <w:r w:rsidRPr="00433BD9">
        <w:t xml:space="preserve"> website.</w:t>
      </w:r>
    </w:p>
    <w:p w:rsidR="00892DA2" w:rsidRPr="00433BD9" w:rsidRDefault="00892DA2" w:rsidP="00892DA2">
      <w:r w:rsidRPr="00433BD9">
        <w:t xml:space="preserve">Enquires about this paper, or about lodging submissions, should be directed to </w:t>
      </w:r>
      <w:r>
        <w:t>our</w:t>
      </w:r>
      <w:r w:rsidRPr="00433BD9">
        <w:t xml:space="preserve"> </w:t>
      </w:r>
      <w:r w:rsidR="00B723EC">
        <w:t>N</w:t>
      </w:r>
      <w:r w:rsidRPr="00433BD9">
        <w:t xml:space="preserve">etwork </w:t>
      </w:r>
      <w:r w:rsidR="00B723EC">
        <w:t>F</w:t>
      </w:r>
      <w:r w:rsidR="00CC4E75">
        <w:t xml:space="preserve">inance and </w:t>
      </w:r>
      <w:r w:rsidR="00B723EC">
        <w:t>R</w:t>
      </w:r>
      <w:r w:rsidR="00CC4E75">
        <w:t xml:space="preserve">eporting </w:t>
      </w:r>
      <w:r w:rsidRPr="00552D1A">
        <w:t>branch on (</w:t>
      </w:r>
      <w:r w:rsidR="00E04509" w:rsidRPr="00E04509">
        <w:rPr>
          <w:rStyle w:val="AERbody"/>
        </w:rPr>
        <w:t>02) 6243 4933</w:t>
      </w:r>
      <w:r w:rsidRPr="00E04509">
        <w:rPr>
          <w:rStyle w:val="AERbody"/>
        </w:rPr>
        <w:t>.</w:t>
      </w:r>
    </w:p>
    <w:p w:rsidR="00892DA2" w:rsidRDefault="00892DA2" w:rsidP="00892DA2">
      <w:pPr>
        <w:pStyle w:val="HeadingBoldBlue"/>
      </w:pPr>
      <w:r>
        <w:t>Next steps</w:t>
      </w:r>
    </w:p>
    <w:p w:rsidR="00892DA2" w:rsidRPr="003D13C3" w:rsidRDefault="00892DA2" w:rsidP="00892DA2">
      <w:pPr>
        <w:pStyle w:val="AERbodytext"/>
      </w:pPr>
      <w:r>
        <w:t xml:space="preserve">We will consider and respond to submissions on </w:t>
      </w:r>
      <w:r w:rsidR="00A325DB">
        <w:t>ActewAGL's regulatory proposal</w:t>
      </w:r>
      <w:r>
        <w:t xml:space="preserve"> in the context of our </w:t>
      </w:r>
      <w:r w:rsidR="004C70DC">
        <w:t>draft</w:t>
      </w:r>
      <w:r>
        <w:t xml:space="preserve"> determination. </w:t>
      </w:r>
      <w:r w:rsidR="00F41837">
        <w:t>We expect to publish o</w:t>
      </w:r>
      <w:r>
        <w:t>ur draft decision in November 2014.</w:t>
      </w:r>
    </w:p>
    <w:p w:rsidR="002423F9" w:rsidRDefault="002423F9">
      <w:pPr>
        <w:spacing w:after="0" w:line="240" w:lineRule="auto"/>
        <w:jc w:val="left"/>
        <w:rPr>
          <w:rFonts w:eastAsia="Times New Roman"/>
          <w:b/>
          <w:sz w:val="40"/>
          <w:szCs w:val="24"/>
          <w:lang w:eastAsia="en-AU"/>
        </w:rPr>
      </w:pPr>
    </w:p>
    <w:p w:rsidR="00AF3E95" w:rsidRDefault="00AF3E95" w:rsidP="0052577F">
      <w:pPr>
        <w:pStyle w:val="Heading7"/>
        <w:numPr>
          <w:ilvl w:val="0"/>
          <w:numId w:val="0"/>
        </w:numPr>
      </w:pPr>
      <w:bookmarkStart w:id="3" w:name="_Toc360023682"/>
      <w:bookmarkStart w:id="4" w:name="_Toc360024843"/>
      <w:bookmarkStart w:id="5" w:name="_Toc390238692"/>
      <w:bookmarkStart w:id="6" w:name="_Toc390341525"/>
      <w:bookmarkStart w:id="7" w:name="_Toc390341580"/>
      <w:bookmarkStart w:id="8" w:name="_Toc390341621"/>
      <w:bookmarkStart w:id="9" w:name="_Toc390875170"/>
      <w:r>
        <w:lastRenderedPageBreak/>
        <w:t>Contents</w:t>
      </w:r>
      <w:bookmarkEnd w:id="3"/>
      <w:bookmarkEnd w:id="4"/>
      <w:bookmarkEnd w:id="5"/>
      <w:bookmarkEnd w:id="6"/>
      <w:bookmarkEnd w:id="7"/>
      <w:bookmarkEnd w:id="8"/>
      <w:bookmarkEnd w:id="9"/>
    </w:p>
    <w:p w:rsidR="00FA0866" w:rsidRDefault="00824CC8">
      <w:pPr>
        <w:pStyle w:val="TOC1"/>
        <w:tabs>
          <w:tab w:val="right" w:leader="dot" w:pos="9016"/>
        </w:tabs>
        <w:rPr>
          <w:rFonts w:asciiTheme="minorHAnsi" w:eastAsiaTheme="minorEastAsia" w:hAnsiTheme="minorHAnsi" w:cstheme="minorBidi"/>
          <w:b w:val="0"/>
          <w:bCs w:val="0"/>
          <w:noProof/>
          <w:sz w:val="22"/>
          <w:szCs w:val="22"/>
          <w:lang w:eastAsia="en-AU"/>
        </w:rPr>
      </w:pPr>
      <w:r w:rsidRPr="00AC1B94">
        <w:fldChar w:fldCharType="begin"/>
      </w:r>
      <w:r w:rsidRPr="00971655">
        <w:instrText xml:space="preserve"> TOC \o "1-2" \h \z \u </w:instrText>
      </w:r>
      <w:r w:rsidRPr="00AC1B94">
        <w:fldChar w:fldCharType="separate"/>
      </w:r>
      <w:hyperlink w:anchor="_Toc393880966" w:history="1">
        <w:r w:rsidR="00FA0866" w:rsidRPr="000F19AD">
          <w:rPr>
            <w:rStyle w:val="Hyperlink"/>
            <w:noProof/>
          </w:rPr>
          <w:t>Request for submissions</w:t>
        </w:r>
        <w:r w:rsidR="00FA0866">
          <w:rPr>
            <w:noProof/>
            <w:webHidden/>
          </w:rPr>
          <w:tab/>
        </w:r>
        <w:r w:rsidR="00FA0866">
          <w:rPr>
            <w:noProof/>
            <w:webHidden/>
          </w:rPr>
          <w:fldChar w:fldCharType="begin"/>
        </w:r>
        <w:r w:rsidR="00FA0866">
          <w:rPr>
            <w:noProof/>
            <w:webHidden/>
          </w:rPr>
          <w:instrText xml:space="preserve"> PAGEREF _Toc393880966 \h </w:instrText>
        </w:r>
        <w:r w:rsidR="00FA0866">
          <w:rPr>
            <w:noProof/>
            <w:webHidden/>
          </w:rPr>
        </w:r>
        <w:r w:rsidR="00FA0866">
          <w:rPr>
            <w:noProof/>
            <w:webHidden/>
          </w:rPr>
          <w:fldChar w:fldCharType="separate"/>
        </w:r>
        <w:r w:rsidR="00FA0866">
          <w:rPr>
            <w:noProof/>
            <w:webHidden/>
          </w:rPr>
          <w:t>3</w:t>
        </w:r>
        <w:r w:rsidR="00FA0866">
          <w:rPr>
            <w:noProof/>
            <w:webHidden/>
          </w:rPr>
          <w:fldChar w:fldCharType="end"/>
        </w:r>
      </w:hyperlink>
    </w:p>
    <w:p w:rsidR="00FA0866" w:rsidRDefault="00203B35">
      <w:pPr>
        <w:pStyle w:val="TOC1"/>
        <w:tabs>
          <w:tab w:val="right" w:leader="dot" w:pos="9016"/>
        </w:tabs>
        <w:rPr>
          <w:rFonts w:asciiTheme="minorHAnsi" w:eastAsiaTheme="minorEastAsia" w:hAnsiTheme="minorHAnsi" w:cstheme="minorBidi"/>
          <w:b w:val="0"/>
          <w:bCs w:val="0"/>
          <w:noProof/>
          <w:sz w:val="22"/>
          <w:szCs w:val="22"/>
          <w:lang w:eastAsia="en-AU"/>
        </w:rPr>
      </w:pPr>
      <w:hyperlink w:anchor="_Toc393880967" w:history="1">
        <w:r w:rsidR="00FA0866" w:rsidRPr="000F19AD">
          <w:rPr>
            <w:rStyle w:val="Hyperlink"/>
            <w:noProof/>
          </w:rPr>
          <w:t>Shortened forms</w:t>
        </w:r>
        <w:r w:rsidR="00FA0866">
          <w:rPr>
            <w:noProof/>
            <w:webHidden/>
          </w:rPr>
          <w:tab/>
        </w:r>
        <w:r w:rsidR="00FA0866">
          <w:rPr>
            <w:noProof/>
            <w:webHidden/>
          </w:rPr>
          <w:fldChar w:fldCharType="begin"/>
        </w:r>
        <w:r w:rsidR="00FA0866">
          <w:rPr>
            <w:noProof/>
            <w:webHidden/>
          </w:rPr>
          <w:instrText xml:space="preserve"> PAGEREF _Toc393880967 \h </w:instrText>
        </w:r>
        <w:r w:rsidR="00FA0866">
          <w:rPr>
            <w:noProof/>
            <w:webHidden/>
          </w:rPr>
        </w:r>
        <w:r w:rsidR="00FA0866">
          <w:rPr>
            <w:noProof/>
            <w:webHidden/>
          </w:rPr>
          <w:fldChar w:fldCharType="separate"/>
        </w:r>
        <w:r w:rsidR="00FA0866">
          <w:rPr>
            <w:noProof/>
            <w:webHidden/>
          </w:rPr>
          <w:t>5</w:t>
        </w:r>
        <w:r w:rsidR="00FA0866">
          <w:rPr>
            <w:noProof/>
            <w:webHidden/>
          </w:rPr>
          <w:fldChar w:fldCharType="end"/>
        </w:r>
      </w:hyperlink>
    </w:p>
    <w:p w:rsidR="00FA0866" w:rsidRDefault="00203B35">
      <w:pPr>
        <w:pStyle w:val="TOC1"/>
        <w:tabs>
          <w:tab w:val="right" w:leader="dot" w:pos="9016"/>
        </w:tabs>
        <w:rPr>
          <w:rFonts w:asciiTheme="minorHAnsi" w:eastAsiaTheme="minorEastAsia" w:hAnsiTheme="minorHAnsi" w:cstheme="minorBidi"/>
          <w:b w:val="0"/>
          <w:bCs w:val="0"/>
          <w:noProof/>
          <w:sz w:val="22"/>
          <w:szCs w:val="22"/>
          <w:lang w:eastAsia="en-AU"/>
        </w:rPr>
      </w:pPr>
      <w:hyperlink w:anchor="_Toc393880968" w:history="1">
        <w:r w:rsidR="00FA0866" w:rsidRPr="000F19AD">
          <w:rPr>
            <w:rStyle w:val="Hyperlink"/>
            <w:noProof/>
          </w:rPr>
          <w:t>Introduction</w:t>
        </w:r>
        <w:r w:rsidR="00FA0866">
          <w:rPr>
            <w:noProof/>
            <w:webHidden/>
          </w:rPr>
          <w:tab/>
        </w:r>
        <w:r w:rsidR="00FA0866">
          <w:rPr>
            <w:noProof/>
            <w:webHidden/>
          </w:rPr>
          <w:fldChar w:fldCharType="begin"/>
        </w:r>
        <w:r w:rsidR="00FA0866">
          <w:rPr>
            <w:noProof/>
            <w:webHidden/>
          </w:rPr>
          <w:instrText xml:space="preserve"> PAGEREF _Toc393880968 \h </w:instrText>
        </w:r>
        <w:r w:rsidR="00FA0866">
          <w:rPr>
            <w:noProof/>
            <w:webHidden/>
          </w:rPr>
        </w:r>
        <w:r w:rsidR="00FA0866">
          <w:rPr>
            <w:noProof/>
            <w:webHidden/>
          </w:rPr>
          <w:fldChar w:fldCharType="separate"/>
        </w:r>
        <w:r w:rsidR="00FA0866">
          <w:rPr>
            <w:noProof/>
            <w:webHidden/>
          </w:rPr>
          <w:t>6</w:t>
        </w:r>
        <w:r w:rsidR="00FA0866">
          <w:rPr>
            <w:noProof/>
            <w:webHidden/>
          </w:rPr>
          <w:fldChar w:fldCharType="end"/>
        </w:r>
      </w:hyperlink>
    </w:p>
    <w:p w:rsidR="00FA0866" w:rsidRDefault="00203B3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93880969" w:history="1">
        <w:r w:rsidR="00FA0866" w:rsidRPr="000F19AD">
          <w:rPr>
            <w:rStyle w:val="Hyperlink"/>
            <w:noProof/>
          </w:rPr>
          <w:t>1</w:t>
        </w:r>
        <w:r w:rsidR="00FA0866">
          <w:rPr>
            <w:rFonts w:asciiTheme="minorHAnsi" w:eastAsiaTheme="minorEastAsia" w:hAnsiTheme="minorHAnsi" w:cstheme="minorBidi"/>
            <w:b w:val="0"/>
            <w:bCs w:val="0"/>
            <w:noProof/>
            <w:sz w:val="22"/>
            <w:szCs w:val="22"/>
            <w:lang w:eastAsia="en-AU"/>
          </w:rPr>
          <w:tab/>
        </w:r>
        <w:r w:rsidR="00FA0866" w:rsidRPr="000F19AD">
          <w:rPr>
            <w:rStyle w:val="Hyperlink"/>
            <w:noProof/>
          </w:rPr>
          <w:t>Our initial observations</w:t>
        </w:r>
        <w:r w:rsidR="00FA0866">
          <w:rPr>
            <w:noProof/>
            <w:webHidden/>
          </w:rPr>
          <w:tab/>
        </w:r>
        <w:r w:rsidR="00FA0866">
          <w:rPr>
            <w:noProof/>
            <w:webHidden/>
          </w:rPr>
          <w:fldChar w:fldCharType="begin"/>
        </w:r>
        <w:r w:rsidR="00FA0866">
          <w:rPr>
            <w:noProof/>
            <w:webHidden/>
          </w:rPr>
          <w:instrText xml:space="preserve"> PAGEREF _Toc393880969 \h </w:instrText>
        </w:r>
        <w:r w:rsidR="00FA0866">
          <w:rPr>
            <w:noProof/>
            <w:webHidden/>
          </w:rPr>
        </w:r>
        <w:r w:rsidR="00FA0866">
          <w:rPr>
            <w:noProof/>
            <w:webHidden/>
          </w:rPr>
          <w:fldChar w:fldCharType="separate"/>
        </w:r>
        <w:r w:rsidR="00FA0866">
          <w:rPr>
            <w:noProof/>
            <w:webHidden/>
          </w:rPr>
          <w:t>7</w:t>
        </w:r>
        <w:r w:rsidR="00FA0866">
          <w:rPr>
            <w:noProof/>
            <w:webHidden/>
          </w:rPr>
          <w:fldChar w:fldCharType="end"/>
        </w:r>
      </w:hyperlink>
    </w:p>
    <w:p w:rsidR="00FA0866" w:rsidRDefault="00203B3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93880970" w:history="1">
        <w:r w:rsidR="00FA0866" w:rsidRPr="000F19AD">
          <w:rPr>
            <w:rStyle w:val="Hyperlink"/>
            <w:noProof/>
          </w:rPr>
          <w:t>2</w:t>
        </w:r>
        <w:r w:rsidR="00FA0866">
          <w:rPr>
            <w:rFonts w:asciiTheme="minorHAnsi" w:eastAsiaTheme="minorEastAsia" w:hAnsiTheme="minorHAnsi" w:cstheme="minorBidi"/>
            <w:b w:val="0"/>
            <w:bCs w:val="0"/>
            <w:noProof/>
            <w:sz w:val="22"/>
            <w:szCs w:val="22"/>
            <w:lang w:eastAsia="en-AU"/>
          </w:rPr>
          <w:tab/>
        </w:r>
        <w:r w:rsidR="00FA0866" w:rsidRPr="000F19AD">
          <w:rPr>
            <w:rStyle w:val="Hyperlink"/>
            <w:noProof/>
          </w:rPr>
          <w:t>Consumer engagement</w:t>
        </w:r>
        <w:r w:rsidR="00FA0866">
          <w:rPr>
            <w:noProof/>
            <w:webHidden/>
          </w:rPr>
          <w:tab/>
        </w:r>
        <w:r w:rsidR="00FA0866">
          <w:rPr>
            <w:noProof/>
            <w:webHidden/>
          </w:rPr>
          <w:fldChar w:fldCharType="begin"/>
        </w:r>
        <w:r w:rsidR="00FA0866">
          <w:rPr>
            <w:noProof/>
            <w:webHidden/>
          </w:rPr>
          <w:instrText xml:space="preserve"> PAGEREF _Toc393880970 \h </w:instrText>
        </w:r>
        <w:r w:rsidR="00FA0866">
          <w:rPr>
            <w:noProof/>
            <w:webHidden/>
          </w:rPr>
        </w:r>
        <w:r w:rsidR="00FA0866">
          <w:rPr>
            <w:noProof/>
            <w:webHidden/>
          </w:rPr>
          <w:fldChar w:fldCharType="separate"/>
        </w:r>
        <w:r w:rsidR="00FA0866">
          <w:rPr>
            <w:noProof/>
            <w:webHidden/>
          </w:rPr>
          <w:t>14</w:t>
        </w:r>
        <w:r w:rsidR="00FA0866">
          <w:rPr>
            <w:noProof/>
            <w:webHidden/>
          </w:rPr>
          <w:fldChar w:fldCharType="end"/>
        </w:r>
      </w:hyperlink>
    </w:p>
    <w:p w:rsidR="00FA0866" w:rsidRDefault="00203B3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3880971" w:history="1">
        <w:r w:rsidR="00FA0866" w:rsidRPr="000F19AD">
          <w:rPr>
            <w:rStyle w:val="Hyperlink"/>
            <w:noProof/>
          </w:rPr>
          <w:t xml:space="preserve">2.1 </w:t>
        </w:r>
        <w:r w:rsidR="00FA0866">
          <w:rPr>
            <w:rFonts w:asciiTheme="minorHAnsi" w:eastAsiaTheme="minorEastAsia" w:hAnsiTheme="minorHAnsi" w:cstheme="minorBidi"/>
            <w:iCs w:val="0"/>
            <w:noProof/>
            <w:sz w:val="22"/>
            <w:szCs w:val="22"/>
            <w:lang w:eastAsia="en-AU"/>
          </w:rPr>
          <w:tab/>
        </w:r>
        <w:r w:rsidR="00FA0866" w:rsidRPr="000F19AD">
          <w:rPr>
            <w:rStyle w:val="Hyperlink"/>
            <w:noProof/>
          </w:rPr>
          <w:t>Consumer engagement in the rules</w:t>
        </w:r>
        <w:r w:rsidR="00FA0866">
          <w:rPr>
            <w:noProof/>
            <w:webHidden/>
          </w:rPr>
          <w:tab/>
        </w:r>
        <w:r w:rsidR="00FA0866">
          <w:rPr>
            <w:noProof/>
            <w:webHidden/>
          </w:rPr>
          <w:fldChar w:fldCharType="begin"/>
        </w:r>
        <w:r w:rsidR="00FA0866">
          <w:rPr>
            <w:noProof/>
            <w:webHidden/>
          </w:rPr>
          <w:instrText xml:space="preserve"> PAGEREF _Toc393880971 \h </w:instrText>
        </w:r>
        <w:r w:rsidR="00FA0866">
          <w:rPr>
            <w:noProof/>
            <w:webHidden/>
          </w:rPr>
        </w:r>
        <w:r w:rsidR="00FA0866">
          <w:rPr>
            <w:noProof/>
            <w:webHidden/>
          </w:rPr>
          <w:fldChar w:fldCharType="separate"/>
        </w:r>
        <w:r w:rsidR="00FA0866">
          <w:rPr>
            <w:noProof/>
            <w:webHidden/>
          </w:rPr>
          <w:t>14</w:t>
        </w:r>
        <w:r w:rsidR="00FA0866">
          <w:rPr>
            <w:noProof/>
            <w:webHidden/>
          </w:rPr>
          <w:fldChar w:fldCharType="end"/>
        </w:r>
      </w:hyperlink>
    </w:p>
    <w:p w:rsidR="00FA0866" w:rsidRDefault="00203B3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3880972" w:history="1">
        <w:r w:rsidR="00FA0866" w:rsidRPr="000F19AD">
          <w:rPr>
            <w:rStyle w:val="Hyperlink"/>
            <w:noProof/>
          </w:rPr>
          <w:t xml:space="preserve">2.2 </w:t>
        </w:r>
        <w:r w:rsidR="00FA0866">
          <w:rPr>
            <w:rFonts w:asciiTheme="minorHAnsi" w:eastAsiaTheme="minorEastAsia" w:hAnsiTheme="minorHAnsi" w:cstheme="minorBidi"/>
            <w:iCs w:val="0"/>
            <w:noProof/>
            <w:sz w:val="22"/>
            <w:szCs w:val="22"/>
            <w:lang w:eastAsia="en-AU"/>
          </w:rPr>
          <w:tab/>
        </w:r>
        <w:r w:rsidR="00FA0866" w:rsidRPr="000F19AD">
          <w:rPr>
            <w:rStyle w:val="Hyperlink"/>
            <w:noProof/>
          </w:rPr>
          <w:t>Our consumer engagement guideline</w:t>
        </w:r>
        <w:r w:rsidR="00FA0866">
          <w:rPr>
            <w:noProof/>
            <w:webHidden/>
          </w:rPr>
          <w:tab/>
        </w:r>
        <w:r w:rsidR="00FA0866">
          <w:rPr>
            <w:noProof/>
            <w:webHidden/>
          </w:rPr>
          <w:fldChar w:fldCharType="begin"/>
        </w:r>
        <w:r w:rsidR="00FA0866">
          <w:rPr>
            <w:noProof/>
            <w:webHidden/>
          </w:rPr>
          <w:instrText xml:space="preserve"> PAGEREF _Toc393880972 \h </w:instrText>
        </w:r>
        <w:r w:rsidR="00FA0866">
          <w:rPr>
            <w:noProof/>
            <w:webHidden/>
          </w:rPr>
        </w:r>
        <w:r w:rsidR="00FA0866">
          <w:rPr>
            <w:noProof/>
            <w:webHidden/>
          </w:rPr>
          <w:fldChar w:fldCharType="separate"/>
        </w:r>
        <w:r w:rsidR="00FA0866">
          <w:rPr>
            <w:noProof/>
            <w:webHidden/>
          </w:rPr>
          <w:t>14</w:t>
        </w:r>
        <w:r w:rsidR="00FA0866">
          <w:rPr>
            <w:noProof/>
            <w:webHidden/>
          </w:rPr>
          <w:fldChar w:fldCharType="end"/>
        </w:r>
      </w:hyperlink>
    </w:p>
    <w:p w:rsidR="00FA0866" w:rsidRDefault="00203B3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3880973" w:history="1">
        <w:r w:rsidR="00FA0866" w:rsidRPr="000F19AD">
          <w:rPr>
            <w:rStyle w:val="Hyperlink"/>
            <w:noProof/>
          </w:rPr>
          <w:t xml:space="preserve">2.3 </w:t>
        </w:r>
        <w:r w:rsidR="00FA0866">
          <w:rPr>
            <w:rFonts w:asciiTheme="minorHAnsi" w:eastAsiaTheme="minorEastAsia" w:hAnsiTheme="minorHAnsi" w:cstheme="minorBidi"/>
            <w:iCs w:val="0"/>
            <w:noProof/>
            <w:sz w:val="22"/>
            <w:szCs w:val="22"/>
            <w:lang w:eastAsia="en-AU"/>
          </w:rPr>
          <w:tab/>
        </w:r>
        <w:r w:rsidR="00FA0866" w:rsidRPr="000F19AD">
          <w:rPr>
            <w:rStyle w:val="Hyperlink"/>
            <w:noProof/>
          </w:rPr>
          <w:t>Consumer engagement to date</w:t>
        </w:r>
        <w:r w:rsidR="00FA0866">
          <w:rPr>
            <w:noProof/>
            <w:webHidden/>
          </w:rPr>
          <w:tab/>
        </w:r>
        <w:r w:rsidR="00FA0866">
          <w:rPr>
            <w:noProof/>
            <w:webHidden/>
          </w:rPr>
          <w:fldChar w:fldCharType="begin"/>
        </w:r>
        <w:r w:rsidR="00FA0866">
          <w:rPr>
            <w:noProof/>
            <w:webHidden/>
          </w:rPr>
          <w:instrText xml:space="preserve"> PAGEREF _Toc393880973 \h </w:instrText>
        </w:r>
        <w:r w:rsidR="00FA0866">
          <w:rPr>
            <w:noProof/>
            <w:webHidden/>
          </w:rPr>
        </w:r>
        <w:r w:rsidR="00FA0866">
          <w:rPr>
            <w:noProof/>
            <w:webHidden/>
          </w:rPr>
          <w:fldChar w:fldCharType="separate"/>
        </w:r>
        <w:r w:rsidR="00FA0866">
          <w:rPr>
            <w:noProof/>
            <w:webHidden/>
          </w:rPr>
          <w:t>15</w:t>
        </w:r>
        <w:r w:rsidR="00FA0866">
          <w:rPr>
            <w:noProof/>
            <w:webHidden/>
          </w:rPr>
          <w:fldChar w:fldCharType="end"/>
        </w:r>
      </w:hyperlink>
    </w:p>
    <w:p w:rsidR="00FA0866" w:rsidRDefault="00203B3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93880974" w:history="1">
        <w:r w:rsidR="00FA0866" w:rsidRPr="000F19AD">
          <w:rPr>
            <w:rStyle w:val="Hyperlink"/>
            <w:noProof/>
          </w:rPr>
          <w:t>3</w:t>
        </w:r>
        <w:r w:rsidR="00FA0866">
          <w:rPr>
            <w:rFonts w:asciiTheme="minorHAnsi" w:eastAsiaTheme="minorEastAsia" w:hAnsiTheme="minorHAnsi" w:cstheme="minorBidi"/>
            <w:b w:val="0"/>
            <w:bCs w:val="0"/>
            <w:noProof/>
            <w:sz w:val="22"/>
            <w:szCs w:val="22"/>
            <w:lang w:eastAsia="en-AU"/>
          </w:rPr>
          <w:tab/>
        </w:r>
        <w:r w:rsidR="00FA0866" w:rsidRPr="000F19AD">
          <w:rPr>
            <w:rStyle w:val="Hyperlink"/>
            <w:noProof/>
          </w:rPr>
          <w:t>Your submission and key dates</w:t>
        </w:r>
        <w:r w:rsidR="00FA0866">
          <w:rPr>
            <w:noProof/>
            <w:webHidden/>
          </w:rPr>
          <w:tab/>
        </w:r>
        <w:r w:rsidR="00FA0866">
          <w:rPr>
            <w:noProof/>
            <w:webHidden/>
          </w:rPr>
          <w:fldChar w:fldCharType="begin"/>
        </w:r>
        <w:r w:rsidR="00FA0866">
          <w:rPr>
            <w:noProof/>
            <w:webHidden/>
          </w:rPr>
          <w:instrText xml:space="preserve"> PAGEREF _Toc393880974 \h </w:instrText>
        </w:r>
        <w:r w:rsidR="00FA0866">
          <w:rPr>
            <w:noProof/>
            <w:webHidden/>
          </w:rPr>
        </w:r>
        <w:r w:rsidR="00FA0866">
          <w:rPr>
            <w:noProof/>
            <w:webHidden/>
          </w:rPr>
          <w:fldChar w:fldCharType="separate"/>
        </w:r>
        <w:r w:rsidR="00FA0866">
          <w:rPr>
            <w:noProof/>
            <w:webHidden/>
          </w:rPr>
          <w:t>16</w:t>
        </w:r>
        <w:r w:rsidR="00FA0866">
          <w:rPr>
            <w:noProof/>
            <w:webHidden/>
          </w:rPr>
          <w:fldChar w:fldCharType="end"/>
        </w:r>
      </w:hyperlink>
    </w:p>
    <w:p w:rsidR="00FA0866" w:rsidRDefault="00203B35">
      <w:pPr>
        <w:pStyle w:val="TOC1"/>
        <w:tabs>
          <w:tab w:val="right" w:leader="dot" w:pos="9016"/>
        </w:tabs>
        <w:rPr>
          <w:rFonts w:asciiTheme="minorHAnsi" w:eastAsiaTheme="minorEastAsia" w:hAnsiTheme="minorHAnsi" w:cstheme="minorBidi"/>
          <w:b w:val="0"/>
          <w:bCs w:val="0"/>
          <w:noProof/>
          <w:sz w:val="22"/>
          <w:szCs w:val="22"/>
          <w:lang w:eastAsia="en-AU"/>
        </w:rPr>
      </w:pPr>
      <w:hyperlink w:anchor="_Toc393880975" w:history="1">
        <w:r w:rsidR="00FA0866" w:rsidRPr="000F19AD">
          <w:rPr>
            <w:rStyle w:val="Hyperlink"/>
            <w:noProof/>
          </w:rPr>
          <w:t>Attachments</w:t>
        </w:r>
        <w:r w:rsidR="00FA0866">
          <w:rPr>
            <w:noProof/>
            <w:webHidden/>
          </w:rPr>
          <w:tab/>
        </w:r>
        <w:r w:rsidR="00FA0866">
          <w:rPr>
            <w:noProof/>
            <w:webHidden/>
          </w:rPr>
          <w:fldChar w:fldCharType="begin"/>
        </w:r>
        <w:r w:rsidR="00FA0866">
          <w:rPr>
            <w:noProof/>
            <w:webHidden/>
          </w:rPr>
          <w:instrText xml:space="preserve"> PAGEREF _Toc393880975 \h </w:instrText>
        </w:r>
        <w:r w:rsidR="00FA0866">
          <w:rPr>
            <w:noProof/>
            <w:webHidden/>
          </w:rPr>
        </w:r>
        <w:r w:rsidR="00FA0866">
          <w:rPr>
            <w:noProof/>
            <w:webHidden/>
          </w:rPr>
          <w:fldChar w:fldCharType="separate"/>
        </w:r>
        <w:r w:rsidR="00FA0866">
          <w:rPr>
            <w:noProof/>
            <w:webHidden/>
          </w:rPr>
          <w:t>18</w:t>
        </w:r>
        <w:r w:rsidR="00FA0866">
          <w:rPr>
            <w:noProof/>
            <w:webHidden/>
          </w:rPr>
          <w:fldChar w:fldCharType="end"/>
        </w:r>
      </w:hyperlink>
    </w:p>
    <w:p w:rsidR="00FA0866" w:rsidRDefault="00203B3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93880976" w:history="1">
        <w:r w:rsidR="00FA0866" w:rsidRPr="000F19AD">
          <w:rPr>
            <w:rStyle w:val="Hyperlink"/>
            <w:noProof/>
          </w:rPr>
          <w:t>1</w:t>
        </w:r>
        <w:r w:rsidR="00FA0866">
          <w:rPr>
            <w:rFonts w:asciiTheme="minorHAnsi" w:eastAsiaTheme="minorEastAsia" w:hAnsiTheme="minorHAnsi" w:cstheme="minorBidi"/>
            <w:b w:val="0"/>
            <w:bCs w:val="0"/>
            <w:noProof/>
            <w:sz w:val="22"/>
            <w:szCs w:val="22"/>
            <w:lang w:eastAsia="en-AU"/>
          </w:rPr>
          <w:tab/>
        </w:r>
        <w:r w:rsidR="00FA0866" w:rsidRPr="000F19AD">
          <w:rPr>
            <w:rStyle w:val="Hyperlink"/>
            <w:noProof/>
          </w:rPr>
          <w:t>Background to our assessment</w:t>
        </w:r>
        <w:r w:rsidR="00FA0866">
          <w:rPr>
            <w:noProof/>
            <w:webHidden/>
          </w:rPr>
          <w:tab/>
        </w:r>
        <w:r w:rsidR="00FA0866">
          <w:rPr>
            <w:noProof/>
            <w:webHidden/>
          </w:rPr>
          <w:fldChar w:fldCharType="begin"/>
        </w:r>
        <w:r w:rsidR="00FA0866">
          <w:rPr>
            <w:noProof/>
            <w:webHidden/>
          </w:rPr>
          <w:instrText xml:space="preserve"> PAGEREF _Toc393880976 \h </w:instrText>
        </w:r>
        <w:r w:rsidR="00FA0866">
          <w:rPr>
            <w:noProof/>
            <w:webHidden/>
          </w:rPr>
        </w:r>
        <w:r w:rsidR="00FA0866">
          <w:rPr>
            <w:noProof/>
            <w:webHidden/>
          </w:rPr>
          <w:fldChar w:fldCharType="separate"/>
        </w:r>
        <w:r w:rsidR="00FA0866">
          <w:rPr>
            <w:noProof/>
            <w:webHidden/>
          </w:rPr>
          <w:t>19</w:t>
        </w:r>
        <w:r w:rsidR="00FA0866">
          <w:rPr>
            <w:noProof/>
            <w:webHidden/>
          </w:rPr>
          <w:fldChar w:fldCharType="end"/>
        </w:r>
      </w:hyperlink>
    </w:p>
    <w:p w:rsidR="00FA0866" w:rsidRDefault="00203B3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3880977" w:history="1">
        <w:r w:rsidR="00FA0866" w:rsidRPr="000F19AD">
          <w:rPr>
            <w:rStyle w:val="Hyperlink"/>
            <w:noProof/>
          </w:rPr>
          <w:t>1.1</w:t>
        </w:r>
        <w:r w:rsidR="00FA0866">
          <w:rPr>
            <w:rFonts w:asciiTheme="minorHAnsi" w:eastAsiaTheme="minorEastAsia" w:hAnsiTheme="minorHAnsi" w:cstheme="minorBidi"/>
            <w:iCs w:val="0"/>
            <w:noProof/>
            <w:sz w:val="22"/>
            <w:szCs w:val="22"/>
            <w:lang w:eastAsia="en-AU"/>
          </w:rPr>
          <w:tab/>
        </w:r>
        <w:r w:rsidR="00FA0866" w:rsidRPr="000F19AD">
          <w:rPr>
            <w:rStyle w:val="Hyperlink"/>
            <w:noProof/>
          </w:rPr>
          <w:t>The Australian Energy Regulator</w:t>
        </w:r>
        <w:r w:rsidR="00FA0866">
          <w:rPr>
            <w:noProof/>
            <w:webHidden/>
          </w:rPr>
          <w:tab/>
        </w:r>
        <w:r w:rsidR="00FA0866">
          <w:rPr>
            <w:noProof/>
            <w:webHidden/>
          </w:rPr>
          <w:fldChar w:fldCharType="begin"/>
        </w:r>
        <w:r w:rsidR="00FA0866">
          <w:rPr>
            <w:noProof/>
            <w:webHidden/>
          </w:rPr>
          <w:instrText xml:space="preserve"> PAGEREF _Toc393880977 \h </w:instrText>
        </w:r>
        <w:r w:rsidR="00FA0866">
          <w:rPr>
            <w:noProof/>
            <w:webHidden/>
          </w:rPr>
        </w:r>
        <w:r w:rsidR="00FA0866">
          <w:rPr>
            <w:noProof/>
            <w:webHidden/>
          </w:rPr>
          <w:fldChar w:fldCharType="separate"/>
        </w:r>
        <w:r w:rsidR="00FA0866">
          <w:rPr>
            <w:noProof/>
            <w:webHidden/>
          </w:rPr>
          <w:t>19</w:t>
        </w:r>
        <w:r w:rsidR="00FA0866">
          <w:rPr>
            <w:noProof/>
            <w:webHidden/>
          </w:rPr>
          <w:fldChar w:fldCharType="end"/>
        </w:r>
      </w:hyperlink>
    </w:p>
    <w:p w:rsidR="00FA0866" w:rsidRDefault="00203B3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3880978" w:history="1">
        <w:r w:rsidR="00FA0866" w:rsidRPr="000F19AD">
          <w:rPr>
            <w:rStyle w:val="Hyperlink"/>
            <w:noProof/>
          </w:rPr>
          <w:t>1.2</w:t>
        </w:r>
        <w:r w:rsidR="00FA0866">
          <w:rPr>
            <w:rFonts w:asciiTheme="minorHAnsi" w:eastAsiaTheme="minorEastAsia" w:hAnsiTheme="minorHAnsi" w:cstheme="minorBidi"/>
            <w:iCs w:val="0"/>
            <w:noProof/>
            <w:sz w:val="22"/>
            <w:szCs w:val="22"/>
            <w:lang w:eastAsia="en-AU"/>
          </w:rPr>
          <w:tab/>
        </w:r>
        <w:r w:rsidR="00FA0866" w:rsidRPr="000F19AD">
          <w:rPr>
            <w:rStyle w:val="Hyperlink"/>
            <w:noProof/>
          </w:rPr>
          <w:t>Who is ActewAGL?</w:t>
        </w:r>
        <w:r w:rsidR="00FA0866">
          <w:rPr>
            <w:noProof/>
            <w:webHidden/>
          </w:rPr>
          <w:tab/>
        </w:r>
        <w:r w:rsidR="00FA0866">
          <w:rPr>
            <w:noProof/>
            <w:webHidden/>
          </w:rPr>
          <w:fldChar w:fldCharType="begin"/>
        </w:r>
        <w:r w:rsidR="00FA0866">
          <w:rPr>
            <w:noProof/>
            <w:webHidden/>
          </w:rPr>
          <w:instrText xml:space="preserve"> PAGEREF _Toc393880978 \h </w:instrText>
        </w:r>
        <w:r w:rsidR="00FA0866">
          <w:rPr>
            <w:noProof/>
            <w:webHidden/>
          </w:rPr>
        </w:r>
        <w:r w:rsidR="00FA0866">
          <w:rPr>
            <w:noProof/>
            <w:webHidden/>
          </w:rPr>
          <w:fldChar w:fldCharType="separate"/>
        </w:r>
        <w:r w:rsidR="00FA0866">
          <w:rPr>
            <w:noProof/>
            <w:webHidden/>
          </w:rPr>
          <w:t>19</w:t>
        </w:r>
        <w:r w:rsidR="00FA0866">
          <w:rPr>
            <w:noProof/>
            <w:webHidden/>
          </w:rPr>
          <w:fldChar w:fldCharType="end"/>
        </w:r>
      </w:hyperlink>
    </w:p>
    <w:p w:rsidR="00FA0866" w:rsidRDefault="00203B3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3880979" w:history="1">
        <w:r w:rsidR="00FA0866" w:rsidRPr="000F19AD">
          <w:rPr>
            <w:rStyle w:val="Hyperlink"/>
            <w:noProof/>
          </w:rPr>
          <w:t>1.3</w:t>
        </w:r>
        <w:r w:rsidR="00FA0866">
          <w:rPr>
            <w:rFonts w:asciiTheme="minorHAnsi" w:eastAsiaTheme="minorEastAsia" w:hAnsiTheme="minorHAnsi" w:cstheme="minorBidi"/>
            <w:iCs w:val="0"/>
            <w:noProof/>
            <w:sz w:val="22"/>
            <w:szCs w:val="22"/>
            <w:lang w:eastAsia="en-AU"/>
          </w:rPr>
          <w:tab/>
        </w:r>
        <w:r w:rsidR="00FA0866" w:rsidRPr="000F19AD">
          <w:rPr>
            <w:rStyle w:val="Hyperlink"/>
            <w:noProof/>
          </w:rPr>
          <w:t>The regulatory framework</w:t>
        </w:r>
        <w:r w:rsidR="00FA0866">
          <w:rPr>
            <w:noProof/>
            <w:webHidden/>
          </w:rPr>
          <w:tab/>
        </w:r>
        <w:r w:rsidR="00FA0866">
          <w:rPr>
            <w:noProof/>
            <w:webHidden/>
          </w:rPr>
          <w:fldChar w:fldCharType="begin"/>
        </w:r>
        <w:r w:rsidR="00FA0866">
          <w:rPr>
            <w:noProof/>
            <w:webHidden/>
          </w:rPr>
          <w:instrText xml:space="preserve"> PAGEREF _Toc393880979 \h </w:instrText>
        </w:r>
        <w:r w:rsidR="00FA0866">
          <w:rPr>
            <w:noProof/>
            <w:webHidden/>
          </w:rPr>
        </w:r>
        <w:r w:rsidR="00FA0866">
          <w:rPr>
            <w:noProof/>
            <w:webHidden/>
          </w:rPr>
          <w:fldChar w:fldCharType="separate"/>
        </w:r>
        <w:r w:rsidR="00FA0866">
          <w:rPr>
            <w:noProof/>
            <w:webHidden/>
          </w:rPr>
          <w:t>20</w:t>
        </w:r>
        <w:r w:rsidR="00FA0866">
          <w:rPr>
            <w:noProof/>
            <w:webHidden/>
          </w:rPr>
          <w:fldChar w:fldCharType="end"/>
        </w:r>
      </w:hyperlink>
    </w:p>
    <w:p w:rsidR="00FA0866" w:rsidRDefault="00203B3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93880980" w:history="1">
        <w:r w:rsidR="00FA0866" w:rsidRPr="000F19AD">
          <w:rPr>
            <w:rStyle w:val="Hyperlink"/>
            <w:noProof/>
          </w:rPr>
          <w:t>2</w:t>
        </w:r>
        <w:r w:rsidR="00FA0866">
          <w:rPr>
            <w:rFonts w:asciiTheme="minorHAnsi" w:eastAsiaTheme="minorEastAsia" w:hAnsiTheme="minorHAnsi" w:cstheme="minorBidi"/>
            <w:b w:val="0"/>
            <w:bCs w:val="0"/>
            <w:noProof/>
            <w:sz w:val="22"/>
            <w:szCs w:val="22"/>
            <w:lang w:eastAsia="en-AU"/>
          </w:rPr>
          <w:tab/>
        </w:r>
        <w:r w:rsidR="00FA0866" w:rsidRPr="000F19AD">
          <w:rPr>
            <w:rStyle w:val="Hyperlink"/>
            <w:noProof/>
          </w:rPr>
          <w:t>Capital expenditure</w:t>
        </w:r>
        <w:r w:rsidR="00FA0866">
          <w:rPr>
            <w:noProof/>
            <w:webHidden/>
          </w:rPr>
          <w:tab/>
        </w:r>
        <w:r w:rsidR="00FA0866">
          <w:rPr>
            <w:noProof/>
            <w:webHidden/>
          </w:rPr>
          <w:fldChar w:fldCharType="begin"/>
        </w:r>
        <w:r w:rsidR="00FA0866">
          <w:rPr>
            <w:noProof/>
            <w:webHidden/>
          </w:rPr>
          <w:instrText xml:space="preserve"> PAGEREF _Toc393880980 \h </w:instrText>
        </w:r>
        <w:r w:rsidR="00FA0866">
          <w:rPr>
            <w:noProof/>
            <w:webHidden/>
          </w:rPr>
        </w:r>
        <w:r w:rsidR="00FA0866">
          <w:rPr>
            <w:noProof/>
            <w:webHidden/>
          </w:rPr>
          <w:fldChar w:fldCharType="separate"/>
        </w:r>
        <w:r w:rsidR="00FA0866">
          <w:rPr>
            <w:noProof/>
            <w:webHidden/>
          </w:rPr>
          <w:t>24</w:t>
        </w:r>
        <w:r w:rsidR="00FA0866">
          <w:rPr>
            <w:noProof/>
            <w:webHidden/>
          </w:rPr>
          <w:fldChar w:fldCharType="end"/>
        </w:r>
      </w:hyperlink>
    </w:p>
    <w:p w:rsidR="00FA0866" w:rsidRDefault="00203B3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3880981" w:history="1">
        <w:r w:rsidR="00FA0866" w:rsidRPr="000F19AD">
          <w:rPr>
            <w:rStyle w:val="Hyperlink"/>
            <w:noProof/>
          </w:rPr>
          <w:t>2.1</w:t>
        </w:r>
        <w:r w:rsidR="00FA0866">
          <w:rPr>
            <w:rFonts w:asciiTheme="minorHAnsi" w:eastAsiaTheme="minorEastAsia" w:hAnsiTheme="minorHAnsi" w:cstheme="minorBidi"/>
            <w:iCs w:val="0"/>
            <w:noProof/>
            <w:sz w:val="22"/>
            <w:szCs w:val="22"/>
            <w:lang w:eastAsia="en-AU"/>
          </w:rPr>
          <w:tab/>
        </w:r>
        <w:r w:rsidR="00FA0866" w:rsidRPr="000F19AD">
          <w:rPr>
            <w:rStyle w:val="Hyperlink"/>
            <w:noProof/>
          </w:rPr>
          <w:t>ActewAGL's capital expenditure proposal</w:t>
        </w:r>
        <w:r w:rsidR="00FA0866">
          <w:rPr>
            <w:noProof/>
            <w:webHidden/>
          </w:rPr>
          <w:tab/>
        </w:r>
        <w:r w:rsidR="00FA0866">
          <w:rPr>
            <w:noProof/>
            <w:webHidden/>
          </w:rPr>
          <w:fldChar w:fldCharType="begin"/>
        </w:r>
        <w:r w:rsidR="00FA0866">
          <w:rPr>
            <w:noProof/>
            <w:webHidden/>
          </w:rPr>
          <w:instrText xml:space="preserve"> PAGEREF _Toc393880981 \h </w:instrText>
        </w:r>
        <w:r w:rsidR="00FA0866">
          <w:rPr>
            <w:noProof/>
            <w:webHidden/>
          </w:rPr>
        </w:r>
        <w:r w:rsidR="00FA0866">
          <w:rPr>
            <w:noProof/>
            <w:webHidden/>
          </w:rPr>
          <w:fldChar w:fldCharType="separate"/>
        </w:r>
        <w:r w:rsidR="00FA0866">
          <w:rPr>
            <w:noProof/>
            <w:webHidden/>
          </w:rPr>
          <w:t>24</w:t>
        </w:r>
        <w:r w:rsidR="00FA0866">
          <w:rPr>
            <w:noProof/>
            <w:webHidden/>
          </w:rPr>
          <w:fldChar w:fldCharType="end"/>
        </w:r>
      </w:hyperlink>
    </w:p>
    <w:p w:rsidR="00FA0866" w:rsidRDefault="00203B3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3880982" w:history="1">
        <w:r w:rsidR="00FA0866" w:rsidRPr="000F19AD">
          <w:rPr>
            <w:rStyle w:val="Hyperlink"/>
            <w:noProof/>
          </w:rPr>
          <w:t>2.2</w:t>
        </w:r>
        <w:r w:rsidR="00FA0866">
          <w:rPr>
            <w:rFonts w:asciiTheme="minorHAnsi" w:eastAsiaTheme="minorEastAsia" w:hAnsiTheme="minorHAnsi" w:cstheme="minorBidi"/>
            <w:iCs w:val="0"/>
            <w:noProof/>
            <w:sz w:val="22"/>
            <w:szCs w:val="22"/>
            <w:lang w:eastAsia="en-AU"/>
          </w:rPr>
          <w:tab/>
        </w:r>
        <w:r w:rsidR="00FA0866" w:rsidRPr="000F19AD">
          <w:rPr>
            <w:rStyle w:val="Hyperlink"/>
            <w:noProof/>
          </w:rPr>
          <w:t>Key drivers of ActewAGL's capital expenditure proposal</w:t>
        </w:r>
        <w:r w:rsidR="00FA0866">
          <w:rPr>
            <w:noProof/>
            <w:webHidden/>
          </w:rPr>
          <w:tab/>
        </w:r>
        <w:r w:rsidR="00FA0866">
          <w:rPr>
            <w:noProof/>
            <w:webHidden/>
          </w:rPr>
          <w:fldChar w:fldCharType="begin"/>
        </w:r>
        <w:r w:rsidR="00FA0866">
          <w:rPr>
            <w:noProof/>
            <w:webHidden/>
          </w:rPr>
          <w:instrText xml:space="preserve"> PAGEREF _Toc393880982 \h </w:instrText>
        </w:r>
        <w:r w:rsidR="00FA0866">
          <w:rPr>
            <w:noProof/>
            <w:webHidden/>
          </w:rPr>
        </w:r>
        <w:r w:rsidR="00FA0866">
          <w:rPr>
            <w:noProof/>
            <w:webHidden/>
          </w:rPr>
          <w:fldChar w:fldCharType="separate"/>
        </w:r>
        <w:r w:rsidR="00FA0866">
          <w:rPr>
            <w:noProof/>
            <w:webHidden/>
          </w:rPr>
          <w:t>25</w:t>
        </w:r>
        <w:r w:rsidR="00FA0866">
          <w:rPr>
            <w:noProof/>
            <w:webHidden/>
          </w:rPr>
          <w:fldChar w:fldCharType="end"/>
        </w:r>
      </w:hyperlink>
    </w:p>
    <w:p w:rsidR="00FA0866" w:rsidRDefault="00203B3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93880983" w:history="1">
        <w:r w:rsidR="00FA0866" w:rsidRPr="000F19AD">
          <w:rPr>
            <w:rStyle w:val="Hyperlink"/>
            <w:noProof/>
          </w:rPr>
          <w:t>3</w:t>
        </w:r>
        <w:r w:rsidR="00FA0866">
          <w:rPr>
            <w:rFonts w:asciiTheme="minorHAnsi" w:eastAsiaTheme="minorEastAsia" w:hAnsiTheme="minorHAnsi" w:cstheme="minorBidi"/>
            <w:b w:val="0"/>
            <w:bCs w:val="0"/>
            <w:noProof/>
            <w:sz w:val="22"/>
            <w:szCs w:val="22"/>
            <w:lang w:eastAsia="en-AU"/>
          </w:rPr>
          <w:tab/>
        </w:r>
        <w:r w:rsidR="00FA0866" w:rsidRPr="000F19AD">
          <w:rPr>
            <w:rStyle w:val="Hyperlink"/>
            <w:noProof/>
          </w:rPr>
          <w:t>Operating expenditure</w:t>
        </w:r>
        <w:r w:rsidR="00FA0866">
          <w:rPr>
            <w:noProof/>
            <w:webHidden/>
          </w:rPr>
          <w:tab/>
        </w:r>
        <w:r w:rsidR="00FA0866">
          <w:rPr>
            <w:noProof/>
            <w:webHidden/>
          </w:rPr>
          <w:fldChar w:fldCharType="begin"/>
        </w:r>
        <w:r w:rsidR="00FA0866">
          <w:rPr>
            <w:noProof/>
            <w:webHidden/>
          </w:rPr>
          <w:instrText xml:space="preserve"> PAGEREF _Toc393880983 \h </w:instrText>
        </w:r>
        <w:r w:rsidR="00FA0866">
          <w:rPr>
            <w:noProof/>
            <w:webHidden/>
          </w:rPr>
        </w:r>
        <w:r w:rsidR="00FA0866">
          <w:rPr>
            <w:noProof/>
            <w:webHidden/>
          </w:rPr>
          <w:fldChar w:fldCharType="separate"/>
        </w:r>
        <w:r w:rsidR="00FA0866">
          <w:rPr>
            <w:noProof/>
            <w:webHidden/>
          </w:rPr>
          <w:t>27</w:t>
        </w:r>
        <w:r w:rsidR="00FA0866">
          <w:rPr>
            <w:noProof/>
            <w:webHidden/>
          </w:rPr>
          <w:fldChar w:fldCharType="end"/>
        </w:r>
      </w:hyperlink>
    </w:p>
    <w:p w:rsidR="00FA0866" w:rsidRDefault="00203B3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3880984" w:history="1">
        <w:r w:rsidR="00FA0866" w:rsidRPr="000F19AD">
          <w:rPr>
            <w:rStyle w:val="Hyperlink"/>
            <w:noProof/>
          </w:rPr>
          <w:t>3.1</w:t>
        </w:r>
        <w:r w:rsidR="00FA0866">
          <w:rPr>
            <w:rFonts w:asciiTheme="minorHAnsi" w:eastAsiaTheme="minorEastAsia" w:hAnsiTheme="minorHAnsi" w:cstheme="minorBidi"/>
            <w:iCs w:val="0"/>
            <w:noProof/>
            <w:sz w:val="22"/>
            <w:szCs w:val="22"/>
            <w:lang w:eastAsia="en-AU"/>
          </w:rPr>
          <w:tab/>
        </w:r>
        <w:r w:rsidR="00FA0866" w:rsidRPr="000F19AD">
          <w:rPr>
            <w:rStyle w:val="Hyperlink"/>
            <w:noProof/>
          </w:rPr>
          <w:t>ActewAGL's operating expenditure proposal</w:t>
        </w:r>
        <w:r w:rsidR="00FA0866">
          <w:rPr>
            <w:noProof/>
            <w:webHidden/>
          </w:rPr>
          <w:tab/>
        </w:r>
        <w:r w:rsidR="00FA0866">
          <w:rPr>
            <w:noProof/>
            <w:webHidden/>
          </w:rPr>
          <w:fldChar w:fldCharType="begin"/>
        </w:r>
        <w:r w:rsidR="00FA0866">
          <w:rPr>
            <w:noProof/>
            <w:webHidden/>
          </w:rPr>
          <w:instrText xml:space="preserve"> PAGEREF _Toc393880984 \h </w:instrText>
        </w:r>
        <w:r w:rsidR="00FA0866">
          <w:rPr>
            <w:noProof/>
            <w:webHidden/>
          </w:rPr>
        </w:r>
        <w:r w:rsidR="00FA0866">
          <w:rPr>
            <w:noProof/>
            <w:webHidden/>
          </w:rPr>
          <w:fldChar w:fldCharType="separate"/>
        </w:r>
        <w:r w:rsidR="00FA0866">
          <w:rPr>
            <w:noProof/>
            <w:webHidden/>
          </w:rPr>
          <w:t>27</w:t>
        </w:r>
        <w:r w:rsidR="00FA0866">
          <w:rPr>
            <w:noProof/>
            <w:webHidden/>
          </w:rPr>
          <w:fldChar w:fldCharType="end"/>
        </w:r>
      </w:hyperlink>
    </w:p>
    <w:p w:rsidR="00FA0866" w:rsidRDefault="00203B3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3880985" w:history="1">
        <w:r w:rsidR="00FA0866" w:rsidRPr="000F19AD">
          <w:rPr>
            <w:rStyle w:val="Hyperlink"/>
            <w:noProof/>
          </w:rPr>
          <w:t>3.2</w:t>
        </w:r>
        <w:r w:rsidR="00FA0866">
          <w:rPr>
            <w:rFonts w:asciiTheme="minorHAnsi" w:eastAsiaTheme="minorEastAsia" w:hAnsiTheme="minorHAnsi" w:cstheme="minorBidi"/>
            <w:iCs w:val="0"/>
            <w:noProof/>
            <w:sz w:val="22"/>
            <w:szCs w:val="22"/>
            <w:lang w:eastAsia="en-AU"/>
          </w:rPr>
          <w:tab/>
        </w:r>
        <w:r w:rsidR="00FA0866" w:rsidRPr="000F19AD">
          <w:rPr>
            <w:rStyle w:val="Hyperlink"/>
            <w:noProof/>
          </w:rPr>
          <w:t>Key drivers of ActewAGL's operating expenditure proposal</w:t>
        </w:r>
        <w:r w:rsidR="00FA0866">
          <w:rPr>
            <w:noProof/>
            <w:webHidden/>
          </w:rPr>
          <w:tab/>
        </w:r>
        <w:r w:rsidR="00FA0866">
          <w:rPr>
            <w:noProof/>
            <w:webHidden/>
          </w:rPr>
          <w:fldChar w:fldCharType="begin"/>
        </w:r>
        <w:r w:rsidR="00FA0866">
          <w:rPr>
            <w:noProof/>
            <w:webHidden/>
          </w:rPr>
          <w:instrText xml:space="preserve"> PAGEREF _Toc393880985 \h </w:instrText>
        </w:r>
        <w:r w:rsidR="00FA0866">
          <w:rPr>
            <w:noProof/>
            <w:webHidden/>
          </w:rPr>
        </w:r>
        <w:r w:rsidR="00FA0866">
          <w:rPr>
            <w:noProof/>
            <w:webHidden/>
          </w:rPr>
          <w:fldChar w:fldCharType="separate"/>
        </w:r>
        <w:r w:rsidR="00FA0866">
          <w:rPr>
            <w:noProof/>
            <w:webHidden/>
          </w:rPr>
          <w:t>28</w:t>
        </w:r>
        <w:r w:rsidR="00FA0866">
          <w:rPr>
            <w:noProof/>
            <w:webHidden/>
          </w:rPr>
          <w:fldChar w:fldCharType="end"/>
        </w:r>
      </w:hyperlink>
    </w:p>
    <w:p w:rsidR="00FA0866" w:rsidRDefault="00203B3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3880986" w:history="1">
        <w:r w:rsidR="00FA0866" w:rsidRPr="000F19AD">
          <w:rPr>
            <w:rStyle w:val="Hyperlink"/>
            <w:noProof/>
          </w:rPr>
          <w:t>3.3</w:t>
        </w:r>
        <w:r w:rsidR="00FA0866">
          <w:rPr>
            <w:rFonts w:asciiTheme="minorHAnsi" w:eastAsiaTheme="minorEastAsia" w:hAnsiTheme="minorHAnsi" w:cstheme="minorBidi"/>
            <w:iCs w:val="0"/>
            <w:noProof/>
            <w:sz w:val="22"/>
            <w:szCs w:val="22"/>
            <w:lang w:eastAsia="en-AU"/>
          </w:rPr>
          <w:tab/>
        </w:r>
        <w:r w:rsidR="00FA0866" w:rsidRPr="000F19AD">
          <w:rPr>
            <w:rStyle w:val="Hyperlink"/>
            <w:noProof/>
          </w:rPr>
          <w:t>Forecast EBSS carryover amounts</w:t>
        </w:r>
        <w:r w:rsidR="00FA0866">
          <w:rPr>
            <w:noProof/>
            <w:webHidden/>
          </w:rPr>
          <w:tab/>
        </w:r>
        <w:r w:rsidR="00FA0866">
          <w:rPr>
            <w:noProof/>
            <w:webHidden/>
          </w:rPr>
          <w:fldChar w:fldCharType="begin"/>
        </w:r>
        <w:r w:rsidR="00FA0866">
          <w:rPr>
            <w:noProof/>
            <w:webHidden/>
          </w:rPr>
          <w:instrText xml:space="preserve"> PAGEREF _Toc393880986 \h </w:instrText>
        </w:r>
        <w:r w:rsidR="00FA0866">
          <w:rPr>
            <w:noProof/>
            <w:webHidden/>
          </w:rPr>
        </w:r>
        <w:r w:rsidR="00FA0866">
          <w:rPr>
            <w:noProof/>
            <w:webHidden/>
          </w:rPr>
          <w:fldChar w:fldCharType="separate"/>
        </w:r>
        <w:r w:rsidR="00FA0866">
          <w:rPr>
            <w:noProof/>
            <w:webHidden/>
          </w:rPr>
          <w:t>29</w:t>
        </w:r>
        <w:r w:rsidR="00FA0866">
          <w:rPr>
            <w:noProof/>
            <w:webHidden/>
          </w:rPr>
          <w:fldChar w:fldCharType="end"/>
        </w:r>
      </w:hyperlink>
    </w:p>
    <w:p w:rsidR="00FA0866" w:rsidRDefault="00203B3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3880987" w:history="1">
        <w:r w:rsidR="00FA0866" w:rsidRPr="000F19AD">
          <w:rPr>
            <w:rStyle w:val="Hyperlink"/>
            <w:noProof/>
          </w:rPr>
          <w:t>3.4</w:t>
        </w:r>
        <w:r w:rsidR="00FA0866">
          <w:rPr>
            <w:rFonts w:asciiTheme="minorHAnsi" w:eastAsiaTheme="minorEastAsia" w:hAnsiTheme="minorHAnsi" w:cstheme="minorBidi"/>
            <w:iCs w:val="0"/>
            <w:noProof/>
            <w:sz w:val="22"/>
            <w:szCs w:val="22"/>
            <w:lang w:eastAsia="en-AU"/>
          </w:rPr>
          <w:tab/>
        </w:r>
        <w:r w:rsidR="00FA0866" w:rsidRPr="000F19AD">
          <w:rPr>
            <w:rStyle w:val="Hyperlink"/>
            <w:noProof/>
          </w:rPr>
          <w:t>Cost pass throughs</w:t>
        </w:r>
        <w:r w:rsidR="00FA0866">
          <w:rPr>
            <w:noProof/>
            <w:webHidden/>
          </w:rPr>
          <w:tab/>
        </w:r>
        <w:r w:rsidR="00FA0866">
          <w:rPr>
            <w:noProof/>
            <w:webHidden/>
          </w:rPr>
          <w:fldChar w:fldCharType="begin"/>
        </w:r>
        <w:r w:rsidR="00FA0866">
          <w:rPr>
            <w:noProof/>
            <w:webHidden/>
          </w:rPr>
          <w:instrText xml:space="preserve"> PAGEREF _Toc393880987 \h </w:instrText>
        </w:r>
        <w:r w:rsidR="00FA0866">
          <w:rPr>
            <w:noProof/>
            <w:webHidden/>
          </w:rPr>
        </w:r>
        <w:r w:rsidR="00FA0866">
          <w:rPr>
            <w:noProof/>
            <w:webHidden/>
          </w:rPr>
          <w:fldChar w:fldCharType="separate"/>
        </w:r>
        <w:r w:rsidR="00FA0866">
          <w:rPr>
            <w:noProof/>
            <w:webHidden/>
          </w:rPr>
          <w:t>29</w:t>
        </w:r>
        <w:r w:rsidR="00FA0866">
          <w:rPr>
            <w:noProof/>
            <w:webHidden/>
          </w:rPr>
          <w:fldChar w:fldCharType="end"/>
        </w:r>
      </w:hyperlink>
    </w:p>
    <w:p w:rsidR="00FA0866" w:rsidRDefault="00203B3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93880988" w:history="1">
        <w:r w:rsidR="00FA0866" w:rsidRPr="000F19AD">
          <w:rPr>
            <w:rStyle w:val="Hyperlink"/>
            <w:noProof/>
          </w:rPr>
          <w:t>4</w:t>
        </w:r>
        <w:r w:rsidR="00FA0866">
          <w:rPr>
            <w:rFonts w:asciiTheme="minorHAnsi" w:eastAsiaTheme="minorEastAsia" w:hAnsiTheme="minorHAnsi" w:cstheme="minorBidi"/>
            <w:b w:val="0"/>
            <w:bCs w:val="0"/>
            <w:noProof/>
            <w:sz w:val="22"/>
            <w:szCs w:val="22"/>
            <w:lang w:eastAsia="en-AU"/>
          </w:rPr>
          <w:tab/>
        </w:r>
        <w:r w:rsidR="00FA0866" w:rsidRPr="000F19AD">
          <w:rPr>
            <w:rStyle w:val="Hyperlink"/>
            <w:noProof/>
          </w:rPr>
          <w:t>Rate of return</w:t>
        </w:r>
        <w:r w:rsidR="00FA0866">
          <w:rPr>
            <w:noProof/>
            <w:webHidden/>
          </w:rPr>
          <w:tab/>
        </w:r>
        <w:r w:rsidR="00FA0866">
          <w:rPr>
            <w:noProof/>
            <w:webHidden/>
          </w:rPr>
          <w:fldChar w:fldCharType="begin"/>
        </w:r>
        <w:r w:rsidR="00FA0866">
          <w:rPr>
            <w:noProof/>
            <w:webHidden/>
          </w:rPr>
          <w:instrText xml:space="preserve"> PAGEREF _Toc393880988 \h </w:instrText>
        </w:r>
        <w:r w:rsidR="00FA0866">
          <w:rPr>
            <w:noProof/>
            <w:webHidden/>
          </w:rPr>
        </w:r>
        <w:r w:rsidR="00FA0866">
          <w:rPr>
            <w:noProof/>
            <w:webHidden/>
          </w:rPr>
          <w:fldChar w:fldCharType="separate"/>
        </w:r>
        <w:r w:rsidR="00FA0866">
          <w:rPr>
            <w:noProof/>
            <w:webHidden/>
          </w:rPr>
          <w:t>30</w:t>
        </w:r>
        <w:r w:rsidR="00FA0866">
          <w:rPr>
            <w:noProof/>
            <w:webHidden/>
          </w:rPr>
          <w:fldChar w:fldCharType="end"/>
        </w:r>
      </w:hyperlink>
    </w:p>
    <w:p w:rsidR="00FA0866" w:rsidRDefault="00203B3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3880989" w:history="1">
        <w:r w:rsidR="00FA0866" w:rsidRPr="000F19AD">
          <w:rPr>
            <w:rStyle w:val="Hyperlink"/>
            <w:noProof/>
          </w:rPr>
          <w:t>4.1</w:t>
        </w:r>
        <w:r w:rsidR="00FA0866">
          <w:rPr>
            <w:rFonts w:asciiTheme="minorHAnsi" w:eastAsiaTheme="minorEastAsia" w:hAnsiTheme="minorHAnsi" w:cstheme="minorBidi"/>
            <w:iCs w:val="0"/>
            <w:noProof/>
            <w:sz w:val="22"/>
            <w:szCs w:val="22"/>
            <w:lang w:eastAsia="en-AU"/>
          </w:rPr>
          <w:tab/>
        </w:r>
        <w:r w:rsidR="00FA0866" w:rsidRPr="000F19AD">
          <w:rPr>
            <w:rStyle w:val="Hyperlink"/>
            <w:noProof/>
          </w:rPr>
          <w:t>ActewAGL's proposed overall rate of return</w:t>
        </w:r>
        <w:r w:rsidR="00FA0866">
          <w:rPr>
            <w:noProof/>
            <w:webHidden/>
          </w:rPr>
          <w:tab/>
        </w:r>
        <w:r w:rsidR="00FA0866">
          <w:rPr>
            <w:noProof/>
            <w:webHidden/>
          </w:rPr>
          <w:fldChar w:fldCharType="begin"/>
        </w:r>
        <w:r w:rsidR="00FA0866">
          <w:rPr>
            <w:noProof/>
            <w:webHidden/>
          </w:rPr>
          <w:instrText xml:space="preserve"> PAGEREF _Toc393880989 \h </w:instrText>
        </w:r>
        <w:r w:rsidR="00FA0866">
          <w:rPr>
            <w:noProof/>
            <w:webHidden/>
          </w:rPr>
        </w:r>
        <w:r w:rsidR="00FA0866">
          <w:rPr>
            <w:noProof/>
            <w:webHidden/>
          </w:rPr>
          <w:fldChar w:fldCharType="separate"/>
        </w:r>
        <w:r w:rsidR="00FA0866">
          <w:rPr>
            <w:noProof/>
            <w:webHidden/>
          </w:rPr>
          <w:t>30</w:t>
        </w:r>
        <w:r w:rsidR="00FA0866">
          <w:rPr>
            <w:noProof/>
            <w:webHidden/>
          </w:rPr>
          <w:fldChar w:fldCharType="end"/>
        </w:r>
      </w:hyperlink>
    </w:p>
    <w:p w:rsidR="00FA0866" w:rsidRDefault="00203B3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3880990" w:history="1">
        <w:r w:rsidR="00FA0866" w:rsidRPr="000F19AD">
          <w:rPr>
            <w:rStyle w:val="Hyperlink"/>
            <w:noProof/>
          </w:rPr>
          <w:t>4.2</w:t>
        </w:r>
        <w:r w:rsidR="00FA0866">
          <w:rPr>
            <w:rFonts w:asciiTheme="minorHAnsi" w:eastAsiaTheme="minorEastAsia" w:hAnsiTheme="minorHAnsi" w:cstheme="minorBidi"/>
            <w:iCs w:val="0"/>
            <w:noProof/>
            <w:sz w:val="22"/>
            <w:szCs w:val="22"/>
            <w:lang w:eastAsia="en-AU"/>
          </w:rPr>
          <w:tab/>
        </w:r>
        <w:r w:rsidR="00FA0866" w:rsidRPr="000F19AD">
          <w:rPr>
            <w:rStyle w:val="Hyperlink"/>
            <w:noProof/>
          </w:rPr>
          <w:t>Return on equity</w:t>
        </w:r>
        <w:r w:rsidR="00FA0866">
          <w:rPr>
            <w:noProof/>
            <w:webHidden/>
          </w:rPr>
          <w:tab/>
        </w:r>
        <w:r w:rsidR="00FA0866">
          <w:rPr>
            <w:noProof/>
            <w:webHidden/>
          </w:rPr>
          <w:fldChar w:fldCharType="begin"/>
        </w:r>
        <w:r w:rsidR="00FA0866">
          <w:rPr>
            <w:noProof/>
            <w:webHidden/>
          </w:rPr>
          <w:instrText xml:space="preserve"> PAGEREF _Toc393880990 \h </w:instrText>
        </w:r>
        <w:r w:rsidR="00FA0866">
          <w:rPr>
            <w:noProof/>
            <w:webHidden/>
          </w:rPr>
        </w:r>
        <w:r w:rsidR="00FA0866">
          <w:rPr>
            <w:noProof/>
            <w:webHidden/>
          </w:rPr>
          <w:fldChar w:fldCharType="separate"/>
        </w:r>
        <w:r w:rsidR="00FA0866">
          <w:rPr>
            <w:noProof/>
            <w:webHidden/>
          </w:rPr>
          <w:t>31</w:t>
        </w:r>
        <w:r w:rsidR="00FA0866">
          <w:rPr>
            <w:noProof/>
            <w:webHidden/>
          </w:rPr>
          <w:fldChar w:fldCharType="end"/>
        </w:r>
      </w:hyperlink>
    </w:p>
    <w:p w:rsidR="00FA0866" w:rsidRDefault="00203B3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3880991" w:history="1">
        <w:r w:rsidR="00FA0866" w:rsidRPr="000F19AD">
          <w:rPr>
            <w:rStyle w:val="Hyperlink"/>
            <w:noProof/>
          </w:rPr>
          <w:t>4.3</w:t>
        </w:r>
        <w:r w:rsidR="00FA0866">
          <w:rPr>
            <w:rFonts w:asciiTheme="minorHAnsi" w:eastAsiaTheme="minorEastAsia" w:hAnsiTheme="minorHAnsi" w:cstheme="minorBidi"/>
            <w:iCs w:val="0"/>
            <w:noProof/>
            <w:sz w:val="22"/>
            <w:szCs w:val="22"/>
            <w:lang w:eastAsia="en-AU"/>
          </w:rPr>
          <w:tab/>
        </w:r>
        <w:r w:rsidR="00FA0866" w:rsidRPr="000F19AD">
          <w:rPr>
            <w:rStyle w:val="Hyperlink"/>
            <w:noProof/>
          </w:rPr>
          <w:t>Return on debt</w:t>
        </w:r>
        <w:r w:rsidR="00FA0866">
          <w:rPr>
            <w:noProof/>
            <w:webHidden/>
          </w:rPr>
          <w:tab/>
        </w:r>
        <w:r w:rsidR="00FA0866">
          <w:rPr>
            <w:noProof/>
            <w:webHidden/>
          </w:rPr>
          <w:fldChar w:fldCharType="begin"/>
        </w:r>
        <w:r w:rsidR="00FA0866">
          <w:rPr>
            <w:noProof/>
            <w:webHidden/>
          </w:rPr>
          <w:instrText xml:space="preserve"> PAGEREF _Toc393880991 \h </w:instrText>
        </w:r>
        <w:r w:rsidR="00FA0866">
          <w:rPr>
            <w:noProof/>
            <w:webHidden/>
          </w:rPr>
        </w:r>
        <w:r w:rsidR="00FA0866">
          <w:rPr>
            <w:noProof/>
            <w:webHidden/>
          </w:rPr>
          <w:fldChar w:fldCharType="separate"/>
        </w:r>
        <w:r w:rsidR="00FA0866">
          <w:rPr>
            <w:noProof/>
            <w:webHidden/>
          </w:rPr>
          <w:t>32</w:t>
        </w:r>
        <w:r w:rsidR="00FA0866">
          <w:rPr>
            <w:noProof/>
            <w:webHidden/>
          </w:rPr>
          <w:fldChar w:fldCharType="end"/>
        </w:r>
      </w:hyperlink>
    </w:p>
    <w:p w:rsidR="00FA0866" w:rsidRDefault="00203B3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3880992" w:history="1">
        <w:r w:rsidR="00FA0866" w:rsidRPr="000F19AD">
          <w:rPr>
            <w:rStyle w:val="Hyperlink"/>
            <w:noProof/>
          </w:rPr>
          <w:t>4.4</w:t>
        </w:r>
        <w:r w:rsidR="00FA0866">
          <w:rPr>
            <w:rFonts w:asciiTheme="minorHAnsi" w:eastAsiaTheme="minorEastAsia" w:hAnsiTheme="minorHAnsi" w:cstheme="minorBidi"/>
            <w:iCs w:val="0"/>
            <w:noProof/>
            <w:sz w:val="22"/>
            <w:szCs w:val="22"/>
            <w:lang w:eastAsia="en-AU"/>
          </w:rPr>
          <w:tab/>
        </w:r>
        <w:r w:rsidR="00FA0866" w:rsidRPr="000F19AD">
          <w:rPr>
            <w:rStyle w:val="Hyperlink"/>
            <w:noProof/>
          </w:rPr>
          <w:t>Imputation credits</w:t>
        </w:r>
        <w:r w:rsidR="00FA0866">
          <w:rPr>
            <w:noProof/>
            <w:webHidden/>
          </w:rPr>
          <w:tab/>
        </w:r>
        <w:r w:rsidR="00FA0866">
          <w:rPr>
            <w:noProof/>
            <w:webHidden/>
          </w:rPr>
          <w:fldChar w:fldCharType="begin"/>
        </w:r>
        <w:r w:rsidR="00FA0866">
          <w:rPr>
            <w:noProof/>
            <w:webHidden/>
          </w:rPr>
          <w:instrText xml:space="preserve"> PAGEREF _Toc393880992 \h </w:instrText>
        </w:r>
        <w:r w:rsidR="00FA0866">
          <w:rPr>
            <w:noProof/>
            <w:webHidden/>
          </w:rPr>
        </w:r>
        <w:r w:rsidR="00FA0866">
          <w:rPr>
            <w:noProof/>
            <w:webHidden/>
          </w:rPr>
          <w:fldChar w:fldCharType="separate"/>
        </w:r>
        <w:r w:rsidR="00FA0866">
          <w:rPr>
            <w:noProof/>
            <w:webHidden/>
          </w:rPr>
          <w:t>33</w:t>
        </w:r>
        <w:r w:rsidR="00FA0866">
          <w:rPr>
            <w:noProof/>
            <w:webHidden/>
          </w:rPr>
          <w:fldChar w:fldCharType="end"/>
        </w:r>
      </w:hyperlink>
    </w:p>
    <w:p w:rsidR="00FA0866" w:rsidRDefault="00203B35">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93880993" w:history="1">
        <w:r w:rsidR="00FA0866" w:rsidRPr="000F19AD">
          <w:rPr>
            <w:rStyle w:val="Hyperlink"/>
            <w:noProof/>
          </w:rPr>
          <w:t>5</w:t>
        </w:r>
        <w:r w:rsidR="00FA0866">
          <w:rPr>
            <w:rFonts w:asciiTheme="minorHAnsi" w:eastAsiaTheme="minorEastAsia" w:hAnsiTheme="minorHAnsi" w:cstheme="minorBidi"/>
            <w:b w:val="0"/>
            <w:bCs w:val="0"/>
            <w:noProof/>
            <w:sz w:val="22"/>
            <w:szCs w:val="22"/>
            <w:lang w:eastAsia="en-AU"/>
          </w:rPr>
          <w:tab/>
        </w:r>
        <w:r w:rsidR="00FA0866" w:rsidRPr="000F19AD">
          <w:rPr>
            <w:rStyle w:val="Hyperlink"/>
            <w:noProof/>
          </w:rPr>
          <w:t>Interrelationships between components of our decision</w:t>
        </w:r>
        <w:r w:rsidR="00FA0866">
          <w:rPr>
            <w:noProof/>
            <w:webHidden/>
          </w:rPr>
          <w:tab/>
        </w:r>
        <w:r w:rsidR="00FA0866">
          <w:rPr>
            <w:noProof/>
            <w:webHidden/>
          </w:rPr>
          <w:fldChar w:fldCharType="begin"/>
        </w:r>
        <w:r w:rsidR="00FA0866">
          <w:rPr>
            <w:noProof/>
            <w:webHidden/>
          </w:rPr>
          <w:instrText xml:space="preserve"> PAGEREF _Toc393880993 \h </w:instrText>
        </w:r>
        <w:r w:rsidR="00FA0866">
          <w:rPr>
            <w:noProof/>
            <w:webHidden/>
          </w:rPr>
        </w:r>
        <w:r w:rsidR="00FA0866">
          <w:rPr>
            <w:noProof/>
            <w:webHidden/>
          </w:rPr>
          <w:fldChar w:fldCharType="separate"/>
        </w:r>
        <w:r w:rsidR="00FA0866">
          <w:rPr>
            <w:noProof/>
            <w:webHidden/>
          </w:rPr>
          <w:t>34</w:t>
        </w:r>
        <w:r w:rsidR="00FA0866">
          <w:rPr>
            <w:noProof/>
            <w:webHidden/>
          </w:rPr>
          <w:fldChar w:fldCharType="end"/>
        </w:r>
      </w:hyperlink>
    </w:p>
    <w:p w:rsidR="00FA0866" w:rsidRDefault="00203B3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3880994" w:history="1">
        <w:r w:rsidR="00FA0866" w:rsidRPr="000F19AD">
          <w:rPr>
            <w:rStyle w:val="Hyperlink"/>
            <w:noProof/>
          </w:rPr>
          <w:t>5.1</w:t>
        </w:r>
        <w:r w:rsidR="00FA0866">
          <w:rPr>
            <w:rFonts w:asciiTheme="minorHAnsi" w:eastAsiaTheme="minorEastAsia" w:hAnsiTheme="minorHAnsi" w:cstheme="minorBidi"/>
            <w:iCs w:val="0"/>
            <w:noProof/>
            <w:sz w:val="22"/>
            <w:szCs w:val="22"/>
            <w:lang w:eastAsia="en-AU"/>
          </w:rPr>
          <w:tab/>
        </w:r>
        <w:r w:rsidR="00FA0866" w:rsidRPr="000F19AD">
          <w:rPr>
            <w:rStyle w:val="Hyperlink"/>
            <w:noProof/>
          </w:rPr>
          <w:t>The building block model</w:t>
        </w:r>
        <w:r w:rsidR="00FA0866">
          <w:rPr>
            <w:noProof/>
            <w:webHidden/>
          </w:rPr>
          <w:tab/>
        </w:r>
        <w:r w:rsidR="00FA0866">
          <w:rPr>
            <w:noProof/>
            <w:webHidden/>
          </w:rPr>
          <w:fldChar w:fldCharType="begin"/>
        </w:r>
        <w:r w:rsidR="00FA0866">
          <w:rPr>
            <w:noProof/>
            <w:webHidden/>
          </w:rPr>
          <w:instrText xml:space="preserve"> PAGEREF _Toc393880994 \h </w:instrText>
        </w:r>
        <w:r w:rsidR="00FA0866">
          <w:rPr>
            <w:noProof/>
            <w:webHidden/>
          </w:rPr>
        </w:r>
        <w:r w:rsidR="00FA0866">
          <w:rPr>
            <w:noProof/>
            <w:webHidden/>
          </w:rPr>
          <w:fldChar w:fldCharType="separate"/>
        </w:r>
        <w:r w:rsidR="00FA0866">
          <w:rPr>
            <w:noProof/>
            <w:webHidden/>
          </w:rPr>
          <w:t>34</w:t>
        </w:r>
        <w:r w:rsidR="00FA0866">
          <w:rPr>
            <w:noProof/>
            <w:webHidden/>
          </w:rPr>
          <w:fldChar w:fldCharType="end"/>
        </w:r>
      </w:hyperlink>
    </w:p>
    <w:p w:rsidR="00FA0866" w:rsidRDefault="00203B35">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93880995" w:history="1">
        <w:r w:rsidR="00FA0866" w:rsidRPr="000F19AD">
          <w:rPr>
            <w:rStyle w:val="Hyperlink"/>
            <w:noProof/>
          </w:rPr>
          <w:t>5.2</w:t>
        </w:r>
        <w:r w:rsidR="00FA0866">
          <w:rPr>
            <w:rFonts w:asciiTheme="minorHAnsi" w:eastAsiaTheme="minorEastAsia" w:hAnsiTheme="minorHAnsi" w:cstheme="minorBidi"/>
            <w:iCs w:val="0"/>
            <w:noProof/>
            <w:sz w:val="22"/>
            <w:szCs w:val="22"/>
            <w:lang w:eastAsia="en-AU"/>
          </w:rPr>
          <w:tab/>
        </w:r>
        <w:r w:rsidR="00FA0866" w:rsidRPr="000F19AD">
          <w:rPr>
            <w:rStyle w:val="Hyperlink"/>
            <w:noProof/>
          </w:rPr>
          <w:t>Interrelationships between building block components</w:t>
        </w:r>
        <w:r w:rsidR="00FA0866">
          <w:rPr>
            <w:noProof/>
            <w:webHidden/>
          </w:rPr>
          <w:tab/>
        </w:r>
        <w:r w:rsidR="00FA0866">
          <w:rPr>
            <w:noProof/>
            <w:webHidden/>
          </w:rPr>
          <w:fldChar w:fldCharType="begin"/>
        </w:r>
        <w:r w:rsidR="00FA0866">
          <w:rPr>
            <w:noProof/>
            <w:webHidden/>
          </w:rPr>
          <w:instrText xml:space="preserve"> PAGEREF _Toc393880995 \h </w:instrText>
        </w:r>
        <w:r w:rsidR="00FA0866">
          <w:rPr>
            <w:noProof/>
            <w:webHidden/>
          </w:rPr>
        </w:r>
        <w:r w:rsidR="00FA0866">
          <w:rPr>
            <w:noProof/>
            <w:webHidden/>
          </w:rPr>
          <w:fldChar w:fldCharType="separate"/>
        </w:r>
        <w:r w:rsidR="00FA0866">
          <w:rPr>
            <w:noProof/>
            <w:webHidden/>
          </w:rPr>
          <w:t>35</w:t>
        </w:r>
        <w:r w:rsidR="00FA0866">
          <w:rPr>
            <w:noProof/>
            <w:webHidden/>
          </w:rPr>
          <w:fldChar w:fldCharType="end"/>
        </w:r>
      </w:hyperlink>
    </w:p>
    <w:p w:rsidR="00A75C1F" w:rsidRDefault="00824CC8" w:rsidP="00A75C1F">
      <w:pPr>
        <w:pStyle w:val="UnnumberedHeading"/>
      </w:pPr>
      <w:r w:rsidRPr="00AC1B94">
        <w:lastRenderedPageBreak/>
        <w:fldChar w:fldCharType="end"/>
      </w:r>
      <w:bookmarkStart w:id="10" w:name="_Toc384813019"/>
      <w:bookmarkStart w:id="11" w:name="_Toc393880967"/>
      <w:bookmarkStart w:id="12" w:name="_Toc360023683"/>
      <w:bookmarkStart w:id="13" w:name="_Toc360024844"/>
      <w:r w:rsidR="00A75C1F">
        <w:t>Shortened forms</w:t>
      </w:r>
      <w:bookmarkEnd w:id="10"/>
      <w:bookmarkEnd w:id="11"/>
    </w:p>
    <w:tbl>
      <w:tblPr>
        <w:tblStyle w:val="AERtable-text"/>
        <w:tblW w:w="0" w:type="auto"/>
        <w:tblLook w:val="01E0" w:firstRow="1" w:lastRow="1" w:firstColumn="1" w:lastColumn="1" w:noHBand="0" w:noVBand="0"/>
      </w:tblPr>
      <w:tblGrid>
        <w:gridCol w:w="2802"/>
        <w:gridCol w:w="5726"/>
      </w:tblGrid>
      <w:tr w:rsidR="00A75C1F" w:rsidRPr="00215BAE" w:rsidTr="00C80C46">
        <w:trPr>
          <w:cnfStyle w:val="100000000000" w:firstRow="1" w:lastRow="0" w:firstColumn="0" w:lastColumn="0" w:oddVBand="0" w:evenVBand="0" w:oddHBand="0" w:evenHBand="0" w:firstRowFirstColumn="0" w:firstRowLastColumn="0" w:lastRowFirstColumn="0" w:lastRowLastColumn="0"/>
          <w:tblHeader/>
        </w:trPr>
        <w:tc>
          <w:tcPr>
            <w:tcW w:w="2802" w:type="dxa"/>
            <w:noWrap/>
          </w:tcPr>
          <w:p w:rsidR="00A75C1F" w:rsidRPr="00A75C1F" w:rsidRDefault="00A75C1F" w:rsidP="00A75C1F">
            <w:r w:rsidRPr="00C109F9">
              <w:t>Shortened form</w:t>
            </w:r>
          </w:p>
        </w:tc>
        <w:tc>
          <w:tcPr>
            <w:tcW w:w="5726" w:type="dxa"/>
            <w:noWrap/>
          </w:tcPr>
          <w:p w:rsidR="00A75C1F" w:rsidRPr="00A75C1F" w:rsidRDefault="00A75C1F" w:rsidP="00A75C1F">
            <w:r w:rsidRPr="00C109F9">
              <w:t>Extended form</w:t>
            </w:r>
          </w:p>
        </w:tc>
      </w:tr>
      <w:tr w:rsidR="00A75C1F" w:rsidRPr="00D75DE7" w:rsidTr="00660DF5">
        <w:tc>
          <w:tcPr>
            <w:tcW w:w="2802" w:type="dxa"/>
            <w:noWrap/>
          </w:tcPr>
          <w:p w:rsidR="00A75C1F" w:rsidRPr="00A75C1F" w:rsidRDefault="00A75C1F" w:rsidP="00A75C1F">
            <w:r w:rsidRPr="00C109F9">
              <w:t>ACCC</w:t>
            </w:r>
          </w:p>
        </w:tc>
        <w:tc>
          <w:tcPr>
            <w:tcW w:w="5726" w:type="dxa"/>
            <w:noWrap/>
          </w:tcPr>
          <w:p w:rsidR="00A75C1F" w:rsidRPr="00A75C1F" w:rsidRDefault="00A75C1F" w:rsidP="00A75C1F">
            <w:r w:rsidRPr="00C109F9">
              <w:t>Australian Competition &amp; Consumer Commission</w:t>
            </w:r>
          </w:p>
        </w:tc>
      </w:tr>
      <w:tr w:rsidR="000514DD" w:rsidRPr="00D75DE7"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0514DD" w:rsidRPr="00C109F9" w:rsidRDefault="000514DD" w:rsidP="00A75C1F">
            <w:r>
              <w:t>ActewAGL</w:t>
            </w:r>
          </w:p>
        </w:tc>
        <w:tc>
          <w:tcPr>
            <w:tcW w:w="5726" w:type="dxa"/>
            <w:noWrap/>
          </w:tcPr>
          <w:p w:rsidR="000514DD" w:rsidRPr="00C109F9" w:rsidRDefault="000514DD" w:rsidP="00A75C1F">
            <w:r>
              <w:t>ActewAGL Distribution</w:t>
            </w:r>
          </w:p>
        </w:tc>
      </w:tr>
      <w:tr w:rsidR="00A75C1F" w:rsidRPr="00D75DE7" w:rsidTr="00660DF5">
        <w:tc>
          <w:tcPr>
            <w:tcW w:w="2802" w:type="dxa"/>
            <w:noWrap/>
          </w:tcPr>
          <w:p w:rsidR="00A75C1F" w:rsidRPr="00A75C1F" w:rsidRDefault="00A75C1F" w:rsidP="00A75C1F">
            <w:r w:rsidRPr="00C109F9">
              <w:t>AEMC</w:t>
            </w:r>
          </w:p>
        </w:tc>
        <w:tc>
          <w:tcPr>
            <w:tcW w:w="5726" w:type="dxa"/>
            <w:noWrap/>
          </w:tcPr>
          <w:p w:rsidR="00A75C1F" w:rsidRPr="00A75C1F" w:rsidRDefault="00A75C1F" w:rsidP="00A75C1F">
            <w:r w:rsidRPr="00C109F9">
              <w:t xml:space="preserve">Australian Energy Market </w:t>
            </w:r>
            <w:r w:rsidRPr="00A75C1F">
              <w:t>Commission</w:t>
            </w:r>
          </w:p>
        </w:tc>
      </w:tr>
      <w:tr w:rsidR="00A75C1F" w:rsidRPr="00D75DE7"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A75C1F" w:rsidRPr="00A75C1F" w:rsidRDefault="00A75C1F" w:rsidP="00A75C1F">
            <w:r w:rsidRPr="00C109F9">
              <w:t>AER</w:t>
            </w:r>
          </w:p>
        </w:tc>
        <w:tc>
          <w:tcPr>
            <w:tcW w:w="5726" w:type="dxa"/>
            <w:noWrap/>
          </w:tcPr>
          <w:p w:rsidR="00A75C1F" w:rsidRPr="00A75C1F" w:rsidRDefault="00A75C1F" w:rsidP="00A75C1F">
            <w:r w:rsidRPr="00C109F9">
              <w:t>Australian Energy Regulator</w:t>
            </w:r>
          </w:p>
        </w:tc>
      </w:tr>
      <w:tr w:rsidR="00A75C1F" w:rsidRPr="00D75DE7" w:rsidTr="00660DF5">
        <w:tc>
          <w:tcPr>
            <w:tcW w:w="2802" w:type="dxa"/>
            <w:noWrap/>
          </w:tcPr>
          <w:p w:rsidR="00A75C1F" w:rsidRPr="00A75C1F" w:rsidRDefault="00A75C1F" w:rsidP="00A75C1F">
            <w:r w:rsidRPr="00C109F9">
              <w:t>capex</w:t>
            </w:r>
          </w:p>
        </w:tc>
        <w:tc>
          <w:tcPr>
            <w:tcW w:w="5726" w:type="dxa"/>
            <w:noWrap/>
          </w:tcPr>
          <w:p w:rsidR="00A75C1F" w:rsidRPr="00A75C1F" w:rsidRDefault="00A75C1F" w:rsidP="00A75C1F">
            <w:r w:rsidRPr="00C109F9">
              <w:t>capital expenditure</w:t>
            </w:r>
          </w:p>
        </w:tc>
      </w:tr>
      <w:tr w:rsidR="007820EF" w:rsidRPr="00D75DE7"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7820EF" w:rsidRPr="00C109F9" w:rsidRDefault="007820EF" w:rsidP="00A75C1F">
            <w:r>
              <w:t>CCP</w:t>
            </w:r>
          </w:p>
        </w:tc>
        <w:tc>
          <w:tcPr>
            <w:tcW w:w="5726" w:type="dxa"/>
            <w:noWrap/>
          </w:tcPr>
          <w:p w:rsidR="007820EF" w:rsidRPr="00C109F9" w:rsidRDefault="007820EF" w:rsidP="007820EF">
            <w:r>
              <w:t>consumer challenge panel</w:t>
            </w:r>
          </w:p>
        </w:tc>
      </w:tr>
      <w:tr w:rsidR="00A75C1F" w:rsidRPr="00D75DE7" w:rsidTr="00660DF5">
        <w:tc>
          <w:tcPr>
            <w:tcW w:w="2802" w:type="dxa"/>
            <w:noWrap/>
          </w:tcPr>
          <w:p w:rsidR="00A75C1F" w:rsidRPr="00A75C1F" w:rsidRDefault="00A75C1F" w:rsidP="00A75C1F">
            <w:r w:rsidRPr="00C109F9">
              <w:t>CPI</w:t>
            </w:r>
          </w:p>
        </w:tc>
        <w:tc>
          <w:tcPr>
            <w:tcW w:w="5726" w:type="dxa"/>
            <w:noWrap/>
          </w:tcPr>
          <w:p w:rsidR="00A75C1F" w:rsidRPr="00A75C1F" w:rsidRDefault="00A75C1F" w:rsidP="00A75C1F">
            <w:r w:rsidRPr="00C109F9">
              <w:t>consumer price index</w:t>
            </w:r>
          </w:p>
        </w:tc>
      </w:tr>
      <w:tr w:rsidR="00BB52D9" w:rsidRPr="00D75DE7"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BB52D9" w:rsidRPr="00C109F9" w:rsidRDefault="00BB52D9" w:rsidP="00A75C1F">
            <w:r>
              <w:t>distributor</w:t>
            </w:r>
          </w:p>
        </w:tc>
        <w:tc>
          <w:tcPr>
            <w:tcW w:w="5726" w:type="dxa"/>
            <w:noWrap/>
          </w:tcPr>
          <w:p w:rsidR="00BB52D9" w:rsidRPr="00C109F9" w:rsidRDefault="00BB52D9" w:rsidP="00A75C1F">
            <w:r>
              <w:t>distribution network service provider</w:t>
            </w:r>
          </w:p>
        </w:tc>
      </w:tr>
      <w:tr w:rsidR="0029516F" w:rsidRPr="00D75DE7" w:rsidTr="00660DF5">
        <w:tc>
          <w:tcPr>
            <w:tcW w:w="2802" w:type="dxa"/>
            <w:noWrap/>
          </w:tcPr>
          <w:p w:rsidR="0029516F" w:rsidRDefault="0029516F" w:rsidP="00540029">
            <w:r>
              <w:t>DU</w:t>
            </w:r>
            <w:r w:rsidR="00540029">
              <w:t>o</w:t>
            </w:r>
            <w:r>
              <w:t>S</w:t>
            </w:r>
          </w:p>
        </w:tc>
        <w:tc>
          <w:tcPr>
            <w:tcW w:w="5726" w:type="dxa"/>
            <w:noWrap/>
          </w:tcPr>
          <w:p w:rsidR="0029516F" w:rsidRDefault="0029516F" w:rsidP="00A75C1F">
            <w:r>
              <w:t>distribution use of system</w:t>
            </w:r>
          </w:p>
        </w:tc>
      </w:tr>
      <w:tr w:rsidR="00A75C1F" w:rsidRPr="00D75DE7"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A75C1F" w:rsidRPr="00A75C1F" w:rsidRDefault="00A75C1F" w:rsidP="00A75C1F">
            <w:r w:rsidRPr="00C109F9">
              <w:t>EBSS</w:t>
            </w:r>
          </w:p>
        </w:tc>
        <w:tc>
          <w:tcPr>
            <w:tcW w:w="5726" w:type="dxa"/>
            <w:noWrap/>
          </w:tcPr>
          <w:p w:rsidR="00A75C1F" w:rsidRPr="00A75C1F" w:rsidRDefault="00A75C1F" w:rsidP="00A75C1F">
            <w:r w:rsidRPr="00C109F9">
              <w:t xml:space="preserve">efficiency benefit sharing </w:t>
            </w:r>
            <w:r w:rsidRPr="00A75C1F">
              <w:t>scheme</w:t>
            </w:r>
          </w:p>
        </w:tc>
      </w:tr>
      <w:tr w:rsidR="00A75C1F" w:rsidRPr="00D75DE7" w:rsidTr="00660DF5">
        <w:tc>
          <w:tcPr>
            <w:tcW w:w="2802" w:type="dxa"/>
            <w:noWrap/>
          </w:tcPr>
          <w:p w:rsidR="00A75C1F" w:rsidRPr="00A75C1F" w:rsidRDefault="00A75C1F" w:rsidP="00A75C1F">
            <w:r w:rsidRPr="00C109F9">
              <w:t>NEL</w:t>
            </w:r>
          </w:p>
        </w:tc>
        <w:tc>
          <w:tcPr>
            <w:tcW w:w="5726" w:type="dxa"/>
            <w:noWrap/>
          </w:tcPr>
          <w:p w:rsidR="00A75C1F" w:rsidRPr="00A75C1F" w:rsidRDefault="00A75C1F" w:rsidP="00A75C1F">
            <w:r w:rsidRPr="00C109F9">
              <w:t>National Electricity Law</w:t>
            </w:r>
          </w:p>
        </w:tc>
      </w:tr>
      <w:tr w:rsidR="00A75C1F" w:rsidRPr="00D75DE7"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A75C1F" w:rsidRPr="00A75C1F" w:rsidRDefault="00A75C1F" w:rsidP="00A75C1F">
            <w:r w:rsidRPr="00C109F9">
              <w:t>NEM</w:t>
            </w:r>
          </w:p>
        </w:tc>
        <w:tc>
          <w:tcPr>
            <w:tcW w:w="5726" w:type="dxa"/>
            <w:noWrap/>
          </w:tcPr>
          <w:p w:rsidR="00A75C1F" w:rsidRPr="00A75C1F" w:rsidRDefault="00A75C1F" w:rsidP="00A75C1F">
            <w:r w:rsidRPr="00C109F9">
              <w:t>National Electricity Market</w:t>
            </w:r>
          </w:p>
        </w:tc>
      </w:tr>
      <w:tr w:rsidR="00A75C1F" w:rsidRPr="00D75DE7" w:rsidTr="00660DF5">
        <w:tc>
          <w:tcPr>
            <w:tcW w:w="2802" w:type="dxa"/>
            <w:noWrap/>
          </w:tcPr>
          <w:p w:rsidR="00A75C1F" w:rsidRPr="00A75C1F" w:rsidRDefault="00A75C1F" w:rsidP="00A75C1F">
            <w:r w:rsidRPr="00C109F9">
              <w:t>NEO</w:t>
            </w:r>
          </w:p>
        </w:tc>
        <w:tc>
          <w:tcPr>
            <w:tcW w:w="5726" w:type="dxa"/>
            <w:noWrap/>
          </w:tcPr>
          <w:p w:rsidR="00A75C1F" w:rsidRPr="00A75C1F" w:rsidRDefault="00A75C1F" w:rsidP="00A75C1F">
            <w:r w:rsidRPr="00C109F9">
              <w:t>national electricity objective</w:t>
            </w:r>
          </w:p>
        </w:tc>
      </w:tr>
      <w:tr w:rsidR="00A75C1F" w:rsidRPr="00D75DE7"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A75C1F" w:rsidRPr="00A75C1F" w:rsidRDefault="00A75C1F" w:rsidP="00A75C1F">
            <w:r w:rsidRPr="00C109F9">
              <w:t>NER</w:t>
            </w:r>
            <w:r w:rsidR="007D1880">
              <w:t>, rules</w:t>
            </w:r>
          </w:p>
        </w:tc>
        <w:tc>
          <w:tcPr>
            <w:tcW w:w="5726" w:type="dxa"/>
            <w:noWrap/>
          </w:tcPr>
          <w:p w:rsidR="00A75C1F" w:rsidRPr="00A75C1F" w:rsidRDefault="00A75C1F" w:rsidP="00A75C1F">
            <w:r w:rsidRPr="00C109F9">
              <w:t>National Electricity Rules</w:t>
            </w:r>
          </w:p>
        </w:tc>
      </w:tr>
      <w:tr w:rsidR="00A75C1F" w:rsidRPr="00D75DE7" w:rsidTr="00660DF5">
        <w:tc>
          <w:tcPr>
            <w:tcW w:w="2802" w:type="dxa"/>
            <w:noWrap/>
          </w:tcPr>
          <w:p w:rsidR="00A75C1F" w:rsidRPr="00A75C1F" w:rsidRDefault="00A75C1F" w:rsidP="00A75C1F">
            <w:r w:rsidRPr="00C109F9">
              <w:t>opex</w:t>
            </w:r>
          </w:p>
        </w:tc>
        <w:tc>
          <w:tcPr>
            <w:tcW w:w="5726" w:type="dxa"/>
            <w:noWrap/>
          </w:tcPr>
          <w:p w:rsidR="00A75C1F" w:rsidRPr="00A75C1F" w:rsidRDefault="00A75C1F" w:rsidP="00A75C1F">
            <w:r w:rsidRPr="00C109F9">
              <w:t>operating expenditure</w:t>
            </w:r>
          </w:p>
        </w:tc>
      </w:tr>
      <w:tr w:rsidR="00A75C1F" w:rsidRPr="00D75DE7"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A75C1F" w:rsidRPr="00A75C1F" w:rsidRDefault="00A75C1F" w:rsidP="00A75C1F">
            <w:r w:rsidRPr="00C109F9">
              <w:t>RAB</w:t>
            </w:r>
          </w:p>
        </w:tc>
        <w:tc>
          <w:tcPr>
            <w:tcW w:w="5726" w:type="dxa"/>
            <w:noWrap/>
          </w:tcPr>
          <w:p w:rsidR="00A75C1F" w:rsidRPr="00A75C1F" w:rsidRDefault="00A75C1F" w:rsidP="00A75C1F">
            <w:r w:rsidRPr="00C109F9">
              <w:t>regulatory asset base</w:t>
            </w:r>
          </w:p>
        </w:tc>
      </w:tr>
      <w:tr w:rsidR="00305644" w:rsidRPr="00D75DE7" w:rsidTr="00660DF5">
        <w:tc>
          <w:tcPr>
            <w:tcW w:w="2802" w:type="dxa"/>
            <w:noWrap/>
          </w:tcPr>
          <w:p w:rsidR="00305644" w:rsidRPr="00C109F9" w:rsidRDefault="00305644" w:rsidP="00A75C1F">
            <w:r>
              <w:t>RIN</w:t>
            </w:r>
          </w:p>
        </w:tc>
        <w:tc>
          <w:tcPr>
            <w:tcW w:w="5726" w:type="dxa"/>
            <w:noWrap/>
          </w:tcPr>
          <w:p w:rsidR="00305644" w:rsidRPr="00C109F9" w:rsidRDefault="00305644" w:rsidP="00A75C1F">
            <w:r>
              <w:t>regulatory information notice</w:t>
            </w:r>
          </w:p>
        </w:tc>
      </w:tr>
      <w:tr w:rsidR="00A75C1F" w:rsidRPr="00D75DE7" w:rsidTr="00660DF5">
        <w:trPr>
          <w:cnfStyle w:val="000000010000" w:firstRow="0" w:lastRow="0" w:firstColumn="0" w:lastColumn="0" w:oddVBand="0" w:evenVBand="0" w:oddHBand="0" w:evenHBand="1" w:firstRowFirstColumn="0" w:firstRowLastColumn="0" w:lastRowFirstColumn="0" w:lastRowLastColumn="0"/>
        </w:trPr>
        <w:tc>
          <w:tcPr>
            <w:tcW w:w="2802" w:type="dxa"/>
            <w:noWrap/>
          </w:tcPr>
          <w:p w:rsidR="00A75C1F" w:rsidRPr="00A75C1F" w:rsidRDefault="00A75C1F" w:rsidP="00A75C1F">
            <w:r w:rsidRPr="00C109F9">
              <w:t>WACC</w:t>
            </w:r>
            <w:r w:rsidR="00D21C71">
              <w:t>, rate of return</w:t>
            </w:r>
          </w:p>
        </w:tc>
        <w:tc>
          <w:tcPr>
            <w:tcW w:w="5726" w:type="dxa"/>
            <w:noWrap/>
          </w:tcPr>
          <w:p w:rsidR="00A75C1F" w:rsidRPr="00A75C1F" w:rsidRDefault="00A75C1F" w:rsidP="00A75C1F">
            <w:r w:rsidRPr="00C109F9">
              <w:t>weighted average cost of capital</w:t>
            </w:r>
          </w:p>
        </w:tc>
      </w:tr>
    </w:tbl>
    <w:p w:rsidR="008337FF" w:rsidRDefault="008337FF" w:rsidP="00540029">
      <w:pPr>
        <w:pStyle w:val="AERbodytext"/>
        <w:numPr>
          <w:ilvl w:val="0"/>
          <w:numId w:val="0"/>
        </w:numPr>
      </w:pPr>
    </w:p>
    <w:p w:rsidR="008337FF" w:rsidRDefault="00DB6EFE" w:rsidP="00540029">
      <w:pPr>
        <w:pStyle w:val="AERbodytext"/>
        <w:numPr>
          <w:ilvl w:val="0"/>
          <w:numId w:val="0"/>
        </w:numPr>
      </w:pPr>
      <w:r>
        <w:t>T</w:t>
      </w:r>
      <w:r w:rsidR="00783510">
        <w:t xml:space="preserve">he key terms and their shortened forms, listed above, are </w:t>
      </w:r>
      <w:r>
        <w:t xml:space="preserve">largely derived from the </w:t>
      </w:r>
      <w:r w:rsidR="00FA1392">
        <w:t>N</w:t>
      </w:r>
      <w:r>
        <w:t xml:space="preserve">ational </w:t>
      </w:r>
      <w:r w:rsidR="00FA1392">
        <w:t>E</w:t>
      </w:r>
      <w:r>
        <w:t xml:space="preserve">lectricity </w:t>
      </w:r>
      <w:r w:rsidR="00FA1392">
        <w:t>R</w:t>
      </w:r>
      <w:r>
        <w:t xml:space="preserve">ules (the rules). </w:t>
      </w:r>
      <w:r w:rsidR="00905D44">
        <w:t>The shortened forms used here are commonly used by us, industry participants and other stakeholders.</w:t>
      </w:r>
    </w:p>
    <w:p w:rsidR="008337FF" w:rsidRPr="003334E0" w:rsidRDefault="008337FF" w:rsidP="003334E0">
      <w:pPr>
        <w:pStyle w:val="UnnumberedHeading"/>
      </w:pPr>
      <w:bookmarkStart w:id="14" w:name="_Toc393880968"/>
      <w:r w:rsidRPr="003334E0">
        <w:lastRenderedPageBreak/>
        <w:t>Introduction</w:t>
      </w:r>
      <w:bookmarkEnd w:id="14"/>
    </w:p>
    <w:p w:rsidR="00224A10" w:rsidRDefault="00292ED2" w:rsidP="0022669A">
      <w:r>
        <w:t>ActewAGL</w:t>
      </w:r>
      <w:r w:rsidR="0022669A" w:rsidRPr="0022669A">
        <w:t xml:space="preserve"> </w:t>
      </w:r>
      <w:r w:rsidR="00C50AE4">
        <w:t xml:space="preserve">Distribution (ActewAGL) </w:t>
      </w:r>
      <w:r>
        <w:t>is an</w:t>
      </w:r>
      <w:r w:rsidR="0022669A" w:rsidRPr="0022669A">
        <w:t xml:space="preserve"> elect</w:t>
      </w:r>
      <w:r>
        <w:t>ricity network supply business servicing the Australian Capital Territory (ACT)</w:t>
      </w:r>
      <w:r w:rsidR="00D23887">
        <w:t xml:space="preserve">. </w:t>
      </w:r>
      <w:r>
        <w:t>It is a joint venture between the ACT</w:t>
      </w:r>
      <w:r w:rsidR="0022669A" w:rsidRPr="0022669A">
        <w:t xml:space="preserve"> Government</w:t>
      </w:r>
      <w:r w:rsidR="00EB6CBE">
        <w:t xml:space="preserve"> and Jemena Ltd</w:t>
      </w:r>
      <w:r w:rsidR="0022669A" w:rsidRPr="0022669A">
        <w:t xml:space="preserve">. </w:t>
      </w:r>
      <w:r>
        <w:t>ActewAGL has</w:t>
      </w:r>
      <w:r w:rsidR="0022669A" w:rsidRPr="0022669A">
        <w:t xml:space="preserve"> subm</w:t>
      </w:r>
      <w:r>
        <w:t>itted to us for assessment its</w:t>
      </w:r>
      <w:r w:rsidR="0022669A" w:rsidRPr="0022669A">
        <w:t xml:space="preserve"> </w:t>
      </w:r>
      <w:r w:rsidR="008C726C">
        <w:t>regulatory</w:t>
      </w:r>
      <w:r>
        <w:t xml:space="preserve"> proposal</w:t>
      </w:r>
      <w:r w:rsidR="0022669A" w:rsidRPr="0022669A">
        <w:t xml:space="preserve"> for the next five year period</w:t>
      </w:r>
      <w:r w:rsidR="005F7D5D">
        <w:t xml:space="preserve"> (2014</w:t>
      </w:r>
      <w:r w:rsidR="005F7D5D">
        <w:rPr>
          <w:rFonts w:cs="Gautami"/>
        </w:rPr>
        <w:t>–</w:t>
      </w:r>
      <w:r w:rsidR="005F7D5D">
        <w:t>19)</w:t>
      </w:r>
      <w:r>
        <w:t>. This proposal</w:t>
      </w:r>
      <w:r w:rsidR="0022669A" w:rsidRPr="0022669A">
        <w:t xml:space="preserve"> will have a significant bearing on the price </w:t>
      </w:r>
      <w:r w:rsidR="005F7D5D">
        <w:t>of</w:t>
      </w:r>
      <w:r>
        <w:t xml:space="preserve"> electricity in the ACT</w:t>
      </w:r>
      <w:r w:rsidR="0022669A" w:rsidRPr="0022669A">
        <w:t xml:space="preserve"> until July 2019. If we, the Australian Energy Regula</w:t>
      </w:r>
      <w:r>
        <w:t>tor (AER), were to accept this proposal</w:t>
      </w:r>
      <w:r w:rsidR="00CE323E">
        <w:t xml:space="preserve"> without change</w:t>
      </w:r>
      <w:r w:rsidR="0022669A" w:rsidRPr="0022669A">
        <w:t xml:space="preserve">, consumers could expect </w:t>
      </w:r>
      <w:r w:rsidR="001A42BA">
        <w:t xml:space="preserve">distribution network </w:t>
      </w:r>
      <w:r w:rsidR="0022669A" w:rsidRPr="0022669A">
        <w:t xml:space="preserve">prices to </w:t>
      </w:r>
      <w:r w:rsidR="001A42BA">
        <w:t>increase by, on average, around 2.5 per cent each year</w:t>
      </w:r>
      <w:r w:rsidR="0022669A" w:rsidRPr="0022669A">
        <w:t xml:space="preserve">. Whether or not the proposal should be accepted or revised is </w:t>
      </w:r>
      <w:r w:rsidR="00515E2C">
        <w:t>our responsibility</w:t>
      </w:r>
      <w:r w:rsidR="0022669A" w:rsidRPr="0022669A">
        <w:t xml:space="preserve">. </w:t>
      </w:r>
      <w:r w:rsidR="00515E2C">
        <w:t>However, w</w:t>
      </w:r>
      <w:r w:rsidR="0022669A" w:rsidRPr="0022669A">
        <w:t xml:space="preserve">e </w:t>
      </w:r>
      <w:r w:rsidR="00515E2C">
        <w:t>are keen to hear the views of electricity consumers and other stakeholder as these views will form a</w:t>
      </w:r>
      <w:r w:rsidR="008A1927">
        <w:t xml:space="preserve"> critical part of our </w:t>
      </w:r>
      <w:r w:rsidR="005B24AA">
        <w:t>assessment</w:t>
      </w:r>
      <w:r w:rsidR="00515E2C">
        <w:t xml:space="preserve">. </w:t>
      </w:r>
    </w:p>
    <w:p w:rsidR="0022669A" w:rsidRPr="0022669A" w:rsidRDefault="00515E2C" w:rsidP="0022669A">
      <w:r>
        <w:t xml:space="preserve">We </w:t>
      </w:r>
      <w:r w:rsidR="0022669A" w:rsidRPr="0022669A">
        <w:t xml:space="preserve">encourage consumers </w:t>
      </w:r>
      <w:r w:rsidR="004F7E86">
        <w:t xml:space="preserve">and stakeholders </w:t>
      </w:r>
      <w:r w:rsidR="0022669A" w:rsidRPr="0022669A">
        <w:t>to te</w:t>
      </w:r>
      <w:r w:rsidR="00FE4E24">
        <w:t>ll us what you think about ActewAGL's proposal</w:t>
      </w:r>
      <w:r w:rsidR="0022669A" w:rsidRPr="0022669A">
        <w:t xml:space="preserve">. </w:t>
      </w:r>
      <w:r>
        <w:t>T</w:t>
      </w:r>
      <w:r w:rsidR="0022669A" w:rsidRPr="0022669A">
        <w:t>his paper aims to draw to your attention</w:t>
      </w:r>
      <w:r w:rsidR="00516B10">
        <w:t xml:space="preserve"> </w:t>
      </w:r>
      <w:r w:rsidR="00DA0E64">
        <w:t xml:space="preserve">to </w:t>
      </w:r>
      <w:r w:rsidR="0022669A" w:rsidRPr="0022669A">
        <w:t xml:space="preserve">some of the issues </w:t>
      </w:r>
      <w:r>
        <w:t xml:space="preserve">we think are </w:t>
      </w:r>
      <w:r w:rsidR="0022669A" w:rsidRPr="0022669A">
        <w:t xml:space="preserve">likely to be </w:t>
      </w:r>
      <w:r>
        <w:t xml:space="preserve">important. </w:t>
      </w:r>
      <w:r w:rsidR="000E77E2">
        <w:t>H</w:t>
      </w:r>
      <w:r>
        <w:t xml:space="preserve">owever, </w:t>
      </w:r>
      <w:r w:rsidR="000E77E2">
        <w:t xml:space="preserve">we </w:t>
      </w:r>
      <w:r>
        <w:t xml:space="preserve">will consider </w:t>
      </w:r>
      <w:r w:rsidR="00516B10">
        <w:t xml:space="preserve">your </w:t>
      </w:r>
      <w:r>
        <w:t>submissions on any aspect</w:t>
      </w:r>
      <w:r w:rsidR="00516B10">
        <w:t xml:space="preserve"> of the proposal</w:t>
      </w:r>
      <w:r w:rsidR="0022669A" w:rsidRPr="0022669A">
        <w:t>.</w:t>
      </w:r>
      <w:r w:rsidR="00224A10">
        <w:t xml:space="preserve"> </w:t>
      </w:r>
      <w:r w:rsidR="0022669A" w:rsidRPr="0022669A">
        <w:t xml:space="preserve">In the first part of this paper, we provide a high level perspective on </w:t>
      </w:r>
      <w:r w:rsidR="00DA0E64">
        <w:t xml:space="preserve">ActewAGL's proposal </w:t>
      </w:r>
      <w:r w:rsidR="0022669A" w:rsidRPr="0022669A">
        <w:t xml:space="preserve">and our initial observations. </w:t>
      </w:r>
      <w:r w:rsidR="00BB23A8">
        <w:t>In t</w:t>
      </w:r>
      <w:r w:rsidR="008C726C">
        <w:t xml:space="preserve">he attachments </w:t>
      </w:r>
      <w:r w:rsidR="00BB23A8">
        <w:t xml:space="preserve">we </w:t>
      </w:r>
      <w:r w:rsidR="008C726C">
        <w:t>provide more detail</w:t>
      </w:r>
      <w:r w:rsidR="00BB23A8">
        <w:t xml:space="preserve"> and background on our assessment</w:t>
      </w:r>
      <w:r w:rsidR="008C726C">
        <w:t>.</w:t>
      </w:r>
    </w:p>
    <w:p w:rsidR="00C213CE" w:rsidRPr="0022669A" w:rsidRDefault="00A27C77" w:rsidP="0022669A">
      <w:r>
        <w:t>T</w:t>
      </w:r>
      <w:r w:rsidR="007D1880">
        <w:t>here have</w:t>
      </w:r>
      <w:r w:rsidR="00C213CE">
        <w:t xml:space="preserve"> been significant changes to the regulatory framework we administer. The Australian Energy Marke</w:t>
      </w:r>
      <w:r w:rsidR="00610C7F">
        <w:t>t Commission (AEMC) finalised</w:t>
      </w:r>
      <w:r w:rsidR="002D0C94">
        <w:t xml:space="preserve"> changes to the </w:t>
      </w:r>
      <w:r w:rsidR="00610C7F">
        <w:t>National Electricity Rules (</w:t>
      </w:r>
      <w:r w:rsidR="002D0C94">
        <w:t>rules</w:t>
      </w:r>
      <w:r w:rsidR="00610C7F">
        <w:t>)</w:t>
      </w:r>
      <w:r w:rsidR="00C213CE">
        <w:t xml:space="preserve"> in November 2012. These changes resulted in a renewed emphasis on the long term interests of consumers. </w:t>
      </w:r>
      <w:r w:rsidR="00783B16">
        <w:t>T</w:t>
      </w:r>
      <w:r w:rsidR="00C213CE">
        <w:t>he appeal process relating</w:t>
      </w:r>
      <w:r w:rsidR="00783B16">
        <w:t xml:space="preserve"> to our determinations was</w:t>
      </w:r>
      <w:r w:rsidR="009F4F5E">
        <w:t xml:space="preserve"> also</w:t>
      </w:r>
      <w:r w:rsidR="00783B16">
        <w:t xml:space="preserve"> </w:t>
      </w:r>
      <w:r w:rsidR="009F4F5E">
        <w:t xml:space="preserve">amended </w:t>
      </w:r>
      <w:r>
        <w:t xml:space="preserve">so that </w:t>
      </w:r>
      <w:r w:rsidR="00C213CE">
        <w:t>any</w:t>
      </w:r>
      <w:r w:rsidR="00D741E7">
        <w:t xml:space="preserve"> appeal</w:t>
      </w:r>
      <w:r>
        <w:t xml:space="preserve"> by </w:t>
      </w:r>
      <w:r w:rsidR="00D741E7">
        <w:t>ActewAGL</w:t>
      </w:r>
      <w:r>
        <w:t xml:space="preserve"> must </w:t>
      </w:r>
      <w:r w:rsidR="00C213CE">
        <w:t xml:space="preserve">demonstrate that the changes sought would leave consumers better off. </w:t>
      </w:r>
      <w:r w:rsidR="002735E7">
        <w:t>And the revised rules le</w:t>
      </w:r>
      <w:r w:rsidR="008A041A">
        <w:t>d us to develop new guidelines that set out how we propose to approach important aspects of our review.</w:t>
      </w:r>
      <w:r w:rsidR="008A041A">
        <w:rPr>
          <w:rStyle w:val="FootnoteReference"/>
        </w:rPr>
        <w:footnoteReference w:id="1"/>
      </w:r>
    </w:p>
    <w:p w:rsidR="003334E0" w:rsidRDefault="00370403" w:rsidP="00C5132E">
      <w:r>
        <w:t>ActewAGL's regulatory proposal is</w:t>
      </w:r>
      <w:r w:rsidR="0022669A" w:rsidRPr="0022669A">
        <w:t xml:space="preserve"> available on our website (</w:t>
      </w:r>
      <w:hyperlink r:id="rId15" w:history="1">
        <w:r w:rsidR="0022669A" w:rsidRPr="0022669A">
          <w:t>www.aer.gov.au</w:t>
        </w:r>
      </w:hyperlink>
      <w:r w:rsidR="0022669A" w:rsidRPr="0022669A">
        <w:t xml:space="preserve">). </w:t>
      </w:r>
      <w:r w:rsidR="00224A10">
        <w:t>T</w:t>
      </w:r>
      <w:r w:rsidR="004253A4" w:rsidRPr="0022669A">
        <w:t>he attachments to this paper</w:t>
      </w:r>
      <w:r w:rsidR="00224A10">
        <w:t xml:space="preserve"> </w:t>
      </w:r>
      <w:r w:rsidR="004253A4" w:rsidRPr="0022669A">
        <w:t xml:space="preserve">provide more detailed discussion of </w:t>
      </w:r>
      <w:r w:rsidR="00F259EB">
        <w:t>ActewAGL's</w:t>
      </w:r>
      <w:r w:rsidR="004253A4" w:rsidRPr="0022669A">
        <w:t xml:space="preserve"> re</w:t>
      </w:r>
      <w:r w:rsidR="00224A10">
        <w:t>gulatory</w:t>
      </w:r>
      <w:r w:rsidR="00C50AE4">
        <w:t xml:space="preserve"> proposal</w:t>
      </w:r>
      <w:r w:rsidR="004253A4" w:rsidRPr="0022669A">
        <w:t xml:space="preserve">. This detailed material examines the main components of </w:t>
      </w:r>
      <w:r w:rsidR="00E14490">
        <w:t>ActewAGL's</w:t>
      </w:r>
      <w:r w:rsidR="004253A4" w:rsidRPr="0022669A">
        <w:t xml:space="preserve"> </w:t>
      </w:r>
      <w:r w:rsidR="00F07162">
        <w:t>regulatory</w:t>
      </w:r>
      <w:r w:rsidR="004253A4" w:rsidRPr="0022669A">
        <w:t xml:space="preserve"> proposal—capital expenditure</w:t>
      </w:r>
      <w:r w:rsidR="005F7D5D">
        <w:t xml:space="preserve"> (capex)</w:t>
      </w:r>
      <w:r w:rsidR="004253A4" w:rsidRPr="0022669A">
        <w:t>, operating expenditure</w:t>
      </w:r>
      <w:r w:rsidR="005F7D5D">
        <w:t xml:space="preserve"> (opex)</w:t>
      </w:r>
      <w:r w:rsidR="004253A4" w:rsidRPr="0022669A">
        <w:t xml:space="preserve"> and the rate of return. </w:t>
      </w:r>
      <w:r w:rsidR="0022669A" w:rsidRPr="0022669A">
        <w:t xml:space="preserve">See </w:t>
      </w:r>
      <w:r w:rsidR="0022669A" w:rsidRPr="00F50F1A">
        <w:t xml:space="preserve">section </w:t>
      </w:r>
      <w:r w:rsidR="00616924">
        <w:t>3</w:t>
      </w:r>
      <w:r w:rsidR="00616924" w:rsidRPr="0022669A">
        <w:t xml:space="preserve"> </w:t>
      </w:r>
      <w:r w:rsidR="0022669A" w:rsidRPr="0022669A">
        <w:t>below for more details on what to include in your submission and key dates in our assessment process.</w:t>
      </w:r>
      <w:r w:rsidR="00C5132E">
        <w:t xml:space="preserve"> </w:t>
      </w:r>
    </w:p>
    <w:p w:rsidR="00C5132E" w:rsidRPr="003334E0" w:rsidRDefault="00C5132E" w:rsidP="000514DD">
      <w:pPr>
        <w:pStyle w:val="Heading1"/>
      </w:pPr>
      <w:bookmarkStart w:id="15" w:name="_Toc393880969"/>
      <w:r>
        <w:lastRenderedPageBreak/>
        <w:t xml:space="preserve">Our initial </w:t>
      </w:r>
      <w:r w:rsidRPr="000514DD">
        <w:t>observations</w:t>
      </w:r>
      <w:bookmarkEnd w:id="15"/>
    </w:p>
    <w:p w:rsidR="00DD3E07" w:rsidRPr="0059339E" w:rsidRDefault="00DD3E07" w:rsidP="007045FC">
      <w:pPr>
        <w:pStyle w:val="AERbodytext"/>
        <w:rPr>
          <w:rStyle w:val="AERbody"/>
        </w:rPr>
      </w:pPr>
      <w:r w:rsidRPr="0059339E">
        <w:rPr>
          <w:rStyle w:val="AERbody"/>
        </w:rPr>
        <w:t>The following sections set out</w:t>
      </w:r>
      <w:r w:rsidR="001D1CD2">
        <w:rPr>
          <w:rStyle w:val="AERbody"/>
        </w:rPr>
        <w:t xml:space="preserve"> our initial observations on ActewAGL's proposal</w:t>
      </w:r>
      <w:r w:rsidRPr="0059339E">
        <w:rPr>
          <w:rStyle w:val="AERbody"/>
        </w:rPr>
        <w:t>. We have included this material to guide stakeholders to the key issues that have initially caught our attention.</w:t>
      </w:r>
    </w:p>
    <w:p w:rsidR="0022669A" w:rsidRPr="0059339E" w:rsidRDefault="0022669A" w:rsidP="0059339E">
      <w:pPr>
        <w:pStyle w:val="HeadingBoldBlue"/>
      </w:pPr>
      <w:r w:rsidRPr="0059339E">
        <w:t xml:space="preserve">Why </w:t>
      </w:r>
      <w:r w:rsidR="006712B2">
        <w:t>is ActewAGL</w:t>
      </w:r>
      <w:r w:rsidR="008A21C4">
        <w:t xml:space="preserve"> proposing to increase </w:t>
      </w:r>
      <w:r w:rsidRPr="0059339E">
        <w:t>prices?</w:t>
      </w:r>
    </w:p>
    <w:p w:rsidR="004E29C0" w:rsidRDefault="00210029" w:rsidP="0022669A">
      <w:pPr>
        <w:rPr>
          <w:rStyle w:val="AERbody"/>
        </w:rPr>
      </w:pPr>
      <w:r>
        <w:rPr>
          <w:rStyle w:val="AERbody"/>
        </w:rPr>
        <w:t>ActewAGL</w:t>
      </w:r>
      <w:r w:rsidR="007045FC" w:rsidRPr="0059339E">
        <w:rPr>
          <w:rStyle w:val="AERbody"/>
        </w:rPr>
        <w:t xml:space="preserve"> has proposed </w:t>
      </w:r>
      <w:r>
        <w:rPr>
          <w:rStyle w:val="AERbody"/>
        </w:rPr>
        <w:t>to increase its</w:t>
      </w:r>
      <w:r w:rsidR="006143D5">
        <w:rPr>
          <w:rStyle w:val="AERbody"/>
        </w:rPr>
        <w:t xml:space="preserve"> revenues compared to the revenues </w:t>
      </w:r>
      <w:r w:rsidR="006712B2">
        <w:rPr>
          <w:rStyle w:val="AERbody"/>
        </w:rPr>
        <w:t xml:space="preserve">it </w:t>
      </w:r>
      <w:r w:rsidR="00191C97">
        <w:rPr>
          <w:rStyle w:val="AERbody"/>
        </w:rPr>
        <w:t>was</w:t>
      </w:r>
      <w:r w:rsidR="006143D5">
        <w:rPr>
          <w:rStyle w:val="AERbody"/>
        </w:rPr>
        <w:t xml:space="preserve"> allowed to earn</w:t>
      </w:r>
      <w:r w:rsidR="00191C97">
        <w:rPr>
          <w:rStyle w:val="AERbody"/>
        </w:rPr>
        <w:t xml:space="preserve"> in the previous (2009</w:t>
      </w:r>
      <w:r w:rsidR="00F259EB">
        <w:rPr>
          <w:rStyle w:val="AERbody"/>
          <w:rFonts w:cs="Gautami"/>
        </w:rPr>
        <w:t>–</w:t>
      </w:r>
      <w:r w:rsidR="00191C97">
        <w:rPr>
          <w:rStyle w:val="AERbody"/>
        </w:rPr>
        <w:t>14) period</w:t>
      </w:r>
      <w:r w:rsidR="006143D5">
        <w:rPr>
          <w:rStyle w:val="AERbody"/>
        </w:rPr>
        <w:t>.</w:t>
      </w:r>
      <w:r w:rsidR="006143D5" w:rsidRPr="0059339E">
        <w:rPr>
          <w:rStyle w:val="AERbody"/>
        </w:rPr>
        <w:t xml:space="preserve"> </w:t>
      </w:r>
      <w:r w:rsidR="004E29C0">
        <w:rPr>
          <w:rStyle w:val="AERbody"/>
        </w:rPr>
        <w:t xml:space="preserve">The effect </w:t>
      </w:r>
      <w:r w:rsidR="00191C97">
        <w:rPr>
          <w:rStyle w:val="AERbody"/>
        </w:rPr>
        <w:t xml:space="preserve">of its proposal </w:t>
      </w:r>
      <w:r w:rsidR="004E29C0">
        <w:rPr>
          <w:rStyle w:val="AERbody"/>
        </w:rPr>
        <w:t xml:space="preserve">is </w:t>
      </w:r>
      <w:r w:rsidR="00191C97">
        <w:rPr>
          <w:rStyle w:val="AERbody"/>
        </w:rPr>
        <w:t xml:space="preserve">an </w:t>
      </w:r>
      <w:r w:rsidR="006143D5" w:rsidRPr="006143D5">
        <w:t xml:space="preserve">average annual </w:t>
      </w:r>
      <w:r w:rsidR="00453930">
        <w:t xml:space="preserve">distribution </w:t>
      </w:r>
      <w:r w:rsidR="006143D5" w:rsidRPr="006143D5">
        <w:t>price increase of around 2</w:t>
      </w:r>
      <w:r>
        <w:t>.5</w:t>
      </w:r>
      <w:r w:rsidR="006143D5" w:rsidRPr="006143D5">
        <w:t xml:space="preserve"> per cent.</w:t>
      </w:r>
      <w:r w:rsidR="006143D5" w:rsidRPr="00A326F9">
        <w:rPr>
          <w:rStyle w:val="AERsuperscript"/>
        </w:rPr>
        <w:footnoteReference w:id="2"/>
      </w:r>
    </w:p>
    <w:p w:rsidR="00FD3B16" w:rsidRPr="0059339E" w:rsidRDefault="00ED477C" w:rsidP="0022669A">
      <w:pPr>
        <w:rPr>
          <w:rStyle w:val="AERbody"/>
        </w:rPr>
      </w:pPr>
      <w:r>
        <w:rPr>
          <w:rStyle w:val="AERbody"/>
        </w:rPr>
        <w:t>W</w:t>
      </w:r>
      <w:r w:rsidR="0022669A" w:rsidRPr="0059339E">
        <w:rPr>
          <w:rStyle w:val="AERbody"/>
        </w:rPr>
        <w:t xml:space="preserve">e </w:t>
      </w:r>
      <w:r w:rsidR="00AE636D">
        <w:rPr>
          <w:rStyle w:val="AERbody"/>
        </w:rPr>
        <w:t>will examine</w:t>
      </w:r>
      <w:r w:rsidR="00AE636D" w:rsidRPr="0059339E">
        <w:rPr>
          <w:rStyle w:val="AERbody"/>
        </w:rPr>
        <w:t xml:space="preserve"> </w:t>
      </w:r>
      <w:r w:rsidR="0022669A" w:rsidRPr="0059339E">
        <w:rPr>
          <w:rStyle w:val="AERbody"/>
        </w:rPr>
        <w:t xml:space="preserve">whether </w:t>
      </w:r>
      <w:r w:rsidR="00974068">
        <w:rPr>
          <w:rStyle w:val="AERbody"/>
        </w:rPr>
        <w:t>ActewAGL's</w:t>
      </w:r>
      <w:r w:rsidR="00C13C31">
        <w:rPr>
          <w:rStyle w:val="AERbody"/>
        </w:rPr>
        <w:t xml:space="preserve"> </w:t>
      </w:r>
      <w:r w:rsidR="0022669A" w:rsidRPr="0059339E">
        <w:rPr>
          <w:rStyle w:val="AERbody"/>
        </w:rPr>
        <w:t xml:space="preserve">proposed prices adequately reflect current circumstances. </w:t>
      </w:r>
      <w:r w:rsidR="00284B9D">
        <w:rPr>
          <w:rStyle w:val="AERbody"/>
        </w:rPr>
        <w:t xml:space="preserve">ActewAGL's asset base is </w:t>
      </w:r>
      <w:r w:rsidR="007045FC" w:rsidRPr="0059339E">
        <w:rPr>
          <w:rStyle w:val="AERbody"/>
        </w:rPr>
        <w:t xml:space="preserve">larger </w:t>
      </w:r>
      <w:r w:rsidR="00EF29F0">
        <w:rPr>
          <w:rStyle w:val="AERbody"/>
        </w:rPr>
        <w:t>than five years ago. T</w:t>
      </w:r>
      <w:r w:rsidR="00FD3B16" w:rsidRPr="0059339E">
        <w:rPr>
          <w:rStyle w:val="AERbody"/>
        </w:rPr>
        <w:t xml:space="preserve">his investment base needs to be funded and this is adding to </w:t>
      </w:r>
      <w:r w:rsidR="00284B9D">
        <w:rPr>
          <w:rStyle w:val="AERbody"/>
        </w:rPr>
        <w:t>the cost of running its network</w:t>
      </w:r>
      <w:r w:rsidR="00FD3B16" w:rsidRPr="0059339E">
        <w:rPr>
          <w:rStyle w:val="AERbody"/>
        </w:rPr>
        <w:t>. However</w:t>
      </w:r>
      <w:r w:rsidR="0022669A" w:rsidRPr="0059339E">
        <w:rPr>
          <w:rStyle w:val="AERbody"/>
        </w:rPr>
        <w:t>, other</w:t>
      </w:r>
      <w:r w:rsidR="00FD3B16" w:rsidRPr="0059339E">
        <w:rPr>
          <w:rStyle w:val="AERbody"/>
        </w:rPr>
        <w:t xml:space="preserve"> factor</w:t>
      </w:r>
      <w:r w:rsidR="0022669A" w:rsidRPr="0059339E">
        <w:rPr>
          <w:rStyle w:val="AERbody"/>
        </w:rPr>
        <w:t xml:space="preserve">s </w:t>
      </w:r>
      <w:r w:rsidR="00AF16A9">
        <w:rPr>
          <w:rStyle w:val="AERbody"/>
        </w:rPr>
        <w:t>c</w:t>
      </w:r>
      <w:r w:rsidR="008A21C4">
        <w:rPr>
          <w:rStyle w:val="AERbody"/>
        </w:rPr>
        <w:t xml:space="preserve">ould </w:t>
      </w:r>
      <w:r w:rsidR="00217E39">
        <w:rPr>
          <w:rStyle w:val="AERbody"/>
        </w:rPr>
        <w:t>be reducing</w:t>
      </w:r>
      <w:r w:rsidR="0022669A" w:rsidRPr="0059339E">
        <w:rPr>
          <w:rStyle w:val="AERbody"/>
        </w:rPr>
        <w:t xml:space="preserve"> pressure on </w:t>
      </w:r>
      <w:r w:rsidR="00284B9D">
        <w:rPr>
          <w:rStyle w:val="AERbody"/>
        </w:rPr>
        <w:t>ActewAGL's required revenue</w:t>
      </w:r>
      <w:r w:rsidR="0022669A" w:rsidRPr="0059339E">
        <w:rPr>
          <w:rStyle w:val="AERbody"/>
        </w:rPr>
        <w:t xml:space="preserve"> and therefore on prices.</w:t>
      </w:r>
      <w:r w:rsidR="00FD3B16" w:rsidRPr="0059339E">
        <w:rPr>
          <w:rStyle w:val="AERbody"/>
        </w:rPr>
        <w:t xml:space="preserve"> </w:t>
      </w:r>
      <w:r w:rsidR="00BE3381">
        <w:rPr>
          <w:rStyle w:val="AERbody"/>
        </w:rPr>
        <w:t>These include</w:t>
      </w:r>
      <w:r w:rsidR="00866327">
        <w:rPr>
          <w:rStyle w:val="AERbody"/>
        </w:rPr>
        <w:t xml:space="preserve"> reduced demand for electricity</w:t>
      </w:r>
      <w:r w:rsidR="00191C97">
        <w:rPr>
          <w:rStyle w:val="AERbody"/>
        </w:rPr>
        <w:t xml:space="preserve"> and lower financing costs</w:t>
      </w:r>
      <w:r w:rsidR="00866327">
        <w:rPr>
          <w:rStyle w:val="AERbody"/>
        </w:rPr>
        <w:t xml:space="preserve">. </w:t>
      </w:r>
      <w:r w:rsidR="0065324B" w:rsidRPr="0059339E">
        <w:rPr>
          <w:rStyle w:val="AERbody"/>
        </w:rPr>
        <w:t>We are interested to hear consumers' views on these factors.</w:t>
      </w:r>
    </w:p>
    <w:p w:rsidR="0038275D" w:rsidRPr="0059339E" w:rsidRDefault="00DD297F" w:rsidP="0022669A">
      <w:pPr>
        <w:rPr>
          <w:rStyle w:val="AERbody"/>
        </w:rPr>
      </w:pPr>
      <w:r>
        <w:rPr>
          <w:rStyle w:val="AERbody"/>
        </w:rPr>
        <w:fldChar w:fldCharType="begin"/>
      </w:r>
      <w:r>
        <w:rPr>
          <w:rStyle w:val="AERbody"/>
        </w:rPr>
        <w:instrText xml:space="preserve"> REF _Ref393866833 \h </w:instrText>
      </w:r>
      <w:r>
        <w:rPr>
          <w:rStyle w:val="AERbody"/>
        </w:rPr>
      </w:r>
      <w:r>
        <w:rPr>
          <w:rStyle w:val="AERbody"/>
        </w:rPr>
        <w:fldChar w:fldCharType="separate"/>
      </w:r>
      <w:r>
        <w:t xml:space="preserve">Figure </w:t>
      </w:r>
      <w:r>
        <w:rPr>
          <w:noProof/>
        </w:rPr>
        <w:t>1</w:t>
      </w:r>
      <w:r>
        <w:rPr>
          <w:rStyle w:val="AERbody"/>
        </w:rPr>
        <w:fldChar w:fldCharType="end"/>
      </w:r>
      <w:r>
        <w:rPr>
          <w:rStyle w:val="AERbody"/>
        </w:rPr>
        <w:t xml:space="preserve"> </w:t>
      </w:r>
      <w:r w:rsidR="00237A11" w:rsidRPr="0059339E">
        <w:rPr>
          <w:rStyle w:val="AERbody"/>
        </w:rPr>
        <w:t xml:space="preserve">shows the price path </w:t>
      </w:r>
      <w:r w:rsidR="00217E39">
        <w:rPr>
          <w:rStyle w:val="AERbody"/>
        </w:rPr>
        <w:t>expected from</w:t>
      </w:r>
      <w:r w:rsidR="00237A11" w:rsidRPr="0059339E">
        <w:rPr>
          <w:rStyle w:val="AERbody"/>
        </w:rPr>
        <w:t xml:space="preserve"> </w:t>
      </w:r>
      <w:r w:rsidR="00435908">
        <w:rPr>
          <w:rStyle w:val="AERbody"/>
        </w:rPr>
        <w:t>ActewAGL's regulatory proposal</w:t>
      </w:r>
      <w:r w:rsidR="009934E3" w:rsidRPr="0059339E">
        <w:rPr>
          <w:rStyle w:val="AERbody"/>
        </w:rPr>
        <w:t>.</w:t>
      </w:r>
      <w:r w:rsidR="00435908">
        <w:rPr>
          <w:rStyle w:val="AERbody"/>
        </w:rPr>
        <w:t xml:space="preserve"> </w:t>
      </w:r>
      <w:r w:rsidR="00BA0BF9">
        <w:rPr>
          <w:rStyle w:val="AERbody"/>
        </w:rPr>
        <w:t xml:space="preserve">To the left of the vertical line are ActewAGL's previously approved and actual average </w:t>
      </w:r>
      <w:r w:rsidR="00E04D0F">
        <w:rPr>
          <w:rStyle w:val="AERbody"/>
        </w:rPr>
        <w:t xml:space="preserve">distribution </w:t>
      </w:r>
      <w:r w:rsidR="00BA0BF9">
        <w:rPr>
          <w:rStyle w:val="AERbody"/>
        </w:rPr>
        <w:t>prices</w:t>
      </w:r>
      <w:r w:rsidR="007045FC" w:rsidRPr="0059339E">
        <w:rPr>
          <w:rStyle w:val="AERbody"/>
        </w:rPr>
        <w:t>.</w:t>
      </w:r>
      <w:r w:rsidR="008513B0" w:rsidRPr="0059339E">
        <w:rPr>
          <w:rStyle w:val="AERbody"/>
        </w:rPr>
        <w:t xml:space="preserve"> </w:t>
      </w:r>
      <w:r w:rsidR="00483C6F">
        <w:rPr>
          <w:rStyle w:val="AERbody"/>
        </w:rPr>
        <w:t>On the right are</w:t>
      </w:r>
      <w:r w:rsidR="00BA0BF9">
        <w:rPr>
          <w:rStyle w:val="AERbody"/>
        </w:rPr>
        <w:t xml:space="preserve"> </w:t>
      </w:r>
      <w:r w:rsidR="00435908">
        <w:rPr>
          <w:rStyle w:val="AERbody"/>
        </w:rPr>
        <w:t>ActewAGL's</w:t>
      </w:r>
      <w:r w:rsidR="00BA0BF9">
        <w:rPr>
          <w:rStyle w:val="AERbody"/>
        </w:rPr>
        <w:t xml:space="preserve"> proposed average </w:t>
      </w:r>
      <w:r w:rsidR="00E04D0F">
        <w:rPr>
          <w:rStyle w:val="AERbody"/>
        </w:rPr>
        <w:t xml:space="preserve">distribution </w:t>
      </w:r>
      <w:r w:rsidR="00BA0BF9">
        <w:rPr>
          <w:rStyle w:val="AERbody"/>
        </w:rPr>
        <w:t xml:space="preserve">prices </w:t>
      </w:r>
      <w:r w:rsidR="009F30FC" w:rsidRPr="0059339E">
        <w:rPr>
          <w:rStyle w:val="AERbody"/>
        </w:rPr>
        <w:t>for the 2014–19 period</w:t>
      </w:r>
      <w:r w:rsidR="008513B0" w:rsidRPr="0059339E">
        <w:rPr>
          <w:rStyle w:val="AERbody"/>
        </w:rPr>
        <w:t>.</w:t>
      </w:r>
      <w:r w:rsidR="009934E3" w:rsidRPr="0059339E">
        <w:rPr>
          <w:rStyle w:val="AERbody"/>
        </w:rPr>
        <w:t xml:space="preserve"> </w:t>
      </w:r>
      <w:r w:rsidR="007D0B96">
        <w:rPr>
          <w:rStyle w:val="AERbody"/>
        </w:rPr>
        <w:t xml:space="preserve">The dip in prices in 2014–15 reflects our one </w:t>
      </w:r>
      <w:r w:rsidR="000D4A4B">
        <w:rPr>
          <w:rStyle w:val="AERbody"/>
        </w:rPr>
        <w:t>year transitional determination</w:t>
      </w:r>
      <w:r w:rsidR="00191C97">
        <w:rPr>
          <w:rStyle w:val="AERbody"/>
        </w:rPr>
        <w:t>, including changes to the way the cost</w:t>
      </w:r>
      <w:r w:rsidR="00E458E7">
        <w:rPr>
          <w:rStyle w:val="AERbody"/>
        </w:rPr>
        <w:t>s</w:t>
      </w:r>
      <w:r w:rsidR="00191C97">
        <w:rPr>
          <w:rStyle w:val="AERbody"/>
        </w:rPr>
        <w:t xml:space="preserve"> of transmission assets are being recovered</w:t>
      </w:r>
      <w:r w:rsidR="00B95B4B">
        <w:rPr>
          <w:rStyle w:val="AERbody"/>
        </w:rPr>
        <w:t>.</w:t>
      </w:r>
      <w:r w:rsidR="00193F67">
        <w:rPr>
          <w:rStyle w:val="FootnoteReference"/>
        </w:rPr>
        <w:footnoteReference w:id="3"/>
      </w:r>
    </w:p>
    <w:p w:rsidR="00254947" w:rsidRDefault="000514DD" w:rsidP="00772284">
      <w:pPr>
        <w:pStyle w:val="Caption"/>
      </w:pPr>
      <w:bookmarkStart w:id="16" w:name="_Ref393866833"/>
      <w:r>
        <w:lastRenderedPageBreak/>
        <w:t xml:space="preserve">Figure </w:t>
      </w:r>
      <w:r w:rsidR="00203B35">
        <w:fldChar w:fldCharType="begin"/>
      </w:r>
      <w:r w:rsidR="00203B35">
        <w:instrText xml:space="preserve"> SEQ Figure</w:instrText>
      </w:r>
      <w:r w:rsidR="00203B35">
        <w:instrText xml:space="preserve"> \* ARABIC </w:instrText>
      </w:r>
      <w:r w:rsidR="00203B35">
        <w:fldChar w:fldCharType="separate"/>
      </w:r>
      <w:r w:rsidR="00DD297F">
        <w:rPr>
          <w:noProof/>
        </w:rPr>
        <w:t>1</w:t>
      </w:r>
      <w:r w:rsidR="00203B35">
        <w:rPr>
          <w:noProof/>
        </w:rPr>
        <w:fldChar w:fldCharType="end"/>
      </w:r>
      <w:bookmarkEnd w:id="16"/>
      <w:r w:rsidR="00254947">
        <w:tab/>
      </w:r>
      <w:r w:rsidR="00A97A9F">
        <w:t>ActewAGL – price path</w:t>
      </w:r>
      <w:r w:rsidR="00B71979">
        <w:t xml:space="preserve"> ($nominal)</w:t>
      </w:r>
    </w:p>
    <w:p w:rsidR="0038275D" w:rsidRDefault="00203B35" w:rsidP="0022669A">
      <w:r>
        <w:rPr>
          <w:noProof/>
          <w:lang w:eastAsia="en-AU"/>
        </w:rPr>
        <w:pict>
          <v:shapetype id="_x0000_t32" coordsize="21600,21600" o:spt="32" o:oned="t" path="m,l21600,21600e" filled="f">
            <v:path arrowok="t" fillok="f" o:connecttype="none"/>
            <o:lock v:ext="edit" shapetype="t"/>
          </v:shapetype>
          <v:shape id="_x0000_s1088" type="#_x0000_t32" style="position:absolute;left:0;text-align:left;margin-left:262pt;margin-top:21.2pt;width:2.25pt;height:261pt;flip:x;z-index:251658752" o:connectortype="straight"/>
        </w:pict>
      </w:r>
      <w:r w:rsidR="00434FB7" w:rsidRPr="00434FB7">
        <w:t xml:space="preserve"> </w:t>
      </w:r>
      <w:r w:rsidR="00431D93" w:rsidRPr="00431D93">
        <w:rPr>
          <w:noProof/>
          <w:lang w:eastAsia="en-AU"/>
        </w:rPr>
        <w:drawing>
          <wp:inline distT="0" distB="0" distL="0" distR="0" wp14:anchorId="60BC4C8C" wp14:editId="32D175DF">
            <wp:extent cx="5727699" cy="388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888786"/>
                    </a:xfrm>
                    <a:prstGeom prst="rect">
                      <a:avLst/>
                    </a:prstGeom>
                    <a:noFill/>
                    <a:ln>
                      <a:noFill/>
                    </a:ln>
                  </pic:spPr>
                </pic:pic>
              </a:graphicData>
            </a:graphic>
          </wp:inline>
        </w:drawing>
      </w:r>
    </w:p>
    <w:p w:rsidR="005B0E5E" w:rsidRPr="00A6138C" w:rsidRDefault="005B0E5E" w:rsidP="00A6138C">
      <w:pPr>
        <w:pStyle w:val="AERtablesource"/>
      </w:pPr>
      <w:r w:rsidRPr="00A6138C">
        <w:t>Source:</w:t>
      </w:r>
      <w:r w:rsidRPr="00A6138C">
        <w:tab/>
      </w:r>
      <w:r w:rsidR="007B131B">
        <w:t>Proposed average annual prices are sourced from ActewAGL's submitted PTRM for this reset. Historical actual average prices are sourced from ActewAGL's submitted annual regulatory information notices (RINs).</w:t>
      </w:r>
      <w:r w:rsidR="00A71BDF">
        <w:t xml:space="preserve"> </w:t>
      </w:r>
    </w:p>
    <w:p w:rsidR="00361317" w:rsidRDefault="00361317" w:rsidP="0022669A">
      <w:pPr>
        <w:rPr>
          <w:rStyle w:val="AERbody"/>
        </w:rPr>
      </w:pPr>
    </w:p>
    <w:p w:rsidR="00155DD0" w:rsidRDefault="009F30FC" w:rsidP="0022669A">
      <w:pPr>
        <w:rPr>
          <w:rStyle w:val="AERbody"/>
        </w:rPr>
      </w:pPr>
      <w:r w:rsidRPr="0059339E">
        <w:rPr>
          <w:rStyle w:val="AERbody"/>
        </w:rPr>
        <w:fldChar w:fldCharType="begin"/>
      </w:r>
      <w:r w:rsidRPr="0059339E">
        <w:rPr>
          <w:rStyle w:val="AERbody"/>
        </w:rPr>
        <w:instrText xml:space="preserve"> REF _Ref391382795 \h </w:instrText>
      </w:r>
      <w:r w:rsidR="0059339E">
        <w:rPr>
          <w:rStyle w:val="AERbody"/>
        </w:rPr>
        <w:instrText xml:space="preserve"> \* MERGEFORMAT </w:instrText>
      </w:r>
      <w:r w:rsidRPr="0059339E">
        <w:rPr>
          <w:rStyle w:val="AERbody"/>
        </w:rPr>
      </w:r>
      <w:r w:rsidRPr="0059339E">
        <w:rPr>
          <w:rStyle w:val="AERbody"/>
        </w:rPr>
        <w:fldChar w:fldCharType="separate"/>
      </w:r>
      <w:r w:rsidR="00DD297F" w:rsidRPr="00DD297F">
        <w:rPr>
          <w:rStyle w:val="AERbody"/>
        </w:rPr>
        <w:t>Figure 2</w:t>
      </w:r>
      <w:r w:rsidRPr="0059339E">
        <w:rPr>
          <w:rStyle w:val="AERbody"/>
        </w:rPr>
        <w:fldChar w:fldCharType="end"/>
      </w:r>
      <w:r w:rsidR="007F214A">
        <w:rPr>
          <w:rStyle w:val="AERbody"/>
        </w:rPr>
        <w:t xml:space="preserve"> below</w:t>
      </w:r>
      <w:r w:rsidRPr="0059339E">
        <w:rPr>
          <w:rStyle w:val="AERbody"/>
        </w:rPr>
        <w:t xml:space="preserve"> show</w:t>
      </w:r>
      <w:r w:rsidR="005D41B2">
        <w:rPr>
          <w:rStyle w:val="AERbody"/>
        </w:rPr>
        <w:t>s</w:t>
      </w:r>
      <w:r w:rsidRPr="0059339E">
        <w:rPr>
          <w:rStyle w:val="AERbody"/>
        </w:rPr>
        <w:t xml:space="preserve"> </w:t>
      </w:r>
      <w:r w:rsidR="005D41B2">
        <w:rPr>
          <w:rStyle w:val="AERbody"/>
        </w:rPr>
        <w:t>ActewAGL's</w:t>
      </w:r>
      <w:r w:rsidRPr="0059339E">
        <w:rPr>
          <w:rStyle w:val="AERbody"/>
        </w:rPr>
        <w:t xml:space="preserve"> </w:t>
      </w:r>
      <w:r w:rsidR="00AD05A6">
        <w:rPr>
          <w:rStyle w:val="AERbody"/>
        </w:rPr>
        <w:t xml:space="preserve">current and </w:t>
      </w:r>
      <w:r w:rsidRPr="0059339E">
        <w:rPr>
          <w:rStyle w:val="AERbody"/>
        </w:rPr>
        <w:t xml:space="preserve">proposed annual revenues. </w:t>
      </w:r>
      <w:r w:rsidR="007F214A">
        <w:rPr>
          <w:rStyle w:val="AERbody"/>
        </w:rPr>
        <w:t>T</w:t>
      </w:r>
      <w:r w:rsidR="00CC2EB8">
        <w:rPr>
          <w:rStyle w:val="AERbody"/>
        </w:rPr>
        <w:t xml:space="preserve">he </w:t>
      </w:r>
      <w:r w:rsidR="007F214A">
        <w:rPr>
          <w:rStyle w:val="AERbody"/>
        </w:rPr>
        <w:t xml:space="preserve">solid lines show </w:t>
      </w:r>
      <w:r w:rsidRPr="0059339E">
        <w:rPr>
          <w:rStyle w:val="AERbody"/>
        </w:rPr>
        <w:t xml:space="preserve">the revenues we have previously approved and the revenues actually collected by </w:t>
      </w:r>
      <w:r w:rsidR="005D41B2">
        <w:rPr>
          <w:rStyle w:val="AERbody"/>
        </w:rPr>
        <w:t>ActewAGL</w:t>
      </w:r>
      <w:r w:rsidRPr="0059339E">
        <w:rPr>
          <w:rStyle w:val="AERbody"/>
        </w:rPr>
        <w:t>.</w:t>
      </w:r>
      <w:r w:rsidR="007F214A">
        <w:rPr>
          <w:rStyle w:val="AERbody"/>
        </w:rPr>
        <w:t xml:space="preserve"> T</w:t>
      </w:r>
      <w:r w:rsidRPr="0059339E">
        <w:rPr>
          <w:rStyle w:val="AERbody"/>
        </w:rPr>
        <w:t xml:space="preserve">he </w:t>
      </w:r>
      <w:r w:rsidR="007F214A">
        <w:rPr>
          <w:rStyle w:val="AERbody"/>
        </w:rPr>
        <w:t xml:space="preserve">dashed line </w:t>
      </w:r>
      <w:r w:rsidR="00CC2EB8">
        <w:rPr>
          <w:rStyle w:val="AERbody"/>
        </w:rPr>
        <w:t xml:space="preserve">shows </w:t>
      </w:r>
      <w:r w:rsidR="000E50FD">
        <w:rPr>
          <w:rStyle w:val="AERbody"/>
        </w:rPr>
        <w:t>ActewAGL's</w:t>
      </w:r>
      <w:r w:rsidRPr="0059339E">
        <w:rPr>
          <w:rStyle w:val="AERbody"/>
        </w:rPr>
        <w:t xml:space="preserve"> proposed revenues for the 2014–19 period</w:t>
      </w:r>
      <w:r w:rsidR="00F07162">
        <w:rPr>
          <w:rStyle w:val="AERbody"/>
        </w:rPr>
        <w:t>, including its proposed transmission revenues</w:t>
      </w:r>
      <w:r w:rsidR="00611D05">
        <w:rPr>
          <w:rStyle w:val="AERbody"/>
        </w:rPr>
        <w:t xml:space="preserve"> for comparability with the 2009–14 period.</w:t>
      </w:r>
    </w:p>
    <w:p w:rsidR="00B0701B" w:rsidRDefault="00B0701B" w:rsidP="00B0701B">
      <w:pPr>
        <w:pStyle w:val="Caption"/>
      </w:pPr>
      <w:bookmarkStart w:id="17" w:name="_Ref391382795"/>
      <w:r>
        <w:lastRenderedPageBreak/>
        <w:t xml:space="preserve">Figure </w:t>
      </w:r>
      <w:r w:rsidR="00203B35">
        <w:fldChar w:fldCharType="begin"/>
      </w:r>
      <w:r w:rsidR="00203B35">
        <w:instrText xml:space="preserve"> SEQ Figure \* ARABIC </w:instrText>
      </w:r>
      <w:r w:rsidR="00203B35">
        <w:fldChar w:fldCharType="separate"/>
      </w:r>
      <w:r w:rsidR="00DD297F">
        <w:rPr>
          <w:noProof/>
        </w:rPr>
        <w:t>2</w:t>
      </w:r>
      <w:r w:rsidR="00203B35">
        <w:rPr>
          <w:noProof/>
        </w:rPr>
        <w:fldChar w:fldCharType="end"/>
      </w:r>
      <w:bookmarkEnd w:id="17"/>
      <w:r w:rsidR="00A97A9F">
        <w:tab/>
        <w:t>ActewAGL</w:t>
      </w:r>
      <w:r w:rsidR="001148B7">
        <w:t xml:space="preserve"> </w:t>
      </w:r>
      <w:r w:rsidR="00334993">
        <w:rPr>
          <w:rFonts w:cs="Gautami"/>
        </w:rPr>
        <w:t>–</w:t>
      </w:r>
      <w:r w:rsidR="001148B7">
        <w:t xml:space="preserve"> total </w:t>
      </w:r>
      <w:r>
        <w:t>revenue</w:t>
      </w:r>
      <w:r w:rsidR="00A97A9F">
        <w:t xml:space="preserve"> ($nominal)</w:t>
      </w:r>
      <w:r w:rsidR="00BC27B6">
        <w:rPr>
          <w:rStyle w:val="FootnoteReference"/>
        </w:rPr>
        <w:footnoteReference w:id="4"/>
      </w:r>
      <w:r w:rsidR="00193F67" w:rsidDel="00193F67">
        <w:rPr>
          <w:rStyle w:val="FootnoteReference"/>
        </w:rPr>
        <w:t xml:space="preserve"> </w:t>
      </w:r>
    </w:p>
    <w:p w:rsidR="0038275D" w:rsidRDefault="00A97A9F" w:rsidP="00254681">
      <w:pPr>
        <w:pStyle w:val="Caption"/>
      </w:pPr>
      <w:r w:rsidRPr="00A97A9F">
        <w:rPr>
          <w:noProof/>
          <w:lang w:eastAsia="en-AU"/>
        </w:rPr>
        <w:drawing>
          <wp:inline distT="0" distB="0" distL="0" distR="0" wp14:anchorId="582EC535" wp14:editId="15505966">
            <wp:extent cx="5731510" cy="36757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675745"/>
                    </a:xfrm>
                    <a:prstGeom prst="rect">
                      <a:avLst/>
                    </a:prstGeom>
                    <a:noFill/>
                    <a:ln>
                      <a:noFill/>
                    </a:ln>
                  </pic:spPr>
                </pic:pic>
              </a:graphicData>
            </a:graphic>
          </wp:inline>
        </w:drawing>
      </w:r>
    </w:p>
    <w:p w:rsidR="004C1880" w:rsidRPr="000131E1" w:rsidRDefault="00954F42" w:rsidP="000131E1">
      <w:pPr>
        <w:pStyle w:val="AERtablesource"/>
      </w:pPr>
      <w:r>
        <w:t>Source:</w:t>
      </w:r>
      <w:r>
        <w:tab/>
      </w:r>
      <w:r w:rsidR="009F49F8">
        <w:t>Actual</w:t>
      </w:r>
      <w:r w:rsidR="00E07780">
        <w:t xml:space="preserve"> annual revenues are sourced from ActewAGL's submitted </w:t>
      </w:r>
      <w:r w:rsidR="009F49F8">
        <w:t>annual reports to the ACT Independent Competition and Regulatory Commission (ICRC) and corrected regulatory information notices submitted to the AER. Allowed annual revenues are sourced from regulatory decision PTRMs by the ICRC and the AER. Proposed revenues are sourced from ActewAGL's submitted PTRMs for distribution and transmission.</w:t>
      </w:r>
    </w:p>
    <w:p w:rsidR="000E02C7" w:rsidRPr="0059339E" w:rsidRDefault="003E7CC1" w:rsidP="0059339E">
      <w:pPr>
        <w:pStyle w:val="HeadingBoldBlue"/>
      </w:pPr>
      <w:r>
        <w:t>Much capital investment has been undertaken</w:t>
      </w:r>
    </w:p>
    <w:p w:rsidR="007A5FF8" w:rsidRPr="0059339E" w:rsidRDefault="00397AD2" w:rsidP="0022669A">
      <w:pPr>
        <w:rPr>
          <w:rStyle w:val="AERbody"/>
        </w:rPr>
      </w:pPr>
      <w:r>
        <w:rPr>
          <w:rStyle w:val="AERbody"/>
        </w:rPr>
        <w:t>ActewAGL overspent its</w:t>
      </w:r>
      <w:r w:rsidR="00A75EC8">
        <w:rPr>
          <w:rStyle w:val="AERbody"/>
        </w:rPr>
        <w:t xml:space="preserve"> capex allowance</w:t>
      </w:r>
      <w:r w:rsidR="0022669A" w:rsidRPr="0059339E">
        <w:rPr>
          <w:rStyle w:val="AERbody"/>
        </w:rPr>
        <w:t xml:space="preserve"> in the</w:t>
      </w:r>
      <w:r w:rsidR="005423E7" w:rsidRPr="0059339E">
        <w:rPr>
          <w:rStyle w:val="AERbody"/>
        </w:rPr>
        <w:t xml:space="preserve"> 2009–14</w:t>
      </w:r>
      <w:r w:rsidR="0022669A" w:rsidRPr="0059339E">
        <w:rPr>
          <w:rStyle w:val="AERbody"/>
        </w:rPr>
        <w:t xml:space="preserve"> period. This means that </w:t>
      </w:r>
      <w:r w:rsidR="0081108C">
        <w:rPr>
          <w:rStyle w:val="AERbody"/>
        </w:rPr>
        <w:t xml:space="preserve">its </w:t>
      </w:r>
      <w:r w:rsidR="0022669A" w:rsidRPr="0059339E">
        <w:rPr>
          <w:rStyle w:val="AERbody"/>
        </w:rPr>
        <w:t xml:space="preserve">opening </w:t>
      </w:r>
      <w:r w:rsidR="00127E36" w:rsidRPr="0059339E">
        <w:rPr>
          <w:rStyle w:val="AERbody"/>
        </w:rPr>
        <w:t>regulatory asset base</w:t>
      </w:r>
      <w:r w:rsidR="0081108C">
        <w:rPr>
          <w:rStyle w:val="AERbody"/>
        </w:rPr>
        <w:t xml:space="preserve"> (</w:t>
      </w:r>
      <w:r w:rsidR="008D66CB">
        <w:rPr>
          <w:rStyle w:val="AERbody"/>
        </w:rPr>
        <w:t>asset base</w:t>
      </w:r>
      <w:r w:rsidR="0044633C">
        <w:rPr>
          <w:rStyle w:val="AERbody"/>
        </w:rPr>
        <w:t>, or RAB</w:t>
      </w:r>
      <w:r w:rsidR="00F50F1A" w:rsidRPr="0059339E">
        <w:rPr>
          <w:rStyle w:val="AERbody"/>
        </w:rPr>
        <w:t>)</w:t>
      </w:r>
      <w:r w:rsidR="0022669A" w:rsidRPr="0059339E">
        <w:rPr>
          <w:rStyle w:val="AERbody"/>
        </w:rPr>
        <w:t xml:space="preserve"> for </w:t>
      </w:r>
      <w:r w:rsidR="00191C97">
        <w:rPr>
          <w:rStyle w:val="AERbody"/>
        </w:rPr>
        <w:t xml:space="preserve">this next </w:t>
      </w:r>
      <w:r w:rsidR="0022669A" w:rsidRPr="0059339E">
        <w:rPr>
          <w:rStyle w:val="AERbody"/>
        </w:rPr>
        <w:t xml:space="preserve"> 2014–19 period </w:t>
      </w:r>
      <w:r w:rsidR="0081108C">
        <w:rPr>
          <w:rStyle w:val="AERbody"/>
        </w:rPr>
        <w:t>is higher</w:t>
      </w:r>
      <w:r w:rsidR="0022669A" w:rsidRPr="0059339E">
        <w:rPr>
          <w:rStyle w:val="AERbody"/>
        </w:rPr>
        <w:t xml:space="preserve"> than anticipated, </w:t>
      </w:r>
      <w:r w:rsidR="0081108C">
        <w:rPr>
          <w:rStyle w:val="AERbody"/>
        </w:rPr>
        <w:t>putting upwards pressure on prices</w:t>
      </w:r>
      <w:r w:rsidR="0022669A" w:rsidRPr="0059339E">
        <w:rPr>
          <w:rStyle w:val="AERbody"/>
        </w:rPr>
        <w:t xml:space="preserve">. </w:t>
      </w:r>
      <w:r w:rsidR="0081108C">
        <w:rPr>
          <w:rStyle w:val="AERbody"/>
        </w:rPr>
        <w:t>However, it</w:t>
      </w:r>
      <w:r w:rsidR="0022669A" w:rsidRPr="0059339E">
        <w:rPr>
          <w:rStyle w:val="AERbody"/>
        </w:rPr>
        <w:t xml:space="preserve"> also suggests that</w:t>
      </w:r>
      <w:r w:rsidR="0081108C">
        <w:rPr>
          <w:rStyle w:val="AERbody"/>
        </w:rPr>
        <w:t xml:space="preserve">, having </w:t>
      </w:r>
      <w:r w:rsidR="003B71F3">
        <w:rPr>
          <w:rStyle w:val="AERbody"/>
        </w:rPr>
        <w:t xml:space="preserve">increased </w:t>
      </w:r>
      <w:r w:rsidR="00191C97">
        <w:rPr>
          <w:rStyle w:val="AERbody"/>
        </w:rPr>
        <w:t>the level of investment</w:t>
      </w:r>
      <w:r w:rsidR="0081108C">
        <w:rPr>
          <w:rStyle w:val="AERbody"/>
        </w:rPr>
        <w:t xml:space="preserve"> in recent years, </w:t>
      </w:r>
      <w:r w:rsidR="008A597A">
        <w:rPr>
          <w:rStyle w:val="AERbody"/>
        </w:rPr>
        <w:t>there c</w:t>
      </w:r>
      <w:r w:rsidR="0081108C">
        <w:rPr>
          <w:rStyle w:val="AERbody"/>
        </w:rPr>
        <w:t xml:space="preserve">ould be less need for further investment in the </w:t>
      </w:r>
      <w:r w:rsidR="00191C97">
        <w:rPr>
          <w:rStyle w:val="AERbody"/>
        </w:rPr>
        <w:t>next period</w:t>
      </w:r>
      <w:r w:rsidR="0022669A" w:rsidRPr="0059339E">
        <w:rPr>
          <w:rStyle w:val="AERbody"/>
        </w:rPr>
        <w:t xml:space="preserve">. </w:t>
      </w:r>
      <w:r w:rsidR="00901431">
        <w:rPr>
          <w:rStyle w:val="AERbody"/>
        </w:rPr>
        <w:fldChar w:fldCharType="begin"/>
      </w:r>
      <w:r w:rsidR="00901431">
        <w:rPr>
          <w:rStyle w:val="AERbody"/>
        </w:rPr>
        <w:instrText xml:space="preserve"> REF _Ref392484152 \h </w:instrText>
      </w:r>
      <w:r w:rsidR="00901431">
        <w:rPr>
          <w:rStyle w:val="AERbody"/>
        </w:rPr>
      </w:r>
      <w:r w:rsidR="00901431">
        <w:rPr>
          <w:rStyle w:val="AERbody"/>
        </w:rPr>
        <w:fldChar w:fldCharType="separate"/>
      </w:r>
      <w:r w:rsidR="00DD297F">
        <w:t xml:space="preserve">Figure </w:t>
      </w:r>
      <w:r w:rsidR="00DD297F">
        <w:rPr>
          <w:noProof/>
        </w:rPr>
        <w:t>3</w:t>
      </w:r>
      <w:r w:rsidR="00901431">
        <w:rPr>
          <w:rStyle w:val="AERbody"/>
        </w:rPr>
        <w:fldChar w:fldCharType="end"/>
      </w:r>
      <w:r w:rsidR="00232523">
        <w:rPr>
          <w:rStyle w:val="AERbody"/>
        </w:rPr>
        <w:t xml:space="preserve"> </w:t>
      </w:r>
      <w:r w:rsidR="00E62CB9" w:rsidRPr="0059339E">
        <w:rPr>
          <w:rStyle w:val="AERbody"/>
        </w:rPr>
        <w:t>below s</w:t>
      </w:r>
      <w:r w:rsidR="00E63455" w:rsidRPr="0059339E">
        <w:rPr>
          <w:rStyle w:val="AERbody"/>
        </w:rPr>
        <w:t>how</w:t>
      </w:r>
      <w:r w:rsidR="00232523">
        <w:rPr>
          <w:rStyle w:val="AERbody"/>
        </w:rPr>
        <w:t>s</w:t>
      </w:r>
      <w:r w:rsidR="00D44C42" w:rsidRPr="0059339E">
        <w:rPr>
          <w:rStyle w:val="AERbody"/>
        </w:rPr>
        <w:t xml:space="preserve"> the growth in </w:t>
      </w:r>
      <w:r w:rsidR="00E63455" w:rsidRPr="0059339E">
        <w:rPr>
          <w:rStyle w:val="AERbody"/>
        </w:rPr>
        <w:t xml:space="preserve">the value of </w:t>
      </w:r>
      <w:r w:rsidR="00232523">
        <w:rPr>
          <w:rStyle w:val="AERbody"/>
        </w:rPr>
        <w:t>ActewAGL's</w:t>
      </w:r>
      <w:r w:rsidR="00D44C42" w:rsidRPr="0059339E">
        <w:rPr>
          <w:rStyle w:val="AERbody"/>
        </w:rPr>
        <w:t xml:space="preserve"> asset base</w:t>
      </w:r>
      <w:r w:rsidR="00E63455" w:rsidRPr="0059339E">
        <w:rPr>
          <w:rStyle w:val="AERbody"/>
        </w:rPr>
        <w:t xml:space="preserve"> </w:t>
      </w:r>
      <w:r w:rsidR="00E62CB9" w:rsidRPr="0059339E">
        <w:rPr>
          <w:rStyle w:val="AERbody"/>
        </w:rPr>
        <w:t xml:space="preserve">over the last 10 years and </w:t>
      </w:r>
      <w:r w:rsidR="00232523">
        <w:rPr>
          <w:rStyle w:val="AERbody"/>
        </w:rPr>
        <w:t xml:space="preserve">its </w:t>
      </w:r>
      <w:r w:rsidR="00E62CB9" w:rsidRPr="0059339E">
        <w:rPr>
          <w:rStyle w:val="AERbody"/>
        </w:rPr>
        <w:t>proposed further growth for the 2014–19 period.</w:t>
      </w:r>
      <w:r w:rsidR="00954465">
        <w:rPr>
          <w:rStyle w:val="AERbody"/>
        </w:rPr>
        <w:t xml:space="preserve"> </w:t>
      </w:r>
      <w:r w:rsidR="00010680">
        <w:rPr>
          <w:rStyle w:val="AERbody"/>
        </w:rPr>
        <w:t xml:space="preserve">Proposed further growth in the </w:t>
      </w:r>
      <w:r w:rsidR="008D66CB">
        <w:rPr>
          <w:rStyle w:val="AERbody"/>
        </w:rPr>
        <w:t>asset base</w:t>
      </w:r>
      <w:r w:rsidR="00010680">
        <w:rPr>
          <w:rStyle w:val="AERbody"/>
        </w:rPr>
        <w:t xml:space="preserve"> is shown on a like for like basis with the previous period.</w:t>
      </w:r>
    </w:p>
    <w:p w:rsidR="00856F7D" w:rsidRDefault="00856F7D" w:rsidP="00856F7D">
      <w:pPr>
        <w:pStyle w:val="Caption"/>
      </w:pPr>
      <w:bookmarkStart w:id="18" w:name="_Ref392484152"/>
      <w:r>
        <w:lastRenderedPageBreak/>
        <w:t xml:space="preserve">Figure </w:t>
      </w:r>
      <w:r w:rsidR="00203B35">
        <w:fldChar w:fldCharType="begin"/>
      </w:r>
      <w:r w:rsidR="00203B35">
        <w:instrText xml:space="preserve"> SEQ Figure \* ARABIC </w:instrText>
      </w:r>
      <w:r w:rsidR="00203B35">
        <w:fldChar w:fldCharType="separate"/>
      </w:r>
      <w:r w:rsidR="00DD297F">
        <w:rPr>
          <w:noProof/>
        </w:rPr>
        <w:t>3</w:t>
      </w:r>
      <w:r w:rsidR="00203B35">
        <w:rPr>
          <w:noProof/>
        </w:rPr>
        <w:fldChar w:fldCharType="end"/>
      </w:r>
      <w:bookmarkEnd w:id="18"/>
      <w:r w:rsidR="009B09C5">
        <w:tab/>
        <w:t>ActewAGL</w:t>
      </w:r>
      <w:r>
        <w:t xml:space="preserve"> – regulatory asset base (RAB) values</w:t>
      </w:r>
      <w:r w:rsidR="00B67447">
        <w:rPr>
          <w:rStyle w:val="FootnoteReference"/>
        </w:rPr>
        <w:footnoteReference w:id="5"/>
      </w:r>
    </w:p>
    <w:p w:rsidR="007A5FF8" w:rsidRDefault="00B8718A" w:rsidP="0022669A">
      <w:r w:rsidRPr="00B8718A">
        <w:rPr>
          <w:noProof/>
          <w:lang w:eastAsia="en-AU"/>
        </w:rPr>
        <w:drawing>
          <wp:inline distT="0" distB="0" distL="0" distR="0" wp14:anchorId="692E3BBC" wp14:editId="2DB68BEA">
            <wp:extent cx="5731510" cy="333093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330938"/>
                    </a:xfrm>
                    <a:prstGeom prst="rect">
                      <a:avLst/>
                    </a:prstGeom>
                    <a:noFill/>
                    <a:ln>
                      <a:noFill/>
                    </a:ln>
                  </pic:spPr>
                </pic:pic>
              </a:graphicData>
            </a:graphic>
          </wp:inline>
        </w:drawing>
      </w:r>
    </w:p>
    <w:p w:rsidR="001C118C" w:rsidRDefault="003F0410" w:rsidP="00915FF3">
      <w:pPr>
        <w:pStyle w:val="AERtablesource"/>
      </w:pPr>
      <w:r>
        <w:t>Source:</w:t>
      </w:r>
      <w:r>
        <w:tab/>
      </w:r>
      <w:r w:rsidR="00295546">
        <w:t xml:space="preserve">Actual RAB values sourced from the AER's approved 2009 roll forward model (RFM) and ActewAGL's submitted RFMs for distribution and transmission. AER forecast RAB in 2009 RAB values are sourced from the AER's 2009 final decision PTRM. </w:t>
      </w:r>
      <w:r>
        <w:t xml:space="preserve">Proposed RAB values are sourced from ActewAGL's submitted </w:t>
      </w:r>
      <w:r w:rsidR="00295546">
        <w:t>PTRMs for distribution and transmission.</w:t>
      </w:r>
      <w:r>
        <w:t xml:space="preserve"> </w:t>
      </w:r>
    </w:p>
    <w:p w:rsidR="001B1885" w:rsidRDefault="001B1885" w:rsidP="00CF3BF7">
      <w:pPr>
        <w:pStyle w:val="AERbodytext"/>
        <w:rPr>
          <w:rStyle w:val="AERbody"/>
        </w:rPr>
      </w:pPr>
      <w:bookmarkStart w:id="19" w:name="_Ref393115219"/>
    </w:p>
    <w:p w:rsidR="00CF3BF7" w:rsidRPr="00CF3BF7" w:rsidRDefault="00CF3BF7" w:rsidP="00CF3BF7">
      <w:pPr>
        <w:pStyle w:val="AERbodytext"/>
        <w:rPr>
          <w:rStyle w:val="AERbody"/>
        </w:rPr>
      </w:pPr>
      <w:r w:rsidRPr="00CF3BF7">
        <w:rPr>
          <w:rStyle w:val="AERbody"/>
        </w:rPr>
        <w:t xml:space="preserve">The size of ActewAGL's asset base is determined by its level of capex. </w:t>
      </w:r>
      <w:r w:rsidR="00DD297F">
        <w:rPr>
          <w:rStyle w:val="AERbody"/>
        </w:rPr>
        <w:fldChar w:fldCharType="begin"/>
      </w:r>
      <w:r w:rsidR="00DD297F">
        <w:rPr>
          <w:rStyle w:val="AERbody"/>
        </w:rPr>
        <w:instrText xml:space="preserve"> REF _Ref393866868 \h </w:instrText>
      </w:r>
      <w:r w:rsidR="00DD297F">
        <w:rPr>
          <w:rStyle w:val="AERbody"/>
        </w:rPr>
      </w:r>
      <w:r w:rsidR="00DD297F">
        <w:rPr>
          <w:rStyle w:val="AERbody"/>
        </w:rPr>
        <w:fldChar w:fldCharType="separate"/>
      </w:r>
      <w:r w:rsidR="00DD297F">
        <w:t xml:space="preserve">Figure </w:t>
      </w:r>
      <w:r w:rsidR="00DD297F">
        <w:rPr>
          <w:noProof/>
        </w:rPr>
        <w:t>4</w:t>
      </w:r>
      <w:r w:rsidR="00DD297F">
        <w:rPr>
          <w:rStyle w:val="AERbody"/>
        </w:rPr>
        <w:fldChar w:fldCharType="end"/>
      </w:r>
      <w:r w:rsidR="00DD297F">
        <w:rPr>
          <w:rStyle w:val="AERbody"/>
        </w:rPr>
        <w:t xml:space="preserve"> </w:t>
      </w:r>
      <w:r w:rsidRPr="00CF3BF7">
        <w:rPr>
          <w:rStyle w:val="AERbody"/>
        </w:rPr>
        <w:t>shows ActewAGL's approved and actual capex in the 2009</w:t>
      </w:r>
      <w:r w:rsidRPr="00CF3BF7">
        <w:rPr>
          <w:rStyle w:val="AERbody"/>
        </w:rPr>
        <w:softHyphen/>
        <w:t>–14 period, with its proposed capex for the 2014–19 period.</w:t>
      </w:r>
    </w:p>
    <w:p w:rsidR="00954ABD" w:rsidRDefault="00954ABD" w:rsidP="00954ABD">
      <w:pPr>
        <w:pStyle w:val="Caption"/>
      </w:pPr>
      <w:bookmarkStart w:id="20" w:name="_Ref393866868"/>
      <w:r>
        <w:lastRenderedPageBreak/>
        <w:t xml:space="preserve">Figure </w:t>
      </w:r>
      <w:r w:rsidR="00203B35">
        <w:fldChar w:fldCharType="begin"/>
      </w:r>
      <w:r w:rsidR="00203B35">
        <w:instrText xml:space="preserve"> SEQ Figure \* ARABIC </w:instrText>
      </w:r>
      <w:r w:rsidR="00203B35">
        <w:fldChar w:fldCharType="separate"/>
      </w:r>
      <w:r w:rsidR="00DD297F">
        <w:rPr>
          <w:noProof/>
        </w:rPr>
        <w:t>4</w:t>
      </w:r>
      <w:r w:rsidR="00203B35">
        <w:rPr>
          <w:noProof/>
        </w:rPr>
        <w:fldChar w:fldCharType="end"/>
      </w:r>
      <w:bookmarkEnd w:id="19"/>
      <w:bookmarkEnd w:id="20"/>
      <w:r>
        <w:tab/>
        <w:t>ActewAGL – capital expenditure</w:t>
      </w:r>
    </w:p>
    <w:p w:rsidR="00DD1D27" w:rsidRDefault="00954ABD" w:rsidP="00954ABD">
      <w:pPr>
        <w:pStyle w:val="AERbodytext"/>
      </w:pPr>
      <w:r w:rsidRPr="00954ABD">
        <w:rPr>
          <w:noProof/>
          <w:lang w:eastAsia="en-AU"/>
        </w:rPr>
        <w:drawing>
          <wp:inline distT="0" distB="0" distL="0" distR="0" wp14:anchorId="19BE80C6" wp14:editId="3C5EDD02">
            <wp:extent cx="5731510" cy="343890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438906"/>
                    </a:xfrm>
                    <a:prstGeom prst="rect">
                      <a:avLst/>
                    </a:prstGeom>
                    <a:noFill/>
                    <a:ln>
                      <a:noFill/>
                    </a:ln>
                  </pic:spPr>
                </pic:pic>
              </a:graphicData>
            </a:graphic>
          </wp:inline>
        </w:drawing>
      </w:r>
    </w:p>
    <w:p w:rsidR="00442EE8" w:rsidRDefault="00442EE8" w:rsidP="00442EE8">
      <w:pPr>
        <w:pStyle w:val="AERtablesource"/>
      </w:pPr>
      <w:r>
        <w:t>Source:</w:t>
      </w:r>
      <w:r>
        <w:tab/>
        <w:t xml:space="preserve">ActewAGL, </w:t>
      </w:r>
      <w:r w:rsidRPr="00442EE8">
        <w:rPr>
          <w:rStyle w:val="AERtextitalic"/>
        </w:rPr>
        <w:t>Regulatory proposal</w:t>
      </w:r>
      <w:r>
        <w:t>, tables</w:t>
      </w:r>
      <w:r w:rsidR="00CD485F">
        <w:t xml:space="preserve"> 7.1, 7.2 and 7.3.</w:t>
      </w:r>
    </w:p>
    <w:p w:rsidR="00657241" w:rsidRDefault="00657241" w:rsidP="00785055">
      <w:pPr>
        <w:pStyle w:val="AERtablesource"/>
      </w:pPr>
    </w:p>
    <w:p w:rsidR="007A5FF8" w:rsidRPr="00EE0174" w:rsidRDefault="00EE4322" w:rsidP="00EE0174">
      <w:pPr>
        <w:pStyle w:val="HeadingBoldBlue"/>
      </w:pPr>
      <w:r>
        <w:t>Demand has been falling</w:t>
      </w:r>
    </w:p>
    <w:p w:rsidR="0022669A" w:rsidRDefault="0022669A" w:rsidP="0022669A">
      <w:pPr>
        <w:rPr>
          <w:rStyle w:val="AERbody"/>
        </w:rPr>
      </w:pPr>
      <w:r w:rsidRPr="00EE0174">
        <w:rPr>
          <w:rStyle w:val="AERbody"/>
        </w:rPr>
        <w:t xml:space="preserve">Ongoing </w:t>
      </w:r>
      <w:r w:rsidR="003F559E">
        <w:rPr>
          <w:rStyle w:val="AERbody"/>
        </w:rPr>
        <w:t>falls in</w:t>
      </w:r>
      <w:r w:rsidR="003F559E" w:rsidRPr="00EE0174">
        <w:rPr>
          <w:rStyle w:val="AERbody"/>
        </w:rPr>
        <w:t xml:space="preserve"> </w:t>
      </w:r>
      <w:r w:rsidRPr="00EE0174">
        <w:rPr>
          <w:rStyle w:val="AERbody"/>
        </w:rPr>
        <w:t xml:space="preserve">consumption and slow growth in peak demand should </w:t>
      </w:r>
      <w:r w:rsidR="003F559E">
        <w:rPr>
          <w:rStyle w:val="AERbody"/>
        </w:rPr>
        <w:t>require</w:t>
      </w:r>
      <w:r w:rsidR="003F559E" w:rsidRPr="00EE0174">
        <w:rPr>
          <w:rStyle w:val="AERbody"/>
        </w:rPr>
        <w:t xml:space="preserve"> </w:t>
      </w:r>
      <w:r w:rsidRPr="00EE0174">
        <w:rPr>
          <w:rStyle w:val="AERbody"/>
        </w:rPr>
        <w:t xml:space="preserve">lower capex. </w:t>
      </w:r>
      <w:r w:rsidR="00C945D7">
        <w:rPr>
          <w:rStyle w:val="AERbody"/>
        </w:rPr>
        <w:t>ActewAGL is u</w:t>
      </w:r>
      <w:r w:rsidRPr="00EE0174">
        <w:rPr>
          <w:rStyle w:val="AERbody"/>
        </w:rPr>
        <w:t xml:space="preserve">nder less pressure to expand </w:t>
      </w:r>
      <w:r w:rsidR="00C945D7">
        <w:rPr>
          <w:rStyle w:val="AERbody"/>
        </w:rPr>
        <w:t xml:space="preserve">its </w:t>
      </w:r>
      <w:r w:rsidRPr="00EE0174">
        <w:rPr>
          <w:rStyle w:val="AERbody"/>
        </w:rPr>
        <w:t xml:space="preserve">network to meet the needs of additional consumers. There is also </w:t>
      </w:r>
      <w:r w:rsidR="003F559E">
        <w:rPr>
          <w:rStyle w:val="AERbody"/>
        </w:rPr>
        <w:t>lesser</w:t>
      </w:r>
      <w:r w:rsidRPr="00EE0174">
        <w:rPr>
          <w:rStyle w:val="AERbody"/>
        </w:rPr>
        <w:t xml:space="preserve"> need for investment to augment the network to maintain existing service levels.</w:t>
      </w:r>
      <w:r w:rsidR="002C02A8" w:rsidRPr="00594E87">
        <w:rPr>
          <w:rStyle w:val="AERsuperscript"/>
        </w:rPr>
        <w:footnoteReference w:id="6"/>
      </w:r>
      <w:r w:rsidRPr="00594E87">
        <w:rPr>
          <w:rStyle w:val="AERsuperscript"/>
        </w:rPr>
        <w:t xml:space="preserve"> </w:t>
      </w:r>
    </w:p>
    <w:p w:rsidR="00D34C97" w:rsidRPr="00EE0174" w:rsidRDefault="006F2519" w:rsidP="00D34C97">
      <w:pPr>
        <w:pStyle w:val="AERbodytext"/>
        <w:numPr>
          <w:ilvl w:val="0"/>
          <w:numId w:val="58"/>
        </w:numPr>
        <w:rPr>
          <w:rStyle w:val="AERbody"/>
        </w:rPr>
      </w:pPr>
      <w:r>
        <w:rPr>
          <w:rStyle w:val="AERbody"/>
        </w:rPr>
        <w:t xml:space="preserve">Actual demand has fallen since 2010–11 and </w:t>
      </w:r>
      <w:r w:rsidR="00916E44">
        <w:rPr>
          <w:rStyle w:val="AERbody"/>
        </w:rPr>
        <w:t>ActewAGL</w:t>
      </w:r>
      <w:r w:rsidR="00D34C97" w:rsidRPr="00EE0174">
        <w:rPr>
          <w:rStyle w:val="AERbody"/>
        </w:rPr>
        <w:t xml:space="preserve"> forecast</w:t>
      </w:r>
      <w:r>
        <w:rPr>
          <w:rStyle w:val="AERbody"/>
        </w:rPr>
        <w:t>s</w:t>
      </w:r>
      <w:r w:rsidR="00D34C97" w:rsidRPr="00EE0174">
        <w:rPr>
          <w:rStyle w:val="AERbody"/>
        </w:rPr>
        <w:t xml:space="preserve"> total electricity volumes to continue to fall over the first y</w:t>
      </w:r>
      <w:r w:rsidR="00916E44">
        <w:rPr>
          <w:rStyle w:val="AERbody"/>
        </w:rPr>
        <w:t xml:space="preserve">ears of the 2014–19 period. </w:t>
      </w:r>
      <w:r w:rsidR="00B307CA">
        <w:rPr>
          <w:rStyle w:val="AERbody"/>
        </w:rPr>
        <w:t>It submitted that these volume</w:t>
      </w:r>
      <w:r w:rsidR="008D50B5">
        <w:rPr>
          <w:rStyle w:val="AERbody"/>
        </w:rPr>
        <w:t xml:space="preserve"> reductions</w:t>
      </w:r>
      <w:r w:rsidR="00B307CA">
        <w:rPr>
          <w:rStyle w:val="AERbody"/>
        </w:rPr>
        <w:t xml:space="preserve"> are driven by a weakening ACT economy and labour market, resulting from Commonwealth Government cost cutting.</w:t>
      </w:r>
      <w:r w:rsidR="00B307CA">
        <w:rPr>
          <w:rStyle w:val="FootnoteReference"/>
        </w:rPr>
        <w:footnoteReference w:id="7"/>
      </w:r>
      <w:r w:rsidR="00B307CA">
        <w:rPr>
          <w:rStyle w:val="AERbody"/>
        </w:rPr>
        <w:t xml:space="preserve"> </w:t>
      </w:r>
      <w:r w:rsidR="00916E44">
        <w:rPr>
          <w:rStyle w:val="AERbody"/>
        </w:rPr>
        <w:t>It</w:t>
      </w:r>
      <w:r w:rsidR="00D34C97" w:rsidRPr="00EE0174">
        <w:rPr>
          <w:rStyle w:val="AERbody"/>
        </w:rPr>
        <w:t xml:space="preserve"> then expect</w:t>
      </w:r>
      <w:r w:rsidR="00916E44">
        <w:rPr>
          <w:rStyle w:val="AERbody"/>
        </w:rPr>
        <w:t>s</w:t>
      </w:r>
      <w:r w:rsidR="00D34C97" w:rsidRPr="00EE0174">
        <w:rPr>
          <w:rStyle w:val="AERbody"/>
        </w:rPr>
        <w:t xml:space="preserve"> to see </w:t>
      </w:r>
      <w:r w:rsidR="001324C8">
        <w:rPr>
          <w:rStyle w:val="AERbody"/>
        </w:rPr>
        <w:t xml:space="preserve">modest </w:t>
      </w:r>
      <w:r w:rsidR="00D34C97" w:rsidRPr="00EE0174">
        <w:rPr>
          <w:rStyle w:val="AERbody"/>
        </w:rPr>
        <w:t xml:space="preserve">year on year growth </w:t>
      </w:r>
      <w:r w:rsidR="00916E44">
        <w:rPr>
          <w:rStyle w:val="AERbody"/>
        </w:rPr>
        <w:t>over</w:t>
      </w:r>
      <w:r w:rsidR="00D34C97" w:rsidRPr="00EE0174">
        <w:rPr>
          <w:rStyle w:val="AERbody"/>
        </w:rPr>
        <w:t xml:space="preserve"> the </w:t>
      </w:r>
      <w:r w:rsidR="00916E44">
        <w:rPr>
          <w:rStyle w:val="AERbody"/>
        </w:rPr>
        <w:t>second half of</w:t>
      </w:r>
      <w:r w:rsidR="00D34C97" w:rsidRPr="00EE0174">
        <w:rPr>
          <w:rStyle w:val="AERbody"/>
        </w:rPr>
        <w:t xml:space="preserve"> the period</w:t>
      </w:r>
      <w:r w:rsidR="00A94324">
        <w:rPr>
          <w:rStyle w:val="AERbody"/>
        </w:rPr>
        <w:t>, supported by growth in the ACT economy from 2016–17</w:t>
      </w:r>
      <w:r w:rsidR="00D34C97" w:rsidRPr="00EE0174">
        <w:rPr>
          <w:rStyle w:val="AERbody"/>
        </w:rPr>
        <w:t xml:space="preserve">. </w:t>
      </w:r>
      <w:r w:rsidR="002829C2">
        <w:rPr>
          <w:rStyle w:val="AERbody"/>
        </w:rPr>
        <w:t>ActewAGL</w:t>
      </w:r>
      <w:r w:rsidR="00CA334C">
        <w:rPr>
          <w:rStyle w:val="AERbody"/>
        </w:rPr>
        <w:t>'s</w:t>
      </w:r>
      <w:r w:rsidR="001324C8">
        <w:rPr>
          <w:rStyle w:val="AERbody"/>
        </w:rPr>
        <w:t xml:space="preserve"> forecast</w:t>
      </w:r>
      <w:r w:rsidR="00A215F0">
        <w:rPr>
          <w:rStyle w:val="AERbody"/>
        </w:rPr>
        <w:t xml:space="preserve"> </w:t>
      </w:r>
      <w:r w:rsidR="001324C8">
        <w:rPr>
          <w:rStyle w:val="AERbody"/>
        </w:rPr>
        <w:t>for pe</w:t>
      </w:r>
      <w:r w:rsidR="004F516A">
        <w:rPr>
          <w:rStyle w:val="AERbody"/>
        </w:rPr>
        <w:t>ak demand is somewhat different.</w:t>
      </w:r>
      <w:r w:rsidR="001324C8">
        <w:rPr>
          <w:rStyle w:val="AERbody"/>
        </w:rPr>
        <w:t xml:space="preserve"> </w:t>
      </w:r>
      <w:r w:rsidR="004F516A">
        <w:rPr>
          <w:rStyle w:val="AERbody"/>
        </w:rPr>
        <w:t>I</w:t>
      </w:r>
      <w:r w:rsidR="001324C8">
        <w:rPr>
          <w:rStyle w:val="AERbody"/>
        </w:rPr>
        <w:t xml:space="preserve">t </w:t>
      </w:r>
      <w:r w:rsidR="00A215F0">
        <w:rPr>
          <w:rStyle w:val="AERbody"/>
        </w:rPr>
        <w:t>expect</w:t>
      </w:r>
      <w:r w:rsidR="00CA334C">
        <w:rPr>
          <w:rStyle w:val="AERbody"/>
        </w:rPr>
        <w:t>s</w:t>
      </w:r>
      <w:r w:rsidR="001324C8">
        <w:rPr>
          <w:rStyle w:val="AERbody"/>
        </w:rPr>
        <w:t xml:space="preserve"> a return to growth in</w:t>
      </w:r>
      <w:r w:rsidR="004F516A">
        <w:rPr>
          <w:rStyle w:val="AERbody"/>
        </w:rPr>
        <w:t xml:space="preserve"> peak demand in</w:t>
      </w:r>
      <w:r w:rsidR="001324C8">
        <w:rPr>
          <w:rStyle w:val="AERbody"/>
        </w:rPr>
        <w:t xml:space="preserve"> the 2014–15</w:t>
      </w:r>
      <w:r w:rsidR="00A215F0">
        <w:rPr>
          <w:rStyle w:val="AERbody"/>
        </w:rPr>
        <w:t xml:space="preserve"> year</w:t>
      </w:r>
      <w:r w:rsidR="004F516A">
        <w:rPr>
          <w:rStyle w:val="AERbody"/>
        </w:rPr>
        <w:t xml:space="preserve"> and continuing annual growth over the period</w:t>
      </w:r>
      <w:r w:rsidR="00A215F0">
        <w:rPr>
          <w:rStyle w:val="AERbody"/>
        </w:rPr>
        <w:t xml:space="preserve">. </w:t>
      </w:r>
    </w:p>
    <w:p w:rsidR="00F051BE" w:rsidRPr="00EE0174" w:rsidRDefault="00EC72C9" w:rsidP="0022669A">
      <w:pPr>
        <w:rPr>
          <w:rStyle w:val="AERbody"/>
        </w:rPr>
      </w:pPr>
      <w:r>
        <w:rPr>
          <w:rStyle w:val="AERbody"/>
        </w:rPr>
        <w:fldChar w:fldCharType="begin"/>
      </w:r>
      <w:r>
        <w:rPr>
          <w:rStyle w:val="AERbody"/>
        </w:rPr>
        <w:instrText xml:space="preserve"> REF _Ref392484310 \h </w:instrText>
      </w:r>
      <w:r>
        <w:rPr>
          <w:rStyle w:val="AERbody"/>
        </w:rPr>
      </w:r>
      <w:r>
        <w:rPr>
          <w:rStyle w:val="AERbody"/>
        </w:rPr>
        <w:fldChar w:fldCharType="separate"/>
      </w:r>
      <w:r w:rsidR="00DD297F">
        <w:t xml:space="preserve">Figure </w:t>
      </w:r>
      <w:r w:rsidR="00DD297F">
        <w:rPr>
          <w:noProof/>
        </w:rPr>
        <w:t>5</w:t>
      </w:r>
      <w:r>
        <w:rPr>
          <w:rStyle w:val="AERbody"/>
        </w:rPr>
        <w:fldChar w:fldCharType="end"/>
      </w:r>
      <w:r>
        <w:rPr>
          <w:rStyle w:val="AERbody"/>
        </w:rPr>
        <w:t xml:space="preserve"> </w:t>
      </w:r>
      <w:r w:rsidR="00F051BE" w:rsidRPr="00EE0174">
        <w:rPr>
          <w:rStyle w:val="AERbody"/>
        </w:rPr>
        <w:t>show</w:t>
      </w:r>
      <w:r w:rsidR="00EC25CE">
        <w:rPr>
          <w:rStyle w:val="AERbody"/>
        </w:rPr>
        <w:t>s</w:t>
      </w:r>
      <w:r w:rsidR="00F051BE" w:rsidRPr="00EE0174">
        <w:rPr>
          <w:rStyle w:val="AERbody"/>
        </w:rPr>
        <w:t xml:space="preserve"> </w:t>
      </w:r>
      <w:r w:rsidR="00535F99" w:rsidRPr="00EE0174">
        <w:rPr>
          <w:rStyle w:val="AERbody"/>
        </w:rPr>
        <w:t xml:space="preserve">total </w:t>
      </w:r>
      <w:r w:rsidR="00EB713C" w:rsidRPr="00EE0174">
        <w:rPr>
          <w:rStyle w:val="AERbody"/>
        </w:rPr>
        <w:t xml:space="preserve">annual </w:t>
      </w:r>
      <w:r w:rsidR="00535F99" w:rsidRPr="00EE0174">
        <w:rPr>
          <w:rStyle w:val="AERbody"/>
        </w:rPr>
        <w:t>electricity volumes supplied by</w:t>
      </w:r>
      <w:r w:rsidR="00EC25CE">
        <w:rPr>
          <w:rStyle w:val="AERbody"/>
        </w:rPr>
        <w:t xml:space="preserve"> ActewAGL.</w:t>
      </w:r>
      <w:r w:rsidR="00535F99" w:rsidRPr="00EE0174">
        <w:rPr>
          <w:rStyle w:val="AERbody"/>
        </w:rPr>
        <w:t xml:space="preserve"> The </w:t>
      </w:r>
      <w:r w:rsidR="0072011C">
        <w:rPr>
          <w:rStyle w:val="AERbody"/>
        </w:rPr>
        <w:t xml:space="preserve">dashed </w:t>
      </w:r>
      <w:r w:rsidR="00535F99" w:rsidRPr="00EE0174">
        <w:rPr>
          <w:rStyle w:val="AERbody"/>
        </w:rPr>
        <w:t xml:space="preserve">green </w:t>
      </w:r>
      <w:r w:rsidR="00EC25CE">
        <w:rPr>
          <w:rStyle w:val="AERbody"/>
        </w:rPr>
        <w:t xml:space="preserve">line </w:t>
      </w:r>
      <w:r w:rsidR="00535F99" w:rsidRPr="00EE0174">
        <w:rPr>
          <w:rStyle w:val="AERbody"/>
        </w:rPr>
        <w:t>represent</w:t>
      </w:r>
      <w:r w:rsidR="00EC25CE">
        <w:rPr>
          <w:rStyle w:val="AERbody"/>
        </w:rPr>
        <w:t>s</w:t>
      </w:r>
      <w:r w:rsidR="00535F99" w:rsidRPr="00EE0174">
        <w:rPr>
          <w:rStyle w:val="AERbody"/>
        </w:rPr>
        <w:t xml:space="preserve"> </w:t>
      </w:r>
      <w:r w:rsidR="00EC25CE">
        <w:rPr>
          <w:rStyle w:val="AERbody"/>
        </w:rPr>
        <w:t>ActewAGL's forecast</w:t>
      </w:r>
      <w:r w:rsidR="00535F99" w:rsidRPr="00EE0174">
        <w:rPr>
          <w:rStyle w:val="AERbody"/>
        </w:rPr>
        <w:t xml:space="preserve"> for the 2014–19 period. </w:t>
      </w:r>
      <w:r w:rsidR="00F20D89">
        <w:rPr>
          <w:rStyle w:val="AERbody"/>
        </w:rPr>
        <w:t>ActewAGL's p</w:t>
      </w:r>
      <w:r w:rsidR="00EC25CE">
        <w:rPr>
          <w:rStyle w:val="AERbody"/>
        </w:rPr>
        <w:t>eak demand forecast is</w:t>
      </w:r>
      <w:r w:rsidR="00367DB7">
        <w:rPr>
          <w:rStyle w:val="AERbody"/>
        </w:rPr>
        <w:t xml:space="preserve"> shown in </w:t>
      </w:r>
      <w:r w:rsidR="00E525A5">
        <w:rPr>
          <w:rStyle w:val="AERbody"/>
        </w:rPr>
        <w:fldChar w:fldCharType="begin"/>
      </w:r>
      <w:r w:rsidR="00E525A5">
        <w:rPr>
          <w:rStyle w:val="AERbody"/>
        </w:rPr>
        <w:instrText xml:space="preserve"> REF _Ref392582959 \h </w:instrText>
      </w:r>
      <w:r w:rsidR="00E525A5">
        <w:rPr>
          <w:rStyle w:val="AERbody"/>
        </w:rPr>
      </w:r>
      <w:r w:rsidR="00E525A5">
        <w:rPr>
          <w:rStyle w:val="AERbody"/>
        </w:rPr>
        <w:fldChar w:fldCharType="separate"/>
      </w:r>
      <w:r w:rsidR="00ED3A28">
        <w:t>f</w:t>
      </w:r>
      <w:r w:rsidR="00DD297F">
        <w:t xml:space="preserve">igure </w:t>
      </w:r>
      <w:r w:rsidR="00DD297F">
        <w:rPr>
          <w:noProof/>
        </w:rPr>
        <w:t>9</w:t>
      </w:r>
      <w:r w:rsidR="00E525A5">
        <w:rPr>
          <w:rStyle w:val="AERbody"/>
        </w:rPr>
        <w:fldChar w:fldCharType="end"/>
      </w:r>
      <w:r w:rsidR="00BA3B2F">
        <w:rPr>
          <w:rStyle w:val="AERbody"/>
        </w:rPr>
        <w:t xml:space="preserve"> </w:t>
      </w:r>
      <w:r w:rsidR="00367DB7">
        <w:rPr>
          <w:rStyle w:val="AERbody"/>
        </w:rPr>
        <w:t xml:space="preserve">in attachment 2. </w:t>
      </w:r>
    </w:p>
    <w:p w:rsidR="00F10332" w:rsidRDefault="00F10332" w:rsidP="00F10332">
      <w:pPr>
        <w:pStyle w:val="Caption"/>
      </w:pPr>
      <w:bookmarkStart w:id="21" w:name="_Ref392484310"/>
      <w:r>
        <w:lastRenderedPageBreak/>
        <w:t xml:space="preserve">Figure </w:t>
      </w:r>
      <w:r w:rsidR="00203B35">
        <w:fldChar w:fldCharType="begin"/>
      </w:r>
      <w:r w:rsidR="00203B35">
        <w:instrText xml:space="preserve"> SEQ Figure \* ARABIC </w:instrText>
      </w:r>
      <w:r w:rsidR="00203B35">
        <w:fldChar w:fldCharType="separate"/>
      </w:r>
      <w:r w:rsidR="00DD297F">
        <w:rPr>
          <w:noProof/>
        </w:rPr>
        <w:t>5</w:t>
      </w:r>
      <w:r w:rsidR="00203B35">
        <w:rPr>
          <w:noProof/>
        </w:rPr>
        <w:fldChar w:fldCharType="end"/>
      </w:r>
      <w:bookmarkEnd w:id="21"/>
      <w:r w:rsidR="0081108C">
        <w:tab/>
        <w:t>ActewAGL</w:t>
      </w:r>
      <w:r>
        <w:t xml:space="preserve"> – electricity volumes</w:t>
      </w:r>
    </w:p>
    <w:p w:rsidR="004A1D5E" w:rsidRDefault="00524C50" w:rsidP="0022669A">
      <w:r w:rsidRPr="00524C50">
        <w:rPr>
          <w:noProof/>
          <w:lang w:eastAsia="en-AU"/>
        </w:rPr>
        <w:drawing>
          <wp:inline distT="0" distB="0" distL="0" distR="0" wp14:anchorId="6CE65173" wp14:editId="5ACF9DA0">
            <wp:extent cx="5731510" cy="30032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003227"/>
                    </a:xfrm>
                    <a:prstGeom prst="rect">
                      <a:avLst/>
                    </a:prstGeom>
                    <a:noFill/>
                    <a:ln>
                      <a:noFill/>
                    </a:ln>
                  </pic:spPr>
                </pic:pic>
              </a:graphicData>
            </a:graphic>
          </wp:inline>
        </w:drawing>
      </w:r>
    </w:p>
    <w:p w:rsidR="007F336B" w:rsidRDefault="007F336B" w:rsidP="00915FF3">
      <w:pPr>
        <w:pStyle w:val="AERtablesource"/>
      </w:pPr>
      <w:r>
        <w:t>Source:</w:t>
      </w:r>
      <w:r>
        <w:tab/>
      </w:r>
      <w:r w:rsidR="00DE4C88">
        <w:t>ActewAGL forecast</w:t>
      </w:r>
      <w:r w:rsidR="005D25A0">
        <w:t xml:space="preserve"> volumes</w:t>
      </w:r>
      <w:r w:rsidR="00DE4C88">
        <w:t xml:space="preserve"> </w:t>
      </w:r>
      <w:r w:rsidR="000A1A55">
        <w:t xml:space="preserve">are </w:t>
      </w:r>
      <w:r w:rsidR="00DE4C88">
        <w:t xml:space="preserve">from its </w:t>
      </w:r>
      <w:r w:rsidR="00DE4C88" w:rsidRPr="00BC5689">
        <w:rPr>
          <w:rStyle w:val="AERtextitalic"/>
        </w:rPr>
        <w:t>Regulatory proposa</w:t>
      </w:r>
      <w:r w:rsidR="0092463B" w:rsidRPr="00BC5689">
        <w:rPr>
          <w:rStyle w:val="AERtextitalic"/>
        </w:rPr>
        <w:t>l</w:t>
      </w:r>
      <w:r w:rsidR="0092463B">
        <w:t>, May 2014, table 5.6.</w:t>
      </w:r>
      <w:r w:rsidR="00DE4C88">
        <w:t xml:space="preserve"> </w:t>
      </w:r>
      <w:r w:rsidR="00FE2E42">
        <w:t>While 2013–14 is the final year of the previous period, actual volumes for that year are not yet available. ActewAGL submitted</w:t>
      </w:r>
      <w:r w:rsidR="002B0F56">
        <w:t xml:space="preserve"> the</w:t>
      </w:r>
      <w:r w:rsidR="00FE2E42">
        <w:t xml:space="preserve"> </w:t>
      </w:r>
      <w:r w:rsidR="002B0F56">
        <w:t xml:space="preserve">forecast/estimated </w:t>
      </w:r>
      <w:r w:rsidR="00FE2E42">
        <w:t xml:space="preserve">2013–14 </w:t>
      </w:r>
      <w:r w:rsidR="002B0F56">
        <w:t xml:space="preserve">value </w:t>
      </w:r>
      <w:r w:rsidR="00FE2E42">
        <w:t xml:space="preserve">with its proposed </w:t>
      </w:r>
      <w:r w:rsidR="00F259EB">
        <w:t>post tax revenue model (</w:t>
      </w:r>
      <w:r w:rsidR="00FE2E42">
        <w:t>PTRM</w:t>
      </w:r>
      <w:r w:rsidR="00F259EB">
        <w:t>)</w:t>
      </w:r>
      <w:r w:rsidR="00FE2E42">
        <w:t xml:space="preserve">. </w:t>
      </w:r>
      <w:r w:rsidR="005D25A0">
        <w:t xml:space="preserve">Historical approved volumes </w:t>
      </w:r>
      <w:r w:rsidR="00FE2E42">
        <w:t xml:space="preserve">are </w:t>
      </w:r>
      <w:r w:rsidR="005D25A0">
        <w:t>from the PTRM approved by the AER for the 2009–1</w:t>
      </w:r>
      <w:r w:rsidR="000851F1">
        <w:t>4</w:t>
      </w:r>
      <w:r w:rsidR="005D25A0">
        <w:t xml:space="preserve"> period. Historical actual volumes </w:t>
      </w:r>
      <w:r w:rsidR="00226ACC">
        <w:t xml:space="preserve">are </w:t>
      </w:r>
      <w:r w:rsidR="005D25A0">
        <w:t xml:space="preserve">from ActewAGL annually submitted regulatory information notices (RINs). </w:t>
      </w:r>
    </w:p>
    <w:p w:rsidR="0022669A" w:rsidRPr="0022669A" w:rsidRDefault="00C30ADA" w:rsidP="00C80C46">
      <w:pPr>
        <w:pStyle w:val="HeadingBoldBlue"/>
      </w:pPr>
      <w:r>
        <w:t>Regulated rate of return</w:t>
      </w:r>
    </w:p>
    <w:p w:rsidR="00FA0998" w:rsidRDefault="002C2BAA" w:rsidP="0022669A">
      <w:r>
        <w:t>A</w:t>
      </w:r>
      <w:r w:rsidR="00E64AD7">
        <w:t xml:space="preserve"> distributor's</w:t>
      </w:r>
      <w:r w:rsidR="00E32E2D">
        <w:t xml:space="preserve"> </w:t>
      </w:r>
      <w:r w:rsidR="00816A7A">
        <w:t>regu</w:t>
      </w:r>
      <w:r w:rsidR="0068497C">
        <w:t>l</w:t>
      </w:r>
      <w:r w:rsidR="00816A7A">
        <w:t>a</w:t>
      </w:r>
      <w:r w:rsidR="0068497C">
        <w:t xml:space="preserve">ted </w:t>
      </w:r>
      <w:r w:rsidR="00E32E2D">
        <w:t xml:space="preserve">rate of return is </w:t>
      </w:r>
      <w:r>
        <w:t>what we calculate it</w:t>
      </w:r>
      <w:r w:rsidR="00816A7A">
        <w:t xml:space="preserve"> need</w:t>
      </w:r>
      <w:r>
        <w:t>s</w:t>
      </w:r>
      <w:r w:rsidR="00816A7A">
        <w:t xml:space="preserve"> to adequately fund </w:t>
      </w:r>
      <w:r w:rsidR="00F74DCA">
        <w:t xml:space="preserve">its </w:t>
      </w:r>
      <w:r w:rsidR="00816A7A">
        <w:t>investments</w:t>
      </w:r>
      <w:r w:rsidR="00E32E2D">
        <w:t xml:space="preserve">. </w:t>
      </w:r>
      <w:r w:rsidR="0062445B">
        <w:t xml:space="preserve">After extensive consultation, we have developed a guideline </w:t>
      </w:r>
      <w:r w:rsidR="00B876D2">
        <w:t>that sets out our intended approach for</w:t>
      </w:r>
      <w:r w:rsidR="0062445B">
        <w:t xml:space="preserve"> determin</w:t>
      </w:r>
      <w:r w:rsidR="00B876D2">
        <w:t>ing</w:t>
      </w:r>
      <w:r w:rsidR="0062445B">
        <w:t xml:space="preserve"> the rate of return.</w:t>
      </w:r>
      <w:r w:rsidR="0062445B">
        <w:rPr>
          <w:rStyle w:val="FootnoteReference"/>
        </w:rPr>
        <w:footnoteReference w:id="8"/>
      </w:r>
      <w:r w:rsidR="0062445B">
        <w:t xml:space="preserve"> </w:t>
      </w:r>
      <w:r>
        <w:t>ActewAGL has</w:t>
      </w:r>
      <w:r w:rsidR="0022669A" w:rsidRPr="00B00DE6">
        <w:t xml:space="preserve"> </w:t>
      </w:r>
      <w:r w:rsidR="005D3D0D">
        <w:t>proposed</w:t>
      </w:r>
      <w:r w:rsidR="005D3D0D" w:rsidRPr="00B00DE6">
        <w:t xml:space="preserve"> </w:t>
      </w:r>
      <w:r w:rsidR="0022669A" w:rsidRPr="00B00DE6">
        <w:t xml:space="preserve">methods other than those </w:t>
      </w:r>
      <w:r w:rsidR="0022669A">
        <w:t>set out</w:t>
      </w:r>
      <w:r w:rsidR="0022669A" w:rsidRPr="00B00DE6">
        <w:t xml:space="preserve"> by our guideline.</w:t>
      </w:r>
      <w:r w:rsidR="0022669A">
        <w:t xml:space="preserve"> </w:t>
      </w:r>
      <w:r w:rsidR="002368D4">
        <w:t>T</w:t>
      </w:r>
      <w:r w:rsidR="00CD7C96" w:rsidRPr="00B00DE6">
        <w:t xml:space="preserve">he rate of return </w:t>
      </w:r>
      <w:r w:rsidR="0066625F" w:rsidRPr="00B00DE6">
        <w:t xml:space="preserve">proposed by </w:t>
      </w:r>
      <w:r w:rsidR="0066625F">
        <w:t>ActewAGL is</w:t>
      </w:r>
      <w:r>
        <w:t xml:space="preserve"> 8.99</w:t>
      </w:r>
      <w:r w:rsidR="00F259EB">
        <w:t xml:space="preserve"> per cent</w:t>
      </w:r>
      <w:r w:rsidR="00CD7C96">
        <w:t xml:space="preserve"> </w:t>
      </w:r>
      <w:r w:rsidR="0066625F">
        <w:t xml:space="preserve">whereas for the </w:t>
      </w:r>
      <w:r w:rsidR="00CD7C96" w:rsidRPr="00B00DE6">
        <w:t>2009–14 period</w:t>
      </w:r>
      <w:r w:rsidR="002368D4">
        <w:t xml:space="preserve"> </w:t>
      </w:r>
      <w:r w:rsidR="00374892">
        <w:t>its</w:t>
      </w:r>
      <w:r w:rsidR="0066625F">
        <w:t xml:space="preserve"> rate of return was </w:t>
      </w:r>
      <w:r w:rsidR="002368D4">
        <w:t>8.79</w:t>
      </w:r>
      <w:r w:rsidR="00F259EB">
        <w:t xml:space="preserve"> per cent</w:t>
      </w:r>
      <w:r w:rsidR="001A0F4D">
        <w:t>.</w:t>
      </w:r>
      <w:r w:rsidR="00CD7C96" w:rsidRPr="00B00DE6">
        <w:t xml:space="preserve"> </w:t>
      </w:r>
      <w:r w:rsidR="001A0F4D">
        <w:t>I</w:t>
      </w:r>
      <w:r w:rsidR="00CD7C96">
        <w:t>f we applied the approach set out in our guideline it may lead to a lower rate of return than that</w:t>
      </w:r>
      <w:r w:rsidR="0033028D">
        <w:t xml:space="preserve"> </w:t>
      </w:r>
      <w:r w:rsidR="00CD7C96">
        <w:t xml:space="preserve">being proposed by </w:t>
      </w:r>
      <w:r w:rsidR="001A0F4D">
        <w:t>ActewAGL</w:t>
      </w:r>
      <w:r w:rsidR="00CD7C96">
        <w:t>.</w:t>
      </w:r>
      <w:r w:rsidR="00CD7C96" w:rsidRPr="00B00DE6">
        <w:t xml:space="preserve"> </w:t>
      </w:r>
    </w:p>
    <w:p w:rsidR="0022669A" w:rsidRDefault="00D25BB9" w:rsidP="0022669A">
      <w:r>
        <w:t>We are interested in</w:t>
      </w:r>
      <w:r w:rsidR="003B0DEA">
        <w:t xml:space="preserve"> your</w:t>
      </w:r>
      <w:r>
        <w:t xml:space="preserve"> views about wh</w:t>
      </w:r>
      <w:r w:rsidR="006410D0">
        <w:t>at</w:t>
      </w:r>
      <w:r>
        <w:t xml:space="preserve"> approach </w:t>
      </w:r>
      <w:r w:rsidR="006410D0">
        <w:t xml:space="preserve">would </w:t>
      </w:r>
      <w:r>
        <w:t>best achieve the rate of return objective—to provide a rate of return commensurate with a benchmark efficient entity with a similar risk profile to a distributor.</w:t>
      </w:r>
      <w:r w:rsidR="00CE47D4">
        <w:rPr>
          <w:rStyle w:val="FootnoteReference"/>
        </w:rPr>
        <w:footnoteReference w:id="9"/>
      </w:r>
      <w:r>
        <w:t xml:space="preserve"> </w:t>
      </w:r>
      <w:r w:rsidR="0083401B">
        <w:t xml:space="preserve">While we consider our guideline </w:t>
      </w:r>
      <w:r w:rsidR="002A33B5">
        <w:t>sets out an</w:t>
      </w:r>
      <w:r w:rsidR="0083401B">
        <w:t xml:space="preserve"> appropriate</w:t>
      </w:r>
      <w:r w:rsidR="002A33B5">
        <w:t xml:space="preserve"> approach</w:t>
      </w:r>
      <w:r w:rsidR="0083401B">
        <w:t xml:space="preserve">, we </w:t>
      </w:r>
      <w:r w:rsidR="0080484B">
        <w:t>will consider</w:t>
      </w:r>
      <w:r w:rsidR="0083401B">
        <w:t xml:space="preserve"> submissions proposing alternative approaches to both our guideline and </w:t>
      </w:r>
      <w:r w:rsidR="00932B7C">
        <w:t>ActewAGL's</w:t>
      </w:r>
      <w:r w:rsidR="0083401B">
        <w:t xml:space="preserve"> </w:t>
      </w:r>
      <w:r w:rsidR="00932B7C">
        <w:t>proposal</w:t>
      </w:r>
      <w:r w:rsidR="0083401B">
        <w:t>.</w:t>
      </w:r>
    </w:p>
    <w:p w:rsidR="007A0632" w:rsidRDefault="007A0632" w:rsidP="007A0632">
      <w:pPr>
        <w:pStyle w:val="HeadingBoldBlue"/>
      </w:pPr>
      <w:r>
        <w:t xml:space="preserve">How do the different components </w:t>
      </w:r>
      <w:r w:rsidR="00BD0356">
        <w:t xml:space="preserve">of revenue </w:t>
      </w:r>
      <w:r>
        <w:t>interrelate?</w:t>
      </w:r>
    </w:p>
    <w:p w:rsidR="007A0632" w:rsidRPr="002914D2" w:rsidRDefault="007A0632" w:rsidP="007A0632">
      <w:pPr>
        <w:numPr>
          <w:ilvl w:val="0"/>
          <w:numId w:val="13"/>
        </w:numPr>
        <w:rPr>
          <w:rStyle w:val="AERbody"/>
        </w:rPr>
      </w:pPr>
      <w:r w:rsidRPr="002914D2">
        <w:rPr>
          <w:rStyle w:val="AERbody"/>
        </w:rPr>
        <w:t xml:space="preserve">The building block components of </w:t>
      </w:r>
      <w:r w:rsidR="00AC36F9">
        <w:rPr>
          <w:rStyle w:val="AERbody"/>
        </w:rPr>
        <w:t>ActewAGL's total revenue proposal</w:t>
      </w:r>
      <w:r w:rsidRPr="002914D2">
        <w:rPr>
          <w:rStyle w:val="AERbody"/>
        </w:rPr>
        <w:t xml:space="preserve">, compared to </w:t>
      </w:r>
      <w:r w:rsidR="00AC36F9">
        <w:rPr>
          <w:rStyle w:val="AERbody"/>
        </w:rPr>
        <w:t xml:space="preserve">its </w:t>
      </w:r>
      <w:r w:rsidRPr="002914D2">
        <w:rPr>
          <w:rStyle w:val="AERbody"/>
        </w:rPr>
        <w:t xml:space="preserve">approved revenues for the 2009–14 period, are shown in </w:t>
      </w:r>
      <w:r w:rsidR="00AC36F9">
        <w:rPr>
          <w:rStyle w:val="AERbody"/>
        </w:rPr>
        <w:fldChar w:fldCharType="begin"/>
      </w:r>
      <w:r w:rsidR="00AC36F9">
        <w:rPr>
          <w:rStyle w:val="AERbody"/>
        </w:rPr>
        <w:instrText xml:space="preserve"> REF _Ref393098546 \h </w:instrText>
      </w:r>
      <w:r w:rsidR="00AC36F9">
        <w:rPr>
          <w:rStyle w:val="AERbody"/>
        </w:rPr>
      </w:r>
      <w:r w:rsidR="00AC36F9">
        <w:rPr>
          <w:rStyle w:val="AERbody"/>
        </w:rPr>
        <w:fldChar w:fldCharType="separate"/>
      </w:r>
      <w:r w:rsidR="00DD297F">
        <w:t xml:space="preserve">Figure </w:t>
      </w:r>
      <w:r w:rsidR="00DD297F">
        <w:rPr>
          <w:noProof/>
        </w:rPr>
        <w:t>6</w:t>
      </w:r>
      <w:r w:rsidR="00AC36F9">
        <w:rPr>
          <w:rStyle w:val="AERbody"/>
        </w:rPr>
        <w:fldChar w:fldCharType="end"/>
      </w:r>
      <w:r w:rsidR="00AC36F9">
        <w:rPr>
          <w:rStyle w:val="AERbody"/>
        </w:rPr>
        <w:t xml:space="preserve"> </w:t>
      </w:r>
      <w:r w:rsidRPr="002914D2">
        <w:rPr>
          <w:rStyle w:val="AERbody"/>
        </w:rPr>
        <w:t>below. Shown are:</w:t>
      </w:r>
    </w:p>
    <w:p w:rsidR="007A0632" w:rsidRPr="007A0632" w:rsidRDefault="00BA6EE5" w:rsidP="007A0632">
      <w:pPr>
        <w:pStyle w:val="AERbulletlistfirststyle"/>
      </w:pPr>
      <w:r>
        <w:t>t</w:t>
      </w:r>
      <w:r w:rsidR="007A0632" w:rsidRPr="007A0632">
        <w:t>he return on capital—determined by the size/value of a distributor</w:t>
      </w:r>
      <w:r w:rsidR="00F259EB">
        <w:t>'</w:t>
      </w:r>
      <w:r w:rsidR="007A0632" w:rsidRPr="007A0632">
        <w:t>s asset base, mu</w:t>
      </w:r>
      <w:r w:rsidR="00070053">
        <w:t>ltiplied by its rate of return</w:t>
      </w:r>
    </w:p>
    <w:p w:rsidR="007A0632" w:rsidRPr="007A0632" w:rsidRDefault="00BA6EE5" w:rsidP="007A0632">
      <w:pPr>
        <w:pStyle w:val="AERbulletlistfirststyle"/>
      </w:pPr>
      <w:r>
        <w:t>t</w:t>
      </w:r>
      <w:r w:rsidR="007A0632" w:rsidRPr="007A0632">
        <w:t>he return of capita</w:t>
      </w:r>
      <w:r w:rsidR="007329F8">
        <w:t>l (depreciation)</w:t>
      </w:r>
      <w:r w:rsidR="007A0632" w:rsidRPr="007A0632">
        <w:t xml:space="preserve">—an allowance for asset depreciation </w:t>
      </w:r>
    </w:p>
    <w:p w:rsidR="007A0632" w:rsidRPr="007A0632" w:rsidRDefault="007A0632" w:rsidP="007A0632">
      <w:pPr>
        <w:pStyle w:val="AERbulletlistfirststyle"/>
      </w:pPr>
      <w:r w:rsidRPr="007A0632">
        <w:lastRenderedPageBreak/>
        <w:t>opex—an allowance for the costs of operating the network</w:t>
      </w:r>
    </w:p>
    <w:p w:rsidR="007A0632" w:rsidRPr="007A0632" w:rsidRDefault="00BA6EE5" w:rsidP="007A0632">
      <w:pPr>
        <w:pStyle w:val="AERbulletlistfirststyle"/>
      </w:pPr>
      <w:r>
        <w:t>t</w:t>
      </w:r>
      <w:r w:rsidR="007A0632" w:rsidRPr="007A0632">
        <w:t xml:space="preserve">ax—an allowance to cover the distributors' </w:t>
      </w:r>
      <w:r w:rsidR="00D0597A">
        <w:t xml:space="preserve">benchmark </w:t>
      </w:r>
      <w:r w:rsidR="007A0632" w:rsidRPr="007A0632">
        <w:t>tax liability.</w:t>
      </w:r>
    </w:p>
    <w:p w:rsidR="007A0632" w:rsidRPr="002914D2" w:rsidRDefault="007A0632" w:rsidP="007A0632">
      <w:pPr>
        <w:numPr>
          <w:ilvl w:val="0"/>
          <w:numId w:val="13"/>
        </w:numPr>
        <w:rPr>
          <w:rStyle w:val="AERbody"/>
        </w:rPr>
      </w:pPr>
      <w:r w:rsidRPr="002914D2">
        <w:rPr>
          <w:rStyle w:val="AERbody"/>
        </w:rPr>
        <w:t xml:space="preserve">Our assessment of </w:t>
      </w:r>
      <w:r w:rsidR="00394570">
        <w:rPr>
          <w:rStyle w:val="AERbody"/>
        </w:rPr>
        <w:t>ActewAGL's</w:t>
      </w:r>
      <w:r w:rsidRPr="002914D2">
        <w:rPr>
          <w:rStyle w:val="AERbody"/>
        </w:rPr>
        <w:t xml:space="preserve"> proposal will consider each of the building block</w:t>
      </w:r>
      <w:r w:rsidR="00513676">
        <w:rPr>
          <w:rStyle w:val="AERbody"/>
        </w:rPr>
        <w:t>s</w:t>
      </w:r>
      <w:r w:rsidRPr="002914D2">
        <w:rPr>
          <w:rStyle w:val="AERbody"/>
        </w:rPr>
        <w:t xml:space="preserve">. However, we must decide </w:t>
      </w:r>
      <w:r w:rsidR="00394570">
        <w:rPr>
          <w:rStyle w:val="AERbody"/>
        </w:rPr>
        <w:t>its</w:t>
      </w:r>
      <w:r w:rsidRPr="002914D2">
        <w:rPr>
          <w:rStyle w:val="AERbody"/>
        </w:rPr>
        <w:t xml:space="preserve"> revenue as a whole. This leads us to consider the interrelationships between the components. </w:t>
      </w:r>
      <w:r w:rsidR="00610C7F">
        <w:rPr>
          <w:rStyle w:val="AERbody"/>
        </w:rPr>
        <w:t>In addition, t</w:t>
      </w:r>
      <w:r w:rsidRPr="002914D2">
        <w:rPr>
          <w:rStyle w:val="AERbody"/>
        </w:rPr>
        <w:t xml:space="preserve">he </w:t>
      </w:r>
      <w:r w:rsidR="00610C7F">
        <w:rPr>
          <w:rStyle w:val="AERbody"/>
        </w:rPr>
        <w:t>National Electricity Law (</w:t>
      </w:r>
      <w:r w:rsidRPr="002914D2">
        <w:rPr>
          <w:rStyle w:val="AERbody"/>
        </w:rPr>
        <w:t>NEL</w:t>
      </w:r>
      <w:r w:rsidR="00610C7F">
        <w:rPr>
          <w:rStyle w:val="AERbody"/>
        </w:rPr>
        <w:t>)</w:t>
      </w:r>
      <w:r w:rsidRPr="002914D2">
        <w:rPr>
          <w:rStyle w:val="AERbody"/>
        </w:rPr>
        <w:t xml:space="preserve"> requires us to describe how the components of our decision relate to each other.</w:t>
      </w:r>
      <w:r w:rsidR="00610C7F" w:rsidRPr="00610C7F">
        <w:t xml:space="preserve"> </w:t>
      </w:r>
      <w:r w:rsidR="00610C7F" w:rsidRPr="00610C7F">
        <w:rPr>
          <w:rStyle w:val="AERsuperscript"/>
        </w:rPr>
        <w:footnoteReference w:id="10"/>
      </w:r>
      <w:r w:rsidR="00610C7F" w:rsidRPr="00610C7F">
        <w:t xml:space="preserve"> </w:t>
      </w:r>
      <w:r w:rsidRPr="002914D2">
        <w:rPr>
          <w:rStyle w:val="AERbody"/>
        </w:rPr>
        <w:t xml:space="preserve">We must also describe how we have taken those interrelationships into account. </w:t>
      </w:r>
    </w:p>
    <w:p w:rsidR="007A0632" w:rsidRPr="002914D2" w:rsidRDefault="007A0632" w:rsidP="007A0632">
      <w:pPr>
        <w:numPr>
          <w:ilvl w:val="0"/>
          <w:numId w:val="13"/>
        </w:numPr>
        <w:rPr>
          <w:rStyle w:val="AERbody"/>
        </w:rPr>
      </w:pPr>
      <w:r w:rsidRPr="002914D2">
        <w:rPr>
          <w:rStyle w:val="AERbody"/>
        </w:rPr>
        <w:t>We are interested in your views on how the building block components, including capex, opex and the rate of return, relate to each other. What trade-offs do you consider are possible. What dependencies are there</w:t>
      </w:r>
      <w:r w:rsidR="007A5C5C">
        <w:rPr>
          <w:rStyle w:val="AERbody"/>
        </w:rPr>
        <w:t>.</w:t>
      </w:r>
      <w:r w:rsidRPr="002914D2">
        <w:rPr>
          <w:rStyle w:val="AERbody"/>
        </w:rPr>
        <w:t xml:space="preserve"> We discuss this further in attachment 5 to this paper.</w:t>
      </w:r>
    </w:p>
    <w:p w:rsidR="00933960" w:rsidRDefault="00933960" w:rsidP="00933960">
      <w:pPr>
        <w:pStyle w:val="Caption"/>
      </w:pPr>
      <w:bookmarkStart w:id="22" w:name="_Ref391640787"/>
      <w:bookmarkStart w:id="23" w:name="_Ref393098546"/>
      <w:r>
        <w:t xml:space="preserve">Figure </w:t>
      </w:r>
      <w:bookmarkEnd w:id="22"/>
      <w:r w:rsidR="00FD70A6">
        <w:fldChar w:fldCharType="begin"/>
      </w:r>
      <w:r w:rsidR="00FD70A6">
        <w:instrText xml:space="preserve"> SEQ Figure \* ARABIC </w:instrText>
      </w:r>
      <w:r w:rsidR="00FD70A6">
        <w:fldChar w:fldCharType="separate"/>
      </w:r>
      <w:r w:rsidR="00DD297F">
        <w:rPr>
          <w:noProof/>
        </w:rPr>
        <w:t>6</w:t>
      </w:r>
      <w:r w:rsidR="00FD70A6">
        <w:fldChar w:fldCharType="end"/>
      </w:r>
      <w:bookmarkEnd w:id="23"/>
      <w:r>
        <w:tab/>
        <w:t>Building block comparison of approved and proposed revenues</w:t>
      </w:r>
      <w:r w:rsidR="00BE408A">
        <w:rPr>
          <w:rStyle w:val="FootnoteReference"/>
        </w:rPr>
        <w:footnoteReference w:id="11"/>
      </w:r>
    </w:p>
    <w:p w:rsidR="007A0632" w:rsidRPr="007A0632" w:rsidRDefault="00E961FE" w:rsidP="007A0632">
      <w:r w:rsidRPr="00E961FE">
        <w:rPr>
          <w:noProof/>
          <w:lang w:eastAsia="en-AU"/>
        </w:rPr>
        <w:drawing>
          <wp:inline distT="0" distB="0" distL="0" distR="0" wp14:anchorId="3BBED225" wp14:editId="22909ECC">
            <wp:extent cx="5731510" cy="3718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718070"/>
                    </a:xfrm>
                    <a:prstGeom prst="rect">
                      <a:avLst/>
                    </a:prstGeom>
                    <a:noFill/>
                    <a:ln>
                      <a:noFill/>
                    </a:ln>
                  </pic:spPr>
                </pic:pic>
              </a:graphicData>
            </a:graphic>
          </wp:inline>
        </w:drawing>
      </w:r>
    </w:p>
    <w:p w:rsidR="007A0632" w:rsidRPr="00A11AA2" w:rsidRDefault="007A0632">
      <w:pPr>
        <w:pStyle w:val="AERtablesource"/>
        <w:rPr>
          <w:rFonts w:eastAsia="Calibri"/>
        </w:rPr>
      </w:pPr>
      <w:r w:rsidRPr="00A11AA2">
        <w:rPr>
          <w:rFonts w:eastAsia="Calibri"/>
        </w:rPr>
        <w:t>Source:</w:t>
      </w:r>
      <w:r w:rsidRPr="00A11AA2">
        <w:rPr>
          <w:rFonts w:eastAsia="Calibri"/>
        </w:rPr>
        <w:tab/>
      </w:r>
      <w:r w:rsidR="004860CB">
        <w:rPr>
          <w:rFonts w:eastAsia="Calibri"/>
        </w:rPr>
        <w:t xml:space="preserve">For the 2014–19 period, </w:t>
      </w:r>
      <w:r w:rsidR="000042F6">
        <w:rPr>
          <w:rFonts w:eastAsia="Calibri"/>
        </w:rPr>
        <w:t>ActewAGL</w:t>
      </w:r>
      <w:r w:rsidR="004860CB">
        <w:rPr>
          <w:rFonts w:eastAsia="Calibri"/>
        </w:rPr>
        <w:t xml:space="preserve"> proposed revenues taken from</w:t>
      </w:r>
      <w:r w:rsidRPr="00A11AA2">
        <w:rPr>
          <w:rFonts w:eastAsia="Calibri"/>
        </w:rPr>
        <w:t xml:space="preserve"> </w:t>
      </w:r>
      <w:r w:rsidR="004860CB">
        <w:rPr>
          <w:rFonts w:eastAsia="Calibri"/>
        </w:rPr>
        <w:t xml:space="preserve">ActewAGL submitted PTRMs for distribution and transmission, "Analysis" tab, </w:t>
      </w:r>
      <w:r w:rsidR="008D6C1E">
        <w:rPr>
          <w:rFonts w:eastAsia="Calibri"/>
        </w:rPr>
        <w:t>May 2014</w:t>
      </w:r>
      <w:r w:rsidRPr="00A11AA2">
        <w:rPr>
          <w:rFonts w:eastAsia="Calibri"/>
        </w:rPr>
        <w:t xml:space="preserve">. </w:t>
      </w:r>
      <w:r w:rsidR="004860CB">
        <w:rPr>
          <w:rFonts w:eastAsia="Calibri"/>
        </w:rPr>
        <w:t>For the 2009–14 period, approved revenues taken from AER approved distribution PTRM for that period, "Analysis" tab.</w:t>
      </w:r>
    </w:p>
    <w:p w:rsidR="00D84686" w:rsidRDefault="00D84686">
      <w:pPr>
        <w:pStyle w:val="HeadingBoldBlue"/>
      </w:pPr>
      <w:r>
        <w:t>Revenue impact by building block component</w:t>
      </w:r>
    </w:p>
    <w:p w:rsidR="000514DD" w:rsidRDefault="00D84686" w:rsidP="000514DD">
      <w:pPr>
        <w:pStyle w:val="AERbodytext"/>
        <w:numPr>
          <w:ilvl w:val="0"/>
          <w:numId w:val="0"/>
        </w:numPr>
      </w:pPr>
      <w:r>
        <w:t xml:space="preserve">We have </w:t>
      </w:r>
      <w:r w:rsidR="00E049E0">
        <w:t>broken down</w:t>
      </w:r>
      <w:r>
        <w:t xml:space="preserve"> </w:t>
      </w:r>
      <w:r w:rsidR="0067222A">
        <w:t>ActewAGL's</w:t>
      </w:r>
      <w:r>
        <w:t xml:space="preserve"> proposed </w:t>
      </w:r>
      <w:r w:rsidR="00E049E0">
        <w:t xml:space="preserve">revenue </w:t>
      </w:r>
      <w:r>
        <w:t xml:space="preserve">changes into the various building block elements. </w:t>
      </w:r>
      <w:r w:rsidR="00E049E0">
        <w:t>Our analysis shows how each of the elements contribute to the change in prices between the final year of the 2009–14 period and the 2014–19 period</w:t>
      </w:r>
      <w:r w:rsidR="0067222A">
        <w:t xml:space="preserve">. </w:t>
      </w:r>
      <w:r w:rsidR="00224AFC">
        <w:t xml:space="preserve">The largest single impact is </w:t>
      </w:r>
      <w:r w:rsidR="0006337E">
        <w:t xml:space="preserve">made by </w:t>
      </w:r>
      <w:r w:rsidR="00224AFC">
        <w:t>ActewAGL's proposed capex</w:t>
      </w:r>
      <w:r w:rsidR="00D0597A">
        <w:t>, which impacts both return on capital and depreciation</w:t>
      </w:r>
      <w:r w:rsidR="00224AFC">
        <w:t>. Thi</w:t>
      </w:r>
      <w:r w:rsidR="000851F1">
        <w:t>s is</w:t>
      </w:r>
      <w:r w:rsidR="00224AFC">
        <w:t xml:space="preserve"> putting significant upwards pressure on </w:t>
      </w:r>
      <w:r w:rsidR="000851F1">
        <w:t xml:space="preserve">ActewAGL's proposed </w:t>
      </w:r>
      <w:r w:rsidR="00224AFC">
        <w:t xml:space="preserve">prices. </w:t>
      </w:r>
    </w:p>
    <w:p w:rsidR="00C5132E" w:rsidRPr="000514DD" w:rsidRDefault="00C5132E" w:rsidP="000514DD">
      <w:pPr>
        <w:pStyle w:val="Heading1"/>
        <w:rPr>
          <w:rStyle w:val="AERbody"/>
          <w:color w:val="E36C0A"/>
          <w:sz w:val="36"/>
        </w:rPr>
      </w:pPr>
      <w:bookmarkStart w:id="24" w:name="_Toc393880970"/>
      <w:r w:rsidRPr="000514DD">
        <w:rPr>
          <w:rStyle w:val="AERbody"/>
          <w:color w:val="E36C0A"/>
          <w:sz w:val="36"/>
        </w:rPr>
        <w:lastRenderedPageBreak/>
        <w:t>Consumer engagement</w:t>
      </w:r>
      <w:bookmarkEnd w:id="24"/>
    </w:p>
    <w:p w:rsidR="00934AC7" w:rsidRPr="000D3958" w:rsidRDefault="00934AC7" w:rsidP="000D3958">
      <w:pPr>
        <w:pStyle w:val="AERbodytext"/>
        <w:rPr>
          <w:rStyle w:val="AERbody"/>
        </w:rPr>
      </w:pPr>
      <w:r w:rsidRPr="000D3958">
        <w:rPr>
          <w:rStyle w:val="AERbody"/>
        </w:rPr>
        <w:t xml:space="preserve">Consumer engagement is a key issue for our distribution determination. When assessing regulatory proposals we will have regard to how a distributor engaged with its consumers and accounted for their long term interests. </w:t>
      </w:r>
    </w:p>
    <w:p w:rsidR="003334E0" w:rsidRDefault="00203B35" w:rsidP="003334E0">
      <w:pPr>
        <w:pStyle w:val="AERbodytext"/>
        <w:numPr>
          <w:ilvl w:val="0"/>
          <w:numId w:val="0"/>
        </w:numPr>
        <w:rPr>
          <w:rStyle w:val="AERbody"/>
        </w:rPr>
      </w:pPr>
      <w:r>
        <w:rPr>
          <w:rStyle w:val="AERbody"/>
        </w:rPr>
      </w:r>
      <w:r w:rsidR="00F53503">
        <w:rPr>
          <w:rStyle w:val="AERbody"/>
        </w:rPr>
        <w:pict>
          <v:shapetype id="_x0000_t202" coordsize="21600,21600" o:spt="202" path="m,l,21600r21600,l21600,xe">
            <v:stroke joinstyle="miter"/>
            <v:path gradientshapeok="t" o:connecttype="rect"/>
          </v:shapetype>
          <v:shape id="Text Box 2" o:spid="_x0000_s1099" type="#_x0000_t202" style="width:453.05pt;height:61.35pt;visibility:visible;mso-height-percent:200;mso-left-percent:-10001;mso-top-percent:-10001;mso-wrap-distance-left:9pt;mso-wrap-distance-top:0;mso-wrap-distance-right:9pt;mso-wrap-distance-bottom:0;mso-position-horizontal:absolute;mso-position-horizontal-relative:char;mso-position-vertical:absolute;mso-position-vertical-relative:line;mso-height-percent:200;mso-left-percent:-10001;mso-top-percent:-1000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LKAIAAE4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5DBBJ3pn6EZl1ZhhwXEgUWuN+UNLhcFfUfz+A&#10;45TIDxq7sxxPp3EbkjKdzQtU3KVld2kBzRCqooGSQdyEtEGJN3uDXdyKxO9LJqeUcWgT7acFi1tx&#10;qSevl9/A+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oBNLKAIAAE4EAAAOAAAAAAAAAAAAAAAAAC4CAABkcnMvZTJvRG9j&#10;LnhtbFBLAQItABQABgAIAAAAIQD9LzLW2wAAAAUBAAAPAAAAAAAAAAAAAAAAAIIEAABkcnMvZG93&#10;bnJldi54bWxQSwUGAAAAAAQABADzAAAAigUAAAAA&#10;" fillcolor="#ddd">
            <v:textbox style="mso-next-textbox:#Text Box 2;mso-fit-shape-to-text:t">
              <w:txbxContent>
                <w:p w:rsidR="00954F42" w:rsidRPr="003D288B" w:rsidRDefault="00954F42" w:rsidP="006B0390">
                  <w:pPr>
                    <w:rPr>
                      <w:rStyle w:val="AERtextbold"/>
                    </w:rPr>
                  </w:pPr>
                  <w:r w:rsidRPr="003D288B">
                    <w:rPr>
                      <w:rStyle w:val="AERtextbold"/>
                    </w:rPr>
                    <w:t>Questions</w:t>
                  </w:r>
                </w:p>
                <w:p w:rsidR="00954F42" w:rsidRDefault="00954F42" w:rsidP="006B0390">
                  <w:pPr>
                    <w:pStyle w:val="AERnumberedlistfirststyle"/>
                  </w:pPr>
                  <w:r w:rsidRPr="003C2483">
                    <w:t xml:space="preserve">Please provide your comments on the consumer engagement conducted by </w:t>
                  </w:r>
                  <w:r>
                    <w:t xml:space="preserve">ActewAGL </w:t>
                  </w:r>
                  <w:r w:rsidRPr="003C2483">
                    <w:t xml:space="preserve">in </w:t>
                  </w:r>
                  <w:r>
                    <w:t>preparing</w:t>
                  </w:r>
                  <w:r w:rsidRPr="003C2483">
                    <w:t xml:space="preserve"> </w:t>
                  </w:r>
                  <w:r>
                    <w:t xml:space="preserve">its </w:t>
                  </w:r>
                  <w:r w:rsidRPr="003C2483">
                    <w:t>regulatory proposal</w:t>
                  </w:r>
                  <w:r>
                    <w:t>, particularly with respect to:</w:t>
                  </w:r>
                </w:p>
                <w:p w:rsidR="00954F42" w:rsidRPr="003C2483" w:rsidRDefault="00954F42" w:rsidP="006B0390">
                  <w:pPr>
                    <w:pStyle w:val="AERbulletlistsecondstyle"/>
                  </w:pPr>
                  <w:r w:rsidRPr="003C2483">
                    <w:t>access</w:t>
                  </w:r>
                  <w:r>
                    <w:t>ibility of information provided</w:t>
                  </w:r>
                </w:p>
                <w:p w:rsidR="00954F42" w:rsidRPr="003C2483" w:rsidRDefault="00954F42" w:rsidP="006B0390">
                  <w:pPr>
                    <w:pStyle w:val="AERbulletlistsecondstyle"/>
                  </w:pPr>
                  <w:r w:rsidRPr="003C2483">
                    <w:t>clarity about your role and the objectives of t</w:t>
                  </w:r>
                  <w:r>
                    <w:t>he engagement activity or activities</w:t>
                  </w:r>
                </w:p>
                <w:p w:rsidR="00954F42" w:rsidRPr="003C2483" w:rsidRDefault="00954F42" w:rsidP="00BC1A32">
                  <w:pPr>
                    <w:pStyle w:val="AERbulletlistsecondstyle"/>
                  </w:pPr>
                  <w:r w:rsidRPr="003C2483">
                    <w:t>how much time was provided between</w:t>
                  </w:r>
                  <w:r>
                    <w:t xml:space="preserve"> the engagement activity and submission to us of</w:t>
                  </w:r>
                  <w:r w:rsidRPr="003C2483">
                    <w:t xml:space="preserve"> </w:t>
                  </w:r>
                  <w:r>
                    <w:t>ActewAGL's</w:t>
                  </w:r>
                  <w:r w:rsidRPr="003C2483">
                    <w:t xml:space="preserve"> regulatory proposal?</w:t>
                  </w:r>
                </w:p>
                <w:p w:rsidR="00954F42" w:rsidRDefault="00954F42" w:rsidP="006B0390">
                  <w:pPr>
                    <w:pStyle w:val="AERnumberedlistfirststyle"/>
                  </w:pPr>
                  <w:r>
                    <w:t>If you were part of ActewAGL's consumer engagement, w</w:t>
                  </w:r>
                  <w:r w:rsidRPr="003C2483">
                    <w:t>ere you given options for expenditure? If yes, for each option were you asked to give preferences? For each option were you given cost</w:t>
                  </w:r>
                  <w:r>
                    <w:t xml:space="preserve"> and price</w:t>
                  </w:r>
                  <w:r w:rsidRPr="003C2483">
                    <w:t xml:space="preserve"> information? Did the options cover operating expenditure and capital expenditure?  </w:t>
                  </w:r>
                </w:p>
                <w:p w:rsidR="00954F42" w:rsidRDefault="00954F42" w:rsidP="006B0390">
                  <w:pPr>
                    <w:pStyle w:val="AERnumberedlistfirststyle"/>
                  </w:pPr>
                  <w:r w:rsidRPr="003C2483">
                    <w:t xml:space="preserve">Please provide your comments on how effective you believe the consumer engagement conducted by </w:t>
                  </w:r>
                  <w:r>
                    <w:t>ActewAGL</w:t>
                  </w:r>
                  <w:r w:rsidRPr="003C2483">
                    <w:t xml:space="preserve"> was in responding to consumer concerns, with examples where possible.</w:t>
                  </w:r>
                </w:p>
              </w:txbxContent>
            </v:textbox>
            <w10:wrap type="none"/>
            <w10:anchorlock/>
          </v:shape>
        </w:pict>
      </w:r>
      <w:bookmarkStart w:id="25" w:name="_Toc391386395"/>
      <w:bookmarkStart w:id="26" w:name="_Toc391447511"/>
    </w:p>
    <w:p w:rsidR="00934AC7" w:rsidRPr="00BB6F8D" w:rsidRDefault="00BB6F8D" w:rsidP="00BB6F8D">
      <w:pPr>
        <w:pStyle w:val="Heading2"/>
        <w:numPr>
          <w:ilvl w:val="0"/>
          <w:numId w:val="0"/>
        </w:numPr>
        <w:ind w:left="-851"/>
        <w:rPr>
          <w:rStyle w:val="AERbody"/>
          <w:color w:val="E36C0A"/>
          <w:sz w:val="28"/>
        </w:rPr>
      </w:pPr>
      <w:bookmarkStart w:id="27" w:name="_Toc393880971"/>
      <w:r w:rsidRPr="00BB6F8D">
        <w:rPr>
          <w:rStyle w:val="AERbody"/>
          <w:color w:val="E36C0A"/>
          <w:sz w:val="28"/>
        </w:rPr>
        <w:t xml:space="preserve">2.1 </w:t>
      </w:r>
      <w:r>
        <w:rPr>
          <w:rStyle w:val="AERbody"/>
        </w:rPr>
        <w:tab/>
      </w:r>
      <w:r w:rsidR="0025716A">
        <w:rPr>
          <w:rStyle w:val="AERbody"/>
          <w:color w:val="E36C0A"/>
          <w:sz w:val="28"/>
        </w:rPr>
        <w:t>Consumer engagement in the rules</w:t>
      </w:r>
      <w:bookmarkEnd w:id="25"/>
      <w:bookmarkEnd w:id="26"/>
      <w:bookmarkEnd w:id="27"/>
    </w:p>
    <w:p w:rsidR="00934AC7" w:rsidRDefault="00934AC7" w:rsidP="00934AC7">
      <w:pPr>
        <w:pStyle w:val="AERbodytext"/>
        <w:rPr>
          <w:rStyle w:val="AERbody"/>
        </w:rPr>
      </w:pPr>
      <w:r>
        <w:rPr>
          <w:rStyle w:val="AERbody"/>
        </w:rPr>
        <w:t xml:space="preserve">Under the </w:t>
      </w:r>
      <w:r w:rsidR="0025716A">
        <w:rPr>
          <w:rStyle w:val="AERbody"/>
        </w:rPr>
        <w:t>rules</w:t>
      </w:r>
      <w:r>
        <w:rPr>
          <w:rStyle w:val="AERbody"/>
        </w:rPr>
        <w:t>, c</w:t>
      </w:r>
      <w:r w:rsidRPr="00F053C6">
        <w:rPr>
          <w:rStyle w:val="AERbody"/>
        </w:rPr>
        <w:t>onsumer engagement is a fac</w:t>
      </w:r>
      <w:r>
        <w:rPr>
          <w:rStyle w:val="AERbody"/>
        </w:rPr>
        <w:t>tor we can consider when making our revenue determinations</w:t>
      </w:r>
      <w:r w:rsidRPr="00F053C6">
        <w:rPr>
          <w:rStyle w:val="AERbody"/>
        </w:rPr>
        <w:t>.</w:t>
      </w:r>
      <w:r>
        <w:rPr>
          <w:rStyle w:val="FootnoteReference"/>
        </w:rPr>
        <w:footnoteReference w:id="12"/>
      </w:r>
      <w:r>
        <w:rPr>
          <w:rStyle w:val="AERbody"/>
        </w:rPr>
        <w:t xml:space="preserve"> We will </w:t>
      </w:r>
      <w:r w:rsidR="00F50F1A">
        <w:rPr>
          <w:rStyle w:val="AERbody"/>
        </w:rPr>
        <w:t>examine</w:t>
      </w:r>
      <w:r>
        <w:rPr>
          <w:rStyle w:val="AERbody"/>
        </w:rPr>
        <w:t xml:space="preserve"> whether and how well a distributor considered and responded to consumer views, equipped consumers to participate in consultation, made issues tangible and obtained a cross–section of views. We will make our assessment on a case–by–case basis, considering whether it would have been reasonable to engage on a particular issue. We will monitor consumer engagement activities through our consumer challenge panel </w:t>
      </w:r>
      <w:r w:rsidR="007820EF">
        <w:rPr>
          <w:rStyle w:val="AERbody"/>
        </w:rPr>
        <w:t xml:space="preserve">(CCP) </w:t>
      </w:r>
      <w:r>
        <w:rPr>
          <w:rStyle w:val="AERbody"/>
        </w:rPr>
        <w:t>and by our ongoing engagement with stakeholders. We may publicly comment on any shortcomings in a distributor</w:t>
      </w:r>
      <w:r w:rsidR="00F54B2E">
        <w:rPr>
          <w:rStyle w:val="AERbody"/>
        </w:rPr>
        <w:t>'</w:t>
      </w:r>
      <w:r>
        <w:rPr>
          <w:rStyle w:val="AERbody"/>
        </w:rPr>
        <w:t xml:space="preserve">s consumer engagement that we identify from a regulatory proposal. </w:t>
      </w:r>
    </w:p>
    <w:p w:rsidR="00934AC7" w:rsidRPr="00BB6F8D" w:rsidRDefault="00BB6F8D" w:rsidP="00BB6F8D">
      <w:pPr>
        <w:pStyle w:val="Heading2"/>
        <w:numPr>
          <w:ilvl w:val="0"/>
          <w:numId w:val="0"/>
        </w:numPr>
        <w:ind w:left="-851"/>
        <w:rPr>
          <w:rStyle w:val="AERbody"/>
          <w:color w:val="E36C0A"/>
          <w:sz w:val="28"/>
        </w:rPr>
      </w:pPr>
      <w:bookmarkStart w:id="28" w:name="_Toc391386396"/>
      <w:bookmarkStart w:id="29" w:name="_Toc391447512"/>
      <w:bookmarkStart w:id="30" w:name="_Toc393880972"/>
      <w:r w:rsidRPr="00BB6F8D">
        <w:rPr>
          <w:rStyle w:val="AERbody"/>
          <w:color w:val="E36C0A"/>
          <w:sz w:val="28"/>
        </w:rPr>
        <w:t xml:space="preserve">2.2 </w:t>
      </w:r>
      <w:r>
        <w:rPr>
          <w:rStyle w:val="AERbody"/>
        </w:rPr>
        <w:tab/>
      </w:r>
      <w:r w:rsidR="00934AC7" w:rsidRPr="00BB6F8D">
        <w:rPr>
          <w:rStyle w:val="AERbody"/>
          <w:color w:val="E36C0A"/>
          <w:sz w:val="28"/>
        </w:rPr>
        <w:t>Our consumer engagement guideline</w:t>
      </w:r>
      <w:bookmarkEnd w:id="28"/>
      <w:bookmarkEnd w:id="29"/>
      <w:bookmarkEnd w:id="30"/>
    </w:p>
    <w:p w:rsidR="00934AC7" w:rsidRDefault="00934AC7" w:rsidP="00934AC7">
      <w:pPr>
        <w:pStyle w:val="AERbodytext"/>
        <w:rPr>
          <w:rStyle w:val="AERbody"/>
        </w:rPr>
      </w:pPr>
      <w:r>
        <w:rPr>
          <w:rStyle w:val="AERbody"/>
        </w:rPr>
        <w:t>Our</w:t>
      </w:r>
      <w:r w:rsidRPr="00F053C6">
        <w:rPr>
          <w:rStyle w:val="AERbody"/>
        </w:rPr>
        <w:t xml:space="preserve"> consumer engagement guideline for network service providers sets out a framework for electricity and gas </w:t>
      </w:r>
      <w:r>
        <w:rPr>
          <w:rStyle w:val="AERbody"/>
        </w:rPr>
        <w:t xml:space="preserve">network </w:t>
      </w:r>
      <w:r w:rsidRPr="00F053C6">
        <w:rPr>
          <w:rStyle w:val="AERbody"/>
        </w:rPr>
        <w:t>service providers to better engage with consumers.</w:t>
      </w:r>
      <w:r>
        <w:rPr>
          <w:rStyle w:val="FootnoteReference"/>
        </w:rPr>
        <w:footnoteReference w:id="13"/>
      </w:r>
      <w:r w:rsidRPr="00F053C6">
        <w:rPr>
          <w:rStyle w:val="AERbody"/>
        </w:rPr>
        <w:t xml:space="preserve"> </w:t>
      </w:r>
      <w:r>
        <w:rPr>
          <w:rStyle w:val="AERbody"/>
        </w:rPr>
        <w:t xml:space="preserve">It aims to </w:t>
      </w:r>
      <w:r w:rsidR="00F54B2E">
        <w:rPr>
          <w:rStyle w:val="AERbody"/>
        </w:rPr>
        <w:t xml:space="preserve">guide </w:t>
      </w:r>
      <w:r w:rsidRPr="00F053C6">
        <w:rPr>
          <w:rStyle w:val="AERbody"/>
        </w:rPr>
        <w:t xml:space="preserve">businesses </w:t>
      </w:r>
      <w:r w:rsidR="00F54B2E">
        <w:rPr>
          <w:rStyle w:val="AERbody"/>
        </w:rPr>
        <w:t xml:space="preserve">to </w:t>
      </w:r>
      <w:r w:rsidRPr="00F053C6">
        <w:rPr>
          <w:rStyle w:val="AERbody"/>
        </w:rPr>
        <w:t>develop strategies to engage systematically, consistently and strategically with consumers on issues that are significant to both parties</w:t>
      </w:r>
      <w:r>
        <w:rPr>
          <w:rStyle w:val="AERbody"/>
        </w:rPr>
        <w:t>. The guideline sets out our expectations when considering service provider consumer engagement activities:</w:t>
      </w:r>
    </w:p>
    <w:p w:rsidR="00934AC7" w:rsidRPr="00DA0B3F" w:rsidRDefault="00934AC7" w:rsidP="00934AC7">
      <w:pPr>
        <w:pStyle w:val="AERbulletlistfirststyle"/>
        <w:rPr>
          <w:rStyle w:val="AERbody"/>
        </w:rPr>
      </w:pPr>
      <w:r w:rsidRPr="00DA0B3F">
        <w:rPr>
          <w:rStyle w:val="AERbody"/>
        </w:rPr>
        <w:lastRenderedPageBreak/>
        <w:t>Priorities—we expect service provide</w:t>
      </w:r>
      <w:r w:rsidR="005A7AF5">
        <w:rPr>
          <w:rStyle w:val="AERbody"/>
        </w:rPr>
        <w:t>rs to identify consumer cohorts</w:t>
      </w:r>
      <w:r w:rsidRPr="00DA0B3F">
        <w:rPr>
          <w:rStyle w:val="AERbody"/>
        </w:rPr>
        <w:t xml:space="preserve"> and the current views of those cohorts and their service provider; outline their engagement objectives; and discuss the processes to best achieve those objectives.</w:t>
      </w:r>
    </w:p>
    <w:p w:rsidR="00934AC7" w:rsidRPr="00DA0B3F" w:rsidRDefault="00934AC7" w:rsidP="00934AC7">
      <w:pPr>
        <w:pStyle w:val="AERbulletlistfirststyle"/>
        <w:rPr>
          <w:rStyle w:val="AERbody"/>
        </w:rPr>
      </w:pPr>
      <w:r w:rsidRPr="00DA0B3F">
        <w:rPr>
          <w:rStyle w:val="AERbody"/>
        </w:rPr>
        <w:t xml:space="preserve">Delivery—we expect service providers to address the identified priorities via robust and thorough consumer engagement. </w:t>
      </w:r>
    </w:p>
    <w:p w:rsidR="00934AC7" w:rsidRPr="00DA0B3F" w:rsidRDefault="00934AC7" w:rsidP="00934AC7">
      <w:pPr>
        <w:pStyle w:val="AERbulletlistfirststyle"/>
        <w:rPr>
          <w:rStyle w:val="AERbody"/>
        </w:rPr>
      </w:pPr>
      <w:r w:rsidRPr="00DA0B3F">
        <w:rPr>
          <w:rStyle w:val="AERbody"/>
        </w:rPr>
        <w:t xml:space="preserve">Results—we expect service providers to articulate the outcomes of their consumer engagement processes and how they measure the success of those processes </w:t>
      </w:r>
      <w:r w:rsidR="005A7AF5">
        <w:rPr>
          <w:rStyle w:val="AERbody"/>
        </w:rPr>
        <w:t xml:space="preserve">in </w:t>
      </w:r>
      <w:r w:rsidRPr="00DA0B3F">
        <w:rPr>
          <w:rStyle w:val="AERbody"/>
        </w:rPr>
        <w:t xml:space="preserve">reporting back to us, their business and </w:t>
      </w:r>
      <w:r w:rsidR="005A7AF5">
        <w:rPr>
          <w:rStyle w:val="AERbody"/>
        </w:rPr>
        <w:t xml:space="preserve">to </w:t>
      </w:r>
      <w:r w:rsidRPr="00DA0B3F">
        <w:rPr>
          <w:rStyle w:val="AERbody"/>
        </w:rPr>
        <w:t>consumers</w:t>
      </w:r>
      <w:r w:rsidR="005A7AF5">
        <w:rPr>
          <w:rStyle w:val="AERbody"/>
        </w:rPr>
        <w:t>.</w:t>
      </w:r>
    </w:p>
    <w:p w:rsidR="00934AC7" w:rsidRPr="00DA0B3F" w:rsidRDefault="00934AC7" w:rsidP="00934AC7">
      <w:pPr>
        <w:pStyle w:val="AERbulletlistfirststyle"/>
        <w:rPr>
          <w:rStyle w:val="AERbody"/>
        </w:rPr>
      </w:pPr>
      <w:r w:rsidRPr="00DA0B3F">
        <w:rPr>
          <w:rStyle w:val="AERbody"/>
        </w:rPr>
        <w:t xml:space="preserve">Evaluation and review—we expect service providers to periodically evaluate and review the effectiveness of their consumer engagement processes. </w:t>
      </w:r>
    </w:p>
    <w:p w:rsidR="00934AC7" w:rsidRDefault="00934AC7" w:rsidP="00934AC7">
      <w:pPr>
        <w:pStyle w:val="AERbodytext"/>
        <w:rPr>
          <w:rStyle w:val="AERbody"/>
        </w:rPr>
      </w:pPr>
      <w:r>
        <w:rPr>
          <w:rStyle w:val="AERbody"/>
        </w:rPr>
        <w:t xml:space="preserve">Below, we summarise </w:t>
      </w:r>
      <w:r w:rsidR="004F2619">
        <w:rPr>
          <w:rStyle w:val="AERbody"/>
        </w:rPr>
        <w:t>ActewAGL's</w:t>
      </w:r>
      <w:r>
        <w:rPr>
          <w:rStyle w:val="AERbody"/>
        </w:rPr>
        <w:t xml:space="preserve"> submitted approach to consumer engagement. For details, </w:t>
      </w:r>
      <w:r w:rsidR="004F2619">
        <w:rPr>
          <w:rStyle w:val="AERbody"/>
        </w:rPr>
        <w:t>we encourage readers to review ActewAGL's regulatory proposal</w:t>
      </w:r>
      <w:r>
        <w:rPr>
          <w:rStyle w:val="AERbody"/>
        </w:rPr>
        <w:t xml:space="preserve"> and supporting documentation. As a guide, we have referenced below where </w:t>
      </w:r>
      <w:r w:rsidR="004F2619">
        <w:rPr>
          <w:rStyle w:val="AERbody"/>
        </w:rPr>
        <w:t>ActewAGL</w:t>
      </w:r>
      <w:r>
        <w:rPr>
          <w:rStyle w:val="AERbody"/>
        </w:rPr>
        <w:t xml:space="preserve"> has included consumer engagement content in </w:t>
      </w:r>
      <w:r w:rsidR="00F54B2E">
        <w:rPr>
          <w:rStyle w:val="AERbody"/>
        </w:rPr>
        <w:t>its</w:t>
      </w:r>
      <w:r>
        <w:rPr>
          <w:rStyle w:val="AERbody"/>
        </w:rPr>
        <w:t xml:space="preserve"> regulatory proposal. </w:t>
      </w:r>
    </w:p>
    <w:p w:rsidR="0038681C" w:rsidRDefault="00C41533" w:rsidP="00934AC7">
      <w:pPr>
        <w:pStyle w:val="AERbodytext"/>
        <w:rPr>
          <w:rStyle w:val="AERbody"/>
        </w:rPr>
      </w:pPr>
      <w:r>
        <w:rPr>
          <w:rStyle w:val="AERbody"/>
        </w:rPr>
        <w:t>ActewAGL described its major</w:t>
      </w:r>
      <w:r w:rsidR="006F5216">
        <w:rPr>
          <w:rStyle w:val="AERbody"/>
        </w:rPr>
        <w:t xml:space="preserve"> consumer engagement i</w:t>
      </w:r>
      <w:r>
        <w:rPr>
          <w:rStyle w:val="AERbody"/>
        </w:rPr>
        <w:t>nitiative</w:t>
      </w:r>
      <w:r w:rsidR="007679EA">
        <w:rPr>
          <w:rStyle w:val="AERbody"/>
        </w:rPr>
        <w:t xml:space="preserve"> to date as having</w:t>
      </w:r>
      <w:r w:rsidR="006F5216">
        <w:rPr>
          <w:rStyle w:val="AERbody"/>
        </w:rPr>
        <w:t xml:space="preserve"> </w:t>
      </w:r>
      <w:r>
        <w:rPr>
          <w:rStyle w:val="AERbody"/>
        </w:rPr>
        <w:t xml:space="preserve">been </w:t>
      </w:r>
      <w:r w:rsidR="006F5216">
        <w:rPr>
          <w:rStyle w:val="AERbody"/>
        </w:rPr>
        <w:t xml:space="preserve">to </w:t>
      </w:r>
      <w:r>
        <w:rPr>
          <w:rStyle w:val="AERbody"/>
        </w:rPr>
        <w:t>periodically</w:t>
      </w:r>
      <w:r w:rsidR="006F5216">
        <w:rPr>
          <w:rStyle w:val="AERbody"/>
        </w:rPr>
        <w:t xml:space="preserve"> undertake customer willingness to pay studies. </w:t>
      </w:r>
      <w:r w:rsidR="00B524AF">
        <w:rPr>
          <w:rStyle w:val="AERbody"/>
        </w:rPr>
        <w:t>ActewAGL also described having undertaken focussed consumer engagement during the planning and construction phases of major capital investment projects.</w:t>
      </w:r>
      <w:r w:rsidR="005E7351">
        <w:rPr>
          <w:rStyle w:val="AERbody"/>
        </w:rPr>
        <w:t xml:space="preserve"> </w:t>
      </w:r>
      <w:r w:rsidR="00091E6C">
        <w:rPr>
          <w:rStyle w:val="AERbody"/>
        </w:rPr>
        <w:t>ActewAGL submitted that it is developing a consumer engagement strategy, to be rolled out over the 2014–19 period.</w:t>
      </w:r>
      <w:r w:rsidR="00091E6C">
        <w:rPr>
          <w:rStyle w:val="FootnoteReference"/>
        </w:rPr>
        <w:footnoteReference w:id="14"/>
      </w:r>
      <w:r w:rsidR="00091E6C">
        <w:rPr>
          <w:rStyle w:val="AERbody"/>
        </w:rPr>
        <w:t xml:space="preserve"> </w:t>
      </w:r>
    </w:p>
    <w:p w:rsidR="004F2619" w:rsidRPr="00F053C6" w:rsidRDefault="0038681C" w:rsidP="00934AC7">
      <w:pPr>
        <w:pStyle w:val="AERbodytext"/>
        <w:rPr>
          <w:rStyle w:val="AERbody"/>
        </w:rPr>
      </w:pPr>
      <w:r>
        <w:rPr>
          <w:rStyle w:val="AERbody"/>
        </w:rPr>
        <w:t>ActewAGL submitted that i</w:t>
      </w:r>
      <w:r w:rsidR="00091E6C">
        <w:rPr>
          <w:rStyle w:val="AERbody"/>
        </w:rPr>
        <w:t>n the first stage of it</w:t>
      </w:r>
      <w:r w:rsidR="005A7AF5">
        <w:rPr>
          <w:rStyle w:val="AERbody"/>
        </w:rPr>
        <w:t xml:space="preserve">s consumer engagement strategy </w:t>
      </w:r>
      <w:r>
        <w:rPr>
          <w:rStyle w:val="AERbody"/>
        </w:rPr>
        <w:t xml:space="preserve">it </w:t>
      </w:r>
      <w:r w:rsidR="00091E6C">
        <w:rPr>
          <w:rStyle w:val="AERbody"/>
        </w:rPr>
        <w:t xml:space="preserve">intends to focus on better understanding its customers and </w:t>
      </w:r>
      <w:r w:rsidR="000F0AAD">
        <w:rPr>
          <w:rStyle w:val="AERbody"/>
        </w:rPr>
        <w:t xml:space="preserve">on </w:t>
      </w:r>
      <w:r w:rsidR="00091E6C">
        <w:rPr>
          <w:rStyle w:val="AERbody"/>
        </w:rPr>
        <w:t>changing its own culture to further emphasise consumer engagement.</w:t>
      </w:r>
      <w:r w:rsidR="000F0AAD">
        <w:rPr>
          <w:rStyle w:val="AERbody"/>
        </w:rPr>
        <w:t xml:space="preserve"> ActewAGL submitted that its current consumer engagement activities will inform stage one of its new consumer engagement strategy. </w:t>
      </w:r>
      <w:r>
        <w:rPr>
          <w:rStyle w:val="AERbody"/>
        </w:rPr>
        <w:t xml:space="preserve">In turn, </w:t>
      </w:r>
      <w:r w:rsidR="000F0AAD">
        <w:rPr>
          <w:rStyle w:val="AERbody"/>
        </w:rPr>
        <w:t>its stage one activities will inform its stage two priorities.</w:t>
      </w:r>
      <w:r w:rsidR="000F0AAD">
        <w:rPr>
          <w:rStyle w:val="FootnoteReference"/>
        </w:rPr>
        <w:footnoteReference w:id="15"/>
      </w:r>
    </w:p>
    <w:p w:rsidR="0022669A" w:rsidRPr="007820EF" w:rsidRDefault="007820EF" w:rsidP="007820EF">
      <w:pPr>
        <w:pStyle w:val="Heading2"/>
        <w:numPr>
          <w:ilvl w:val="0"/>
          <w:numId w:val="0"/>
        </w:numPr>
        <w:ind w:left="-851"/>
        <w:rPr>
          <w:rStyle w:val="AERbody"/>
          <w:color w:val="E36C0A"/>
          <w:sz w:val="28"/>
        </w:rPr>
      </w:pPr>
      <w:bookmarkStart w:id="31" w:name="_Toc393880973"/>
      <w:r w:rsidRPr="007820EF">
        <w:rPr>
          <w:rStyle w:val="AERbody"/>
          <w:color w:val="E36C0A"/>
          <w:sz w:val="28"/>
        </w:rPr>
        <w:t xml:space="preserve">2.3 </w:t>
      </w:r>
      <w:r>
        <w:rPr>
          <w:rStyle w:val="AERbody"/>
        </w:rPr>
        <w:tab/>
      </w:r>
      <w:r w:rsidR="00964FC4" w:rsidRPr="007820EF">
        <w:rPr>
          <w:rStyle w:val="AERbody"/>
          <w:color w:val="E36C0A"/>
          <w:sz w:val="28"/>
        </w:rPr>
        <w:t>Consumer engagement to date</w:t>
      </w:r>
      <w:bookmarkEnd w:id="31"/>
    </w:p>
    <w:p w:rsidR="00B54743" w:rsidRDefault="00964FC4" w:rsidP="0022669A">
      <w:pPr>
        <w:rPr>
          <w:rStyle w:val="AERbody"/>
        </w:rPr>
      </w:pPr>
      <w:r>
        <w:rPr>
          <w:rStyle w:val="AERbody"/>
        </w:rPr>
        <w:t xml:space="preserve">Since early 2012, we have been engaging with consumers and other stakeholder groups about </w:t>
      </w:r>
      <w:r w:rsidR="007820EF">
        <w:rPr>
          <w:rStyle w:val="AERbody"/>
        </w:rPr>
        <w:t xml:space="preserve">the </w:t>
      </w:r>
      <w:r>
        <w:rPr>
          <w:rStyle w:val="AERbody"/>
        </w:rPr>
        <w:t xml:space="preserve">forthcoming electricity determination. </w:t>
      </w:r>
      <w:r w:rsidR="00B54743">
        <w:rPr>
          <w:rStyle w:val="AERbody"/>
        </w:rPr>
        <w:t>Mo</w:t>
      </w:r>
      <w:r w:rsidR="0042767A">
        <w:rPr>
          <w:rStyle w:val="AERbody"/>
        </w:rPr>
        <w:t>st</w:t>
      </w:r>
      <w:r w:rsidR="00B54743">
        <w:rPr>
          <w:rStyle w:val="AERbody"/>
        </w:rPr>
        <w:t xml:space="preserve"> recently, </w:t>
      </w:r>
      <w:r w:rsidR="007820EF">
        <w:rPr>
          <w:rStyle w:val="AERbody"/>
        </w:rPr>
        <w:t>our</w:t>
      </w:r>
      <w:r w:rsidR="00B54743">
        <w:rPr>
          <w:rStyle w:val="AERbody"/>
        </w:rPr>
        <w:t xml:space="preserve"> </w:t>
      </w:r>
      <w:r w:rsidR="007820EF">
        <w:rPr>
          <w:rStyle w:val="AERbody"/>
        </w:rPr>
        <w:t>CCP</w:t>
      </w:r>
      <w:r w:rsidR="00B54743">
        <w:rPr>
          <w:rStyle w:val="AERbody"/>
        </w:rPr>
        <w:t xml:space="preserve"> has been advising us on issues relevant to consumers. The purpose of the </w:t>
      </w:r>
      <w:r w:rsidR="007820EF">
        <w:rPr>
          <w:rStyle w:val="AERbody"/>
        </w:rPr>
        <w:t>CCP</w:t>
      </w:r>
      <w:r w:rsidR="00B54743">
        <w:rPr>
          <w:rStyle w:val="AERbody"/>
        </w:rPr>
        <w:t xml:space="preserve"> is to challenge both the AER and </w:t>
      </w:r>
      <w:r w:rsidR="00241933">
        <w:rPr>
          <w:rStyle w:val="AERbody"/>
        </w:rPr>
        <w:t>ActewAGL</w:t>
      </w:r>
      <w:r w:rsidR="00B54743">
        <w:rPr>
          <w:rStyle w:val="AERbody"/>
        </w:rPr>
        <w:t xml:space="preserve"> in terms of whether the National Electricity Objective</w:t>
      </w:r>
      <w:r w:rsidR="007820EF">
        <w:rPr>
          <w:rStyle w:val="AERbody"/>
        </w:rPr>
        <w:t xml:space="preserve"> (NEO)</w:t>
      </w:r>
      <w:r w:rsidR="00B54743">
        <w:rPr>
          <w:rStyle w:val="AERbody"/>
        </w:rPr>
        <w:t xml:space="preserve"> is being achieved.</w:t>
      </w:r>
      <w:r w:rsidR="00D86566">
        <w:rPr>
          <w:rStyle w:val="AERbody"/>
        </w:rPr>
        <w:t xml:space="preserve"> </w:t>
      </w:r>
    </w:p>
    <w:p w:rsidR="00964FC4" w:rsidRPr="0022669A" w:rsidRDefault="00964FC4" w:rsidP="0022669A"/>
    <w:p w:rsidR="0022669A" w:rsidRPr="00BB6F8D" w:rsidRDefault="0022669A" w:rsidP="000514DD">
      <w:pPr>
        <w:pStyle w:val="Heading1"/>
      </w:pPr>
      <w:bookmarkStart w:id="32" w:name="_Toc393880974"/>
      <w:r w:rsidRPr="00BB6F8D">
        <w:lastRenderedPageBreak/>
        <w:t xml:space="preserve">Your submission and key </w:t>
      </w:r>
      <w:r w:rsidRPr="000514DD">
        <w:t>dates</w:t>
      </w:r>
      <w:bookmarkEnd w:id="32"/>
    </w:p>
    <w:p w:rsidR="0022669A" w:rsidRPr="0022669A" w:rsidRDefault="00141A68" w:rsidP="0022669A">
      <w:r>
        <w:t>We are keen to hear your opinions and experiences. But i</w:t>
      </w:r>
      <w:r w:rsidR="0022669A" w:rsidRPr="0022669A">
        <w:t>t is important that your submission is</w:t>
      </w:r>
      <w:r>
        <w:t>, as much as possible,</w:t>
      </w:r>
      <w:r w:rsidR="0022669A" w:rsidRPr="0022669A">
        <w:t xml:space="preserve"> supported by </w:t>
      </w:r>
      <w:r w:rsidR="00F51826">
        <w:t>reasons</w:t>
      </w:r>
      <w:r w:rsidR="00F51826" w:rsidRPr="0022669A">
        <w:t xml:space="preserve"> </w:t>
      </w:r>
      <w:r w:rsidR="0022669A" w:rsidRPr="0022669A">
        <w:t xml:space="preserve">and analysis. If you consider a certain aspect of </w:t>
      </w:r>
      <w:r w:rsidR="008F167D">
        <w:t>ActewAGL's</w:t>
      </w:r>
      <w:r w:rsidR="0022669A" w:rsidRPr="0022669A">
        <w:t xml:space="preserve"> regulatory proposal is not justified, you s</w:t>
      </w:r>
      <w:r w:rsidR="00800AE9">
        <w:t xml:space="preserve">hould state why you consider </w:t>
      </w:r>
      <w:r w:rsidR="0022669A" w:rsidRPr="0022669A">
        <w:t xml:space="preserve">it </w:t>
      </w:r>
      <w:r w:rsidR="00800AE9">
        <w:t xml:space="preserve">is </w:t>
      </w:r>
      <w:r w:rsidR="0022669A" w:rsidRPr="0022669A">
        <w:t xml:space="preserve">not justified, with reference to </w:t>
      </w:r>
      <w:r w:rsidR="00F51826">
        <w:t>reasons</w:t>
      </w:r>
      <w:r w:rsidR="0022669A" w:rsidRPr="0022669A">
        <w:t xml:space="preserve"> that support your </w:t>
      </w:r>
      <w:r w:rsidR="00B640CD">
        <w:t>views</w:t>
      </w:r>
      <w:r w:rsidR="0022669A" w:rsidRPr="0022669A">
        <w:t xml:space="preserve">. You should also state what further information you consider </w:t>
      </w:r>
      <w:r w:rsidR="00FF7128">
        <w:t>ActewAGL</w:t>
      </w:r>
      <w:r w:rsidR="0022669A" w:rsidRPr="0022669A">
        <w:t xml:space="preserve"> should provide to justify that aspect of its proposal.</w:t>
      </w:r>
    </w:p>
    <w:p w:rsidR="00661732" w:rsidRDefault="0022669A" w:rsidP="0022669A">
      <w:r w:rsidRPr="0022669A">
        <w:t>When considering the questions on which we would like feedback, it is useful to keep in mind that we must comply wit</w:t>
      </w:r>
      <w:r w:rsidR="00CB02F2">
        <w:t>h the NEL</w:t>
      </w:r>
      <w:r w:rsidRPr="0022669A">
        <w:t xml:space="preserve"> and </w:t>
      </w:r>
      <w:r w:rsidR="0025716A">
        <w:t>rules</w:t>
      </w:r>
      <w:r w:rsidRPr="0022669A">
        <w:t xml:space="preserve">. </w:t>
      </w:r>
      <w:r w:rsidR="00661732" w:rsidRPr="00661732">
        <w:t>The capex</w:t>
      </w:r>
      <w:r w:rsidR="00FF7128">
        <w:t xml:space="preserve"> a</w:t>
      </w:r>
      <w:r w:rsidR="00661732" w:rsidRPr="00661732">
        <w:t>nd ope</w:t>
      </w:r>
      <w:r w:rsidR="00661732">
        <w:t>x forecasts of a distribution</w:t>
      </w:r>
      <w:r w:rsidR="00661732" w:rsidRPr="00661732">
        <w:t xml:space="preserve"> business must be aimed at meeting expected demand and all regulatory obligations as well as maintaining the safety of the system. If there are no regulatory obligations in relation to quality, reliability and security of supply, a business is to maintain existing levels.</w:t>
      </w:r>
      <w:r w:rsidR="00661732">
        <w:rPr>
          <w:rStyle w:val="FootnoteReference"/>
        </w:rPr>
        <w:footnoteReference w:id="16"/>
      </w:r>
    </w:p>
    <w:p w:rsidR="0022669A" w:rsidRDefault="0022669A" w:rsidP="0022669A">
      <w:r w:rsidRPr="0022669A">
        <w:t xml:space="preserve">We are primarily interested in receiving submissions on </w:t>
      </w:r>
      <w:r w:rsidR="008E3FA2">
        <w:t>ActewAGL's</w:t>
      </w:r>
      <w:r w:rsidR="007F6D8E">
        <w:t xml:space="preserve"> proposed </w:t>
      </w:r>
      <w:r w:rsidRPr="0022669A">
        <w:t>approach</w:t>
      </w:r>
      <w:r w:rsidR="007F6D8E">
        <w:t>es</w:t>
      </w:r>
      <w:r w:rsidR="004C0F19">
        <w:t xml:space="preserve"> to consumer</w:t>
      </w:r>
      <w:r w:rsidRPr="0022669A">
        <w:t xml:space="preserve"> engagement, opex, capex and the expected rate of return. </w:t>
      </w:r>
      <w:r w:rsidR="007F6D8E">
        <w:t xml:space="preserve">However, </w:t>
      </w:r>
      <w:r w:rsidR="007A154F">
        <w:t xml:space="preserve">we will consider </w:t>
      </w:r>
      <w:r w:rsidR="007F6D8E">
        <w:t>submission</w:t>
      </w:r>
      <w:r w:rsidR="00B523B1">
        <w:t>s</w:t>
      </w:r>
      <w:r w:rsidR="008E3FA2">
        <w:t xml:space="preserve"> on any aspect of ActewAGL's proposal</w:t>
      </w:r>
      <w:r w:rsidR="007F6D8E">
        <w:t xml:space="preserve">. Key dates for our assessment process are set out in </w:t>
      </w:r>
      <w:r w:rsidR="00142384">
        <w:fldChar w:fldCharType="begin"/>
      </w:r>
      <w:r w:rsidR="00142384">
        <w:instrText xml:space="preserve"> REF _Ref393869068 \h </w:instrText>
      </w:r>
      <w:r w:rsidR="00142384">
        <w:fldChar w:fldCharType="separate"/>
      </w:r>
      <w:r w:rsidR="00142384">
        <w:t xml:space="preserve">table </w:t>
      </w:r>
      <w:r w:rsidR="00142384">
        <w:rPr>
          <w:noProof/>
        </w:rPr>
        <w:t>1</w:t>
      </w:r>
      <w:r w:rsidR="00142384">
        <w:fldChar w:fldCharType="end"/>
      </w:r>
      <w:r w:rsidR="00431D93">
        <w:fldChar w:fldCharType="begin"/>
      </w:r>
      <w:r w:rsidR="00431D93">
        <w:instrText xml:space="preserve"> REF _Ref390876286 \h </w:instrText>
      </w:r>
      <w:r w:rsidR="00431D93">
        <w:fldChar w:fldCharType="separate"/>
      </w:r>
      <w:r w:rsidR="00DD297F">
        <w:t>.</w:t>
      </w:r>
      <w:r w:rsidR="00431D93">
        <w:fldChar w:fldCharType="end"/>
      </w:r>
      <w:r w:rsidR="007F6D8E">
        <w:t xml:space="preserve"> below.</w:t>
      </w:r>
    </w:p>
    <w:p w:rsidR="007F6D8E" w:rsidRDefault="000514DD" w:rsidP="000514DD">
      <w:pPr>
        <w:pStyle w:val="Caption"/>
      </w:pPr>
      <w:bookmarkStart w:id="33" w:name="_Ref393869068"/>
      <w:bookmarkStart w:id="34" w:name="_Ref390876259"/>
      <w:r>
        <w:t xml:space="preserve">Table </w:t>
      </w:r>
      <w:r w:rsidR="00203B35">
        <w:fldChar w:fldCharType="begin"/>
      </w:r>
      <w:r w:rsidR="00203B35">
        <w:instrText xml:space="preserve"> SEQ Table \* ARABIC </w:instrText>
      </w:r>
      <w:r w:rsidR="00203B35">
        <w:fldChar w:fldCharType="separate"/>
      </w:r>
      <w:r w:rsidR="00DD297F">
        <w:rPr>
          <w:noProof/>
        </w:rPr>
        <w:t>1</w:t>
      </w:r>
      <w:r w:rsidR="00203B35">
        <w:rPr>
          <w:noProof/>
        </w:rPr>
        <w:fldChar w:fldCharType="end"/>
      </w:r>
      <w:bookmarkEnd w:id="33"/>
      <w:r w:rsidR="007F6D8E">
        <w:tab/>
      </w:r>
      <w:r w:rsidR="00967E7F">
        <w:t xml:space="preserve">Key dates for the ACT </w:t>
      </w:r>
      <w:r w:rsidR="007F6D8E" w:rsidRPr="007F6D8E">
        <w:t>distribution determination process</w:t>
      </w:r>
      <w:bookmarkEnd w:id="34"/>
    </w:p>
    <w:tbl>
      <w:tblPr>
        <w:tblStyle w:val="AERtable-text"/>
        <w:tblW w:w="0" w:type="auto"/>
        <w:tblLayout w:type="fixed"/>
        <w:tblLook w:val="04A0" w:firstRow="1" w:lastRow="0" w:firstColumn="1" w:lastColumn="0" w:noHBand="0" w:noVBand="1"/>
      </w:tblPr>
      <w:tblGrid>
        <w:gridCol w:w="5070"/>
        <w:gridCol w:w="4110"/>
      </w:tblGrid>
      <w:tr w:rsidR="0022669A" w:rsidRPr="00787AE3" w:rsidTr="00F50F1A">
        <w:trPr>
          <w:cnfStyle w:val="100000000000" w:firstRow="1" w:lastRow="0" w:firstColumn="0" w:lastColumn="0" w:oddVBand="0" w:evenVBand="0" w:oddHBand="0" w:evenHBand="0" w:firstRowFirstColumn="0" w:firstRowLastColumn="0" w:lastRowFirstColumn="0" w:lastRowLastColumn="0"/>
        </w:trPr>
        <w:tc>
          <w:tcPr>
            <w:tcW w:w="5070" w:type="dxa"/>
            <w:noWrap/>
          </w:tcPr>
          <w:p w:rsidR="0022669A" w:rsidRPr="0022669A" w:rsidRDefault="0022669A" w:rsidP="0022669A">
            <w:r w:rsidRPr="0022669A">
              <w:t>Task</w:t>
            </w:r>
          </w:p>
        </w:tc>
        <w:tc>
          <w:tcPr>
            <w:tcW w:w="4110" w:type="dxa"/>
            <w:noWrap/>
          </w:tcPr>
          <w:p w:rsidR="0022669A" w:rsidRPr="0022669A" w:rsidRDefault="0022669A" w:rsidP="0022669A">
            <w:r w:rsidRPr="0022669A">
              <w:t>Date</w:t>
            </w:r>
          </w:p>
        </w:tc>
      </w:tr>
      <w:tr w:rsidR="0022669A" w:rsidRPr="00787AE3" w:rsidTr="00F50F1A">
        <w:tc>
          <w:tcPr>
            <w:tcW w:w="5070" w:type="dxa"/>
            <w:noWrap/>
            <w:vAlign w:val="top"/>
          </w:tcPr>
          <w:p w:rsidR="0022669A" w:rsidRPr="0022669A" w:rsidRDefault="00967E7F" w:rsidP="0022669A">
            <w:r>
              <w:t>ActewAGL</w:t>
            </w:r>
            <w:r w:rsidR="0022669A" w:rsidRPr="00787AE3">
              <w:t xml:space="preserve"> regulatory proposal submitted to AER</w:t>
            </w:r>
          </w:p>
        </w:tc>
        <w:tc>
          <w:tcPr>
            <w:tcW w:w="4110" w:type="dxa"/>
            <w:noWrap/>
            <w:vAlign w:val="top"/>
          </w:tcPr>
          <w:p w:rsidR="0022669A" w:rsidRPr="0022669A" w:rsidRDefault="0022669A" w:rsidP="0022669A">
            <w:r w:rsidRPr="00787AE3">
              <w:t>2 June 2014</w:t>
            </w:r>
          </w:p>
        </w:tc>
      </w:tr>
      <w:tr w:rsidR="001632B2" w:rsidRPr="00787AE3" w:rsidTr="00F50F1A">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1632B2" w:rsidRDefault="001632B2" w:rsidP="0022669A">
            <w:r>
              <w:t>AER found proposal non-compliant</w:t>
            </w:r>
          </w:p>
        </w:tc>
        <w:tc>
          <w:tcPr>
            <w:tcW w:w="4110" w:type="dxa"/>
            <w:noWrap/>
            <w:vAlign w:val="top"/>
          </w:tcPr>
          <w:p w:rsidR="001632B2" w:rsidRPr="00787AE3" w:rsidRDefault="001632B2" w:rsidP="0022669A">
            <w:r>
              <w:t>17 June 2014</w:t>
            </w:r>
          </w:p>
        </w:tc>
      </w:tr>
      <w:tr w:rsidR="001632B2" w:rsidRPr="00787AE3" w:rsidTr="00F50F1A">
        <w:tc>
          <w:tcPr>
            <w:tcW w:w="5070" w:type="dxa"/>
            <w:noWrap/>
            <w:vAlign w:val="top"/>
          </w:tcPr>
          <w:p w:rsidR="001632B2" w:rsidRDefault="001632B2" w:rsidP="00FF7128">
            <w:r>
              <w:t xml:space="preserve">ActewAGL </w:t>
            </w:r>
            <w:r w:rsidR="00FF7128">
              <w:t>re</w:t>
            </w:r>
            <w:r>
              <w:t xml:space="preserve">submitted </w:t>
            </w:r>
            <w:r w:rsidR="00FF7128">
              <w:t>its regulatory</w:t>
            </w:r>
            <w:r>
              <w:t xml:space="preserve"> proposal</w:t>
            </w:r>
          </w:p>
        </w:tc>
        <w:tc>
          <w:tcPr>
            <w:tcW w:w="4110" w:type="dxa"/>
            <w:noWrap/>
            <w:vAlign w:val="top"/>
          </w:tcPr>
          <w:p w:rsidR="001632B2" w:rsidRPr="00787AE3" w:rsidRDefault="001632B2" w:rsidP="0022669A">
            <w:r>
              <w:t>10 July</w:t>
            </w:r>
          </w:p>
        </w:tc>
      </w:tr>
      <w:tr w:rsidR="0022669A" w:rsidRPr="00787AE3" w:rsidTr="00F50F1A">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22669A" w:rsidRPr="0022669A" w:rsidRDefault="00FF7128" w:rsidP="00FF7128">
            <w:r>
              <w:t>AER published resubmitted r</w:t>
            </w:r>
            <w:r w:rsidR="0022669A" w:rsidRPr="00787AE3">
              <w:t>egulatory proposal and supporting documents</w:t>
            </w:r>
            <w:r>
              <w:t xml:space="preserve"> &amp; called for submissions</w:t>
            </w:r>
          </w:p>
        </w:tc>
        <w:tc>
          <w:tcPr>
            <w:tcW w:w="4110" w:type="dxa"/>
            <w:noWrap/>
            <w:vAlign w:val="top"/>
          </w:tcPr>
          <w:p w:rsidR="0022669A" w:rsidRPr="0022669A" w:rsidRDefault="000E676A" w:rsidP="0022669A">
            <w:r>
              <w:t>11</w:t>
            </w:r>
            <w:r w:rsidR="00B523B1" w:rsidRPr="0022669A">
              <w:t xml:space="preserve"> </w:t>
            </w:r>
            <w:r>
              <w:t>July</w:t>
            </w:r>
            <w:r w:rsidR="0022669A" w:rsidRPr="0022669A">
              <w:t xml:space="preserve"> 2014</w:t>
            </w:r>
          </w:p>
        </w:tc>
      </w:tr>
      <w:tr w:rsidR="0022669A" w:rsidRPr="00787AE3" w:rsidTr="00F50F1A">
        <w:tc>
          <w:tcPr>
            <w:tcW w:w="5070" w:type="dxa"/>
            <w:noWrap/>
            <w:vAlign w:val="top"/>
          </w:tcPr>
          <w:p w:rsidR="0022669A" w:rsidRPr="0022669A" w:rsidRDefault="0022669A" w:rsidP="00F50F1A">
            <w:r w:rsidRPr="00787AE3">
              <w:t xml:space="preserve">AER </w:t>
            </w:r>
            <w:r w:rsidR="00F50F1A">
              <w:t>public</w:t>
            </w:r>
            <w:r w:rsidRPr="00787AE3">
              <w:t xml:space="preserve"> forum</w:t>
            </w:r>
          </w:p>
        </w:tc>
        <w:tc>
          <w:tcPr>
            <w:tcW w:w="4110" w:type="dxa"/>
            <w:noWrap/>
            <w:vAlign w:val="top"/>
          </w:tcPr>
          <w:p w:rsidR="0022669A" w:rsidRPr="0022669A" w:rsidRDefault="00F74FD1" w:rsidP="0022669A">
            <w:r>
              <w:t>30</w:t>
            </w:r>
            <w:r w:rsidR="0022669A" w:rsidRPr="00787AE3">
              <w:t xml:space="preserve"> July 2014</w:t>
            </w:r>
          </w:p>
        </w:tc>
      </w:tr>
      <w:tr w:rsidR="0022669A" w:rsidRPr="00787AE3" w:rsidTr="00F50F1A">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22669A" w:rsidRPr="0022669A" w:rsidRDefault="0022669A" w:rsidP="0022669A">
            <w:r w:rsidRPr="00787AE3">
              <w:t>Stakeholder sub</w:t>
            </w:r>
            <w:r w:rsidR="00967E7F">
              <w:t xml:space="preserve">missions on </w:t>
            </w:r>
            <w:r w:rsidR="00FF7128">
              <w:t xml:space="preserve">resubmitted </w:t>
            </w:r>
            <w:r w:rsidR="00967E7F">
              <w:t>regulatory proposal</w:t>
            </w:r>
            <w:r w:rsidRPr="00787AE3">
              <w:t xml:space="preserve"> close</w:t>
            </w:r>
          </w:p>
        </w:tc>
        <w:tc>
          <w:tcPr>
            <w:tcW w:w="4110" w:type="dxa"/>
            <w:noWrap/>
            <w:vAlign w:val="top"/>
          </w:tcPr>
          <w:p w:rsidR="0022669A" w:rsidRPr="0022669A" w:rsidRDefault="00F74FD1" w:rsidP="0022669A">
            <w:r>
              <w:t>22</w:t>
            </w:r>
            <w:r w:rsidR="00B523B1">
              <w:t xml:space="preserve"> August</w:t>
            </w:r>
            <w:r w:rsidR="0022669A" w:rsidRPr="0022669A">
              <w:t xml:space="preserve"> 2014</w:t>
            </w:r>
          </w:p>
        </w:tc>
      </w:tr>
      <w:tr w:rsidR="0022669A" w:rsidRPr="00787AE3" w:rsidTr="00F50F1A">
        <w:tc>
          <w:tcPr>
            <w:tcW w:w="5070" w:type="dxa"/>
            <w:noWrap/>
            <w:vAlign w:val="top"/>
          </w:tcPr>
          <w:p w:rsidR="0022669A" w:rsidRPr="0022669A" w:rsidRDefault="0022669A" w:rsidP="0022669A">
            <w:r w:rsidRPr="00787AE3">
              <w:t>AER issues draft decision</w:t>
            </w:r>
          </w:p>
        </w:tc>
        <w:tc>
          <w:tcPr>
            <w:tcW w:w="4110" w:type="dxa"/>
            <w:noWrap/>
            <w:vAlign w:val="top"/>
          </w:tcPr>
          <w:p w:rsidR="0022669A" w:rsidRPr="0022669A" w:rsidRDefault="0022669A" w:rsidP="0022669A">
            <w:r w:rsidRPr="00787AE3">
              <w:t>30 November 2014</w:t>
            </w:r>
          </w:p>
        </w:tc>
      </w:tr>
      <w:tr w:rsidR="0022669A" w:rsidRPr="00787AE3" w:rsidTr="00F50F1A">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22669A" w:rsidRPr="0022669A" w:rsidRDefault="00967E7F" w:rsidP="0022669A">
            <w:r>
              <w:t>ActewAGL</w:t>
            </w:r>
            <w:r w:rsidR="0022669A" w:rsidRPr="00787AE3">
              <w:t xml:space="preserve"> submit</w:t>
            </w:r>
            <w:r>
              <w:t>s revised regulatory proposal</w:t>
            </w:r>
          </w:p>
        </w:tc>
        <w:tc>
          <w:tcPr>
            <w:tcW w:w="4110" w:type="dxa"/>
            <w:noWrap/>
            <w:vAlign w:val="top"/>
          </w:tcPr>
          <w:p w:rsidR="0022669A" w:rsidRPr="00B523B1" w:rsidRDefault="00B523B1" w:rsidP="00B523B1">
            <w:r w:rsidRPr="00B523B1">
              <w:t xml:space="preserve">16 </w:t>
            </w:r>
            <w:r w:rsidR="0022669A" w:rsidRPr="00B523B1">
              <w:t>January 2015</w:t>
            </w:r>
            <w:r w:rsidR="00F50F1A">
              <w:t>*</w:t>
            </w:r>
          </w:p>
        </w:tc>
      </w:tr>
      <w:tr w:rsidR="0022669A" w:rsidRPr="00787AE3" w:rsidTr="00F50F1A">
        <w:tc>
          <w:tcPr>
            <w:tcW w:w="5070" w:type="dxa"/>
            <w:noWrap/>
            <w:vAlign w:val="top"/>
          </w:tcPr>
          <w:p w:rsidR="0022669A" w:rsidRPr="0022669A" w:rsidRDefault="0022669A" w:rsidP="00967E7F">
            <w:r w:rsidRPr="00787AE3">
              <w:t xml:space="preserve">Stakeholder submissions on </w:t>
            </w:r>
            <w:r w:rsidR="00FF7128">
              <w:t>draft decision/</w:t>
            </w:r>
            <w:r w:rsidRPr="00787AE3">
              <w:t>revised regulatory proposal close</w:t>
            </w:r>
          </w:p>
        </w:tc>
        <w:tc>
          <w:tcPr>
            <w:tcW w:w="4110" w:type="dxa"/>
            <w:noWrap/>
            <w:vAlign w:val="top"/>
          </w:tcPr>
          <w:p w:rsidR="0022669A" w:rsidRPr="00B523B1" w:rsidRDefault="00B523B1" w:rsidP="00B523B1">
            <w:r w:rsidRPr="00B523B1">
              <w:t>27 February 2015</w:t>
            </w:r>
            <w:r w:rsidR="00F50F1A">
              <w:t>*</w:t>
            </w:r>
            <w:r w:rsidRPr="00B523B1">
              <w:t xml:space="preserve"> </w:t>
            </w:r>
          </w:p>
        </w:tc>
      </w:tr>
      <w:tr w:rsidR="0022669A" w:rsidRPr="00787AE3" w:rsidTr="00F50F1A">
        <w:trPr>
          <w:cnfStyle w:val="000000010000" w:firstRow="0" w:lastRow="0" w:firstColumn="0" w:lastColumn="0" w:oddVBand="0" w:evenVBand="0" w:oddHBand="0" w:evenHBand="1" w:firstRowFirstColumn="0" w:firstRowLastColumn="0" w:lastRowFirstColumn="0" w:lastRowLastColumn="0"/>
        </w:trPr>
        <w:tc>
          <w:tcPr>
            <w:tcW w:w="5070" w:type="dxa"/>
            <w:noWrap/>
            <w:vAlign w:val="top"/>
          </w:tcPr>
          <w:p w:rsidR="0022669A" w:rsidRPr="0022669A" w:rsidRDefault="0022669A" w:rsidP="0022669A">
            <w:r w:rsidRPr="00787AE3">
              <w:t>AER issues final decision</w:t>
            </w:r>
          </w:p>
        </w:tc>
        <w:tc>
          <w:tcPr>
            <w:tcW w:w="4110" w:type="dxa"/>
            <w:noWrap/>
            <w:vAlign w:val="top"/>
          </w:tcPr>
          <w:p w:rsidR="0022669A" w:rsidRPr="0022669A" w:rsidRDefault="0022669A" w:rsidP="0022669A">
            <w:r w:rsidRPr="00787AE3">
              <w:t>30 April 2015</w:t>
            </w:r>
          </w:p>
        </w:tc>
      </w:tr>
    </w:tbl>
    <w:p w:rsidR="006B4255" w:rsidRDefault="00F50F1A" w:rsidP="00F50F1A">
      <w:pPr>
        <w:pStyle w:val="AERtablesource"/>
      </w:pPr>
      <w:r>
        <w:t>*Note: Dates are indicative only and will be confirmed as process progresses.</w:t>
      </w:r>
    </w:p>
    <w:p w:rsidR="0022669A" w:rsidRPr="0022669A" w:rsidRDefault="0022669A" w:rsidP="00B62A1E">
      <w:pPr>
        <w:pStyle w:val="HeadingBoldBlue"/>
      </w:pPr>
      <w:r w:rsidRPr="0022669A">
        <w:lastRenderedPageBreak/>
        <w:t>AER annual benchmarking report</w:t>
      </w:r>
    </w:p>
    <w:p w:rsidR="0022669A" w:rsidRPr="0022669A" w:rsidRDefault="0022669A" w:rsidP="0022669A">
      <w:r w:rsidRPr="0022669A">
        <w:t xml:space="preserve">The </w:t>
      </w:r>
      <w:r w:rsidR="0025716A">
        <w:t>rules</w:t>
      </w:r>
      <w:r w:rsidRPr="0022669A">
        <w:t xml:space="preserve"> require us to publish our first benchmarking report for transmission and distribu</w:t>
      </w:r>
      <w:r w:rsidR="00B62A1E">
        <w:t xml:space="preserve">tion network service providers </w:t>
      </w:r>
      <w:r w:rsidRPr="0022669A">
        <w:t>by 30 September 2014. The purpose of this report is to describe, in plain language, the relative efficiency of each network service provider over a 12 month period. We will consult on the annual benchmarking report in a separate process. We will take into account the results and analysis in this report as part of our draft and final decisions</w:t>
      </w:r>
      <w:r w:rsidR="006E5EDE">
        <w:t xml:space="preserve"> on </w:t>
      </w:r>
      <w:r w:rsidR="005E22FD">
        <w:t>ActewAGL's</w:t>
      </w:r>
      <w:r w:rsidR="006E5EDE">
        <w:t xml:space="preserve"> regulatory proposals</w:t>
      </w:r>
      <w:r w:rsidR="00B523B1">
        <w:t xml:space="preserve"> for 2014</w:t>
      </w:r>
      <w:r w:rsidR="00B523B1">
        <w:rPr>
          <w:rFonts w:cs="Gautami"/>
        </w:rPr>
        <w:t>–</w:t>
      </w:r>
      <w:r w:rsidR="00B523B1">
        <w:t>19</w:t>
      </w:r>
      <w:r w:rsidRPr="0022669A">
        <w:t>.</w:t>
      </w:r>
    </w:p>
    <w:p w:rsidR="00C702AD" w:rsidRDefault="00C702AD" w:rsidP="002609DE">
      <w:pPr>
        <w:pStyle w:val="UnnumberedHeading"/>
      </w:pPr>
      <w:bookmarkStart w:id="35" w:name="_Toc393880975"/>
      <w:r>
        <w:lastRenderedPageBreak/>
        <w:t>Attachments</w:t>
      </w:r>
      <w:bookmarkEnd w:id="35"/>
    </w:p>
    <w:p w:rsidR="00DD6F68" w:rsidRPr="00B523B1" w:rsidRDefault="00DD6F68" w:rsidP="000514DD">
      <w:pPr>
        <w:pStyle w:val="Heading1"/>
      </w:pPr>
      <w:bookmarkStart w:id="36" w:name="_Toc393880976"/>
      <w:r w:rsidRPr="000514DD">
        <w:lastRenderedPageBreak/>
        <w:t>Background</w:t>
      </w:r>
      <w:r w:rsidR="002A737F" w:rsidRPr="00E43EF9">
        <w:t xml:space="preserve"> to our assessment</w:t>
      </w:r>
      <w:bookmarkEnd w:id="36"/>
    </w:p>
    <w:p w:rsidR="006360F2" w:rsidRDefault="006360F2" w:rsidP="006360F2">
      <w:pPr>
        <w:pStyle w:val="AERbodytext"/>
      </w:pPr>
      <w:r w:rsidRPr="006360F2">
        <w:t>Th</w:t>
      </w:r>
      <w:r w:rsidR="006035B6">
        <w:t xml:space="preserve">is attachment </w:t>
      </w:r>
      <w:r w:rsidRPr="006360F2">
        <w:t>pr</w:t>
      </w:r>
      <w:r w:rsidR="00DC2876">
        <w:t xml:space="preserve">ovides information about us, </w:t>
      </w:r>
      <w:r w:rsidR="00F259EB">
        <w:t>ActewAGL</w:t>
      </w:r>
      <w:r w:rsidR="00DC2876">
        <w:t xml:space="preserve"> and the regulatory framework that we administer</w:t>
      </w:r>
      <w:r w:rsidRPr="006360F2">
        <w:t xml:space="preserve">. </w:t>
      </w:r>
    </w:p>
    <w:p w:rsidR="007113BD" w:rsidRPr="002609DE" w:rsidRDefault="007113BD" w:rsidP="00C702AD">
      <w:pPr>
        <w:pStyle w:val="Heading2"/>
      </w:pPr>
      <w:bookmarkStart w:id="37" w:name="_Toc390238696"/>
      <w:bookmarkStart w:id="38" w:name="_Toc391386401"/>
      <w:bookmarkStart w:id="39" w:name="_Toc391447516"/>
      <w:bookmarkStart w:id="40" w:name="_Toc393880977"/>
      <w:bookmarkEnd w:id="37"/>
      <w:r w:rsidRPr="002609DE">
        <w:t>The Australian Energy Regulator</w:t>
      </w:r>
      <w:bookmarkEnd w:id="38"/>
      <w:bookmarkEnd w:id="39"/>
      <w:bookmarkEnd w:id="40"/>
    </w:p>
    <w:p w:rsidR="007113BD" w:rsidRPr="007113BD" w:rsidRDefault="007113BD" w:rsidP="00110CDA">
      <w:pPr>
        <w:pStyle w:val="AERbodytext"/>
      </w:pPr>
      <w:r w:rsidRPr="007113BD">
        <w:t>We are Australia's national energy market regulator and an independent statuto</w:t>
      </w:r>
      <w:r w:rsidR="00466E3C">
        <w:t xml:space="preserve">ry authority. Our functions, </w:t>
      </w:r>
      <w:r w:rsidRPr="007113BD">
        <w:t xml:space="preserve">set out in </w:t>
      </w:r>
      <w:r w:rsidR="00BF5BDC">
        <w:t>the NEL</w:t>
      </w:r>
      <w:r w:rsidRPr="007113BD">
        <w:t xml:space="preserve"> and </w:t>
      </w:r>
      <w:r w:rsidR="00634481">
        <w:t>rules</w:t>
      </w:r>
      <w:r w:rsidR="00466E3C">
        <w:t xml:space="preserve">, </w:t>
      </w:r>
      <w:r w:rsidRPr="007113BD">
        <w:t>mostly relate to energy markets in eastern and southern Australia</w:t>
      </w:r>
      <w:r w:rsidR="00110CDA">
        <w:t>. S</w:t>
      </w:r>
      <w:r w:rsidRPr="007113BD">
        <w:t xml:space="preserve">pecific to this review, we are responsible for the economic regulation of all </w:t>
      </w:r>
      <w:r w:rsidR="007D3B9A">
        <w:t xml:space="preserve">electricity </w:t>
      </w:r>
      <w:r w:rsidRPr="007113BD">
        <w:t>distribution</w:t>
      </w:r>
      <w:r w:rsidR="007D3B9A">
        <w:t xml:space="preserve"> </w:t>
      </w:r>
      <w:r w:rsidRPr="007113BD">
        <w:t>networks in eastern and southern Australia.</w:t>
      </w:r>
    </w:p>
    <w:p w:rsidR="00D5564C" w:rsidRPr="00D5564C" w:rsidRDefault="00D5564C">
      <w:pPr>
        <w:pStyle w:val="AERbodytext"/>
      </w:pPr>
      <w:r w:rsidRPr="00D5564C">
        <w:t>We are required to exercise our functions in a manner that will advance the N</w:t>
      </w:r>
      <w:r>
        <w:t xml:space="preserve">ational </w:t>
      </w:r>
      <w:r w:rsidRPr="00D5564C">
        <w:t>E</w:t>
      </w:r>
      <w:r>
        <w:t xml:space="preserve">lectricity </w:t>
      </w:r>
      <w:r w:rsidRPr="00D5564C">
        <w:t>O</w:t>
      </w:r>
      <w:r>
        <w:t>bjective (NEO)</w:t>
      </w:r>
      <w:r w:rsidRPr="00D5564C">
        <w:t>. The NEO in turn is supported through the revenue and pricing principles and the various objectives, criteria and elements within the rules. The NEO is:</w:t>
      </w:r>
      <w:r>
        <w:rPr>
          <w:rStyle w:val="FootnoteReference"/>
        </w:rPr>
        <w:footnoteReference w:id="17"/>
      </w:r>
    </w:p>
    <w:p w:rsidR="00D5564C" w:rsidRPr="00D5564C" w:rsidRDefault="00D5564C" w:rsidP="003D0342">
      <w:pPr>
        <w:pStyle w:val="AERquoteindent1"/>
      </w:pPr>
      <w:r>
        <w:t>…</w:t>
      </w:r>
      <w:r w:rsidRPr="00D5564C">
        <w:t>to promote efficient investment in, and efficient operation and use of, electricity services for the long term interests of consumers of electricity with respect to—</w:t>
      </w:r>
    </w:p>
    <w:p w:rsidR="00D5564C" w:rsidRPr="00D5564C" w:rsidRDefault="00E473FA" w:rsidP="003D0342">
      <w:pPr>
        <w:pStyle w:val="AERquoteindent1"/>
      </w:pPr>
      <w:r>
        <w:t>(a)</w:t>
      </w:r>
      <w:r>
        <w:tab/>
      </w:r>
      <w:r w:rsidR="00D5564C" w:rsidRPr="00D5564C">
        <w:t>price, quality, safety, reliability and security of supply of electricity; and</w:t>
      </w:r>
    </w:p>
    <w:p w:rsidR="00D5564C" w:rsidRPr="00D5564C" w:rsidRDefault="00E473FA" w:rsidP="003D0342">
      <w:pPr>
        <w:pStyle w:val="AERquoteindent1"/>
      </w:pPr>
      <w:r>
        <w:t>(b)</w:t>
      </w:r>
      <w:r>
        <w:tab/>
      </w:r>
      <w:r w:rsidR="00D5564C" w:rsidRPr="00D5564C">
        <w:t xml:space="preserve">the reliability, safety and security of the national electricity system. </w:t>
      </w:r>
    </w:p>
    <w:p w:rsidR="00D9641B" w:rsidRPr="003D0342" w:rsidRDefault="00D5564C">
      <w:pPr>
        <w:pStyle w:val="AERbodytext"/>
        <w:rPr>
          <w:rStyle w:val="AERbody"/>
        </w:rPr>
      </w:pPr>
      <w:r w:rsidRPr="003D0342">
        <w:rPr>
          <w:rStyle w:val="AERbody"/>
        </w:rPr>
        <w:t>We consider that the NEO is most likely to be advanced where consumers are offered a reasonable level of service at the lowest sustainable price. In most industries, this outcome is achieved through the operation of competition.</w:t>
      </w:r>
      <w:r w:rsidR="00D9641B" w:rsidRPr="003D0342">
        <w:rPr>
          <w:rStyle w:val="AERbody"/>
        </w:rPr>
        <w:t xml:space="preserve"> However, in the electricity network industry the usual competitive disciplines do not operate. </w:t>
      </w:r>
      <w:r w:rsidR="00F259EB">
        <w:rPr>
          <w:rStyle w:val="AERbody"/>
        </w:rPr>
        <w:t>E</w:t>
      </w:r>
      <w:r w:rsidR="00D9641B" w:rsidRPr="003D0342">
        <w:rPr>
          <w:rStyle w:val="AERbody"/>
        </w:rPr>
        <w:t>lectricity network businesses are</w:t>
      </w:r>
      <w:r w:rsidR="001549D0">
        <w:rPr>
          <w:rStyle w:val="AERbody"/>
        </w:rPr>
        <w:t xml:space="preserve"> natural</w:t>
      </w:r>
      <w:r w:rsidR="00D9641B" w:rsidRPr="003D0342">
        <w:rPr>
          <w:rStyle w:val="AERbody"/>
        </w:rPr>
        <w:t xml:space="preserve"> monopolies and the products they offer are essential services for most consumers. Consequently, consumers have little choice but to accept the </w:t>
      </w:r>
      <w:r w:rsidR="00E43EF9">
        <w:rPr>
          <w:rStyle w:val="AERbody"/>
        </w:rPr>
        <w:t xml:space="preserve">service </w:t>
      </w:r>
      <w:r w:rsidR="00D9641B" w:rsidRPr="003D0342">
        <w:rPr>
          <w:rStyle w:val="AERbody"/>
        </w:rPr>
        <w:t xml:space="preserve">quality and price offered by </w:t>
      </w:r>
      <w:r w:rsidR="00F259EB">
        <w:rPr>
          <w:rStyle w:val="AERbody"/>
        </w:rPr>
        <w:t>a</w:t>
      </w:r>
      <w:r w:rsidR="00F259EB" w:rsidRPr="003D0342">
        <w:rPr>
          <w:rStyle w:val="AERbody"/>
        </w:rPr>
        <w:t xml:space="preserve"> </w:t>
      </w:r>
      <w:r w:rsidR="00F50F1A">
        <w:rPr>
          <w:rStyle w:val="AERbody"/>
        </w:rPr>
        <w:t>distributor</w:t>
      </w:r>
      <w:r w:rsidR="00D9641B" w:rsidRPr="003D0342">
        <w:rPr>
          <w:rStyle w:val="AERbody"/>
        </w:rPr>
        <w:t>.</w:t>
      </w:r>
    </w:p>
    <w:p w:rsidR="00F95E05" w:rsidRDefault="00D9641B">
      <w:pPr>
        <w:pStyle w:val="AERbodytext"/>
      </w:pPr>
      <w:r w:rsidRPr="00D9641B">
        <w:t xml:space="preserve">The </w:t>
      </w:r>
      <w:r w:rsidR="00634481">
        <w:t xml:space="preserve">NEL and rules </w:t>
      </w:r>
      <w:r w:rsidR="00E374F5">
        <w:t xml:space="preserve">aim to </w:t>
      </w:r>
      <w:r w:rsidR="001549D0">
        <w:t xml:space="preserve">reflect </w:t>
      </w:r>
      <w:r w:rsidR="00E374F5">
        <w:t>the competitive process</w:t>
      </w:r>
      <w:r w:rsidRPr="00D9641B">
        <w:t xml:space="preserve"> by empowering us, as regulator, to make determinations that are in the long term interests of consumers. In short, we </w:t>
      </w:r>
      <w:r w:rsidR="00E374F5">
        <w:t>may</w:t>
      </w:r>
      <w:r w:rsidRPr="00D9641B">
        <w:t xml:space="preserve"> require </w:t>
      </w:r>
      <w:r w:rsidR="00F259EB">
        <w:t xml:space="preserve">a </w:t>
      </w:r>
      <w:r w:rsidR="00F50F1A">
        <w:t>distributor</w:t>
      </w:r>
      <w:r w:rsidRPr="00D9641B">
        <w:t xml:space="preserve"> to offer </w:t>
      </w:r>
      <w:r w:rsidR="00F259EB">
        <w:t xml:space="preserve">its </w:t>
      </w:r>
      <w:r w:rsidRPr="00D9641B">
        <w:t xml:space="preserve">services at a higher quality and lower price than </w:t>
      </w:r>
      <w:r w:rsidR="00F259EB">
        <w:t>it</w:t>
      </w:r>
      <w:r w:rsidR="00F259EB" w:rsidRPr="00D9641B">
        <w:t xml:space="preserve"> </w:t>
      </w:r>
      <w:r w:rsidRPr="00D9641B">
        <w:t xml:space="preserve">would choose </w:t>
      </w:r>
      <w:r w:rsidR="00F259EB">
        <w:t>itself</w:t>
      </w:r>
      <w:r w:rsidRPr="00D9641B">
        <w:t>.</w:t>
      </w:r>
      <w:r w:rsidR="00265930">
        <w:t xml:space="preserve"> </w:t>
      </w:r>
      <w:r w:rsidR="00265930" w:rsidRPr="00265930">
        <w:t xml:space="preserve">This requires the exercise of careful judgement. We must form a view after considering the interests of all parties. Further, there is no single precise answer. </w:t>
      </w:r>
    </w:p>
    <w:p w:rsidR="00C202D3" w:rsidRDefault="00265930">
      <w:pPr>
        <w:pStyle w:val="AERbodytext"/>
      </w:pPr>
      <w:r w:rsidRPr="00265930">
        <w:t>There are potentially a range of outcomes that might advance the NEO. However, there are also a range of outcomes that are unlikely to advance the NEO to a satisfactory extent. For example, we do not consider that the NEO would be advanced if prices are so high that large numbers of consumers are unable to afford the service, nor if prices are so low that investors are unwilling to supply the service. We are also mindful that electricity supply is an important input for downstream economic activity.</w:t>
      </w:r>
      <w:r w:rsidR="0018087D">
        <w:t xml:space="preserve"> </w:t>
      </w:r>
      <w:r w:rsidR="00C202D3">
        <w:t>We would like to hear views on how the NEO is best reflected in our decision.</w:t>
      </w:r>
    </w:p>
    <w:p w:rsidR="002423F9" w:rsidRPr="002609DE" w:rsidRDefault="00C7275E" w:rsidP="00C702AD">
      <w:pPr>
        <w:pStyle w:val="Heading2"/>
      </w:pPr>
      <w:bookmarkStart w:id="41" w:name="_Toc390238698"/>
      <w:bookmarkStart w:id="42" w:name="_Toc391386402"/>
      <w:bookmarkStart w:id="43" w:name="_Toc391447517"/>
      <w:bookmarkStart w:id="44" w:name="_Toc393880978"/>
      <w:bookmarkEnd w:id="41"/>
      <w:r>
        <w:t>Who is ActewAGL</w:t>
      </w:r>
      <w:r w:rsidR="007113BD" w:rsidRPr="002609DE">
        <w:t>?</w:t>
      </w:r>
      <w:bookmarkEnd w:id="42"/>
      <w:bookmarkEnd w:id="43"/>
      <w:bookmarkEnd w:id="44"/>
    </w:p>
    <w:p w:rsidR="00C9365E" w:rsidRDefault="00C9365E" w:rsidP="00C9365E">
      <w:pPr>
        <w:pStyle w:val="AERbodytext"/>
        <w:rPr>
          <w:rStyle w:val="AERbody"/>
        </w:rPr>
      </w:pPr>
      <w:r w:rsidRPr="00C9365E">
        <w:rPr>
          <w:rStyle w:val="AERbody"/>
        </w:rPr>
        <w:t xml:space="preserve">The electricity supply chain begins with a wholesale market in which generators produce electricity and sell it through a central dispatch process. The high voltage transmission network transfers electricity over long distances from where it is generated to where consumers need it. </w:t>
      </w:r>
      <w:r w:rsidR="00C7275E">
        <w:rPr>
          <w:rStyle w:val="AERbody"/>
        </w:rPr>
        <w:t>ActewAGL's distribution network</w:t>
      </w:r>
      <w:r w:rsidRPr="00C9365E">
        <w:rPr>
          <w:rStyle w:val="AERbody"/>
        </w:rPr>
        <w:t xml:space="preserve"> </w:t>
      </w:r>
      <w:r w:rsidR="00C308D9">
        <w:rPr>
          <w:rStyle w:val="AERbody"/>
        </w:rPr>
        <w:t xml:space="preserve">of poles, wires and transformers </w:t>
      </w:r>
      <w:r w:rsidRPr="00C9365E">
        <w:rPr>
          <w:rStyle w:val="AERbody"/>
        </w:rPr>
        <w:t>connect</w:t>
      </w:r>
      <w:r w:rsidR="00C7275E">
        <w:rPr>
          <w:rStyle w:val="AERbody"/>
        </w:rPr>
        <w:t>s</w:t>
      </w:r>
      <w:r w:rsidRPr="00C9365E">
        <w:rPr>
          <w:rStyle w:val="AERbody"/>
        </w:rPr>
        <w:t xml:space="preserve"> the high voltage transmission network to customers. Distribution networks criss</w:t>
      </w:r>
      <w:r w:rsidR="00F51826">
        <w:rPr>
          <w:rStyle w:val="AERbody"/>
        </w:rPr>
        <w:noBreakHyphen/>
      </w:r>
      <w:r w:rsidRPr="00C9365E">
        <w:rPr>
          <w:rStyle w:val="AERbody"/>
        </w:rPr>
        <w:t>cross urban and regional areas to provide electricity to every electricity consumer</w:t>
      </w:r>
      <w:r w:rsidR="00F51826">
        <w:rPr>
          <w:rStyle w:val="AERbody"/>
        </w:rPr>
        <w:t>.</w:t>
      </w:r>
    </w:p>
    <w:p w:rsidR="00C75304" w:rsidRPr="00C9365E" w:rsidRDefault="00C75304" w:rsidP="00C9365E">
      <w:pPr>
        <w:pStyle w:val="AERbodytext"/>
        <w:rPr>
          <w:rStyle w:val="AERbody"/>
        </w:rPr>
      </w:pPr>
      <w:r>
        <w:rPr>
          <w:rStyle w:val="AERbody"/>
        </w:rPr>
        <w:lastRenderedPageBreak/>
        <w:t xml:space="preserve">ActewAGL is </w:t>
      </w:r>
      <w:r w:rsidR="004D1B6D">
        <w:rPr>
          <w:rStyle w:val="AERbody"/>
        </w:rPr>
        <w:t>equally owned by the ACT Government and Jemena Ltd. In turn, Jemena is jointly owned by Singapore Power and State Grid Corporation of China.</w:t>
      </w:r>
      <w:r w:rsidR="00C308D9">
        <w:rPr>
          <w:rStyle w:val="AERbody"/>
        </w:rPr>
        <w:t xml:space="preserve"> ActewAGL services around 177,000 h</w:t>
      </w:r>
      <w:r w:rsidR="006B11D0">
        <w:rPr>
          <w:rStyle w:val="AERbody"/>
        </w:rPr>
        <w:t>omes and businesses in the ACT. ActewAGL's sister company, ActewAGL Retail, is a different joint venture entity, providing energy retail services. ActewAGL Retail is not the subject of this reset.</w:t>
      </w:r>
    </w:p>
    <w:p w:rsidR="002423F9" w:rsidRPr="0004760F" w:rsidRDefault="001C3D19" w:rsidP="008A7139">
      <w:pPr>
        <w:pStyle w:val="Heading2"/>
      </w:pPr>
      <w:bookmarkStart w:id="45" w:name="_Toc390238702"/>
      <w:bookmarkStart w:id="46" w:name="_Toc390238703"/>
      <w:bookmarkStart w:id="47" w:name="_Toc390238704"/>
      <w:bookmarkStart w:id="48" w:name="_Toc390238705"/>
      <w:bookmarkStart w:id="49" w:name="_Toc390238706"/>
      <w:bookmarkStart w:id="50" w:name="_Toc391447518"/>
      <w:bookmarkStart w:id="51" w:name="_Toc393880979"/>
      <w:bookmarkEnd w:id="45"/>
      <w:bookmarkEnd w:id="46"/>
      <w:bookmarkEnd w:id="47"/>
      <w:bookmarkEnd w:id="48"/>
      <w:bookmarkEnd w:id="49"/>
      <w:r>
        <w:t>The r</w:t>
      </w:r>
      <w:r w:rsidR="00701382" w:rsidRPr="0004760F">
        <w:t>egulatory framework</w:t>
      </w:r>
      <w:bookmarkEnd w:id="50"/>
      <w:bookmarkEnd w:id="51"/>
    </w:p>
    <w:p w:rsidR="00B417B8" w:rsidRDefault="006B11D0">
      <w:pPr>
        <w:pStyle w:val="AERbodytext"/>
      </w:pPr>
      <w:bookmarkStart w:id="52" w:name="_Toc390238708"/>
      <w:bookmarkEnd w:id="52"/>
      <w:r>
        <w:t>We must assess ActewAGL's regulatory proposal</w:t>
      </w:r>
      <w:r w:rsidR="00D7580F" w:rsidRPr="00D7580F">
        <w:t xml:space="preserve"> under version </w:t>
      </w:r>
      <w:r w:rsidR="00072936">
        <w:t xml:space="preserve">58 </w:t>
      </w:r>
      <w:r w:rsidR="00D7580F" w:rsidRPr="00D7580F">
        <w:t xml:space="preserve">the </w:t>
      </w:r>
      <w:r w:rsidR="0025716A">
        <w:t>rules</w:t>
      </w:r>
      <w:r w:rsidR="00DC60EC">
        <w:t xml:space="preserve"> as modified</w:t>
      </w:r>
      <w:r w:rsidR="00D7580F" w:rsidRPr="00D7580F">
        <w:t xml:space="preserve">. This version is available at the </w:t>
      </w:r>
      <w:r w:rsidR="00E43EF9">
        <w:t>Australian Energy Market Commission (</w:t>
      </w:r>
      <w:r w:rsidR="00D7580F" w:rsidRPr="00D7580F">
        <w:t>AEMC</w:t>
      </w:r>
      <w:r w:rsidR="00E43EF9">
        <w:t>)</w:t>
      </w:r>
      <w:r w:rsidR="00D7580F" w:rsidRPr="00D7580F">
        <w:t xml:space="preserve"> website.</w:t>
      </w:r>
      <w:r w:rsidR="00D7580F" w:rsidRPr="008D76D9">
        <w:rPr>
          <w:rStyle w:val="AERsuperscript"/>
        </w:rPr>
        <w:footnoteReference w:id="18"/>
      </w:r>
      <w:r w:rsidR="000E45DF">
        <w:t xml:space="preserve"> This version of the </w:t>
      </w:r>
      <w:r w:rsidR="0025716A">
        <w:t>rules</w:t>
      </w:r>
      <w:r w:rsidR="000E45DF">
        <w:t xml:space="preserve"> is the result of significant changes made by the AEMC in November 2012. </w:t>
      </w:r>
      <w:r w:rsidR="00AC39D9">
        <w:t>U</w:t>
      </w:r>
      <w:r w:rsidR="009B2BD3">
        <w:t xml:space="preserve">nder </w:t>
      </w:r>
      <w:r w:rsidR="00AC39D9">
        <w:t>our</w:t>
      </w:r>
      <w:r w:rsidR="009B2BD3">
        <w:t xml:space="preserve"> Bet</w:t>
      </w:r>
      <w:r w:rsidR="008A7139">
        <w:t xml:space="preserve">ter Regulation program, during 2013 </w:t>
      </w:r>
      <w:r w:rsidR="00AC39D9">
        <w:t xml:space="preserve">we </w:t>
      </w:r>
      <w:r w:rsidR="009B2BD3">
        <w:t>developed</w:t>
      </w:r>
      <w:r w:rsidR="00AC2E36">
        <w:t xml:space="preserve">, through an </w:t>
      </w:r>
      <w:r w:rsidR="0087280B">
        <w:t xml:space="preserve">extensive </w:t>
      </w:r>
      <w:r w:rsidR="00AC2E36">
        <w:t>process,</w:t>
      </w:r>
      <w:r w:rsidR="009B2BD3">
        <w:t xml:space="preserve"> a number of </w:t>
      </w:r>
      <w:r w:rsidR="00316955">
        <w:t>g</w:t>
      </w:r>
      <w:r w:rsidR="009B2BD3">
        <w:t>uidelines.</w:t>
      </w:r>
      <w:r w:rsidR="00F71410">
        <w:rPr>
          <w:rStyle w:val="FootnoteReference"/>
        </w:rPr>
        <w:footnoteReference w:id="19"/>
      </w:r>
      <w:r w:rsidR="009B2BD3">
        <w:t xml:space="preserve"> </w:t>
      </w:r>
      <w:r w:rsidR="00B417B8" w:rsidRPr="00B417B8">
        <w:t xml:space="preserve">The objective of this program was to refine our approach to regulation and to accommodate changes to the </w:t>
      </w:r>
      <w:r w:rsidR="00BD0098">
        <w:t xml:space="preserve">NEL and </w:t>
      </w:r>
      <w:r w:rsidR="0025716A">
        <w:t>the rules</w:t>
      </w:r>
      <w:r w:rsidR="00B417B8" w:rsidRPr="00B417B8">
        <w:t xml:space="preserve">. The result was a </w:t>
      </w:r>
      <w:r w:rsidR="00F50F1A">
        <w:t>suite</w:t>
      </w:r>
      <w:r w:rsidR="00B417B8" w:rsidRPr="00B417B8">
        <w:t xml:space="preserve"> of guidelines that set out approaches we consider are most likely to advance the NEO</w:t>
      </w:r>
      <w:r w:rsidR="009F54AD">
        <w:t>:</w:t>
      </w:r>
    </w:p>
    <w:p w:rsidR="009F54AD" w:rsidRPr="00A326F9" w:rsidRDefault="009F54AD" w:rsidP="009F54AD">
      <w:pPr>
        <w:pStyle w:val="AERbulletlistfirststyle"/>
        <w:rPr>
          <w:rStyle w:val="AERtextbold"/>
        </w:rPr>
      </w:pPr>
      <w:r w:rsidRPr="00A326F9">
        <w:rPr>
          <w:rStyle w:val="AERtextbold"/>
        </w:rPr>
        <w:t xml:space="preserve">Expenditure forecast assessment guideline </w:t>
      </w:r>
    </w:p>
    <w:p w:rsidR="009F54AD" w:rsidRPr="009F54AD" w:rsidRDefault="009F54AD" w:rsidP="00A326F9">
      <w:pPr>
        <w:pStyle w:val="AERbulletlistfirststyle"/>
        <w:numPr>
          <w:ilvl w:val="0"/>
          <w:numId w:val="0"/>
        </w:numPr>
        <w:ind w:left="357"/>
      </w:pPr>
      <w:r w:rsidRPr="009F54AD">
        <w:t xml:space="preserve">Assessing expenditure proposals from businesses. </w:t>
      </w:r>
    </w:p>
    <w:p w:rsidR="009F54AD" w:rsidRPr="00A326F9" w:rsidRDefault="009F54AD" w:rsidP="009F54AD">
      <w:pPr>
        <w:pStyle w:val="AERbulletlistfirststyle"/>
        <w:rPr>
          <w:rStyle w:val="AERtextbold"/>
        </w:rPr>
      </w:pPr>
      <w:r w:rsidRPr="00A326F9">
        <w:rPr>
          <w:rStyle w:val="AERtextbold"/>
        </w:rPr>
        <w:t>Rate of return guideline</w:t>
      </w:r>
    </w:p>
    <w:p w:rsidR="009F54AD" w:rsidRPr="009F54AD" w:rsidRDefault="009F54AD" w:rsidP="00A326F9">
      <w:pPr>
        <w:pStyle w:val="AERbulletlistfirststyle"/>
        <w:numPr>
          <w:ilvl w:val="0"/>
          <w:numId w:val="0"/>
        </w:numPr>
        <w:ind w:left="357"/>
      </w:pPr>
      <w:r w:rsidRPr="009F54AD">
        <w:t xml:space="preserve">Determining the allowed rate of return businesses earn on their investments. </w:t>
      </w:r>
    </w:p>
    <w:p w:rsidR="009F54AD" w:rsidRPr="00A326F9" w:rsidRDefault="009F54AD" w:rsidP="009F54AD">
      <w:pPr>
        <w:pStyle w:val="AERbulletlistfirststyle"/>
        <w:rPr>
          <w:rStyle w:val="AERtextbold"/>
        </w:rPr>
      </w:pPr>
      <w:r w:rsidRPr="00A326F9">
        <w:rPr>
          <w:rStyle w:val="AERtextbold"/>
        </w:rPr>
        <w:t xml:space="preserve">Expenditure incentives guideline </w:t>
      </w:r>
    </w:p>
    <w:p w:rsidR="009F54AD" w:rsidRPr="009F54AD" w:rsidRDefault="009F54AD" w:rsidP="00A326F9">
      <w:pPr>
        <w:pStyle w:val="AERbulletlistfirststyle"/>
        <w:numPr>
          <w:ilvl w:val="0"/>
          <w:numId w:val="0"/>
        </w:numPr>
        <w:ind w:left="357"/>
      </w:pPr>
      <w:r w:rsidRPr="009F54AD">
        <w:t xml:space="preserve">Creating the right incentives to encourage efficient spending by businesses. </w:t>
      </w:r>
    </w:p>
    <w:p w:rsidR="009F54AD" w:rsidRPr="00A326F9" w:rsidRDefault="009F54AD" w:rsidP="009F54AD">
      <w:pPr>
        <w:pStyle w:val="AERbulletlistfirststyle"/>
        <w:rPr>
          <w:rStyle w:val="AERtextbold"/>
        </w:rPr>
      </w:pPr>
      <w:r w:rsidRPr="00A326F9">
        <w:rPr>
          <w:rStyle w:val="AERtextbold"/>
        </w:rPr>
        <w:t xml:space="preserve">Consumer engagement guideline for network service providers </w:t>
      </w:r>
    </w:p>
    <w:p w:rsidR="009F54AD" w:rsidRPr="009F54AD" w:rsidRDefault="009F54AD" w:rsidP="00A326F9">
      <w:pPr>
        <w:pStyle w:val="AERbulletlistfirststyle"/>
        <w:numPr>
          <w:ilvl w:val="0"/>
          <w:numId w:val="0"/>
        </w:numPr>
        <w:ind w:left="357"/>
      </w:pPr>
      <w:r w:rsidRPr="009F54AD">
        <w:t xml:space="preserve">Implementing consumer engagement strategies that are effective for all stakeholders. </w:t>
      </w:r>
    </w:p>
    <w:p w:rsidR="009F54AD" w:rsidRPr="00A326F9" w:rsidRDefault="009F54AD" w:rsidP="009F54AD">
      <w:pPr>
        <w:pStyle w:val="AERbulletlistfirststyle"/>
        <w:rPr>
          <w:rStyle w:val="AERtextbold"/>
        </w:rPr>
      </w:pPr>
      <w:r w:rsidRPr="00A326F9">
        <w:rPr>
          <w:rStyle w:val="AERtextbold"/>
        </w:rPr>
        <w:t xml:space="preserve">Shared asset guideline </w:t>
      </w:r>
    </w:p>
    <w:p w:rsidR="009F54AD" w:rsidRPr="009F54AD" w:rsidRDefault="009F54AD" w:rsidP="00A326F9">
      <w:pPr>
        <w:pStyle w:val="AERbulletlistfirststyle"/>
        <w:numPr>
          <w:ilvl w:val="0"/>
          <w:numId w:val="0"/>
        </w:numPr>
        <w:ind w:left="357"/>
      </w:pPr>
      <w:r w:rsidRPr="009F54AD">
        <w:t xml:space="preserve">Sharing the revenue networks earn from shared assets with consumers. </w:t>
      </w:r>
    </w:p>
    <w:p w:rsidR="009F54AD" w:rsidRPr="00A326F9" w:rsidRDefault="009F54AD" w:rsidP="009F54AD">
      <w:pPr>
        <w:pStyle w:val="AERbulletlistfirststyle"/>
        <w:rPr>
          <w:rStyle w:val="AERtextbold"/>
        </w:rPr>
      </w:pPr>
      <w:r w:rsidRPr="00A326F9">
        <w:rPr>
          <w:rStyle w:val="AERtextbold"/>
        </w:rPr>
        <w:t xml:space="preserve">Confidentiality guideline </w:t>
      </w:r>
    </w:p>
    <w:p w:rsidR="009F54AD" w:rsidRPr="009F54AD" w:rsidRDefault="009F54AD" w:rsidP="00A326F9">
      <w:pPr>
        <w:pStyle w:val="AERbulletlistfirststyle"/>
        <w:numPr>
          <w:ilvl w:val="0"/>
          <w:numId w:val="0"/>
        </w:numPr>
        <w:ind w:left="357"/>
      </w:pPr>
      <w:r w:rsidRPr="009F54AD">
        <w:t xml:space="preserve">Managing confidential information for an effective regulatory determination process. </w:t>
      </w:r>
    </w:p>
    <w:p w:rsidR="00B417B8" w:rsidRPr="00B417B8" w:rsidRDefault="00B417B8" w:rsidP="00B417B8">
      <w:pPr>
        <w:pStyle w:val="AERbodytext"/>
      </w:pPr>
      <w:r w:rsidRPr="00B417B8">
        <w:t>We consulted extensively in developing the guidelines. This was very important for testing our views and hearing from a range of interested parties. In particular, we made a special effort to engage consumers in the process through our Consumer Reference Group.</w:t>
      </w:r>
      <w:r w:rsidR="002B29FE">
        <w:rPr>
          <w:rStyle w:val="FootnoteReference"/>
        </w:rPr>
        <w:footnoteReference w:id="20"/>
      </w:r>
      <w:r w:rsidR="00BC1EA3">
        <w:t xml:space="preserve"> We consider </w:t>
      </w:r>
      <w:r w:rsidRPr="00B417B8">
        <w:t xml:space="preserve">the guidelines provide a solid foundation for our decision making. </w:t>
      </w:r>
    </w:p>
    <w:p w:rsidR="00B417B8" w:rsidRPr="00B417B8" w:rsidRDefault="00B417B8" w:rsidP="00B417B8">
      <w:pPr>
        <w:pStyle w:val="AERbodytext"/>
      </w:pPr>
      <w:r w:rsidRPr="00B417B8">
        <w:t>One of the themes that emerged from our consultation was a desire from stakeholders for clarity about the approach we would take in our decisions. In particular, many stakeholders observed that greater clarity would aid investment in the sector. To address this issue we set out our intended approaches in detail in the guidelines.</w:t>
      </w:r>
    </w:p>
    <w:p w:rsidR="00B417B8" w:rsidRPr="00B417B8" w:rsidRDefault="00B417B8" w:rsidP="00B417B8">
      <w:pPr>
        <w:pStyle w:val="AERbodytext"/>
      </w:pPr>
      <w:r w:rsidRPr="00B417B8">
        <w:lastRenderedPageBreak/>
        <w:t xml:space="preserve">In </w:t>
      </w:r>
      <w:r w:rsidR="00717BE2">
        <w:t xml:space="preserve">the </w:t>
      </w:r>
      <w:r w:rsidRPr="00B417B8">
        <w:t>process</w:t>
      </w:r>
      <w:r w:rsidR="00717BE2">
        <w:t xml:space="preserve"> established by the </w:t>
      </w:r>
      <w:r w:rsidR="0025716A">
        <w:t>rules</w:t>
      </w:r>
      <w:r w:rsidRPr="00B417B8">
        <w:t xml:space="preserve">, </w:t>
      </w:r>
      <w:r w:rsidR="00F259EB">
        <w:t>a</w:t>
      </w:r>
      <w:r w:rsidR="00F259EB" w:rsidRPr="00B417B8">
        <w:t xml:space="preserve"> </w:t>
      </w:r>
      <w:r w:rsidR="00717BE2">
        <w:t>d</w:t>
      </w:r>
      <w:r w:rsidR="00B347B4">
        <w:t>istributo</w:t>
      </w:r>
      <w:r w:rsidR="00717BE2">
        <w:t>r</w:t>
      </w:r>
      <w:r w:rsidRPr="00B417B8">
        <w:t xml:space="preserve"> </w:t>
      </w:r>
      <w:r w:rsidR="00F259EB" w:rsidRPr="00B417B8">
        <w:t>h</w:t>
      </w:r>
      <w:r w:rsidR="00F259EB">
        <w:t>as</w:t>
      </w:r>
      <w:r w:rsidR="00F259EB" w:rsidRPr="00B417B8">
        <w:t xml:space="preserve"> </w:t>
      </w:r>
      <w:r w:rsidRPr="00B417B8">
        <w:t xml:space="preserve">the first opportunity to propose a price/service offering. </w:t>
      </w:r>
      <w:r w:rsidR="0036216C" w:rsidRPr="00DF3452">
        <w:t>The distributor</w:t>
      </w:r>
      <w:r w:rsidR="00F259EB">
        <w:t>'</w:t>
      </w:r>
      <w:r w:rsidR="0036216C" w:rsidRPr="00DF3452">
        <w:t>s application, or regulatory proposal, starts a process often referred to as a revenue reset, or simply a 'reset'.</w:t>
      </w:r>
      <w:r w:rsidR="0036216C">
        <w:t xml:space="preserve"> </w:t>
      </w:r>
      <w:r w:rsidRPr="00B417B8">
        <w:t xml:space="preserve">We </w:t>
      </w:r>
      <w:r w:rsidR="00D55B9A">
        <w:t xml:space="preserve">will </w:t>
      </w:r>
      <w:r w:rsidRPr="00B417B8">
        <w:t>assess</w:t>
      </w:r>
      <w:r w:rsidR="00B347B4">
        <w:t xml:space="preserve"> that proposal against the NEO and </w:t>
      </w:r>
      <w:r w:rsidR="0025716A">
        <w:t>the rules</w:t>
      </w:r>
      <w:r w:rsidR="00B347B4">
        <w:t xml:space="preserve"> to form a view on whether a distributor's proposal </w:t>
      </w:r>
      <w:r w:rsidRPr="00B417B8">
        <w:t>is in the long term interests of c</w:t>
      </w:r>
      <w:r w:rsidR="00D55B9A">
        <w:t>onsumers. Where it is not, we will</w:t>
      </w:r>
      <w:r w:rsidRPr="00B417B8">
        <w:t xml:space="preserve"> not accept the proposal, and instead impose our own decision.</w:t>
      </w:r>
    </w:p>
    <w:p w:rsidR="00B417B8" w:rsidRPr="00B417B8" w:rsidRDefault="00B417B8" w:rsidP="00B417B8">
      <w:pPr>
        <w:pStyle w:val="AERbodytext"/>
      </w:pPr>
      <w:r w:rsidRPr="00B417B8">
        <w:t>Because this is an intrusive process we exercise our role with care and diligence. We consult widely and test our</w:t>
      </w:r>
      <w:r w:rsidR="00F66088">
        <w:t xml:space="preserve"> </w:t>
      </w:r>
      <w:r w:rsidR="00C57C4A">
        <w:t>views</w:t>
      </w:r>
      <w:r w:rsidRPr="00B417B8">
        <w:t>, employing approaches that are widely accepted and carefully considered, such as those articulated in our guidelines.</w:t>
      </w:r>
    </w:p>
    <w:p w:rsidR="00B417B8" w:rsidRDefault="0072292B" w:rsidP="00CC7742">
      <w:pPr>
        <w:pStyle w:val="Heading3"/>
      </w:pPr>
      <w:bookmarkStart w:id="53" w:name="_Toc391386407"/>
      <w:r>
        <w:t>The transitional regulatory year</w:t>
      </w:r>
      <w:bookmarkEnd w:id="53"/>
    </w:p>
    <w:p w:rsidR="009B2BD3" w:rsidRPr="0052533C" w:rsidRDefault="009B2BD3" w:rsidP="009B2BD3">
      <w:pPr>
        <w:pStyle w:val="AERbodytext"/>
        <w:numPr>
          <w:ilvl w:val="0"/>
          <w:numId w:val="0"/>
        </w:numPr>
        <w:rPr>
          <w:rStyle w:val="AERbody"/>
        </w:rPr>
      </w:pPr>
      <w:r>
        <w:t xml:space="preserve">Our revenue determination process for </w:t>
      </w:r>
      <w:r w:rsidR="006D4DAC">
        <w:t>ActewAGL</w:t>
      </w:r>
      <w:r>
        <w:t xml:space="preserve"> was due to be completed in 2014. However, th</w:t>
      </w:r>
      <w:r w:rsidR="00D97737">
        <w:t>e process was delayed so the revised</w:t>
      </w:r>
      <w:r>
        <w:t xml:space="preserve"> rules</w:t>
      </w:r>
      <w:r w:rsidR="0087280B">
        <w:t xml:space="preserve"> could be applied</w:t>
      </w:r>
      <w:r>
        <w:t xml:space="preserve"> and </w:t>
      </w:r>
      <w:r w:rsidR="002D3660">
        <w:t>we could</w:t>
      </w:r>
      <w:r>
        <w:t xml:space="preserve"> focus on developing and applying the Better Regulation guidelines. </w:t>
      </w:r>
      <w:r w:rsidRPr="0052533C">
        <w:rPr>
          <w:rStyle w:val="AERbody"/>
        </w:rPr>
        <w:t xml:space="preserve">Consequently, the </w:t>
      </w:r>
      <w:r w:rsidR="00AC39D9">
        <w:rPr>
          <w:rStyle w:val="AERbody"/>
        </w:rPr>
        <w:t>AEMC</w:t>
      </w:r>
      <w:r w:rsidR="00316955">
        <w:rPr>
          <w:rStyle w:val="AERbody"/>
        </w:rPr>
        <w:t xml:space="preserve"> separated the </w:t>
      </w:r>
      <w:r w:rsidR="006D4DAC">
        <w:rPr>
          <w:rStyle w:val="AERbody"/>
        </w:rPr>
        <w:t>ACT</w:t>
      </w:r>
      <w:r w:rsidR="005B141E">
        <w:rPr>
          <w:rStyle w:val="AERbody"/>
        </w:rPr>
        <w:t xml:space="preserve"> </w:t>
      </w:r>
      <w:r w:rsidRPr="0052533C">
        <w:rPr>
          <w:rStyle w:val="AERbody"/>
        </w:rPr>
        <w:t>regulatory co</w:t>
      </w:r>
      <w:r w:rsidR="00316955">
        <w:rPr>
          <w:rStyle w:val="AERbody"/>
        </w:rPr>
        <w:t xml:space="preserve">ntrol period </w:t>
      </w:r>
      <w:r w:rsidRPr="0052533C">
        <w:rPr>
          <w:rStyle w:val="AERbody"/>
        </w:rPr>
        <w:t>into:</w:t>
      </w:r>
    </w:p>
    <w:p w:rsidR="009B2BD3" w:rsidRPr="0052533C" w:rsidRDefault="00886648" w:rsidP="009B2BD3">
      <w:pPr>
        <w:pStyle w:val="AERbulletlistfirststyle"/>
        <w:rPr>
          <w:rStyle w:val="AERbody"/>
        </w:rPr>
      </w:pPr>
      <w:r>
        <w:rPr>
          <w:rStyle w:val="AERbody"/>
        </w:rPr>
        <w:t>t</w:t>
      </w:r>
      <w:r w:rsidR="009B2BD3" w:rsidRPr="0052533C">
        <w:rPr>
          <w:rStyle w:val="AERbody"/>
        </w:rPr>
        <w:t xml:space="preserve">he </w:t>
      </w:r>
      <w:r w:rsidR="00AC39D9">
        <w:rPr>
          <w:rStyle w:val="AERbody"/>
        </w:rPr>
        <w:t xml:space="preserve">transitional </w:t>
      </w:r>
      <w:r w:rsidR="009B2BD3" w:rsidRPr="0052533C">
        <w:rPr>
          <w:rStyle w:val="AERbody"/>
        </w:rPr>
        <w:t xml:space="preserve"> regulatory control period (1 July 2014</w:t>
      </w:r>
      <w:r w:rsidR="00AC39D9">
        <w:rPr>
          <w:rStyle w:val="AERbody"/>
        </w:rPr>
        <w:t xml:space="preserve"> to </w:t>
      </w:r>
      <w:r w:rsidR="009B2BD3" w:rsidRPr="0052533C">
        <w:rPr>
          <w:rStyle w:val="AERbody"/>
        </w:rPr>
        <w:t xml:space="preserve">30 June 2015) </w:t>
      </w:r>
    </w:p>
    <w:p w:rsidR="00701382" w:rsidRPr="0052533C" w:rsidRDefault="00886648" w:rsidP="009B2BD3">
      <w:pPr>
        <w:pStyle w:val="AERbulletlistfirststyle"/>
        <w:rPr>
          <w:rStyle w:val="AERbody"/>
        </w:rPr>
      </w:pPr>
      <w:r>
        <w:rPr>
          <w:rStyle w:val="AERbody"/>
        </w:rPr>
        <w:t>t</w:t>
      </w:r>
      <w:r w:rsidR="009B2BD3" w:rsidRPr="0052533C">
        <w:rPr>
          <w:rStyle w:val="AERbody"/>
        </w:rPr>
        <w:t>he subsequent regulatory control period (1 July 2015</w:t>
      </w:r>
      <w:r w:rsidR="00AC39D9">
        <w:rPr>
          <w:rStyle w:val="AERbody"/>
        </w:rPr>
        <w:t xml:space="preserve"> to </w:t>
      </w:r>
      <w:r w:rsidR="009B2BD3" w:rsidRPr="0052533C">
        <w:rPr>
          <w:rStyle w:val="AERbody"/>
        </w:rPr>
        <w:t xml:space="preserve">30 June 2019). </w:t>
      </w:r>
    </w:p>
    <w:p w:rsidR="00701382" w:rsidRDefault="00C52301" w:rsidP="00701382">
      <w:pPr>
        <w:pStyle w:val="AERbodytext"/>
      </w:pPr>
      <w:r>
        <w:t>Our transitional decisio</w:t>
      </w:r>
      <w:r w:rsidR="00271AD4">
        <w:t xml:space="preserve">n set out the placeholder revenue allowance and application </w:t>
      </w:r>
      <w:r>
        <w:t xml:space="preserve">of the regulatory framework for </w:t>
      </w:r>
      <w:r w:rsidR="00F259EB">
        <w:t>ActewAGL</w:t>
      </w:r>
      <w:r>
        <w:t xml:space="preserve"> for the </w:t>
      </w:r>
      <w:r w:rsidR="00F601BE">
        <w:t xml:space="preserve">transitional </w:t>
      </w:r>
      <w:r>
        <w:t xml:space="preserve">period. </w:t>
      </w:r>
    </w:p>
    <w:p w:rsidR="00701382" w:rsidRPr="0004760F" w:rsidRDefault="00A949B4" w:rsidP="00CC7742">
      <w:pPr>
        <w:pStyle w:val="Heading3"/>
      </w:pPr>
      <w:bookmarkStart w:id="54" w:name="_Toc390238710"/>
      <w:bookmarkStart w:id="55" w:name="_Toc390238711"/>
      <w:bookmarkStart w:id="56" w:name="_Toc390238712"/>
      <w:bookmarkStart w:id="57" w:name="_Toc391386408"/>
      <w:bookmarkEnd w:id="54"/>
      <w:bookmarkEnd w:id="55"/>
      <w:bookmarkEnd w:id="56"/>
      <w:r>
        <w:t>Our</w:t>
      </w:r>
      <w:r w:rsidR="00701382" w:rsidRPr="0004760F">
        <w:t xml:space="preserve"> transitional determination</w:t>
      </w:r>
      <w:bookmarkEnd w:id="57"/>
      <w:r w:rsidR="00701382" w:rsidRPr="0004760F">
        <w:t xml:space="preserve"> </w:t>
      </w:r>
    </w:p>
    <w:p w:rsidR="0023116F" w:rsidRPr="0023116F" w:rsidRDefault="0023116F" w:rsidP="0023116F">
      <w:r>
        <w:t xml:space="preserve">On </w:t>
      </w:r>
      <w:r w:rsidR="008A4CED">
        <w:t>16</w:t>
      </w:r>
      <w:r>
        <w:t xml:space="preserve"> </w:t>
      </w:r>
      <w:r w:rsidR="008A4CED">
        <w:t>April</w:t>
      </w:r>
      <w:r>
        <w:t xml:space="preserve"> 2014, we </w:t>
      </w:r>
      <w:r w:rsidRPr="0023116F">
        <w:t xml:space="preserve">issued </w:t>
      </w:r>
      <w:r w:rsidR="00057870">
        <w:t xml:space="preserve">our </w:t>
      </w:r>
      <w:r w:rsidRPr="0023116F">
        <w:t xml:space="preserve">transitional determinations for </w:t>
      </w:r>
      <w:r w:rsidR="00057870">
        <w:t>ActewAGL</w:t>
      </w:r>
      <w:r w:rsidRPr="0023116F">
        <w:t xml:space="preserve"> for the </w:t>
      </w:r>
      <w:r w:rsidR="00130AFB">
        <w:t>2014</w:t>
      </w:r>
      <w:r w:rsidR="006D5B0A">
        <w:rPr>
          <w:rFonts w:cs="Gautami"/>
        </w:rPr>
        <w:t>–</w:t>
      </w:r>
      <w:r w:rsidR="00130AFB">
        <w:t xml:space="preserve">15 </w:t>
      </w:r>
      <w:r w:rsidR="005B141E">
        <w:t xml:space="preserve">transitional </w:t>
      </w:r>
      <w:r w:rsidR="00130AFB">
        <w:t>period</w:t>
      </w:r>
      <w:r w:rsidR="000A4C7A">
        <w:t>. This</w:t>
      </w:r>
      <w:r w:rsidRPr="0023116F">
        <w:t xml:space="preserve"> decision determine</w:t>
      </w:r>
      <w:r w:rsidR="000A4C7A">
        <w:t>d</w:t>
      </w:r>
      <w:r w:rsidRPr="0023116F">
        <w:t xml:space="preserve"> </w:t>
      </w:r>
      <w:r w:rsidR="008A4CED">
        <w:t>distribut</w:t>
      </w:r>
      <w:r w:rsidRPr="0023116F">
        <w:t xml:space="preserve">ion prices for </w:t>
      </w:r>
      <w:r w:rsidR="000A4C7A">
        <w:t>ACT</w:t>
      </w:r>
      <w:r w:rsidRPr="0023116F">
        <w:t xml:space="preserve"> </w:t>
      </w:r>
      <w:r w:rsidR="003972A1">
        <w:t>consumer</w:t>
      </w:r>
      <w:r w:rsidRPr="0023116F">
        <w:t xml:space="preserve">s in this </w:t>
      </w:r>
      <w:r w:rsidR="00524C1F">
        <w:t xml:space="preserve">one year </w:t>
      </w:r>
      <w:r w:rsidRPr="0023116F">
        <w:t>period. Ultimately, the placeholder revenue allowance will be replaced by the revenue allowance we approve in our full determination to be published by 30 April 2015.</w:t>
      </w:r>
      <w:r w:rsidR="00194BF0">
        <w:t xml:space="preserve"> Any discrepancies between our transitional determination and our full determination will be balanced up over the remaining four years of the </w:t>
      </w:r>
      <w:r w:rsidR="00130AFB">
        <w:t>2014</w:t>
      </w:r>
      <w:r w:rsidR="005B141E">
        <w:rPr>
          <w:rFonts w:cs="Gautami"/>
        </w:rPr>
        <w:t>–</w:t>
      </w:r>
      <w:r w:rsidR="00130AFB">
        <w:t>19</w:t>
      </w:r>
      <w:r w:rsidR="00194BF0">
        <w:t xml:space="preserve"> period.</w:t>
      </w:r>
    </w:p>
    <w:p w:rsidR="00A651BA" w:rsidRPr="002C1E35" w:rsidRDefault="0023116F" w:rsidP="00A651BA">
      <w:pPr>
        <w:rPr>
          <w:rStyle w:val="AERbody"/>
        </w:rPr>
      </w:pPr>
      <w:r w:rsidRPr="0023116F">
        <w:t>Our transitional decision provides</w:t>
      </w:r>
      <w:r w:rsidR="00E14578">
        <w:t>, for the 2014</w:t>
      </w:r>
      <w:r w:rsidR="00ED105B">
        <w:t>–</w:t>
      </w:r>
      <w:r w:rsidR="00E14578">
        <w:t xml:space="preserve">15 </w:t>
      </w:r>
      <w:r w:rsidR="00C9769E">
        <w:t>period</w:t>
      </w:r>
      <w:r w:rsidR="00A651BA">
        <w:t xml:space="preserve">, </w:t>
      </w:r>
      <w:r w:rsidR="00F259EB">
        <w:t xml:space="preserve">that </w:t>
      </w:r>
      <w:r w:rsidR="00A651BA" w:rsidRPr="00A651BA">
        <w:rPr>
          <w:rStyle w:val="AERbody"/>
        </w:rPr>
        <w:t>ActewAGL will be able to recover $145 million</w:t>
      </w:r>
      <w:r w:rsidR="00DF2C70">
        <w:rPr>
          <w:rStyle w:val="AERbody"/>
        </w:rPr>
        <w:t xml:space="preserve"> ($nominal)</w:t>
      </w:r>
      <w:r w:rsidR="00A651BA" w:rsidRPr="00A651BA">
        <w:rPr>
          <w:rStyle w:val="AERbody"/>
        </w:rPr>
        <w:t>, which</w:t>
      </w:r>
      <w:r w:rsidR="00A651BA">
        <w:rPr>
          <w:rStyle w:val="AERbody"/>
        </w:rPr>
        <w:t xml:space="preserve"> </w:t>
      </w:r>
      <w:r w:rsidR="00A651BA" w:rsidRPr="00A651BA">
        <w:rPr>
          <w:rStyle w:val="AERbody"/>
        </w:rPr>
        <w:t>is 6.9 per cent lower than it proposed</w:t>
      </w:r>
      <w:r w:rsidR="00A651BA" w:rsidRPr="00F259EB">
        <w:rPr>
          <w:rStyle w:val="AERbody"/>
        </w:rPr>
        <w:t>.</w:t>
      </w:r>
      <w:r w:rsidR="004E50DD">
        <w:rPr>
          <w:rStyle w:val="FootnoteReference"/>
        </w:rPr>
        <w:footnoteReference w:id="21"/>
      </w:r>
    </w:p>
    <w:p w:rsidR="0042432A" w:rsidRPr="002609DE" w:rsidRDefault="0042432A" w:rsidP="00CC7742">
      <w:pPr>
        <w:pStyle w:val="Heading3"/>
        <w:rPr>
          <w:rStyle w:val="AERbody"/>
          <w:rFonts w:eastAsia="Calibri"/>
          <w:color w:val="E36C0A"/>
          <w:sz w:val="28"/>
        </w:rPr>
      </w:pPr>
      <w:bookmarkStart w:id="58" w:name="_Toc391386409"/>
      <w:r w:rsidRPr="002609DE">
        <w:rPr>
          <w:rStyle w:val="AERbody"/>
          <w:color w:val="E36C0A"/>
          <w:sz w:val="28"/>
        </w:rPr>
        <w:t xml:space="preserve">Our framework and approach </w:t>
      </w:r>
      <w:bookmarkEnd w:id="58"/>
    </w:p>
    <w:p w:rsidR="00B63444" w:rsidRPr="00B63444" w:rsidRDefault="0042432A" w:rsidP="007109EE">
      <w:r w:rsidRPr="0042432A">
        <w:rPr>
          <w:rStyle w:val="AERbody"/>
        </w:rPr>
        <w:t>We released our Stage 1 Framework and Approach (F&amp;A) in March 2013.</w:t>
      </w:r>
      <w:r w:rsidR="00C73FBC">
        <w:rPr>
          <w:rStyle w:val="FootnoteReference"/>
        </w:rPr>
        <w:footnoteReference w:id="22"/>
      </w:r>
      <w:r w:rsidRPr="0042432A">
        <w:rPr>
          <w:rStyle w:val="AERbody"/>
        </w:rPr>
        <w:t xml:space="preserve"> This set out our intended approach to parts of the regulatory framework, such as service classification. </w:t>
      </w:r>
      <w:r w:rsidR="001D1580">
        <w:t xml:space="preserve">In terms of our classification decisions, in summary </w:t>
      </w:r>
      <w:r w:rsidR="00E37176">
        <w:t>w</w:t>
      </w:r>
      <w:r w:rsidR="00B63444" w:rsidRPr="00B63444">
        <w:t>e may:</w:t>
      </w:r>
    </w:p>
    <w:p w:rsidR="00B63444" w:rsidRPr="00B63444" w:rsidRDefault="00B63444" w:rsidP="00856B1C">
      <w:pPr>
        <w:pStyle w:val="AERbulletlistfirststyle"/>
      </w:pPr>
      <w:r w:rsidRPr="00B63444">
        <w:t xml:space="preserve">classify a service so that the distributor may </w:t>
      </w:r>
      <w:r w:rsidR="001D1580">
        <w:t>recover related</w:t>
      </w:r>
      <w:r w:rsidR="00BA309F">
        <w:t xml:space="preserve"> costs from</w:t>
      </w:r>
      <w:r w:rsidRPr="00B63444">
        <w:t xml:space="preserve"> all customers (standard control)</w:t>
      </w:r>
    </w:p>
    <w:p w:rsidR="00B63444" w:rsidRPr="00B63444" w:rsidRDefault="00B63444" w:rsidP="00856B1C">
      <w:pPr>
        <w:pStyle w:val="AERbulletlistfirststyle"/>
      </w:pPr>
      <w:r w:rsidRPr="00B63444">
        <w:t>classify a service so that the user benefiting from the service pays (alternative control)</w:t>
      </w:r>
    </w:p>
    <w:p w:rsidR="00B63444" w:rsidRPr="00B63444" w:rsidRDefault="00B63444" w:rsidP="00856B1C">
      <w:pPr>
        <w:pStyle w:val="AERbulletlistfirststyle"/>
      </w:pPr>
      <w:r w:rsidRPr="00B63444">
        <w:t>allow customers and distributors to negotiate the provisi</w:t>
      </w:r>
      <w:r w:rsidR="002B1714">
        <w:t>on and price of some services—we will</w:t>
      </w:r>
      <w:r w:rsidRPr="00B63444">
        <w:t xml:space="preserve"> arbitrate should negotiations stall (negotiated distribution service) </w:t>
      </w:r>
    </w:p>
    <w:p w:rsidR="00B63444" w:rsidRDefault="00C1121C" w:rsidP="00856B1C">
      <w:pPr>
        <w:pStyle w:val="AERbulletlistfirststyle"/>
      </w:pPr>
      <w:r>
        <w:lastRenderedPageBreak/>
        <w:t xml:space="preserve">not classify a service—we </w:t>
      </w:r>
      <w:r w:rsidR="00B63444" w:rsidRPr="00B63444">
        <w:t>ha</w:t>
      </w:r>
      <w:r>
        <w:t>ve</w:t>
      </w:r>
      <w:r w:rsidR="00B63444" w:rsidRPr="00B63444">
        <w:t xml:space="preserve"> no regulatory control over this service or the prices charged by the distributor (unclassified service). </w:t>
      </w:r>
    </w:p>
    <w:p w:rsidR="006E479A" w:rsidRDefault="00CE307F" w:rsidP="00856B1C">
      <w:pPr>
        <w:pStyle w:val="AERbodytext"/>
        <w:rPr>
          <w:rStyle w:val="AERbody"/>
        </w:rPr>
      </w:pPr>
      <w:r>
        <w:t>S</w:t>
      </w:r>
      <w:r w:rsidR="00BD61B2" w:rsidRPr="00BD61B2">
        <w:rPr>
          <w:rStyle w:val="AERbody"/>
        </w:rPr>
        <w:t>tandard co</w:t>
      </w:r>
      <w:r w:rsidR="00BD61B2">
        <w:rPr>
          <w:rStyle w:val="AERbody"/>
        </w:rPr>
        <w:t>ntrol</w:t>
      </w:r>
      <w:r w:rsidR="00BD61B2" w:rsidRPr="002C1E35">
        <w:rPr>
          <w:rStyle w:val="AERbody"/>
        </w:rPr>
        <w:t xml:space="preserve"> </w:t>
      </w:r>
      <w:r>
        <w:rPr>
          <w:rStyle w:val="AERbody"/>
        </w:rPr>
        <w:t xml:space="preserve">services </w:t>
      </w:r>
      <w:r w:rsidR="00BD61B2" w:rsidRPr="002C1E35">
        <w:rPr>
          <w:rStyle w:val="AERbody"/>
        </w:rPr>
        <w:t xml:space="preserve">represent </w:t>
      </w:r>
      <w:r w:rsidR="00195F38">
        <w:rPr>
          <w:rStyle w:val="AERbody"/>
        </w:rPr>
        <w:t>a</w:t>
      </w:r>
      <w:r w:rsidR="00BD61B2" w:rsidRPr="002C1E35">
        <w:rPr>
          <w:rStyle w:val="AERbody"/>
        </w:rPr>
        <w:t xml:space="preserve"> large majority of a distributor's revenue, reflecting the integrated nature of </w:t>
      </w:r>
      <w:r w:rsidR="00BD61B2">
        <w:rPr>
          <w:rStyle w:val="AERbody"/>
        </w:rPr>
        <w:t xml:space="preserve">an </w:t>
      </w:r>
      <w:r w:rsidR="00BD61B2" w:rsidRPr="00BD61B2">
        <w:rPr>
          <w:rStyle w:val="AERbody"/>
        </w:rPr>
        <w:t>electricity supply network</w:t>
      </w:r>
      <w:r w:rsidR="00BD61B2" w:rsidRPr="002C1E35">
        <w:rPr>
          <w:rStyle w:val="AERbody"/>
        </w:rPr>
        <w:t xml:space="preserve">. </w:t>
      </w:r>
      <w:r w:rsidR="00235EC8">
        <w:rPr>
          <w:rStyle w:val="AERbody"/>
        </w:rPr>
        <w:t>ActewAGL</w:t>
      </w:r>
      <w:r>
        <w:rPr>
          <w:rStyle w:val="AERbody"/>
        </w:rPr>
        <w:t xml:space="preserve"> </w:t>
      </w:r>
      <w:r w:rsidR="00BD61B2" w:rsidRPr="002C1E35">
        <w:rPr>
          <w:rStyle w:val="AERbody"/>
        </w:rPr>
        <w:t>recover</w:t>
      </w:r>
      <w:r w:rsidR="00235EC8">
        <w:rPr>
          <w:rStyle w:val="AERbody"/>
        </w:rPr>
        <w:t>s</w:t>
      </w:r>
      <w:r w:rsidR="00BD61B2" w:rsidRPr="002C1E35">
        <w:rPr>
          <w:rStyle w:val="AERbody"/>
        </w:rPr>
        <w:t xml:space="preserve"> the cost of providing standard control services </w:t>
      </w:r>
      <w:r w:rsidR="00E4158F">
        <w:rPr>
          <w:rStyle w:val="AERbody"/>
        </w:rPr>
        <w:t xml:space="preserve">from all electricity customers </w:t>
      </w:r>
      <w:r w:rsidR="00E37176">
        <w:rPr>
          <w:rStyle w:val="AERbody"/>
        </w:rPr>
        <w:t xml:space="preserve">through </w:t>
      </w:r>
      <w:r>
        <w:rPr>
          <w:rStyle w:val="AERbody"/>
        </w:rPr>
        <w:t>standard network charges—known as Distribution Use of System (DU</w:t>
      </w:r>
      <w:r w:rsidR="006D5B0A">
        <w:rPr>
          <w:rStyle w:val="AERbody"/>
        </w:rPr>
        <w:t>o</w:t>
      </w:r>
      <w:r>
        <w:rPr>
          <w:rStyle w:val="AERbody"/>
        </w:rPr>
        <w:t xml:space="preserve">S) charges. </w:t>
      </w:r>
      <w:r w:rsidR="00E37176">
        <w:rPr>
          <w:rStyle w:val="AERbody"/>
        </w:rPr>
        <w:t xml:space="preserve">It is the total cost of providing standard control services that this issues paper predominantly relates to. </w:t>
      </w:r>
      <w:r w:rsidR="006E479A">
        <w:rPr>
          <w:rStyle w:val="AERbody"/>
        </w:rPr>
        <w:t xml:space="preserve">Services classified as alternative control are separately billed to individual electricity customers.  </w:t>
      </w:r>
    </w:p>
    <w:p w:rsidR="008C6418" w:rsidRDefault="00E963DC" w:rsidP="003553C2">
      <w:pPr>
        <w:pStyle w:val="AERbodytext"/>
        <w:rPr>
          <w:rStyle w:val="AERbody"/>
        </w:rPr>
      </w:pPr>
      <w:r>
        <w:rPr>
          <w:rStyle w:val="AERbody"/>
        </w:rPr>
        <w:fldChar w:fldCharType="begin"/>
      </w:r>
      <w:r>
        <w:rPr>
          <w:rStyle w:val="AERbody"/>
        </w:rPr>
        <w:instrText xml:space="preserve"> REF _Ref392485263 \h </w:instrText>
      </w:r>
      <w:r>
        <w:rPr>
          <w:rStyle w:val="AERbody"/>
        </w:rPr>
      </w:r>
      <w:r>
        <w:rPr>
          <w:rStyle w:val="AERbody"/>
        </w:rPr>
        <w:fldChar w:fldCharType="separate"/>
      </w:r>
      <w:r w:rsidR="00DD297F">
        <w:t xml:space="preserve">Figure </w:t>
      </w:r>
      <w:r w:rsidR="00DD297F">
        <w:rPr>
          <w:noProof/>
        </w:rPr>
        <w:t>7</w:t>
      </w:r>
      <w:r>
        <w:rPr>
          <w:rStyle w:val="AERbody"/>
        </w:rPr>
        <w:fldChar w:fldCharType="end"/>
      </w:r>
      <w:r w:rsidR="00D97737">
        <w:rPr>
          <w:rStyle w:val="AERbody"/>
        </w:rPr>
        <w:t xml:space="preserve"> </w:t>
      </w:r>
      <w:r w:rsidR="000D2A68">
        <w:rPr>
          <w:rStyle w:val="AERbody"/>
        </w:rPr>
        <w:t>shows</w:t>
      </w:r>
      <w:r w:rsidR="00D23387">
        <w:rPr>
          <w:rStyle w:val="AERbody"/>
        </w:rPr>
        <w:t xml:space="preserve"> our </w:t>
      </w:r>
      <w:r w:rsidR="007109EE">
        <w:rPr>
          <w:rStyle w:val="AERbody"/>
        </w:rPr>
        <w:t>proposed</w:t>
      </w:r>
      <w:r w:rsidR="00D23387">
        <w:rPr>
          <w:rStyle w:val="AERbody"/>
        </w:rPr>
        <w:t xml:space="preserve"> service classifications for the 2014</w:t>
      </w:r>
      <w:r w:rsidR="007C729F" w:rsidRPr="007109EE">
        <w:rPr>
          <w:rStyle w:val="AERbody"/>
          <w:rFonts w:cs="Gautami"/>
        </w:rPr>
        <w:t>–</w:t>
      </w:r>
      <w:r w:rsidR="00D23387">
        <w:rPr>
          <w:rStyle w:val="AERbody"/>
        </w:rPr>
        <w:t>19 period.</w:t>
      </w:r>
      <w:r w:rsidR="007109EE">
        <w:rPr>
          <w:rStyle w:val="AERbody"/>
        </w:rPr>
        <w:t xml:space="preserve"> We may only change </w:t>
      </w:r>
      <w:r w:rsidR="00273824">
        <w:rPr>
          <w:rStyle w:val="AERbody"/>
        </w:rPr>
        <w:t xml:space="preserve">our proposed </w:t>
      </w:r>
      <w:r w:rsidR="007109EE">
        <w:rPr>
          <w:rStyle w:val="AERbody"/>
        </w:rPr>
        <w:t>classifications if we consider unforeseen circumstances arise.</w:t>
      </w:r>
      <w:r w:rsidR="00752EFA">
        <w:rPr>
          <w:rStyle w:val="FootnoteReference"/>
        </w:rPr>
        <w:footnoteReference w:id="23"/>
      </w:r>
      <w:r w:rsidR="007109EE">
        <w:rPr>
          <w:rStyle w:val="AERbody"/>
        </w:rPr>
        <w:t xml:space="preserve"> Our classifications</w:t>
      </w:r>
      <w:r w:rsidR="003553C2" w:rsidRPr="003553C2">
        <w:rPr>
          <w:rStyle w:val="AERbody"/>
        </w:rPr>
        <w:t xml:space="preserve"> are consistent with </w:t>
      </w:r>
      <w:r w:rsidR="007109EE">
        <w:rPr>
          <w:rStyle w:val="AERbody"/>
        </w:rPr>
        <w:t>those</w:t>
      </w:r>
      <w:r w:rsidR="003553C2" w:rsidRPr="003553C2">
        <w:rPr>
          <w:rStyle w:val="AERbody"/>
        </w:rPr>
        <w:t xml:space="preserve"> for the 2009</w:t>
      </w:r>
      <w:r w:rsidR="007C729F" w:rsidRPr="007109EE">
        <w:rPr>
          <w:rStyle w:val="AERbody"/>
          <w:rFonts w:cs="Gautami"/>
        </w:rPr>
        <w:t>–</w:t>
      </w:r>
      <w:r w:rsidR="003553C2" w:rsidRPr="003553C2">
        <w:rPr>
          <w:rStyle w:val="AERbody"/>
        </w:rPr>
        <w:t xml:space="preserve">14 period, with </w:t>
      </w:r>
      <w:r w:rsidR="001F4390">
        <w:rPr>
          <w:rStyle w:val="AERbody"/>
        </w:rPr>
        <w:t xml:space="preserve">the </w:t>
      </w:r>
      <w:r w:rsidR="003553C2" w:rsidRPr="003553C2">
        <w:rPr>
          <w:rStyle w:val="AERbody"/>
        </w:rPr>
        <w:t>exception</w:t>
      </w:r>
      <w:r w:rsidR="001F4390">
        <w:rPr>
          <w:rStyle w:val="AERbody"/>
        </w:rPr>
        <w:t xml:space="preserve"> of</w:t>
      </w:r>
      <w:r w:rsidR="008C6418">
        <w:rPr>
          <w:rStyle w:val="AERbody"/>
        </w:rPr>
        <w:t>:</w:t>
      </w:r>
      <w:r w:rsidR="003553C2" w:rsidRPr="003553C2">
        <w:rPr>
          <w:rStyle w:val="AERbody"/>
        </w:rPr>
        <w:t xml:space="preserve"> </w:t>
      </w:r>
    </w:p>
    <w:p w:rsidR="008C6418" w:rsidRDefault="00DD5E11" w:rsidP="001F1034">
      <w:pPr>
        <w:pStyle w:val="AERbulletlistfirststyle"/>
        <w:rPr>
          <w:rStyle w:val="AERbody"/>
        </w:rPr>
      </w:pPr>
      <w:r>
        <w:rPr>
          <w:rStyle w:val="AERbody"/>
        </w:rPr>
        <w:t>a</w:t>
      </w:r>
      <w:r w:rsidR="003553C2" w:rsidRPr="003553C2">
        <w:rPr>
          <w:rStyle w:val="AERbody"/>
        </w:rPr>
        <w:t>nci</w:t>
      </w:r>
      <w:r w:rsidR="002D2451">
        <w:rPr>
          <w:rStyle w:val="AERbody"/>
        </w:rPr>
        <w:t>llary network services—</w:t>
      </w:r>
      <w:r w:rsidR="003553C2" w:rsidRPr="003553C2">
        <w:rPr>
          <w:rStyle w:val="AERbody"/>
        </w:rPr>
        <w:t xml:space="preserve">reclassified as alternative control, from </w:t>
      </w:r>
      <w:r w:rsidR="00953C53">
        <w:rPr>
          <w:rStyle w:val="AERbody"/>
        </w:rPr>
        <w:t>(predominantly</w:t>
      </w:r>
      <w:r w:rsidR="001F4390">
        <w:rPr>
          <w:rStyle w:val="AERbody"/>
        </w:rPr>
        <w:t xml:space="preserve">) </w:t>
      </w:r>
      <w:r w:rsidR="003553C2" w:rsidRPr="003553C2">
        <w:rPr>
          <w:rStyle w:val="AERbody"/>
        </w:rPr>
        <w:t xml:space="preserve">standard control. </w:t>
      </w:r>
    </w:p>
    <w:p w:rsidR="003553C2" w:rsidRDefault="00357427" w:rsidP="001F1034">
      <w:pPr>
        <w:pStyle w:val="AERbulletlistfirststyle"/>
        <w:numPr>
          <w:ilvl w:val="0"/>
          <w:numId w:val="0"/>
        </w:numPr>
        <w:rPr>
          <w:rStyle w:val="AERbody"/>
        </w:rPr>
      </w:pPr>
      <w:r>
        <w:rPr>
          <w:rStyle w:val="AERbody"/>
        </w:rPr>
        <w:t>These</w:t>
      </w:r>
      <w:r w:rsidR="003553C2">
        <w:rPr>
          <w:rStyle w:val="AERbody"/>
        </w:rPr>
        <w:t xml:space="preserve"> changes mean</w:t>
      </w:r>
      <w:r w:rsidR="003553C2" w:rsidRPr="003553C2">
        <w:rPr>
          <w:rStyle w:val="AERbody"/>
        </w:rPr>
        <w:t xml:space="preserve"> the costs of providing these services will now be excluded from the distributors' DU</w:t>
      </w:r>
      <w:r w:rsidR="006D5B0A">
        <w:rPr>
          <w:rStyle w:val="AERbody"/>
        </w:rPr>
        <w:t>o</w:t>
      </w:r>
      <w:r w:rsidR="003553C2" w:rsidRPr="003553C2">
        <w:rPr>
          <w:rStyle w:val="AERbody"/>
        </w:rPr>
        <w:t>S charges.</w:t>
      </w:r>
      <w:r w:rsidR="003553C2">
        <w:rPr>
          <w:rStyle w:val="AERbody"/>
        </w:rPr>
        <w:t xml:space="preserve"> </w:t>
      </w:r>
      <w:r>
        <w:rPr>
          <w:rStyle w:val="AERbody"/>
        </w:rPr>
        <w:t>I</w:t>
      </w:r>
      <w:r w:rsidR="00680E67">
        <w:rPr>
          <w:rStyle w:val="AERbody"/>
        </w:rPr>
        <w:t>n future they will be recovered from specific customers requiring those services, rather than from all customers.</w:t>
      </w:r>
      <w:r w:rsidR="007109EE">
        <w:rPr>
          <w:rStyle w:val="AERbody"/>
        </w:rPr>
        <w:t xml:space="preserve"> </w:t>
      </w:r>
    </w:p>
    <w:p w:rsidR="00976983" w:rsidRDefault="00976983" w:rsidP="00976983">
      <w:pPr>
        <w:pStyle w:val="Caption"/>
      </w:pPr>
      <w:bookmarkStart w:id="59" w:name="_Ref392485263"/>
      <w:r>
        <w:t xml:space="preserve">Figure </w:t>
      </w:r>
      <w:r w:rsidR="00203B35">
        <w:fldChar w:fldCharType="begin"/>
      </w:r>
      <w:r w:rsidR="00203B35">
        <w:instrText xml:space="preserve"> SEQ Figure \* ARABIC </w:instrText>
      </w:r>
      <w:r w:rsidR="00203B35">
        <w:fldChar w:fldCharType="separate"/>
      </w:r>
      <w:r w:rsidR="00DD297F">
        <w:rPr>
          <w:noProof/>
        </w:rPr>
        <w:t>7</w:t>
      </w:r>
      <w:r w:rsidR="00203B35">
        <w:rPr>
          <w:noProof/>
        </w:rPr>
        <w:fldChar w:fldCharType="end"/>
      </w:r>
      <w:bookmarkEnd w:id="59"/>
      <w:r>
        <w:tab/>
        <w:t xml:space="preserve">AER proposed 2014–19 service classifications for </w:t>
      </w:r>
      <w:r w:rsidR="008701C4">
        <w:t>ActewAGL</w:t>
      </w:r>
    </w:p>
    <w:p w:rsidR="00BE0F10" w:rsidRDefault="00045E0A" w:rsidP="00BE0F10">
      <w:pPr>
        <w:pStyle w:val="AERbodytext"/>
        <w:numPr>
          <w:ilvl w:val="0"/>
          <w:numId w:val="0"/>
        </w:numPr>
        <w:rPr>
          <w:rStyle w:val="AERbody"/>
        </w:rPr>
      </w:pPr>
      <w:r w:rsidRPr="00045E0A">
        <w:rPr>
          <w:noProof/>
          <w:lang w:eastAsia="en-AU"/>
        </w:rPr>
        <w:drawing>
          <wp:inline distT="0" distB="0" distL="0" distR="0" wp14:anchorId="2128CB48" wp14:editId="350B5476">
            <wp:extent cx="5731510" cy="39936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31510" cy="3993687"/>
                    </a:xfrm>
                    <a:prstGeom prst="rect">
                      <a:avLst/>
                    </a:prstGeom>
                  </pic:spPr>
                </pic:pic>
              </a:graphicData>
            </a:graphic>
          </wp:inline>
        </w:drawing>
      </w:r>
    </w:p>
    <w:p w:rsidR="00F71C67" w:rsidRDefault="00525349" w:rsidP="00525349">
      <w:pPr>
        <w:pStyle w:val="HeadingBoldBlue"/>
        <w:rPr>
          <w:rStyle w:val="AERbody"/>
        </w:rPr>
      </w:pPr>
      <w:r w:rsidRPr="00525349">
        <w:rPr>
          <w:rStyle w:val="AERbody"/>
          <w:color w:val="365F91" w:themeColor="accent1" w:themeShade="BF"/>
          <w:sz w:val="24"/>
        </w:rPr>
        <w:lastRenderedPageBreak/>
        <w:t>Transmission assets</w:t>
      </w:r>
    </w:p>
    <w:p w:rsidR="00C259A8" w:rsidRDefault="00A3390F" w:rsidP="00C259A8">
      <w:pPr>
        <w:pStyle w:val="AERbodytext"/>
      </w:pPr>
      <w:r>
        <w:t xml:space="preserve">ActewAGL was obliged </w:t>
      </w:r>
      <w:r w:rsidR="00224982">
        <w:t xml:space="preserve">by the ACT Government </w:t>
      </w:r>
      <w:r w:rsidR="003B184B">
        <w:t xml:space="preserve">to construct a new link, or interconnector, </w:t>
      </w:r>
      <w:r>
        <w:t xml:space="preserve">between its ACT distribution network and the transmission network supplying its electricity, owned by </w:t>
      </w:r>
      <w:r w:rsidR="008F167D">
        <w:t>TransGrid</w:t>
      </w:r>
      <w:r>
        <w:t xml:space="preserve">. These assets are referred to as 'dual function assets', in that they are operated by a distributor, ActewAGL, but </w:t>
      </w:r>
      <w:r w:rsidR="00224982">
        <w:t xml:space="preserve">would </w:t>
      </w:r>
      <w:r>
        <w:t>usually be operated by a transmission company.</w:t>
      </w:r>
      <w:r w:rsidR="009C7E36">
        <w:rPr>
          <w:rStyle w:val="FootnoteReference"/>
        </w:rPr>
        <w:footnoteReference w:id="24"/>
      </w:r>
      <w:r>
        <w:t xml:space="preserve"> </w:t>
      </w:r>
      <w:r w:rsidR="00224982">
        <w:t>A</w:t>
      </w:r>
      <w:r>
        <w:t xml:space="preserve">s </w:t>
      </w:r>
      <w:r w:rsidR="00224982">
        <w:t>part of this reset process, we will determine the regulated revenues ActewAGL may earn from charging for the use of these new assets.</w:t>
      </w:r>
      <w:r w:rsidR="00F858E6">
        <w:rPr>
          <w:rStyle w:val="FootnoteReference"/>
        </w:rPr>
        <w:footnoteReference w:id="25"/>
      </w:r>
      <w:r w:rsidR="00224982">
        <w:t xml:space="preserve"> </w:t>
      </w:r>
      <w:r w:rsidR="00961CE6">
        <w:t xml:space="preserve">ActewAGL has proposed that some of its pre-existing assets should now also be treated as transmission assets. </w:t>
      </w:r>
    </w:p>
    <w:p w:rsidR="00F34FAB" w:rsidRPr="00F34FAB" w:rsidRDefault="00F34FAB" w:rsidP="00F34FAB">
      <w:pPr>
        <w:pStyle w:val="AERbodytext"/>
        <w:numPr>
          <w:ilvl w:val="0"/>
          <w:numId w:val="58"/>
        </w:numPr>
      </w:pPr>
      <w:r w:rsidRPr="00F34FAB">
        <w:t xml:space="preserve">Because the </w:t>
      </w:r>
      <w:r>
        <w:t xml:space="preserve">treatment </w:t>
      </w:r>
      <w:r w:rsidRPr="00F34FAB">
        <w:t>of some of ActewAGL's assets as transmission assets is new, throughout this issues paper we frequently include transmission assets when comparing revenues and expenditures across the 2009–14 and 2014–19 regulatory periods. Not doing so would understate ActewAGL's proposed future costs and revenues. However, the cost of ActewAGL's transmission services will be recovered separately to those of its distribution services. Around half of the transmission costs will be paid by TransGrid's full customer base</w:t>
      </w:r>
      <w:r>
        <w:t xml:space="preserve"> (all of NSW)</w:t>
      </w:r>
      <w:r w:rsidRPr="00F34FAB">
        <w:t>, while around half will be paid by electricity customers in the local region</w:t>
      </w:r>
      <w:r>
        <w:t xml:space="preserve"> (ACT)</w:t>
      </w:r>
      <w:r w:rsidRPr="00F34FAB">
        <w:t xml:space="preserve">. In contrast, all of ActewAGL's costs related to provision of its distribution services will be paid by its ACT customers. </w:t>
      </w:r>
    </w:p>
    <w:p w:rsidR="00B85991" w:rsidRPr="003F3428" w:rsidRDefault="00B85991" w:rsidP="00C702AD">
      <w:pPr>
        <w:pStyle w:val="Heading1"/>
      </w:pPr>
      <w:bookmarkStart w:id="60" w:name="_Toc389470027"/>
      <w:bookmarkStart w:id="61" w:name="_Toc389470862"/>
      <w:bookmarkStart w:id="62" w:name="_Toc389470028"/>
      <w:bookmarkStart w:id="63" w:name="_Toc389470863"/>
      <w:bookmarkStart w:id="64" w:name="_Toc389470029"/>
      <w:bookmarkStart w:id="65" w:name="_Toc389470864"/>
      <w:bookmarkStart w:id="66" w:name="_Toc389470030"/>
      <w:bookmarkStart w:id="67" w:name="_Toc389470865"/>
      <w:bookmarkStart w:id="68" w:name="_Toc393880980"/>
      <w:bookmarkEnd w:id="60"/>
      <w:bookmarkEnd w:id="61"/>
      <w:bookmarkEnd w:id="62"/>
      <w:bookmarkEnd w:id="63"/>
      <w:bookmarkEnd w:id="64"/>
      <w:bookmarkEnd w:id="65"/>
      <w:bookmarkEnd w:id="66"/>
      <w:bookmarkEnd w:id="67"/>
      <w:r w:rsidRPr="003F3428">
        <w:lastRenderedPageBreak/>
        <w:t>Capital expenditure</w:t>
      </w:r>
      <w:bookmarkEnd w:id="68"/>
    </w:p>
    <w:p w:rsidR="00E3760B" w:rsidRPr="00E3760B" w:rsidRDefault="00E3760B" w:rsidP="00E3760B">
      <w:r w:rsidRPr="00E3760B">
        <w:t>Capital expenditure (capex) is add</w:t>
      </w:r>
      <w:r w:rsidR="004073A2">
        <w:t>ed to ActewAGL's asset base</w:t>
      </w:r>
      <w:r w:rsidRPr="00E3760B">
        <w:t xml:space="preserve"> and so forms part of the capital costs of the building blocks used to determine </w:t>
      </w:r>
      <w:r w:rsidR="004073A2">
        <w:t>its</w:t>
      </w:r>
      <w:r w:rsidRPr="00E3760B">
        <w:t xml:space="preserve"> total revenue requirement. We must accept </w:t>
      </w:r>
      <w:r w:rsidR="0072401D">
        <w:t>ActewAGL's proposed forecast</w:t>
      </w:r>
      <w:r w:rsidRPr="00E3760B">
        <w:t xml:space="preserve"> of total capex if we are satisfied </w:t>
      </w:r>
      <w:r w:rsidR="0072401D">
        <w:t>it</w:t>
      </w:r>
      <w:r w:rsidRPr="00E3760B">
        <w:t xml:space="preserve"> reasonably reflect</w:t>
      </w:r>
      <w:r w:rsidR="0072401D">
        <w:t>s</w:t>
      </w:r>
      <w:r w:rsidRPr="00E3760B">
        <w:t xml:space="preserve"> the capex criteria.</w:t>
      </w:r>
      <w:r w:rsidRPr="00F50F1A">
        <w:rPr>
          <w:rStyle w:val="AERsuperscript"/>
        </w:rPr>
        <w:footnoteReference w:id="26"/>
      </w:r>
      <w:r w:rsidRPr="00E3760B">
        <w:t xml:space="preserve"> We must have regard to the capex factors in the </w:t>
      </w:r>
      <w:r w:rsidR="0025716A">
        <w:t>rules</w:t>
      </w:r>
      <w:r w:rsidRPr="00E3760B">
        <w:t xml:space="preserve"> when making that decision.</w:t>
      </w:r>
      <w:r w:rsidRPr="00F50F1A">
        <w:rPr>
          <w:rStyle w:val="AERsuperscript"/>
        </w:rPr>
        <w:footnoteReference w:id="27"/>
      </w:r>
    </w:p>
    <w:p w:rsidR="00E3760B" w:rsidRPr="00E3760B" w:rsidRDefault="00E3760B" w:rsidP="00E3760B">
      <w:r w:rsidRPr="00E3760B">
        <w:t xml:space="preserve">If we are not satisfied </w:t>
      </w:r>
      <w:r w:rsidR="0072401D">
        <w:t>ActewAGL's</w:t>
      </w:r>
      <w:r w:rsidRPr="00E3760B">
        <w:t xml:space="preserve"> capex proposal reasonably reflects the capex criteria, we must not accept the forecast. In that case, we must estimate the total required capex that, in our view, does reasonably reflect the capex criteria taking into account the capex factors. The appro</w:t>
      </w:r>
      <w:r w:rsidR="0072401D">
        <w:t>ach we will adopt to assess ActewAGL's</w:t>
      </w:r>
      <w:r w:rsidRPr="00E3760B">
        <w:t xml:space="preserve"> total capex is outlined in our expenditure forecast assessment guideline.</w:t>
      </w:r>
      <w:r w:rsidRPr="00F50F1A">
        <w:rPr>
          <w:rStyle w:val="AERsuperscript"/>
        </w:rPr>
        <w:footnoteReference w:id="28"/>
      </w:r>
    </w:p>
    <w:p w:rsidR="00E3760B" w:rsidRPr="00E3760B" w:rsidRDefault="00F53503" w:rsidP="00E3760B">
      <w:r>
        <w:pict>
          <v:shape id="Text Box 3" o:spid="_x0000_s1098" type="#_x0000_t202" style="width:451.3pt;height:6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" fillcolor="#ddd">
            <v:textbox style="mso-next-textbox:#Text Box 3;mso-fit-shape-to-text:t">
              <w:txbxContent>
                <w:p w:rsidR="00954F42" w:rsidRPr="003C74B1" w:rsidRDefault="00954F42" w:rsidP="00E3760B">
                  <w:pPr>
                    <w:rPr>
                      <w:rStyle w:val="AERtextbold"/>
                    </w:rPr>
                  </w:pPr>
                  <w:r>
                    <w:rPr>
                      <w:rStyle w:val="AERtextbold"/>
                    </w:rPr>
                    <w:t>Question</w:t>
                  </w:r>
                </w:p>
                <w:p w:rsidR="00954F42" w:rsidRDefault="00954F42" w:rsidP="00E3760B">
                  <w:pPr>
                    <w:pStyle w:val="AERnumberedlistfirststyle"/>
                    <w:tabs>
                      <w:tab w:val="clear" w:pos="499"/>
                      <w:tab w:val="num" w:pos="360"/>
                    </w:tabs>
                    <w:ind w:left="357"/>
                  </w:pPr>
                  <w:r>
                    <w:t>Do you think that ActewAGL's capital expenditure proposal is appropriate?</w:t>
                  </w:r>
                </w:p>
              </w:txbxContent>
            </v:textbox>
            <w10:wrap type="none"/>
            <w10:anchorlock/>
          </v:shape>
        </w:pict>
      </w:r>
    </w:p>
    <w:p w:rsidR="00E3760B" w:rsidRPr="00E3760B" w:rsidRDefault="0091727F" w:rsidP="00B03324">
      <w:pPr>
        <w:pStyle w:val="Heading2"/>
      </w:pPr>
      <w:bookmarkStart w:id="69" w:name="_Toc393880981"/>
      <w:r>
        <w:t>ActewAGL's c</w:t>
      </w:r>
      <w:r w:rsidR="00E3760B" w:rsidRPr="00E3760B">
        <w:t>apital expenditure proposal</w:t>
      </w:r>
      <w:bookmarkEnd w:id="69"/>
    </w:p>
    <w:p w:rsidR="00E3760B" w:rsidRPr="00E3760B" w:rsidRDefault="003E62CC" w:rsidP="00E3760B">
      <w:r>
        <w:t xml:space="preserve">Table 2 </w:t>
      </w:r>
      <w:r w:rsidR="00E3760B" w:rsidRPr="00E3760B">
        <w:t xml:space="preserve">summarises </w:t>
      </w:r>
      <w:r w:rsidR="00094452">
        <w:t>ActewAGL's proposed forecast</w:t>
      </w:r>
      <w:r w:rsidR="00E3760B" w:rsidRPr="00E3760B">
        <w:t xml:space="preserve"> capex</w:t>
      </w:r>
      <w:r w:rsidR="00094452">
        <w:t xml:space="preserve"> for both its standard control distribution assets and transmission assets</w:t>
      </w:r>
      <w:r w:rsidR="00E3760B" w:rsidRPr="00E3760B">
        <w:t xml:space="preserve">. </w:t>
      </w:r>
      <w:r w:rsidR="003543F9">
        <w:t>ActewAGL has</w:t>
      </w:r>
      <w:r w:rsidR="00E3760B" w:rsidRPr="00E3760B">
        <w:t xml:space="preserve"> proposed capex levels </w:t>
      </w:r>
      <w:r w:rsidR="003543F9">
        <w:t xml:space="preserve">broadly consistent with its actual capex spending for the 2009–14 period, but </w:t>
      </w:r>
      <w:r w:rsidR="00E160B0">
        <w:t xml:space="preserve">significantly </w:t>
      </w:r>
      <w:r w:rsidR="003543F9">
        <w:t>higher than its allowance</w:t>
      </w:r>
      <w:r w:rsidR="00E160B0">
        <w:t xml:space="preserve"> for that period</w:t>
      </w:r>
      <w:r w:rsidR="003543F9">
        <w:t xml:space="preserve">. </w:t>
      </w:r>
      <w:r w:rsidR="001008DB">
        <w:t>ActewAGL overspent its capex allowance for the 2009–14 period.</w:t>
      </w:r>
    </w:p>
    <w:p w:rsidR="00E3760B" w:rsidRDefault="00E3760B" w:rsidP="00B03324">
      <w:pPr>
        <w:pStyle w:val="Caption"/>
      </w:pPr>
      <w:bookmarkStart w:id="70" w:name="_Ref392485304"/>
      <w:r>
        <w:t xml:space="preserve">Table </w:t>
      </w:r>
      <w:r w:rsidR="00203B35">
        <w:fldChar w:fldCharType="begin"/>
      </w:r>
      <w:r w:rsidR="00203B35">
        <w:instrText xml:space="preserve"> SEQ Table \* ARABIC </w:instrText>
      </w:r>
      <w:r w:rsidR="00203B35">
        <w:fldChar w:fldCharType="separate"/>
      </w:r>
      <w:r w:rsidR="00DD297F">
        <w:rPr>
          <w:noProof/>
        </w:rPr>
        <w:t>2</w:t>
      </w:r>
      <w:r w:rsidR="00203B35">
        <w:rPr>
          <w:noProof/>
        </w:rPr>
        <w:fldChar w:fldCharType="end"/>
      </w:r>
      <w:r>
        <w:tab/>
      </w:r>
      <w:r w:rsidR="003F557C">
        <w:t>ActewAGL</w:t>
      </w:r>
      <w:r w:rsidR="007023EB">
        <w:t xml:space="preserve"> —</w:t>
      </w:r>
      <w:r>
        <w:t xml:space="preserve"> </w:t>
      </w:r>
      <w:r w:rsidR="007023EB">
        <w:t xml:space="preserve">total </w:t>
      </w:r>
      <w:r>
        <w:t>capital expenditure proposal</w:t>
      </w:r>
      <w:bookmarkEnd w:id="70"/>
    </w:p>
    <w:tbl>
      <w:tblPr>
        <w:tblStyle w:val="AERtable-numbers"/>
        <w:tblW w:w="0" w:type="auto"/>
        <w:tblLook w:val="04A0" w:firstRow="1" w:lastRow="0" w:firstColumn="1" w:lastColumn="0" w:noHBand="0" w:noVBand="1"/>
      </w:tblPr>
      <w:tblGrid>
        <w:gridCol w:w="3080"/>
        <w:gridCol w:w="3081"/>
        <w:gridCol w:w="3081"/>
      </w:tblGrid>
      <w:tr w:rsidR="00FF0A67" w:rsidRPr="00E3760B" w:rsidTr="00FF0A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FF0A67" w:rsidRPr="00E3760B" w:rsidRDefault="00FF0A67" w:rsidP="00786450">
            <w:pPr>
              <w:pStyle w:val="AERtabletextright"/>
            </w:pPr>
            <w:r w:rsidRPr="00E3760B">
              <w:t>2014–19 total capex proposal ($million, 2013–14)</w:t>
            </w:r>
          </w:p>
        </w:tc>
        <w:tc>
          <w:tcPr>
            <w:tcW w:w="3081" w:type="dxa"/>
          </w:tcPr>
          <w:p w:rsidR="00FF0A67" w:rsidRPr="00E3760B" w:rsidRDefault="00FF0A67" w:rsidP="00786450">
            <w:pPr>
              <w:pStyle w:val="AERtabletextright"/>
              <w:cnfStyle w:val="100000000000" w:firstRow="1" w:lastRow="0" w:firstColumn="0" w:lastColumn="0" w:oddVBand="0" w:evenVBand="0" w:oddHBand="0" w:evenHBand="0" w:firstRowFirstColumn="0" w:firstRowLastColumn="0" w:lastRowFirstColumn="0" w:lastRowLastColumn="0"/>
            </w:pPr>
            <w:r>
              <w:t xml:space="preserve">Change from 2009–14 actual capex </w:t>
            </w:r>
            <w:r w:rsidRPr="00E3760B">
              <w:t>(per cent)</w:t>
            </w:r>
          </w:p>
        </w:tc>
        <w:tc>
          <w:tcPr>
            <w:tcW w:w="3081" w:type="dxa"/>
          </w:tcPr>
          <w:p w:rsidR="00FF0A67" w:rsidRPr="00E3760B" w:rsidRDefault="00FF0A67" w:rsidP="00786450">
            <w:pPr>
              <w:pStyle w:val="AERtabletextright"/>
              <w:cnfStyle w:val="100000000000" w:firstRow="1" w:lastRow="0" w:firstColumn="0" w:lastColumn="0" w:oddVBand="0" w:evenVBand="0" w:oddHBand="0" w:evenHBand="0" w:firstRowFirstColumn="0" w:firstRowLastColumn="0" w:lastRowFirstColumn="0" w:lastRowLastColumn="0"/>
            </w:pPr>
            <w:r w:rsidRPr="00E3760B">
              <w:t>Change from 2009–14 total capex allowance (per cent)</w:t>
            </w:r>
          </w:p>
        </w:tc>
      </w:tr>
      <w:tr w:rsidR="00FF0A67" w:rsidRPr="00E3760B" w:rsidTr="00FF0A67">
        <w:tc>
          <w:tcPr>
            <w:cnfStyle w:val="001000000000" w:firstRow="0" w:lastRow="0" w:firstColumn="1" w:lastColumn="0" w:oddVBand="0" w:evenVBand="0" w:oddHBand="0" w:evenHBand="0" w:firstRowFirstColumn="0" w:firstRowLastColumn="0" w:lastRowFirstColumn="0" w:lastRowLastColumn="0"/>
            <w:tcW w:w="3080" w:type="dxa"/>
          </w:tcPr>
          <w:p w:rsidR="00FF0A67" w:rsidRPr="00E3760B" w:rsidRDefault="00FF0A67" w:rsidP="00786450">
            <w:pPr>
              <w:pStyle w:val="AERtabletextright"/>
            </w:pPr>
            <w:r>
              <w:t>$372.2</w:t>
            </w:r>
          </w:p>
        </w:tc>
        <w:tc>
          <w:tcPr>
            <w:tcW w:w="3081" w:type="dxa"/>
          </w:tcPr>
          <w:p w:rsidR="00FF0A67" w:rsidRPr="00E160B0" w:rsidRDefault="00E160B0" w:rsidP="00E160B0">
            <w:pPr>
              <w:pStyle w:val="AERtabletextright"/>
              <w:cnfStyle w:val="000000000000" w:firstRow="0" w:lastRow="0" w:firstColumn="0" w:lastColumn="0" w:oddVBand="0" w:evenVBand="0" w:oddHBand="0" w:evenHBand="0" w:firstRowFirstColumn="0" w:firstRowLastColumn="0" w:lastRowFirstColumn="0" w:lastRowLastColumn="0"/>
              <w:rPr>
                <w:rStyle w:val="AERtexthighlight"/>
                <w:shd w:val="clear" w:color="auto" w:fill="auto"/>
              </w:rPr>
            </w:pPr>
            <w:r w:rsidRPr="00E160B0">
              <w:rPr>
                <w:rStyle w:val="AERtexthighlight"/>
                <w:shd w:val="clear" w:color="auto" w:fill="auto"/>
              </w:rPr>
              <w:t>+1.5</w:t>
            </w:r>
          </w:p>
        </w:tc>
        <w:tc>
          <w:tcPr>
            <w:tcW w:w="3081" w:type="dxa"/>
          </w:tcPr>
          <w:p w:rsidR="00FF0A67" w:rsidRPr="00E160B0" w:rsidRDefault="00E160B0" w:rsidP="00E160B0">
            <w:pPr>
              <w:pStyle w:val="AERtabletextright"/>
              <w:cnfStyle w:val="000000000000" w:firstRow="0" w:lastRow="0" w:firstColumn="0" w:lastColumn="0" w:oddVBand="0" w:evenVBand="0" w:oddHBand="0" w:evenHBand="0" w:firstRowFirstColumn="0" w:firstRowLastColumn="0" w:lastRowFirstColumn="0" w:lastRowLastColumn="0"/>
            </w:pPr>
            <w:r>
              <w:t>+19.5</w:t>
            </w:r>
          </w:p>
        </w:tc>
      </w:tr>
    </w:tbl>
    <w:p w:rsidR="00393C0A" w:rsidRDefault="00DB4817" w:rsidP="00442EE8">
      <w:pPr>
        <w:pStyle w:val="AERtablesource"/>
      </w:pPr>
      <w:r>
        <w:t>Source:</w:t>
      </w:r>
      <w:r>
        <w:tab/>
      </w:r>
      <w:r w:rsidR="00012401">
        <w:t xml:space="preserve">ActewAGL, </w:t>
      </w:r>
      <w:r w:rsidR="00012401" w:rsidRPr="00442EE8">
        <w:rPr>
          <w:rStyle w:val="AERtextitalic"/>
        </w:rPr>
        <w:t>Regulatory proposal</w:t>
      </w:r>
      <w:r w:rsidR="00012401">
        <w:t xml:space="preserve">, tables 7.1, </w:t>
      </w:r>
      <w:r w:rsidR="00EA16AD">
        <w:t>7.2 and 7.3; AER analysis.</w:t>
      </w:r>
    </w:p>
    <w:p w:rsidR="003B184B" w:rsidRDefault="0072401D" w:rsidP="00393C0A">
      <w:pPr>
        <w:tabs>
          <w:tab w:val="left" w:pos="5625"/>
        </w:tabs>
      </w:pPr>
      <w:r>
        <w:t>ActewAGL submitted that its</w:t>
      </w:r>
      <w:r w:rsidR="00881828">
        <w:t xml:space="preserve"> capex spending in the 2009–14 </w:t>
      </w:r>
      <w:r>
        <w:t xml:space="preserve">period was driven by </w:t>
      </w:r>
      <w:r w:rsidR="00881828">
        <w:t xml:space="preserve">stronger than expected </w:t>
      </w:r>
      <w:r>
        <w:t xml:space="preserve">growth in connections, </w:t>
      </w:r>
      <w:r w:rsidR="00881828">
        <w:t xml:space="preserve">unforeseen spending on construction of new warehousing and </w:t>
      </w:r>
      <w:r>
        <w:t>systems replacement</w:t>
      </w:r>
      <w:r w:rsidR="005C299A">
        <w:t xml:space="preserve"> and unexpectedly high costs of augmentation and building </w:t>
      </w:r>
      <w:r w:rsidR="003B184B">
        <w:t xml:space="preserve">the </w:t>
      </w:r>
      <w:r w:rsidR="005C299A">
        <w:t xml:space="preserve">new </w:t>
      </w:r>
      <w:r w:rsidR="003B184B">
        <w:t>interconnector</w:t>
      </w:r>
      <w:r>
        <w:t>.</w:t>
      </w:r>
    </w:p>
    <w:p w:rsidR="00E3760B" w:rsidRPr="00E3760B" w:rsidRDefault="00B05A13" w:rsidP="00393C0A">
      <w:pPr>
        <w:tabs>
          <w:tab w:val="left" w:pos="5625"/>
        </w:tabs>
      </w:pPr>
      <w:r>
        <w:t>ActewAGL submitted that i</w:t>
      </w:r>
      <w:r w:rsidR="007023EB">
        <w:t xml:space="preserve">ts proposed </w:t>
      </w:r>
      <w:r w:rsidR="003B184B">
        <w:t xml:space="preserve">2014–19 </w:t>
      </w:r>
      <w:r w:rsidR="007023EB">
        <w:t xml:space="preserve">capex </w:t>
      </w:r>
      <w:r w:rsidR="0072401D">
        <w:t xml:space="preserve">is driven by </w:t>
      </w:r>
      <w:r w:rsidR="003B184B">
        <w:t xml:space="preserve">construction of a new substation and completion of the </w:t>
      </w:r>
      <w:r w:rsidR="00421DC7">
        <w:t>interconnector project, in addition to a</w:t>
      </w:r>
      <w:r w:rsidR="00220D9D">
        <w:t>n asset</w:t>
      </w:r>
      <w:r w:rsidR="00421DC7">
        <w:t xml:space="preserve"> </w:t>
      </w:r>
      <w:r w:rsidR="0072401D">
        <w:t>replacement</w:t>
      </w:r>
      <w:r w:rsidR="00421DC7">
        <w:t xml:space="preserve"> program. ActewAGL also proposed capex spending to complete</w:t>
      </w:r>
      <w:r w:rsidR="0072401D">
        <w:t xml:space="preserve"> IT projects</w:t>
      </w:r>
      <w:r w:rsidR="00421DC7">
        <w:t xml:space="preserve"> already commenced</w:t>
      </w:r>
      <w:r w:rsidR="0072401D">
        <w:t xml:space="preserve">. ActewAGL's capex proposal, compared to its </w:t>
      </w:r>
      <w:r w:rsidR="00EC40E3">
        <w:t xml:space="preserve">2009–14 </w:t>
      </w:r>
      <w:r w:rsidR="00E3760B" w:rsidRPr="00E3760B">
        <w:t>act</w:t>
      </w:r>
      <w:r w:rsidR="0072401D">
        <w:t>uals and capex allowances, is</w:t>
      </w:r>
      <w:r w:rsidR="00E3760B" w:rsidRPr="00E3760B">
        <w:t xml:space="preserve"> shown in</w:t>
      </w:r>
      <w:r w:rsidR="00035D89">
        <w:t xml:space="preserve"> </w:t>
      </w:r>
      <w:r w:rsidR="00B97825">
        <w:fldChar w:fldCharType="begin"/>
      </w:r>
      <w:r w:rsidR="00B97825">
        <w:instrText xml:space="preserve"> REF _Ref391541118 \h </w:instrText>
      </w:r>
      <w:r w:rsidR="00B97825">
        <w:fldChar w:fldCharType="separate"/>
      </w:r>
      <w:r w:rsidR="00B12B64">
        <w:t>f</w:t>
      </w:r>
      <w:r w:rsidR="00DD297F">
        <w:t xml:space="preserve">igure </w:t>
      </w:r>
      <w:r w:rsidR="00DD297F">
        <w:rPr>
          <w:noProof/>
        </w:rPr>
        <w:t>8</w:t>
      </w:r>
      <w:r w:rsidR="00B97825">
        <w:fldChar w:fldCharType="end"/>
      </w:r>
      <w:r w:rsidR="00B97825">
        <w:t xml:space="preserve"> </w:t>
      </w:r>
      <w:r w:rsidR="00E3760B" w:rsidRPr="00E3760B">
        <w:t>below.</w:t>
      </w:r>
      <w:r w:rsidR="008C6BE6">
        <w:t xml:space="preserve"> </w:t>
      </w:r>
    </w:p>
    <w:p w:rsidR="0007365F" w:rsidRDefault="0007365F" w:rsidP="00E3760B">
      <w:pPr>
        <w:rPr>
          <w:rStyle w:val="AERtextbold"/>
        </w:rPr>
      </w:pPr>
    </w:p>
    <w:p w:rsidR="0007365F" w:rsidRDefault="0007365F" w:rsidP="00E3760B">
      <w:pPr>
        <w:rPr>
          <w:rStyle w:val="AERtextbold"/>
        </w:rPr>
      </w:pPr>
    </w:p>
    <w:p w:rsidR="00976983" w:rsidRDefault="00976983" w:rsidP="00976983">
      <w:pPr>
        <w:pStyle w:val="Caption"/>
      </w:pPr>
      <w:bookmarkStart w:id="71" w:name="_Ref391541118"/>
      <w:r>
        <w:lastRenderedPageBreak/>
        <w:t xml:space="preserve">Figure </w:t>
      </w:r>
      <w:r w:rsidR="00203B35">
        <w:fldChar w:fldCharType="begin"/>
      </w:r>
      <w:r w:rsidR="00203B35">
        <w:instrText xml:space="preserve"> SEQ Figure \* ARABIC </w:instrText>
      </w:r>
      <w:r w:rsidR="00203B35">
        <w:fldChar w:fldCharType="separate"/>
      </w:r>
      <w:r w:rsidR="00DD297F">
        <w:rPr>
          <w:noProof/>
        </w:rPr>
        <w:t>8</w:t>
      </w:r>
      <w:r w:rsidR="00203B35">
        <w:rPr>
          <w:noProof/>
        </w:rPr>
        <w:fldChar w:fldCharType="end"/>
      </w:r>
      <w:bookmarkEnd w:id="71"/>
      <w:r w:rsidR="00A2075B">
        <w:tab/>
        <w:t>ActewAGL</w:t>
      </w:r>
      <w:r>
        <w:t xml:space="preserve"> – capital expenditure</w:t>
      </w:r>
      <w:r w:rsidR="00BB4555">
        <w:rPr>
          <w:rStyle w:val="FootnoteReference"/>
        </w:rPr>
        <w:footnoteReference w:id="29"/>
      </w:r>
    </w:p>
    <w:p w:rsidR="00E3760B" w:rsidRPr="00E3760B" w:rsidRDefault="00A2075B" w:rsidP="00E3760B">
      <w:r w:rsidRPr="00A2075B">
        <w:rPr>
          <w:noProof/>
          <w:lang w:eastAsia="en-AU"/>
        </w:rPr>
        <w:drawing>
          <wp:inline distT="0" distB="0" distL="0" distR="0" wp14:anchorId="0EB3FB67" wp14:editId="29C04B4D">
            <wp:extent cx="5731510" cy="343890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3438906"/>
                    </a:xfrm>
                    <a:prstGeom prst="rect">
                      <a:avLst/>
                    </a:prstGeom>
                    <a:noFill/>
                    <a:ln>
                      <a:noFill/>
                    </a:ln>
                  </pic:spPr>
                </pic:pic>
              </a:graphicData>
            </a:graphic>
          </wp:inline>
        </w:drawing>
      </w:r>
    </w:p>
    <w:p w:rsidR="00620F6C" w:rsidRPr="00620F6C" w:rsidRDefault="00620F6C" w:rsidP="00620F6C">
      <w:pPr>
        <w:pStyle w:val="AERtablesource"/>
      </w:pPr>
      <w:r w:rsidRPr="00620F6C">
        <w:t>Source:</w:t>
      </w:r>
      <w:r w:rsidRPr="00620F6C">
        <w:tab/>
        <w:t xml:space="preserve">ActewAGL, </w:t>
      </w:r>
      <w:r w:rsidRPr="00442EE8">
        <w:rPr>
          <w:rStyle w:val="AERtextitalic"/>
        </w:rPr>
        <w:t>Regulatory proposal</w:t>
      </w:r>
      <w:r w:rsidRPr="00620F6C">
        <w:t xml:space="preserve">, tables 7.1, </w:t>
      </w:r>
      <w:r w:rsidR="007A641B">
        <w:t>7.2 and 7.3</w:t>
      </w:r>
      <w:r w:rsidRPr="00620F6C">
        <w:t>.</w:t>
      </w:r>
    </w:p>
    <w:p w:rsidR="00E3760B" w:rsidRPr="00E3760B" w:rsidRDefault="00E3760B" w:rsidP="00B03324">
      <w:pPr>
        <w:pStyle w:val="Heading2"/>
      </w:pPr>
      <w:bookmarkStart w:id="72" w:name="_Toc393880982"/>
      <w:r w:rsidRPr="00E3760B">
        <w:t xml:space="preserve">Key drivers of </w:t>
      </w:r>
      <w:r w:rsidR="005E200A">
        <w:t>ActewAGL's</w:t>
      </w:r>
      <w:r w:rsidRPr="00E3760B">
        <w:t xml:space="preserve"> capital expenditure proposal</w:t>
      </w:r>
      <w:bookmarkEnd w:id="72"/>
    </w:p>
    <w:p w:rsidR="00E3760B" w:rsidRPr="00E3760B" w:rsidRDefault="00FF0A67" w:rsidP="00E3760B">
      <w:r>
        <w:t>ActewAGL</w:t>
      </w:r>
      <w:r w:rsidR="00E3760B" w:rsidRPr="00E3760B">
        <w:t xml:space="preserve"> proposed that </w:t>
      </w:r>
      <w:r>
        <w:t xml:space="preserve">its </w:t>
      </w:r>
      <w:r w:rsidR="00E3760B" w:rsidRPr="00E3760B">
        <w:t xml:space="preserve">capex requirements </w:t>
      </w:r>
      <w:r w:rsidR="007C3128">
        <w:t xml:space="preserve">for the 2014–19 period </w:t>
      </w:r>
      <w:r w:rsidR="00E3760B" w:rsidRPr="00E3760B">
        <w:t>are substantially influenced by the need to replace ageing assets</w:t>
      </w:r>
      <w:r w:rsidR="007C3128">
        <w:t xml:space="preserve">. </w:t>
      </w:r>
      <w:r w:rsidR="006D70D6">
        <w:t xml:space="preserve">ActewAGL specifically identified replacement of </w:t>
      </w:r>
      <w:r w:rsidR="002E0F2C">
        <w:t>power poles and underground cables</w:t>
      </w:r>
      <w:r w:rsidR="006D70D6">
        <w:t xml:space="preserve"> as driving much of its capex proposal.</w:t>
      </w:r>
      <w:r w:rsidR="00E3760B" w:rsidRPr="00E3760B">
        <w:t xml:space="preserve"> </w:t>
      </w:r>
    </w:p>
    <w:p w:rsidR="00E3760B" w:rsidRPr="00E3760B" w:rsidRDefault="00E3760B" w:rsidP="00B03324">
      <w:pPr>
        <w:pStyle w:val="HeadingBoldBlue"/>
        <w:rPr>
          <w:rFonts w:eastAsia="Calibri"/>
        </w:rPr>
      </w:pPr>
      <w:r w:rsidRPr="00E3760B">
        <w:t>Asset renewal/replacement</w:t>
      </w:r>
    </w:p>
    <w:p w:rsidR="00E3760B" w:rsidRPr="00E3760B" w:rsidRDefault="000514DD" w:rsidP="00E3760B">
      <w:r>
        <w:t>Table 3</w:t>
      </w:r>
      <w:r w:rsidR="00AF5F10">
        <w:t xml:space="preserve"> </w:t>
      </w:r>
      <w:r w:rsidR="00E3760B" w:rsidRPr="00E3760B">
        <w:t xml:space="preserve">summarises the total replacement </w:t>
      </w:r>
      <w:r w:rsidR="006D70D6">
        <w:t xml:space="preserve">capex forecast proposed by ActewAGL </w:t>
      </w:r>
      <w:r w:rsidR="00E3760B" w:rsidRPr="00E3760B">
        <w:t xml:space="preserve">for the 2014–19 period. </w:t>
      </w:r>
      <w:r w:rsidR="003B2D45">
        <w:t xml:space="preserve">This represents a 46 per cent increase compared to its actual replacement capex in the 2009–14 period. </w:t>
      </w:r>
      <w:r w:rsidR="005A5FB6">
        <w:t>Replacement capex represents over one third of its total capex proposal. In justifying this expenditure, ActewAGL proposed that its poles and underground cables require replacement in order to meet its safety, reliability and security of supply obligations.</w:t>
      </w:r>
      <w:r w:rsidR="005A5FB6">
        <w:rPr>
          <w:rStyle w:val="FootnoteReference"/>
        </w:rPr>
        <w:footnoteReference w:id="30"/>
      </w:r>
    </w:p>
    <w:p w:rsidR="00E3760B" w:rsidRDefault="00E3760B" w:rsidP="00B03324">
      <w:pPr>
        <w:pStyle w:val="Caption"/>
      </w:pPr>
      <w:bookmarkStart w:id="73" w:name="_Ref392485454"/>
      <w:bookmarkStart w:id="74" w:name="_Ref392485403"/>
      <w:r>
        <w:t xml:space="preserve">Table </w:t>
      </w:r>
      <w:r w:rsidR="00203B35">
        <w:fldChar w:fldCharType="begin"/>
      </w:r>
      <w:r w:rsidR="00203B35">
        <w:instrText xml:space="preserve"> SEQ Table \* ARABIC </w:instrText>
      </w:r>
      <w:r w:rsidR="00203B35">
        <w:fldChar w:fldCharType="separate"/>
      </w:r>
      <w:r w:rsidR="00DD297F">
        <w:rPr>
          <w:noProof/>
        </w:rPr>
        <w:t>3</w:t>
      </w:r>
      <w:r w:rsidR="00203B35">
        <w:rPr>
          <w:noProof/>
        </w:rPr>
        <w:fldChar w:fldCharType="end"/>
      </w:r>
      <w:bookmarkEnd w:id="73"/>
      <w:r>
        <w:tab/>
      </w:r>
      <w:r w:rsidR="002E0F2C">
        <w:t>ActewAGL</w:t>
      </w:r>
      <w:r>
        <w:t xml:space="preserve"> </w:t>
      </w:r>
      <w:r w:rsidR="007023EB">
        <w:t xml:space="preserve">— </w:t>
      </w:r>
      <w:r>
        <w:t>proposed replacement capital expenditure</w:t>
      </w:r>
      <w:r w:rsidRPr="00B03324">
        <w:rPr>
          <w:rStyle w:val="AERsuperscript"/>
        </w:rPr>
        <w:footnoteReference w:id="31"/>
      </w:r>
      <w:bookmarkEnd w:id="74"/>
    </w:p>
    <w:tbl>
      <w:tblPr>
        <w:tblStyle w:val="AERtable-numbers"/>
        <w:tblW w:w="5000" w:type="pct"/>
        <w:tblLook w:val="04A0" w:firstRow="1" w:lastRow="0" w:firstColumn="1" w:lastColumn="0" w:noHBand="0" w:noVBand="1"/>
      </w:tblPr>
      <w:tblGrid>
        <w:gridCol w:w="3085"/>
        <w:gridCol w:w="2693"/>
        <w:gridCol w:w="3464"/>
      </w:tblGrid>
      <w:tr w:rsidR="00E3760B" w:rsidRPr="00E3760B" w:rsidTr="00F40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pct"/>
          </w:tcPr>
          <w:p w:rsidR="00E3760B" w:rsidRPr="00E3760B" w:rsidRDefault="002E0F2C" w:rsidP="002E0F2C">
            <w:pPr>
              <w:pStyle w:val="AERtabletextright"/>
            </w:pPr>
            <w:r w:rsidRPr="00E3760B">
              <w:t>2014–19 regulatory control period ($million, 2013–14)</w:t>
            </w:r>
          </w:p>
        </w:tc>
        <w:tc>
          <w:tcPr>
            <w:tcW w:w="1457" w:type="pct"/>
          </w:tcPr>
          <w:p w:rsidR="00E3760B" w:rsidRPr="00E3760B" w:rsidRDefault="002E0F2C" w:rsidP="009E6C80">
            <w:pPr>
              <w:pStyle w:val="AERtabletextright"/>
              <w:cnfStyle w:val="100000000000" w:firstRow="1" w:lastRow="0" w:firstColumn="0" w:lastColumn="0" w:oddVBand="0" w:evenVBand="0" w:oddHBand="0" w:evenHBand="0" w:firstRowFirstColumn="0" w:firstRowLastColumn="0" w:lastRowFirstColumn="0" w:lastRowLastColumn="0"/>
            </w:pPr>
            <w:r>
              <w:t>Change from 2009–14 actual capex</w:t>
            </w:r>
          </w:p>
        </w:tc>
        <w:tc>
          <w:tcPr>
            <w:tcW w:w="1874" w:type="pct"/>
          </w:tcPr>
          <w:p w:rsidR="00E3760B" w:rsidRPr="00E3760B" w:rsidRDefault="002E0F2C" w:rsidP="002E0F2C">
            <w:pPr>
              <w:pStyle w:val="AERtabletextright"/>
              <w:cnfStyle w:val="100000000000" w:firstRow="1" w:lastRow="0" w:firstColumn="0" w:lastColumn="0" w:oddVBand="0" w:evenVBand="0" w:oddHBand="0" w:evenHBand="0" w:firstRowFirstColumn="0" w:firstRowLastColumn="0" w:lastRowFirstColumn="0" w:lastRowLastColumn="0"/>
            </w:pPr>
            <w:r>
              <w:t>Proportion of ActewAGL's</w:t>
            </w:r>
            <w:r w:rsidR="00E3760B" w:rsidRPr="00E3760B">
              <w:t xml:space="preserve"> total 2014–19 capex proposal</w:t>
            </w:r>
          </w:p>
        </w:tc>
      </w:tr>
      <w:tr w:rsidR="00E3760B" w:rsidRPr="00E3760B" w:rsidTr="00F40C2C">
        <w:tc>
          <w:tcPr>
            <w:cnfStyle w:val="001000000000" w:firstRow="0" w:lastRow="0" w:firstColumn="1" w:lastColumn="0" w:oddVBand="0" w:evenVBand="0" w:oddHBand="0" w:evenHBand="0" w:firstRowFirstColumn="0" w:firstRowLastColumn="0" w:lastRowFirstColumn="0" w:lastRowLastColumn="0"/>
            <w:tcW w:w="1669" w:type="pct"/>
          </w:tcPr>
          <w:p w:rsidR="00E3760B" w:rsidRPr="00E3760B" w:rsidRDefault="002E0F2C" w:rsidP="002E0F2C">
            <w:pPr>
              <w:pStyle w:val="AERtabletextright"/>
            </w:pPr>
            <w:r>
              <w:t>372.2</w:t>
            </w:r>
          </w:p>
        </w:tc>
        <w:tc>
          <w:tcPr>
            <w:tcW w:w="1457" w:type="pct"/>
          </w:tcPr>
          <w:p w:rsidR="00E3760B" w:rsidRPr="00E3760B" w:rsidRDefault="002D46C9" w:rsidP="008C082D">
            <w:pPr>
              <w:pStyle w:val="AERtabletextright"/>
              <w:cnfStyle w:val="000000000000" w:firstRow="0" w:lastRow="0" w:firstColumn="0" w:lastColumn="0" w:oddVBand="0" w:evenVBand="0" w:oddHBand="0" w:evenHBand="0" w:firstRowFirstColumn="0" w:firstRowLastColumn="0" w:lastRowFirstColumn="0" w:lastRowLastColumn="0"/>
            </w:pPr>
            <w:r>
              <w:t>+</w:t>
            </w:r>
            <w:r w:rsidR="000F56AA">
              <w:t>46</w:t>
            </w:r>
            <w:r>
              <w:t xml:space="preserve"> per cent</w:t>
            </w:r>
          </w:p>
        </w:tc>
        <w:tc>
          <w:tcPr>
            <w:tcW w:w="1874" w:type="pct"/>
          </w:tcPr>
          <w:p w:rsidR="00E3760B" w:rsidRPr="00E3760B" w:rsidRDefault="000F56AA" w:rsidP="008C082D">
            <w:pPr>
              <w:pStyle w:val="AERtabletextright"/>
              <w:cnfStyle w:val="000000000000" w:firstRow="0" w:lastRow="0" w:firstColumn="0" w:lastColumn="0" w:oddVBand="0" w:evenVBand="0" w:oddHBand="0" w:evenHBand="0" w:firstRowFirstColumn="0" w:firstRowLastColumn="0" w:lastRowFirstColumn="0" w:lastRowLastColumn="0"/>
            </w:pPr>
            <w:r>
              <w:t>36</w:t>
            </w:r>
            <w:r w:rsidR="002D46C9">
              <w:t xml:space="preserve"> per cent</w:t>
            </w:r>
          </w:p>
        </w:tc>
      </w:tr>
    </w:tbl>
    <w:p w:rsidR="00E3760B" w:rsidRDefault="000B54A6" w:rsidP="00035D89">
      <w:pPr>
        <w:pStyle w:val="AERtablesource"/>
      </w:pPr>
      <w:r>
        <w:t>Source:</w:t>
      </w:r>
      <w:r>
        <w:tab/>
        <w:t xml:space="preserve"> ActewAGL</w:t>
      </w:r>
      <w:r w:rsidR="00FB007D">
        <w:t xml:space="preserve">, </w:t>
      </w:r>
      <w:r w:rsidR="00FB007D" w:rsidRPr="000B54A6">
        <w:rPr>
          <w:rStyle w:val="AERtextitalic"/>
        </w:rPr>
        <w:t xml:space="preserve">Regulatory </w:t>
      </w:r>
      <w:r w:rsidRPr="000B54A6">
        <w:rPr>
          <w:rStyle w:val="AERtextitalic"/>
        </w:rPr>
        <w:t>submission</w:t>
      </w:r>
      <w:r w:rsidR="00FB007D">
        <w:t>, May 2014</w:t>
      </w:r>
      <w:r>
        <w:t>, tables 7.2 and 7.3</w:t>
      </w:r>
      <w:r w:rsidR="00035D89">
        <w:t>;</w:t>
      </w:r>
      <w:r w:rsidR="00E3760B" w:rsidRPr="00E3760B">
        <w:t xml:space="preserve"> AER analysis</w:t>
      </w:r>
      <w:r w:rsidR="006D70D6">
        <w:t>.</w:t>
      </w:r>
    </w:p>
    <w:p w:rsidR="00E3760B" w:rsidRPr="00E3760B" w:rsidRDefault="00E3760B" w:rsidP="00775C8C">
      <w:pPr>
        <w:pStyle w:val="HeadingBoldBlue"/>
      </w:pPr>
      <w:r w:rsidRPr="00E3760B">
        <w:lastRenderedPageBreak/>
        <w:t>Responding to growth</w:t>
      </w:r>
    </w:p>
    <w:p w:rsidR="00E3760B" w:rsidRPr="00E3760B" w:rsidRDefault="00E3760B" w:rsidP="00E3760B">
      <w:r w:rsidRPr="00E3760B">
        <w:t xml:space="preserve">Although there has been a decline in </w:t>
      </w:r>
      <w:r w:rsidR="005C2CFC">
        <w:t xml:space="preserve">growth in electricity </w:t>
      </w:r>
      <w:r w:rsidR="00BD1F2D">
        <w:t xml:space="preserve">volumes provided through its network </w:t>
      </w:r>
      <w:r w:rsidRPr="00E3760B">
        <w:t xml:space="preserve">during the 2009–14 period, </w:t>
      </w:r>
      <w:r w:rsidR="00156E8A">
        <w:t>ActewAGL has</w:t>
      </w:r>
      <w:r w:rsidRPr="00E3760B">
        <w:t xml:space="preserve"> proposed </w:t>
      </w:r>
      <w:r w:rsidR="00156E8A">
        <w:t>a material amount</w:t>
      </w:r>
      <w:r w:rsidRPr="00E3760B">
        <w:t xml:space="preserve"> of growth related capex in the 2014–19 period. </w:t>
      </w:r>
      <w:r w:rsidR="00AF5F10">
        <w:fldChar w:fldCharType="begin"/>
      </w:r>
      <w:r w:rsidR="00AF5F10">
        <w:instrText xml:space="preserve"> REF _Ref392485474 \h </w:instrText>
      </w:r>
      <w:r w:rsidR="00AF5F10">
        <w:fldChar w:fldCharType="separate"/>
      </w:r>
      <w:r w:rsidR="00DD297F">
        <w:t xml:space="preserve">Table </w:t>
      </w:r>
      <w:r w:rsidR="00DD297F">
        <w:rPr>
          <w:noProof/>
        </w:rPr>
        <w:t>4</w:t>
      </w:r>
      <w:r w:rsidR="00AF5F10">
        <w:fldChar w:fldCharType="end"/>
      </w:r>
      <w:r w:rsidR="00AF5F10">
        <w:t xml:space="preserve"> </w:t>
      </w:r>
      <w:r w:rsidR="00732949">
        <w:t>shows ActewAGL's</w:t>
      </w:r>
      <w:r w:rsidRPr="00E3760B">
        <w:t xml:space="preserve"> </w:t>
      </w:r>
      <w:r w:rsidR="00732949">
        <w:t xml:space="preserve">proposed </w:t>
      </w:r>
      <w:r w:rsidRPr="00E3760B">
        <w:t>augmentation expenditu</w:t>
      </w:r>
      <w:r w:rsidR="00035D89">
        <w:t xml:space="preserve">re </w:t>
      </w:r>
      <w:r w:rsidRPr="00E3760B">
        <w:t>for the 2014–19 period.</w:t>
      </w:r>
      <w:r w:rsidR="00BD1F2D">
        <w:t xml:space="preserve"> </w:t>
      </w:r>
    </w:p>
    <w:p w:rsidR="00CF5988" w:rsidRDefault="00CF5988" w:rsidP="00775C8C">
      <w:pPr>
        <w:pStyle w:val="Caption"/>
      </w:pPr>
      <w:bookmarkStart w:id="75" w:name="_Ref392485474"/>
      <w:bookmarkStart w:id="76" w:name="_Ref392485424"/>
      <w:r>
        <w:t xml:space="preserve">Table </w:t>
      </w:r>
      <w:r w:rsidR="00203B35">
        <w:fldChar w:fldCharType="begin"/>
      </w:r>
      <w:r w:rsidR="00203B35">
        <w:instrText xml:space="preserve"> SEQ Table \* ARABIC </w:instrText>
      </w:r>
      <w:r w:rsidR="00203B35">
        <w:fldChar w:fldCharType="separate"/>
      </w:r>
      <w:r w:rsidR="00DD297F">
        <w:rPr>
          <w:noProof/>
        </w:rPr>
        <w:t>4</w:t>
      </w:r>
      <w:r w:rsidR="00203B35">
        <w:rPr>
          <w:noProof/>
        </w:rPr>
        <w:fldChar w:fldCharType="end"/>
      </w:r>
      <w:bookmarkEnd w:id="75"/>
      <w:r>
        <w:tab/>
      </w:r>
      <w:r w:rsidR="004B6D39">
        <w:t>ActewAGL</w:t>
      </w:r>
      <w:r w:rsidR="00035D89">
        <w:t xml:space="preserve"> </w:t>
      </w:r>
      <w:r w:rsidR="009106E8">
        <w:t xml:space="preserve">— </w:t>
      </w:r>
      <w:r>
        <w:t xml:space="preserve">proposed </w:t>
      </w:r>
      <w:r w:rsidR="004B6D39">
        <w:t xml:space="preserve">augmentation </w:t>
      </w:r>
      <w:r>
        <w:t>capital expenditure</w:t>
      </w:r>
      <w:bookmarkEnd w:id="76"/>
    </w:p>
    <w:tbl>
      <w:tblPr>
        <w:tblStyle w:val="AERtable-numbers"/>
        <w:tblW w:w="5000" w:type="pct"/>
        <w:tblLook w:val="04A0" w:firstRow="1" w:lastRow="0" w:firstColumn="1" w:lastColumn="0" w:noHBand="0" w:noVBand="1"/>
      </w:tblPr>
      <w:tblGrid>
        <w:gridCol w:w="2235"/>
        <w:gridCol w:w="3543"/>
        <w:gridCol w:w="3464"/>
      </w:tblGrid>
      <w:tr w:rsidR="002D46C9" w:rsidRPr="00E3760B" w:rsidTr="00790E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vAlign w:val="top"/>
          </w:tcPr>
          <w:p w:rsidR="002D46C9" w:rsidRPr="002D46C9" w:rsidRDefault="002D46C9" w:rsidP="009E6C80">
            <w:pPr>
              <w:pStyle w:val="AERtabletextright"/>
            </w:pPr>
            <w:r w:rsidRPr="002D46C9">
              <w:t>2014–19 period ($million, 2013–14)</w:t>
            </w:r>
          </w:p>
        </w:tc>
        <w:tc>
          <w:tcPr>
            <w:tcW w:w="1917" w:type="pct"/>
          </w:tcPr>
          <w:p w:rsidR="002D46C9" w:rsidRPr="002D46C9" w:rsidRDefault="009E6C80" w:rsidP="009E6C80">
            <w:pPr>
              <w:pStyle w:val="AERtabletextright"/>
              <w:cnfStyle w:val="100000000000" w:firstRow="1" w:lastRow="0" w:firstColumn="0" w:lastColumn="0" w:oddVBand="0" w:evenVBand="0" w:oddHBand="0" w:evenHBand="0" w:firstRowFirstColumn="0" w:firstRowLastColumn="0" w:lastRowFirstColumn="0" w:lastRowLastColumn="0"/>
            </w:pPr>
            <w:r>
              <w:t>Change from 2009–14 actual capex</w:t>
            </w:r>
          </w:p>
        </w:tc>
        <w:tc>
          <w:tcPr>
            <w:tcW w:w="1874" w:type="pct"/>
          </w:tcPr>
          <w:p w:rsidR="002D46C9" w:rsidRPr="002D46C9" w:rsidRDefault="002D46C9" w:rsidP="00790EA1">
            <w:pPr>
              <w:pStyle w:val="AERtabletextright"/>
              <w:cnfStyle w:val="100000000000" w:firstRow="1" w:lastRow="0" w:firstColumn="0" w:lastColumn="0" w:oddVBand="0" w:evenVBand="0" w:oddHBand="0" w:evenHBand="0" w:firstRowFirstColumn="0" w:firstRowLastColumn="0" w:lastRowFirstColumn="0" w:lastRowLastColumn="0"/>
            </w:pPr>
            <w:r w:rsidRPr="002D46C9">
              <w:t xml:space="preserve">Proportion of </w:t>
            </w:r>
            <w:r w:rsidR="00790EA1">
              <w:t xml:space="preserve">ActewAGL's </w:t>
            </w:r>
            <w:r w:rsidRPr="002D46C9">
              <w:t>total 2014–19 capex proposal</w:t>
            </w:r>
          </w:p>
        </w:tc>
      </w:tr>
      <w:tr w:rsidR="002D46C9" w:rsidRPr="00E3760B" w:rsidTr="00790EA1">
        <w:tc>
          <w:tcPr>
            <w:cnfStyle w:val="001000000000" w:firstRow="0" w:lastRow="0" w:firstColumn="1" w:lastColumn="0" w:oddVBand="0" w:evenVBand="0" w:oddHBand="0" w:evenHBand="0" w:firstRowFirstColumn="0" w:firstRowLastColumn="0" w:lastRowFirstColumn="0" w:lastRowLastColumn="0"/>
            <w:tcW w:w="1209" w:type="pct"/>
            <w:vAlign w:val="top"/>
          </w:tcPr>
          <w:p w:rsidR="002D46C9" w:rsidRPr="002D46C9" w:rsidRDefault="00790EA1" w:rsidP="009E6C80">
            <w:pPr>
              <w:pStyle w:val="AERtabletextright"/>
            </w:pPr>
            <w:r>
              <w:t>104.3</w:t>
            </w:r>
          </w:p>
        </w:tc>
        <w:tc>
          <w:tcPr>
            <w:tcW w:w="1917" w:type="pct"/>
          </w:tcPr>
          <w:p w:rsidR="002D46C9" w:rsidRPr="002D46C9" w:rsidRDefault="00790EA1" w:rsidP="009E6C80">
            <w:pPr>
              <w:pStyle w:val="AERtabletextright"/>
              <w:cnfStyle w:val="000000000000" w:firstRow="0" w:lastRow="0" w:firstColumn="0" w:lastColumn="0" w:oddVBand="0" w:evenVBand="0" w:oddHBand="0" w:evenHBand="0" w:firstRowFirstColumn="0" w:firstRowLastColumn="0" w:lastRowFirstColumn="0" w:lastRowLastColumn="0"/>
            </w:pPr>
            <w:r>
              <w:t>+10 per cent</w:t>
            </w:r>
          </w:p>
        </w:tc>
        <w:tc>
          <w:tcPr>
            <w:tcW w:w="1874" w:type="pct"/>
          </w:tcPr>
          <w:p w:rsidR="002D46C9" w:rsidRPr="002D46C9" w:rsidRDefault="00790EA1" w:rsidP="009E6C80">
            <w:pPr>
              <w:pStyle w:val="AERtabletextright"/>
              <w:cnfStyle w:val="000000000000" w:firstRow="0" w:lastRow="0" w:firstColumn="0" w:lastColumn="0" w:oddVBand="0" w:evenVBand="0" w:oddHBand="0" w:evenHBand="0" w:firstRowFirstColumn="0" w:firstRowLastColumn="0" w:lastRowFirstColumn="0" w:lastRowLastColumn="0"/>
            </w:pPr>
            <w:r>
              <w:t>28</w:t>
            </w:r>
            <w:r w:rsidR="002D46C9" w:rsidRPr="002D46C9">
              <w:t xml:space="preserve"> per cent</w:t>
            </w:r>
          </w:p>
        </w:tc>
      </w:tr>
    </w:tbl>
    <w:p w:rsidR="00E3760B" w:rsidRPr="00E3760B" w:rsidRDefault="00E3760B" w:rsidP="00035D89">
      <w:pPr>
        <w:pStyle w:val="AERtablesource"/>
      </w:pPr>
      <w:r w:rsidRPr="00E3760B">
        <w:t>Source:</w:t>
      </w:r>
      <w:r w:rsidRPr="00E3760B">
        <w:tab/>
        <w:t xml:space="preserve"> </w:t>
      </w:r>
      <w:r w:rsidR="004E390D">
        <w:t xml:space="preserve">ActewAGL, </w:t>
      </w:r>
      <w:r w:rsidR="004E390D" w:rsidRPr="004E390D">
        <w:rPr>
          <w:rStyle w:val="AERtextitalic"/>
        </w:rPr>
        <w:t>Regulatory proposal</w:t>
      </w:r>
      <w:r w:rsidR="00FB007D">
        <w:t>, May 2014</w:t>
      </w:r>
      <w:r w:rsidR="00DF0ECC">
        <w:t xml:space="preserve"> tables7.14 and 7.15</w:t>
      </w:r>
      <w:r w:rsidR="00035D89">
        <w:t>;</w:t>
      </w:r>
      <w:r w:rsidRPr="00E3760B">
        <w:t xml:space="preserve"> AER analysis.</w:t>
      </w:r>
    </w:p>
    <w:p w:rsidR="00E3760B" w:rsidRDefault="00C831DB" w:rsidP="00CE71BD">
      <w:pPr>
        <w:rPr>
          <w:rStyle w:val="AERbody"/>
        </w:rPr>
      </w:pPr>
      <w:r w:rsidRPr="008E1594">
        <w:rPr>
          <w:rStyle w:val="AERbody"/>
        </w:rPr>
        <w:t xml:space="preserve">ActewAGL has indicated that its </w:t>
      </w:r>
      <w:r w:rsidR="00E3760B" w:rsidRPr="008E1594">
        <w:rPr>
          <w:rStyle w:val="AERbody"/>
        </w:rPr>
        <w:t xml:space="preserve">proposed augmentation investment is driven by </w:t>
      </w:r>
      <w:r w:rsidR="00424AB9" w:rsidRPr="008E1594">
        <w:rPr>
          <w:rStyle w:val="AERbody"/>
        </w:rPr>
        <w:t xml:space="preserve">construction of a new substation to service new suburbs, transformer installation and completion of </w:t>
      </w:r>
      <w:r w:rsidR="008A0661">
        <w:rPr>
          <w:rStyle w:val="AERbody"/>
        </w:rPr>
        <w:t>the new interconnector project.</w:t>
      </w:r>
      <w:r w:rsidR="008A0661">
        <w:rPr>
          <w:rStyle w:val="FootnoteReference"/>
        </w:rPr>
        <w:footnoteReference w:id="32"/>
      </w:r>
      <w:r w:rsidR="00592350">
        <w:rPr>
          <w:rStyle w:val="AERbody"/>
        </w:rPr>
        <w:t xml:space="preserve"> </w:t>
      </w:r>
    </w:p>
    <w:p w:rsidR="00592350" w:rsidRPr="008E1594" w:rsidRDefault="00592350" w:rsidP="00CE71BD">
      <w:pPr>
        <w:rPr>
          <w:rStyle w:val="AERbody"/>
        </w:rPr>
      </w:pPr>
      <w:r>
        <w:rPr>
          <w:rStyle w:val="AERbody"/>
        </w:rPr>
        <w:t xml:space="preserve">While ActewAGL has submitted forecasts for total electricity volumes that </w:t>
      </w:r>
      <w:r w:rsidR="00060770">
        <w:rPr>
          <w:rStyle w:val="AERbody"/>
        </w:rPr>
        <w:t>reflect recent</w:t>
      </w:r>
      <w:r>
        <w:rPr>
          <w:rStyle w:val="AERbody"/>
        </w:rPr>
        <w:t xml:space="preserve"> declines, it submitted forecasts for</w:t>
      </w:r>
      <w:r w:rsidR="00AC0BC2">
        <w:rPr>
          <w:rStyle w:val="AERbody"/>
        </w:rPr>
        <w:t xml:space="preserve"> </w:t>
      </w:r>
      <w:r w:rsidR="00B51DCD">
        <w:rPr>
          <w:rStyle w:val="AERbody"/>
        </w:rPr>
        <w:t xml:space="preserve">growth </w:t>
      </w:r>
      <w:r>
        <w:rPr>
          <w:rStyle w:val="AERbody"/>
        </w:rPr>
        <w:t>in peak demand</w:t>
      </w:r>
      <w:r w:rsidR="00B51DCD">
        <w:rPr>
          <w:rStyle w:val="AERbody"/>
        </w:rPr>
        <w:t xml:space="preserve"> from 2014</w:t>
      </w:r>
      <w:r w:rsidR="00B51DCD">
        <w:rPr>
          <w:rStyle w:val="AERbody"/>
        </w:rPr>
        <w:softHyphen/>
        <w:t>–15</w:t>
      </w:r>
      <w:r>
        <w:rPr>
          <w:rStyle w:val="AERbody"/>
        </w:rPr>
        <w:t xml:space="preserve">. </w:t>
      </w:r>
      <w:r>
        <w:rPr>
          <w:rStyle w:val="AERbody"/>
        </w:rPr>
        <w:fldChar w:fldCharType="begin"/>
      </w:r>
      <w:r>
        <w:rPr>
          <w:rStyle w:val="AERbody"/>
        </w:rPr>
        <w:instrText xml:space="preserve"> REF _Ref392582959 \h </w:instrText>
      </w:r>
      <w:r>
        <w:rPr>
          <w:rStyle w:val="AERbody"/>
        </w:rPr>
      </w:r>
      <w:r>
        <w:rPr>
          <w:rStyle w:val="AERbody"/>
        </w:rPr>
        <w:fldChar w:fldCharType="separate"/>
      </w:r>
      <w:r w:rsidR="00DD297F">
        <w:t xml:space="preserve">Figure </w:t>
      </w:r>
      <w:r w:rsidR="00DD297F">
        <w:rPr>
          <w:noProof/>
        </w:rPr>
        <w:t>9</w:t>
      </w:r>
      <w:r>
        <w:rPr>
          <w:rStyle w:val="AERbody"/>
        </w:rPr>
        <w:fldChar w:fldCharType="end"/>
      </w:r>
      <w:r>
        <w:rPr>
          <w:rStyle w:val="AERbody"/>
        </w:rPr>
        <w:t xml:space="preserve"> </w:t>
      </w:r>
      <w:r w:rsidR="0051531C">
        <w:rPr>
          <w:rStyle w:val="AERbody"/>
        </w:rPr>
        <w:t xml:space="preserve">below </w:t>
      </w:r>
      <w:r>
        <w:rPr>
          <w:rStyle w:val="AERbody"/>
        </w:rPr>
        <w:t xml:space="preserve">shows </w:t>
      </w:r>
      <w:r w:rsidR="002B1E90">
        <w:rPr>
          <w:rStyle w:val="AERbody"/>
        </w:rPr>
        <w:t xml:space="preserve">ActewAGL's actual peak demand over 2009–14 </w:t>
      </w:r>
      <w:r w:rsidR="00143E5F">
        <w:rPr>
          <w:rStyle w:val="AERbody"/>
        </w:rPr>
        <w:t xml:space="preserve">(to the left of the vertical line) </w:t>
      </w:r>
      <w:r w:rsidR="002B1E90">
        <w:rPr>
          <w:rStyle w:val="AERbody"/>
        </w:rPr>
        <w:t>and its forecast peak demand for the 2014–19 period</w:t>
      </w:r>
      <w:r w:rsidR="00143E5F">
        <w:rPr>
          <w:rStyle w:val="AERbody"/>
        </w:rPr>
        <w:t xml:space="preserve"> (to the right)</w:t>
      </w:r>
      <w:r w:rsidR="002B1E90">
        <w:rPr>
          <w:rStyle w:val="AERbody"/>
        </w:rPr>
        <w:t>.</w:t>
      </w:r>
      <w:r w:rsidR="00FD34D2">
        <w:rPr>
          <w:rStyle w:val="AERbody"/>
        </w:rPr>
        <w:t xml:space="preserve"> </w:t>
      </w:r>
    </w:p>
    <w:p w:rsidR="00F563E1" w:rsidRDefault="00F563E1" w:rsidP="00F563E1">
      <w:pPr>
        <w:pStyle w:val="Caption"/>
      </w:pPr>
      <w:bookmarkStart w:id="77" w:name="_Ref392582959"/>
      <w:bookmarkStart w:id="78" w:name="_Ref392582947"/>
      <w:r>
        <w:t xml:space="preserve">Figure </w:t>
      </w:r>
      <w:r w:rsidR="00203B35">
        <w:fldChar w:fldCharType="begin"/>
      </w:r>
      <w:r w:rsidR="00203B35">
        <w:instrText xml:space="preserve"> SEQ Figure \* ARABIC </w:instrText>
      </w:r>
      <w:r w:rsidR="00203B35">
        <w:fldChar w:fldCharType="separate"/>
      </w:r>
      <w:r w:rsidR="00DD297F">
        <w:rPr>
          <w:noProof/>
        </w:rPr>
        <w:t>9</w:t>
      </w:r>
      <w:r w:rsidR="00203B35">
        <w:rPr>
          <w:noProof/>
        </w:rPr>
        <w:fldChar w:fldCharType="end"/>
      </w:r>
      <w:bookmarkEnd w:id="77"/>
      <w:r w:rsidR="0066631A">
        <w:tab/>
        <w:t>ActewAGL</w:t>
      </w:r>
      <w:r>
        <w:t xml:space="preserve"> – proposed peak demand</w:t>
      </w:r>
      <w:r w:rsidR="001E32BF">
        <w:rPr>
          <w:rStyle w:val="FootnoteReference"/>
        </w:rPr>
        <w:footnoteReference w:id="33"/>
      </w:r>
      <w:bookmarkEnd w:id="78"/>
    </w:p>
    <w:p w:rsidR="00E3760B" w:rsidRDefault="00203B35" w:rsidP="00E3760B">
      <w:r>
        <w:rPr>
          <w:noProof/>
          <w:lang w:eastAsia="en-AU"/>
        </w:rPr>
        <w:pict>
          <v:shape id="_x0000_s1092" type="#_x0000_t32" style="position:absolute;left:0;text-align:left;margin-left:242pt;margin-top:14.7pt;width:0;height:226.35pt;z-index:251659776;mso-position-horizontal-relative:text;mso-position-vertical-relative:text" o:connectortype="straight"/>
        </w:pict>
      </w:r>
      <w:r w:rsidR="00796774" w:rsidRPr="00796774">
        <w:rPr>
          <w:noProof/>
          <w:lang w:eastAsia="en-AU"/>
        </w:rPr>
        <w:drawing>
          <wp:inline distT="0" distB="0" distL="0" distR="0" wp14:anchorId="2EFA7A04" wp14:editId="5A27BF5F">
            <wp:extent cx="5207000" cy="3606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26627" cy="3620395"/>
                    </a:xfrm>
                    <a:prstGeom prst="rect">
                      <a:avLst/>
                    </a:prstGeom>
                    <a:noFill/>
                    <a:ln>
                      <a:noFill/>
                    </a:ln>
                  </pic:spPr>
                </pic:pic>
              </a:graphicData>
            </a:graphic>
          </wp:inline>
        </w:drawing>
      </w:r>
    </w:p>
    <w:p w:rsidR="00FB007D" w:rsidRPr="00E3760B" w:rsidRDefault="0066631A" w:rsidP="00915FF3">
      <w:pPr>
        <w:pStyle w:val="AERtablesource"/>
      </w:pPr>
      <w:r>
        <w:t>Source:</w:t>
      </w:r>
      <w:r>
        <w:tab/>
        <w:t>ActewAGL</w:t>
      </w:r>
      <w:r w:rsidR="00FB007D">
        <w:t xml:space="preserve">, </w:t>
      </w:r>
      <w:r w:rsidR="00CE0223">
        <w:t xml:space="preserve">submitted </w:t>
      </w:r>
      <w:r w:rsidR="00FB007D">
        <w:t>Regulatory information notice</w:t>
      </w:r>
      <w:r w:rsidR="00152FF5">
        <w:t xml:space="preserve"> (RIN) for this reset</w:t>
      </w:r>
      <w:r w:rsidR="00FB007D">
        <w:t xml:space="preserve">, </w:t>
      </w:r>
      <w:r w:rsidR="001E32BF">
        <w:t xml:space="preserve">table 5.3, </w:t>
      </w:r>
      <w:r w:rsidR="007D3AB3">
        <w:t>June</w:t>
      </w:r>
      <w:r w:rsidR="00FB007D">
        <w:t xml:space="preserve"> 2014.</w:t>
      </w:r>
    </w:p>
    <w:p w:rsidR="001D369D" w:rsidRPr="0004760F" w:rsidRDefault="001D369D" w:rsidP="00C702AD">
      <w:pPr>
        <w:pStyle w:val="Heading1"/>
      </w:pPr>
      <w:bookmarkStart w:id="79" w:name="_Toc392503269"/>
      <w:bookmarkStart w:id="80" w:name="_Toc392572414"/>
      <w:bookmarkStart w:id="81" w:name="_Toc392503270"/>
      <w:bookmarkStart w:id="82" w:name="_Toc392572415"/>
      <w:bookmarkStart w:id="83" w:name="_Toc392503271"/>
      <w:bookmarkStart w:id="84" w:name="_Toc392572416"/>
      <w:bookmarkStart w:id="85" w:name="_Toc390238725"/>
      <w:bookmarkStart w:id="86" w:name="_Toc390238726"/>
      <w:bookmarkStart w:id="87" w:name="_Toc390238727"/>
      <w:bookmarkStart w:id="88" w:name="_Toc390238728"/>
      <w:bookmarkStart w:id="89" w:name="_Toc393880983"/>
      <w:bookmarkEnd w:id="79"/>
      <w:bookmarkEnd w:id="80"/>
      <w:bookmarkEnd w:id="81"/>
      <w:bookmarkEnd w:id="82"/>
      <w:bookmarkEnd w:id="83"/>
      <w:bookmarkEnd w:id="84"/>
      <w:bookmarkEnd w:id="85"/>
      <w:bookmarkEnd w:id="86"/>
      <w:bookmarkEnd w:id="87"/>
      <w:bookmarkEnd w:id="88"/>
      <w:r w:rsidRPr="0004760F">
        <w:lastRenderedPageBreak/>
        <w:t>Operating expenditure</w:t>
      </w:r>
      <w:bookmarkEnd w:id="89"/>
    </w:p>
    <w:p w:rsidR="007244F9" w:rsidRPr="007244F9" w:rsidRDefault="007244F9" w:rsidP="007244F9">
      <w:r w:rsidRPr="007244F9">
        <w:t xml:space="preserve">Operating expenditure (opex) refers to the operating, maintenance and other non-capital expenditure incurred in the provision of network services. It is one of the building blocks used to determine </w:t>
      </w:r>
      <w:r w:rsidR="00224AFC">
        <w:t xml:space="preserve">ActewAGL's </w:t>
      </w:r>
      <w:r w:rsidRPr="007244F9">
        <w:t xml:space="preserve">total revenue requirement. We must accept </w:t>
      </w:r>
      <w:r w:rsidR="00224AFC">
        <w:t>ActewAGL's forecast</w:t>
      </w:r>
      <w:r w:rsidRPr="007244F9">
        <w:t xml:space="preserve"> of total opex if we are satisfied </w:t>
      </w:r>
      <w:r w:rsidR="00883446">
        <w:t>it</w:t>
      </w:r>
      <w:r w:rsidR="00883446" w:rsidRPr="007244F9">
        <w:t xml:space="preserve"> </w:t>
      </w:r>
      <w:r w:rsidRPr="007244F9">
        <w:t>reasonably reflects the opex criteria.</w:t>
      </w:r>
      <w:r w:rsidRPr="003C7E57">
        <w:rPr>
          <w:rStyle w:val="AERsuperscript"/>
        </w:rPr>
        <w:footnoteReference w:id="34"/>
      </w:r>
      <w:r w:rsidRPr="003C7E57">
        <w:rPr>
          <w:rStyle w:val="AERsuperscript"/>
        </w:rPr>
        <w:t xml:space="preserve"> </w:t>
      </w:r>
      <w:r w:rsidRPr="007244F9">
        <w:t>We must have regard to the opex factors when making that decision.</w:t>
      </w:r>
      <w:r w:rsidRPr="003C7E57">
        <w:rPr>
          <w:rStyle w:val="AERsuperscript"/>
        </w:rPr>
        <w:footnoteReference w:id="35"/>
      </w:r>
    </w:p>
    <w:p w:rsidR="007244F9" w:rsidRDefault="00203B35" w:rsidP="007244F9">
      <w:r>
        <w:pict>
          <v:shape id="_x0000_s1057" type="#_x0000_t202" style="position:absolute;left:0;text-align:left;margin-left:2.1pt;margin-top:65.55pt;width:453.05pt;height:58.6pt;z-index:25165568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LKAIAAE4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5DBBJ3pn6EZl1ZhhwXEgUWuN+UNLhcFfUfz+A&#10;45TIDxq7sxxPp3EbkjKdzQtU3KVld2kBzRCqooGSQdyEtEGJN3uDXdyKxO9LJqeUcWgT7acFi1tx&#10;qSevl9/A+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oBNLKAIAAE4EAAAOAAAAAAAAAAAAAAAAAC4CAABkcnMvZTJvRG9j&#10;LnhtbFBLAQItABQABgAIAAAAIQD9LzLW2wAAAAUBAAAPAAAAAAAAAAAAAAAAAIIEAABkcnMvZG93&#10;bnJldi54bWxQSwUGAAAAAAQABADzAAAAigUAAAAA&#10;" fillcolor="#ddd">
            <v:textbox style="mso-next-textbox:#_x0000_s1057">
              <w:txbxContent>
                <w:p w:rsidR="00954F42" w:rsidRPr="008F2BDE" w:rsidRDefault="00954F42" w:rsidP="002E5160">
                  <w:pPr>
                    <w:rPr>
                      <w:rStyle w:val="AERtextbold"/>
                    </w:rPr>
                  </w:pPr>
                  <w:r w:rsidRPr="008F2BDE">
                    <w:rPr>
                      <w:rStyle w:val="AERtextbold"/>
                    </w:rPr>
                    <w:t>Question</w:t>
                  </w:r>
                </w:p>
                <w:p w:rsidR="00954F42" w:rsidRDefault="00954F42" w:rsidP="002E5160">
                  <w:pPr>
                    <w:pStyle w:val="AERnumberedlistfirststyle"/>
                    <w:tabs>
                      <w:tab w:val="clear" w:pos="499"/>
                      <w:tab w:val="num" w:pos="357"/>
                    </w:tabs>
                    <w:ind w:left="357"/>
                  </w:pPr>
                  <w:r>
                    <w:t>Is ActewAGL's operating expenditure proposal appropriate?</w:t>
                  </w:r>
                </w:p>
                <w:p w:rsidR="00954F42" w:rsidRDefault="00954F42" w:rsidP="002E5160">
                  <w:pPr>
                    <w:pStyle w:val="AERnumberedlistfirststyle"/>
                    <w:numPr>
                      <w:ilvl w:val="0"/>
                      <w:numId w:val="0"/>
                    </w:numPr>
                  </w:pPr>
                </w:p>
              </w:txbxContent>
            </v:textbox>
          </v:shape>
        </w:pict>
      </w:r>
      <w:r w:rsidR="007244F9" w:rsidRPr="007244F9">
        <w:t xml:space="preserve">If we are not satisfied </w:t>
      </w:r>
      <w:r w:rsidR="00224AFC">
        <w:t>ActewAGL's</w:t>
      </w:r>
      <w:r w:rsidR="007244F9" w:rsidRPr="007244F9">
        <w:t xml:space="preserve"> opex </w:t>
      </w:r>
      <w:r w:rsidR="00660FC9">
        <w:t xml:space="preserve">proposal </w:t>
      </w:r>
      <w:r w:rsidR="007244F9" w:rsidRPr="007244F9">
        <w:t xml:space="preserve">reasonably reflects the opex criteria, we must not accept </w:t>
      </w:r>
      <w:r w:rsidR="000061AF">
        <w:t>it</w:t>
      </w:r>
      <w:r w:rsidR="007244F9" w:rsidRPr="007244F9">
        <w:t>.</w:t>
      </w:r>
      <w:r w:rsidR="007244F9" w:rsidRPr="006C7636">
        <w:rPr>
          <w:rStyle w:val="AERsuperscript"/>
        </w:rPr>
        <w:footnoteReference w:id="36"/>
      </w:r>
      <w:r w:rsidR="007244F9" w:rsidRPr="007244F9">
        <w:t xml:space="preserve"> We must estimate the total required opex that, in our view, reasonably reflect</w:t>
      </w:r>
      <w:r w:rsidR="00A30C3D">
        <w:t>s</w:t>
      </w:r>
      <w:r w:rsidR="007244F9" w:rsidRPr="007244F9">
        <w:t xml:space="preserve"> the opex criteria taking into account the opex factors. The approach we will adopt to assess the </w:t>
      </w:r>
      <w:r w:rsidR="00592EF3">
        <w:t>distributor</w:t>
      </w:r>
      <w:r w:rsidR="005A5FB6">
        <w:t>'</w:t>
      </w:r>
      <w:r w:rsidR="00592EF3">
        <w:t>s</w:t>
      </w:r>
      <w:r w:rsidR="007244F9" w:rsidRPr="007244F9">
        <w:t xml:space="preserve"> forecast of total opex is outlined in our expenditure forecast assessment guideline.</w:t>
      </w:r>
      <w:r w:rsidR="00592EF3">
        <w:rPr>
          <w:rStyle w:val="FootnoteReference"/>
        </w:rPr>
        <w:footnoteReference w:id="37"/>
      </w:r>
    </w:p>
    <w:p w:rsidR="00DD1811" w:rsidRDefault="00DD1811" w:rsidP="007244F9"/>
    <w:p w:rsidR="00DD1811" w:rsidRPr="007244F9" w:rsidRDefault="00DD1811" w:rsidP="007244F9"/>
    <w:p w:rsidR="002E5160" w:rsidRDefault="002E5160" w:rsidP="007244F9"/>
    <w:p w:rsidR="007244F9" w:rsidRPr="007244F9" w:rsidRDefault="00224AFC" w:rsidP="006E2D2C">
      <w:pPr>
        <w:pStyle w:val="Heading2"/>
      </w:pPr>
      <w:bookmarkStart w:id="90" w:name="_Toc390341644"/>
      <w:bookmarkStart w:id="91" w:name="_Toc391386422"/>
      <w:bookmarkStart w:id="92" w:name="_Toc391447525"/>
      <w:bookmarkStart w:id="93" w:name="_Toc393880984"/>
      <w:r>
        <w:t>ActewAGL's</w:t>
      </w:r>
      <w:r w:rsidR="007244F9" w:rsidRPr="007244F9">
        <w:t xml:space="preserve"> operating expenditure proposal</w:t>
      </w:r>
      <w:bookmarkEnd w:id="90"/>
      <w:bookmarkEnd w:id="91"/>
      <w:bookmarkEnd w:id="92"/>
      <w:bookmarkEnd w:id="93"/>
    </w:p>
    <w:p w:rsidR="007244F9" w:rsidRDefault="00910C47" w:rsidP="007244F9">
      <w:r w:rsidRPr="008E4AE5">
        <w:rPr>
          <w:rStyle w:val="AERbody"/>
        </w:rPr>
        <w:fldChar w:fldCharType="begin"/>
      </w:r>
      <w:r w:rsidRPr="008E4AE5">
        <w:rPr>
          <w:rStyle w:val="AERbody"/>
        </w:rPr>
        <w:instrText xml:space="preserve"> REF _Ref390932013 \h </w:instrText>
      </w:r>
      <w:r w:rsidR="008E4AE5">
        <w:rPr>
          <w:rStyle w:val="AERbody"/>
        </w:rPr>
        <w:instrText xml:space="preserve"> \* MERGEFORMAT </w:instrText>
      </w:r>
      <w:r w:rsidRPr="008E4AE5">
        <w:rPr>
          <w:rStyle w:val="AERbody"/>
        </w:rPr>
      </w:r>
      <w:r w:rsidRPr="008E4AE5">
        <w:rPr>
          <w:rStyle w:val="AERbody"/>
        </w:rPr>
        <w:fldChar w:fldCharType="separate"/>
      </w:r>
      <w:r w:rsidR="00634481">
        <w:rPr>
          <w:rStyle w:val="AERbody"/>
          <w:b/>
          <w:bCs/>
          <w:lang w:val="en-US"/>
        </w:rPr>
        <w:fldChar w:fldCharType="begin"/>
      </w:r>
      <w:r w:rsidR="00634481">
        <w:rPr>
          <w:rStyle w:val="AERbody"/>
        </w:rPr>
        <w:instrText xml:space="preserve"> REF _Ref393869000 \h </w:instrText>
      </w:r>
      <w:r w:rsidR="00634481">
        <w:rPr>
          <w:rStyle w:val="AERbody"/>
          <w:b/>
          <w:bCs/>
          <w:lang w:val="en-US"/>
        </w:rPr>
      </w:r>
      <w:r w:rsidR="00634481">
        <w:rPr>
          <w:rStyle w:val="AERbody"/>
          <w:b/>
          <w:bCs/>
          <w:lang w:val="en-US"/>
        </w:rPr>
        <w:fldChar w:fldCharType="separate"/>
      </w:r>
      <w:r w:rsidR="00634481">
        <w:t xml:space="preserve">Table </w:t>
      </w:r>
      <w:r w:rsidR="00634481">
        <w:rPr>
          <w:noProof/>
        </w:rPr>
        <w:t>5</w:t>
      </w:r>
      <w:r w:rsidR="00634481">
        <w:rPr>
          <w:rStyle w:val="AERbody"/>
          <w:b/>
          <w:bCs/>
          <w:lang w:val="en-US"/>
        </w:rPr>
        <w:fldChar w:fldCharType="end"/>
      </w:r>
      <w:r w:rsidRPr="008E4AE5">
        <w:rPr>
          <w:rStyle w:val="AERbody"/>
        </w:rPr>
        <w:fldChar w:fldCharType="end"/>
      </w:r>
      <w:r w:rsidRPr="008E4AE5">
        <w:rPr>
          <w:rStyle w:val="AERbody"/>
        </w:rPr>
        <w:t xml:space="preserve"> </w:t>
      </w:r>
      <w:r w:rsidR="007244F9" w:rsidRPr="008E4AE5">
        <w:rPr>
          <w:rStyle w:val="AERbody"/>
        </w:rPr>
        <w:t>summarises</w:t>
      </w:r>
      <w:r w:rsidR="007244F9" w:rsidRPr="007244F9">
        <w:t xml:space="preserve"> </w:t>
      </w:r>
      <w:r w:rsidR="008E4AE5">
        <w:t>ActewAGL's</w:t>
      </w:r>
      <w:r w:rsidR="007244F9" w:rsidRPr="007244F9">
        <w:t xml:space="preserve"> </w:t>
      </w:r>
      <w:r w:rsidR="008E4AE5">
        <w:t>proposed opex for the 2014–19 period</w:t>
      </w:r>
      <w:r w:rsidR="00B56A8D">
        <w:t xml:space="preserve"> for both its standard control distribution </w:t>
      </w:r>
      <w:r w:rsidR="00DC30A7">
        <w:t>services</w:t>
      </w:r>
      <w:r w:rsidR="00B56A8D">
        <w:t xml:space="preserve"> and transmission </w:t>
      </w:r>
      <w:r w:rsidR="00DC30A7">
        <w:t>services</w:t>
      </w:r>
      <w:r w:rsidR="00F259EB">
        <w:t>.</w:t>
      </w:r>
      <w:r w:rsidR="00B56A8D">
        <w:t xml:space="preserve"> </w:t>
      </w:r>
      <w:r w:rsidR="009F72FD">
        <w:t xml:space="preserve">ActewAGL has proposed total opex spending slightly </w:t>
      </w:r>
      <w:r w:rsidR="002365FD">
        <w:t xml:space="preserve">higher </w:t>
      </w:r>
      <w:r w:rsidR="009F72FD">
        <w:t xml:space="preserve">than its 2009–14 </w:t>
      </w:r>
      <w:r w:rsidR="00264C4F">
        <w:t xml:space="preserve">actual </w:t>
      </w:r>
      <w:r w:rsidR="002365FD">
        <w:t>o</w:t>
      </w:r>
      <w:r w:rsidR="00264C4F">
        <w:t>pex, but significantly higher</w:t>
      </w:r>
      <w:r w:rsidR="009F72FD">
        <w:t xml:space="preserve"> than its </w:t>
      </w:r>
      <w:r w:rsidR="00264C4F">
        <w:t>opex allowance</w:t>
      </w:r>
      <w:r w:rsidR="009F72FD">
        <w:t xml:space="preserve"> for that period.</w:t>
      </w:r>
      <w:r w:rsidR="00B47BE8">
        <w:t xml:space="preserve"> ActewAGL overspent its 2009–14 </w:t>
      </w:r>
      <w:r w:rsidR="002365FD">
        <w:t>o</w:t>
      </w:r>
      <w:r w:rsidR="00B47BE8">
        <w:t>pex allowance.</w:t>
      </w:r>
    </w:p>
    <w:p w:rsidR="005A5FB6" w:rsidRDefault="005A5FB6" w:rsidP="005A5FB6">
      <w:pPr>
        <w:pStyle w:val="Caption"/>
      </w:pPr>
      <w:bookmarkStart w:id="94" w:name="_Ref393869000"/>
      <w:r>
        <w:t xml:space="preserve">Table </w:t>
      </w:r>
      <w:r w:rsidR="00203B35">
        <w:fldChar w:fldCharType="begin"/>
      </w:r>
      <w:r w:rsidR="00203B35">
        <w:instrText xml:space="preserve"> SEQ Table \* ARABIC </w:instrText>
      </w:r>
      <w:r w:rsidR="00203B35">
        <w:fldChar w:fldCharType="separate"/>
      </w:r>
      <w:r w:rsidR="00DD297F">
        <w:rPr>
          <w:noProof/>
        </w:rPr>
        <w:t>5</w:t>
      </w:r>
      <w:r w:rsidR="00203B35">
        <w:rPr>
          <w:noProof/>
        </w:rPr>
        <w:fldChar w:fldCharType="end"/>
      </w:r>
      <w:bookmarkEnd w:id="94"/>
      <w:r>
        <w:tab/>
        <w:t xml:space="preserve">ActewAGL </w:t>
      </w:r>
      <w:r w:rsidRPr="005A5FB6">
        <w:t>—</w:t>
      </w:r>
      <w:r>
        <w:t xml:space="preserve"> total operating expenditure proposal</w:t>
      </w:r>
    </w:p>
    <w:tbl>
      <w:tblPr>
        <w:tblStyle w:val="AERtable-numbers"/>
        <w:tblW w:w="0" w:type="auto"/>
        <w:tblLook w:val="04A0" w:firstRow="1" w:lastRow="0" w:firstColumn="1" w:lastColumn="0" w:noHBand="0" w:noVBand="1"/>
      </w:tblPr>
      <w:tblGrid>
        <w:gridCol w:w="3080"/>
        <w:gridCol w:w="3081"/>
        <w:gridCol w:w="3081"/>
      </w:tblGrid>
      <w:tr w:rsidR="000E3444" w:rsidRPr="00E3760B" w:rsidTr="00C50A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0E3444" w:rsidRPr="000E3444" w:rsidRDefault="000E3444" w:rsidP="000E3444">
            <w:pPr>
              <w:pStyle w:val="AERtabletextright"/>
            </w:pPr>
            <w:r>
              <w:t xml:space="preserve">2014–19 total opex </w:t>
            </w:r>
            <w:r w:rsidRPr="00E3760B">
              <w:t>proposal ($million, 2013–14)</w:t>
            </w:r>
          </w:p>
        </w:tc>
        <w:tc>
          <w:tcPr>
            <w:tcW w:w="3081" w:type="dxa"/>
          </w:tcPr>
          <w:p w:rsidR="000E3444" w:rsidRPr="000E3444" w:rsidRDefault="000E3444" w:rsidP="000E3444">
            <w:pPr>
              <w:pStyle w:val="AERtabletextright"/>
              <w:cnfStyle w:val="100000000000" w:firstRow="1" w:lastRow="0" w:firstColumn="0" w:lastColumn="0" w:oddVBand="0" w:evenVBand="0" w:oddHBand="0" w:evenHBand="0" w:firstRowFirstColumn="0" w:firstRowLastColumn="0" w:lastRowFirstColumn="0" w:lastRowLastColumn="0"/>
            </w:pPr>
            <w:r>
              <w:t>Change from 2009–14 actual opex</w:t>
            </w:r>
            <w:r w:rsidR="00CE3A4B">
              <w:t xml:space="preserve"> </w:t>
            </w:r>
            <w:r w:rsidRPr="000E3444">
              <w:t>(per cent)</w:t>
            </w:r>
          </w:p>
        </w:tc>
        <w:tc>
          <w:tcPr>
            <w:tcW w:w="3081" w:type="dxa"/>
          </w:tcPr>
          <w:p w:rsidR="000E3444" w:rsidRPr="00E3760B" w:rsidRDefault="000E3444" w:rsidP="000E3444">
            <w:pPr>
              <w:pStyle w:val="AERtabletextright"/>
              <w:cnfStyle w:val="100000000000" w:firstRow="1" w:lastRow="0" w:firstColumn="0" w:lastColumn="0" w:oddVBand="0" w:evenVBand="0" w:oddHBand="0" w:evenHBand="0" w:firstRowFirstColumn="0" w:firstRowLastColumn="0" w:lastRowFirstColumn="0" w:lastRowLastColumn="0"/>
            </w:pPr>
            <w:r w:rsidRPr="00E3760B">
              <w:t xml:space="preserve">Change from 2009–14 total </w:t>
            </w:r>
            <w:r w:rsidR="002365FD">
              <w:t>o</w:t>
            </w:r>
            <w:r w:rsidRPr="00E3760B">
              <w:t>pex allowance (per cent)</w:t>
            </w:r>
          </w:p>
        </w:tc>
      </w:tr>
      <w:tr w:rsidR="000E3444" w:rsidRPr="00E3760B" w:rsidTr="00C50AE4">
        <w:tc>
          <w:tcPr>
            <w:cnfStyle w:val="001000000000" w:firstRow="0" w:lastRow="0" w:firstColumn="1" w:lastColumn="0" w:oddVBand="0" w:evenVBand="0" w:oddHBand="0" w:evenHBand="0" w:firstRowFirstColumn="0" w:firstRowLastColumn="0" w:lastRowFirstColumn="0" w:lastRowLastColumn="0"/>
            <w:tcW w:w="3080" w:type="dxa"/>
          </w:tcPr>
          <w:p w:rsidR="000E3444" w:rsidRPr="000E3444" w:rsidRDefault="000E3444" w:rsidP="000E3444">
            <w:pPr>
              <w:pStyle w:val="AERtabletextright"/>
            </w:pPr>
            <w:r>
              <w:t>$377.3</w:t>
            </w:r>
          </w:p>
        </w:tc>
        <w:tc>
          <w:tcPr>
            <w:tcW w:w="3081" w:type="dxa"/>
          </w:tcPr>
          <w:p w:rsidR="000E3444" w:rsidRPr="002E4D41" w:rsidRDefault="002E4D41" w:rsidP="002E4D41">
            <w:pPr>
              <w:pStyle w:val="AERtabletextright"/>
              <w:cnfStyle w:val="000000000000" w:firstRow="0" w:lastRow="0" w:firstColumn="0" w:lastColumn="0" w:oddVBand="0" w:evenVBand="0" w:oddHBand="0" w:evenHBand="0" w:firstRowFirstColumn="0" w:firstRowLastColumn="0" w:lastRowFirstColumn="0" w:lastRowLastColumn="0"/>
              <w:rPr>
                <w:rStyle w:val="AERtexthighlight"/>
                <w:shd w:val="clear" w:color="auto" w:fill="auto"/>
              </w:rPr>
            </w:pPr>
            <w:r w:rsidRPr="00AF4FAD">
              <w:rPr>
                <w:rStyle w:val="AERtexthighlight"/>
                <w:shd w:val="clear" w:color="auto" w:fill="auto"/>
              </w:rPr>
              <w:t>+1.4 per cent</w:t>
            </w:r>
          </w:p>
        </w:tc>
        <w:tc>
          <w:tcPr>
            <w:tcW w:w="3081" w:type="dxa"/>
          </w:tcPr>
          <w:p w:rsidR="000E3444" w:rsidRPr="002E4D41" w:rsidRDefault="002E4D41" w:rsidP="002E4D41">
            <w:pPr>
              <w:pStyle w:val="AERtabletextright"/>
              <w:cnfStyle w:val="000000000000" w:firstRow="0" w:lastRow="0" w:firstColumn="0" w:lastColumn="0" w:oddVBand="0" w:evenVBand="0" w:oddHBand="0" w:evenHBand="0" w:firstRowFirstColumn="0" w:firstRowLastColumn="0" w:lastRowFirstColumn="0" w:lastRowLastColumn="0"/>
            </w:pPr>
            <w:r w:rsidRPr="002E4D41">
              <w:t>+18.6 per cent</w:t>
            </w:r>
          </w:p>
        </w:tc>
      </w:tr>
    </w:tbl>
    <w:p w:rsidR="000E3444" w:rsidRDefault="007D3AB3" w:rsidP="00442EE8">
      <w:pPr>
        <w:pStyle w:val="AERtablesource"/>
      </w:pPr>
      <w:r w:rsidRPr="007D3AB3">
        <w:t>Source:</w:t>
      </w:r>
      <w:r w:rsidRPr="007D3AB3">
        <w:tab/>
        <w:t>ActewAGL</w:t>
      </w:r>
      <w:r w:rsidR="00090478">
        <w:t xml:space="preserve">'s proposed opex was sourced from </w:t>
      </w:r>
      <w:r w:rsidR="003900BE">
        <w:t>its submitted PTRM</w:t>
      </w:r>
      <w:r w:rsidR="00B173E3">
        <w:t xml:space="preserve"> for this reset</w:t>
      </w:r>
      <w:r w:rsidR="003900BE">
        <w:t>. Actual and approved opex for the 2009–14 period was sourced from ActewAGL's submitted RIN</w:t>
      </w:r>
      <w:r w:rsidR="00B5228A">
        <w:t>; these values do not include costs for the ACT feed in tariff or the utilities network facilities tax</w:t>
      </w:r>
      <w:r w:rsidR="003900BE">
        <w:t xml:space="preserve">. </w:t>
      </w:r>
      <w:r w:rsidRPr="007D3AB3">
        <w:t>AER analysis.</w:t>
      </w:r>
    </w:p>
    <w:p w:rsidR="00F10E88" w:rsidRDefault="00F10E88" w:rsidP="007244F9">
      <w:r>
        <w:t>ActewAGL submitted that its opex spending in the 2009–14 period was driven by increased regulatory obligations, improving safety, organisational and network performance and tighter than expected labour market conditions.</w:t>
      </w:r>
      <w:r>
        <w:rPr>
          <w:rStyle w:val="FootnoteReference"/>
        </w:rPr>
        <w:footnoteReference w:id="38"/>
      </w:r>
    </w:p>
    <w:p w:rsidR="000E3444" w:rsidRPr="007244F9" w:rsidRDefault="00893EDD" w:rsidP="007244F9">
      <w:r>
        <w:t xml:space="preserve">ActewAGL submitted that its proposed opex for the 2014–19 period is driven by </w:t>
      </w:r>
      <w:r w:rsidR="00EB54A7">
        <w:t xml:space="preserve">proposed step changes for a range of costs. It submitted that this additional opex spending is required to address regulatory requirements </w:t>
      </w:r>
      <w:r w:rsidR="00B9272B">
        <w:t xml:space="preserve">and </w:t>
      </w:r>
      <w:r w:rsidR="005A5FB6">
        <w:t xml:space="preserve">to </w:t>
      </w:r>
      <w:r w:rsidR="00EB54A7">
        <w:t xml:space="preserve">strengthen its </w:t>
      </w:r>
      <w:r w:rsidR="00316141">
        <w:t xml:space="preserve">own </w:t>
      </w:r>
      <w:r w:rsidR="00EB54A7">
        <w:t>safety culture.</w:t>
      </w:r>
      <w:r w:rsidR="00CA25E4">
        <w:rPr>
          <w:rStyle w:val="FootnoteReference"/>
        </w:rPr>
        <w:footnoteReference w:id="39"/>
      </w:r>
    </w:p>
    <w:p w:rsidR="0006337E" w:rsidRDefault="001F7DC2" w:rsidP="007244F9">
      <w:r>
        <w:fldChar w:fldCharType="begin"/>
      </w:r>
      <w:r>
        <w:instrText xml:space="preserve"> REF _Ref393216790 \h </w:instrText>
      </w:r>
      <w:r>
        <w:fldChar w:fldCharType="separate"/>
      </w:r>
      <w:r w:rsidR="00DD297F">
        <w:t xml:space="preserve">Figure </w:t>
      </w:r>
      <w:r w:rsidR="00DD297F">
        <w:rPr>
          <w:noProof/>
        </w:rPr>
        <w:t>10</w:t>
      </w:r>
      <w:r>
        <w:fldChar w:fldCharType="end"/>
      </w:r>
      <w:r>
        <w:t xml:space="preserve"> below shows ActewAGL's</w:t>
      </w:r>
      <w:r w:rsidR="0013368B">
        <w:t xml:space="preserve"> opex in the 2009–14 period and</w:t>
      </w:r>
      <w:r>
        <w:t xml:space="preserve"> its proposed opex for the 2014–19 period.</w:t>
      </w:r>
    </w:p>
    <w:p w:rsidR="0006337E" w:rsidRDefault="0006337E" w:rsidP="007244F9"/>
    <w:p w:rsidR="0006337E" w:rsidRDefault="0006337E" w:rsidP="0006337E">
      <w:pPr>
        <w:pStyle w:val="Caption"/>
      </w:pPr>
      <w:bookmarkStart w:id="95" w:name="_Ref393216790"/>
      <w:r>
        <w:t xml:space="preserve">Figure </w:t>
      </w:r>
      <w:r w:rsidR="00203B35">
        <w:fldChar w:fldCharType="begin"/>
      </w:r>
      <w:r w:rsidR="00203B35">
        <w:instrText xml:space="preserve"> SEQ Figure \* ARABIC </w:instrText>
      </w:r>
      <w:r w:rsidR="00203B35">
        <w:fldChar w:fldCharType="separate"/>
      </w:r>
      <w:r w:rsidR="00DD297F">
        <w:rPr>
          <w:noProof/>
        </w:rPr>
        <w:t>10</w:t>
      </w:r>
      <w:r w:rsidR="00203B35">
        <w:rPr>
          <w:noProof/>
        </w:rPr>
        <w:fldChar w:fldCharType="end"/>
      </w:r>
      <w:bookmarkEnd w:id="95"/>
      <w:r>
        <w:tab/>
        <w:t>ActewAGL – operating expenditure</w:t>
      </w:r>
      <w:r w:rsidR="00516F79">
        <w:rPr>
          <w:rStyle w:val="FootnoteReference"/>
        </w:rPr>
        <w:footnoteReference w:id="40"/>
      </w:r>
    </w:p>
    <w:p w:rsidR="0006337E" w:rsidRDefault="0006337E" w:rsidP="007244F9">
      <w:r w:rsidRPr="0006337E">
        <w:rPr>
          <w:noProof/>
          <w:lang w:eastAsia="en-AU"/>
        </w:rPr>
        <w:drawing>
          <wp:inline distT="0" distB="0" distL="0" distR="0" wp14:anchorId="006D2B3C" wp14:editId="7720452E">
            <wp:extent cx="5731510" cy="34389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3438906"/>
                    </a:xfrm>
                    <a:prstGeom prst="rect">
                      <a:avLst/>
                    </a:prstGeom>
                    <a:noFill/>
                    <a:ln>
                      <a:noFill/>
                    </a:ln>
                  </pic:spPr>
                </pic:pic>
              </a:graphicData>
            </a:graphic>
          </wp:inline>
        </w:drawing>
      </w:r>
    </w:p>
    <w:p w:rsidR="000D1C2F" w:rsidRPr="006864C4" w:rsidRDefault="000D1C2F" w:rsidP="001F2FE3">
      <w:pPr>
        <w:pStyle w:val="AERtablesource"/>
      </w:pPr>
      <w:r w:rsidRPr="001F2FE3">
        <w:t>Source:</w:t>
      </w:r>
      <w:r w:rsidRPr="001F2FE3">
        <w:tab/>
      </w:r>
      <w:r w:rsidR="005A2899" w:rsidRPr="001F2FE3">
        <w:t xml:space="preserve">For the 2009–14 period, </w:t>
      </w:r>
      <w:r w:rsidR="006864C4">
        <w:t xml:space="preserve">actual and approved opex was sourced from ActewAGL's submitted RIN for this reset. For the 2014–19 period, ActewAGL's proposed opex was sourced from its submitted PTRM for this reset.  </w:t>
      </w:r>
    </w:p>
    <w:p w:rsidR="007244F9" w:rsidRPr="007244F9" w:rsidRDefault="00143B2A" w:rsidP="00143B2A">
      <w:pPr>
        <w:pStyle w:val="Heading2"/>
      </w:pPr>
      <w:bookmarkStart w:id="96" w:name="_Toc390341645"/>
      <w:bookmarkStart w:id="97" w:name="_Toc391386423"/>
      <w:bookmarkStart w:id="98" w:name="_Toc391447526"/>
      <w:bookmarkStart w:id="99" w:name="_Toc393880985"/>
      <w:r>
        <w:t xml:space="preserve">Key drivers of </w:t>
      </w:r>
      <w:r w:rsidR="00DE5FC9">
        <w:t>ActewAGL's</w:t>
      </w:r>
      <w:r>
        <w:t xml:space="preserve"> operating expenditure proposal</w:t>
      </w:r>
      <w:bookmarkEnd w:id="96"/>
      <w:bookmarkEnd w:id="97"/>
      <w:bookmarkEnd w:id="98"/>
      <w:bookmarkEnd w:id="99"/>
    </w:p>
    <w:p w:rsidR="007244F9" w:rsidRDefault="00DE5FC9" w:rsidP="00592EF3">
      <w:r>
        <w:t>ActewAGL</w:t>
      </w:r>
      <w:r w:rsidR="007244F9" w:rsidRPr="007244F9">
        <w:t xml:space="preserve"> identified </w:t>
      </w:r>
      <w:r>
        <w:t>key</w:t>
      </w:r>
      <w:r w:rsidR="007244F9" w:rsidRPr="007244F9">
        <w:t xml:space="preserve"> drivers affecting </w:t>
      </w:r>
      <w:r>
        <w:t>its forecast proposal</w:t>
      </w:r>
      <w:r w:rsidR="007244F9" w:rsidRPr="007244F9">
        <w:t xml:space="preserve">. A summary of the main drivers </w:t>
      </w:r>
      <w:r>
        <w:t>ActewAGL</w:t>
      </w:r>
      <w:r w:rsidR="007244F9" w:rsidRPr="007244F9">
        <w:t xml:space="preserve"> </w:t>
      </w:r>
      <w:r w:rsidR="00042B1E">
        <w:t>has identified is outlined</w:t>
      </w:r>
      <w:r w:rsidR="007244F9" w:rsidRPr="007244F9">
        <w:t xml:space="preserve"> in</w:t>
      </w:r>
      <w:r w:rsidR="00042B1E">
        <w:t xml:space="preserve"> table 6 below</w:t>
      </w:r>
      <w:r>
        <w:t>.</w:t>
      </w:r>
    </w:p>
    <w:p w:rsidR="009106E8" w:rsidRDefault="009106E8" w:rsidP="009106E8">
      <w:pPr>
        <w:pStyle w:val="Caption"/>
      </w:pPr>
      <w:r>
        <w:t xml:space="preserve">Table </w:t>
      </w:r>
      <w:r w:rsidR="00203B35">
        <w:fldChar w:fldCharType="begin"/>
      </w:r>
      <w:r w:rsidR="00203B35">
        <w:instrText xml:space="preserve"> SEQ Table \* ARABIC </w:instrText>
      </w:r>
      <w:r w:rsidR="00203B35">
        <w:fldChar w:fldCharType="separate"/>
      </w:r>
      <w:r w:rsidR="00DD297F">
        <w:rPr>
          <w:noProof/>
        </w:rPr>
        <w:t>6</w:t>
      </w:r>
      <w:r w:rsidR="00203B35">
        <w:rPr>
          <w:noProof/>
        </w:rPr>
        <w:fldChar w:fldCharType="end"/>
      </w:r>
      <w:r>
        <w:tab/>
      </w:r>
      <w:r w:rsidR="00E72BEB">
        <w:t>ActewAGL — drivers of operating expenditure proposal</w:t>
      </w:r>
    </w:p>
    <w:tbl>
      <w:tblPr>
        <w:tblStyle w:val="AERtable-numbers"/>
        <w:tblW w:w="0" w:type="auto"/>
        <w:tblLook w:val="04A0" w:firstRow="1" w:lastRow="0" w:firstColumn="1" w:lastColumn="0" w:noHBand="0" w:noVBand="1"/>
      </w:tblPr>
      <w:tblGrid>
        <w:gridCol w:w="1943"/>
        <w:gridCol w:w="7299"/>
      </w:tblGrid>
      <w:tr w:rsidR="009106E8" w:rsidRPr="009106E8" w:rsidTr="00C50A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106E8" w:rsidRPr="009106E8" w:rsidRDefault="009106E8" w:rsidP="009106E8">
            <w:r w:rsidRPr="009106E8">
              <w:t>Cost driver</w:t>
            </w:r>
          </w:p>
        </w:tc>
        <w:tc>
          <w:tcPr>
            <w:tcW w:w="0" w:type="auto"/>
          </w:tcPr>
          <w:p w:rsidR="009106E8" w:rsidRPr="009106E8" w:rsidRDefault="009106E8" w:rsidP="009106E8">
            <w:pPr>
              <w:cnfStyle w:val="100000000000" w:firstRow="1" w:lastRow="0" w:firstColumn="0" w:lastColumn="0" w:oddVBand="0" w:evenVBand="0" w:oddHBand="0" w:evenHBand="0" w:firstRowFirstColumn="0" w:firstRowLastColumn="0" w:lastRowFirstColumn="0" w:lastRowLastColumn="0"/>
            </w:pPr>
            <w:r w:rsidRPr="009106E8">
              <w:t>Description</w:t>
            </w:r>
          </w:p>
        </w:tc>
      </w:tr>
      <w:tr w:rsidR="009106E8" w:rsidRPr="009106E8" w:rsidTr="00C50AE4">
        <w:tc>
          <w:tcPr>
            <w:cnfStyle w:val="001000000000" w:firstRow="0" w:lastRow="0" w:firstColumn="1" w:lastColumn="0" w:oddVBand="0" w:evenVBand="0" w:oddHBand="0" w:evenHBand="0" w:firstRowFirstColumn="0" w:firstRowLastColumn="0" w:lastRowFirstColumn="0" w:lastRowLastColumn="0"/>
            <w:tcW w:w="0" w:type="auto"/>
            <w:vAlign w:val="top"/>
          </w:tcPr>
          <w:p w:rsidR="009106E8" w:rsidRPr="009106E8" w:rsidRDefault="009106E8" w:rsidP="009106E8">
            <w:r w:rsidRPr="009106E8">
              <w:t>Step changes</w:t>
            </w:r>
          </w:p>
        </w:tc>
        <w:tc>
          <w:tcPr>
            <w:tcW w:w="0" w:type="auto"/>
            <w:vAlign w:val="top"/>
          </w:tcPr>
          <w:p w:rsidR="009106E8" w:rsidRPr="009106E8" w:rsidRDefault="009106E8" w:rsidP="005A5FB6">
            <w:pPr>
              <w:cnfStyle w:val="000000000000" w:firstRow="0" w:lastRow="0" w:firstColumn="0" w:lastColumn="0" w:oddVBand="0" w:evenVBand="0" w:oddHBand="0" w:evenHBand="0" w:firstRowFirstColumn="0" w:firstRowLastColumn="0" w:lastRowFirstColumn="0" w:lastRowLastColumn="0"/>
            </w:pPr>
            <w:r w:rsidRPr="009106E8">
              <w:t>ActewAGL has identified a number of st</w:t>
            </w:r>
            <w:r>
              <w:t>ep changes which it consider</w:t>
            </w:r>
            <w:r w:rsidR="005A5FB6">
              <w:t>ed</w:t>
            </w:r>
            <w:r>
              <w:t xml:space="preserve"> are</w:t>
            </w:r>
            <w:r w:rsidRPr="009106E8">
              <w:t xml:space="preserve"> not included in its base opex. In total it forecast this contributes $35 million to its forecast opex. It consider</w:t>
            </w:r>
            <w:r w:rsidR="005A5FB6">
              <w:t>ed</w:t>
            </w:r>
            <w:r w:rsidRPr="009106E8">
              <w:t xml:space="preserve"> these step changes are driven by both changes in regulatory o</w:t>
            </w:r>
            <w:r w:rsidR="00893EDD">
              <w:t>bligations and changes in Actew</w:t>
            </w:r>
            <w:r w:rsidRPr="009106E8">
              <w:t>AGL’s policies and strategies.</w:t>
            </w:r>
            <w:r w:rsidRPr="00893EDD">
              <w:rPr>
                <w:rStyle w:val="AERsuperscript"/>
              </w:rPr>
              <w:footnoteReference w:id="41"/>
            </w:r>
            <w:r w:rsidRPr="00893EDD">
              <w:rPr>
                <w:rStyle w:val="AERsuperscript"/>
              </w:rPr>
              <w:t xml:space="preserve"> </w:t>
            </w:r>
          </w:p>
        </w:tc>
      </w:tr>
      <w:tr w:rsidR="009106E8" w:rsidRPr="009106E8" w:rsidTr="005A5FB6">
        <w:trPr>
          <w:cnfStyle w:val="000000010000" w:firstRow="0" w:lastRow="0" w:firstColumn="0" w:lastColumn="0" w:oddVBand="0" w:evenVBand="0" w:oddHBand="0" w:evenHBand="1"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0" w:type="auto"/>
            <w:vAlign w:val="top"/>
          </w:tcPr>
          <w:p w:rsidR="009106E8" w:rsidRPr="009106E8" w:rsidRDefault="009106E8" w:rsidP="009106E8">
            <w:r w:rsidRPr="009106E8">
              <w:t>Implementation of new cost allocation method</w:t>
            </w:r>
          </w:p>
        </w:tc>
        <w:tc>
          <w:tcPr>
            <w:tcW w:w="0" w:type="auto"/>
            <w:vAlign w:val="top"/>
          </w:tcPr>
          <w:p w:rsidR="009106E8" w:rsidRPr="009106E8" w:rsidRDefault="005A5FB6" w:rsidP="005A5FB6">
            <w:pPr>
              <w:cnfStyle w:val="000000010000" w:firstRow="0" w:lastRow="0" w:firstColumn="0" w:lastColumn="0" w:oddVBand="0" w:evenVBand="0" w:oddHBand="0" w:evenHBand="1" w:firstRowFirstColumn="0" w:firstRowLastColumn="0" w:lastRowFirstColumn="0" w:lastRowLastColumn="0"/>
            </w:pPr>
            <w:r>
              <w:t>Actew</w:t>
            </w:r>
            <w:r w:rsidR="009106E8" w:rsidRPr="009106E8">
              <w:t>AGL forecast its new cost allocation method (CAM) will lead to a reduction in standard control services opex. It has made an adjustment to its base year as a result of this change. This reduces its forecast of standard control services opex by $27 million over the 2014</w:t>
            </w:r>
            <w:r w:rsidR="00F259EB">
              <w:rPr>
                <w:rFonts w:cs="Gautami"/>
              </w:rPr>
              <w:t>–</w:t>
            </w:r>
            <w:r w:rsidR="009106E8" w:rsidRPr="009106E8">
              <w:t xml:space="preserve">19 </w:t>
            </w:r>
            <w:r>
              <w:t>p</w:t>
            </w:r>
            <w:r w:rsidR="009106E8" w:rsidRPr="009106E8">
              <w:t>eriod.</w:t>
            </w:r>
            <w:r w:rsidR="009106E8" w:rsidRPr="00893EDD">
              <w:rPr>
                <w:rStyle w:val="AERsuperscript"/>
              </w:rPr>
              <w:footnoteReference w:id="42"/>
            </w:r>
            <w:r w:rsidR="009106E8" w:rsidRPr="00893EDD">
              <w:rPr>
                <w:rStyle w:val="AERsuperscript"/>
              </w:rPr>
              <w:t xml:space="preserve"> </w:t>
            </w:r>
          </w:p>
        </w:tc>
      </w:tr>
      <w:tr w:rsidR="009106E8" w:rsidRPr="009106E8" w:rsidTr="00C50AE4">
        <w:tc>
          <w:tcPr>
            <w:cnfStyle w:val="001000000000" w:firstRow="0" w:lastRow="0" w:firstColumn="1" w:lastColumn="0" w:oddVBand="0" w:evenVBand="0" w:oddHBand="0" w:evenHBand="0" w:firstRowFirstColumn="0" w:firstRowLastColumn="0" w:lastRowFirstColumn="0" w:lastRowLastColumn="0"/>
            <w:tcW w:w="0" w:type="auto"/>
            <w:vAlign w:val="top"/>
          </w:tcPr>
          <w:p w:rsidR="009106E8" w:rsidRPr="009106E8" w:rsidRDefault="009106E8" w:rsidP="009106E8">
            <w:r w:rsidRPr="009106E8">
              <w:t>Cost escalation</w:t>
            </w:r>
          </w:p>
        </w:tc>
        <w:tc>
          <w:tcPr>
            <w:tcW w:w="0" w:type="auto"/>
            <w:vAlign w:val="top"/>
          </w:tcPr>
          <w:p w:rsidR="009106E8" w:rsidRPr="009106E8" w:rsidRDefault="009106E8" w:rsidP="00F02F8E">
            <w:pPr>
              <w:cnfStyle w:val="000000000000" w:firstRow="0" w:lastRow="0" w:firstColumn="0" w:lastColumn="0" w:oddVBand="0" w:evenVBand="0" w:oddHBand="0" w:evenHBand="0" w:firstRowFirstColumn="0" w:firstRowLastColumn="0" w:lastRowFirstColumn="0" w:lastRowLastColumn="0"/>
            </w:pPr>
            <w:r w:rsidRPr="009106E8">
              <w:t>ActewAGL forecast cost escalation will increase its forecast opex by $6 million over the 2014</w:t>
            </w:r>
            <w:r w:rsidR="00F02F8E">
              <w:rPr>
                <w:rFonts w:cs="Gautami"/>
              </w:rPr>
              <w:t>–</w:t>
            </w:r>
            <w:r w:rsidRPr="009106E8">
              <w:t>19 period.</w:t>
            </w:r>
            <w:r w:rsidRPr="00635C90">
              <w:rPr>
                <w:rStyle w:val="AERsuperscript"/>
              </w:rPr>
              <w:footnoteReference w:id="43"/>
            </w:r>
            <w:r w:rsidR="005A5FB6">
              <w:t xml:space="preserve"> </w:t>
            </w:r>
            <w:r w:rsidRPr="009106E8">
              <w:t>This impact primarily relates to labour cost escalation above CPI</w:t>
            </w:r>
            <w:r w:rsidR="00893EDD">
              <w:t>.</w:t>
            </w:r>
            <w:r w:rsidRPr="00893EDD">
              <w:rPr>
                <w:rStyle w:val="AERsuperscript"/>
              </w:rPr>
              <w:footnoteReference w:id="44"/>
            </w:r>
          </w:p>
        </w:tc>
      </w:tr>
    </w:tbl>
    <w:p w:rsidR="00886F13" w:rsidRPr="00886F13" w:rsidRDefault="00886F13" w:rsidP="00886F13">
      <w:pPr>
        <w:pStyle w:val="Heading2"/>
      </w:pPr>
      <w:bookmarkStart w:id="100" w:name="_Toc391386424"/>
      <w:bookmarkStart w:id="101" w:name="_Toc391447527"/>
      <w:bookmarkStart w:id="102" w:name="_Toc393880986"/>
      <w:bookmarkStart w:id="103" w:name="_GoBack"/>
      <w:bookmarkEnd w:id="103"/>
      <w:r w:rsidRPr="00886F13">
        <w:lastRenderedPageBreak/>
        <w:t>Forecast EBSS carryover amounts</w:t>
      </w:r>
      <w:bookmarkEnd w:id="102"/>
    </w:p>
    <w:p w:rsidR="006A7EF2" w:rsidRPr="006A7EF2" w:rsidRDefault="006A7EF2" w:rsidP="006A7EF2">
      <w:r w:rsidRPr="006A7EF2">
        <w:t xml:space="preserve">To encourage a distributor to become more efficient we typically apply an </w:t>
      </w:r>
      <w:r w:rsidR="005A5FB6">
        <w:t>e</w:t>
      </w:r>
      <w:r w:rsidRPr="006A7EF2">
        <w:t xml:space="preserve">fficiency </w:t>
      </w:r>
      <w:r w:rsidR="005A5FB6">
        <w:t>b</w:t>
      </w:r>
      <w:r w:rsidRPr="006A7EF2">
        <w:t xml:space="preserve">enefit </w:t>
      </w:r>
      <w:r w:rsidR="005A5FB6">
        <w:t>s</w:t>
      </w:r>
      <w:r w:rsidRPr="006A7EF2">
        <w:t xml:space="preserve">haring </w:t>
      </w:r>
      <w:r w:rsidR="005A5FB6">
        <w:t>s</w:t>
      </w:r>
      <w:r w:rsidRPr="006A7EF2">
        <w:t xml:space="preserve">cheme (EBSS). The EBSS rewards </w:t>
      </w:r>
      <w:r w:rsidR="00780E29">
        <w:t>ActewAGL</w:t>
      </w:r>
      <w:r w:rsidRPr="006A7EF2">
        <w:t xml:space="preserve"> for efficiency gains achieved during a regulatory control period and penalises </w:t>
      </w:r>
      <w:r w:rsidR="00F02F8E">
        <w:t>it</w:t>
      </w:r>
      <w:r w:rsidR="00F02F8E" w:rsidRPr="006A7EF2">
        <w:t xml:space="preserve"> </w:t>
      </w:r>
      <w:r w:rsidRPr="006A7EF2">
        <w:t xml:space="preserve">for efficiency losses. </w:t>
      </w:r>
      <w:r w:rsidR="00153EF8">
        <w:t>ActewAGL is</w:t>
      </w:r>
      <w:r w:rsidRPr="006A7EF2">
        <w:t xml:space="preserve"> allowed to retain </w:t>
      </w:r>
      <w:r w:rsidR="00153EF8">
        <w:t>such</w:t>
      </w:r>
      <w:r w:rsidRPr="006A7EF2">
        <w:t xml:space="preserve"> efficiency gains for a period of time but in the longer term</w:t>
      </w:r>
      <w:r w:rsidR="00153EF8">
        <w:t xml:space="preserve"> its</w:t>
      </w:r>
      <w:r w:rsidRPr="006A7EF2">
        <w:t xml:space="preserve"> allowances are reduced, meaning lower prices for c</w:t>
      </w:r>
      <w:r w:rsidR="00C65DFF">
        <w:t>ustomers. In the 2009</w:t>
      </w:r>
      <w:r w:rsidR="00892298">
        <w:t xml:space="preserve">–14 period </w:t>
      </w:r>
      <w:r w:rsidR="00C65DFF">
        <w:t xml:space="preserve">ActewAGL </w:t>
      </w:r>
      <w:r w:rsidRPr="006A7EF2">
        <w:t xml:space="preserve">operated under a transitional EBSS released in February 2008. </w:t>
      </w:r>
      <w:r w:rsidR="00C65DFF">
        <w:t>ActewAGL</w:t>
      </w:r>
      <w:r w:rsidRPr="006A7EF2">
        <w:t xml:space="preserve"> will receive any rewards or penalties gained during 2009–14 in the 2014–19 period.</w:t>
      </w:r>
    </w:p>
    <w:p w:rsidR="006A7EF2" w:rsidRPr="006A7EF2" w:rsidRDefault="006A7EF2" w:rsidP="006A7EF2">
      <w:r w:rsidRPr="006A7EF2">
        <w:t>ActewAGL has included in its forecast revenue, carryover amounts that relate to the EBSS that applied during the 2009</w:t>
      </w:r>
      <w:r w:rsidR="00F02F8E">
        <w:rPr>
          <w:rFonts w:cs="Gautami"/>
        </w:rPr>
        <w:t>–</w:t>
      </w:r>
      <w:r w:rsidRPr="006A7EF2">
        <w:t xml:space="preserve">14 period. The proposed carryover amount </w:t>
      </w:r>
      <w:r w:rsidR="009B5878">
        <w:t>is</w:t>
      </w:r>
      <w:r w:rsidR="002E5812">
        <w:t xml:space="preserve"> </w:t>
      </w:r>
      <w:r w:rsidR="007858B1">
        <w:t>set out</w:t>
      </w:r>
      <w:r w:rsidR="002E5812">
        <w:t xml:space="preserve"> </w:t>
      </w:r>
      <w:r w:rsidRPr="006A7EF2">
        <w:t xml:space="preserve">in </w:t>
      </w:r>
      <w:r w:rsidR="002E5812">
        <w:t>table 7 below</w:t>
      </w:r>
      <w:r w:rsidRPr="006A7EF2">
        <w:t xml:space="preserve">. </w:t>
      </w:r>
    </w:p>
    <w:p w:rsidR="00886F13" w:rsidRDefault="00886F13" w:rsidP="00886F13">
      <w:pPr>
        <w:pStyle w:val="Caption"/>
      </w:pPr>
      <w:r>
        <w:t xml:space="preserve">Table </w:t>
      </w:r>
      <w:r w:rsidR="00203B35">
        <w:fldChar w:fldCharType="begin"/>
      </w:r>
      <w:r w:rsidR="00203B35">
        <w:instrText xml:space="preserve"> SEQ</w:instrText>
      </w:r>
      <w:r w:rsidR="00203B35">
        <w:instrText xml:space="preserve"> Table \* ARABIC </w:instrText>
      </w:r>
      <w:r w:rsidR="00203B35">
        <w:fldChar w:fldCharType="separate"/>
      </w:r>
      <w:r w:rsidR="00DD297F">
        <w:rPr>
          <w:noProof/>
        </w:rPr>
        <w:t>7</w:t>
      </w:r>
      <w:r w:rsidR="00203B35">
        <w:rPr>
          <w:noProof/>
        </w:rPr>
        <w:fldChar w:fldCharType="end"/>
      </w:r>
      <w:r>
        <w:tab/>
        <w:t>ActewAGL — proposed EBSS carryover amount ($million, 2013–14)</w:t>
      </w:r>
    </w:p>
    <w:tbl>
      <w:tblPr>
        <w:tblStyle w:val="AERtable-numbers"/>
        <w:tblW w:w="6345" w:type="dxa"/>
        <w:tblLook w:val="0420" w:firstRow="1" w:lastRow="0" w:firstColumn="0" w:lastColumn="0" w:noHBand="0" w:noVBand="1"/>
      </w:tblPr>
      <w:tblGrid>
        <w:gridCol w:w="2660"/>
        <w:gridCol w:w="3685"/>
      </w:tblGrid>
      <w:tr w:rsidR="00886F13" w:rsidRPr="00886F13" w:rsidTr="00E556BD">
        <w:trPr>
          <w:cnfStyle w:val="100000000000" w:firstRow="1" w:lastRow="0" w:firstColumn="0" w:lastColumn="0" w:oddVBand="0" w:evenVBand="0" w:oddHBand="0" w:evenHBand="0" w:firstRowFirstColumn="0" w:firstRowLastColumn="0" w:lastRowFirstColumn="0" w:lastRowLastColumn="0"/>
          <w:trHeight w:val="584"/>
        </w:trPr>
        <w:tc>
          <w:tcPr>
            <w:tcW w:w="2660" w:type="dxa"/>
            <w:hideMark/>
          </w:tcPr>
          <w:p w:rsidR="00886F13" w:rsidRPr="00886F13" w:rsidRDefault="00886F13" w:rsidP="00CB2392">
            <w:pPr>
              <w:pStyle w:val="AERtablesource"/>
            </w:pPr>
            <w:r w:rsidRPr="00886F13">
              <w:t>Distributor</w:t>
            </w:r>
          </w:p>
        </w:tc>
        <w:tc>
          <w:tcPr>
            <w:tcW w:w="3685" w:type="dxa"/>
            <w:hideMark/>
          </w:tcPr>
          <w:p w:rsidR="00886F13" w:rsidRPr="00886F13" w:rsidRDefault="00886F13" w:rsidP="00E556BD">
            <w:pPr>
              <w:pStyle w:val="AERtabletextright"/>
            </w:pPr>
            <w:r w:rsidRPr="00886F13">
              <w:t>Forecast carry</w:t>
            </w:r>
            <w:r w:rsidR="00193785">
              <w:t>over amount</w:t>
            </w:r>
          </w:p>
        </w:tc>
      </w:tr>
      <w:tr w:rsidR="00886F13" w:rsidRPr="00886F13" w:rsidTr="00E556BD">
        <w:trPr>
          <w:trHeight w:val="584"/>
        </w:trPr>
        <w:tc>
          <w:tcPr>
            <w:tcW w:w="2660" w:type="dxa"/>
            <w:hideMark/>
          </w:tcPr>
          <w:p w:rsidR="00886F13" w:rsidRPr="00886F13" w:rsidRDefault="00886F13" w:rsidP="00CB2392">
            <w:pPr>
              <w:pStyle w:val="AERtablesource"/>
            </w:pPr>
            <w:r w:rsidRPr="00886F13">
              <w:t>ActewAGL</w:t>
            </w:r>
          </w:p>
        </w:tc>
        <w:tc>
          <w:tcPr>
            <w:tcW w:w="3685" w:type="dxa"/>
            <w:hideMark/>
          </w:tcPr>
          <w:p w:rsidR="00886F13" w:rsidRPr="00886F13" w:rsidRDefault="00886F13" w:rsidP="00E556BD">
            <w:pPr>
              <w:pStyle w:val="AERtabletextright"/>
            </w:pPr>
            <w:r w:rsidRPr="00886F13">
              <w:t>-$19.6</w:t>
            </w:r>
          </w:p>
        </w:tc>
      </w:tr>
    </w:tbl>
    <w:p w:rsidR="006160E0" w:rsidRPr="00FD5595" w:rsidRDefault="00886F13" w:rsidP="00E15671">
      <w:pPr>
        <w:pStyle w:val="AERtablesource"/>
        <w:rPr>
          <w:rStyle w:val="AERtexthighlight"/>
        </w:rPr>
      </w:pPr>
      <w:r>
        <w:t>Source: ActewAGL PTRM.</w:t>
      </w:r>
      <w:bookmarkEnd w:id="100"/>
      <w:bookmarkEnd w:id="101"/>
    </w:p>
    <w:p w:rsidR="00DF770E" w:rsidRPr="000045C3" w:rsidRDefault="00DF770E" w:rsidP="009B5878">
      <w:pPr>
        <w:pStyle w:val="Heading2"/>
        <w:rPr>
          <w:rStyle w:val="AERtexthighlight"/>
          <w:shd w:val="clear" w:color="auto" w:fill="auto"/>
        </w:rPr>
      </w:pPr>
      <w:bookmarkStart w:id="104" w:name="_Toc393880987"/>
      <w:r w:rsidRPr="000045C3">
        <w:rPr>
          <w:rStyle w:val="AERtexthighlight"/>
          <w:shd w:val="clear" w:color="auto" w:fill="auto"/>
        </w:rPr>
        <w:t>Cost pass throughs</w:t>
      </w:r>
      <w:bookmarkEnd w:id="104"/>
    </w:p>
    <w:p w:rsidR="005A6063" w:rsidRPr="000045C3" w:rsidRDefault="005A6063" w:rsidP="00A326F9">
      <w:pPr>
        <w:pStyle w:val="AERbodytext"/>
        <w:rPr>
          <w:rStyle w:val="AERbody"/>
        </w:rPr>
      </w:pPr>
      <w:r w:rsidRPr="000045C3">
        <w:rPr>
          <w:rStyle w:val="AERbody"/>
        </w:rPr>
        <w:t>T</w:t>
      </w:r>
      <w:r w:rsidR="004C3590" w:rsidRPr="000045C3">
        <w:rPr>
          <w:rStyle w:val="AERbody"/>
        </w:rPr>
        <w:t xml:space="preserve">he </w:t>
      </w:r>
      <w:r w:rsidR="0025716A" w:rsidRPr="000045C3">
        <w:rPr>
          <w:rStyle w:val="AERbody"/>
        </w:rPr>
        <w:t>rules</w:t>
      </w:r>
      <w:r w:rsidR="004C3590" w:rsidRPr="000045C3">
        <w:rPr>
          <w:rStyle w:val="AERbody"/>
        </w:rPr>
        <w:t xml:space="preserve"> permit </w:t>
      </w:r>
      <w:r w:rsidR="00B13933">
        <w:rPr>
          <w:rStyle w:val="AERbody"/>
        </w:rPr>
        <w:t>ActewAGL</w:t>
      </w:r>
      <w:r w:rsidR="004C3590" w:rsidRPr="000045C3">
        <w:rPr>
          <w:rStyle w:val="AERbody"/>
        </w:rPr>
        <w:t xml:space="preserve"> to apply to us</w:t>
      </w:r>
      <w:r w:rsidRPr="000045C3">
        <w:rPr>
          <w:rStyle w:val="AERbody"/>
        </w:rPr>
        <w:t xml:space="preserve">, during a regulatory period, </w:t>
      </w:r>
      <w:r w:rsidR="004C3590" w:rsidRPr="000045C3">
        <w:rPr>
          <w:rStyle w:val="AERbody"/>
        </w:rPr>
        <w:t xml:space="preserve">for </w:t>
      </w:r>
      <w:r w:rsidR="00B13933">
        <w:rPr>
          <w:rStyle w:val="AERbody"/>
        </w:rPr>
        <w:t xml:space="preserve">its </w:t>
      </w:r>
      <w:r w:rsidR="004C3590" w:rsidRPr="000045C3">
        <w:rPr>
          <w:rStyle w:val="AERbody"/>
        </w:rPr>
        <w:t xml:space="preserve">prices to be adjusted because </w:t>
      </w:r>
      <w:r w:rsidR="00792600" w:rsidRPr="000045C3">
        <w:rPr>
          <w:rStyle w:val="AERbody"/>
        </w:rPr>
        <w:t xml:space="preserve">an </w:t>
      </w:r>
      <w:r w:rsidR="004C3590" w:rsidRPr="000045C3">
        <w:rPr>
          <w:rStyle w:val="AERbody"/>
        </w:rPr>
        <w:t xml:space="preserve">unexpected </w:t>
      </w:r>
      <w:r w:rsidR="00792600" w:rsidRPr="000045C3">
        <w:rPr>
          <w:rStyle w:val="AERbody"/>
        </w:rPr>
        <w:t xml:space="preserve">and material </w:t>
      </w:r>
      <w:r w:rsidR="004C3590" w:rsidRPr="000045C3">
        <w:rPr>
          <w:rStyle w:val="AERbody"/>
        </w:rPr>
        <w:t xml:space="preserve">cost </w:t>
      </w:r>
      <w:r w:rsidR="00792600" w:rsidRPr="000045C3">
        <w:rPr>
          <w:rStyle w:val="AERbody"/>
        </w:rPr>
        <w:t>a</w:t>
      </w:r>
      <w:r w:rsidR="004C3590" w:rsidRPr="000045C3">
        <w:rPr>
          <w:rStyle w:val="AERbody"/>
        </w:rPr>
        <w:t xml:space="preserve">rises or, in some cases, if actual costs are </w:t>
      </w:r>
      <w:r w:rsidR="00E20B8B" w:rsidRPr="000045C3">
        <w:rPr>
          <w:rStyle w:val="AERbody"/>
        </w:rPr>
        <w:t xml:space="preserve">materially </w:t>
      </w:r>
      <w:r w:rsidR="004C3590" w:rsidRPr="000045C3">
        <w:rPr>
          <w:rStyle w:val="AERbody"/>
        </w:rPr>
        <w:t xml:space="preserve">different to the allowances included in our original determination </w:t>
      </w:r>
    </w:p>
    <w:p w:rsidR="00DF770E" w:rsidRPr="000045C3" w:rsidRDefault="005A6063" w:rsidP="00A326F9">
      <w:pPr>
        <w:pStyle w:val="AERbodytext"/>
        <w:rPr>
          <w:rStyle w:val="AERbody"/>
        </w:rPr>
      </w:pPr>
      <w:r w:rsidRPr="000045C3">
        <w:rPr>
          <w:rStyle w:val="AERbody"/>
        </w:rPr>
        <w:t xml:space="preserve">Pass throughs are only permitted if they are for events </w:t>
      </w:r>
      <w:r w:rsidR="00E20B8B" w:rsidRPr="000045C3">
        <w:rPr>
          <w:rStyle w:val="AERbody"/>
        </w:rPr>
        <w:t>listed</w:t>
      </w:r>
      <w:r w:rsidRPr="000045C3">
        <w:rPr>
          <w:rStyle w:val="AERbody"/>
        </w:rPr>
        <w:t xml:space="preserve"> in </w:t>
      </w:r>
      <w:r w:rsidR="00D56CF2">
        <w:rPr>
          <w:rStyle w:val="AERbody"/>
        </w:rPr>
        <w:t>our</w:t>
      </w:r>
      <w:r w:rsidRPr="000045C3">
        <w:rPr>
          <w:rStyle w:val="AERbody"/>
        </w:rPr>
        <w:t xml:space="preserve"> distribution determination</w:t>
      </w:r>
      <w:r w:rsidR="00E20B8B" w:rsidRPr="000045C3">
        <w:rPr>
          <w:rStyle w:val="AERbody"/>
        </w:rPr>
        <w:t xml:space="preserve"> or defined in the </w:t>
      </w:r>
      <w:r w:rsidR="007C6394" w:rsidRPr="000045C3">
        <w:rPr>
          <w:rStyle w:val="AERbody"/>
        </w:rPr>
        <w:t>rules</w:t>
      </w:r>
      <w:r w:rsidRPr="000045C3">
        <w:rPr>
          <w:rStyle w:val="AERbody"/>
        </w:rPr>
        <w:t>. Once a distribution determination has been finalised, w</w:t>
      </w:r>
      <w:r w:rsidR="004C3590" w:rsidRPr="000045C3">
        <w:rPr>
          <w:rStyle w:val="AERbody"/>
        </w:rPr>
        <w:t xml:space="preserve">e are required to approve a cost pass through application </w:t>
      </w:r>
      <w:r w:rsidR="008C3E91" w:rsidRPr="000045C3">
        <w:rPr>
          <w:rStyle w:val="AERbody"/>
        </w:rPr>
        <w:t xml:space="preserve">from a distributor </w:t>
      </w:r>
      <w:r w:rsidRPr="000045C3">
        <w:rPr>
          <w:rStyle w:val="AERbody"/>
        </w:rPr>
        <w:t>if</w:t>
      </w:r>
      <w:r w:rsidR="004C3590" w:rsidRPr="000045C3">
        <w:rPr>
          <w:rStyle w:val="AERbody"/>
        </w:rPr>
        <w:t xml:space="preserve"> it satisfies the relevant requirements</w:t>
      </w:r>
      <w:r w:rsidRPr="000045C3">
        <w:rPr>
          <w:rStyle w:val="AERbody"/>
        </w:rPr>
        <w:t>.</w:t>
      </w:r>
      <w:r w:rsidR="005A1763" w:rsidRPr="000045C3">
        <w:rPr>
          <w:rStyle w:val="AERbody"/>
        </w:rPr>
        <w:t xml:space="preserve"> </w:t>
      </w:r>
      <w:r w:rsidR="0035664E">
        <w:rPr>
          <w:rStyle w:val="AERbody"/>
        </w:rPr>
        <w:t xml:space="preserve">The rules already define pass through events for </w:t>
      </w:r>
      <w:r w:rsidR="001E6C66">
        <w:rPr>
          <w:rStyle w:val="AERbody"/>
        </w:rPr>
        <w:t>regul</w:t>
      </w:r>
      <w:r w:rsidR="004F1AC6">
        <w:rPr>
          <w:rStyle w:val="AERbody"/>
        </w:rPr>
        <w:t>atory changes, service standard changes</w:t>
      </w:r>
      <w:r w:rsidR="001E6C66">
        <w:rPr>
          <w:rStyle w:val="AERbody"/>
        </w:rPr>
        <w:t>, tax change</w:t>
      </w:r>
      <w:r w:rsidR="004F1AC6">
        <w:rPr>
          <w:rStyle w:val="AERbody"/>
        </w:rPr>
        <w:t>s</w:t>
      </w:r>
      <w:r w:rsidR="001E6C66">
        <w:rPr>
          <w:rStyle w:val="AERbody"/>
        </w:rPr>
        <w:t xml:space="preserve"> or </w:t>
      </w:r>
      <w:r w:rsidR="009604E8">
        <w:rPr>
          <w:rStyle w:val="AERbody"/>
        </w:rPr>
        <w:t xml:space="preserve">electricity </w:t>
      </w:r>
      <w:r w:rsidR="001E6C66">
        <w:rPr>
          <w:rStyle w:val="AERbody"/>
        </w:rPr>
        <w:t>retailer insolvency.</w:t>
      </w:r>
      <w:r w:rsidR="001E6C66">
        <w:rPr>
          <w:rStyle w:val="FootnoteReference"/>
        </w:rPr>
        <w:footnoteReference w:id="45"/>
      </w:r>
      <w:r w:rsidR="001E6C66">
        <w:rPr>
          <w:rStyle w:val="AERbody"/>
        </w:rPr>
        <w:t xml:space="preserve"> </w:t>
      </w:r>
      <w:r w:rsidR="005A1763" w:rsidRPr="000045C3">
        <w:rPr>
          <w:rStyle w:val="AERbody"/>
        </w:rPr>
        <w:t xml:space="preserve">For the 2014–19 regulatory period, </w:t>
      </w:r>
      <w:r w:rsidR="00313566" w:rsidRPr="000045C3">
        <w:rPr>
          <w:rStyle w:val="AERbody"/>
        </w:rPr>
        <w:t>ActewAGL has</w:t>
      </w:r>
      <w:r w:rsidR="005A1763" w:rsidRPr="000045C3">
        <w:rPr>
          <w:rStyle w:val="AERbody"/>
        </w:rPr>
        <w:t xml:space="preserve"> proposed </w:t>
      </w:r>
      <w:r w:rsidR="00DA3DEB">
        <w:rPr>
          <w:rStyle w:val="AERbody"/>
        </w:rPr>
        <w:t xml:space="preserve">additional </w:t>
      </w:r>
      <w:r w:rsidR="005A1763" w:rsidRPr="000045C3">
        <w:rPr>
          <w:rStyle w:val="AERbody"/>
        </w:rPr>
        <w:t>pass throughs for:</w:t>
      </w:r>
    </w:p>
    <w:p w:rsidR="009963E7" w:rsidRPr="000045C3" w:rsidRDefault="009963E7" w:rsidP="004260F1">
      <w:pPr>
        <w:pStyle w:val="AERbulletlistfirststyle"/>
        <w:rPr>
          <w:rStyle w:val="AERtexthighlight"/>
          <w:shd w:val="clear" w:color="auto" w:fill="auto"/>
        </w:rPr>
      </w:pPr>
      <w:r w:rsidRPr="000045C3">
        <w:rPr>
          <w:rStyle w:val="AERtexthighlight"/>
          <w:shd w:val="clear" w:color="auto" w:fill="auto"/>
        </w:rPr>
        <w:t>a general pass through event</w:t>
      </w:r>
    </w:p>
    <w:p w:rsidR="009963E7" w:rsidRPr="000045C3" w:rsidRDefault="009963E7" w:rsidP="004260F1">
      <w:pPr>
        <w:pStyle w:val="AERbulletlistfirststyle"/>
        <w:rPr>
          <w:rStyle w:val="AERtexthighlight"/>
          <w:shd w:val="clear" w:color="auto" w:fill="auto"/>
        </w:rPr>
      </w:pPr>
      <w:r w:rsidRPr="000045C3">
        <w:rPr>
          <w:rStyle w:val="AERtexthighlight"/>
          <w:shd w:val="clear" w:color="auto" w:fill="auto"/>
        </w:rPr>
        <w:t>insurer's credit risk event</w:t>
      </w:r>
    </w:p>
    <w:p w:rsidR="009963E7" w:rsidRPr="000045C3" w:rsidRDefault="009963E7" w:rsidP="004260F1">
      <w:pPr>
        <w:pStyle w:val="AERbulletlistfirststyle"/>
        <w:rPr>
          <w:rStyle w:val="AERtexthighlight"/>
          <w:shd w:val="clear" w:color="auto" w:fill="auto"/>
        </w:rPr>
      </w:pPr>
      <w:r w:rsidRPr="000045C3">
        <w:rPr>
          <w:rStyle w:val="AERtexthighlight"/>
          <w:shd w:val="clear" w:color="auto" w:fill="auto"/>
        </w:rPr>
        <w:t>insurance cap event</w:t>
      </w:r>
    </w:p>
    <w:p w:rsidR="006931F4" w:rsidRPr="000045C3" w:rsidRDefault="009963E7" w:rsidP="004260F1">
      <w:pPr>
        <w:pStyle w:val="AERbulletlistfirststyle"/>
        <w:rPr>
          <w:rStyle w:val="AERtexthighlight"/>
          <w:shd w:val="clear" w:color="auto" w:fill="auto"/>
        </w:rPr>
      </w:pPr>
      <w:r w:rsidRPr="000045C3">
        <w:rPr>
          <w:rStyle w:val="AERtexthighlight"/>
          <w:shd w:val="clear" w:color="auto" w:fill="auto"/>
        </w:rPr>
        <w:t>demand management and embedded generation connection incentive scheme event</w:t>
      </w:r>
      <w:r w:rsidR="000C6BFC" w:rsidRPr="000045C3">
        <w:rPr>
          <w:rStyle w:val="AERtexthighlight"/>
          <w:shd w:val="clear" w:color="auto" w:fill="auto"/>
        </w:rPr>
        <w:t>.</w:t>
      </w:r>
    </w:p>
    <w:p w:rsidR="005A1763" w:rsidRPr="000045C3" w:rsidRDefault="005A1763" w:rsidP="00A326F9">
      <w:pPr>
        <w:pStyle w:val="AERbodytext"/>
        <w:rPr>
          <w:rStyle w:val="AERbody"/>
        </w:rPr>
      </w:pPr>
      <w:r w:rsidRPr="000045C3">
        <w:rPr>
          <w:rStyle w:val="AERbody"/>
        </w:rPr>
        <w:t xml:space="preserve">We seek your views on the </w:t>
      </w:r>
      <w:r w:rsidR="00E20B8B" w:rsidRPr="000045C3">
        <w:rPr>
          <w:rStyle w:val="AERbody"/>
        </w:rPr>
        <w:t xml:space="preserve">pass through events nominated by </w:t>
      </w:r>
      <w:r w:rsidR="004260F1" w:rsidRPr="000045C3">
        <w:rPr>
          <w:rStyle w:val="AERbody"/>
        </w:rPr>
        <w:t>ActewAGL</w:t>
      </w:r>
      <w:r w:rsidR="00B506DB" w:rsidRPr="000045C3">
        <w:rPr>
          <w:rStyle w:val="AERbody"/>
        </w:rPr>
        <w:t>. I</w:t>
      </w:r>
      <w:r w:rsidR="00E20B8B" w:rsidRPr="000045C3">
        <w:rPr>
          <w:rStyle w:val="AERbody"/>
        </w:rPr>
        <w:t>n particular</w:t>
      </w:r>
      <w:r w:rsidR="00B506DB" w:rsidRPr="000045C3">
        <w:rPr>
          <w:rStyle w:val="AERbody"/>
        </w:rPr>
        <w:t>,</w:t>
      </w:r>
      <w:r w:rsidR="00E20B8B" w:rsidRPr="000045C3">
        <w:rPr>
          <w:rStyle w:val="AERbody"/>
        </w:rPr>
        <w:t xml:space="preserve"> should </w:t>
      </w:r>
      <w:r w:rsidR="00B83B8B">
        <w:rPr>
          <w:rStyle w:val="AERbody"/>
        </w:rPr>
        <w:t xml:space="preserve">costs for </w:t>
      </w:r>
      <w:r w:rsidR="004260F1" w:rsidRPr="000045C3">
        <w:rPr>
          <w:rStyle w:val="AERbody"/>
        </w:rPr>
        <w:t xml:space="preserve">these </w:t>
      </w:r>
      <w:r w:rsidR="00E20B8B" w:rsidRPr="000045C3">
        <w:rPr>
          <w:rStyle w:val="AERbody"/>
        </w:rPr>
        <w:t>be recovered as part of a cost pass through if such events occur</w:t>
      </w:r>
      <w:r w:rsidR="00B506DB" w:rsidRPr="000045C3">
        <w:rPr>
          <w:rStyle w:val="AERbody"/>
        </w:rPr>
        <w:t>,</w:t>
      </w:r>
      <w:r w:rsidR="00E20B8B" w:rsidRPr="000045C3">
        <w:rPr>
          <w:rStyle w:val="AERbody"/>
        </w:rPr>
        <w:t xml:space="preserve"> or is </w:t>
      </w:r>
      <w:r w:rsidR="00B506DB" w:rsidRPr="000045C3">
        <w:rPr>
          <w:rStyle w:val="AERbody"/>
        </w:rPr>
        <w:t xml:space="preserve">it more </w:t>
      </w:r>
      <w:r w:rsidR="00E20B8B" w:rsidRPr="000045C3">
        <w:rPr>
          <w:rStyle w:val="AERbody"/>
        </w:rPr>
        <w:t xml:space="preserve">appropriate for these potential impacts to be reflected in </w:t>
      </w:r>
      <w:r w:rsidR="00A57E35">
        <w:rPr>
          <w:rStyle w:val="AERbody"/>
        </w:rPr>
        <w:t>ActewAGL's</w:t>
      </w:r>
      <w:r w:rsidR="00E20B8B" w:rsidRPr="000045C3">
        <w:rPr>
          <w:rStyle w:val="AERbody"/>
        </w:rPr>
        <w:t xml:space="preserve"> allowances</w:t>
      </w:r>
      <w:r w:rsidRPr="000045C3">
        <w:rPr>
          <w:rStyle w:val="AERbody"/>
        </w:rPr>
        <w:t xml:space="preserve">. </w:t>
      </w:r>
    </w:p>
    <w:p w:rsidR="007A69A3" w:rsidRPr="007C1250" w:rsidRDefault="007A69A3" w:rsidP="007C1250">
      <w:pPr>
        <w:pStyle w:val="Heading1"/>
      </w:pPr>
      <w:bookmarkStart w:id="105" w:name="_Toc392503277"/>
      <w:bookmarkStart w:id="106" w:name="_Toc392572422"/>
      <w:bookmarkStart w:id="107" w:name="_Toc393880988"/>
      <w:bookmarkEnd w:id="105"/>
      <w:bookmarkEnd w:id="106"/>
      <w:r w:rsidRPr="007C1250">
        <w:lastRenderedPageBreak/>
        <w:t>Rate of return</w:t>
      </w:r>
      <w:bookmarkEnd w:id="107"/>
      <w:r w:rsidR="00FD5595" w:rsidRPr="007C1250">
        <w:t xml:space="preserve"> </w:t>
      </w:r>
    </w:p>
    <w:bookmarkEnd w:id="12"/>
    <w:bookmarkEnd w:id="13"/>
    <w:p w:rsidR="00EC5E1E" w:rsidRPr="00EC5E1E" w:rsidRDefault="00EC5E1E" w:rsidP="00EC5E1E">
      <w:r w:rsidRPr="00EC5E1E">
        <w:t xml:space="preserve">The allowed rate of return is the forecast of the cost of funds a </w:t>
      </w:r>
      <w:r w:rsidR="00E4657E">
        <w:t>distributor</w:t>
      </w:r>
      <w:r w:rsidRPr="00EC5E1E">
        <w:t xml:space="preserve"> requires to </w:t>
      </w:r>
      <w:r w:rsidR="005E5ED8">
        <w:t>make</w:t>
      </w:r>
      <w:r w:rsidR="005E5ED8" w:rsidRPr="00EC5E1E">
        <w:t xml:space="preserve"> </w:t>
      </w:r>
      <w:r w:rsidRPr="00EC5E1E">
        <w:t>investment</w:t>
      </w:r>
      <w:r w:rsidR="005E5ED8">
        <w:t>s</w:t>
      </w:r>
      <w:r w:rsidRPr="00EC5E1E">
        <w:t xml:space="preserve"> in </w:t>
      </w:r>
      <w:r w:rsidR="00E4657E">
        <w:t>its</w:t>
      </w:r>
      <w:r w:rsidR="00E4657E" w:rsidRPr="00EC5E1E">
        <w:t xml:space="preserve"> </w:t>
      </w:r>
      <w:r w:rsidRPr="00EC5E1E">
        <w:t xml:space="preserve">network. To estimate this cost, we consider the cost of the two sources of funds for investments—equity and debt. The return on equity is the return shareholders of the business will require to attract new investment. The return on debt is the interest rate </w:t>
      </w:r>
      <w:r w:rsidR="003E0C47">
        <w:t>a</w:t>
      </w:r>
      <w:r w:rsidRPr="00EC5E1E">
        <w:t xml:space="preserve"> </w:t>
      </w:r>
      <w:r w:rsidR="00E4657E">
        <w:t>distributor</w:t>
      </w:r>
      <w:r w:rsidRPr="00EC5E1E">
        <w:t xml:space="preserve"> pays when it borrows money to invest</w:t>
      </w:r>
      <w:r w:rsidR="005E5ED8">
        <w:t xml:space="preserve"> in capex</w:t>
      </w:r>
      <w:r w:rsidRPr="00EC5E1E">
        <w:t xml:space="preserve">. We consider that efficient </w:t>
      </w:r>
      <w:r w:rsidR="00E4657E">
        <w:t>distributors</w:t>
      </w:r>
      <w:r w:rsidRPr="00EC5E1E">
        <w:t xml:space="preserve"> would fund their investments by borrowing 60 per cent of the required funds, while raising the remaining 40 per cent from equity. </w:t>
      </w:r>
    </w:p>
    <w:p w:rsidR="00EC5E1E" w:rsidRPr="00EC5E1E" w:rsidRDefault="00EC5E1E" w:rsidP="00EC5E1E">
      <w:r w:rsidRPr="00EC5E1E">
        <w:t xml:space="preserve">When a distributor spends money on an asset, for example a new substation, the value of that substation is added to its </w:t>
      </w:r>
      <w:r w:rsidR="001162DD">
        <w:t>asset base</w:t>
      </w:r>
      <w:r w:rsidRPr="00EC5E1E">
        <w:t xml:space="preserve">. The value of the </w:t>
      </w:r>
      <w:r w:rsidR="001162DD">
        <w:t>asset base</w:t>
      </w:r>
      <w:r w:rsidRPr="00EC5E1E">
        <w:t xml:space="preserve"> is multiplied by the allowed rate of return to determine the total return on capital the distributor can charge customers. By setting a rate of return based on a benchmark, rather than the actual costs of individual businesses, </w:t>
      </w:r>
      <w:r w:rsidR="00592EF3">
        <w:t>distributors</w:t>
      </w:r>
      <w:r w:rsidRPr="00EC5E1E">
        <w:t xml:space="preserve"> have incentives to finance </w:t>
      </w:r>
      <w:r w:rsidR="00592EF3">
        <w:t>its</w:t>
      </w:r>
      <w:r w:rsidRPr="00EC5E1E">
        <w:t xml:space="preserve"> business as efficiently as possible.</w:t>
      </w:r>
    </w:p>
    <w:p w:rsidR="00EC5E1E" w:rsidRDefault="00EC5E1E" w:rsidP="00D55DB2">
      <w:pPr>
        <w:numPr>
          <w:ilvl w:val="0"/>
          <w:numId w:val="13"/>
        </w:numPr>
      </w:pPr>
      <w:r w:rsidRPr="00EC5E1E">
        <w:t>We published our rate of return guideline in December 2013.</w:t>
      </w:r>
      <w:r w:rsidRPr="008873E4">
        <w:rPr>
          <w:rStyle w:val="AERsuperscript"/>
        </w:rPr>
        <w:footnoteReference w:id="46"/>
      </w:r>
      <w:r w:rsidRPr="008873E4">
        <w:rPr>
          <w:rStyle w:val="AERsuperscript"/>
        </w:rPr>
        <w:t xml:space="preserve"> </w:t>
      </w:r>
      <w:r w:rsidRPr="00EC5E1E">
        <w:t xml:space="preserve">It sets out the method we propose to estimate the allowed rate of return for electricity and gas network businesses. </w:t>
      </w:r>
      <w:r w:rsidR="001C6989" w:rsidRPr="001C6989">
        <w:t>The guideline is not binding on us in determining the allowed rate of return or on service providers in proposing their allowed rate of return as part of their revenue proposals. However, should we decide to depart from the guideline we must provide reasons for doing so. Equally, while it is open to network businesses to move away from the guideline within their specific revenue proposals, the rules require that they provide reasons for a proposal to depart from the approach set out in the guideline.</w:t>
      </w:r>
    </w:p>
    <w:p w:rsidR="003056DB" w:rsidRDefault="00203B35" w:rsidP="00EC5E1E">
      <w:pPr>
        <w:numPr>
          <w:ilvl w:val="0"/>
          <w:numId w:val="13"/>
        </w:numPr>
      </w:pPr>
      <w:r>
        <w:pict>
          <v:shape id="_x0000_s1058" type="#_x0000_t202" style="position:absolute;left:0;text-align:left;margin-left:-.2pt;margin-top:10.45pt;width:453.05pt;height:96.05pt;z-index:25165670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LKAIAAE4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5DBBJ3pn6EZl1ZhhwXEgUWuN+UNLhcFfUfz+A&#10;45TIDxq7sxxPp3EbkjKdzQtU3KVld2kBzRCqooGSQdyEtEGJN3uDXdyKxO9LJqeUcWgT7acFi1tx&#10;qSevl9/A+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oBNLKAIAAE4EAAAOAAAAAAAAAAAAAAAAAC4CAABkcnMvZTJvRG9j&#10;LnhtbFBLAQItABQABgAIAAAAIQD9LzLW2wAAAAUBAAAPAAAAAAAAAAAAAAAAAIIEAABkcnMvZG93&#10;bnJldi54bWxQSwUGAAAAAAQABADzAAAAigUAAAAA&#10;" fillcolor="#ddd">
            <v:textbox style="mso-next-textbox:#_x0000_s1058">
              <w:txbxContent>
                <w:p w:rsidR="00954F42" w:rsidRPr="00E630D4" w:rsidRDefault="00954F42" w:rsidP="00E4657E">
                  <w:pPr>
                    <w:rPr>
                      <w:rStyle w:val="AERtextbold"/>
                    </w:rPr>
                  </w:pPr>
                  <w:r w:rsidRPr="00E630D4">
                    <w:rPr>
                      <w:rStyle w:val="AERtextbold"/>
                    </w:rPr>
                    <w:t>Question</w:t>
                  </w:r>
                </w:p>
                <w:p w:rsidR="00954F42" w:rsidRDefault="00954F42" w:rsidP="008B25DE">
                  <w:pPr>
                    <w:pStyle w:val="AERnumberedlistfirststyle"/>
                  </w:pPr>
                  <w:r w:rsidRPr="008B25DE">
                    <w:t>Do you consi</w:t>
                  </w:r>
                  <w:r>
                    <w:t>der that any departures from our</w:t>
                  </w:r>
                  <w:r w:rsidRPr="008B25DE">
                    <w:t xml:space="preserve"> rate of return guideline are justified?</w:t>
                  </w:r>
                </w:p>
                <w:p w:rsidR="00954F42" w:rsidRDefault="00954F42" w:rsidP="008B25DE">
                  <w:pPr>
                    <w:pStyle w:val="AERnumberedlistfirststyle"/>
                  </w:pPr>
                  <w:r w:rsidRPr="008B25DE">
                    <w:t xml:space="preserve">In particular, do you have any comments on the departures proposed by </w:t>
                  </w:r>
                  <w:r>
                    <w:t>ActewAGL</w:t>
                  </w:r>
                  <w:r w:rsidRPr="008B25DE">
                    <w:t>?</w:t>
                  </w:r>
                </w:p>
                <w:p w:rsidR="00954F42" w:rsidRDefault="00954F42" w:rsidP="00A326F9">
                  <w:pPr>
                    <w:pStyle w:val="AERbodytext"/>
                  </w:pPr>
                </w:p>
                <w:p w:rsidR="00954F42" w:rsidRDefault="00954F42" w:rsidP="0059339E">
                  <w:pPr>
                    <w:pStyle w:val="AERnumberedlistfirststyle"/>
                    <w:numPr>
                      <w:ilvl w:val="0"/>
                      <w:numId w:val="0"/>
                    </w:numPr>
                    <w:ind w:left="499"/>
                  </w:pPr>
                </w:p>
              </w:txbxContent>
            </v:textbox>
          </v:shape>
        </w:pict>
      </w:r>
    </w:p>
    <w:p w:rsidR="00E4657E" w:rsidRDefault="00E4657E" w:rsidP="00E4657E"/>
    <w:p w:rsidR="00E4657E" w:rsidRDefault="00E4657E" w:rsidP="00E4657E"/>
    <w:p w:rsidR="008B25DE" w:rsidRDefault="008B25DE" w:rsidP="00E4657E"/>
    <w:p w:rsidR="00E4657E" w:rsidRDefault="00E4657E" w:rsidP="00E4657E"/>
    <w:p w:rsidR="00EC5E1E" w:rsidRPr="00EC5E1E" w:rsidRDefault="007C1250" w:rsidP="00BC49BC">
      <w:pPr>
        <w:pStyle w:val="Heading2"/>
      </w:pPr>
      <w:bookmarkStart w:id="108" w:name="_Toc391386427"/>
      <w:bookmarkStart w:id="109" w:name="_Toc391447530"/>
      <w:bookmarkStart w:id="110" w:name="_Toc393880989"/>
      <w:r>
        <w:t>ActewAGL's</w:t>
      </w:r>
      <w:r w:rsidR="00EC5E1E" w:rsidRPr="00EC5E1E">
        <w:t xml:space="preserve"> proposed overall rate of return</w:t>
      </w:r>
      <w:bookmarkEnd w:id="108"/>
      <w:bookmarkEnd w:id="109"/>
      <w:bookmarkEnd w:id="110"/>
    </w:p>
    <w:p w:rsidR="00EC5E1E" w:rsidRDefault="00806C1B" w:rsidP="00EC5E1E">
      <w:pPr>
        <w:numPr>
          <w:ilvl w:val="0"/>
          <w:numId w:val="13"/>
        </w:numPr>
      </w:pPr>
      <w:r w:rsidRPr="000B2C24">
        <w:rPr>
          <w:rStyle w:val="AERbody"/>
        </w:rPr>
        <w:fldChar w:fldCharType="begin"/>
      </w:r>
      <w:r w:rsidRPr="000B2C24">
        <w:rPr>
          <w:rStyle w:val="AERbody"/>
        </w:rPr>
        <w:instrText xml:space="preserve"> REF _Ref390930215 \h </w:instrText>
      </w:r>
      <w:r w:rsidR="00E4657E" w:rsidRPr="000B2C24">
        <w:rPr>
          <w:rStyle w:val="AERbody"/>
        </w:rPr>
        <w:instrText xml:space="preserve"> \* MERGEFORMAT </w:instrText>
      </w:r>
      <w:r w:rsidRPr="000B2C24">
        <w:rPr>
          <w:rStyle w:val="AERbody"/>
        </w:rPr>
      </w:r>
      <w:r w:rsidRPr="000B2C24">
        <w:rPr>
          <w:rStyle w:val="AERbody"/>
        </w:rPr>
        <w:fldChar w:fldCharType="separate"/>
      </w:r>
      <w:r w:rsidR="00DD297F" w:rsidRPr="00DD297F">
        <w:rPr>
          <w:rStyle w:val="AERbody"/>
        </w:rPr>
        <w:t>Table 8</w:t>
      </w:r>
      <w:r w:rsidRPr="000B2C24">
        <w:rPr>
          <w:rStyle w:val="AERbody"/>
        </w:rPr>
        <w:fldChar w:fldCharType="end"/>
      </w:r>
      <w:r w:rsidRPr="000B2C24">
        <w:rPr>
          <w:rStyle w:val="AERbody"/>
        </w:rPr>
        <w:t xml:space="preserve"> </w:t>
      </w:r>
      <w:r w:rsidR="007A5B59" w:rsidRPr="000B2C24">
        <w:rPr>
          <w:rStyle w:val="AERbody"/>
        </w:rPr>
        <w:t xml:space="preserve">summarises </w:t>
      </w:r>
      <w:r w:rsidR="007C1250">
        <w:rPr>
          <w:rStyle w:val="AERbody"/>
        </w:rPr>
        <w:t>ActewAGL's</w:t>
      </w:r>
      <w:r w:rsidR="00EC5E1E" w:rsidRPr="00EC5E1E">
        <w:t xml:space="preserve"> rate of return proposal. </w:t>
      </w:r>
      <w:r w:rsidR="001471C9">
        <w:t>T</w:t>
      </w:r>
      <w:r w:rsidR="00EC5E1E" w:rsidRPr="00EC5E1E">
        <w:t xml:space="preserve">he first row shows the overall rate of return, or weighted average cost of capital (WACC), proposed by </w:t>
      </w:r>
      <w:r w:rsidR="007D135D">
        <w:t>ActewAGL</w:t>
      </w:r>
      <w:r w:rsidR="00EC5E1E" w:rsidRPr="00EC5E1E">
        <w:t xml:space="preserve">. The following rows show </w:t>
      </w:r>
      <w:r w:rsidR="007C1250">
        <w:t>ActewAGL's</w:t>
      </w:r>
      <w:r w:rsidR="00EC5E1E" w:rsidRPr="00EC5E1E">
        <w:t xml:space="preserve"> proposed values for the individual components that, when combined, make up the WACC. These are the return on equity, return on debt, gearing ratio and level of imputation credits. </w:t>
      </w:r>
    </w:p>
    <w:p w:rsidR="00657452" w:rsidRDefault="00657452" w:rsidP="00657452"/>
    <w:p w:rsidR="00657452" w:rsidRDefault="00657452" w:rsidP="00657452"/>
    <w:p w:rsidR="00657452" w:rsidRDefault="00657452" w:rsidP="00657452"/>
    <w:p w:rsidR="00657452" w:rsidRDefault="00657452" w:rsidP="00657452"/>
    <w:p w:rsidR="00657452" w:rsidRDefault="00657452" w:rsidP="00657452"/>
    <w:p w:rsidR="00D03F3B" w:rsidRPr="007C1250" w:rsidRDefault="00D03F3B" w:rsidP="007D135D">
      <w:pPr>
        <w:pStyle w:val="Caption"/>
        <w:rPr>
          <w:rStyle w:val="AERtexthighlight"/>
        </w:rPr>
      </w:pPr>
      <w:bookmarkStart w:id="111" w:name="_Ref390930215"/>
      <w:r>
        <w:lastRenderedPageBreak/>
        <w:t xml:space="preserve">Table </w:t>
      </w:r>
      <w:r w:rsidR="00203B35">
        <w:fldChar w:fldCharType="begin"/>
      </w:r>
      <w:r w:rsidR="00203B35">
        <w:instrText xml:space="preserve"> SEQ Table \* ARABIC </w:instrText>
      </w:r>
      <w:r w:rsidR="00203B35">
        <w:fldChar w:fldCharType="separate"/>
      </w:r>
      <w:r w:rsidR="00DD297F">
        <w:rPr>
          <w:noProof/>
        </w:rPr>
        <w:t>8</w:t>
      </w:r>
      <w:r w:rsidR="00203B35">
        <w:rPr>
          <w:noProof/>
        </w:rPr>
        <w:fldChar w:fldCharType="end"/>
      </w:r>
      <w:bookmarkEnd w:id="111"/>
      <w:r>
        <w:tab/>
      </w:r>
      <w:r w:rsidR="007C1250" w:rsidRPr="007D135D">
        <w:rPr>
          <w:rStyle w:val="AERtextbold"/>
          <w:b/>
        </w:rPr>
        <w:t>ActewAGL's</w:t>
      </w:r>
      <w:r w:rsidRPr="007D135D">
        <w:rPr>
          <w:rStyle w:val="AERtextbold"/>
          <w:b/>
        </w:rPr>
        <w:t xml:space="preserve"> proposed rates of return (per cent)</w:t>
      </w:r>
    </w:p>
    <w:tbl>
      <w:tblPr>
        <w:tblStyle w:val="AERtable-text"/>
        <w:tblW w:w="0" w:type="auto"/>
        <w:tblLook w:val="04A0" w:firstRow="1" w:lastRow="0" w:firstColumn="1" w:lastColumn="0" w:noHBand="0" w:noVBand="1"/>
      </w:tblPr>
      <w:tblGrid>
        <w:gridCol w:w="2093"/>
        <w:gridCol w:w="3969"/>
      </w:tblGrid>
      <w:tr w:rsidR="007C1250" w:rsidRPr="00EC5E1E" w:rsidTr="007D135D">
        <w:trPr>
          <w:cnfStyle w:val="100000000000" w:firstRow="1" w:lastRow="0" w:firstColumn="0" w:lastColumn="0" w:oddVBand="0" w:evenVBand="0" w:oddHBand="0" w:evenHBand="0" w:firstRowFirstColumn="0" w:firstRowLastColumn="0" w:lastRowFirstColumn="0" w:lastRowLastColumn="0"/>
        </w:trPr>
        <w:tc>
          <w:tcPr>
            <w:tcW w:w="2093" w:type="dxa"/>
          </w:tcPr>
          <w:p w:rsidR="007C1250" w:rsidRPr="00EC5E1E" w:rsidRDefault="007C1250" w:rsidP="00EC5E1E"/>
        </w:tc>
        <w:tc>
          <w:tcPr>
            <w:tcW w:w="3969" w:type="dxa"/>
          </w:tcPr>
          <w:p w:rsidR="007C1250" w:rsidRPr="00EC5E1E" w:rsidRDefault="00D70F02" w:rsidP="004B2411">
            <w:pPr>
              <w:pStyle w:val="AERtabletextright"/>
            </w:pPr>
            <w:r>
              <w:t>Per cent</w:t>
            </w:r>
          </w:p>
        </w:tc>
      </w:tr>
      <w:tr w:rsidR="007C1250" w:rsidRPr="00EC5E1E" w:rsidTr="007D135D">
        <w:tc>
          <w:tcPr>
            <w:tcW w:w="2093" w:type="dxa"/>
          </w:tcPr>
          <w:p w:rsidR="007C1250" w:rsidRPr="00800576" w:rsidRDefault="007C1250" w:rsidP="00EC5E1E">
            <w:pPr>
              <w:rPr>
                <w:rStyle w:val="AERtextbold"/>
              </w:rPr>
            </w:pPr>
            <w:r w:rsidRPr="00800576">
              <w:rPr>
                <w:rStyle w:val="AERtextbold"/>
              </w:rPr>
              <w:t>Overall WACC</w:t>
            </w:r>
          </w:p>
        </w:tc>
        <w:tc>
          <w:tcPr>
            <w:tcW w:w="3969" w:type="dxa"/>
          </w:tcPr>
          <w:p w:rsidR="007C1250" w:rsidRPr="00800576" w:rsidRDefault="00D70F02" w:rsidP="00800576">
            <w:pPr>
              <w:pStyle w:val="AERtabletextright"/>
              <w:rPr>
                <w:rStyle w:val="AERtextbold"/>
              </w:rPr>
            </w:pPr>
            <w:r>
              <w:rPr>
                <w:rStyle w:val="AERtextbold"/>
              </w:rPr>
              <w:t>8.99</w:t>
            </w:r>
          </w:p>
        </w:tc>
      </w:tr>
      <w:tr w:rsidR="007C1250" w:rsidRPr="00EC5E1E" w:rsidTr="007D135D">
        <w:trPr>
          <w:cnfStyle w:val="000000010000" w:firstRow="0" w:lastRow="0" w:firstColumn="0" w:lastColumn="0" w:oddVBand="0" w:evenVBand="0" w:oddHBand="0" w:evenHBand="1" w:firstRowFirstColumn="0" w:firstRowLastColumn="0" w:lastRowFirstColumn="0" w:lastRowLastColumn="0"/>
        </w:trPr>
        <w:tc>
          <w:tcPr>
            <w:tcW w:w="2093" w:type="dxa"/>
          </w:tcPr>
          <w:p w:rsidR="007C1250" w:rsidRPr="00EC5E1E" w:rsidRDefault="007C1250" w:rsidP="00EC5E1E">
            <w:r w:rsidRPr="00EC5E1E">
              <w:t>Return on equity</w:t>
            </w:r>
          </w:p>
        </w:tc>
        <w:tc>
          <w:tcPr>
            <w:tcW w:w="3969" w:type="dxa"/>
          </w:tcPr>
          <w:p w:rsidR="007C1250" w:rsidRPr="00EC5E1E" w:rsidRDefault="005B6130" w:rsidP="00800576">
            <w:pPr>
              <w:pStyle w:val="AERtabletextright"/>
            </w:pPr>
            <w:r>
              <w:t>10.71</w:t>
            </w:r>
          </w:p>
        </w:tc>
      </w:tr>
      <w:tr w:rsidR="007C1250" w:rsidRPr="00EC5E1E" w:rsidTr="007D135D">
        <w:tc>
          <w:tcPr>
            <w:tcW w:w="2093" w:type="dxa"/>
          </w:tcPr>
          <w:p w:rsidR="007C1250" w:rsidRPr="00EC5E1E" w:rsidRDefault="007C1250" w:rsidP="00EC5E1E">
            <w:r w:rsidRPr="00EC5E1E">
              <w:t>Return on debt</w:t>
            </w:r>
          </w:p>
        </w:tc>
        <w:tc>
          <w:tcPr>
            <w:tcW w:w="3969" w:type="dxa"/>
          </w:tcPr>
          <w:p w:rsidR="007C1250" w:rsidRPr="00EC5E1E" w:rsidRDefault="005B6130" w:rsidP="00800576">
            <w:pPr>
              <w:pStyle w:val="AERtabletextright"/>
            </w:pPr>
            <w:r>
              <w:t>7.85</w:t>
            </w:r>
          </w:p>
        </w:tc>
      </w:tr>
      <w:tr w:rsidR="007C1250" w:rsidRPr="00EC5E1E" w:rsidTr="007D135D">
        <w:trPr>
          <w:cnfStyle w:val="000000010000" w:firstRow="0" w:lastRow="0" w:firstColumn="0" w:lastColumn="0" w:oddVBand="0" w:evenVBand="0" w:oddHBand="0" w:evenHBand="1" w:firstRowFirstColumn="0" w:firstRowLastColumn="0" w:lastRowFirstColumn="0" w:lastRowLastColumn="0"/>
        </w:trPr>
        <w:tc>
          <w:tcPr>
            <w:tcW w:w="2093" w:type="dxa"/>
          </w:tcPr>
          <w:p w:rsidR="007C1250" w:rsidRPr="00EC5E1E" w:rsidRDefault="007C1250" w:rsidP="00EC5E1E">
            <w:r w:rsidRPr="00EC5E1E">
              <w:t>Gearing</w:t>
            </w:r>
          </w:p>
        </w:tc>
        <w:tc>
          <w:tcPr>
            <w:tcW w:w="3969" w:type="dxa"/>
          </w:tcPr>
          <w:p w:rsidR="007C1250" w:rsidRPr="00EC5E1E" w:rsidRDefault="005B6130" w:rsidP="00800576">
            <w:pPr>
              <w:pStyle w:val="AERtabletextright"/>
            </w:pPr>
            <w:r>
              <w:t>60</w:t>
            </w:r>
          </w:p>
        </w:tc>
      </w:tr>
      <w:tr w:rsidR="007C1250" w:rsidRPr="00EC5E1E" w:rsidTr="007D135D">
        <w:tc>
          <w:tcPr>
            <w:tcW w:w="2093" w:type="dxa"/>
          </w:tcPr>
          <w:p w:rsidR="007C1250" w:rsidRPr="00EC5E1E" w:rsidRDefault="007C1250" w:rsidP="00EC5E1E">
            <w:r w:rsidRPr="00EC5E1E">
              <w:t>Imputation credits</w:t>
            </w:r>
          </w:p>
        </w:tc>
        <w:tc>
          <w:tcPr>
            <w:tcW w:w="3969" w:type="dxa"/>
          </w:tcPr>
          <w:p w:rsidR="007C1250" w:rsidRPr="00EC5E1E" w:rsidRDefault="005B6130" w:rsidP="00800576">
            <w:pPr>
              <w:pStyle w:val="AERtabletextright"/>
            </w:pPr>
            <w:r>
              <w:t>0.25</w:t>
            </w:r>
          </w:p>
        </w:tc>
      </w:tr>
    </w:tbl>
    <w:p w:rsidR="009C16F5" w:rsidRDefault="00E4657E" w:rsidP="00E4657E">
      <w:pPr>
        <w:pStyle w:val="AERtablesource"/>
      </w:pPr>
      <w:r>
        <w:t>Source:</w:t>
      </w:r>
      <w:r>
        <w:tab/>
      </w:r>
      <w:r w:rsidR="007C1250">
        <w:t>ActewAGL</w:t>
      </w:r>
      <w:r w:rsidR="00AB7794">
        <w:t xml:space="preserve">, </w:t>
      </w:r>
      <w:r w:rsidR="00AB7794" w:rsidRPr="00D55DB2">
        <w:rPr>
          <w:rStyle w:val="AERtextitalic"/>
        </w:rPr>
        <w:t>R</w:t>
      </w:r>
      <w:r w:rsidRPr="00D55DB2">
        <w:rPr>
          <w:rStyle w:val="AERtextitalic"/>
        </w:rPr>
        <w:t>egulatory proposal</w:t>
      </w:r>
      <w:r w:rsidR="005145C5">
        <w:t>, June 2014, table 10.1.</w:t>
      </w:r>
    </w:p>
    <w:p w:rsidR="00EC5E1E" w:rsidRPr="00EC5E1E" w:rsidRDefault="00EC5E1E" w:rsidP="00EC5E1E">
      <w:r w:rsidRPr="00EC5E1E">
        <w:t>The return on debt number appl</w:t>
      </w:r>
      <w:r w:rsidR="00C7370A">
        <w:t>ies</w:t>
      </w:r>
      <w:r w:rsidRPr="00EC5E1E">
        <w:t xml:space="preserve"> only fo</w:t>
      </w:r>
      <w:r w:rsidR="009C16F5">
        <w:t>r the first regulatory year</w:t>
      </w:r>
      <w:r w:rsidR="00E4657E">
        <w:t xml:space="preserve"> (2014</w:t>
      </w:r>
      <w:r w:rsidR="00E4657E">
        <w:rPr>
          <w:rFonts w:cs="Gautami"/>
        </w:rPr>
        <w:t>–</w:t>
      </w:r>
      <w:r w:rsidR="00E4657E">
        <w:t>15)</w:t>
      </w:r>
      <w:r w:rsidR="00FC224C">
        <w:t xml:space="preserve">. </w:t>
      </w:r>
      <w:r w:rsidR="007C1250">
        <w:t>ActewAGL</w:t>
      </w:r>
      <w:r w:rsidR="00C1119B">
        <w:t xml:space="preserve"> has</w:t>
      </w:r>
      <w:r w:rsidRPr="00EC5E1E">
        <w:t xml:space="preserve"> proposed to annually update the return on debt</w:t>
      </w:r>
      <w:r w:rsidR="00475377">
        <w:t xml:space="preserve"> for the remaining years of the period, </w:t>
      </w:r>
      <w:r w:rsidR="00FC224C">
        <w:t>consistent with the</w:t>
      </w:r>
      <w:r w:rsidR="00475377">
        <w:t xml:space="preserve"> rate of return guideline</w:t>
      </w:r>
      <w:r w:rsidRPr="00EC5E1E">
        <w:t>.</w:t>
      </w:r>
      <w:r w:rsidR="00F3159D">
        <w:t xml:space="preserve"> </w:t>
      </w:r>
      <w:r w:rsidR="00FC224C">
        <w:t xml:space="preserve">However, the guideline states </w:t>
      </w:r>
      <w:r w:rsidR="006B13D1">
        <w:t>distributors</w:t>
      </w:r>
      <w:r w:rsidR="00FC224C">
        <w:t xml:space="preserve"> s</w:t>
      </w:r>
      <w:r w:rsidR="00F3159D">
        <w:t>hould nominate</w:t>
      </w:r>
      <w:r w:rsidR="00050A09">
        <w:t>,</w:t>
      </w:r>
      <w:r w:rsidR="00F3159D">
        <w:t xml:space="preserve"> in their regulatory </w:t>
      </w:r>
      <w:r w:rsidR="00FC224C">
        <w:t xml:space="preserve">proposal (or during the F&amp;A process), the averaging periods </w:t>
      </w:r>
      <w:r w:rsidR="00F3159D">
        <w:t>to</w:t>
      </w:r>
      <w:r w:rsidR="00FC224C">
        <w:t xml:space="preserve"> be used in the annual updating</w:t>
      </w:r>
      <w:r w:rsidR="006B13D1">
        <w:t xml:space="preserve"> for all five years of the regulatory period</w:t>
      </w:r>
      <w:r w:rsidR="00FC224C">
        <w:t xml:space="preserve">. In contrast, ActewAGL has nominated </w:t>
      </w:r>
      <w:r w:rsidR="003E39B2">
        <w:t xml:space="preserve">in its regulatory </w:t>
      </w:r>
      <w:r w:rsidR="00F3159D">
        <w:t xml:space="preserve">proposal </w:t>
      </w:r>
      <w:r w:rsidR="00FC224C">
        <w:t>the averaging periods for</w:t>
      </w:r>
      <w:r w:rsidR="00ED4463">
        <w:t xml:space="preserve"> only</w:t>
      </w:r>
      <w:r w:rsidR="00FC224C">
        <w:t xml:space="preserve"> the first t</w:t>
      </w:r>
      <w:r w:rsidR="00F3159D">
        <w:t>wo years and proposed</w:t>
      </w:r>
      <w:r w:rsidR="00FC224C">
        <w:t xml:space="preserve"> to nominate</w:t>
      </w:r>
      <w:r w:rsidR="00513D25" w:rsidRPr="00513D25">
        <w:t xml:space="preserve"> </w:t>
      </w:r>
      <w:r w:rsidR="00513D25">
        <w:t>during the 2014–19 period</w:t>
      </w:r>
      <w:r w:rsidR="00FC224C">
        <w:t xml:space="preserve"> the averaging periods for the remaining years.</w:t>
      </w:r>
    </w:p>
    <w:p w:rsidR="00EC5E1E" w:rsidRPr="00EC5E1E" w:rsidRDefault="00EC5E1E" w:rsidP="00BC49BC">
      <w:pPr>
        <w:pStyle w:val="Heading2"/>
      </w:pPr>
      <w:bookmarkStart w:id="112" w:name="_Toc391386428"/>
      <w:bookmarkStart w:id="113" w:name="_Toc391447531"/>
      <w:bookmarkStart w:id="114" w:name="_Toc393880990"/>
      <w:r w:rsidRPr="00EC5E1E">
        <w:t>Return on equity</w:t>
      </w:r>
      <w:bookmarkEnd w:id="112"/>
      <w:bookmarkEnd w:id="113"/>
      <w:bookmarkEnd w:id="114"/>
      <w:r w:rsidRPr="00EC5E1E">
        <w:t xml:space="preserve"> </w:t>
      </w:r>
    </w:p>
    <w:p w:rsidR="00EC5E1E" w:rsidRPr="00EC5E1E" w:rsidRDefault="00EC5E1E" w:rsidP="00EC5E1E">
      <w:r w:rsidRPr="00EC5E1E">
        <w:t>Recognising there is not one perfect model to estimate the return on equity, our rate of return guideline approach draws on a variety of models and information which we have assessed as relevant. Our starting point is the standard capital asset pricing model (CAPM)—our ‘foundation model.’ We then use a range of models, methods, and information to inform our return on equity estimate. We use this information to either set the range of inputs into the CAPM foundation model or assist in determining a point estimate within the range of estimates of overall return on equity resulting from the CAPM foundation model.</w:t>
      </w:r>
    </w:p>
    <w:p w:rsidR="00EC5E1E" w:rsidRPr="00EC5E1E" w:rsidRDefault="00EC5E1E" w:rsidP="00EC5E1E">
      <w:r w:rsidRPr="00EC5E1E">
        <w:t>We propose to use the Sharpe–Lintner capital asset pricing model (SLCAPM) as the foundation model, which runs as follows:</w:t>
      </w:r>
    </w:p>
    <w:p w:rsidR="00EC5E1E" w:rsidRPr="00EC5E1E" w:rsidRDefault="00EC5E1E" w:rsidP="00BC49BC">
      <w:pPr>
        <w:pStyle w:val="AERbulletlistfirststyle"/>
      </w:pPr>
      <w:r w:rsidRPr="00EC5E1E">
        <w:t>The SLCAPM is estimated by adding to the risk free rate the product of the equity beta and market risk premium (MRP).</w:t>
      </w:r>
    </w:p>
    <w:p w:rsidR="00EC5E1E" w:rsidRPr="00EC5E1E" w:rsidRDefault="00EC5E1E" w:rsidP="00BC49BC">
      <w:pPr>
        <w:pStyle w:val="AERbulletlistsecondstyle"/>
      </w:pPr>
      <w:r w:rsidRPr="00EC5E1E">
        <w:t>Our approach is to estimate the risk free rate based on market conditions that prevail as close as possible to the commencement of the regulatory control period.</w:t>
      </w:r>
    </w:p>
    <w:p w:rsidR="00EC5E1E" w:rsidRPr="00EC5E1E" w:rsidRDefault="00EC5E1E" w:rsidP="00BC49BC">
      <w:pPr>
        <w:pStyle w:val="AERbulletlistsecondstyle"/>
      </w:pPr>
      <w:r w:rsidRPr="00EC5E1E">
        <w:t>Our point estimate for equity beta is 0.7.</w:t>
      </w:r>
    </w:p>
    <w:p w:rsidR="00EC5E1E" w:rsidRPr="00EC5E1E" w:rsidRDefault="00EC5E1E" w:rsidP="00BC49BC">
      <w:pPr>
        <w:pStyle w:val="AERbulletlistsecondstyle"/>
      </w:pPr>
      <w:r w:rsidRPr="00EC5E1E">
        <w:t xml:space="preserve">As at December 2013, our point estimate for MRP is 6.5. </w:t>
      </w:r>
    </w:p>
    <w:p w:rsidR="00EC5E1E" w:rsidRPr="00EC5E1E" w:rsidRDefault="00EC5E1E" w:rsidP="000D1F02">
      <w:pPr>
        <w:pStyle w:val="AERbulletlistfirststyle"/>
      </w:pPr>
      <w:r w:rsidRPr="00EC5E1E">
        <w:t xml:space="preserve">The range and point estimate for the expected return on equity is calculated based on the range and point estimates from the corresponding input parameters. For example, the lower bound of the expected return on equity range is calculated by applying the point estimate for the risk free rate and the lower bound estimates of the equity beta and MRP. A probability will not be assigned </w:t>
      </w:r>
      <w:r w:rsidRPr="00EC5E1E">
        <w:lastRenderedPageBreak/>
        <w:t>to values within the range, but it will not be assumed that all values within the range are equally probable.</w:t>
      </w:r>
    </w:p>
    <w:p w:rsidR="00C44BD2" w:rsidRDefault="00CA1E79" w:rsidP="00657452">
      <w:pPr>
        <w:rPr>
          <w:rStyle w:val="AERbody"/>
        </w:rPr>
      </w:pPr>
      <w:r w:rsidRPr="0020740F">
        <w:rPr>
          <w:rStyle w:val="AERbody"/>
        </w:rPr>
        <w:t xml:space="preserve">ActewAGL did not use the approach set out in our guideline to calculate its proposed </w:t>
      </w:r>
      <w:r w:rsidR="00BA1B30" w:rsidRPr="00BA1B30">
        <w:rPr>
          <w:rStyle w:val="AERbody"/>
        </w:rPr>
        <w:t xml:space="preserve">return on equity. </w:t>
      </w:r>
      <w:r w:rsidR="00BA1B30">
        <w:rPr>
          <w:rStyle w:val="AERbody"/>
        </w:rPr>
        <w:t xml:space="preserve">While </w:t>
      </w:r>
      <w:r w:rsidRPr="0020740F">
        <w:rPr>
          <w:rStyle w:val="AERbody"/>
        </w:rPr>
        <w:t xml:space="preserve">ActewAGL </w:t>
      </w:r>
      <w:r w:rsidR="00BA1B30">
        <w:rPr>
          <w:rStyle w:val="AERbody"/>
        </w:rPr>
        <w:t>did use the SLCAPM, it combined this with the output of</w:t>
      </w:r>
      <w:r w:rsidRPr="0020740F">
        <w:rPr>
          <w:rStyle w:val="AERbody"/>
        </w:rPr>
        <w:t xml:space="preserve"> </w:t>
      </w:r>
      <w:r w:rsidR="00BA1B30">
        <w:rPr>
          <w:rStyle w:val="AERbody"/>
        </w:rPr>
        <w:t xml:space="preserve">other </w:t>
      </w:r>
      <w:r w:rsidRPr="0020740F">
        <w:rPr>
          <w:rStyle w:val="AERbody"/>
        </w:rPr>
        <w:t>models to derive an estimate of the return on equity</w:t>
      </w:r>
      <w:r w:rsidR="00BA1B30">
        <w:rPr>
          <w:rStyle w:val="AERbody"/>
        </w:rPr>
        <w:t xml:space="preserve"> that is higher than </w:t>
      </w:r>
      <w:r w:rsidR="00402AA3">
        <w:rPr>
          <w:rStyle w:val="AERbody"/>
        </w:rPr>
        <w:t xml:space="preserve">it likely would be if </w:t>
      </w:r>
      <w:r w:rsidR="00BA1B30">
        <w:rPr>
          <w:rStyle w:val="AERbody"/>
        </w:rPr>
        <w:t xml:space="preserve">our </w:t>
      </w:r>
      <w:r w:rsidR="00402AA3">
        <w:rPr>
          <w:rStyle w:val="AERbody"/>
        </w:rPr>
        <w:t xml:space="preserve">guideline </w:t>
      </w:r>
      <w:r w:rsidR="00BA1B30">
        <w:rPr>
          <w:rStyle w:val="AERbody"/>
        </w:rPr>
        <w:t>approach</w:t>
      </w:r>
      <w:r w:rsidR="00402AA3">
        <w:rPr>
          <w:rStyle w:val="AERbody"/>
        </w:rPr>
        <w:t xml:space="preserve"> were applied</w:t>
      </w:r>
      <w:r w:rsidR="00C44BD2">
        <w:rPr>
          <w:rStyle w:val="AERbody"/>
        </w:rPr>
        <w:t xml:space="preserve">. Table 9 </w:t>
      </w:r>
      <w:r w:rsidR="004106A7">
        <w:rPr>
          <w:rStyle w:val="AERbody"/>
        </w:rPr>
        <w:t xml:space="preserve">summarises the models used by ActewAGL, their outputs and the weighting given by ActewAGL to each </w:t>
      </w:r>
      <w:r w:rsidR="00074FBA">
        <w:rPr>
          <w:rStyle w:val="AERbody"/>
        </w:rPr>
        <w:t xml:space="preserve">of the models </w:t>
      </w:r>
      <w:r w:rsidR="004106A7">
        <w:rPr>
          <w:rStyle w:val="AERbody"/>
        </w:rPr>
        <w:t>in deriving its proposed</w:t>
      </w:r>
      <w:r w:rsidR="00C44BD2">
        <w:rPr>
          <w:rStyle w:val="AERbody"/>
        </w:rPr>
        <w:t xml:space="preserve"> return on equity of 10.71 per cent.</w:t>
      </w:r>
    </w:p>
    <w:p w:rsidR="00071B86" w:rsidRDefault="00071B86" w:rsidP="007D0903">
      <w:pPr>
        <w:pStyle w:val="Caption"/>
      </w:pPr>
      <w:bookmarkStart w:id="115" w:name="_Ref390930499"/>
      <w:r>
        <w:t xml:space="preserve">Table </w:t>
      </w:r>
      <w:r w:rsidR="00203B35">
        <w:fldChar w:fldCharType="begin"/>
      </w:r>
      <w:r w:rsidR="00203B35">
        <w:instrText xml:space="preserve"> SEQ Table \* ARABIC </w:instrText>
      </w:r>
      <w:r w:rsidR="00203B35">
        <w:fldChar w:fldCharType="separate"/>
      </w:r>
      <w:r w:rsidR="00DD297F">
        <w:rPr>
          <w:noProof/>
        </w:rPr>
        <w:t>9</w:t>
      </w:r>
      <w:r w:rsidR="00203B35">
        <w:rPr>
          <w:noProof/>
        </w:rPr>
        <w:fldChar w:fldCharType="end"/>
      </w:r>
      <w:bookmarkEnd w:id="115"/>
      <w:r>
        <w:tab/>
      </w:r>
      <w:r w:rsidR="007C1250" w:rsidRPr="007D0903">
        <w:rPr>
          <w:rStyle w:val="AERtexthighlight"/>
          <w:shd w:val="clear" w:color="auto" w:fill="auto"/>
        </w:rPr>
        <w:t>ActewAGL's</w:t>
      </w:r>
      <w:r w:rsidRPr="007D0903">
        <w:rPr>
          <w:rStyle w:val="AERtexthighlight"/>
          <w:shd w:val="clear" w:color="auto" w:fill="auto"/>
        </w:rPr>
        <w:t xml:space="preserve"> proposed</w:t>
      </w:r>
      <w:r w:rsidRPr="00EC5E1E">
        <w:t xml:space="preserve"> return on equity</w:t>
      </w:r>
    </w:p>
    <w:tbl>
      <w:tblPr>
        <w:tblStyle w:val="AERtable-text"/>
        <w:tblW w:w="0" w:type="auto"/>
        <w:tblLook w:val="04A0" w:firstRow="1" w:lastRow="0" w:firstColumn="1" w:lastColumn="0" w:noHBand="0" w:noVBand="1"/>
      </w:tblPr>
      <w:tblGrid>
        <w:gridCol w:w="2093"/>
        <w:gridCol w:w="3260"/>
        <w:gridCol w:w="3260"/>
      </w:tblGrid>
      <w:tr w:rsidR="00C44BD2" w:rsidRPr="00EC5E1E" w:rsidTr="00313566">
        <w:trPr>
          <w:cnfStyle w:val="100000000000" w:firstRow="1" w:lastRow="0" w:firstColumn="0" w:lastColumn="0" w:oddVBand="0" w:evenVBand="0" w:oddHBand="0" w:evenHBand="0" w:firstRowFirstColumn="0" w:firstRowLastColumn="0" w:lastRowFirstColumn="0" w:lastRowLastColumn="0"/>
        </w:trPr>
        <w:tc>
          <w:tcPr>
            <w:tcW w:w="2093" w:type="dxa"/>
          </w:tcPr>
          <w:p w:rsidR="00C44BD2" w:rsidRPr="00EC5E1E" w:rsidRDefault="00C44BD2" w:rsidP="00EC5E1E"/>
        </w:tc>
        <w:tc>
          <w:tcPr>
            <w:tcW w:w="3260" w:type="dxa"/>
          </w:tcPr>
          <w:p w:rsidR="00C44BD2" w:rsidRPr="00EC5E1E" w:rsidRDefault="00C44BD2" w:rsidP="007B10B4">
            <w:pPr>
              <w:pStyle w:val="AERtabletextright"/>
            </w:pPr>
            <w:r>
              <w:t>Return on equity (</w:t>
            </w:r>
            <w:r w:rsidR="00A50D2D">
              <w:t>p</w:t>
            </w:r>
            <w:r>
              <w:t>er cent)</w:t>
            </w:r>
          </w:p>
        </w:tc>
        <w:tc>
          <w:tcPr>
            <w:tcW w:w="3260" w:type="dxa"/>
          </w:tcPr>
          <w:p w:rsidR="00C44BD2" w:rsidRDefault="00C44BD2" w:rsidP="007B10B4">
            <w:pPr>
              <w:pStyle w:val="AERtabletextright"/>
            </w:pPr>
            <w:r>
              <w:t>Weighting</w:t>
            </w:r>
          </w:p>
        </w:tc>
      </w:tr>
      <w:tr w:rsidR="00C44BD2" w:rsidRPr="00EC5E1E" w:rsidTr="00313566">
        <w:tc>
          <w:tcPr>
            <w:tcW w:w="2093" w:type="dxa"/>
          </w:tcPr>
          <w:p w:rsidR="00C44BD2" w:rsidRPr="0020740F" w:rsidRDefault="00324305" w:rsidP="0020740F">
            <w:pPr>
              <w:pStyle w:val="AERtabletextleft"/>
              <w:rPr>
                <w:rStyle w:val="AERbody"/>
                <w:sz w:val="16"/>
              </w:rPr>
            </w:pPr>
            <w:r w:rsidRPr="0020740F">
              <w:rPr>
                <w:rStyle w:val="AERbody"/>
                <w:sz w:val="16"/>
              </w:rPr>
              <w:t>Sharpe</w:t>
            </w:r>
            <w:r w:rsidRPr="0020740F">
              <w:rPr>
                <w:rStyle w:val="AERbody"/>
                <w:rFonts w:hint="eastAsia"/>
                <w:sz w:val="16"/>
              </w:rPr>
              <w:t>–</w:t>
            </w:r>
            <w:r w:rsidRPr="0020740F">
              <w:rPr>
                <w:rStyle w:val="AERbody"/>
                <w:sz w:val="16"/>
              </w:rPr>
              <w:t>Lintner CAPM</w:t>
            </w:r>
          </w:p>
        </w:tc>
        <w:tc>
          <w:tcPr>
            <w:tcW w:w="3260" w:type="dxa"/>
          </w:tcPr>
          <w:p w:rsidR="00C44BD2" w:rsidRPr="004B293A" w:rsidRDefault="00F07EA5" w:rsidP="00ED658E">
            <w:pPr>
              <w:pStyle w:val="AERtabletextright"/>
              <w:rPr>
                <w:rStyle w:val="AERtextbold"/>
                <w:b w:val="0"/>
              </w:rPr>
            </w:pPr>
            <w:r w:rsidRPr="00374892">
              <w:rPr>
                <w:rStyle w:val="AERtextbold"/>
                <w:b w:val="0"/>
              </w:rPr>
              <w:t>10.01</w:t>
            </w:r>
          </w:p>
        </w:tc>
        <w:tc>
          <w:tcPr>
            <w:tcW w:w="3260" w:type="dxa"/>
          </w:tcPr>
          <w:p w:rsidR="00C44BD2" w:rsidRPr="005134A5" w:rsidRDefault="00F07EA5">
            <w:pPr>
              <w:pStyle w:val="AERtabletextright"/>
              <w:rPr>
                <w:rStyle w:val="AERtextbold"/>
                <w:b w:val="0"/>
              </w:rPr>
            </w:pPr>
            <w:r w:rsidRPr="00374892">
              <w:rPr>
                <w:rStyle w:val="AERtextbold"/>
                <w:b w:val="0"/>
              </w:rPr>
              <w:t>12.5</w:t>
            </w:r>
          </w:p>
        </w:tc>
      </w:tr>
      <w:tr w:rsidR="00C44BD2" w:rsidRPr="00EC5E1E" w:rsidTr="00313566">
        <w:trPr>
          <w:cnfStyle w:val="000000010000" w:firstRow="0" w:lastRow="0" w:firstColumn="0" w:lastColumn="0" w:oddVBand="0" w:evenVBand="0" w:oddHBand="0" w:evenHBand="1" w:firstRowFirstColumn="0" w:firstRowLastColumn="0" w:lastRowFirstColumn="0" w:lastRowLastColumn="0"/>
        </w:trPr>
        <w:tc>
          <w:tcPr>
            <w:tcW w:w="2093" w:type="dxa"/>
          </w:tcPr>
          <w:p w:rsidR="00C44BD2" w:rsidRPr="00EC5E1E" w:rsidRDefault="00324305" w:rsidP="00EC5E1E">
            <w:r>
              <w:t>Black CAPM</w:t>
            </w:r>
          </w:p>
        </w:tc>
        <w:tc>
          <w:tcPr>
            <w:tcW w:w="3260" w:type="dxa"/>
          </w:tcPr>
          <w:p w:rsidR="00C44BD2" w:rsidRPr="00EC5E1E" w:rsidRDefault="00F07EA5" w:rsidP="009C797F">
            <w:pPr>
              <w:pStyle w:val="AERtabletextright"/>
            </w:pPr>
            <w:r>
              <w:t>10.62</w:t>
            </w:r>
          </w:p>
        </w:tc>
        <w:tc>
          <w:tcPr>
            <w:tcW w:w="3260" w:type="dxa"/>
          </w:tcPr>
          <w:p w:rsidR="00C44BD2" w:rsidRPr="00EC5E1E" w:rsidRDefault="00F07EA5" w:rsidP="009C797F">
            <w:pPr>
              <w:pStyle w:val="AERtabletextright"/>
            </w:pPr>
            <w:r>
              <w:t>25.0</w:t>
            </w:r>
          </w:p>
        </w:tc>
      </w:tr>
      <w:tr w:rsidR="00C44BD2" w:rsidRPr="00EC5E1E" w:rsidTr="00313566">
        <w:tc>
          <w:tcPr>
            <w:tcW w:w="2093" w:type="dxa"/>
          </w:tcPr>
          <w:p w:rsidR="00C44BD2" w:rsidRPr="00EC5E1E" w:rsidRDefault="00324305" w:rsidP="00EC5E1E">
            <w:r>
              <w:t>Fama–French model</w:t>
            </w:r>
          </w:p>
        </w:tc>
        <w:tc>
          <w:tcPr>
            <w:tcW w:w="3260" w:type="dxa"/>
          </w:tcPr>
          <w:p w:rsidR="00C44BD2" w:rsidRPr="00EC5E1E" w:rsidRDefault="00F07EA5" w:rsidP="009C797F">
            <w:pPr>
              <w:pStyle w:val="AERtabletextright"/>
            </w:pPr>
            <w:r>
              <w:t>10.87</w:t>
            </w:r>
          </w:p>
        </w:tc>
        <w:tc>
          <w:tcPr>
            <w:tcW w:w="3260" w:type="dxa"/>
          </w:tcPr>
          <w:p w:rsidR="00C44BD2" w:rsidRPr="00EC5E1E" w:rsidRDefault="00F07EA5" w:rsidP="009C797F">
            <w:pPr>
              <w:pStyle w:val="AERtabletextright"/>
            </w:pPr>
            <w:r>
              <w:t>37.5</w:t>
            </w:r>
          </w:p>
        </w:tc>
      </w:tr>
      <w:tr w:rsidR="00C44BD2" w:rsidRPr="00EC5E1E" w:rsidTr="00313566">
        <w:trPr>
          <w:cnfStyle w:val="000000010000" w:firstRow="0" w:lastRow="0" w:firstColumn="0" w:lastColumn="0" w:oddVBand="0" w:evenVBand="0" w:oddHBand="0" w:evenHBand="1" w:firstRowFirstColumn="0" w:firstRowLastColumn="0" w:lastRowFirstColumn="0" w:lastRowLastColumn="0"/>
        </w:trPr>
        <w:tc>
          <w:tcPr>
            <w:tcW w:w="2093" w:type="dxa"/>
          </w:tcPr>
          <w:p w:rsidR="00C44BD2" w:rsidRPr="00EC5E1E" w:rsidRDefault="00F07EA5" w:rsidP="00EC5E1E">
            <w:r>
              <w:t>Divide</w:t>
            </w:r>
            <w:r w:rsidR="0019686E">
              <w:t>n</w:t>
            </w:r>
            <w:r>
              <w:t>d discount model</w:t>
            </w:r>
          </w:p>
        </w:tc>
        <w:tc>
          <w:tcPr>
            <w:tcW w:w="3260" w:type="dxa"/>
          </w:tcPr>
          <w:p w:rsidR="00C44BD2" w:rsidRPr="00EC5E1E" w:rsidRDefault="00F07EA5" w:rsidP="009C797F">
            <w:pPr>
              <w:pStyle w:val="AERtabletextright"/>
            </w:pPr>
            <w:r>
              <w:t>10.92</w:t>
            </w:r>
          </w:p>
        </w:tc>
        <w:tc>
          <w:tcPr>
            <w:tcW w:w="3260" w:type="dxa"/>
          </w:tcPr>
          <w:p w:rsidR="00C44BD2" w:rsidRPr="00EC5E1E" w:rsidRDefault="00F07EA5" w:rsidP="009C797F">
            <w:pPr>
              <w:pStyle w:val="AERtabletextright"/>
            </w:pPr>
            <w:r>
              <w:t>25.0</w:t>
            </w:r>
          </w:p>
        </w:tc>
      </w:tr>
      <w:tr w:rsidR="00754945" w:rsidRPr="00EC5E1E" w:rsidTr="00313566">
        <w:tc>
          <w:tcPr>
            <w:tcW w:w="2093" w:type="dxa"/>
          </w:tcPr>
          <w:p w:rsidR="00754945" w:rsidRPr="004B293A" w:rsidRDefault="00754945" w:rsidP="00EC5E1E">
            <w:pPr>
              <w:spacing w:before="0"/>
              <w:rPr>
                <w:rStyle w:val="AERtextbold"/>
              </w:rPr>
            </w:pPr>
            <w:r w:rsidRPr="004B293A">
              <w:rPr>
                <w:rStyle w:val="AERtextbold"/>
              </w:rPr>
              <w:t>Weighted average</w:t>
            </w:r>
          </w:p>
        </w:tc>
        <w:tc>
          <w:tcPr>
            <w:tcW w:w="3260" w:type="dxa"/>
          </w:tcPr>
          <w:p w:rsidR="00754945" w:rsidRPr="004B293A" w:rsidRDefault="00754945" w:rsidP="009C797F">
            <w:pPr>
              <w:pStyle w:val="AERtabletextright"/>
              <w:rPr>
                <w:rStyle w:val="AERtextbold"/>
              </w:rPr>
            </w:pPr>
            <w:r w:rsidRPr="004B293A">
              <w:rPr>
                <w:rStyle w:val="AERtextbold"/>
              </w:rPr>
              <w:t>10.71</w:t>
            </w:r>
          </w:p>
        </w:tc>
        <w:tc>
          <w:tcPr>
            <w:tcW w:w="3260" w:type="dxa"/>
          </w:tcPr>
          <w:p w:rsidR="00754945" w:rsidRPr="004B293A" w:rsidRDefault="00754945" w:rsidP="009C797F">
            <w:pPr>
              <w:pStyle w:val="AERtabletextright"/>
              <w:rPr>
                <w:rStyle w:val="AERtextbold"/>
              </w:rPr>
            </w:pPr>
            <w:r w:rsidRPr="004B293A">
              <w:rPr>
                <w:rStyle w:val="AERtextbold"/>
              </w:rPr>
              <w:t>100</w:t>
            </w:r>
          </w:p>
        </w:tc>
      </w:tr>
    </w:tbl>
    <w:p w:rsidR="00EC5E1E" w:rsidRPr="00EC5E1E" w:rsidRDefault="007928A3" w:rsidP="007928A3">
      <w:pPr>
        <w:pStyle w:val="AERtablesource"/>
      </w:pPr>
      <w:r>
        <w:t xml:space="preserve">Source: </w:t>
      </w:r>
      <w:r w:rsidR="007C1250">
        <w:t>ActewAGL</w:t>
      </w:r>
      <w:r w:rsidR="00F07EA5">
        <w:t xml:space="preserve">, </w:t>
      </w:r>
      <w:r w:rsidR="00F07EA5" w:rsidRPr="0020740F">
        <w:rPr>
          <w:rStyle w:val="AERtextitalic"/>
        </w:rPr>
        <w:t>R</w:t>
      </w:r>
      <w:r w:rsidRPr="0020740F">
        <w:rPr>
          <w:rStyle w:val="AERtextitalic"/>
        </w:rPr>
        <w:t>egulatory proposal</w:t>
      </w:r>
      <w:r w:rsidR="00F07EA5">
        <w:t xml:space="preserve">, </w:t>
      </w:r>
      <w:r w:rsidR="00F02F8E">
        <w:t xml:space="preserve">June </w:t>
      </w:r>
      <w:r w:rsidR="00F07EA5">
        <w:t>2014, table 10.5.</w:t>
      </w:r>
    </w:p>
    <w:p w:rsidR="00EC5E1E" w:rsidRPr="00EC5E1E" w:rsidRDefault="00EC5E1E" w:rsidP="00E65832">
      <w:pPr>
        <w:pStyle w:val="Heading2"/>
      </w:pPr>
      <w:bookmarkStart w:id="116" w:name="_Toc391386429"/>
      <w:bookmarkStart w:id="117" w:name="_Toc391447532"/>
      <w:bookmarkStart w:id="118" w:name="_Toc393880991"/>
      <w:r w:rsidRPr="00EC5E1E">
        <w:t>Return on debt</w:t>
      </w:r>
      <w:bookmarkEnd w:id="116"/>
      <w:bookmarkEnd w:id="117"/>
      <w:bookmarkEnd w:id="118"/>
    </w:p>
    <w:p w:rsidR="00EC5E1E" w:rsidRPr="00EC5E1E" w:rsidRDefault="00EC5E1E" w:rsidP="00480BCB">
      <w:pPr>
        <w:pStyle w:val="HeadingBoldBlue"/>
      </w:pPr>
      <w:r w:rsidRPr="00EC5E1E">
        <w:t>Approach</w:t>
      </w:r>
    </w:p>
    <w:p w:rsidR="00733135" w:rsidRDefault="00EC5E1E" w:rsidP="00EC5E1E">
      <w:r w:rsidRPr="00EC5E1E">
        <w:t>To estimate the return on debt, our rate of return guideline proposes a ten year trailing average portfolio approach, with annual updates, after a period of transition. Our proposed transitional arrangement recognises the importance of transitioning from one benchmark approach to another benchmark approach. Under our proposed transitional arrangement, we would set 100 per cent of the allowed return on debt for the first year of the 2014</w:t>
      </w:r>
      <w:r w:rsidR="00E37FD3">
        <w:rPr>
          <w:rFonts w:cs="Gautami"/>
        </w:rPr>
        <w:t>–</w:t>
      </w:r>
      <w:r w:rsidRPr="00EC5E1E">
        <w:t>19 period based on current observed corporate bond yields</w:t>
      </w:r>
      <w:r w:rsidR="00B172C0">
        <w:t xml:space="preserve"> (as reflected in the data series of a third party data service provider)</w:t>
      </w:r>
      <w:r w:rsidRPr="00EC5E1E">
        <w:t>. For the second year</w:t>
      </w:r>
      <w:r w:rsidR="00E37FD3">
        <w:t xml:space="preserve"> (2015</w:t>
      </w:r>
      <w:r w:rsidR="00E37FD3">
        <w:rPr>
          <w:rFonts w:cs="Gautami"/>
        </w:rPr>
        <w:t>–</w:t>
      </w:r>
      <w:r w:rsidR="00E37FD3">
        <w:t>16)</w:t>
      </w:r>
      <w:r w:rsidRPr="00EC5E1E">
        <w:t xml:space="preserve">, we would set 90 per cent of the allowed return on debt based on then-current corporate yields. For the third year we would set 80 per cent of the allowed return based on then-current corporate yields. And so on. </w:t>
      </w:r>
    </w:p>
    <w:p w:rsidR="00EC5E1E" w:rsidRPr="00EC5E1E" w:rsidRDefault="00B172C0" w:rsidP="00EC5E1E">
      <w:r>
        <w:t xml:space="preserve">Over the ten year transition period, </w:t>
      </w:r>
      <w:r w:rsidR="00EC5E1E" w:rsidRPr="00EC5E1E">
        <w:t>progressively more of the allowed return on debt would be based on our proposed ten year trailing average portfolio approach. After the ten year transition period, 100 per cent of the allowed return on debt would be based on the ten year trailing average portfolio.</w:t>
      </w:r>
    </w:p>
    <w:p w:rsidR="00EC5E1E" w:rsidRPr="0020740F" w:rsidRDefault="00FC632A" w:rsidP="00EC5E1E">
      <w:pPr>
        <w:numPr>
          <w:ilvl w:val="0"/>
          <w:numId w:val="13"/>
        </w:numPr>
        <w:rPr>
          <w:rStyle w:val="AERbody"/>
        </w:rPr>
      </w:pPr>
      <w:r w:rsidRPr="0020740F">
        <w:rPr>
          <w:rStyle w:val="AERbody"/>
        </w:rPr>
        <w:t>ActewAGL</w:t>
      </w:r>
      <w:r w:rsidR="00EC5E1E" w:rsidRPr="0020740F">
        <w:rPr>
          <w:rStyle w:val="AERbody"/>
        </w:rPr>
        <w:t xml:space="preserve"> </w:t>
      </w:r>
      <w:r w:rsidR="00592EF3" w:rsidRPr="0020740F">
        <w:rPr>
          <w:rStyle w:val="AERbody"/>
        </w:rPr>
        <w:t xml:space="preserve">has proposed </w:t>
      </w:r>
      <w:r w:rsidRPr="0020740F">
        <w:rPr>
          <w:rStyle w:val="AERbody"/>
        </w:rPr>
        <w:t xml:space="preserve">an </w:t>
      </w:r>
      <w:r w:rsidR="00EC5E1E" w:rsidRPr="0020740F">
        <w:rPr>
          <w:rStyle w:val="AERbody"/>
        </w:rPr>
        <w:t>immediate transition</w:t>
      </w:r>
      <w:r w:rsidRPr="0020740F">
        <w:rPr>
          <w:rStyle w:val="AERbody"/>
        </w:rPr>
        <w:t xml:space="preserve"> to a ten year trailing average portfolio approach</w:t>
      </w:r>
      <w:r w:rsidR="00EC5E1E" w:rsidRPr="0020740F">
        <w:rPr>
          <w:rStyle w:val="AERbody"/>
        </w:rPr>
        <w:t xml:space="preserve">. </w:t>
      </w:r>
      <w:r w:rsidRPr="0020740F">
        <w:rPr>
          <w:rStyle w:val="AERbody"/>
        </w:rPr>
        <w:t xml:space="preserve">That is, ActewAGL has not adopted our proposed transitional arrangement. </w:t>
      </w:r>
      <w:r w:rsidR="00EC5E1E" w:rsidRPr="0020740F">
        <w:rPr>
          <w:rStyle w:val="AERbody"/>
        </w:rPr>
        <w:t xml:space="preserve">The implementation of transitional arrangements is therefore one of the key issues </w:t>
      </w:r>
      <w:r w:rsidR="00526085">
        <w:rPr>
          <w:rStyle w:val="AERbody"/>
        </w:rPr>
        <w:t xml:space="preserve">for this reset </w:t>
      </w:r>
      <w:r w:rsidR="00EC5E1E" w:rsidRPr="0020740F">
        <w:rPr>
          <w:rStyle w:val="AERbody"/>
        </w:rPr>
        <w:t xml:space="preserve">on return on debt. </w:t>
      </w:r>
    </w:p>
    <w:p w:rsidR="00EC5E1E" w:rsidRPr="00EC5E1E" w:rsidRDefault="00EC5E1E" w:rsidP="00480BCB">
      <w:pPr>
        <w:pStyle w:val="HeadingBoldBlue"/>
      </w:pPr>
      <w:r w:rsidRPr="00EC5E1E">
        <w:t>Implementation</w:t>
      </w:r>
    </w:p>
    <w:p w:rsidR="00EC5E1E" w:rsidRPr="00EC5E1E" w:rsidRDefault="00272DEA" w:rsidP="00EC5E1E">
      <w:pPr>
        <w:numPr>
          <w:ilvl w:val="0"/>
          <w:numId w:val="13"/>
        </w:numPr>
      </w:pPr>
      <w:r>
        <w:t>In our rate of return</w:t>
      </w:r>
      <w:r w:rsidR="00EC5E1E" w:rsidRPr="00EC5E1E">
        <w:t xml:space="preserve"> guideline we proposed to apply the published yields from an independent third party data service provider for estimating the prevailing return on debt for each service provider during the averaging period. </w:t>
      </w:r>
      <w:r w:rsidR="00B172C0">
        <w:t xml:space="preserve">The options currently available are published debt yield data series from Bloomberg, the Reserve Bank of Australia (RBA), or a combination of these series. </w:t>
      </w:r>
      <w:r w:rsidR="008F616B">
        <w:t>ActewAGL</w:t>
      </w:r>
      <w:r w:rsidR="00EC5E1E" w:rsidRPr="00EC5E1E">
        <w:t xml:space="preserve"> </w:t>
      </w:r>
      <w:r w:rsidR="00EC5E1E" w:rsidRPr="00EC5E1E">
        <w:lastRenderedPageBreak/>
        <w:t>adopted a benchmark 10 year term of debt and the</w:t>
      </w:r>
      <w:r w:rsidR="00E37FD3">
        <w:t>n</w:t>
      </w:r>
      <w:r w:rsidR="00EC5E1E" w:rsidRPr="00EC5E1E">
        <w:t xml:space="preserve"> </w:t>
      </w:r>
      <w:r w:rsidR="008F616B">
        <w:t xml:space="preserve">proposed to </w:t>
      </w:r>
      <w:r w:rsidR="00EC5E1E" w:rsidRPr="00EC5E1E">
        <w:t xml:space="preserve">use published yields from the RBA. On 7 April 2014, </w:t>
      </w:r>
      <w:r w:rsidR="00E65768">
        <w:t>we</w:t>
      </w:r>
      <w:r w:rsidR="00EC5E1E" w:rsidRPr="00EC5E1E">
        <w:t xml:space="preserve"> released an issues paper</w:t>
      </w:r>
      <w:r w:rsidR="00592EF3">
        <w:rPr>
          <w:rStyle w:val="FootnoteReference"/>
        </w:rPr>
        <w:footnoteReference w:id="47"/>
      </w:r>
      <w:r w:rsidR="00EC5E1E" w:rsidRPr="00EC5E1E">
        <w:t xml:space="preserve"> seeking submissions on which third party data service provider </w:t>
      </w:r>
      <w:r w:rsidR="00E37FD3">
        <w:t>distributors</w:t>
      </w:r>
      <w:r w:rsidR="00E37FD3" w:rsidRPr="00EC5E1E">
        <w:t xml:space="preserve"> </w:t>
      </w:r>
      <w:r w:rsidR="00EC5E1E" w:rsidRPr="00EC5E1E">
        <w:t>should use to estimate the return on debt. We will consider and respond to submissions on this separate issues paper in the context of our reset determinations.</w:t>
      </w:r>
      <w:r w:rsidR="00B172C0">
        <w:t xml:space="preserve"> Stakeholders should read the April issues paper for more details on this topic. </w:t>
      </w:r>
    </w:p>
    <w:p w:rsidR="00DB70CF" w:rsidRDefault="00EC5E1E" w:rsidP="007F6B8F">
      <w:r w:rsidRPr="00EC5E1E">
        <w:t xml:space="preserve">Our guideline also sets a benchmark credit rating of BBB+, based on the median credit rating for a sample of Australian utilities </w:t>
      </w:r>
      <w:r w:rsidR="00E37FD3">
        <w:t>from</w:t>
      </w:r>
      <w:r w:rsidRPr="00EC5E1E">
        <w:t xml:space="preserve"> 2002 to 2012. </w:t>
      </w:r>
      <w:r w:rsidR="00733135">
        <w:t>ActewAGL</w:t>
      </w:r>
      <w:r w:rsidR="00CC5685">
        <w:t xml:space="preserve"> has</w:t>
      </w:r>
      <w:r w:rsidRPr="00EC5E1E">
        <w:t xml:space="preserve"> departed from </w:t>
      </w:r>
      <w:r w:rsidR="00CC5685">
        <w:t>our</w:t>
      </w:r>
      <w:r w:rsidRPr="00EC5E1E">
        <w:t xml:space="preserve"> guideline in regard to the benchmark credit rating. </w:t>
      </w:r>
      <w:r w:rsidR="00733135">
        <w:t>It has</w:t>
      </w:r>
      <w:r w:rsidRPr="00EC5E1E">
        <w:t xml:space="preserve"> proposed to apply a benchmark credit rating of BBB </w:t>
      </w:r>
      <w:r w:rsidR="00733135">
        <w:t>instead of</w:t>
      </w:r>
      <w:r w:rsidRPr="00EC5E1E">
        <w:t xml:space="preserve"> BBB+. It is not clear what impact (if any) the proposed change in credit rating would </w:t>
      </w:r>
      <w:r w:rsidR="00425E6B" w:rsidRPr="00EC5E1E">
        <w:t>have</w:t>
      </w:r>
      <w:r w:rsidR="00D706DC">
        <w:t>,</w:t>
      </w:r>
      <w:r w:rsidRPr="00EC5E1E">
        <w:t xml:space="preserve"> given the two possible data series</w:t>
      </w:r>
      <w:r w:rsidR="004D2DAA">
        <w:t>'</w:t>
      </w:r>
      <w:r w:rsidRPr="00EC5E1E">
        <w:t xml:space="preserve"> providers (the RBA and Bloomberg) both publish broad BBB rated data series.</w:t>
      </w:r>
    </w:p>
    <w:p w:rsidR="00EC5E1E" w:rsidRPr="00EC5E1E" w:rsidRDefault="00EC5E1E" w:rsidP="00A64041">
      <w:pPr>
        <w:pStyle w:val="Heading2"/>
      </w:pPr>
      <w:bookmarkStart w:id="119" w:name="_Toc391386430"/>
      <w:bookmarkStart w:id="120" w:name="_Toc391447533"/>
      <w:bookmarkStart w:id="121" w:name="_Toc393880992"/>
      <w:r w:rsidRPr="00EC5E1E">
        <w:t>Imputation credits</w:t>
      </w:r>
      <w:bookmarkEnd w:id="119"/>
      <w:bookmarkEnd w:id="120"/>
      <w:bookmarkEnd w:id="121"/>
    </w:p>
    <w:p w:rsidR="00EC5E1E" w:rsidRPr="00EC5E1E" w:rsidRDefault="00EC5E1E" w:rsidP="00EC5E1E">
      <w:r w:rsidRPr="00EC5E1E">
        <w:t>Under the Australian taxation system, investors can receive an 'imputation credit' for income tax paid at the company level. For investors that meet certain eligibility criteria, this credit can be used to offset their tax liabilities. Imputation credits are</w:t>
      </w:r>
      <w:r w:rsidR="00E37FD3">
        <w:t xml:space="preserve"> </w:t>
      </w:r>
      <w:r w:rsidRPr="00EC5E1E">
        <w:t>a benefit to investors in addition to any cash dividend or capital gains from owning shares.</w:t>
      </w:r>
    </w:p>
    <w:p w:rsidR="00EC5E1E" w:rsidRPr="00EC5E1E" w:rsidRDefault="00EC5E1E" w:rsidP="00EC5E1E">
      <w:pPr>
        <w:rPr>
          <w:lang w:eastAsia="en-AU"/>
        </w:rPr>
      </w:pPr>
      <w:r w:rsidRPr="00EC5E1E">
        <w:t xml:space="preserve">The </w:t>
      </w:r>
      <w:r w:rsidR="0025716A">
        <w:t>rules</w:t>
      </w:r>
      <w:r w:rsidRPr="00EC5E1E">
        <w:t xml:space="preserve"> account for the value of imputation credits through an adjustment </w:t>
      </w:r>
      <w:r w:rsidR="005564E4">
        <w:t xml:space="preserve">to </w:t>
      </w:r>
      <w:r w:rsidRPr="00EC5E1E">
        <w:rPr>
          <w:lang w:eastAsia="en-AU"/>
        </w:rPr>
        <w:t xml:space="preserve">the company income tax building block allowance. </w:t>
      </w:r>
      <w:r w:rsidRPr="00EC5E1E">
        <w:t xml:space="preserve">The lower the value of imputation credits, the larger the revenue allowance for the </w:t>
      </w:r>
      <w:r w:rsidR="005564E4">
        <w:t>distributor</w:t>
      </w:r>
      <w:r w:rsidRPr="00EC5E1E">
        <w:t>. Our guideline proposes that</w:t>
      </w:r>
      <w:r w:rsidRPr="00EC5E1E">
        <w:rPr>
          <w:lang w:eastAsia="en-AU"/>
        </w:rPr>
        <w:t xml:space="preserve"> the value of imputation credits would be estimated as a market</w:t>
      </w:r>
      <w:r w:rsidRPr="00EC5E1E">
        <w:t>-</w:t>
      </w:r>
      <w:r w:rsidRPr="00EC5E1E">
        <w:rPr>
          <w:lang w:eastAsia="en-AU"/>
        </w:rPr>
        <w:t>wide parameter</w:t>
      </w:r>
      <w:r w:rsidRPr="00EC5E1E">
        <w:t>, rather than estimating this on an industry or business specific basis</w:t>
      </w:r>
      <w:r w:rsidR="002F123E">
        <w:rPr>
          <w:lang w:eastAsia="en-AU"/>
        </w:rPr>
        <w:t xml:space="preserve">. </w:t>
      </w:r>
      <w:r w:rsidR="002F123E">
        <w:t>Under our guideline</w:t>
      </w:r>
      <w:r w:rsidRPr="00EC5E1E">
        <w:rPr>
          <w:lang w:eastAsia="en-AU"/>
        </w:rPr>
        <w:t xml:space="preserve">, it would be determined as the product of: </w:t>
      </w:r>
    </w:p>
    <w:p w:rsidR="00EC5E1E" w:rsidRPr="00EC5E1E" w:rsidRDefault="00EC5E1E" w:rsidP="00863543">
      <w:pPr>
        <w:pStyle w:val="AERbulletlistfirststyle"/>
        <w:rPr>
          <w:lang w:eastAsia="en-AU"/>
        </w:rPr>
      </w:pPr>
      <w:r w:rsidRPr="00EC5E1E">
        <w:rPr>
          <w:lang w:eastAsia="en-AU"/>
        </w:rPr>
        <w:t>a payout ratio</w:t>
      </w:r>
      <w:r w:rsidRPr="00EC5E1E">
        <w:t>, which represents the proportion of imputation credits generated by the benchmark entity that are distributed to investors</w:t>
      </w:r>
      <w:r w:rsidRPr="00EC5E1E">
        <w:rPr>
          <w:lang w:eastAsia="en-AU"/>
        </w:rPr>
        <w:t xml:space="preserve"> </w:t>
      </w:r>
    </w:p>
    <w:p w:rsidR="00EC5E1E" w:rsidRPr="00EC5E1E" w:rsidRDefault="00EC5E1E" w:rsidP="00863543">
      <w:pPr>
        <w:pStyle w:val="AERbulletlistfirststyle"/>
        <w:rPr>
          <w:lang w:eastAsia="en-AU"/>
        </w:rPr>
      </w:pPr>
      <w:r w:rsidRPr="00EC5E1E">
        <w:rPr>
          <w:lang w:eastAsia="en-AU"/>
        </w:rPr>
        <w:t>a utilisation rate</w:t>
      </w:r>
      <w:r w:rsidRPr="00EC5E1E">
        <w:t>, which is the extent to which investors can use the imputation credits they receive to reduce their tax or to get a refund</w:t>
      </w:r>
      <w:r w:rsidRPr="00EC5E1E">
        <w:rPr>
          <w:lang w:eastAsia="en-AU"/>
        </w:rPr>
        <w:t xml:space="preserve">. </w:t>
      </w:r>
    </w:p>
    <w:p w:rsidR="00EC5E1E" w:rsidRPr="00EC5E1E" w:rsidRDefault="00EC5E1E" w:rsidP="00EC5E1E">
      <w:r w:rsidRPr="00EC5E1E">
        <w:t>The payout ratio would be estimated using the cumulative payout ratio approach. This approach uses ATO tax statistics to calculate the proportion of imputation credits generated (via tax payments) that have been distributed by companies since the start of the imput</w:t>
      </w:r>
      <w:r w:rsidR="00114ABE">
        <w:t>ation system. At the time of our</w:t>
      </w:r>
      <w:r w:rsidRPr="00EC5E1E">
        <w:t xml:space="preserve"> guideline's publication, this approach produced an estimate of 0.7 for the payout ratio.</w:t>
      </w:r>
    </w:p>
    <w:p w:rsidR="00EC5E1E" w:rsidRPr="00EC5E1E" w:rsidRDefault="00EC5E1E" w:rsidP="00EC5E1E">
      <w:r w:rsidRPr="00EC5E1E">
        <w:t xml:space="preserve">The utilisation rate would be estimated using the body of relevant evidence with regards to its strengths and limitations, checked against a range of supporting evidence. </w:t>
      </w:r>
      <w:r w:rsidR="00AA4E4C">
        <w:t>In the guideline</w:t>
      </w:r>
      <w:r w:rsidR="00E24C19">
        <w:t xml:space="preserve">, </w:t>
      </w:r>
      <w:r w:rsidRPr="00EC5E1E">
        <w:t>our assessment of this evidence produced an estimate of 0.7 for the utilisation rate.</w:t>
      </w:r>
      <w:r w:rsidR="0092342C">
        <w:t xml:space="preserve"> Our </w:t>
      </w:r>
      <w:r w:rsidRPr="00EC5E1E">
        <w:t>guideline therefore proposed</w:t>
      </w:r>
      <w:r w:rsidRPr="00EC5E1E">
        <w:rPr>
          <w:lang w:eastAsia="en-AU"/>
        </w:rPr>
        <w:t xml:space="preserve"> an estimate of 0.5 for the value of imputation credits, based on a payout ratio of 0.7 and a utilisation rate of 0.7. </w:t>
      </w:r>
    </w:p>
    <w:p w:rsidR="00EC5E1E" w:rsidRDefault="00B04459" w:rsidP="00EC5E1E">
      <w:r w:rsidRPr="002225A9">
        <w:rPr>
          <w:rStyle w:val="AERbody"/>
        </w:rPr>
        <w:t>ActewAGL</w:t>
      </w:r>
      <w:r w:rsidR="0092342C" w:rsidRPr="002225A9">
        <w:rPr>
          <w:rStyle w:val="AERbody"/>
        </w:rPr>
        <w:t xml:space="preserve"> has</w:t>
      </w:r>
      <w:r w:rsidR="00EC5E1E" w:rsidRPr="002225A9">
        <w:rPr>
          <w:rStyle w:val="AERbody"/>
        </w:rPr>
        <w:t xml:space="preserve"> support</w:t>
      </w:r>
      <w:r w:rsidR="0092342C" w:rsidRPr="002225A9">
        <w:rPr>
          <w:rStyle w:val="AERbody"/>
        </w:rPr>
        <w:t>ed</w:t>
      </w:r>
      <w:r w:rsidR="00EC5E1E" w:rsidRPr="002225A9">
        <w:rPr>
          <w:rStyle w:val="AERbody"/>
        </w:rPr>
        <w:t xml:space="preserve"> a </w:t>
      </w:r>
      <w:r w:rsidR="0092342C" w:rsidRPr="002225A9">
        <w:rPr>
          <w:rStyle w:val="AERbody"/>
        </w:rPr>
        <w:t xml:space="preserve">payout ratio of 0.7, but </w:t>
      </w:r>
      <w:r w:rsidR="00CB2DA5" w:rsidRPr="002225A9">
        <w:rPr>
          <w:rStyle w:val="AERbody"/>
        </w:rPr>
        <w:t>it has</w:t>
      </w:r>
      <w:r w:rsidR="00EC5E1E" w:rsidRPr="002225A9">
        <w:rPr>
          <w:rStyle w:val="AERbody"/>
        </w:rPr>
        <w:t xml:space="preserve"> not support</w:t>
      </w:r>
      <w:r w:rsidR="0092342C" w:rsidRPr="002225A9">
        <w:rPr>
          <w:rStyle w:val="AERbody"/>
        </w:rPr>
        <w:t>ed</w:t>
      </w:r>
      <w:r w:rsidR="00EC5E1E" w:rsidRPr="002225A9">
        <w:rPr>
          <w:rStyle w:val="AERbody"/>
        </w:rPr>
        <w:t xml:space="preserve"> our approach to interpreting and estimating the utilisation rate.</w:t>
      </w:r>
      <w:r w:rsidR="00040DDE">
        <w:rPr>
          <w:rStyle w:val="FootnoteReference"/>
        </w:rPr>
        <w:footnoteReference w:id="48"/>
      </w:r>
      <w:r w:rsidR="00EC5E1E" w:rsidRPr="002225A9">
        <w:rPr>
          <w:rStyle w:val="AERbody"/>
        </w:rPr>
        <w:t xml:space="preserve"> </w:t>
      </w:r>
      <w:r w:rsidR="00CB2DA5" w:rsidRPr="002225A9">
        <w:rPr>
          <w:rStyle w:val="AERbody"/>
        </w:rPr>
        <w:t>It proposed instead that the utilisation rate should be 0.35. Combining a payout ratio of 0.7 with a utilisation rate of 0.35, gives ActewAGL's proposed imputation credit rate of 0.25.</w:t>
      </w:r>
      <w:r w:rsidR="007D59BE">
        <w:rPr>
          <w:rStyle w:val="FootnoteReference"/>
        </w:rPr>
        <w:footnoteReference w:id="49"/>
      </w:r>
    </w:p>
    <w:p w:rsidR="00724E88" w:rsidRDefault="00724E88" w:rsidP="0059339E">
      <w:pPr>
        <w:pStyle w:val="Heading1"/>
      </w:pPr>
      <w:bookmarkStart w:id="122" w:name="_Toc393880993"/>
      <w:r>
        <w:lastRenderedPageBreak/>
        <w:t>Interrelationships</w:t>
      </w:r>
      <w:r w:rsidR="00BC661A">
        <w:t xml:space="preserve"> between components of our decision</w:t>
      </w:r>
      <w:bookmarkEnd w:id="122"/>
    </w:p>
    <w:p w:rsidR="000464A0" w:rsidRDefault="000464A0" w:rsidP="00BC661A">
      <w:r>
        <w:t xml:space="preserve">In considering our overall </w:t>
      </w:r>
      <w:r w:rsidR="00935AC9">
        <w:t xml:space="preserve">decision on </w:t>
      </w:r>
      <w:r w:rsidR="007C1250">
        <w:t>ActewAGL's</w:t>
      </w:r>
      <w:r w:rsidR="00935AC9">
        <w:t xml:space="preserve"> regulatory proposal,</w:t>
      </w:r>
      <w:r>
        <w:t xml:space="preserve"> we must take account of the interrelationships between </w:t>
      </w:r>
      <w:r w:rsidR="00C06CE5">
        <w:t xml:space="preserve">the separate </w:t>
      </w:r>
      <w:r>
        <w:t xml:space="preserve">components such as capex, opex and the rate of return. In our decision, we must describe those interrelationships and how we have accounted for them. We consider your views on these interrelationships </w:t>
      </w:r>
      <w:r w:rsidR="00AC5E51">
        <w:t>will be valuable to</w:t>
      </w:r>
      <w:r>
        <w:t xml:space="preserve"> our assessment of </w:t>
      </w:r>
      <w:r w:rsidR="007C1250">
        <w:t>ActewAGL's</w:t>
      </w:r>
      <w:r>
        <w:t xml:space="preserve"> regulatory proposal. </w:t>
      </w:r>
    </w:p>
    <w:p w:rsidR="000464A0" w:rsidRDefault="00203B35" w:rsidP="00BC661A">
      <w:r>
        <w:pict>
          <v:shape id="_x0000_s1062" type="#_x0000_t202" style="position:absolute;left:0;text-align:left;margin-left:-1.1pt;margin-top:46.05pt;width:453.05pt;height:67.6pt;z-index:25165772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LKAIAAE4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5DBBJ3pn6EZl1ZhhwXEgUWuN+UNLhcFfUfz+A&#10;45TIDxq7sxxPp3EbkjKdzQtU3KVld2kBzRCqooGSQdyEtEGJN3uDXdyKxO9LJqeUcWgT7acFi1tx&#10;qSevl9/A+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oBNLKAIAAE4EAAAOAAAAAAAAAAAAAAAAAC4CAABkcnMvZTJvRG9j&#10;LnhtbFBLAQItABQABgAIAAAAIQD9LzLW2wAAAAUBAAAPAAAAAAAAAAAAAAAAAIIEAABkcnMvZG93&#10;bnJldi54bWxQSwUGAAAAAAQABADzAAAAigUAAAAA&#10;" fillcolor="#ddd">
            <v:textbox style="mso-next-textbox:#_x0000_s1062">
              <w:txbxContent>
                <w:p w:rsidR="00954F42" w:rsidRPr="008F2BDE" w:rsidRDefault="00954F42" w:rsidP="00FD0A25">
                  <w:pPr>
                    <w:rPr>
                      <w:rStyle w:val="AERtextbold"/>
                    </w:rPr>
                  </w:pPr>
                  <w:r w:rsidRPr="008F2BDE">
                    <w:rPr>
                      <w:rStyle w:val="AERtextbold"/>
                    </w:rPr>
                    <w:t>Question</w:t>
                  </w:r>
                </w:p>
                <w:p w:rsidR="00954F42" w:rsidRDefault="00954F42" w:rsidP="0025716A">
                  <w:pPr>
                    <w:pStyle w:val="AERnumberedlistfirststyle"/>
                    <w:numPr>
                      <w:ilvl w:val="0"/>
                      <w:numId w:val="0"/>
                    </w:numPr>
                    <w:ind w:left="499" w:hanging="357"/>
                  </w:pPr>
                  <w:r>
                    <w:t>8. How should we balance the interrelationships between building block components when making our decision on ActewAGL's regulatory proposal?</w:t>
                  </w:r>
                </w:p>
                <w:p w:rsidR="00954F42" w:rsidRDefault="00954F42" w:rsidP="00FD0A25">
                  <w:pPr>
                    <w:pStyle w:val="AERnumberedlistfirststyle"/>
                    <w:numPr>
                      <w:ilvl w:val="0"/>
                      <w:numId w:val="0"/>
                    </w:numPr>
                  </w:pPr>
                </w:p>
              </w:txbxContent>
            </v:textbox>
          </v:shape>
        </w:pict>
      </w:r>
      <w:r w:rsidR="000464A0">
        <w:t xml:space="preserve">To assist you in providing us with submissions on the interrelationships inherent in </w:t>
      </w:r>
      <w:r w:rsidR="007C1250">
        <w:t>ActewAGL's</w:t>
      </w:r>
      <w:r w:rsidR="00FD0A25">
        <w:t xml:space="preserve"> regulatory proposal, </w:t>
      </w:r>
      <w:r w:rsidR="000464A0">
        <w:t xml:space="preserve">this attachment describes the building block model and outlines some of the interrelationships we </w:t>
      </w:r>
      <w:r w:rsidR="00AC5E51">
        <w:t xml:space="preserve">are likely to </w:t>
      </w:r>
      <w:r w:rsidR="000464A0">
        <w:t>take into account.</w:t>
      </w:r>
    </w:p>
    <w:p w:rsidR="00724E88" w:rsidRPr="00EC5E1E" w:rsidRDefault="00724E88" w:rsidP="00EC5E1E"/>
    <w:p w:rsidR="00935AC9" w:rsidRDefault="00935AC9" w:rsidP="00EC5E1E"/>
    <w:p w:rsidR="00935AC9" w:rsidRDefault="00935AC9" w:rsidP="00EC5E1E"/>
    <w:p w:rsidR="00935AC9" w:rsidRDefault="007108A2" w:rsidP="007108A2">
      <w:pPr>
        <w:pStyle w:val="Heading2"/>
      </w:pPr>
      <w:bookmarkStart w:id="123" w:name="_Toc393880994"/>
      <w:r>
        <w:t>The building block model</w:t>
      </w:r>
      <w:bookmarkEnd w:id="123"/>
    </w:p>
    <w:p w:rsidR="00935AC9" w:rsidRDefault="004307DB" w:rsidP="00EC5E1E">
      <w:r>
        <w:t xml:space="preserve">If we do not accept </w:t>
      </w:r>
      <w:r w:rsidR="007C1250">
        <w:t xml:space="preserve">ActewAGL's </w:t>
      </w:r>
      <w:r>
        <w:t xml:space="preserve">revenue proposal, we must ourselves determine the efficient cost of providing distribution services, subject to the requirements of the </w:t>
      </w:r>
      <w:r w:rsidR="0025716A">
        <w:t>rules</w:t>
      </w:r>
      <w:r>
        <w:t xml:space="preserve">. </w:t>
      </w:r>
      <w:r w:rsidR="0028078E">
        <w:t>To do this</w:t>
      </w:r>
      <w:r w:rsidR="00407EE9">
        <w:t>, we assess the total revenue required to provide distribution services for each year of the period.</w:t>
      </w:r>
      <w:r w:rsidR="00407EE9">
        <w:rPr>
          <w:rStyle w:val="FootnoteReference"/>
        </w:rPr>
        <w:footnoteReference w:id="50"/>
      </w:r>
      <w:r w:rsidR="00407EE9">
        <w:t xml:space="preserve"> In accordance with the </w:t>
      </w:r>
      <w:r w:rsidR="0025716A">
        <w:t>rules</w:t>
      </w:r>
      <w:r w:rsidR="00407EE9">
        <w:t xml:space="preserve">, we use </w:t>
      </w:r>
      <w:r w:rsidR="00F86FDF">
        <w:t xml:space="preserve">a </w:t>
      </w:r>
      <w:r w:rsidR="00407EE9">
        <w:t xml:space="preserve">building block </w:t>
      </w:r>
      <w:r w:rsidR="00F86FDF">
        <w:t xml:space="preserve">approach </w:t>
      </w:r>
      <w:r w:rsidR="00407EE9">
        <w:t>to determine the annual revenue requirement.</w:t>
      </w:r>
      <w:r w:rsidR="005066EE">
        <w:t xml:space="preserve"> The </w:t>
      </w:r>
      <w:r w:rsidR="00F86FDF">
        <w:t xml:space="preserve">key </w:t>
      </w:r>
      <w:r w:rsidR="005066EE">
        <w:t>cost elements include:</w:t>
      </w:r>
    </w:p>
    <w:p w:rsidR="005066EE" w:rsidRDefault="005066EE" w:rsidP="005066EE">
      <w:pPr>
        <w:pStyle w:val="AERbulletlistfirststyle"/>
      </w:pPr>
      <w:r>
        <w:t>a return on the regulatory asset base (return on capital)</w:t>
      </w:r>
    </w:p>
    <w:p w:rsidR="005066EE" w:rsidRDefault="005066EE" w:rsidP="005066EE">
      <w:pPr>
        <w:pStyle w:val="AERbulletlistfirststyle"/>
      </w:pPr>
      <w:r>
        <w:t>depreciation of the regulatory asset base (return of capital)</w:t>
      </w:r>
    </w:p>
    <w:p w:rsidR="005066EE" w:rsidRDefault="005066EE" w:rsidP="005066EE">
      <w:pPr>
        <w:pStyle w:val="AERbulletlistfirststyle"/>
      </w:pPr>
      <w:r>
        <w:t>opex</w:t>
      </w:r>
    </w:p>
    <w:p w:rsidR="005066EE" w:rsidRDefault="005066EE" w:rsidP="005066EE">
      <w:pPr>
        <w:pStyle w:val="AERbulletlistfirststyle"/>
      </w:pPr>
      <w:r>
        <w:t>increments or decrements resulting from the efficiency benefit sharing scheme (EBSS)</w:t>
      </w:r>
    </w:p>
    <w:p w:rsidR="005066EE" w:rsidRDefault="005066EE" w:rsidP="005066EE">
      <w:pPr>
        <w:pStyle w:val="AERbulletlistfirststyle"/>
      </w:pPr>
      <w:r>
        <w:t>the estimated cost of corporate income tax.</w:t>
      </w:r>
    </w:p>
    <w:p w:rsidR="00F36E3F" w:rsidRDefault="00F36E3F" w:rsidP="00EC5E1E">
      <w:r>
        <w:t>Our assessment of</w:t>
      </w:r>
      <w:r w:rsidR="00763DCE">
        <w:t xml:space="preserve"> capex </w:t>
      </w:r>
      <w:r>
        <w:t xml:space="preserve">directly affects the size of a distributor's asset base and therefore the </w:t>
      </w:r>
      <w:r w:rsidR="00763DCE">
        <w:t xml:space="preserve">return on capital and </w:t>
      </w:r>
      <w:r>
        <w:t>return of capital building blocks</w:t>
      </w:r>
      <w:r w:rsidR="00763DCE">
        <w:t xml:space="preserve">. </w:t>
      </w:r>
    </w:p>
    <w:p w:rsidR="00935AC9" w:rsidRDefault="00C61CDD" w:rsidP="00EC5E1E">
      <w:r>
        <w:fldChar w:fldCharType="begin"/>
      </w:r>
      <w:r>
        <w:instrText xml:space="preserve"> REF _Ref393694015 \h </w:instrText>
      </w:r>
      <w:r>
        <w:fldChar w:fldCharType="separate"/>
      </w:r>
      <w:r w:rsidR="00DD297F">
        <w:t xml:space="preserve">Figure </w:t>
      </w:r>
      <w:r w:rsidR="00DD297F">
        <w:rPr>
          <w:noProof/>
        </w:rPr>
        <w:t>11</w:t>
      </w:r>
      <w:r>
        <w:fldChar w:fldCharType="end"/>
      </w:r>
      <w:r>
        <w:t xml:space="preserve"> </w:t>
      </w:r>
      <w:r w:rsidR="005C4E27">
        <w:t xml:space="preserve">below </w:t>
      </w:r>
      <w:r w:rsidR="004307DB">
        <w:t xml:space="preserve">illustrates </w:t>
      </w:r>
      <w:r w:rsidR="005C4E27">
        <w:t xml:space="preserve">the building block </w:t>
      </w:r>
      <w:r w:rsidR="00F86FDF">
        <w:t>approach</w:t>
      </w:r>
      <w:r w:rsidR="005C4E27">
        <w:t xml:space="preserve">. </w:t>
      </w:r>
    </w:p>
    <w:p w:rsidR="00935AC9" w:rsidRDefault="00935AC9" w:rsidP="00EC5E1E"/>
    <w:p w:rsidR="007C1250" w:rsidRDefault="007C1250" w:rsidP="00EC5E1E"/>
    <w:p w:rsidR="007C1250" w:rsidRDefault="007C1250" w:rsidP="00EC5E1E"/>
    <w:p w:rsidR="007C1250" w:rsidRDefault="007C1250" w:rsidP="00EC5E1E"/>
    <w:p w:rsidR="007C1250" w:rsidRPr="007C1250" w:rsidRDefault="007C1250" w:rsidP="007C1250">
      <w:pPr>
        <w:pStyle w:val="AERbodytext"/>
      </w:pPr>
    </w:p>
    <w:p w:rsidR="00935AC9" w:rsidRDefault="00203B35" w:rsidP="00935AC9">
      <w:r>
        <w:rPr>
          <w:noProof/>
        </w:rPr>
        <w:pict>
          <v:shape id="_x0000_s1096" type="#_x0000_t202" style="position:absolute;left:0;text-align:left;margin-left:.75pt;margin-top:-35.4pt;width:429.85pt;height:36pt;z-index:251660800;mso-position-horizontal-relative:text;mso-position-vertical-relative:text" stroked="f">
            <v:textbox inset="0,0,0,0">
              <w:txbxContent>
                <w:p w:rsidR="00954F42" w:rsidRPr="008402FD" w:rsidRDefault="00954F42" w:rsidP="0039456F">
                  <w:pPr>
                    <w:pStyle w:val="Caption"/>
                    <w:rPr>
                      <w:rFonts w:eastAsia="Calibri"/>
                      <w:szCs w:val="20"/>
                    </w:rPr>
                  </w:pPr>
                  <w:bookmarkStart w:id="124" w:name="_Ref393694015"/>
                  <w:r>
                    <w:t xml:space="preserve">Figure </w:t>
                  </w:r>
                  <w:r w:rsidR="00203B35">
                    <w:fldChar w:fldCharType="begin"/>
                  </w:r>
                  <w:r w:rsidR="00203B35">
                    <w:instrText xml:space="preserve"> SEQ Figure \* ARABIC </w:instrText>
                  </w:r>
                  <w:r w:rsidR="00203B35">
                    <w:fldChar w:fldCharType="separate"/>
                  </w:r>
                  <w:r w:rsidR="00DD297F">
                    <w:rPr>
                      <w:noProof/>
                    </w:rPr>
                    <w:t>11</w:t>
                  </w:r>
                  <w:r w:rsidR="00203B35">
                    <w:rPr>
                      <w:noProof/>
                    </w:rPr>
                    <w:fldChar w:fldCharType="end"/>
                  </w:r>
                  <w:bookmarkEnd w:id="124"/>
                  <w:r>
                    <w:tab/>
                    <w:t>The building block approach to determining total revenue</w:t>
                  </w:r>
                </w:p>
              </w:txbxContent>
            </v:textbox>
          </v:shape>
        </w:pict>
      </w:r>
      <w:r>
        <w:rPr>
          <w:rStyle w:val="AERbody"/>
        </w:rPr>
        <w:pict>
          <v:group id="_x0000_s1063" editas="canvas" alt="Image outlining the bulding block model. The table's contents were described in the previous paragraph." style="position:absolute;margin-left:0;margin-top:0;width:429.85pt;height:267.45pt;z-index:251654656;mso-position-horizontal-relative:char;mso-position-vertical-relative:line" coordorigin="1392,2921" coordsize="8597,534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1392;top:2921;width:8597;height:5349" o:preferrelative="f">
              <v:fill o:detectmouseclick="t"/>
              <v:path o:extrusionok="t" o:connecttype="none"/>
              <o:lock v:ext="edit" text="t"/>
            </v:shape>
            <v:shape id="_x0000_s1065" type="#_x0000_t202" style="position:absolute;left:3741;top:2929;width:3890;height:998" fillcolor="#c00000" strokecolor="#c00000" strokeweight="0">
              <v:fill opacity=".5" color2="fill lighten(225)" focusposition=".5,.5" focussize="" method="linear sigma" focus="100%" type="gradientRadial"/>
              <v:shadow on="t" type="perspective" color="#622423" offset="1pt" offset2="-3pt"/>
              <v:textbox style="mso-next-textbox:#_x0000_s1065">
                <w:txbxContent>
                  <w:p w:rsidR="00954F42" w:rsidRPr="001C2CD9" w:rsidRDefault="00954F42" w:rsidP="00935AC9">
                    <w:pPr>
                      <w:rPr>
                        <w:rFonts w:ascii="Calibri" w:hAnsi="Calibri"/>
                        <w:b/>
                        <w:color w:val="FFFFFF"/>
                        <w:sz w:val="22"/>
                        <w:szCs w:val="22"/>
                      </w:rPr>
                    </w:pPr>
                    <w:r w:rsidRPr="00E4098A">
                      <w:rPr>
                        <w:rFonts w:ascii="Calibri" w:hAnsi="Calibri"/>
                        <w:color w:val="FFFFFF"/>
                        <w:sz w:val="22"/>
                        <w:szCs w:val="22"/>
                      </w:rPr>
                      <w:t xml:space="preserve">Return on capital </w:t>
                    </w:r>
                    <w:r>
                      <w:rPr>
                        <w:rFonts w:ascii="Calibri" w:hAnsi="Calibri"/>
                        <w:color w:val="FFFFFF"/>
                        <w:sz w:val="22"/>
                        <w:szCs w:val="22"/>
                      </w:rPr>
                      <w:t xml:space="preserve">(forecast RAB </w:t>
                    </w:r>
                    <w:r w:rsidRPr="00E4098A">
                      <w:rPr>
                        <w:rFonts w:ascii="Calibri" w:hAnsi="Calibri"/>
                        <w:color w:val="FFFFFF"/>
                        <w:sz w:val="22"/>
                        <w:szCs w:val="22"/>
                      </w:rPr>
                      <w:t>× cost of capital)</w:t>
                    </w:r>
                  </w:p>
                </w:txbxContent>
              </v:textbox>
            </v:shape>
            <v:shape id="_x0000_s1066" type="#_x0000_t202" style="position:absolute;left:3741;top:4014;width:3890;height:998" fillcolor="#c0504d" strokecolor="#d99594" strokeweight="1pt">
              <v:fill color2="fill lighten(249)" method="linear sigma" focus="50%" type="gradient"/>
              <v:shadow on="t" type="perspective" color="#622423" offset="1pt" offset2="-3pt"/>
              <v:textbox style="mso-next-textbox:#_x0000_s1066">
                <w:txbxContent>
                  <w:p w:rsidR="00954F42" w:rsidRPr="00E4098A" w:rsidRDefault="00954F42" w:rsidP="00935AC9">
                    <w:pPr>
                      <w:rPr>
                        <w:rFonts w:ascii="Calibri" w:hAnsi="Calibri"/>
                        <w:color w:val="FFFFFF"/>
                        <w:sz w:val="22"/>
                        <w:szCs w:val="22"/>
                      </w:rPr>
                    </w:pPr>
                    <w:r w:rsidRPr="00E4098A">
                      <w:rPr>
                        <w:rFonts w:ascii="Calibri" w:hAnsi="Calibri"/>
                        <w:color w:val="FFFFFF"/>
                        <w:sz w:val="22"/>
                        <w:szCs w:val="22"/>
                      </w:rPr>
                      <w:t xml:space="preserve">Regulatory depreciation (depreciation </w:t>
                    </w:r>
                    <w:r>
                      <w:rPr>
                        <w:rFonts w:ascii="Calibri" w:hAnsi="Calibri"/>
                        <w:color w:val="FFFFFF"/>
                        <w:sz w:val="22"/>
                        <w:szCs w:val="22"/>
                      </w:rPr>
                      <w:t>[</w:t>
                    </w:r>
                    <w:r w:rsidRPr="00E4098A">
                      <w:rPr>
                        <w:rFonts w:ascii="Calibri" w:hAnsi="Calibri"/>
                        <w:color w:val="FFFFFF"/>
                        <w:sz w:val="22"/>
                        <w:szCs w:val="22"/>
                      </w:rPr>
                      <w:t>net of indexation</w:t>
                    </w:r>
                    <w:r>
                      <w:rPr>
                        <w:rFonts w:ascii="Calibri" w:hAnsi="Calibri"/>
                        <w:color w:val="FFFFFF"/>
                        <w:sz w:val="22"/>
                        <w:szCs w:val="22"/>
                      </w:rPr>
                      <w:t>]</w:t>
                    </w:r>
                    <w:r w:rsidRPr="00E4098A">
                      <w:rPr>
                        <w:rFonts w:ascii="Calibri" w:hAnsi="Calibri"/>
                        <w:color w:val="FFFFFF"/>
                        <w:sz w:val="22"/>
                        <w:szCs w:val="22"/>
                      </w:rPr>
                      <w:t xml:space="preserve"> applied </w:t>
                    </w:r>
                    <w:r>
                      <w:rPr>
                        <w:rFonts w:ascii="Calibri" w:hAnsi="Calibri"/>
                        <w:color w:val="FFFFFF"/>
                        <w:sz w:val="22"/>
                        <w:szCs w:val="22"/>
                      </w:rPr>
                      <w:t>RAB</w:t>
                    </w:r>
                    <w:r w:rsidRPr="00E4098A">
                      <w:rPr>
                        <w:rFonts w:ascii="Calibri" w:hAnsi="Calibri"/>
                        <w:color w:val="FFFFFF"/>
                        <w:sz w:val="22"/>
                        <w:szCs w:val="22"/>
                      </w:rPr>
                      <w:t>)</w:t>
                    </w:r>
                  </w:p>
                </w:txbxContent>
              </v:textbox>
            </v:shape>
            <v:shape id="_x0000_s1067" type="#_x0000_t202" style="position:absolute;left:3741;top:7272;width:3890;height:998" fillcolor="#76923c" strokecolor="#548dd4" strokeweight="1pt">
              <v:fill color2="fill darken(249)" focusposition="1" focussize="" method="linear sigma" focus="100%" type="gradient"/>
              <v:shadow on="t" type="perspective" color="#622423" opacity=".5" offset="1pt" offset2="-3pt"/>
              <v:textbox style="mso-next-textbox:#_x0000_s1067">
                <w:txbxContent>
                  <w:p w:rsidR="00954F42" w:rsidRDefault="00954F42" w:rsidP="00935AC9">
                    <w:pPr>
                      <w:spacing w:after="200" w:line="276" w:lineRule="auto"/>
                      <w:rPr>
                        <w:rStyle w:val="AERbody"/>
                      </w:rPr>
                    </w:pPr>
                    <w:r w:rsidRPr="007F7192">
                      <w:rPr>
                        <w:rStyle w:val="AERbody"/>
                        <w:color w:val="FFFFFF"/>
                      </w:rPr>
                      <w:t>Corporate income tax (net of value of imputation credits)</w:t>
                    </w:r>
                  </w:p>
                  <w:p w:rsidR="00954F42" w:rsidRPr="007F7192" w:rsidRDefault="00954F42" w:rsidP="00935AC9">
                    <w:pPr>
                      <w:spacing w:after="200" w:line="276" w:lineRule="auto"/>
                      <w:rPr>
                        <w:rStyle w:val="AERbody"/>
                        <w:color w:val="FFFFFF"/>
                      </w:rPr>
                    </w:pPr>
                    <w:r w:rsidRPr="007F7192">
                      <w:rPr>
                        <w:rStyle w:val="AERbody"/>
                        <w:color w:val="FFFFFF"/>
                      </w:rPr>
                      <w:br/>
                    </w:r>
                  </w:p>
                </w:txbxContent>
              </v:textbox>
            </v:shape>
            <v:line id="_x0000_s1068" style="position:absolute" from="7773,2929" to="8316,2929"/>
            <v:line id="_x0000_s1069" style="position:absolute" from="7773,8177" to="8316,8178"/>
            <v:line id="_x0000_s1070" style="position:absolute" from="8316,2929" to="8316,8178"/>
            <v:line id="_x0000_s1071" style="position:absolute;flip:x" from="3067,2929" to="3610,2929"/>
            <v:line id="_x0000_s1072" style="position:absolute;flip:x" from="3067,5101" to="3610,5102"/>
            <v:line id="_x0000_s1073" style="position:absolute" from="3067,2929" to="3067,5101"/>
            <v:shape id="_x0000_s1074" type="#_x0000_t202" style="position:absolute;left:1392;top:3570;width:1617;height:444" strokecolor="white">
              <v:textbox style="mso-next-textbox:#_x0000_s1074">
                <w:txbxContent>
                  <w:p w:rsidR="00954F42" w:rsidRPr="002569F7" w:rsidRDefault="00954F42" w:rsidP="00935AC9">
                    <w:pPr>
                      <w:rPr>
                        <w:rFonts w:ascii="Calibri" w:hAnsi="Calibri"/>
                      </w:rPr>
                    </w:pPr>
                    <w:r w:rsidRPr="002569F7">
                      <w:rPr>
                        <w:rFonts w:ascii="Calibri" w:hAnsi="Calibri"/>
                      </w:rPr>
                      <w:t>Capital costs</w:t>
                    </w:r>
                  </w:p>
                </w:txbxContent>
              </v:textbox>
            </v:shape>
            <v:shape id="_x0000_s1075" type="#_x0000_t202" style="position:absolute;left:3741;top:5102;width:3890;height:998" fillcolor="#365f91" strokecolor="#365f91" strokeweight="1pt">
              <v:fill color2="fill" focusposition="1" focussize="" method="linear sigma" focus="100%" type="gradient"/>
              <v:shadow on="t" type="perspective" color="#3f3151" opacity=".5" offset="1pt" offset2="-3pt"/>
              <v:textbox style="mso-next-textbox:#_x0000_s1075">
                <w:txbxContent>
                  <w:p w:rsidR="00954F42" w:rsidRPr="008D2606" w:rsidRDefault="00954F42" w:rsidP="00935AC9">
                    <w:pPr>
                      <w:spacing w:after="200" w:line="276" w:lineRule="auto"/>
                      <w:rPr>
                        <w:rFonts w:ascii="Calibri" w:hAnsi="Calibri"/>
                        <w:color w:val="FFFFFF"/>
                        <w:sz w:val="22"/>
                        <w:szCs w:val="22"/>
                      </w:rPr>
                    </w:pPr>
                    <w:r w:rsidRPr="008D2606">
                      <w:rPr>
                        <w:rFonts w:ascii="Calibri" w:hAnsi="Calibri"/>
                        <w:color w:val="FFFFFF"/>
                        <w:sz w:val="22"/>
                        <w:szCs w:val="22"/>
                      </w:rPr>
                      <w:t xml:space="preserve">Operating </w:t>
                    </w:r>
                    <w:r w:rsidRPr="00664FB1">
                      <w:rPr>
                        <w:rFonts w:ascii="Calibri" w:hAnsi="Calibri"/>
                        <w:color w:val="FFFFFF"/>
                        <w:sz w:val="22"/>
                        <w:szCs w:val="22"/>
                      </w:rPr>
                      <w:t>expenditure (opex)</w:t>
                    </w:r>
                    <w:r>
                      <w:t xml:space="preserve"> </w:t>
                    </w:r>
                  </w:p>
                  <w:p w:rsidR="00954F42" w:rsidRPr="004414F4" w:rsidRDefault="00954F42" w:rsidP="00935AC9">
                    <w:pPr>
                      <w:rPr>
                        <w:color w:val="FFFFFF"/>
                      </w:rPr>
                    </w:pPr>
                  </w:p>
                </w:txbxContent>
              </v:textbox>
            </v:shape>
            <v:shape id="_x0000_s1076" type="#_x0000_t202" style="position:absolute;left:3741;top:6198;width:3890;height:998" fillcolor="#548dd4" strokecolor="#76923c" strokeweight="1pt">
              <v:fill color2="fill" focusposition="1" focussize="" method="linear sigma" focus="100%" type="gradient"/>
              <v:shadow on="t" type="perspective" color="#205867" opacity=".5" offset="1pt" offset2="-3pt"/>
              <v:textbox style="mso-next-textbox:#_x0000_s1076">
                <w:txbxContent>
                  <w:p w:rsidR="00954F42" w:rsidRPr="008D2606" w:rsidRDefault="00954F42" w:rsidP="00935AC9">
                    <w:pPr>
                      <w:spacing w:after="200" w:line="276" w:lineRule="auto"/>
                      <w:rPr>
                        <w:rFonts w:ascii="Calibri" w:hAnsi="Calibri"/>
                        <w:color w:val="FFFFFF"/>
                        <w:sz w:val="22"/>
                        <w:szCs w:val="22"/>
                      </w:rPr>
                    </w:pPr>
                    <w:r w:rsidRPr="008D2606">
                      <w:rPr>
                        <w:rFonts w:ascii="Calibri" w:hAnsi="Calibri"/>
                        <w:color w:val="FFFFFF"/>
                        <w:sz w:val="22"/>
                        <w:szCs w:val="22"/>
                      </w:rPr>
                      <w:t>Efficiency benefit sharing scheme</w:t>
                    </w:r>
                    <w:r>
                      <w:rPr>
                        <w:rFonts w:ascii="Calibri" w:hAnsi="Calibri"/>
                        <w:color w:val="FFFFFF"/>
                        <w:sz w:val="22"/>
                        <w:szCs w:val="22"/>
                      </w:rPr>
                      <w:t xml:space="preserve"> (EBSS)</w:t>
                    </w:r>
                    <w:r>
                      <w:t xml:space="preserve"> </w:t>
                    </w:r>
                    <w:r w:rsidRPr="008D2606">
                      <w:rPr>
                        <w:rFonts w:ascii="Calibri" w:hAnsi="Calibri"/>
                        <w:color w:val="FFFFFF"/>
                        <w:sz w:val="22"/>
                        <w:szCs w:val="22"/>
                      </w:rPr>
                      <w:t>(increment or decrement)</w:t>
                    </w:r>
                  </w:p>
                  <w:p w:rsidR="00954F42" w:rsidRPr="00F51767" w:rsidRDefault="00954F42" w:rsidP="00935AC9"/>
                </w:txbxContent>
              </v:textbox>
            </v:shape>
            <v:shape id="_x0000_s1077" type="#_x0000_t202" style="position:absolute;left:8502;top:5417;width:1410;height:495" strokecolor="white [3212]">
              <v:textbox style="mso-next-textbox:#_x0000_s1077">
                <w:txbxContent>
                  <w:p w:rsidR="00954F42" w:rsidRPr="00E91FF0" w:rsidRDefault="00954F42" w:rsidP="00935AC9">
                    <w:pPr>
                      <w:pStyle w:val="AERtabletextleft"/>
                    </w:pPr>
                    <w:r w:rsidRPr="00E91FF0">
                      <w:t xml:space="preserve">Total </w:t>
                    </w:r>
                    <w:r>
                      <w:t>r</w:t>
                    </w:r>
                    <w:r w:rsidRPr="00E91FF0">
                      <w:t>evenue</w:t>
                    </w:r>
                  </w:p>
                  <w:p w:rsidR="00954F42" w:rsidRDefault="00954F42" w:rsidP="00935AC9"/>
                </w:txbxContent>
              </v:textbox>
            </v:shape>
          </v:group>
        </w:pict>
      </w:r>
      <w:r>
        <w:rPr>
          <w:rStyle w:val="AERbody"/>
        </w:rPr>
        <w:pict>
          <v:shape id="_x0000_i1027" type="#_x0000_t75" style="width:430pt;height:268pt">
            <v:imagedata croptop="-65520f" cropbottom="65520f"/>
          </v:shape>
        </w:pict>
      </w:r>
    </w:p>
    <w:p w:rsidR="00ED72F3" w:rsidRDefault="00E37C2C" w:rsidP="00E37C2C">
      <w:pPr>
        <w:pStyle w:val="Heading2"/>
      </w:pPr>
      <w:bookmarkStart w:id="125" w:name="_Toc393880995"/>
      <w:r>
        <w:t>Interrelationships between building block components</w:t>
      </w:r>
      <w:bookmarkEnd w:id="125"/>
    </w:p>
    <w:p w:rsidR="00E37C2C" w:rsidRDefault="00763DCE" w:rsidP="00EC5E1E">
      <w:r>
        <w:t xml:space="preserve">In some cases, </w:t>
      </w:r>
      <w:r w:rsidR="00A2510E">
        <w:t>some costs</w:t>
      </w:r>
      <w:r>
        <w:t xml:space="preserve"> may be substitutes, so that increasing one </w:t>
      </w:r>
      <w:r w:rsidR="0028078E">
        <w:t>may lead to</w:t>
      </w:r>
      <w:r>
        <w:t xml:space="preserve"> decreasing another</w:t>
      </w:r>
      <w:r w:rsidR="00A2510E">
        <w:t xml:space="preserve">. </w:t>
      </w:r>
      <w:r>
        <w:t>In other cases, increasing one component will increase another</w:t>
      </w:r>
      <w:r w:rsidR="00A2510E">
        <w:t>. For example, increasing the rate</w:t>
      </w:r>
      <w:r w:rsidR="002C7F7C">
        <w:t xml:space="preserve"> of return</w:t>
      </w:r>
      <w:r w:rsidR="00A2510E">
        <w:t xml:space="preserve"> on equity increases both the return on capital and tax allowances</w:t>
      </w:r>
      <w:r>
        <w:t xml:space="preserve">. </w:t>
      </w:r>
      <w:r w:rsidR="0059288F">
        <w:t xml:space="preserve">Below, we describe some of the interrelationships we consider may be important to our assessment of </w:t>
      </w:r>
      <w:r w:rsidR="007C1250">
        <w:t>ActewAGL's</w:t>
      </w:r>
      <w:r w:rsidR="0059288F">
        <w:t xml:space="preserve"> proposal.</w:t>
      </w:r>
    </w:p>
    <w:p w:rsidR="0059288F" w:rsidRDefault="0059288F" w:rsidP="0059288F">
      <w:pPr>
        <w:pStyle w:val="HeadingBoldBlue"/>
      </w:pPr>
      <w:r>
        <w:t>Repair or replace assets</w:t>
      </w:r>
    </w:p>
    <w:p w:rsidR="0059288F" w:rsidRDefault="0059288F" w:rsidP="00EC5E1E">
      <w:r>
        <w:t>Maintaining existing assets incurs opex costs</w:t>
      </w:r>
      <w:r w:rsidR="00A2510E">
        <w:t xml:space="preserve">. </w:t>
      </w:r>
      <w:r w:rsidR="00EB5108">
        <w:t>Th</w:t>
      </w:r>
      <w:r w:rsidR="002C7F7C">
        <w:t>e</w:t>
      </w:r>
      <w:r w:rsidR="00EB5108">
        <w:t xml:space="preserve"> size of these costs is </w:t>
      </w:r>
      <w:r w:rsidR="00A2510E">
        <w:t>related to the age</w:t>
      </w:r>
      <w:r w:rsidR="002C7F7C">
        <w:t xml:space="preserve"> or condition</w:t>
      </w:r>
      <w:r w:rsidR="00A2510E">
        <w:t xml:space="preserve"> of the assets.</w:t>
      </w:r>
      <w:r>
        <w:t xml:space="preserve"> </w:t>
      </w:r>
      <w:r w:rsidR="00A2510E">
        <w:t>I</w:t>
      </w:r>
      <w:r>
        <w:t xml:space="preserve">f assets are replaced instead of maintained, the distributor </w:t>
      </w:r>
      <w:r w:rsidR="001363F4">
        <w:t>incurs capex costs</w:t>
      </w:r>
      <w:r w:rsidR="003D0CA6">
        <w:t>, but there should also be a</w:t>
      </w:r>
      <w:r w:rsidR="00A2510E">
        <w:t xml:space="preserve"> drop in ongoing </w:t>
      </w:r>
      <w:r w:rsidR="00EB5108">
        <w:t xml:space="preserve">opex related to </w:t>
      </w:r>
      <w:r w:rsidR="001363F4">
        <w:t>repair</w:t>
      </w:r>
      <w:r w:rsidR="00A2510E">
        <w:t>s</w:t>
      </w:r>
      <w:r w:rsidR="001363F4">
        <w:t xml:space="preserve"> </w:t>
      </w:r>
      <w:r w:rsidR="00EB5108">
        <w:t>and</w:t>
      </w:r>
      <w:r w:rsidR="001363F4">
        <w:t xml:space="preserve"> maintenance. </w:t>
      </w:r>
    </w:p>
    <w:p w:rsidR="001363F4" w:rsidRDefault="001363F4" w:rsidP="001363F4">
      <w:pPr>
        <w:pStyle w:val="HeadingBoldBlue"/>
      </w:pPr>
      <w:r>
        <w:t>Building assets increases the return on capital and depreciation</w:t>
      </w:r>
    </w:p>
    <w:p w:rsidR="001363F4" w:rsidRDefault="001363F4" w:rsidP="00EC5E1E">
      <w:r>
        <w:t xml:space="preserve">The more capex </w:t>
      </w:r>
      <w:r w:rsidR="00D27554">
        <w:t xml:space="preserve">investment </w:t>
      </w:r>
      <w:r>
        <w:t xml:space="preserve">undertaken by </w:t>
      </w:r>
      <w:r w:rsidR="007C1250">
        <w:t>ActewAGL</w:t>
      </w:r>
      <w:r>
        <w:t>, the larger its future return on capital and depreciation allowance.</w:t>
      </w:r>
      <w:r w:rsidR="00EB5108">
        <w:rPr>
          <w:rStyle w:val="FootnoteReference"/>
        </w:rPr>
        <w:footnoteReference w:id="51"/>
      </w:r>
      <w:r>
        <w:t xml:space="preserve"> This is because capex contributes to the size (value) of a distributor's asset base. The return on capital is equal to the rate of return multiplied by the value of the distributor's asset base. So the larger the asset base, the larger the </w:t>
      </w:r>
      <w:r w:rsidR="00AA41B4">
        <w:t xml:space="preserve">dollar amount </w:t>
      </w:r>
      <w:r>
        <w:t>return on capital</w:t>
      </w:r>
      <w:r w:rsidR="00AA41B4">
        <w:t xml:space="preserve"> and therefore how much revenue they are allowed to recover</w:t>
      </w:r>
      <w:r>
        <w:t xml:space="preserve">. In the same way, the distributor's depreciation allowance </w:t>
      </w:r>
      <w:r w:rsidR="00EB5108">
        <w:t xml:space="preserve">typically </w:t>
      </w:r>
      <w:r>
        <w:t xml:space="preserve">becomes larger </w:t>
      </w:r>
      <w:r w:rsidR="002C7F7C">
        <w:t xml:space="preserve">as </w:t>
      </w:r>
      <w:r w:rsidR="00EB5108">
        <w:t>the asset base</w:t>
      </w:r>
      <w:r w:rsidR="002C7F7C">
        <w:t xml:space="preserve"> </w:t>
      </w:r>
      <w:r w:rsidR="00AE7541">
        <w:t>becomes larger</w:t>
      </w:r>
      <w:r>
        <w:t>.</w:t>
      </w:r>
    </w:p>
    <w:p w:rsidR="001363F4" w:rsidRDefault="001363F4" w:rsidP="001363F4">
      <w:pPr>
        <w:pStyle w:val="HeadingBoldBlue"/>
      </w:pPr>
      <w:r>
        <w:t>More assets require more maintenance</w:t>
      </w:r>
    </w:p>
    <w:p w:rsidR="001363F4" w:rsidRDefault="001363F4" w:rsidP="00EC5E1E">
      <w:r>
        <w:t xml:space="preserve">Depending on the type of capex investments made by </w:t>
      </w:r>
      <w:r w:rsidR="007C1250">
        <w:t>ActewAGL</w:t>
      </w:r>
      <w:r>
        <w:t xml:space="preserve">, additional investment may create need for more opex spending. This is because, in principle, </w:t>
      </w:r>
      <w:r w:rsidR="003D0CA6">
        <w:t>more</w:t>
      </w:r>
      <w:r>
        <w:t xml:space="preserve"> asset</w:t>
      </w:r>
      <w:r w:rsidR="003D0CA6">
        <w:t>s</w:t>
      </w:r>
      <w:r>
        <w:t xml:space="preserve"> require more maintenance. </w:t>
      </w:r>
      <w:r>
        <w:lastRenderedPageBreak/>
        <w:t xml:space="preserve">This effect may be offset by </w:t>
      </w:r>
      <w:r w:rsidR="00917D0B">
        <w:t>capex investment that creates operational efficiencies, or avoids increasing opex required to extend the operating life of ageing assets, as described above.</w:t>
      </w:r>
    </w:p>
    <w:p w:rsidR="00917D0B" w:rsidRDefault="00917D0B" w:rsidP="00917D0B">
      <w:pPr>
        <w:pStyle w:val="HeadingBoldBlue"/>
      </w:pPr>
      <w:r>
        <w:t>Incentive schemes and revenue allowances</w:t>
      </w:r>
    </w:p>
    <w:p w:rsidR="00917D0B" w:rsidRDefault="00917D0B" w:rsidP="00EC5E1E">
      <w:r>
        <w:t xml:space="preserve">Schemes to provide </w:t>
      </w:r>
      <w:r w:rsidR="007C1250">
        <w:t>ActewAGL</w:t>
      </w:r>
      <w:r>
        <w:t xml:space="preserve"> with incentives to become more efficient, such as the EBSS, affect the revenue allowances we determine for capex and opex. For example, by seeking to maximise its EBSS payment, a distributor may uncover </w:t>
      </w:r>
      <w:r w:rsidR="00B31C70">
        <w:t>efficiencies in its maintenance activities. In the short term, the distributor is allowed to retain the savings it achieved. But in the longer term, the savings reduce the distributors' opex allowance</w:t>
      </w:r>
      <w:r w:rsidR="00D27554">
        <w:t>, reducing prices</w:t>
      </w:r>
      <w:r w:rsidR="00B31C70">
        <w:t xml:space="preserve">. </w:t>
      </w:r>
      <w:r w:rsidR="00F85D5D">
        <w:t xml:space="preserve">Because capex spending can either increase or decrease the need for opex costs to be incurred, the EBSS </w:t>
      </w:r>
      <w:r w:rsidR="00D27554">
        <w:t xml:space="preserve">incentive </w:t>
      </w:r>
      <w:r w:rsidR="00F85D5D">
        <w:t xml:space="preserve">may also influence both short and long term capex allowances. </w:t>
      </w:r>
      <w:r w:rsidR="0018268A">
        <w:t>Other incentive schemes</w:t>
      </w:r>
      <w:r w:rsidR="00D27554">
        <w:t>, such as the service target performance incentive scheme, target capex more directly.</w:t>
      </w:r>
    </w:p>
    <w:p w:rsidR="00175954" w:rsidRDefault="00BC4AA6" w:rsidP="00EC5E1E">
      <w:r>
        <w:t>A range of further interrelationships exist within the building block elements, where our decision on technical variables influence one or more of the building blocks themselves</w:t>
      </w:r>
      <w:r w:rsidR="00175954">
        <w:t>. These include:</w:t>
      </w:r>
    </w:p>
    <w:p w:rsidR="00175954" w:rsidRDefault="00175954" w:rsidP="00A326F9">
      <w:pPr>
        <w:pStyle w:val="AERbulletlistfirststyle"/>
      </w:pPr>
      <w:r>
        <w:t xml:space="preserve">the economic life of assets — affects </w:t>
      </w:r>
      <w:r w:rsidR="0001161D">
        <w:t xml:space="preserve">the asset base, depreciation, </w:t>
      </w:r>
      <w:r>
        <w:t>return on capital, capex, opex</w:t>
      </w:r>
    </w:p>
    <w:p w:rsidR="00175954" w:rsidRDefault="00027908" w:rsidP="00A326F9">
      <w:pPr>
        <w:pStyle w:val="AERbulletlistfirststyle"/>
      </w:pPr>
      <w:r>
        <w:t xml:space="preserve">opex </w:t>
      </w:r>
      <w:r w:rsidR="00175954">
        <w:t>step changes — affects capex, opex, incentive schemes, pass throughs</w:t>
      </w:r>
    </w:p>
    <w:p w:rsidR="00175954" w:rsidRDefault="00027908" w:rsidP="00A326F9">
      <w:pPr>
        <w:pStyle w:val="AERbulletlistfirststyle"/>
      </w:pPr>
      <w:r>
        <w:t xml:space="preserve">opex </w:t>
      </w:r>
      <w:r w:rsidR="00175954">
        <w:t>base year adjustments — affects opex, capex, incentive schemes</w:t>
      </w:r>
    </w:p>
    <w:p w:rsidR="00175954" w:rsidRDefault="00175954" w:rsidP="00A326F9">
      <w:pPr>
        <w:pStyle w:val="AERbulletlistfirststyle"/>
      </w:pPr>
      <w:r>
        <w:t>forecast inflation — affects all forecasts</w:t>
      </w:r>
      <w:r w:rsidR="0001161D">
        <w:t xml:space="preserve"> in nominal terms</w:t>
      </w:r>
    </w:p>
    <w:p w:rsidR="003B59A3" w:rsidRDefault="003B59A3" w:rsidP="00A326F9">
      <w:pPr>
        <w:pStyle w:val="AERbulletlistfirststyle"/>
      </w:pPr>
      <w:r>
        <w:t xml:space="preserve">related party transactions — affects capex, </w:t>
      </w:r>
      <w:r w:rsidR="00027908">
        <w:t xml:space="preserve">RAB, depreciation, return on capital, </w:t>
      </w:r>
      <w:r>
        <w:t>opex</w:t>
      </w:r>
      <w:r w:rsidR="006F6328">
        <w:t>.</w:t>
      </w:r>
    </w:p>
    <w:p w:rsidR="00BC4AA6" w:rsidRDefault="00BC4AA6" w:rsidP="00EC5E1E"/>
    <w:p w:rsidR="00917D0B" w:rsidRPr="00EE362F" w:rsidRDefault="00917D0B" w:rsidP="00EC5E1E"/>
    <w:sectPr w:rsidR="00917D0B" w:rsidRPr="00EE362F" w:rsidSect="00456081">
      <w:footerReference w:type="even"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F42" w:rsidRPr="00AB4345" w:rsidRDefault="00954F42" w:rsidP="00AB4345">
      <w:r>
        <w:separator/>
      </w:r>
    </w:p>
  </w:endnote>
  <w:endnote w:type="continuationSeparator" w:id="0">
    <w:p w:rsidR="00954F42" w:rsidRPr="00AB4345" w:rsidRDefault="00954F42"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954F42" w:rsidRPr="00824CC8" w:rsidRDefault="00954F42" w:rsidP="00824CC8">
        <w:pPr>
          <w:pStyle w:val="Footer"/>
        </w:pPr>
        <w:r w:rsidRPr="00824CC8">
          <w:fldChar w:fldCharType="begin"/>
        </w:r>
        <w:r w:rsidRPr="00824CC8">
          <w:instrText xml:space="preserve"> PAGE   \* MERGEFORMAT </w:instrText>
        </w:r>
        <w:r w:rsidRPr="00824CC8">
          <w:fldChar w:fldCharType="separate"/>
        </w:r>
        <w:r>
          <w:rPr>
            <w:noProof/>
          </w:rPr>
          <w:t>18</w:t>
        </w:r>
        <w:r w:rsidRPr="00824CC8">
          <w:fldChar w:fldCharType="end"/>
        </w:r>
        <w:r w:rsidRPr="00824CC8">
          <w:tab/>
        </w:r>
        <w:r w:rsidRPr="00824CC8">
          <w:rPr>
            <w:rStyle w:val="AERbody"/>
          </w:rPr>
          <w:t>Attachment heading | Distribution/transmission determination heading</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F42" w:rsidRPr="00824CC8" w:rsidRDefault="00954F42" w:rsidP="00824CC8">
    <w:pPr>
      <w:pStyle w:val="Footer"/>
      <w:rPr>
        <w:rStyle w:val="AERbody"/>
      </w:rPr>
    </w:pPr>
    <w:r>
      <w:rPr>
        <w:rStyle w:val="AERbody"/>
      </w:rPr>
      <w:t>ActewAGL electricity distribution</w:t>
    </w:r>
    <w:r w:rsidRPr="00210880">
      <w:rPr>
        <w:rStyle w:val="AERbody"/>
      </w:rPr>
      <w:t xml:space="preserve"> determination </w:t>
    </w:r>
    <w:r>
      <w:rPr>
        <w:rStyle w:val="AERbody"/>
      </w:rPr>
      <w:t>2014</w:t>
    </w:r>
    <w:r>
      <w:rPr>
        <w:rStyle w:val="AERbody"/>
        <w:rFonts w:cs="Gautami"/>
      </w:rPr>
      <w:t>–</w:t>
    </w:r>
    <w:r>
      <w:rPr>
        <w:rStyle w:val="AERbody"/>
      </w:rPr>
      <w:t xml:space="preserve">19 </w:t>
    </w:r>
    <w:r w:rsidRPr="00210880">
      <w:rPr>
        <w:rStyle w:val="AERbody"/>
      </w:rPr>
      <w:t xml:space="preserve">| </w:t>
    </w:r>
    <w:r>
      <w:rPr>
        <w:rStyle w:val="AERbody"/>
      </w:rPr>
      <w:t>Issues paper</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203B35">
      <w:rPr>
        <w:rStyle w:val="AERbody"/>
        <w:noProof/>
      </w:rPr>
      <w:t>30</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F42" w:rsidRPr="00AB4345" w:rsidRDefault="00954F42" w:rsidP="00AB4345">
      <w:r>
        <w:separator/>
      </w:r>
    </w:p>
  </w:footnote>
  <w:footnote w:type="continuationSeparator" w:id="0">
    <w:p w:rsidR="00954F42" w:rsidRPr="00AB4345" w:rsidRDefault="00954F42" w:rsidP="00AB4345">
      <w:r>
        <w:continuationSeparator/>
      </w:r>
    </w:p>
  </w:footnote>
  <w:footnote w:id="1">
    <w:p w:rsidR="00954F42" w:rsidRDefault="00954F42">
      <w:pPr>
        <w:pStyle w:val="FootnoteText"/>
      </w:pPr>
      <w:r>
        <w:rPr>
          <w:rStyle w:val="FootnoteReference"/>
        </w:rPr>
        <w:footnoteRef/>
      </w:r>
      <w:r>
        <w:t xml:space="preserve"> </w:t>
      </w:r>
      <w:r>
        <w:tab/>
        <w:t>Our new guidelines are available on our website (</w:t>
      </w:r>
      <w:hyperlink r:id="rId1" w:history="1">
        <w:r w:rsidRPr="006B0D57">
          <w:rPr>
            <w:rStyle w:val="Hyperlink"/>
          </w:rPr>
          <w:t>www.aer.gov.au</w:t>
        </w:r>
      </w:hyperlink>
      <w:r>
        <w:t>) under the 'Better Regulation' tab.</w:t>
      </w:r>
    </w:p>
  </w:footnote>
  <w:footnote w:id="2">
    <w:p w:rsidR="00954F42" w:rsidRDefault="00954F42" w:rsidP="006143D5">
      <w:pPr>
        <w:pStyle w:val="FootnoteText"/>
      </w:pPr>
      <w:r>
        <w:rPr>
          <w:rStyle w:val="FootnoteReference"/>
        </w:rPr>
        <w:footnoteRef/>
      </w:r>
      <w:r>
        <w:t xml:space="preserve"> </w:t>
      </w:r>
      <w:r>
        <w:tab/>
        <w:t>$nominal. Calculated on a per MWh basis. Sourced from ActewAGL's submitted regulatory information notice (RIN) for this reset.</w:t>
      </w:r>
    </w:p>
  </w:footnote>
  <w:footnote w:id="3">
    <w:p w:rsidR="00954F42" w:rsidRDefault="00954F42" w:rsidP="00B95B4B">
      <w:pPr>
        <w:pStyle w:val="FootnoteText"/>
      </w:pPr>
      <w:r>
        <w:rPr>
          <w:rStyle w:val="FootnoteReference"/>
        </w:rPr>
        <w:footnoteRef/>
      </w:r>
      <w:r>
        <w:t xml:space="preserve"> </w:t>
      </w:r>
      <w:r>
        <w:tab/>
      </w:r>
      <w:r w:rsidRPr="002D3B42">
        <w:rPr>
          <w:rStyle w:val="AERbody"/>
          <w:sz w:val="16"/>
        </w:rPr>
        <w:t xml:space="preserve">The revenue </w:t>
      </w:r>
      <w:r w:rsidRPr="00A73B31">
        <w:rPr>
          <w:rStyle w:val="AERbody"/>
          <w:sz w:val="16"/>
        </w:rPr>
        <w:t>difference</w:t>
      </w:r>
      <w:r w:rsidRPr="00247D18">
        <w:rPr>
          <w:rStyle w:val="AERbody"/>
          <w:sz w:val="16"/>
        </w:rPr>
        <w:t xml:space="preserve"> </w:t>
      </w:r>
      <w:r w:rsidRPr="00A73B31">
        <w:rPr>
          <w:rStyle w:val="AERbody"/>
          <w:sz w:val="16"/>
        </w:rPr>
        <w:t>between</w:t>
      </w:r>
      <w:r w:rsidRPr="002D3B42">
        <w:rPr>
          <w:rStyle w:val="AERbody"/>
          <w:sz w:val="16"/>
        </w:rPr>
        <w:t xml:space="preserve"> our transitional determination </w:t>
      </w:r>
      <w:r w:rsidRPr="00A73B31">
        <w:rPr>
          <w:rStyle w:val="AERbody"/>
          <w:sz w:val="16"/>
        </w:rPr>
        <w:t>and full determination</w:t>
      </w:r>
      <w:r>
        <w:rPr>
          <w:rStyle w:val="AERbody"/>
        </w:rPr>
        <w:t xml:space="preserve"> </w:t>
      </w:r>
      <w:r w:rsidRPr="002D3B42">
        <w:rPr>
          <w:rStyle w:val="AERbody"/>
          <w:sz w:val="16"/>
        </w:rPr>
        <w:t>will</w:t>
      </w:r>
      <w:r w:rsidRPr="009803D1">
        <w:rPr>
          <w:rStyle w:val="AERbody"/>
          <w:sz w:val="16"/>
        </w:rPr>
        <w:t xml:space="preserve"> be smoothed out over </w:t>
      </w:r>
      <w:r w:rsidRPr="00A73B31">
        <w:rPr>
          <w:rStyle w:val="AERbody"/>
          <w:sz w:val="16"/>
        </w:rPr>
        <w:t>the remaining four years of the 2014–19 period.</w:t>
      </w:r>
      <w:r>
        <w:rPr>
          <w:rStyle w:val="AERbody"/>
        </w:rPr>
        <w:t xml:space="preserve"> </w:t>
      </w:r>
      <w:r w:rsidRPr="00A73B31">
        <w:rPr>
          <w:rStyle w:val="AERbody"/>
          <w:sz w:val="16"/>
        </w:rPr>
        <w:t xml:space="preserve">From 1 July 2014, we have classified certain assets in ActewAGL's network to be transmission. These transmission assets and the associated revenue requirements for ActewAGL will be determined separately from distribution. These matters are </w:t>
      </w:r>
      <w:r w:rsidRPr="009803D1">
        <w:rPr>
          <w:rStyle w:val="AERbody"/>
          <w:sz w:val="16"/>
        </w:rPr>
        <w:t>discussed in more detail in attachment 1 to this paper.</w:t>
      </w:r>
    </w:p>
  </w:footnote>
  <w:footnote w:id="4">
    <w:p w:rsidR="00954F42" w:rsidRDefault="00954F42">
      <w:pPr>
        <w:pStyle w:val="FootnoteText"/>
      </w:pPr>
      <w:r>
        <w:rPr>
          <w:rStyle w:val="FootnoteReference"/>
        </w:rPr>
        <w:footnoteRef/>
      </w:r>
      <w:r>
        <w:t xml:space="preserve"> </w:t>
      </w:r>
      <w:r>
        <w:tab/>
        <w:t>Figure 2 shows ActewAGL's standard control distribution service revenues for the 2009–14 period. Those revenues include some earned from assets that, for the 2014</w:t>
      </w:r>
      <w:r>
        <w:softHyphen/>
        <w:t xml:space="preserve">–19 period have been proposed by ActewAGL to be treated as transmission assets. In addition, some newly constructed assets are also treated by ActewAGL as transmission assets for the 2014–19 period. </w:t>
      </w:r>
    </w:p>
  </w:footnote>
  <w:footnote w:id="5">
    <w:p w:rsidR="00954F42" w:rsidRDefault="00954F42">
      <w:pPr>
        <w:pStyle w:val="FootnoteText"/>
      </w:pPr>
      <w:r>
        <w:rPr>
          <w:rStyle w:val="FootnoteReference"/>
        </w:rPr>
        <w:footnoteRef/>
      </w:r>
      <w:r>
        <w:t xml:space="preserve"> </w:t>
      </w:r>
      <w:r>
        <w:tab/>
        <w:t xml:space="preserve">Figure 3 shows, for the 2004–09 and 2009–14 periods, ActewAGL's approved and actual asset base for provision of distribution standard control services. For the 2014–19 period, shown is ActewAGL's proposed asset base for provision of both distribution standard control services and transmission services. </w:t>
      </w:r>
    </w:p>
  </w:footnote>
  <w:footnote w:id="6">
    <w:p w:rsidR="00954F42" w:rsidRDefault="00954F42">
      <w:pPr>
        <w:pStyle w:val="FootnoteText"/>
      </w:pPr>
      <w:r>
        <w:rPr>
          <w:rStyle w:val="FootnoteReference"/>
        </w:rPr>
        <w:footnoteRef/>
      </w:r>
      <w:r>
        <w:t xml:space="preserve"> </w:t>
      </w:r>
      <w:r>
        <w:tab/>
        <w:t>Augmentation capex relates to work to enlarge the system or increase its capacity to distribute electricity.</w:t>
      </w:r>
    </w:p>
  </w:footnote>
  <w:footnote w:id="7">
    <w:p w:rsidR="00954F42" w:rsidRDefault="00954F42">
      <w:pPr>
        <w:pStyle w:val="FootnoteText"/>
      </w:pPr>
      <w:r>
        <w:rPr>
          <w:rStyle w:val="FootnoteReference"/>
        </w:rPr>
        <w:footnoteRef/>
      </w:r>
      <w:r>
        <w:t xml:space="preserve"> </w:t>
      </w:r>
      <w:r>
        <w:tab/>
        <w:t xml:space="preserve">ActewAGL, </w:t>
      </w:r>
      <w:r w:rsidRPr="00F74DCA">
        <w:rPr>
          <w:rStyle w:val="AERtextitalic"/>
        </w:rPr>
        <w:t>Regulatory proposal</w:t>
      </w:r>
      <w:r>
        <w:t>, June 2014, p. 109.</w:t>
      </w:r>
    </w:p>
  </w:footnote>
  <w:footnote w:id="8">
    <w:p w:rsidR="00954F42" w:rsidRDefault="00954F42">
      <w:pPr>
        <w:pStyle w:val="FootnoteText"/>
      </w:pPr>
      <w:r>
        <w:rPr>
          <w:rStyle w:val="FootnoteReference"/>
        </w:rPr>
        <w:footnoteRef/>
      </w:r>
      <w:r>
        <w:t xml:space="preserve"> </w:t>
      </w:r>
      <w:r>
        <w:tab/>
        <w:t xml:space="preserve">AER, </w:t>
      </w:r>
      <w:r w:rsidRPr="0059339E">
        <w:rPr>
          <w:rStyle w:val="AERtextitalic"/>
        </w:rPr>
        <w:t>Rate of return guideline</w:t>
      </w:r>
      <w:r>
        <w:t>, December 2013.</w:t>
      </w:r>
    </w:p>
  </w:footnote>
  <w:footnote w:id="9">
    <w:p w:rsidR="00954F42" w:rsidRDefault="00954F42">
      <w:pPr>
        <w:pStyle w:val="FootnoteText"/>
      </w:pPr>
      <w:r>
        <w:rPr>
          <w:rStyle w:val="FootnoteReference"/>
        </w:rPr>
        <w:footnoteRef/>
      </w:r>
      <w:r>
        <w:t xml:space="preserve"> </w:t>
      </w:r>
      <w:r>
        <w:tab/>
        <w:t>NER, cl. 6.5.2(c).</w:t>
      </w:r>
    </w:p>
  </w:footnote>
  <w:footnote w:id="10">
    <w:p w:rsidR="00610C7F" w:rsidRDefault="00610C7F" w:rsidP="00610C7F">
      <w:pPr>
        <w:pStyle w:val="FootnoteText"/>
      </w:pPr>
      <w:r>
        <w:rPr>
          <w:rStyle w:val="FootnoteReference"/>
        </w:rPr>
        <w:footnoteRef/>
      </w:r>
      <w:r>
        <w:t xml:space="preserve"> </w:t>
      </w:r>
      <w:r>
        <w:tab/>
        <w:t>NEL, s. 16(1)(c).</w:t>
      </w:r>
    </w:p>
  </w:footnote>
  <w:footnote w:id="11">
    <w:p w:rsidR="00954F42" w:rsidRDefault="00954F42">
      <w:pPr>
        <w:pStyle w:val="FootnoteText"/>
      </w:pPr>
      <w:r>
        <w:rPr>
          <w:rStyle w:val="FootnoteReference"/>
        </w:rPr>
        <w:footnoteRef/>
      </w:r>
      <w:r>
        <w:t xml:space="preserve"> </w:t>
      </w:r>
      <w:r>
        <w:tab/>
        <w:t>Revenues shown for 2014–19 include ActewAGL's proposed revenues related to both its distribution standard control services and transmission services.</w:t>
      </w:r>
    </w:p>
  </w:footnote>
  <w:footnote w:id="12">
    <w:p w:rsidR="00954F42" w:rsidRDefault="00954F42" w:rsidP="00934AC7">
      <w:pPr>
        <w:pStyle w:val="FootnoteText"/>
      </w:pPr>
      <w:r>
        <w:rPr>
          <w:rStyle w:val="FootnoteReference"/>
        </w:rPr>
        <w:footnoteRef/>
      </w:r>
      <w:r>
        <w:t xml:space="preserve"> </w:t>
      </w:r>
      <w:r>
        <w:tab/>
        <w:t>NER, cl. 6.8.2(c1).</w:t>
      </w:r>
    </w:p>
  </w:footnote>
  <w:footnote w:id="13">
    <w:p w:rsidR="00954F42" w:rsidRDefault="00954F42" w:rsidP="00934AC7">
      <w:pPr>
        <w:pStyle w:val="FootnoteText"/>
      </w:pPr>
      <w:r>
        <w:rPr>
          <w:rStyle w:val="FootnoteReference"/>
        </w:rPr>
        <w:footnoteRef/>
      </w:r>
      <w:r>
        <w:t xml:space="preserve"> </w:t>
      </w:r>
      <w:r>
        <w:tab/>
        <w:t xml:space="preserve">AER, </w:t>
      </w:r>
      <w:r w:rsidRPr="00932621">
        <w:rPr>
          <w:rStyle w:val="AERtextitalic"/>
        </w:rPr>
        <w:t>Consumer engagement guideline for network service providers</w:t>
      </w:r>
      <w:r>
        <w:t xml:space="preserve">, November 2013; </w:t>
      </w:r>
      <w:r w:rsidRPr="000E7E39">
        <w:t>www.aer.gov.au/Better-regulation-reform-program</w:t>
      </w:r>
    </w:p>
  </w:footnote>
  <w:footnote w:id="14">
    <w:p w:rsidR="00954F42" w:rsidRDefault="00954F42" w:rsidP="00091E6C">
      <w:pPr>
        <w:pStyle w:val="FootnoteText"/>
      </w:pPr>
      <w:r>
        <w:rPr>
          <w:rStyle w:val="FootnoteReference"/>
        </w:rPr>
        <w:footnoteRef/>
      </w:r>
      <w:r>
        <w:t xml:space="preserve"> </w:t>
      </w:r>
      <w:r>
        <w:tab/>
        <w:t xml:space="preserve">ActewAGL, </w:t>
      </w:r>
      <w:r w:rsidRPr="000F0AAD">
        <w:rPr>
          <w:rStyle w:val="AERtextitalic"/>
        </w:rPr>
        <w:t>Regulatory proposal</w:t>
      </w:r>
      <w:r>
        <w:t>, June 2014, p. 46.</w:t>
      </w:r>
    </w:p>
  </w:footnote>
  <w:footnote w:id="15">
    <w:p w:rsidR="00954F42" w:rsidRDefault="00954F42">
      <w:pPr>
        <w:pStyle w:val="FootnoteText"/>
      </w:pPr>
      <w:r>
        <w:rPr>
          <w:rStyle w:val="FootnoteReference"/>
        </w:rPr>
        <w:footnoteRef/>
      </w:r>
      <w:r>
        <w:t xml:space="preserve"> </w:t>
      </w:r>
      <w:r>
        <w:tab/>
        <w:t xml:space="preserve">ActewAGL, </w:t>
      </w:r>
      <w:r w:rsidRPr="000F0AAD">
        <w:rPr>
          <w:rStyle w:val="AERtextitalic"/>
        </w:rPr>
        <w:t>Regulatory proposal</w:t>
      </w:r>
      <w:r>
        <w:t>, June 2014, p. 50.</w:t>
      </w:r>
    </w:p>
  </w:footnote>
  <w:footnote w:id="16">
    <w:p w:rsidR="00954F42" w:rsidRDefault="00954F42">
      <w:pPr>
        <w:pStyle w:val="FootnoteText"/>
      </w:pPr>
      <w:r>
        <w:rPr>
          <w:rStyle w:val="FootnoteReference"/>
        </w:rPr>
        <w:footnoteRef/>
      </w:r>
      <w:r>
        <w:t xml:space="preserve"> </w:t>
      </w:r>
      <w:r>
        <w:tab/>
        <w:t>NER, cll. 6.5.6(a)(3) and 6.5.7(a)(3).</w:t>
      </w:r>
    </w:p>
  </w:footnote>
  <w:footnote w:id="17">
    <w:p w:rsidR="00954F42" w:rsidRDefault="00954F42">
      <w:pPr>
        <w:pStyle w:val="FootnoteText"/>
      </w:pPr>
      <w:r>
        <w:rPr>
          <w:rStyle w:val="FootnoteReference"/>
        </w:rPr>
        <w:footnoteRef/>
      </w:r>
      <w:r>
        <w:t xml:space="preserve"> </w:t>
      </w:r>
      <w:r>
        <w:tab/>
        <w:t>NEL, s.7.</w:t>
      </w:r>
    </w:p>
  </w:footnote>
  <w:footnote w:id="18">
    <w:p w:rsidR="00954F42" w:rsidRDefault="00954F42" w:rsidP="00D7580F">
      <w:pPr>
        <w:pStyle w:val="FootnoteText"/>
      </w:pPr>
      <w:r>
        <w:rPr>
          <w:rStyle w:val="FootnoteReference"/>
        </w:rPr>
        <w:footnoteRef/>
      </w:r>
      <w:r>
        <w:t xml:space="preserve"> </w:t>
      </w:r>
      <w:r>
        <w:tab/>
      </w:r>
      <w:hyperlink r:id="rId2" w:history="1">
        <w:r w:rsidRPr="00375B9D">
          <w:rPr>
            <w:rStyle w:val="Hyperlink"/>
          </w:rPr>
          <w:t>www.aemc.gov.au/Australias-Energy-Market/Market-Legislation/Relevant-Legislation-Electricity</w:t>
        </w:r>
      </w:hyperlink>
      <w:r>
        <w:t xml:space="preserve"> </w:t>
      </w:r>
    </w:p>
  </w:footnote>
  <w:footnote w:id="19">
    <w:p w:rsidR="00954F42" w:rsidRDefault="00954F42">
      <w:pPr>
        <w:pStyle w:val="FootnoteText"/>
      </w:pPr>
      <w:r>
        <w:rPr>
          <w:rStyle w:val="FootnoteReference"/>
        </w:rPr>
        <w:footnoteRef/>
      </w:r>
      <w:r>
        <w:t xml:space="preserve"> </w:t>
      </w:r>
      <w:r>
        <w:tab/>
        <w:t xml:space="preserve">See our website:  </w:t>
      </w:r>
      <w:hyperlink r:id="rId3" w:history="1">
        <w:r w:rsidRPr="00F71410">
          <w:rPr>
            <w:rStyle w:val="Hyperlink"/>
          </w:rPr>
          <w:t>www.aer.gov.au/Better-regulation-reform-program</w:t>
        </w:r>
      </w:hyperlink>
    </w:p>
  </w:footnote>
  <w:footnote w:id="20">
    <w:p w:rsidR="00954F42" w:rsidRDefault="00954F42">
      <w:pPr>
        <w:pStyle w:val="FootnoteText"/>
      </w:pPr>
      <w:r>
        <w:rPr>
          <w:rStyle w:val="FootnoteReference"/>
        </w:rPr>
        <w:footnoteRef/>
      </w:r>
      <w:r>
        <w:t xml:space="preserve"> </w:t>
      </w:r>
      <w:r>
        <w:tab/>
        <w:t xml:space="preserve">See our website for our assessment of the Consumer Reference Group:  </w:t>
      </w:r>
      <w:hyperlink r:id="rId4" w:history="1">
        <w:r w:rsidRPr="00375B9D">
          <w:rPr>
            <w:rStyle w:val="Hyperlink"/>
          </w:rPr>
          <w:t>www.aer.gov.au/node/19166</w:t>
        </w:r>
      </w:hyperlink>
      <w:r>
        <w:t xml:space="preserve"> </w:t>
      </w:r>
    </w:p>
  </w:footnote>
  <w:footnote w:id="21">
    <w:p w:rsidR="00954F42" w:rsidRDefault="00954F42">
      <w:pPr>
        <w:pStyle w:val="FootnoteText"/>
      </w:pPr>
      <w:r>
        <w:rPr>
          <w:rStyle w:val="FootnoteReference"/>
        </w:rPr>
        <w:footnoteRef/>
      </w:r>
      <w:r>
        <w:t xml:space="preserve"> </w:t>
      </w:r>
      <w:r>
        <w:tab/>
      </w:r>
      <w:hyperlink r:id="rId5" w:history="1">
        <w:r w:rsidRPr="00305E02">
          <w:rPr>
            <w:rStyle w:val="Hyperlink"/>
          </w:rPr>
          <w:t>www.aer.gov.au/node/11483</w:t>
        </w:r>
      </w:hyperlink>
      <w:r>
        <w:t xml:space="preserve"> </w:t>
      </w:r>
    </w:p>
  </w:footnote>
  <w:footnote w:id="22">
    <w:p w:rsidR="00954F42" w:rsidRDefault="00954F42">
      <w:pPr>
        <w:pStyle w:val="FootnoteText"/>
      </w:pPr>
      <w:r>
        <w:rPr>
          <w:rStyle w:val="FootnoteReference"/>
        </w:rPr>
        <w:footnoteRef/>
      </w:r>
      <w:r>
        <w:t xml:space="preserve"> </w:t>
      </w:r>
      <w:r>
        <w:tab/>
      </w:r>
      <w:r w:rsidRPr="003829C3">
        <w:t xml:space="preserve">AER, </w:t>
      </w:r>
      <w:r w:rsidRPr="00442EE8">
        <w:rPr>
          <w:rStyle w:val="AERtextitalic"/>
        </w:rPr>
        <w:t>Stage 1 Framework and approach paper – Ausgrid, Endeavour Energy and Essential Energy</w:t>
      </w:r>
      <w:r w:rsidRPr="003829C3">
        <w:t>, March 2013; www.aer.gov.au/node/11482</w:t>
      </w:r>
    </w:p>
  </w:footnote>
  <w:footnote w:id="23">
    <w:p w:rsidR="00954F42" w:rsidRDefault="00954F42" w:rsidP="00752EFA">
      <w:pPr>
        <w:pStyle w:val="FootnoteText"/>
      </w:pPr>
      <w:r>
        <w:rPr>
          <w:rStyle w:val="FootnoteReference"/>
        </w:rPr>
        <w:footnoteRef/>
      </w:r>
      <w:r>
        <w:t xml:space="preserve"> </w:t>
      </w:r>
      <w:r>
        <w:tab/>
        <w:t>NER, cl. 6.12.3(b).</w:t>
      </w:r>
    </w:p>
  </w:footnote>
  <w:footnote w:id="24">
    <w:p w:rsidR="00954F42" w:rsidRDefault="00954F42">
      <w:pPr>
        <w:pStyle w:val="FootnoteText"/>
      </w:pPr>
      <w:r>
        <w:rPr>
          <w:rStyle w:val="FootnoteReference"/>
        </w:rPr>
        <w:footnoteRef/>
      </w:r>
      <w:r>
        <w:t xml:space="preserve"> </w:t>
      </w:r>
      <w:r>
        <w:tab/>
        <w:t>NER, cl. 6.24.</w:t>
      </w:r>
    </w:p>
  </w:footnote>
  <w:footnote w:id="25">
    <w:p w:rsidR="00954F42" w:rsidRDefault="00954F42">
      <w:pPr>
        <w:pStyle w:val="FootnoteText"/>
      </w:pPr>
      <w:r>
        <w:rPr>
          <w:rStyle w:val="FootnoteReference"/>
        </w:rPr>
        <w:footnoteRef/>
      </w:r>
      <w:r>
        <w:t xml:space="preserve"> </w:t>
      </w:r>
      <w:r>
        <w:tab/>
        <w:t xml:space="preserve">AER, </w:t>
      </w:r>
      <w:r w:rsidRPr="00F858E6">
        <w:rPr>
          <w:rStyle w:val="AERtextitalic"/>
        </w:rPr>
        <w:t>Stage 1 framework and approach paper ActewAGL</w:t>
      </w:r>
      <w:r>
        <w:rPr>
          <w:rStyle w:val="AERtextitalic"/>
          <w:rFonts w:cs="Gautami"/>
        </w:rPr>
        <w:t>–</w:t>
      </w:r>
      <w:r w:rsidRPr="00F858E6">
        <w:rPr>
          <w:rStyle w:val="AERtextitalic"/>
        </w:rPr>
        <w:t xml:space="preserve">- transitional regulatory control period 1 July 2014 to 30 June 2015 </w:t>
      </w:r>
      <w:r>
        <w:rPr>
          <w:rStyle w:val="AERtextitalic"/>
          <w:rFonts w:cs="Gautami"/>
        </w:rPr>
        <w:t>–</w:t>
      </w:r>
      <w:r w:rsidRPr="00F858E6">
        <w:rPr>
          <w:rStyle w:val="AERtextitalic"/>
        </w:rPr>
        <w:t xml:space="preserve"> subsequent regulatory control period 1 July 2015 to 30 June 2019</w:t>
      </w:r>
      <w:r>
        <w:t xml:space="preserve">, March 2013, p. 43. </w:t>
      </w:r>
    </w:p>
  </w:footnote>
  <w:footnote w:id="26">
    <w:p w:rsidR="00954F42" w:rsidRDefault="00954F42" w:rsidP="00E3760B">
      <w:pPr>
        <w:pStyle w:val="FootnoteText"/>
        <w:tabs>
          <w:tab w:val="left" w:pos="-3544"/>
        </w:tabs>
      </w:pPr>
      <w:r>
        <w:rPr>
          <w:rStyle w:val="FootnoteReference"/>
        </w:rPr>
        <w:footnoteRef/>
      </w:r>
      <w:r>
        <w:t xml:space="preserve"> </w:t>
      </w:r>
      <w:r>
        <w:tab/>
        <w:t>NER, cl. 6.5.7(c).</w:t>
      </w:r>
      <w:r>
        <w:tab/>
      </w:r>
    </w:p>
  </w:footnote>
  <w:footnote w:id="27">
    <w:p w:rsidR="00954F42" w:rsidRDefault="00954F42" w:rsidP="00E3760B">
      <w:pPr>
        <w:pStyle w:val="FootnoteText"/>
      </w:pPr>
      <w:r>
        <w:rPr>
          <w:rStyle w:val="FootnoteReference"/>
        </w:rPr>
        <w:footnoteRef/>
      </w:r>
      <w:r>
        <w:t xml:space="preserve"> </w:t>
      </w:r>
      <w:r>
        <w:tab/>
        <w:t>NER, cl. 6.5.7(e).</w:t>
      </w:r>
    </w:p>
  </w:footnote>
  <w:footnote w:id="28">
    <w:p w:rsidR="00954F42" w:rsidRDefault="00954F42" w:rsidP="00E3760B">
      <w:pPr>
        <w:pStyle w:val="FootnoteText"/>
      </w:pPr>
      <w:r>
        <w:rPr>
          <w:rStyle w:val="FootnoteReference"/>
        </w:rPr>
        <w:footnoteRef/>
      </w:r>
      <w:r>
        <w:t xml:space="preserve"> </w:t>
      </w:r>
      <w:r>
        <w:tab/>
        <w:t xml:space="preserve">AER, </w:t>
      </w:r>
      <w:r w:rsidRPr="00422DC4">
        <w:rPr>
          <w:rStyle w:val="AERtextitalic"/>
        </w:rPr>
        <w:t>Expenditure forecast assessment guideline</w:t>
      </w:r>
      <w:r>
        <w:t>, November 2013.</w:t>
      </w:r>
    </w:p>
  </w:footnote>
  <w:footnote w:id="29">
    <w:p w:rsidR="00954F42" w:rsidRDefault="00954F42">
      <w:pPr>
        <w:pStyle w:val="FootnoteText"/>
      </w:pPr>
      <w:r>
        <w:rPr>
          <w:rStyle w:val="FootnoteReference"/>
        </w:rPr>
        <w:footnoteRef/>
      </w:r>
      <w:r>
        <w:t xml:space="preserve"> </w:t>
      </w:r>
      <w:r>
        <w:tab/>
        <w:t xml:space="preserve">The figure shows, for the 2014–19 period, ActewAGL's proposed total capex for both its distribution standard control assets and transmission assets. </w:t>
      </w:r>
    </w:p>
  </w:footnote>
  <w:footnote w:id="30">
    <w:p w:rsidR="00954F42" w:rsidRDefault="00954F42" w:rsidP="005A5FB6">
      <w:pPr>
        <w:pStyle w:val="FootnoteText"/>
      </w:pPr>
      <w:r>
        <w:rPr>
          <w:rStyle w:val="FootnoteReference"/>
        </w:rPr>
        <w:footnoteRef/>
      </w:r>
      <w:r>
        <w:t xml:space="preserve"> </w:t>
      </w:r>
      <w:r>
        <w:tab/>
        <w:t xml:space="preserve">ActewAGL, </w:t>
      </w:r>
      <w:r w:rsidRPr="008E74D4">
        <w:rPr>
          <w:rStyle w:val="AERtextitalic"/>
        </w:rPr>
        <w:t>Regulatory proposal</w:t>
      </w:r>
      <w:r>
        <w:t>, June 2014, p. 160.</w:t>
      </w:r>
    </w:p>
  </w:footnote>
  <w:footnote w:id="31">
    <w:p w:rsidR="00954F42" w:rsidRDefault="00954F42" w:rsidP="00E3760B">
      <w:pPr>
        <w:pStyle w:val="FootnoteText"/>
      </w:pPr>
      <w:r>
        <w:rPr>
          <w:rStyle w:val="FootnoteReference"/>
        </w:rPr>
        <w:footnoteRef/>
      </w:r>
      <w:r>
        <w:t xml:space="preserve"> </w:t>
      </w:r>
      <w:r>
        <w:tab/>
        <w:t>Excludes overheads.</w:t>
      </w:r>
    </w:p>
  </w:footnote>
  <w:footnote w:id="32">
    <w:p w:rsidR="00954F42" w:rsidRDefault="00954F42">
      <w:pPr>
        <w:pStyle w:val="FootnoteText"/>
      </w:pPr>
      <w:r>
        <w:rPr>
          <w:rStyle w:val="FootnoteReference"/>
        </w:rPr>
        <w:footnoteRef/>
      </w:r>
      <w:r>
        <w:t xml:space="preserve"> </w:t>
      </w:r>
      <w:r>
        <w:tab/>
        <w:t xml:space="preserve">ActewAGL, </w:t>
      </w:r>
      <w:r w:rsidRPr="008A0661">
        <w:rPr>
          <w:rStyle w:val="AERtextitalic"/>
        </w:rPr>
        <w:t>Regulatory proposal</w:t>
      </w:r>
      <w:r>
        <w:t>, June 2014, p. 183.</w:t>
      </w:r>
    </w:p>
  </w:footnote>
  <w:footnote w:id="33">
    <w:p w:rsidR="00954F42" w:rsidRDefault="00954F42">
      <w:pPr>
        <w:pStyle w:val="FootnoteText"/>
      </w:pPr>
      <w:r>
        <w:rPr>
          <w:rStyle w:val="FootnoteReference"/>
        </w:rPr>
        <w:footnoteRef/>
      </w:r>
      <w:r>
        <w:t xml:space="preserve"> </w:t>
      </w:r>
      <w:r>
        <w:tab/>
        <w:t>ActewAGL did not submit a consistent time series for peak demand. Rather, it submitted a combination of raw peak demand actuals and weather corrected peak demand forecasts. Weather corrected forecasts are 10 per cent POE, network coincident maximum demand.</w:t>
      </w:r>
    </w:p>
  </w:footnote>
  <w:footnote w:id="34">
    <w:p w:rsidR="00954F42" w:rsidRDefault="00954F42" w:rsidP="007244F9">
      <w:pPr>
        <w:pStyle w:val="FootnoteText"/>
        <w:tabs>
          <w:tab w:val="left" w:pos="3195"/>
        </w:tabs>
      </w:pPr>
      <w:r>
        <w:rPr>
          <w:rStyle w:val="FootnoteReference"/>
        </w:rPr>
        <w:footnoteRef/>
      </w:r>
      <w:r>
        <w:t xml:space="preserve"> </w:t>
      </w:r>
      <w:r>
        <w:tab/>
        <w:t>NER, cl. 6.5.6(c).</w:t>
      </w:r>
      <w:r>
        <w:tab/>
      </w:r>
    </w:p>
  </w:footnote>
  <w:footnote w:id="35">
    <w:p w:rsidR="00954F42" w:rsidRDefault="00954F42" w:rsidP="007244F9">
      <w:pPr>
        <w:pStyle w:val="FootnoteText"/>
      </w:pPr>
      <w:r>
        <w:rPr>
          <w:rStyle w:val="FootnoteReference"/>
        </w:rPr>
        <w:footnoteRef/>
      </w:r>
      <w:r>
        <w:t xml:space="preserve"> </w:t>
      </w:r>
      <w:r>
        <w:tab/>
        <w:t>NER, cl. 6.5.6(e).</w:t>
      </w:r>
    </w:p>
  </w:footnote>
  <w:footnote w:id="36">
    <w:p w:rsidR="00954F42" w:rsidRDefault="00954F42" w:rsidP="007244F9">
      <w:pPr>
        <w:pStyle w:val="FootnoteText"/>
      </w:pPr>
      <w:r>
        <w:rPr>
          <w:rStyle w:val="FootnoteReference"/>
        </w:rPr>
        <w:footnoteRef/>
      </w:r>
      <w:r>
        <w:t xml:space="preserve"> </w:t>
      </w:r>
      <w:r>
        <w:tab/>
        <w:t>NER, cl. 6.5.6(d).</w:t>
      </w:r>
    </w:p>
  </w:footnote>
  <w:footnote w:id="37">
    <w:p w:rsidR="00954F42" w:rsidRDefault="00954F42">
      <w:pPr>
        <w:pStyle w:val="FootnoteText"/>
      </w:pPr>
      <w:r>
        <w:rPr>
          <w:rStyle w:val="FootnoteReference"/>
        </w:rPr>
        <w:footnoteRef/>
      </w:r>
      <w:r>
        <w:t xml:space="preserve"> </w:t>
      </w:r>
      <w:r>
        <w:tab/>
        <w:t xml:space="preserve">AER, </w:t>
      </w:r>
      <w:r w:rsidRPr="00592EF3">
        <w:rPr>
          <w:rStyle w:val="AERtextitalic"/>
        </w:rPr>
        <w:t>Expenditure forecast assessment guideline</w:t>
      </w:r>
      <w:r>
        <w:t xml:space="preserve">, November 2013. </w:t>
      </w:r>
    </w:p>
  </w:footnote>
  <w:footnote w:id="38">
    <w:p w:rsidR="00954F42" w:rsidRDefault="00954F42">
      <w:pPr>
        <w:pStyle w:val="FootnoteText"/>
      </w:pPr>
      <w:r>
        <w:rPr>
          <w:rStyle w:val="FootnoteReference"/>
        </w:rPr>
        <w:footnoteRef/>
      </w:r>
      <w:r>
        <w:t xml:space="preserve"> </w:t>
      </w:r>
      <w:r>
        <w:tab/>
        <w:t xml:space="preserve">ActewAGL, </w:t>
      </w:r>
      <w:r w:rsidRPr="00F10E88">
        <w:rPr>
          <w:rStyle w:val="AERtextitalic"/>
        </w:rPr>
        <w:t>Regulatory proposal</w:t>
      </w:r>
      <w:r>
        <w:t>, June 2014, p. 214.</w:t>
      </w:r>
    </w:p>
  </w:footnote>
  <w:footnote w:id="39">
    <w:p w:rsidR="00954F42" w:rsidRDefault="00954F42">
      <w:pPr>
        <w:pStyle w:val="FootnoteText"/>
      </w:pPr>
      <w:r>
        <w:rPr>
          <w:rStyle w:val="FootnoteReference"/>
        </w:rPr>
        <w:footnoteRef/>
      </w:r>
      <w:r>
        <w:t xml:space="preserve"> </w:t>
      </w:r>
      <w:r>
        <w:tab/>
        <w:t xml:space="preserve">ActewAGL, </w:t>
      </w:r>
      <w:r w:rsidRPr="00E013A3">
        <w:rPr>
          <w:rStyle w:val="AERtextitalic"/>
        </w:rPr>
        <w:t>Regulatory proposal</w:t>
      </w:r>
      <w:r>
        <w:t>, June 2014, p. 227.</w:t>
      </w:r>
    </w:p>
  </w:footnote>
  <w:footnote w:id="40">
    <w:p w:rsidR="00954F42" w:rsidRDefault="00954F42">
      <w:pPr>
        <w:pStyle w:val="FootnoteText"/>
      </w:pPr>
      <w:r>
        <w:rPr>
          <w:rStyle w:val="FootnoteReference"/>
        </w:rPr>
        <w:footnoteRef/>
      </w:r>
      <w:r>
        <w:t xml:space="preserve"> </w:t>
      </w:r>
      <w:r>
        <w:tab/>
        <w:t xml:space="preserve">The figure shows, for the 2014–19 period, ActewAGL's proposed opex for both its distribution standard control services and transmission services. </w:t>
      </w:r>
    </w:p>
  </w:footnote>
  <w:footnote w:id="41">
    <w:p w:rsidR="00954F42" w:rsidRDefault="00954F42" w:rsidP="009106E8">
      <w:pPr>
        <w:pStyle w:val="FootnoteText"/>
      </w:pPr>
      <w:r>
        <w:rPr>
          <w:rStyle w:val="FootnoteReference"/>
        </w:rPr>
        <w:footnoteRef/>
      </w:r>
      <w:r>
        <w:t xml:space="preserve"> </w:t>
      </w:r>
      <w:r>
        <w:tab/>
        <w:t xml:space="preserve">ActewAGL, </w:t>
      </w:r>
      <w:r w:rsidRPr="005A5FB6">
        <w:rPr>
          <w:rStyle w:val="AERtextitalic"/>
        </w:rPr>
        <w:t>Regulatory proposal</w:t>
      </w:r>
      <w:r>
        <w:t>, June 2014, p. 227.</w:t>
      </w:r>
    </w:p>
  </w:footnote>
  <w:footnote w:id="42">
    <w:p w:rsidR="00954F42" w:rsidRDefault="00954F42" w:rsidP="009106E8">
      <w:pPr>
        <w:pStyle w:val="FootnoteText"/>
      </w:pPr>
      <w:r>
        <w:rPr>
          <w:rStyle w:val="FootnoteReference"/>
        </w:rPr>
        <w:footnoteRef/>
      </w:r>
      <w:r>
        <w:t xml:space="preserve"> </w:t>
      </w:r>
      <w:r>
        <w:tab/>
        <w:t xml:space="preserve">ActewAGL, </w:t>
      </w:r>
      <w:r w:rsidRPr="005A5FB6">
        <w:rPr>
          <w:rStyle w:val="AERtextitalic"/>
        </w:rPr>
        <w:t>Regulatory proposal</w:t>
      </w:r>
      <w:r>
        <w:t>, June 2014, p. 224.</w:t>
      </w:r>
    </w:p>
  </w:footnote>
  <w:footnote w:id="43">
    <w:p w:rsidR="00954F42" w:rsidRDefault="00954F42" w:rsidP="009106E8">
      <w:pPr>
        <w:pStyle w:val="FootnoteText"/>
      </w:pPr>
      <w:r>
        <w:rPr>
          <w:rStyle w:val="FootnoteReference"/>
        </w:rPr>
        <w:footnoteRef/>
      </w:r>
      <w:r>
        <w:t xml:space="preserve"> </w:t>
      </w:r>
      <w:r>
        <w:tab/>
        <w:t xml:space="preserve">ActewAGL, </w:t>
      </w:r>
      <w:r w:rsidRPr="005A5FB6">
        <w:rPr>
          <w:rStyle w:val="AERtextitalic"/>
        </w:rPr>
        <w:t>Regulatory proposal</w:t>
      </w:r>
      <w:r>
        <w:t>, June 2014, p. 234.</w:t>
      </w:r>
    </w:p>
  </w:footnote>
  <w:footnote w:id="44">
    <w:p w:rsidR="00954F42" w:rsidRDefault="00954F42" w:rsidP="009106E8">
      <w:pPr>
        <w:pStyle w:val="FootnoteText"/>
      </w:pPr>
      <w:r>
        <w:rPr>
          <w:rStyle w:val="FootnoteReference"/>
        </w:rPr>
        <w:footnoteRef/>
      </w:r>
      <w:r>
        <w:t xml:space="preserve"> </w:t>
      </w:r>
      <w:r>
        <w:tab/>
        <w:t xml:space="preserve">ActewAGL, </w:t>
      </w:r>
      <w:r w:rsidRPr="00FA1C04">
        <w:rPr>
          <w:rStyle w:val="AERtextitalic"/>
        </w:rPr>
        <w:t>Regulatory proposal</w:t>
      </w:r>
      <w:r>
        <w:t>, June 2014, p. 226.</w:t>
      </w:r>
    </w:p>
  </w:footnote>
  <w:footnote w:id="45">
    <w:p w:rsidR="00954F42" w:rsidRDefault="00954F42">
      <w:pPr>
        <w:pStyle w:val="FootnoteText"/>
      </w:pPr>
      <w:r>
        <w:rPr>
          <w:rStyle w:val="FootnoteReference"/>
        </w:rPr>
        <w:footnoteRef/>
      </w:r>
      <w:r>
        <w:t xml:space="preserve"> </w:t>
      </w:r>
      <w:r>
        <w:tab/>
        <w:t>NER, cl. 6.6.1(a1).</w:t>
      </w:r>
    </w:p>
  </w:footnote>
  <w:footnote w:id="46">
    <w:p w:rsidR="00954F42" w:rsidRDefault="00954F42" w:rsidP="00EC5E1E">
      <w:pPr>
        <w:pStyle w:val="FootnoteText"/>
      </w:pPr>
      <w:r>
        <w:rPr>
          <w:rStyle w:val="FootnoteReference"/>
        </w:rPr>
        <w:footnoteRef/>
      </w:r>
      <w:r>
        <w:t xml:space="preserve"> </w:t>
      </w:r>
      <w:r>
        <w:tab/>
        <w:t xml:space="preserve">AER, </w:t>
      </w:r>
      <w:r w:rsidRPr="00044971">
        <w:rPr>
          <w:rStyle w:val="AERtextitalic"/>
        </w:rPr>
        <w:t>Rate of return guideline</w:t>
      </w:r>
      <w:r>
        <w:t>, December 2013.</w:t>
      </w:r>
    </w:p>
  </w:footnote>
  <w:footnote w:id="47">
    <w:p w:rsidR="00954F42" w:rsidRDefault="00954F42">
      <w:pPr>
        <w:pStyle w:val="FootnoteText"/>
      </w:pPr>
      <w:r>
        <w:rPr>
          <w:rStyle w:val="FootnoteReference"/>
        </w:rPr>
        <w:footnoteRef/>
      </w:r>
      <w:r>
        <w:t xml:space="preserve"> </w:t>
      </w:r>
      <w:r>
        <w:tab/>
        <w:t xml:space="preserve">AER, </w:t>
      </w:r>
      <w:r w:rsidRPr="00592EF3">
        <w:rPr>
          <w:rStyle w:val="AERtextitalic"/>
        </w:rPr>
        <w:t>Return on debt: Choice of third party data service provider</w:t>
      </w:r>
      <w:r>
        <w:rPr>
          <w:rStyle w:val="AERtextitalic"/>
        </w:rPr>
        <w:t xml:space="preserve"> </w:t>
      </w:r>
      <w:r>
        <w:rPr>
          <w:rStyle w:val="AERtextitalic"/>
          <w:rFonts w:cs="Gautami"/>
        </w:rPr>
        <w:t>–</w:t>
      </w:r>
      <w:r>
        <w:rPr>
          <w:rStyle w:val="AERtextitalic"/>
        </w:rPr>
        <w:t xml:space="preserve"> Issues paper</w:t>
      </w:r>
      <w:r>
        <w:t>, April 2014.</w:t>
      </w:r>
    </w:p>
  </w:footnote>
  <w:footnote w:id="48">
    <w:p w:rsidR="00954F42" w:rsidRDefault="00954F42">
      <w:pPr>
        <w:pStyle w:val="FootnoteText"/>
      </w:pPr>
      <w:r>
        <w:rPr>
          <w:rStyle w:val="FootnoteReference"/>
        </w:rPr>
        <w:footnoteRef/>
      </w:r>
      <w:r>
        <w:t xml:space="preserve"> </w:t>
      </w:r>
      <w:r>
        <w:tab/>
        <w:t xml:space="preserve">ActewAGL, </w:t>
      </w:r>
      <w:r w:rsidRPr="002225A9">
        <w:rPr>
          <w:rStyle w:val="AERtextitalic"/>
        </w:rPr>
        <w:t>Regulatory proposal</w:t>
      </w:r>
      <w:r>
        <w:t>, June 2014, p. 289.</w:t>
      </w:r>
    </w:p>
  </w:footnote>
  <w:footnote w:id="49">
    <w:p w:rsidR="00954F42" w:rsidRDefault="00954F42">
      <w:pPr>
        <w:pStyle w:val="FootnoteText"/>
      </w:pPr>
      <w:r>
        <w:rPr>
          <w:rStyle w:val="FootnoteReference"/>
        </w:rPr>
        <w:footnoteRef/>
      </w:r>
      <w:r>
        <w:t xml:space="preserve"> </w:t>
      </w:r>
      <w:r>
        <w:tab/>
        <w:t xml:space="preserve">ActewAGL, </w:t>
      </w:r>
      <w:r w:rsidRPr="002225A9">
        <w:rPr>
          <w:rStyle w:val="AERtextitalic"/>
        </w:rPr>
        <w:t>Regulatory proposal</w:t>
      </w:r>
      <w:r>
        <w:t>, June 2014, p. 290.</w:t>
      </w:r>
    </w:p>
  </w:footnote>
  <w:footnote w:id="50">
    <w:p w:rsidR="00954F42" w:rsidRDefault="00954F42">
      <w:pPr>
        <w:pStyle w:val="FootnoteText"/>
      </w:pPr>
      <w:r>
        <w:rPr>
          <w:rStyle w:val="FootnoteReference"/>
        </w:rPr>
        <w:footnoteRef/>
      </w:r>
      <w:r>
        <w:t xml:space="preserve"> </w:t>
      </w:r>
      <w:r>
        <w:tab/>
        <w:t>We will also determine ActewAGL's transmission revenue.</w:t>
      </w:r>
    </w:p>
  </w:footnote>
  <w:footnote w:id="51">
    <w:p w:rsidR="00954F42" w:rsidRDefault="00954F42" w:rsidP="00EB5108">
      <w:pPr>
        <w:pStyle w:val="FootnoteText"/>
      </w:pPr>
      <w:r>
        <w:rPr>
          <w:rStyle w:val="FootnoteReference"/>
        </w:rPr>
        <w:footnoteRef/>
      </w:r>
      <w:r>
        <w:t xml:space="preserve">  </w:t>
      </w:r>
      <w:r>
        <w:tab/>
        <w:t>There is also a secondary impact on the tax allowance.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3AAB"/>
    <w:multiLevelType w:val="hybridMultilevel"/>
    <w:tmpl w:val="CD76C2E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E83E63"/>
    <w:multiLevelType w:val="multilevel"/>
    <w:tmpl w:val="6C3CD5A2"/>
    <w:numStyleLink w:val="AERHeadings"/>
  </w:abstractNum>
  <w:abstractNum w:abstractNumId="2">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0B102140"/>
    <w:multiLevelType w:val="multilevel"/>
    <w:tmpl w:val="B4F49178"/>
    <w:numStyleLink w:val="AERnumberedlist"/>
  </w:abstractNum>
  <w:abstractNum w:abstractNumId="4">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5">
    <w:nsid w:val="100126CE"/>
    <w:multiLevelType w:val="hybridMultilevel"/>
    <w:tmpl w:val="34B2EBC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3597CF9"/>
    <w:multiLevelType w:val="multilevel"/>
    <w:tmpl w:val="B4F49178"/>
    <w:numStyleLink w:val="AERnumberedlist"/>
  </w:abstractNum>
  <w:abstractNum w:abstractNumId="7">
    <w:nsid w:val="176B27A6"/>
    <w:multiLevelType w:val="multilevel"/>
    <w:tmpl w:val="6C3CD5A2"/>
    <w:numStyleLink w:val="AERHeadings"/>
  </w:abstractNum>
  <w:abstractNum w:abstractNumId="8">
    <w:nsid w:val="1972601F"/>
    <w:multiLevelType w:val="multilevel"/>
    <w:tmpl w:val="6C3CD5A2"/>
    <w:numStyleLink w:val="AERHeadings"/>
  </w:abstractNum>
  <w:abstractNum w:abstractNumId="9">
    <w:nsid w:val="1DFA331B"/>
    <w:multiLevelType w:val="multilevel"/>
    <w:tmpl w:val="B4F49178"/>
    <w:numStyleLink w:val="AERnumberedlist"/>
  </w:abstractNum>
  <w:abstractNum w:abstractNumId="10">
    <w:nsid w:val="233428C7"/>
    <w:multiLevelType w:val="multilevel"/>
    <w:tmpl w:val="B4F49178"/>
    <w:numStyleLink w:val="AERnumberedlist"/>
  </w:abstractNum>
  <w:abstractNum w:abstractNumId="11">
    <w:nsid w:val="2776270C"/>
    <w:multiLevelType w:val="multilevel"/>
    <w:tmpl w:val="B4F49178"/>
    <w:numStyleLink w:val="AERnumberedlist"/>
  </w:abstractNum>
  <w:abstractNum w:abstractNumId="12">
    <w:nsid w:val="281977C0"/>
    <w:multiLevelType w:val="multilevel"/>
    <w:tmpl w:val="6C3CD5A2"/>
    <w:numStyleLink w:val="AERHeadings"/>
  </w:abstractNum>
  <w:abstractNum w:abstractNumId="13">
    <w:nsid w:val="295C7239"/>
    <w:multiLevelType w:val="multilevel"/>
    <w:tmpl w:val="6C3CD5A2"/>
    <w:numStyleLink w:val="AERHeadings"/>
  </w:abstractNum>
  <w:abstractNum w:abstractNumId="14">
    <w:nsid w:val="2C2D6B9E"/>
    <w:multiLevelType w:val="multilevel"/>
    <w:tmpl w:val="6C3CD5A2"/>
    <w:numStyleLink w:val="AERHeadings"/>
  </w:abstractNum>
  <w:abstractNum w:abstractNumId="15">
    <w:nsid w:val="2DB12A3A"/>
    <w:multiLevelType w:val="multilevel"/>
    <w:tmpl w:val="6C3CD5A2"/>
    <w:numStyleLink w:val="AERHeadings"/>
  </w:abstractNum>
  <w:abstractNum w:abstractNumId="16">
    <w:nsid w:val="2FB612CC"/>
    <w:multiLevelType w:val="multilevel"/>
    <w:tmpl w:val="6C3CD5A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nsid w:val="333E0E05"/>
    <w:multiLevelType w:val="multilevel"/>
    <w:tmpl w:val="6C3CD5A2"/>
    <w:numStyleLink w:val="AERHeadings"/>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5CF7897"/>
    <w:multiLevelType w:val="hybridMultilevel"/>
    <w:tmpl w:val="86A25B56"/>
    <w:lvl w:ilvl="0" w:tplc="E5987B3E">
      <w:start w:val="1"/>
      <w:numFmt w:val="bullet"/>
      <w:lvlText w:val="–"/>
      <w:lvlJc w:val="left"/>
      <w:pPr>
        <w:ind w:left="720" w:hanging="360"/>
      </w:pPr>
      <w:rPr>
        <w:rFonts w:ascii="Gautami" w:eastAsia="Times New Roman" w:hAnsi="Gautami" w:cs="Gautam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721288"/>
    <w:multiLevelType w:val="multilevel"/>
    <w:tmpl w:val="6C3CD5A2"/>
    <w:numStyleLink w:val="AERHeadings"/>
  </w:abstractNum>
  <w:abstractNum w:abstractNumId="24">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5">
    <w:nsid w:val="4F037C49"/>
    <w:multiLevelType w:val="multilevel"/>
    <w:tmpl w:val="B4F49178"/>
    <w:numStyleLink w:val="AERnumberedlist"/>
  </w:abstractNum>
  <w:abstractNum w:abstractNumId="26">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1487971"/>
    <w:multiLevelType w:val="multilevel"/>
    <w:tmpl w:val="B4F49178"/>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499"/>
        </w:tabs>
        <w:ind w:left="499"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1807103"/>
    <w:multiLevelType w:val="multilevel"/>
    <w:tmpl w:val="B4F49178"/>
    <w:numStyleLink w:val="AERnumberedlist"/>
  </w:abstractNum>
  <w:abstractNum w:abstractNumId="29">
    <w:nsid w:val="5D386EA7"/>
    <w:multiLevelType w:val="multilevel"/>
    <w:tmpl w:val="6C3CD5A2"/>
    <w:numStyleLink w:val="AERHeadings"/>
  </w:abstractNum>
  <w:abstractNum w:abstractNumId="30">
    <w:nsid w:val="5DCC1B18"/>
    <w:multiLevelType w:val="multilevel"/>
    <w:tmpl w:val="B4F49178"/>
    <w:numStyleLink w:val="AERnumberedlist"/>
  </w:abstractNum>
  <w:abstractNum w:abstractNumId="31">
    <w:nsid w:val="68247CF7"/>
    <w:multiLevelType w:val="multilevel"/>
    <w:tmpl w:val="6C3CD5A2"/>
    <w:numStyleLink w:val="AERHeadings"/>
  </w:abstractNum>
  <w:abstractNum w:abstractNumId="32">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4595980"/>
    <w:multiLevelType w:val="multilevel"/>
    <w:tmpl w:val="6C3CD5A2"/>
    <w:numStyleLink w:val="AERHeadings"/>
  </w:abstractNum>
  <w:abstractNum w:abstractNumId="34">
    <w:nsid w:val="74BB6C5B"/>
    <w:multiLevelType w:val="hybridMultilevel"/>
    <w:tmpl w:val="09C0822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35">
    <w:nsid w:val="74F81DDF"/>
    <w:multiLevelType w:val="multilevel"/>
    <w:tmpl w:val="6C3CD5A2"/>
    <w:numStyleLink w:val="AERHeadings"/>
  </w:abstractNum>
  <w:abstractNum w:abstractNumId="36">
    <w:nsid w:val="787F66A4"/>
    <w:multiLevelType w:val="multilevel"/>
    <w:tmpl w:val="6C3CD5A2"/>
    <w:numStyleLink w:val="AERHeadings"/>
  </w:abstractNum>
  <w:abstractNum w:abstractNumId="37">
    <w:nsid w:val="7AAC6DD7"/>
    <w:multiLevelType w:val="multilevel"/>
    <w:tmpl w:val="6C3CD5A2"/>
    <w:numStyleLink w:val="AERHeadings"/>
  </w:abstractNum>
  <w:abstractNum w:abstractNumId="38">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BE97BF8"/>
    <w:multiLevelType w:val="multilevel"/>
    <w:tmpl w:val="6C3CD5A2"/>
    <w:numStyleLink w:val="AERHeadings"/>
  </w:abstractNum>
  <w:abstractNum w:abstractNumId="40">
    <w:nsid w:val="7CDA0F5F"/>
    <w:multiLevelType w:val="multilevel"/>
    <w:tmpl w:val="6C3CD5A2"/>
    <w:numStyleLink w:val="AERHeadings"/>
  </w:abstractNum>
  <w:num w:numId="1">
    <w:abstractNumId w:val="32"/>
  </w:num>
  <w:num w:numId="2">
    <w:abstractNumId w:val="16"/>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
    <w:abstractNumId w:val="2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4"/>
    <w:lvlOverride w:ilvl="0">
      <w:startOverride w:val="1"/>
    </w:lvlOverride>
  </w:num>
  <w:num w:numId="7">
    <w:abstractNumId w:val="22"/>
  </w:num>
  <w:num w:numId="8">
    <w:abstractNumId w:val="18"/>
  </w:num>
  <w:num w:numId="9">
    <w:abstractNumId w:val="38"/>
  </w:num>
  <w:num w:numId="10">
    <w:abstractNumId w:val="24"/>
    <w:lvlOverride w:ilvl="0">
      <w:startOverride w:val="1"/>
    </w:lvlOverride>
  </w:num>
  <w:num w:numId="11">
    <w:abstractNumId w:val="2"/>
  </w:num>
  <w:num w:numId="12">
    <w:abstractNumId w:val="24"/>
    <w:lvlOverride w:ilvl="0">
      <w:startOverride w:val="1"/>
    </w:lvlOverride>
  </w:num>
  <w:num w:numId="13">
    <w:abstractNumId w:val="27"/>
    <w:lvlOverride w:ilvl="0">
      <w:lvl w:ilvl="0">
        <w:start w:val="1"/>
        <w:numFmt w:val="none"/>
        <w:pStyle w:val="AERbodytext"/>
        <w:lvlText w:val="%1"/>
        <w:lvlJc w:val="left"/>
        <w:pPr>
          <w:tabs>
            <w:tab w:val="num" w:pos="0"/>
          </w:tabs>
          <w:ind w:left="0" w:firstLine="0"/>
        </w:pPr>
        <w:rPr>
          <w:rFonts w:hint="default"/>
        </w:rPr>
      </w:lvl>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
  </w:num>
  <w:num w:numId="17">
    <w:abstractNumId w:val="25"/>
  </w:num>
  <w:num w:numId="18">
    <w:abstractNumId w:val="9"/>
  </w:num>
  <w:num w:numId="19">
    <w:abstractNumId w:val="11"/>
  </w:num>
  <w:num w:numId="20">
    <w:abstractNumId w:val="35"/>
  </w:num>
  <w:num w:numId="21">
    <w:abstractNumId w:val="30"/>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40"/>
  </w:num>
  <w:num w:numId="28">
    <w:abstractNumId w:val="19"/>
  </w:num>
  <w:num w:numId="29">
    <w:abstractNumId w:val="12"/>
  </w:num>
  <w:num w:numId="30">
    <w:abstractNumId w:val="7"/>
  </w:num>
  <w:num w:numId="31">
    <w:abstractNumId w:val="1"/>
  </w:num>
  <w:num w:numId="32">
    <w:abstractNumId w:val="8"/>
  </w:num>
  <w:num w:numId="33">
    <w:abstractNumId w:val="36"/>
  </w:num>
  <w:num w:numId="34">
    <w:abstractNumId w:val="31"/>
  </w:num>
  <w:num w:numId="35">
    <w:abstractNumId w:val="33"/>
  </w:num>
  <w:num w:numId="36">
    <w:abstractNumId w:val="39"/>
  </w:num>
  <w:num w:numId="37">
    <w:abstractNumId w:val="29"/>
  </w:num>
  <w:num w:numId="38">
    <w:abstractNumId w:val="14"/>
  </w:num>
  <w:num w:numId="39">
    <w:abstractNumId w:val="15"/>
  </w:num>
  <w:num w:numId="40">
    <w:abstractNumId w:val="23"/>
  </w:num>
  <w:num w:numId="41">
    <w:abstractNumId w:val="28"/>
  </w:num>
  <w:num w:numId="42">
    <w:abstractNumId w:val="6"/>
  </w:num>
  <w:num w:numId="43">
    <w:abstractNumId w:val="37"/>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4">
    <w:abstractNumId w:val="26"/>
  </w:num>
  <w:num w:numId="45">
    <w:abstractNumId w:val="7"/>
  </w:num>
  <w:num w:numId="46">
    <w:abstractNumId w:val="5"/>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51">
    <w:abstractNumId w:val="16"/>
  </w:num>
  <w:num w:numId="52">
    <w:abstractNumId w:val="0"/>
  </w:num>
  <w:num w:numId="53">
    <w:abstractNumId w:val="34"/>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37"/>
  </w:num>
  <w:num w:numId="57">
    <w:abstractNumId w:val="21"/>
  </w:num>
  <w:num w:numId="58">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cumentProtection w:formatting="1" w:enforcement="1"/>
  <w:defaultTabStop w:val="720"/>
  <w:drawingGridHorizontalSpacing w:val="100"/>
  <w:displayHorizontalDrawingGridEvery w:val="2"/>
  <w:characterSpacingControl w:val="doNotCompress"/>
  <w:hdrShapeDefaults>
    <o:shapedefaults v:ext="edit" spidmax="83969">
      <o:colormru v:ext="edit" colors="silver,#ddd"/>
    </o:shapedefaults>
  </w:hdrShapeDefaults>
  <w:footnotePr>
    <w:footnote w:id="-1"/>
    <w:footnote w:id="0"/>
  </w:footnotePr>
  <w:endnotePr>
    <w:endnote w:id="-1"/>
    <w:endnote w:id="0"/>
  </w:endnotePr>
  <w:compat>
    <w:compatSetting w:name="compatibilityMode" w:uri="http://schemas.microsoft.com/office/word" w:val="12"/>
  </w:compat>
  <w:docVars>
    <w:docVar w:name="currentname" w:val="\\SCBRFS001\home$\rlowi\act electricity distribution 2 (D2014-00092549).docx"/>
  </w:docVars>
  <w:rsids>
    <w:rsidRoot w:val="000C052F"/>
    <w:rsid w:val="00000702"/>
    <w:rsid w:val="00000FBB"/>
    <w:rsid w:val="0000257E"/>
    <w:rsid w:val="00002B65"/>
    <w:rsid w:val="00003188"/>
    <w:rsid w:val="00003434"/>
    <w:rsid w:val="00003849"/>
    <w:rsid w:val="00003B01"/>
    <w:rsid w:val="000042F6"/>
    <w:rsid w:val="000045C3"/>
    <w:rsid w:val="00004F2A"/>
    <w:rsid w:val="00005DBA"/>
    <w:rsid w:val="000061AF"/>
    <w:rsid w:val="00006CC4"/>
    <w:rsid w:val="000105B6"/>
    <w:rsid w:val="00010680"/>
    <w:rsid w:val="00011129"/>
    <w:rsid w:val="0001161D"/>
    <w:rsid w:val="00011EFE"/>
    <w:rsid w:val="00012401"/>
    <w:rsid w:val="00012880"/>
    <w:rsid w:val="00012CD3"/>
    <w:rsid w:val="00013022"/>
    <w:rsid w:val="000131E1"/>
    <w:rsid w:val="00013950"/>
    <w:rsid w:val="000146C6"/>
    <w:rsid w:val="00015F8C"/>
    <w:rsid w:val="0001633E"/>
    <w:rsid w:val="00016C3F"/>
    <w:rsid w:val="00017813"/>
    <w:rsid w:val="0002175A"/>
    <w:rsid w:val="00022606"/>
    <w:rsid w:val="0002443A"/>
    <w:rsid w:val="00024902"/>
    <w:rsid w:val="00024DB0"/>
    <w:rsid w:val="00025152"/>
    <w:rsid w:val="00025CFC"/>
    <w:rsid w:val="00027666"/>
    <w:rsid w:val="00027908"/>
    <w:rsid w:val="00030066"/>
    <w:rsid w:val="000313A0"/>
    <w:rsid w:val="00031B91"/>
    <w:rsid w:val="00031D8C"/>
    <w:rsid w:val="0003213B"/>
    <w:rsid w:val="00033BFF"/>
    <w:rsid w:val="00034A30"/>
    <w:rsid w:val="00034D1A"/>
    <w:rsid w:val="000359C0"/>
    <w:rsid w:val="00035D89"/>
    <w:rsid w:val="00036E33"/>
    <w:rsid w:val="00040498"/>
    <w:rsid w:val="00040599"/>
    <w:rsid w:val="00040749"/>
    <w:rsid w:val="00040DDE"/>
    <w:rsid w:val="000428EE"/>
    <w:rsid w:val="00042B1E"/>
    <w:rsid w:val="00045878"/>
    <w:rsid w:val="00045E0A"/>
    <w:rsid w:val="00046402"/>
    <w:rsid w:val="000464A0"/>
    <w:rsid w:val="0004760F"/>
    <w:rsid w:val="0004794B"/>
    <w:rsid w:val="00050A09"/>
    <w:rsid w:val="00050F47"/>
    <w:rsid w:val="00050FB6"/>
    <w:rsid w:val="000514DD"/>
    <w:rsid w:val="00051551"/>
    <w:rsid w:val="000526A1"/>
    <w:rsid w:val="000526B3"/>
    <w:rsid w:val="0005369A"/>
    <w:rsid w:val="00053B5C"/>
    <w:rsid w:val="0005467F"/>
    <w:rsid w:val="000554A5"/>
    <w:rsid w:val="00055759"/>
    <w:rsid w:val="000561B9"/>
    <w:rsid w:val="00057870"/>
    <w:rsid w:val="00057EA2"/>
    <w:rsid w:val="00060100"/>
    <w:rsid w:val="00060770"/>
    <w:rsid w:val="000625D7"/>
    <w:rsid w:val="00062889"/>
    <w:rsid w:val="00062A5F"/>
    <w:rsid w:val="00063169"/>
    <w:rsid w:val="0006337E"/>
    <w:rsid w:val="000633E6"/>
    <w:rsid w:val="00064FE6"/>
    <w:rsid w:val="000650E0"/>
    <w:rsid w:val="0006747A"/>
    <w:rsid w:val="00070053"/>
    <w:rsid w:val="00071B86"/>
    <w:rsid w:val="00072936"/>
    <w:rsid w:val="0007365F"/>
    <w:rsid w:val="0007367D"/>
    <w:rsid w:val="00074860"/>
    <w:rsid w:val="000749DE"/>
    <w:rsid w:val="00074B4C"/>
    <w:rsid w:val="00074FBA"/>
    <w:rsid w:val="000764EC"/>
    <w:rsid w:val="000778A8"/>
    <w:rsid w:val="00081068"/>
    <w:rsid w:val="0008259F"/>
    <w:rsid w:val="00083592"/>
    <w:rsid w:val="000836C8"/>
    <w:rsid w:val="00084120"/>
    <w:rsid w:val="000847BB"/>
    <w:rsid w:val="00084F34"/>
    <w:rsid w:val="000851F1"/>
    <w:rsid w:val="00086505"/>
    <w:rsid w:val="00090478"/>
    <w:rsid w:val="00090DAA"/>
    <w:rsid w:val="0009184A"/>
    <w:rsid w:val="00091B2E"/>
    <w:rsid w:val="00091E6C"/>
    <w:rsid w:val="00092094"/>
    <w:rsid w:val="00092CE0"/>
    <w:rsid w:val="000932B3"/>
    <w:rsid w:val="0009356D"/>
    <w:rsid w:val="00094452"/>
    <w:rsid w:val="000945EE"/>
    <w:rsid w:val="00095E6B"/>
    <w:rsid w:val="00096559"/>
    <w:rsid w:val="00096718"/>
    <w:rsid w:val="000A1A55"/>
    <w:rsid w:val="000A1CC2"/>
    <w:rsid w:val="000A2DF9"/>
    <w:rsid w:val="000A34E1"/>
    <w:rsid w:val="000A41C3"/>
    <w:rsid w:val="000A42CE"/>
    <w:rsid w:val="000A492C"/>
    <w:rsid w:val="000A4C7A"/>
    <w:rsid w:val="000A5216"/>
    <w:rsid w:val="000A5342"/>
    <w:rsid w:val="000A5512"/>
    <w:rsid w:val="000A647B"/>
    <w:rsid w:val="000A6680"/>
    <w:rsid w:val="000B03BA"/>
    <w:rsid w:val="000B066D"/>
    <w:rsid w:val="000B0F95"/>
    <w:rsid w:val="000B15CA"/>
    <w:rsid w:val="000B2C24"/>
    <w:rsid w:val="000B2DD8"/>
    <w:rsid w:val="000B49F0"/>
    <w:rsid w:val="000B5321"/>
    <w:rsid w:val="000B54A6"/>
    <w:rsid w:val="000B57EA"/>
    <w:rsid w:val="000B5A02"/>
    <w:rsid w:val="000B7DF0"/>
    <w:rsid w:val="000C052F"/>
    <w:rsid w:val="000C0F80"/>
    <w:rsid w:val="000C17B7"/>
    <w:rsid w:val="000C271A"/>
    <w:rsid w:val="000C2841"/>
    <w:rsid w:val="000C3062"/>
    <w:rsid w:val="000C3430"/>
    <w:rsid w:val="000C3976"/>
    <w:rsid w:val="000C53F0"/>
    <w:rsid w:val="000C6BFC"/>
    <w:rsid w:val="000C781B"/>
    <w:rsid w:val="000C7AA1"/>
    <w:rsid w:val="000C7D07"/>
    <w:rsid w:val="000D03A8"/>
    <w:rsid w:val="000D03C2"/>
    <w:rsid w:val="000D04B1"/>
    <w:rsid w:val="000D1B53"/>
    <w:rsid w:val="000D1C2F"/>
    <w:rsid w:val="000D1F02"/>
    <w:rsid w:val="000D2A68"/>
    <w:rsid w:val="000D2F5B"/>
    <w:rsid w:val="000D3171"/>
    <w:rsid w:val="000D32DB"/>
    <w:rsid w:val="000D3958"/>
    <w:rsid w:val="000D401F"/>
    <w:rsid w:val="000D49C4"/>
    <w:rsid w:val="000D4A4B"/>
    <w:rsid w:val="000D4A6A"/>
    <w:rsid w:val="000D6111"/>
    <w:rsid w:val="000D613F"/>
    <w:rsid w:val="000D6261"/>
    <w:rsid w:val="000D6CF7"/>
    <w:rsid w:val="000D7073"/>
    <w:rsid w:val="000E02C7"/>
    <w:rsid w:val="000E1A25"/>
    <w:rsid w:val="000E20C4"/>
    <w:rsid w:val="000E2483"/>
    <w:rsid w:val="000E3444"/>
    <w:rsid w:val="000E3C98"/>
    <w:rsid w:val="000E44B3"/>
    <w:rsid w:val="000E45DF"/>
    <w:rsid w:val="000E49A3"/>
    <w:rsid w:val="000E5087"/>
    <w:rsid w:val="000E50FD"/>
    <w:rsid w:val="000E5145"/>
    <w:rsid w:val="000E540C"/>
    <w:rsid w:val="000E5416"/>
    <w:rsid w:val="000E6052"/>
    <w:rsid w:val="000E6238"/>
    <w:rsid w:val="000E66D1"/>
    <w:rsid w:val="000E676A"/>
    <w:rsid w:val="000E71D9"/>
    <w:rsid w:val="000E74F2"/>
    <w:rsid w:val="000E77E2"/>
    <w:rsid w:val="000E78BF"/>
    <w:rsid w:val="000E7C32"/>
    <w:rsid w:val="000E7E39"/>
    <w:rsid w:val="000F028A"/>
    <w:rsid w:val="000F0A33"/>
    <w:rsid w:val="000F0AAD"/>
    <w:rsid w:val="000F149F"/>
    <w:rsid w:val="000F1580"/>
    <w:rsid w:val="000F2699"/>
    <w:rsid w:val="000F3A6A"/>
    <w:rsid w:val="000F41DC"/>
    <w:rsid w:val="000F4420"/>
    <w:rsid w:val="000F4B85"/>
    <w:rsid w:val="000F56AA"/>
    <w:rsid w:val="000F7618"/>
    <w:rsid w:val="001007F2"/>
    <w:rsid w:val="001008DB"/>
    <w:rsid w:val="0010192D"/>
    <w:rsid w:val="00101E59"/>
    <w:rsid w:val="00102429"/>
    <w:rsid w:val="00102A34"/>
    <w:rsid w:val="001033B3"/>
    <w:rsid w:val="00104C88"/>
    <w:rsid w:val="00104CDE"/>
    <w:rsid w:val="00105636"/>
    <w:rsid w:val="00105DC1"/>
    <w:rsid w:val="001060C4"/>
    <w:rsid w:val="00106A70"/>
    <w:rsid w:val="001070C6"/>
    <w:rsid w:val="00107185"/>
    <w:rsid w:val="00110030"/>
    <w:rsid w:val="00110CDA"/>
    <w:rsid w:val="00112153"/>
    <w:rsid w:val="001131D4"/>
    <w:rsid w:val="001148B7"/>
    <w:rsid w:val="00114ABE"/>
    <w:rsid w:val="001159E8"/>
    <w:rsid w:val="001162DD"/>
    <w:rsid w:val="00116CC1"/>
    <w:rsid w:val="00116ED0"/>
    <w:rsid w:val="0012037E"/>
    <w:rsid w:val="00121A45"/>
    <w:rsid w:val="001223D4"/>
    <w:rsid w:val="001225E6"/>
    <w:rsid w:val="00123623"/>
    <w:rsid w:val="00124A3E"/>
    <w:rsid w:val="00126B50"/>
    <w:rsid w:val="0012766E"/>
    <w:rsid w:val="001277E6"/>
    <w:rsid w:val="00127837"/>
    <w:rsid w:val="00127E36"/>
    <w:rsid w:val="00127EDB"/>
    <w:rsid w:val="001300DA"/>
    <w:rsid w:val="00130149"/>
    <w:rsid w:val="0013022D"/>
    <w:rsid w:val="001304F9"/>
    <w:rsid w:val="00130AFB"/>
    <w:rsid w:val="001324C8"/>
    <w:rsid w:val="00132996"/>
    <w:rsid w:val="00132C2F"/>
    <w:rsid w:val="00133150"/>
    <w:rsid w:val="0013368B"/>
    <w:rsid w:val="00133FAE"/>
    <w:rsid w:val="00134AC3"/>
    <w:rsid w:val="001363F4"/>
    <w:rsid w:val="00137605"/>
    <w:rsid w:val="00140FCF"/>
    <w:rsid w:val="00141A68"/>
    <w:rsid w:val="00141A81"/>
    <w:rsid w:val="00141FF1"/>
    <w:rsid w:val="0014219C"/>
    <w:rsid w:val="001421F4"/>
    <w:rsid w:val="00142296"/>
    <w:rsid w:val="00142384"/>
    <w:rsid w:val="001429FB"/>
    <w:rsid w:val="00143B2A"/>
    <w:rsid w:val="00143E5F"/>
    <w:rsid w:val="00144789"/>
    <w:rsid w:val="00144D88"/>
    <w:rsid w:val="0014577D"/>
    <w:rsid w:val="0014650D"/>
    <w:rsid w:val="0014692D"/>
    <w:rsid w:val="00146DA7"/>
    <w:rsid w:val="001471C9"/>
    <w:rsid w:val="001510AD"/>
    <w:rsid w:val="001517A6"/>
    <w:rsid w:val="00152426"/>
    <w:rsid w:val="00152AF2"/>
    <w:rsid w:val="00152C82"/>
    <w:rsid w:val="00152FF5"/>
    <w:rsid w:val="001538AF"/>
    <w:rsid w:val="00153EF5"/>
    <w:rsid w:val="00153EF8"/>
    <w:rsid w:val="001542E7"/>
    <w:rsid w:val="001543D2"/>
    <w:rsid w:val="001549D0"/>
    <w:rsid w:val="00154F6B"/>
    <w:rsid w:val="001553F0"/>
    <w:rsid w:val="00155958"/>
    <w:rsid w:val="00155DD0"/>
    <w:rsid w:val="00155E8D"/>
    <w:rsid w:val="0015690E"/>
    <w:rsid w:val="00156E8A"/>
    <w:rsid w:val="001570F0"/>
    <w:rsid w:val="00160294"/>
    <w:rsid w:val="00160538"/>
    <w:rsid w:val="001621C0"/>
    <w:rsid w:val="0016326F"/>
    <w:rsid w:val="001632B2"/>
    <w:rsid w:val="00163374"/>
    <w:rsid w:val="00163835"/>
    <w:rsid w:val="001647B8"/>
    <w:rsid w:val="00164E80"/>
    <w:rsid w:val="00165BE2"/>
    <w:rsid w:val="00166CAA"/>
    <w:rsid w:val="001671F4"/>
    <w:rsid w:val="00167B00"/>
    <w:rsid w:val="00167C70"/>
    <w:rsid w:val="00167F52"/>
    <w:rsid w:val="00173A3E"/>
    <w:rsid w:val="00174026"/>
    <w:rsid w:val="00174B6F"/>
    <w:rsid w:val="0017503F"/>
    <w:rsid w:val="00175905"/>
    <w:rsid w:val="00175954"/>
    <w:rsid w:val="00175CBC"/>
    <w:rsid w:val="00176D43"/>
    <w:rsid w:val="0017748D"/>
    <w:rsid w:val="00177514"/>
    <w:rsid w:val="001800EA"/>
    <w:rsid w:val="0018087D"/>
    <w:rsid w:val="00181402"/>
    <w:rsid w:val="0018268A"/>
    <w:rsid w:val="00182791"/>
    <w:rsid w:val="00184A47"/>
    <w:rsid w:val="001856EE"/>
    <w:rsid w:val="00186A17"/>
    <w:rsid w:val="00187306"/>
    <w:rsid w:val="00191862"/>
    <w:rsid w:val="00191C97"/>
    <w:rsid w:val="001923DC"/>
    <w:rsid w:val="0019284E"/>
    <w:rsid w:val="001936BB"/>
    <w:rsid w:val="00193785"/>
    <w:rsid w:val="00193F67"/>
    <w:rsid w:val="00194BF0"/>
    <w:rsid w:val="00194C3C"/>
    <w:rsid w:val="00194D21"/>
    <w:rsid w:val="00195B4C"/>
    <w:rsid w:val="00195BBB"/>
    <w:rsid w:val="00195F38"/>
    <w:rsid w:val="0019662B"/>
    <w:rsid w:val="0019686E"/>
    <w:rsid w:val="00196A28"/>
    <w:rsid w:val="001972E2"/>
    <w:rsid w:val="001A03F4"/>
    <w:rsid w:val="001A09D9"/>
    <w:rsid w:val="001A0F4D"/>
    <w:rsid w:val="001A0F87"/>
    <w:rsid w:val="001A21B2"/>
    <w:rsid w:val="001A23DB"/>
    <w:rsid w:val="001A2CF8"/>
    <w:rsid w:val="001A38F7"/>
    <w:rsid w:val="001A42BA"/>
    <w:rsid w:val="001A68D8"/>
    <w:rsid w:val="001A6DD9"/>
    <w:rsid w:val="001A7127"/>
    <w:rsid w:val="001B0A4E"/>
    <w:rsid w:val="001B0E5F"/>
    <w:rsid w:val="001B1885"/>
    <w:rsid w:val="001B1E9F"/>
    <w:rsid w:val="001B215E"/>
    <w:rsid w:val="001B2AF5"/>
    <w:rsid w:val="001B3430"/>
    <w:rsid w:val="001B4246"/>
    <w:rsid w:val="001B43F8"/>
    <w:rsid w:val="001B560D"/>
    <w:rsid w:val="001B6DC7"/>
    <w:rsid w:val="001C0804"/>
    <w:rsid w:val="001C118C"/>
    <w:rsid w:val="001C12E5"/>
    <w:rsid w:val="001C1772"/>
    <w:rsid w:val="001C36F5"/>
    <w:rsid w:val="001C3A09"/>
    <w:rsid w:val="001C3C62"/>
    <w:rsid w:val="001C3D19"/>
    <w:rsid w:val="001C518E"/>
    <w:rsid w:val="001C586F"/>
    <w:rsid w:val="001C6836"/>
    <w:rsid w:val="001C6989"/>
    <w:rsid w:val="001C7109"/>
    <w:rsid w:val="001C7BDE"/>
    <w:rsid w:val="001D1580"/>
    <w:rsid w:val="001D15FE"/>
    <w:rsid w:val="001D1725"/>
    <w:rsid w:val="001D1CD2"/>
    <w:rsid w:val="001D369D"/>
    <w:rsid w:val="001D4F63"/>
    <w:rsid w:val="001D5760"/>
    <w:rsid w:val="001D5A94"/>
    <w:rsid w:val="001D5B10"/>
    <w:rsid w:val="001D5E25"/>
    <w:rsid w:val="001D6D50"/>
    <w:rsid w:val="001D7154"/>
    <w:rsid w:val="001D7C89"/>
    <w:rsid w:val="001E26C4"/>
    <w:rsid w:val="001E32BF"/>
    <w:rsid w:val="001E3422"/>
    <w:rsid w:val="001E34DE"/>
    <w:rsid w:val="001E498A"/>
    <w:rsid w:val="001E4B02"/>
    <w:rsid w:val="001E554F"/>
    <w:rsid w:val="001E5810"/>
    <w:rsid w:val="001E59D7"/>
    <w:rsid w:val="001E6976"/>
    <w:rsid w:val="001E6C66"/>
    <w:rsid w:val="001F0029"/>
    <w:rsid w:val="001F053A"/>
    <w:rsid w:val="001F1034"/>
    <w:rsid w:val="001F144E"/>
    <w:rsid w:val="001F2FE3"/>
    <w:rsid w:val="001F41A9"/>
    <w:rsid w:val="001F4390"/>
    <w:rsid w:val="001F5262"/>
    <w:rsid w:val="001F5364"/>
    <w:rsid w:val="001F6CBC"/>
    <w:rsid w:val="001F7DC2"/>
    <w:rsid w:val="0020079E"/>
    <w:rsid w:val="00200DAD"/>
    <w:rsid w:val="00202ECA"/>
    <w:rsid w:val="0020348F"/>
    <w:rsid w:val="00203B35"/>
    <w:rsid w:val="00203D93"/>
    <w:rsid w:val="00204238"/>
    <w:rsid w:val="00205C50"/>
    <w:rsid w:val="00205F7A"/>
    <w:rsid w:val="00206FCA"/>
    <w:rsid w:val="0020711E"/>
    <w:rsid w:val="0020740F"/>
    <w:rsid w:val="00210029"/>
    <w:rsid w:val="002100AF"/>
    <w:rsid w:val="00210880"/>
    <w:rsid w:val="0021234D"/>
    <w:rsid w:val="00214C1C"/>
    <w:rsid w:val="00215660"/>
    <w:rsid w:val="00215827"/>
    <w:rsid w:val="002162FF"/>
    <w:rsid w:val="00217E39"/>
    <w:rsid w:val="0022049F"/>
    <w:rsid w:val="00220547"/>
    <w:rsid w:val="00220D9D"/>
    <w:rsid w:val="002225A9"/>
    <w:rsid w:val="0022278C"/>
    <w:rsid w:val="0022350A"/>
    <w:rsid w:val="00223A15"/>
    <w:rsid w:val="00223C04"/>
    <w:rsid w:val="00223F9E"/>
    <w:rsid w:val="00224982"/>
    <w:rsid w:val="00224A10"/>
    <w:rsid w:val="00224AFC"/>
    <w:rsid w:val="002257B9"/>
    <w:rsid w:val="00225910"/>
    <w:rsid w:val="00226008"/>
    <w:rsid w:val="002261C1"/>
    <w:rsid w:val="00226695"/>
    <w:rsid w:val="0022669A"/>
    <w:rsid w:val="0022673F"/>
    <w:rsid w:val="00226ACC"/>
    <w:rsid w:val="00227CD8"/>
    <w:rsid w:val="0023116F"/>
    <w:rsid w:val="0023137D"/>
    <w:rsid w:val="00231D4E"/>
    <w:rsid w:val="00232523"/>
    <w:rsid w:val="00233A2B"/>
    <w:rsid w:val="00234558"/>
    <w:rsid w:val="00235EC8"/>
    <w:rsid w:val="002365FD"/>
    <w:rsid w:val="002368D4"/>
    <w:rsid w:val="00237A11"/>
    <w:rsid w:val="00237D2E"/>
    <w:rsid w:val="0024000A"/>
    <w:rsid w:val="002402B9"/>
    <w:rsid w:val="00240815"/>
    <w:rsid w:val="00241898"/>
    <w:rsid w:val="00241933"/>
    <w:rsid w:val="00241AB0"/>
    <w:rsid w:val="002423F9"/>
    <w:rsid w:val="00244A7D"/>
    <w:rsid w:val="0024523B"/>
    <w:rsid w:val="00245AED"/>
    <w:rsid w:val="002468DA"/>
    <w:rsid w:val="00247D18"/>
    <w:rsid w:val="00250023"/>
    <w:rsid w:val="00251873"/>
    <w:rsid w:val="00251AD6"/>
    <w:rsid w:val="0025234F"/>
    <w:rsid w:val="00252460"/>
    <w:rsid w:val="00252DE2"/>
    <w:rsid w:val="00254681"/>
    <w:rsid w:val="00254947"/>
    <w:rsid w:val="00254AB6"/>
    <w:rsid w:val="00255254"/>
    <w:rsid w:val="0025716A"/>
    <w:rsid w:val="00257C8E"/>
    <w:rsid w:val="00260420"/>
    <w:rsid w:val="0026085C"/>
    <w:rsid w:val="002609DE"/>
    <w:rsid w:val="00260D13"/>
    <w:rsid w:val="00262FF7"/>
    <w:rsid w:val="00263142"/>
    <w:rsid w:val="00263210"/>
    <w:rsid w:val="00264BAF"/>
    <w:rsid w:val="00264C4F"/>
    <w:rsid w:val="00265930"/>
    <w:rsid w:val="00266710"/>
    <w:rsid w:val="002669AE"/>
    <w:rsid w:val="00266E83"/>
    <w:rsid w:val="00267CA3"/>
    <w:rsid w:val="00270000"/>
    <w:rsid w:val="00271AD4"/>
    <w:rsid w:val="00271AFE"/>
    <w:rsid w:val="00272C34"/>
    <w:rsid w:val="00272DEA"/>
    <w:rsid w:val="002735E7"/>
    <w:rsid w:val="00273824"/>
    <w:rsid w:val="00273929"/>
    <w:rsid w:val="002740E5"/>
    <w:rsid w:val="002758BC"/>
    <w:rsid w:val="00276A11"/>
    <w:rsid w:val="002771A5"/>
    <w:rsid w:val="002805B8"/>
    <w:rsid w:val="0028078E"/>
    <w:rsid w:val="002829C2"/>
    <w:rsid w:val="002832BA"/>
    <w:rsid w:val="00283AAD"/>
    <w:rsid w:val="0028475D"/>
    <w:rsid w:val="00284B9D"/>
    <w:rsid w:val="00284C99"/>
    <w:rsid w:val="00285FF7"/>
    <w:rsid w:val="00287DB0"/>
    <w:rsid w:val="00290F02"/>
    <w:rsid w:val="002914D2"/>
    <w:rsid w:val="002921EE"/>
    <w:rsid w:val="00292ED2"/>
    <w:rsid w:val="00292F5A"/>
    <w:rsid w:val="002938CE"/>
    <w:rsid w:val="00293C09"/>
    <w:rsid w:val="00293ED1"/>
    <w:rsid w:val="00294D56"/>
    <w:rsid w:val="0029516F"/>
    <w:rsid w:val="00295546"/>
    <w:rsid w:val="0029584F"/>
    <w:rsid w:val="00295EE4"/>
    <w:rsid w:val="002960F5"/>
    <w:rsid w:val="002A0C7D"/>
    <w:rsid w:val="002A21E6"/>
    <w:rsid w:val="002A3246"/>
    <w:rsid w:val="002A33B5"/>
    <w:rsid w:val="002A4067"/>
    <w:rsid w:val="002A4216"/>
    <w:rsid w:val="002A6517"/>
    <w:rsid w:val="002A737F"/>
    <w:rsid w:val="002A75D9"/>
    <w:rsid w:val="002B0005"/>
    <w:rsid w:val="002B0332"/>
    <w:rsid w:val="002B0834"/>
    <w:rsid w:val="002B0F56"/>
    <w:rsid w:val="002B11B1"/>
    <w:rsid w:val="002B122C"/>
    <w:rsid w:val="002B1714"/>
    <w:rsid w:val="002B1E90"/>
    <w:rsid w:val="002B29FE"/>
    <w:rsid w:val="002B2E31"/>
    <w:rsid w:val="002B419D"/>
    <w:rsid w:val="002B51E5"/>
    <w:rsid w:val="002B54C3"/>
    <w:rsid w:val="002B5AF2"/>
    <w:rsid w:val="002B5FD7"/>
    <w:rsid w:val="002B6640"/>
    <w:rsid w:val="002C0290"/>
    <w:rsid w:val="002C02A8"/>
    <w:rsid w:val="002C0563"/>
    <w:rsid w:val="002C1197"/>
    <w:rsid w:val="002C1E35"/>
    <w:rsid w:val="002C2BAA"/>
    <w:rsid w:val="002C4A5E"/>
    <w:rsid w:val="002C6DD7"/>
    <w:rsid w:val="002C788E"/>
    <w:rsid w:val="002C78D6"/>
    <w:rsid w:val="002C7F7C"/>
    <w:rsid w:val="002D099A"/>
    <w:rsid w:val="002D0AB4"/>
    <w:rsid w:val="002D0C94"/>
    <w:rsid w:val="002D2213"/>
    <w:rsid w:val="002D23FC"/>
    <w:rsid w:val="002D2451"/>
    <w:rsid w:val="002D3286"/>
    <w:rsid w:val="002D3660"/>
    <w:rsid w:val="002D3ACD"/>
    <w:rsid w:val="002D3B42"/>
    <w:rsid w:val="002D46C9"/>
    <w:rsid w:val="002D5239"/>
    <w:rsid w:val="002D5F57"/>
    <w:rsid w:val="002D61AC"/>
    <w:rsid w:val="002E0F2C"/>
    <w:rsid w:val="002E1699"/>
    <w:rsid w:val="002E4720"/>
    <w:rsid w:val="002E4812"/>
    <w:rsid w:val="002E4D41"/>
    <w:rsid w:val="002E4DFF"/>
    <w:rsid w:val="002E5160"/>
    <w:rsid w:val="002E5812"/>
    <w:rsid w:val="002F123E"/>
    <w:rsid w:val="002F158D"/>
    <w:rsid w:val="002F1A5F"/>
    <w:rsid w:val="002F2028"/>
    <w:rsid w:val="002F2251"/>
    <w:rsid w:val="002F27EF"/>
    <w:rsid w:val="002F39EE"/>
    <w:rsid w:val="002F3AE9"/>
    <w:rsid w:val="002F4CE1"/>
    <w:rsid w:val="002F5A81"/>
    <w:rsid w:val="002F62E6"/>
    <w:rsid w:val="002F6DD7"/>
    <w:rsid w:val="002F6E6E"/>
    <w:rsid w:val="00302645"/>
    <w:rsid w:val="00303397"/>
    <w:rsid w:val="00303452"/>
    <w:rsid w:val="00303D46"/>
    <w:rsid w:val="00304104"/>
    <w:rsid w:val="003043AE"/>
    <w:rsid w:val="00305644"/>
    <w:rsid w:val="003056DB"/>
    <w:rsid w:val="0030646D"/>
    <w:rsid w:val="00306E12"/>
    <w:rsid w:val="0030703A"/>
    <w:rsid w:val="003071CD"/>
    <w:rsid w:val="00307304"/>
    <w:rsid w:val="003073C8"/>
    <w:rsid w:val="00307F55"/>
    <w:rsid w:val="00310AEA"/>
    <w:rsid w:val="003115F6"/>
    <w:rsid w:val="00311B5B"/>
    <w:rsid w:val="00313566"/>
    <w:rsid w:val="003135A0"/>
    <w:rsid w:val="0031375E"/>
    <w:rsid w:val="00313E30"/>
    <w:rsid w:val="003148D1"/>
    <w:rsid w:val="00316141"/>
    <w:rsid w:val="00316955"/>
    <w:rsid w:val="00316CCF"/>
    <w:rsid w:val="0031721B"/>
    <w:rsid w:val="00317357"/>
    <w:rsid w:val="00317714"/>
    <w:rsid w:val="00317AF6"/>
    <w:rsid w:val="00317E5B"/>
    <w:rsid w:val="00320520"/>
    <w:rsid w:val="0032093A"/>
    <w:rsid w:val="003209CE"/>
    <w:rsid w:val="00320EBF"/>
    <w:rsid w:val="003211C0"/>
    <w:rsid w:val="00323BAF"/>
    <w:rsid w:val="00324305"/>
    <w:rsid w:val="00325101"/>
    <w:rsid w:val="00325EDB"/>
    <w:rsid w:val="00326017"/>
    <w:rsid w:val="00326D87"/>
    <w:rsid w:val="00327ED3"/>
    <w:rsid w:val="0033028D"/>
    <w:rsid w:val="00330A15"/>
    <w:rsid w:val="00330ED9"/>
    <w:rsid w:val="003312CF"/>
    <w:rsid w:val="0033165C"/>
    <w:rsid w:val="00331DEA"/>
    <w:rsid w:val="003320E1"/>
    <w:rsid w:val="003324F7"/>
    <w:rsid w:val="00332FDC"/>
    <w:rsid w:val="003334E0"/>
    <w:rsid w:val="003341AF"/>
    <w:rsid w:val="00334993"/>
    <w:rsid w:val="00334F88"/>
    <w:rsid w:val="0033529D"/>
    <w:rsid w:val="0033535C"/>
    <w:rsid w:val="00336498"/>
    <w:rsid w:val="00336F69"/>
    <w:rsid w:val="00337CFC"/>
    <w:rsid w:val="00340853"/>
    <w:rsid w:val="003416C7"/>
    <w:rsid w:val="0034216C"/>
    <w:rsid w:val="00343D6E"/>
    <w:rsid w:val="00343FD0"/>
    <w:rsid w:val="00343FD8"/>
    <w:rsid w:val="003451B7"/>
    <w:rsid w:val="00345484"/>
    <w:rsid w:val="003461CE"/>
    <w:rsid w:val="003464F1"/>
    <w:rsid w:val="00346EEA"/>
    <w:rsid w:val="00347A98"/>
    <w:rsid w:val="00347EAD"/>
    <w:rsid w:val="00350498"/>
    <w:rsid w:val="00350876"/>
    <w:rsid w:val="00351B6D"/>
    <w:rsid w:val="003527FE"/>
    <w:rsid w:val="003528C6"/>
    <w:rsid w:val="00353056"/>
    <w:rsid w:val="003530E8"/>
    <w:rsid w:val="00353440"/>
    <w:rsid w:val="003536A7"/>
    <w:rsid w:val="0035374B"/>
    <w:rsid w:val="00353930"/>
    <w:rsid w:val="00353BE7"/>
    <w:rsid w:val="00353C76"/>
    <w:rsid w:val="00353E35"/>
    <w:rsid w:val="00353EDE"/>
    <w:rsid w:val="003543F9"/>
    <w:rsid w:val="00354757"/>
    <w:rsid w:val="00354A72"/>
    <w:rsid w:val="003553C2"/>
    <w:rsid w:val="0035664E"/>
    <w:rsid w:val="00356977"/>
    <w:rsid w:val="00357427"/>
    <w:rsid w:val="00357695"/>
    <w:rsid w:val="003610DA"/>
    <w:rsid w:val="003612E5"/>
    <w:rsid w:val="00361317"/>
    <w:rsid w:val="00361DAB"/>
    <w:rsid w:val="0036216C"/>
    <w:rsid w:val="00363CC5"/>
    <w:rsid w:val="003640EE"/>
    <w:rsid w:val="00364747"/>
    <w:rsid w:val="00364806"/>
    <w:rsid w:val="00364E93"/>
    <w:rsid w:val="003651B7"/>
    <w:rsid w:val="00365635"/>
    <w:rsid w:val="00365668"/>
    <w:rsid w:val="00365F18"/>
    <w:rsid w:val="00367393"/>
    <w:rsid w:val="00367494"/>
    <w:rsid w:val="0036797C"/>
    <w:rsid w:val="00367B22"/>
    <w:rsid w:val="00367BDB"/>
    <w:rsid w:val="00367DB7"/>
    <w:rsid w:val="00370403"/>
    <w:rsid w:val="003705F1"/>
    <w:rsid w:val="003707A0"/>
    <w:rsid w:val="003707DB"/>
    <w:rsid w:val="00370B67"/>
    <w:rsid w:val="00371C7A"/>
    <w:rsid w:val="00374892"/>
    <w:rsid w:val="00375AEC"/>
    <w:rsid w:val="003760F0"/>
    <w:rsid w:val="003761E1"/>
    <w:rsid w:val="00376236"/>
    <w:rsid w:val="003764E2"/>
    <w:rsid w:val="0037652C"/>
    <w:rsid w:val="00376C95"/>
    <w:rsid w:val="003800E4"/>
    <w:rsid w:val="003801EE"/>
    <w:rsid w:val="00380E1A"/>
    <w:rsid w:val="00380FF5"/>
    <w:rsid w:val="003815A8"/>
    <w:rsid w:val="0038275D"/>
    <w:rsid w:val="003829C3"/>
    <w:rsid w:val="003831C2"/>
    <w:rsid w:val="0038385B"/>
    <w:rsid w:val="0038681C"/>
    <w:rsid w:val="003873D4"/>
    <w:rsid w:val="003875F4"/>
    <w:rsid w:val="003900BE"/>
    <w:rsid w:val="003911F7"/>
    <w:rsid w:val="00393C0A"/>
    <w:rsid w:val="0039456F"/>
    <w:rsid w:val="00394570"/>
    <w:rsid w:val="003950FA"/>
    <w:rsid w:val="00395108"/>
    <w:rsid w:val="003962A2"/>
    <w:rsid w:val="00396C37"/>
    <w:rsid w:val="00396E5F"/>
    <w:rsid w:val="00396ED5"/>
    <w:rsid w:val="003972A1"/>
    <w:rsid w:val="00397369"/>
    <w:rsid w:val="00397AD2"/>
    <w:rsid w:val="003A0F44"/>
    <w:rsid w:val="003A10A1"/>
    <w:rsid w:val="003A17B3"/>
    <w:rsid w:val="003A4475"/>
    <w:rsid w:val="003A44A0"/>
    <w:rsid w:val="003A5EEC"/>
    <w:rsid w:val="003A6174"/>
    <w:rsid w:val="003A771A"/>
    <w:rsid w:val="003A78F0"/>
    <w:rsid w:val="003B058E"/>
    <w:rsid w:val="003B0DEA"/>
    <w:rsid w:val="003B184B"/>
    <w:rsid w:val="003B286A"/>
    <w:rsid w:val="003B2D45"/>
    <w:rsid w:val="003B475C"/>
    <w:rsid w:val="003B4870"/>
    <w:rsid w:val="003B59A3"/>
    <w:rsid w:val="003B5CDD"/>
    <w:rsid w:val="003B671D"/>
    <w:rsid w:val="003B6CAE"/>
    <w:rsid w:val="003B7070"/>
    <w:rsid w:val="003B71F3"/>
    <w:rsid w:val="003B750E"/>
    <w:rsid w:val="003C0055"/>
    <w:rsid w:val="003C00B9"/>
    <w:rsid w:val="003C2014"/>
    <w:rsid w:val="003C2483"/>
    <w:rsid w:val="003C6BED"/>
    <w:rsid w:val="003C7308"/>
    <w:rsid w:val="003C74B1"/>
    <w:rsid w:val="003C7E57"/>
    <w:rsid w:val="003D0342"/>
    <w:rsid w:val="003D0CA6"/>
    <w:rsid w:val="003D0DB6"/>
    <w:rsid w:val="003D1EEA"/>
    <w:rsid w:val="003D288B"/>
    <w:rsid w:val="003D2BB1"/>
    <w:rsid w:val="003D2CE1"/>
    <w:rsid w:val="003D454D"/>
    <w:rsid w:val="003D45CA"/>
    <w:rsid w:val="003D4731"/>
    <w:rsid w:val="003D48A2"/>
    <w:rsid w:val="003D4E7A"/>
    <w:rsid w:val="003D5243"/>
    <w:rsid w:val="003D5696"/>
    <w:rsid w:val="003D6CFB"/>
    <w:rsid w:val="003E01EC"/>
    <w:rsid w:val="003E0C47"/>
    <w:rsid w:val="003E0D03"/>
    <w:rsid w:val="003E24FC"/>
    <w:rsid w:val="003E2EB4"/>
    <w:rsid w:val="003E39B2"/>
    <w:rsid w:val="003E5B5E"/>
    <w:rsid w:val="003E5C29"/>
    <w:rsid w:val="003E5F03"/>
    <w:rsid w:val="003E62CC"/>
    <w:rsid w:val="003E69DA"/>
    <w:rsid w:val="003E6F72"/>
    <w:rsid w:val="003E7CC1"/>
    <w:rsid w:val="003F0410"/>
    <w:rsid w:val="003F0738"/>
    <w:rsid w:val="003F143B"/>
    <w:rsid w:val="003F14F4"/>
    <w:rsid w:val="003F1B8F"/>
    <w:rsid w:val="003F22FD"/>
    <w:rsid w:val="003F2F35"/>
    <w:rsid w:val="003F3428"/>
    <w:rsid w:val="003F3EA8"/>
    <w:rsid w:val="003F557C"/>
    <w:rsid w:val="003F559E"/>
    <w:rsid w:val="003F59D0"/>
    <w:rsid w:val="003F5EE4"/>
    <w:rsid w:val="003F6187"/>
    <w:rsid w:val="003F665C"/>
    <w:rsid w:val="003F7FCF"/>
    <w:rsid w:val="0040020D"/>
    <w:rsid w:val="00400982"/>
    <w:rsid w:val="0040159D"/>
    <w:rsid w:val="00401B28"/>
    <w:rsid w:val="00402AA3"/>
    <w:rsid w:val="00402AF5"/>
    <w:rsid w:val="00402D26"/>
    <w:rsid w:val="00402D9F"/>
    <w:rsid w:val="004030AB"/>
    <w:rsid w:val="00403482"/>
    <w:rsid w:val="0040357E"/>
    <w:rsid w:val="004054B2"/>
    <w:rsid w:val="004059C5"/>
    <w:rsid w:val="00405B2A"/>
    <w:rsid w:val="004073A2"/>
    <w:rsid w:val="00407E8D"/>
    <w:rsid w:val="00407EE9"/>
    <w:rsid w:val="00410440"/>
    <w:rsid w:val="004106A7"/>
    <w:rsid w:val="00410C4C"/>
    <w:rsid w:val="00411628"/>
    <w:rsid w:val="004119B7"/>
    <w:rsid w:val="00412282"/>
    <w:rsid w:val="00413AAB"/>
    <w:rsid w:val="00414928"/>
    <w:rsid w:val="0041657A"/>
    <w:rsid w:val="00416774"/>
    <w:rsid w:val="004167F9"/>
    <w:rsid w:val="00416B67"/>
    <w:rsid w:val="00416E79"/>
    <w:rsid w:val="00417728"/>
    <w:rsid w:val="00417DE5"/>
    <w:rsid w:val="00420BBF"/>
    <w:rsid w:val="004215D2"/>
    <w:rsid w:val="00421B91"/>
    <w:rsid w:val="00421DC7"/>
    <w:rsid w:val="00422716"/>
    <w:rsid w:val="00422CDA"/>
    <w:rsid w:val="00422DC4"/>
    <w:rsid w:val="00423234"/>
    <w:rsid w:val="004242C4"/>
    <w:rsid w:val="0042432A"/>
    <w:rsid w:val="00424722"/>
    <w:rsid w:val="00424AB9"/>
    <w:rsid w:val="00424E0E"/>
    <w:rsid w:val="004253A4"/>
    <w:rsid w:val="004256BA"/>
    <w:rsid w:val="00425E6B"/>
    <w:rsid w:val="004260F1"/>
    <w:rsid w:val="00426CE3"/>
    <w:rsid w:val="0042767A"/>
    <w:rsid w:val="004279A5"/>
    <w:rsid w:val="00427EF1"/>
    <w:rsid w:val="004305F2"/>
    <w:rsid w:val="004307DB"/>
    <w:rsid w:val="00431999"/>
    <w:rsid w:val="00431B18"/>
    <w:rsid w:val="00431D93"/>
    <w:rsid w:val="00431FC8"/>
    <w:rsid w:val="0043205C"/>
    <w:rsid w:val="00433553"/>
    <w:rsid w:val="004337E1"/>
    <w:rsid w:val="00433E3E"/>
    <w:rsid w:val="004340D3"/>
    <w:rsid w:val="00434FB7"/>
    <w:rsid w:val="00435682"/>
    <w:rsid w:val="00435908"/>
    <w:rsid w:val="004359D1"/>
    <w:rsid w:val="004371B9"/>
    <w:rsid w:val="00440F9E"/>
    <w:rsid w:val="00441D75"/>
    <w:rsid w:val="00442EE8"/>
    <w:rsid w:val="004431FC"/>
    <w:rsid w:val="00444423"/>
    <w:rsid w:val="00445797"/>
    <w:rsid w:val="0044581E"/>
    <w:rsid w:val="00445F50"/>
    <w:rsid w:val="0044633C"/>
    <w:rsid w:val="004471C3"/>
    <w:rsid w:val="0044747F"/>
    <w:rsid w:val="00447850"/>
    <w:rsid w:val="004501EA"/>
    <w:rsid w:val="004515B1"/>
    <w:rsid w:val="00451AAD"/>
    <w:rsid w:val="0045224C"/>
    <w:rsid w:val="00453479"/>
    <w:rsid w:val="0045351C"/>
    <w:rsid w:val="00453930"/>
    <w:rsid w:val="00453CAF"/>
    <w:rsid w:val="00453CBD"/>
    <w:rsid w:val="00454281"/>
    <w:rsid w:val="004543A1"/>
    <w:rsid w:val="004544C3"/>
    <w:rsid w:val="00454D13"/>
    <w:rsid w:val="00455291"/>
    <w:rsid w:val="00455DCE"/>
    <w:rsid w:val="00456081"/>
    <w:rsid w:val="0045793A"/>
    <w:rsid w:val="0046087C"/>
    <w:rsid w:val="00460B7E"/>
    <w:rsid w:val="00460DD3"/>
    <w:rsid w:val="00461031"/>
    <w:rsid w:val="00461195"/>
    <w:rsid w:val="0046261B"/>
    <w:rsid w:val="00462659"/>
    <w:rsid w:val="00462C05"/>
    <w:rsid w:val="00463E08"/>
    <w:rsid w:val="00464309"/>
    <w:rsid w:val="00464BC3"/>
    <w:rsid w:val="00464F5D"/>
    <w:rsid w:val="004650B4"/>
    <w:rsid w:val="00465F52"/>
    <w:rsid w:val="00466182"/>
    <w:rsid w:val="0046623F"/>
    <w:rsid w:val="00466E3C"/>
    <w:rsid w:val="0046716F"/>
    <w:rsid w:val="00467F43"/>
    <w:rsid w:val="00471677"/>
    <w:rsid w:val="00472D74"/>
    <w:rsid w:val="00473EB2"/>
    <w:rsid w:val="00474CB4"/>
    <w:rsid w:val="00474FBD"/>
    <w:rsid w:val="00475377"/>
    <w:rsid w:val="00475AB6"/>
    <w:rsid w:val="00476009"/>
    <w:rsid w:val="00476411"/>
    <w:rsid w:val="004766CF"/>
    <w:rsid w:val="0047741F"/>
    <w:rsid w:val="0048095D"/>
    <w:rsid w:val="00480BCB"/>
    <w:rsid w:val="00480BDF"/>
    <w:rsid w:val="00480D3C"/>
    <w:rsid w:val="00481478"/>
    <w:rsid w:val="00481AAC"/>
    <w:rsid w:val="0048240F"/>
    <w:rsid w:val="004827F4"/>
    <w:rsid w:val="00482FEC"/>
    <w:rsid w:val="00483C6F"/>
    <w:rsid w:val="0048574D"/>
    <w:rsid w:val="00485ACE"/>
    <w:rsid w:val="004860CB"/>
    <w:rsid w:val="0048681E"/>
    <w:rsid w:val="00486D78"/>
    <w:rsid w:val="00487084"/>
    <w:rsid w:val="00487CC6"/>
    <w:rsid w:val="004901B3"/>
    <w:rsid w:val="004901E9"/>
    <w:rsid w:val="00490608"/>
    <w:rsid w:val="00490628"/>
    <w:rsid w:val="004914CD"/>
    <w:rsid w:val="00491668"/>
    <w:rsid w:val="00491D7D"/>
    <w:rsid w:val="00493B02"/>
    <w:rsid w:val="0049483B"/>
    <w:rsid w:val="00494CC1"/>
    <w:rsid w:val="004963EA"/>
    <w:rsid w:val="0049711B"/>
    <w:rsid w:val="004A0E4A"/>
    <w:rsid w:val="004A12A4"/>
    <w:rsid w:val="004A1AE1"/>
    <w:rsid w:val="004A1D5E"/>
    <w:rsid w:val="004A1D6A"/>
    <w:rsid w:val="004A1D7B"/>
    <w:rsid w:val="004A1DF7"/>
    <w:rsid w:val="004A2785"/>
    <w:rsid w:val="004A2BE1"/>
    <w:rsid w:val="004A3247"/>
    <w:rsid w:val="004A3CF9"/>
    <w:rsid w:val="004A44B7"/>
    <w:rsid w:val="004A4B88"/>
    <w:rsid w:val="004A4EE3"/>
    <w:rsid w:val="004A6937"/>
    <w:rsid w:val="004A6AA2"/>
    <w:rsid w:val="004A7544"/>
    <w:rsid w:val="004A768B"/>
    <w:rsid w:val="004B05EE"/>
    <w:rsid w:val="004B0773"/>
    <w:rsid w:val="004B1208"/>
    <w:rsid w:val="004B2411"/>
    <w:rsid w:val="004B293A"/>
    <w:rsid w:val="004B350D"/>
    <w:rsid w:val="004B459E"/>
    <w:rsid w:val="004B4AD0"/>
    <w:rsid w:val="004B5777"/>
    <w:rsid w:val="004B5A22"/>
    <w:rsid w:val="004B5A42"/>
    <w:rsid w:val="004B5D3A"/>
    <w:rsid w:val="004B5FAC"/>
    <w:rsid w:val="004B6D39"/>
    <w:rsid w:val="004B6E23"/>
    <w:rsid w:val="004C05D2"/>
    <w:rsid w:val="004C0C0B"/>
    <w:rsid w:val="004C0F19"/>
    <w:rsid w:val="004C117D"/>
    <w:rsid w:val="004C1880"/>
    <w:rsid w:val="004C3590"/>
    <w:rsid w:val="004C3F45"/>
    <w:rsid w:val="004C485F"/>
    <w:rsid w:val="004C4AA1"/>
    <w:rsid w:val="004C5553"/>
    <w:rsid w:val="004C6708"/>
    <w:rsid w:val="004C67C1"/>
    <w:rsid w:val="004C6F33"/>
    <w:rsid w:val="004C70DC"/>
    <w:rsid w:val="004C71C8"/>
    <w:rsid w:val="004D0656"/>
    <w:rsid w:val="004D09DD"/>
    <w:rsid w:val="004D1440"/>
    <w:rsid w:val="004D1B6D"/>
    <w:rsid w:val="004D1DF5"/>
    <w:rsid w:val="004D2DAA"/>
    <w:rsid w:val="004D3047"/>
    <w:rsid w:val="004D482D"/>
    <w:rsid w:val="004D4FC9"/>
    <w:rsid w:val="004D6B1B"/>
    <w:rsid w:val="004D79C4"/>
    <w:rsid w:val="004E0D32"/>
    <w:rsid w:val="004E19AB"/>
    <w:rsid w:val="004E29C0"/>
    <w:rsid w:val="004E357A"/>
    <w:rsid w:val="004E358E"/>
    <w:rsid w:val="004E390D"/>
    <w:rsid w:val="004E40EF"/>
    <w:rsid w:val="004E4B3B"/>
    <w:rsid w:val="004E50DD"/>
    <w:rsid w:val="004E681F"/>
    <w:rsid w:val="004E68A6"/>
    <w:rsid w:val="004E6EC3"/>
    <w:rsid w:val="004E7335"/>
    <w:rsid w:val="004E73F7"/>
    <w:rsid w:val="004F0E48"/>
    <w:rsid w:val="004F1453"/>
    <w:rsid w:val="004F16C3"/>
    <w:rsid w:val="004F1AC6"/>
    <w:rsid w:val="004F1C80"/>
    <w:rsid w:val="004F2619"/>
    <w:rsid w:val="004F26E7"/>
    <w:rsid w:val="004F2B2F"/>
    <w:rsid w:val="004F2ECB"/>
    <w:rsid w:val="004F35B5"/>
    <w:rsid w:val="004F368D"/>
    <w:rsid w:val="004F44BB"/>
    <w:rsid w:val="004F4634"/>
    <w:rsid w:val="004F516A"/>
    <w:rsid w:val="004F66E9"/>
    <w:rsid w:val="004F76A0"/>
    <w:rsid w:val="004F7C11"/>
    <w:rsid w:val="004F7E86"/>
    <w:rsid w:val="00500E7F"/>
    <w:rsid w:val="00501324"/>
    <w:rsid w:val="00502320"/>
    <w:rsid w:val="005031A7"/>
    <w:rsid w:val="005037B2"/>
    <w:rsid w:val="00504C31"/>
    <w:rsid w:val="0050523F"/>
    <w:rsid w:val="0050617A"/>
    <w:rsid w:val="005064EF"/>
    <w:rsid w:val="005066EE"/>
    <w:rsid w:val="0050732E"/>
    <w:rsid w:val="00511440"/>
    <w:rsid w:val="0051275D"/>
    <w:rsid w:val="0051289A"/>
    <w:rsid w:val="005134A5"/>
    <w:rsid w:val="00513676"/>
    <w:rsid w:val="00513A20"/>
    <w:rsid w:val="00513C38"/>
    <w:rsid w:val="00513D25"/>
    <w:rsid w:val="005145C5"/>
    <w:rsid w:val="0051531C"/>
    <w:rsid w:val="005157B8"/>
    <w:rsid w:val="00515D1D"/>
    <w:rsid w:val="00515E2C"/>
    <w:rsid w:val="00516B10"/>
    <w:rsid w:val="00516F79"/>
    <w:rsid w:val="00517141"/>
    <w:rsid w:val="00517A47"/>
    <w:rsid w:val="00517CDB"/>
    <w:rsid w:val="00517EA8"/>
    <w:rsid w:val="005202F3"/>
    <w:rsid w:val="005212D6"/>
    <w:rsid w:val="0052179D"/>
    <w:rsid w:val="0052268B"/>
    <w:rsid w:val="0052274B"/>
    <w:rsid w:val="00523B20"/>
    <w:rsid w:val="00523FC7"/>
    <w:rsid w:val="00524C1F"/>
    <w:rsid w:val="00524C50"/>
    <w:rsid w:val="00524C85"/>
    <w:rsid w:val="0052533C"/>
    <w:rsid w:val="00525349"/>
    <w:rsid w:val="005254A4"/>
    <w:rsid w:val="0052577F"/>
    <w:rsid w:val="00526085"/>
    <w:rsid w:val="00526B23"/>
    <w:rsid w:val="0052752E"/>
    <w:rsid w:val="00527927"/>
    <w:rsid w:val="00530718"/>
    <w:rsid w:val="00530DFB"/>
    <w:rsid w:val="0053143B"/>
    <w:rsid w:val="00531CD6"/>
    <w:rsid w:val="00531CF2"/>
    <w:rsid w:val="00531F95"/>
    <w:rsid w:val="00532898"/>
    <w:rsid w:val="005336AE"/>
    <w:rsid w:val="00534F3B"/>
    <w:rsid w:val="00535280"/>
    <w:rsid w:val="005357F1"/>
    <w:rsid w:val="00535F99"/>
    <w:rsid w:val="00536C25"/>
    <w:rsid w:val="00537465"/>
    <w:rsid w:val="00540029"/>
    <w:rsid w:val="00540F35"/>
    <w:rsid w:val="005417DF"/>
    <w:rsid w:val="00541909"/>
    <w:rsid w:val="005423E7"/>
    <w:rsid w:val="00542DA7"/>
    <w:rsid w:val="00542FF2"/>
    <w:rsid w:val="00543481"/>
    <w:rsid w:val="00543D0E"/>
    <w:rsid w:val="00544AB5"/>
    <w:rsid w:val="00544AD9"/>
    <w:rsid w:val="005456A9"/>
    <w:rsid w:val="00546A0A"/>
    <w:rsid w:val="005478F4"/>
    <w:rsid w:val="00550AEF"/>
    <w:rsid w:val="00550CDC"/>
    <w:rsid w:val="00550F4A"/>
    <w:rsid w:val="00551EDC"/>
    <w:rsid w:val="005536D1"/>
    <w:rsid w:val="00553993"/>
    <w:rsid w:val="005547E6"/>
    <w:rsid w:val="00554C96"/>
    <w:rsid w:val="00554F10"/>
    <w:rsid w:val="005554EF"/>
    <w:rsid w:val="005557FD"/>
    <w:rsid w:val="0055588A"/>
    <w:rsid w:val="00555D52"/>
    <w:rsid w:val="00556373"/>
    <w:rsid w:val="005564E4"/>
    <w:rsid w:val="005566D7"/>
    <w:rsid w:val="005567E4"/>
    <w:rsid w:val="005569C6"/>
    <w:rsid w:val="005573F6"/>
    <w:rsid w:val="0055752A"/>
    <w:rsid w:val="005578D8"/>
    <w:rsid w:val="005609CC"/>
    <w:rsid w:val="00561F7F"/>
    <w:rsid w:val="00562A7F"/>
    <w:rsid w:val="0056366D"/>
    <w:rsid w:val="00563FEC"/>
    <w:rsid w:val="00564A22"/>
    <w:rsid w:val="00566112"/>
    <w:rsid w:val="00566B35"/>
    <w:rsid w:val="0057124D"/>
    <w:rsid w:val="00571D2C"/>
    <w:rsid w:val="005732CC"/>
    <w:rsid w:val="00573697"/>
    <w:rsid w:val="00574504"/>
    <w:rsid w:val="00575422"/>
    <w:rsid w:val="00575E90"/>
    <w:rsid w:val="0057680D"/>
    <w:rsid w:val="005771A4"/>
    <w:rsid w:val="00577964"/>
    <w:rsid w:val="005803F5"/>
    <w:rsid w:val="00580D2D"/>
    <w:rsid w:val="00580F6F"/>
    <w:rsid w:val="005812E3"/>
    <w:rsid w:val="0058146D"/>
    <w:rsid w:val="00581D34"/>
    <w:rsid w:val="0058269F"/>
    <w:rsid w:val="005832E7"/>
    <w:rsid w:val="00583C35"/>
    <w:rsid w:val="00583DE7"/>
    <w:rsid w:val="00583F06"/>
    <w:rsid w:val="005843BA"/>
    <w:rsid w:val="00584947"/>
    <w:rsid w:val="005866EB"/>
    <w:rsid w:val="005868C1"/>
    <w:rsid w:val="0058728F"/>
    <w:rsid w:val="00592350"/>
    <w:rsid w:val="00592361"/>
    <w:rsid w:val="0059288F"/>
    <w:rsid w:val="00592BE6"/>
    <w:rsid w:val="00592EF3"/>
    <w:rsid w:val="0059339E"/>
    <w:rsid w:val="005938C6"/>
    <w:rsid w:val="005938E1"/>
    <w:rsid w:val="005939C9"/>
    <w:rsid w:val="00593BAC"/>
    <w:rsid w:val="00594049"/>
    <w:rsid w:val="005947A5"/>
    <w:rsid w:val="00594E87"/>
    <w:rsid w:val="0059520B"/>
    <w:rsid w:val="005956F3"/>
    <w:rsid w:val="00596A75"/>
    <w:rsid w:val="00596D28"/>
    <w:rsid w:val="00597A9D"/>
    <w:rsid w:val="005A0387"/>
    <w:rsid w:val="005A0431"/>
    <w:rsid w:val="005A04F8"/>
    <w:rsid w:val="005A0CB5"/>
    <w:rsid w:val="005A1763"/>
    <w:rsid w:val="005A1F5B"/>
    <w:rsid w:val="005A2899"/>
    <w:rsid w:val="005A29F6"/>
    <w:rsid w:val="005A427E"/>
    <w:rsid w:val="005A516C"/>
    <w:rsid w:val="005A5FB6"/>
    <w:rsid w:val="005A6063"/>
    <w:rsid w:val="005A64C4"/>
    <w:rsid w:val="005A6DB5"/>
    <w:rsid w:val="005A7190"/>
    <w:rsid w:val="005A746C"/>
    <w:rsid w:val="005A7AF5"/>
    <w:rsid w:val="005B051C"/>
    <w:rsid w:val="005B06C4"/>
    <w:rsid w:val="005B0E5E"/>
    <w:rsid w:val="005B141E"/>
    <w:rsid w:val="005B1A6A"/>
    <w:rsid w:val="005B21F4"/>
    <w:rsid w:val="005B24AA"/>
    <w:rsid w:val="005B2F78"/>
    <w:rsid w:val="005B3752"/>
    <w:rsid w:val="005B5D7B"/>
    <w:rsid w:val="005B6130"/>
    <w:rsid w:val="005B61C2"/>
    <w:rsid w:val="005B64C7"/>
    <w:rsid w:val="005B73C9"/>
    <w:rsid w:val="005B7C49"/>
    <w:rsid w:val="005C0115"/>
    <w:rsid w:val="005C0AEF"/>
    <w:rsid w:val="005C0E2E"/>
    <w:rsid w:val="005C218B"/>
    <w:rsid w:val="005C267F"/>
    <w:rsid w:val="005C299A"/>
    <w:rsid w:val="005C2CFC"/>
    <w:rsid w:val="005C3084"/>
    <w:rsid w:val="005C314B"/>
    <w:rsid w:val="005C4036"/>
    <w:rsid w:val="005C4328"/>
    <w:rsid w:val="005C4E27"/>
    <w:rsid w:val="005C5CBC"/>
    <w:rsid w:val="005C5ED4"/>
    <w:rsid w:val="005C6240"/>
    <w:rsid w:val="005C7A3A"/>
    <w:rsid w:val="005D03EF"/>
    <w:rsid w:val="005D0782"/>
    <w:rsid w:val="005D0CB7"/>
    <w:rsid w:val="005D1643"/>
    <w:rsid w:val="005D2480"/>
    <w:rsid w:val="005D25A0"/>
    <w:rsid w:val="005D26B7"/>
    <w:rsid w:val="005D2723"/>
    <w:rsid w:val="005D3D0D"/>
    <w:rsid w:val="005D41B2"/>
    <w:rsid w:val="005D4AA1"/>
    <w:rsid w:val="005D4B42"/>
    <w:rsid w:val="005D5172"/>
    <w:rsid w:val="005D6334"/>
    <w:rsid w:val="005D7EF7"/>
    <w:rsid w:val="005E02DB"/>
    <w:rsid w:val="005E0771"/>
    <w:rsid w:val="005E200A"/>
    <w:rsid w:val="005E2123"/>
    <w:rsid w:val="005E215E"/>
    <w:rsid w:val="005E228C"/>
    <w:rsid w:val="005E22FD"/>
    <w:rsid w:val="005E2355"/>
    <w:rsid w:val="005E262E"/>
    <w:rsid w:val="005E2B52"/>
    <w:rsid w:val="005E3A90"/>
    <w:rsid w:val="005E4A5A"/>
    <w:rsid w:val="005E4CBD"/>
    <w:rsid w:val="005E4EDF"/>
    <w:rsid w:val="005E5D3E"/>
    <w:rsid w:val="005E5ED8"/>
    <w:rsid w:val="005E6DD8"/>
    <w:rsid w:val="005E6FBE"/>
    <w:rsid w:val="005E7351"/>
    <w:rsid w:val="005F1F86"/>
    <w:rsid w:val="005F2019"/>
    <w:rsid w:val="005F3835"/>
    <w:rsid w:val="005F4FA0"/>
    <w:rsid w:val="005F5B73"/>
    <w:rsid w:val="005F7245"/>
    <w:rsid w:val="005F7C10"/>
    <w:rsid w:val="005F7D5D"/>
    <w:rsid w:val="005F7EC8"/>
    <w:rsid w:val="005F7F03"/>
    <w:rsid w:val="005F7FC3"/>
    <w:rsid w:val="006012F4"/>
    <w:rsid w:val="0060146C"/>
    <w:rsid w:val="0060207D"/>
    <w:rsid w:val="00602492"/>
    <w:rsid w:val="006035B6"/>
    <w:rsid w:val="0060368E"/>
    <w:rsid w:val="006039F2"/>
    <w:rsid w:val="00604E1B"/>
    <w:rsid w:val="0060576E"/>
    <w:rsid w:val="0060582C"/>
    <w:rsid w:val="006061B0"/>
    <w:rsid w:val="00606821"/>
    <w:rsid w:val="006072EB"/>
    <w:rsid w:val="0060732E"/>
    <w:rsid w:val="006076A9"/>
    <w:rsid w:val="00607E68"/>
    <w:rsid w:val="006100FA"/>
    <w:rsid w:val="006104B8"/>
    <w:rsid w:val="00610874"/>
    <w:rsid w:val="00610C7F"/>
    <w:rsid w:val="006114DE"/>
    <w:rsid w:val="00611521"/>
    <w:rsid w:val="0061187C"/>
    <w:rsid w:val="00611D05"/>
    <w:rsid w:val="00612024"/>
    <w:rsid w:val="006120BD"/>
    <w:rsid w:val="006143D5"/>
    <w:rsid w:val="006160E0"/>
    <w:rsid w:val="00616924"/>
    <w:rsid w:val="006170E4"/>
    <w:rsid w:val="00617440"/>
    <w:rsid w:val="006174F4"/>
    <w:rsid w:val="00617F19"/>
    <w:rsid w:val="006208CB"/>
    <w:rsid w:val="00620D4D"/>
    <w:rsid w:val="00620F6C"/>
    <w:rsid w:val="00621685"/>
    <w:rsid w:val="00621DE2"/>
    <w:rsid w:val="006235C0"/>
    <w:rsid w:val="0062425F"/>
    <w:rsid w:val="006242DD"/>
    <w:rsid w:val="00624446"/>
    <w:rsid w:val="0062445B"/>
    <w:rsid w:val="006246B7"/>
    <w:rsid w:val="00625E92"/>
    <w:rsid w:val="00625F2D"/>
    <w:rsid w:val="00627007"/>
    <w:rsid w:val="006306F3"/>
    <w:rsid w:val="00630F66"/>
    <w:rsid w:val="006311BB"/>
    <w:rsid w:val="0063141B"/>
    <w:rsid w:val="00631D41"/>
    <w:rsid w:val="00632DD4"/>
    <w:rsid w:val="00633528"/>
    <w:rsid w:val="00634481"/>
    <w:rsid w:val="00634C1D"/>
    <w:rsid w:val="00634C22"/>
    <w:rsid w:val="00635952"/>
    <w:rsid w:val="00635C90"/>
    <w:rsid w:val="006360BD"/>
    <w:rsid w:val="006360F2"/>
    <w:rsid w:val="0063699B"/>
    <w:rsid w:val="0063716F"/>
    <w:rsid w:val="006410D0"/>
    <w:rsid w:val="0064149B"/>
    <w:rsid w:val="00641800"/>
    <w:rsid w:val="00641AA5"/>
    <w:rsid w:val="006448A3"/>
    <w:rsid w:val="0064495C"/>
    <w:rsid w:val="006467B8"/>
    <w:rsid w:val="00646C1D"/>
    <w:rsid w:val="006472F0"/>
    <w:rsid w:val="00647535"/>
    <w:rsid w:val="006507DC"/>
    <w:rsid w:val="0065324B"/>
    <w:rsid w:val="006536D3"/>
    <w:rsid w:val="006544EA"/>
    <w:rsid w:val="0065648F"/>
    <w:rsid w:val="00657241"/>
    <w:rsid w:val="006572B5"/>
    <w:rsid w:val="00657452"/>
    <w:rsid w:val="00660DF5"/>
    <w:rsid w:val="00660FC9"/>
    <w:rsid w:val="00661732"/>
    <w:rsid w:val="006629FD"/>
    <w:rsid w:val="00663401"/>
    <w:rsid w:val="006635B3"/>
    <w:rsid w:val="00664261"/>
    <w:rsid w:val="00664E1A"/>
    <w:rsid w:val="0066569F"/>
    <w:rsid w:val="006656B5"/>
    <w:rsid w:val="00665CFF"/>
    <w:rsid w:val="00666020"/>
    <w:rsid w:val="0066625F"/>
    <w:rsid w:val="0066631A"/>
    <w:rsid w:val="0066638D"/>
    <w:rsid w:val="00667564"/>
    <w:rsid w:val="00667C33"/>
    <w:rsid w:val="00670394"/>
    <w:rsid w:val="00670774"/>
    <w:rsid w:val="006712B2"/>
    <w:rsid w:val="00671D49"/>
    <w:rsid w:val="0067222A"/>
    <w:rsid w:val="006722E4"/>
    <w:rsid w:val="00672B50"/>
    <w:rsid w:val="00673C9A"/>
    <w:rsid w:val="00674A0C"/>
    <w:rsid w:val="00674CCF"/>
    <w:rsid w:val="00675F62"/>
    <w:rsid w:val="0067686A"/>
    <w:rsid w:val="00676E60"/>
    <w:rsid w:val="006772CA"/>
    <w:rsid w:val="0067730B"/>
    <w:rsid w:val="00680812"/>
    <w:rsid w:val="00680E67"/>
    <w:rsid w:val="006818CA"/>
    <w:rsid w:val="0068336E"/>
    <w:rsid w:val="0068497C"/>
    <w:rsid w:val="0068549E"/>
    <w:rsid w:val="006864C4"/>
    <w:rsid w:val="00687744"/>
    <w:rsid w:val="00687A31"/>
    <w:rsid w:val="00687FAF"/>
    <w:rsid w:val="0069004B"/>
    <w:rsid w:val="006906D9"/>
    <w:rsid w:val="006911E3"/>
    <w:rsid w:val="006913D5"/>
    <w:rsid w:val="00691954"/>
    <w:rsid w:val="00692672"/>
    <w:rsid w:val="00692EE2"/>
    <w:rsid w:val="006931F4"/>
    <w:rsid w:val="00695062"/>
    <w:rsid w:val="00695148"/>
    <w:rsid w:val="006959A9"/>
    <w:rsid w:val="006963D4"/>
    <w:rsid w:val="00696967"/>
    <w:rsid w:val="00697D05"/>
    <w:rsid w:val="006A2058"/>
    <w:rsid w:val="006A2F24"/>
    <w:rsid w:val="006A5BCC"/>
    <w:rsid w:val="006A668F"/>
    <w:rsid w:val="006A6F8D"/>
    <w:rsid w:val="006A7276"/>
    <w:rsid w:val="006A7EF2"/>
    <w:rsid w:val="006B0390"/>
    <w:rsid w:val="006B08EB"/>
    <w:rsid w:val="006B0B54"/>
    <w:rsid w:val="006B11D0"/>
    <w:rsid w:val="006B13D1"/>
    <w:rsid w:val="006B4255"/>
    <w:rsid w:val="006B448C"/>
    <w:rsid w:val="006B481F"/>
    <w:rsid w:val="006B54AB"/>
    <w:rsid w:val="006B56B6"/>
    <w:rsid w:val="006B5BBB"/>
    <w:rsid w:val="006B5C72"/>
    <w:rsid w:val="006C04A7"/>
    <w:rsid w:val="006C1B7F"/>
    <w:rsid w:val="006C1E5B"/>
    <w:rsid w:val="006C2762"/>
    <w:rsid w:val="006C305D"/>
    <w:rsid w:val="006C39E9"/>
    <w:rsid w:val="006C3C67"/>
    <w:rsid w:val="006C3FBC"/>
    <w:rsid w:val="006C75B3"/>
    <w:rsid w:val="006C7636"/>
    <w:rsid w:val="006D180D"/>
    <w:rsid w:val="006D183B"/>
    <w:rsid w:val="006D4386"/>
    <w:rsid w:val="006D476D"/>
    <w:rsid w:val="006D4DAC"/>
    <w:rsid w:val="006D4DD8"/>
    <w:rsid w:val="006D4F78"/>
    <w:rsid w:val="006D5B0A"/>
    <w:rsid w:val="006D63C0"/>
    <w:rsid w:val="006D70D6"/>
    <w:rsid w:val="006D71F8"/>
    <w:rsid w:val="006D770A"/>
    <w:rsid w:val="006D7887"/>
    <w:rsid w:val="006E0EAF"/>
    <w:rsid w:val="006E10A8"/>
    <w:rsid w:val="006E1466"/>
    <w:rsid w:val="006E2790"/>
    <w:rsid w:val="006E2797"/>
    <w:rsid w:val="006E2D2C"/>
    <w:rsid w:val="006E3B90"/>
    <w:rsid w:val="006E479A"/>
    <w:rsid w:val="006E4CA1"/>
    <w:rsid w:val="006E4E93"/>
    <w:rsid w:val="006E5EDE"/>
    <w:rsid w:val="006E6214"/>
    <w:rsid w:val="006E74AB"/>
    <w:rsid w:val="006E78F8"/>
    <w:rsid w:val="006E7E9B"/>
    <w:rsid w:val="006F138C"/>
    <w:rsid w:val="006F1483"/>
    <w:rsid w:val="006F2519"/>
    <w:rsid w:val="006F2FC9"/>
    <w:rsid w:val="006F427C"/>
    <w:rsid w:val="006F436F"/>
    <w:rsid w:val="006F5216"/>
    <w:rsid w:val="006F5EBC"/>
    <w:rsid w:val="006F6328"/>
    <w:rsid w:val="006F638E"/>
    <w:rsid w:val="006F67F4"/>
    <w:rsid w:val="006F6BC2"/>
    <w:rsid w:val="006F7C80"/>
    <w:rsid w:val="006F7E6E"/>
    <w:rsid w:val="00701382"/>
    <w:rsid w:val="00701F54"/>
    <w:rsid w:val="007023EB"/>
    <w:rsid w:val="007026D4"/>
    <w:rsid w:val="0070329F"/>
    <w:rsid w:val="007033A9"/>
    <w:rsid w:val="00703CCF"/>
    <w:rsid w:val="00703E42"/>
    <w:rsid w:val="00704094"/>
    <w:rsid w:val="007045FC"/>
    <w:rsid w:val="00706928"/>
    <w:rsid w:val="00707E48"/>
    <w:rsid w:val="007108A2"/>
    <w:rsid w:val="007109EE"/>
    <w:rsid w:val="00710C9F"/>
    <w:rsid w:val="00710D78"/>
    <w:rsid w:val="007113BD"/>
    <w:rsid w:val="007118D4"/>
    <w:rsid w:val="00713702"/>
    <w:rsid w:val="00715014"/>
    <w:rsid w:val="00715C8F"/>
    <w:rsid w:val="007161A6"/>
    <w:rsid w:val="007171D3"/>
    <w:rsid w:val="00717BE2"/>
    <w:rsid w:val="0072011C"/>
    <w:rsid w:val="007202AE"/>
    <w:rsid w:val="0072066E"/>
    <w:rsid w:val="00720D0A"/>
    <w:rsid w:val="007211E6"/>
    <w:rsid w:val="00721C5B"/>
    <w:rsid w:val="00721E33"/>
    <w:rsid w:val="0072292B"/>
    <w:rsid w:val="00723B28"/>
    <w:rsid w:val="0072401D"/>
    <w:rsid w:val="007244F9"/>
    <w:rsid w:val="00724E88"/>
    <w:rsid w:val="00724FEA"/>
    <w:rsid w:val="0072545A"/>
    <w:rsid w:val="00725EC7"/>
    <w:rsid w:val="007272B0"/>
    <w:rsid w:val="00730367"/>
    <w:rsid w:val="00730C75"/>
    <w:rsid w:val="00730F19"/>
    <w:rsid w:val="007314C1"/>
    <w:rsid w:val="0073157A"/>
    <w:rsid w:val="00731921"/>
    <w:rsid w:val="00731C94"/>
    <w:rsid w:val="00732949"/>
    <w:rsid w:val="007329F8"/>
    <w:rsid w:val="00733135"/>
    <w:rsid w:val="007336D2"/>
    <w:rsid w:val="00734675"/>
    <w:rsid w:val="00734945"/>
    <w:rsid w:val="00735078"/>
    <w:rsid w:val="007355CE"/>
    <w:rsid w:val="007360E3"/>
    <w:rsid w:val="007368AD"/>
    <w:rsid w:val="00737296"/>
    <w:rsid w:val="00737556"/>
    <w:rsid w:val="00737AC7"/>
    <w:rsid w:val="0074092C"/>
    <w:rsid w:val="00741424"/>
    <w:rsid w:val="007434E9"/>
    <w:rsid w:val="0074382F"/>
    <w:rsid w:val="00743B5B"/>
    <w:rsid w:val="0074562B"/>
    <w:rsid w:val="007459BC"/>
    <w:rsid w:val="007477C0"/>
    <w:rsid w:val="00747EEE"/>
    <w:rsid w:val="00750B2B"/>
    <w:rsid w:val="00750CCA"/>
    <w:rsid w:val="007516A0"/>
    <w:rsid w:val="007516DB"/>
    <w:rsid w:val="00751D2A"/>
    <w:rsid w:val="00751D6D"/>
    <w:rsid w:val="0075210C"/>
    <w:rsid w:val="00752EFA"/>
    <w:rsid w:val="0075415B"/>
    <w:rsid w:val="0075417F"/>
    <w:rsid w:val="007545A3"/>
    <w:rsid w:val="007548B7"/>
    <w:rsid w:val="00754945"/>
    <w:rsid w:val="00755095"/>
    <w:rsid w:val="0075524D"/>
    <w:rsid w:val="00755A32"/>
    <w:rsid w:val="00755B75"/>
    <w:rsid w:val="00755DD6"/>
    <w:rsid w:val="00756A24"/>
    <w:rsid w:val="00757F81"/>
    <w:rsid w:val="007607E1"/>
    <w:rsid w:val="00763446"/>
    <w:rsid w:val="00763DCE"/>
    <w:rsid w:val="00766871"/>
    <w:rsid w:val="0076718C"/>
    <w:rsid w:val="007679EA"/>
    <w:rsid w:val="0077171B"/>
    <w:rsid w:val="00771E54"/>
    <w:rsid w:val="00772064"/>
    <w:rsid w:val="00772284"/>
    <w:rsid w:val="0077232D"/>
    <w:rsid w:val="0077256D"/>
    <w:rsid w:val="00772EFF"/>
    <w:rsid w:val="00773D47"/>
    <w:rsid w:val="007742DF"/>
    <w:rsid w:val="0077445B"/>
    <w:rsid w:val="00775C8C"/>
    <w:rsid w:val="0077632E"/>
    <w:rsid w:val="007768B8"/>
    <w:rsid w:val="00780CA6"/>
    <w:rsid w:val="00780E29"/>
    <w:rsid w:val="007820EF"/>
    <w:rsid w:val="00783510"/>
    <w:rsid w:val="007836C7"/>
    <w:rsid w:val="00783B16"/>
    <w:rsid w:val="0078406B"/>
    <w:rsid w:val="0078413F"/>
    <w:rsid w:val="00784984"/>
    <w:rsid w:val="00785055"/>
    <w:rsid w:val="00785266"/>
    <w:rsid w:val="007855F3"/>
    <w:rsid w:val="007856EA"/>
    <w:rsid w:val="007858B1"/>
    <w:rsid w:val="00785A40"/>
    <w:rsid w:val="00785F65"/>
    <w:rsid w:val="00786450"/>
    <w:rsid w:val="00790859"/>
    <w:rsid w:val="00790EA1"/>
    <w:rsid w:val="00791066"/>
    <w:rsid w:val="00792158"/>
    <w:rsid w:val="00792600"/>
    <w:rsid w:val="007928A3"/>
    <w:rsid w:val="0079466A"/>
    <w:rsid w:val="00795BBE"/>
    <w:rsid w:val="00796774"/>
    <w:rsid w:val="00796A07"/>
    <w:rsid w:val="00797847"/>
    <w:rsid w:val="007A05D3"/>
    <w:rsid w:val="007A0632"/>
    <w:rsid w:val="007A0E1D"/>
    <w:rsid w:val="007A154F"/>
    <w:rsid w:val="007A1BFE"/>
    <w:rsid w:val="007A2C7D"/>
    <w:rsid w:val="007A414C"/>
    <w:rsid w:val="007A4B9A"/>
    <w:rsid w:val="007A5B59"/>
    <w:rsid w:val="007A5C5C"/>
    <w:rsid w:val="007A5FF8"/>
    <w:rsid w:val="007A641B"/>
    <w:rsid w:val="007A69A3"/>
    <w:rsid w:val="007A7287"/>
    <w:rsid w:val="007B10B4"/>
    <w:rsid w:val="007B131B"/>
    <w:rsid w:val="007B1744"/>
    <w:rsid w:val="007B276D"/>
    <w:rsid w:val="007B35C9"/>
    <w:rsid w:val="007B515A"/>
    <w:rsid w:val="007B5266"/>
    <w:rsid w:val="007B5ADA"/>
    <w:rsid w:val="007B5CAF"/>
    <w:rsid w:val="007C1250"/>
    <w:rsid w:val="007C2215"/>
    <w:rsid w:val="007C3128"/>
    <w:rsid w:val="007C32E8"/>
    <w:rsid w:val="007C3986"/>
    <w:rsid w:val="007C3B11"/>
    <w:rsid w:val="007C429E"/>
    <w:rsid w:val="007C5E9A"/>
    <w:rsid w:val="007C6394"/>
    <w:rsid w:val="007C7065"/>
    <w:rsid w:val="007C729F"/>
    <w:rsid w:val="007C7D1B"/>
    <w:rsid w:val="007D0903"/>
    <w:rsid w:val="007D0B96"/>
    <w:rsid w:val="007D135D"/>
    <w:rsid w:val="007D1880"/>
    <w:rsid w:val="007D1983"/>
    <w:rsid w:val="007D2347"/>
    <w:rsid w:val="007D27A7"/>
    <w:rsid w:val="007D3558"/>
    <w:rsid w:val="007D3AB3"/>
    <w:rsid w:val="007D3B9A"/>
    <w:rsid w:val="007D3CD4"/>
    <w:rsid w:val="007D461D"/>
    <w:rsid w:val="007D470F"/>
    <w:rsid w:val="007D4C2A"/>
    <w:rsid w:val="007D4E90"/>
    <w:rsid w:val="007D59BE"/>
    <w:rsid w:val="007D62EF"/>
    <w:rsid w:val="007D660D"/>
    <w:rsid w:val="007D7A85"/>
    <w:rsid w:val="007E14A8"/>
    <w:rsid w:val="007E1810"/>
    <w:rsid w:val="007E1A6C"/>
    <w:rsid w:val="007E1BCF"/>
    <w:rsid w:val="007E1C61"/>
    <w:rsid w:val="007E2289"/>
    <w:rsid w:val="007E29B5"/>
    <w:rsid w:val="007E3C46"/>
    <w:rsid w:val="007E677A"/>
    <w:rsid w:val="007F0C9C"/>
    <w:rsid w:val="007F10E3"/>
    <w:rsid w:val="007F137C"/>
    <w:rsid w:val="007F17B2"/>
    <w:rsid w:val="007F18B8"/>
    <w:rsid w:val="007F214A"/>
    <w:rsid w:val="007F2C0E"/>
    <w:rsid w:val="007F336B"/>
    <w:rsid w:val="007F3380"/>
    <w:rsid w:val="007F3E80"/>
    <w:rsid w:val="007F3F3C"/>
    <w:rsid w:val="007F40EE"/>
    <w:rsid w:val="007F43CA"/>
    <w:rsid w:val="007F5084"/>
    <w:rsid w:val="007F6B8F"/>
    <w:rsid w:val="007F6D14"/>
    <w:rsid w:val="007F6D8E"/>
    <w:rsid w:val="007F6EAA"/>
    <w:rsid w:val="007F7610"/>
    <w:rsid w:val="007F79BA"/>
    <w:rsid w:val="00800576"/>
    <w:rsid w:val="00800AE9"/>
    <w:rsid w:val="00802398"/>
    <w:rsid w:val="008024FD"/>
    <w:rsid w:val="008027A3"/>
    <w:rsid w:val="008031BB"/>
    <w:rsid w:val="0080374B"/>
    <w:rsid w:val="00803C7F"/>
    <w:rsid w:val="00804751"/>
    <w:rsid w:val="0080484B"/>
    <w:rsid w:val="00804AEB"/>
    <w:rsid w:val="00804BFC"/>
    <w:rsid w:val="00806046"/>
    <w:rsid w:val="008062F6"/>
    <w:rsid w:val="00806330"/>
    <w:rsid w:val="00806C1B"/>
    <w:rsid w:val="00806E55"/>
    <w:rsid w:val="00807500"/>
    <w:rsid w:val="008076A7"/>
    <w:rsid w:val="008079F0"/>
    <w:rsid w:val="00807C76"/>
    <w:rsid w:val="0081108C"/>
    <w:rsid w:val="00811170"/>
    <w:rsid w:val="0081153F"/>
    <w:rsid w:val="00811BE8"/>
    <w:rsid w:val="00813410"/>
    <w:rsid w:val="00813AE2"/>
    <w:rsid w:val="0081410A"/>
    <w:rsid w:val="008141C5"/>
    <w:rsid w:val="0081522E"/>
    <w:rsid w:val="00816A7A"/>
    <w:rsid w:val="008170B2"/>
    <w:rsid w:val="008170D7"/>
    <w:rsid w:val="00817A44"/>
    <w:rsid w:val="0082125D"/>
    <w:rsid w:val="00821C20"/>
    <w:rsid w:val="00821FF8"/>
    <w:rsid w:val="008236C8"/>
    <w:rsid w:val="00824C49"/>
    <w:rsid w:val="00824CC8"/>
    <w:rsid w:val="00825020"/>
    <w:rsid w:val="00826031"/>
    <w:rsid w:val="008262CE"/>
    <w:rsid w:val="008263A2"/>
    <w:rsid w:val="00826414"/>
    <w:rsid w:val="008265C1"/>
    <w:rsid w:val="008273CA"/>
    <w:rsid w:val="008301FD"/>
    <w:rsid w:val="00831445"/>
    <w:rsid w:val="008332E1"/>
    <w:rsid w:val="008337FF"/>
    <w:rsid w:val="0083401B"/>
    <w:rsid w:val="008350D0"/>
    <w:rsid w:val="008354FD"/>
    <w:rsid w:val="00836D17"/>
    <w:rsid w:val="00837028"/>
    <w:rsid w:val="00837263"/>
    <w:rsid w:val="00840449"/>
    <w:rsid w:val="00840A55"/>
    <w:rsid w:val="00840CEB"/>
    <w:rsid w:val="00840D83"/>
    <w:rsid w:val="008412AE"/>
    <w:rsid w:val="008412E7"/>
    <w:rsid w:val="00841E25"/>
    <w:rsid w:val="00841FBD"/>
    <w:rsid w:val="00841FEA"/>
    <w:rsid w:val="0084365A"/>
    <w:rsid w:val="00846269"/>
    <w:rsid w:val="008464CD"/>
    <w:rsid w:val="008466C8"/>
    <w:rsid w:val="0084684E"/>
    <w:rsid w:val="0084699D"/>
    <w:rsid w:val="00846B1A"/>
    <w:rsid w:val="0084798A"/>
    <w:rsid w:val="0085062E"/>
    <w:rsid w:val="008513B0"/>
    <w:rsid w:val="008515EE"/>
    <w:rsid w:val="008516E4"/>
    <w:rsid w:val="00852499"/>
    <w:rsid w:val="00852845"/>
    <w:rsid w:val="00852B53"/>
    <w:rsid w:val="00852BC8"/>
    <w:rsid w:val="00853F38"/>
    <w:rsid w:val="008550FB"/>
    <w:rsid w:val="00855488"/>
    <w:rsid w:val="00855917"/>
    <w:rsid w:val="00855D8C"/>
    <w:rsid w:val="0085600D"/>
    <w:rsid w:val="00856B1C"/>
    <w:rsid w:val="00856DCC"/>
    <w:rsid w:val="00856F7D"/>
    <w:rsid w:val="008575B9"/>
    <w:rsid w:val="008575E3"/>
    <w:rsid w:val="00857CDD"/>
    <w:rsid w:val="00860299"/>
    <w:rsid w:val="00860760"/>
    <w:rsid w:val="008615F6"/>
    <w:rsid w:val="00861BD8"/>
    <w:rsid w:val="00861C4E"/>
    <w:rsid w:val="00861D3A"/>
    <w:rsid w:val="00862667"/>
    <w:rsid w:val="00863543"/>
    <w:rsid w:val="008641D8"/>
    <w:rsid w:val="008659B7"/>
    <w:rsid w:val="008661DF"/>
    <w:rsid w:val="00866327"/>
    <w:rsid w:val="00866D21"/>
    <w:rsid w:val="00866DF9"/>
    <w:rsid w:val="008676A1"/>
    <w:rsid w:val="00867796"/>
    <w:rsid w:val="00867E8C"/>
    <w:rsid w:val="008701C4"/>
    <w:rsid w:val="00870A20"/>
    <w:rsid w:val="00870D0E"/>
    <w:rsid w:val="008710FA"/>
    <w:rsid w:val="0087190C"/>
    <w:rsid w:val="0087280B"/>
    <w:rsid w:val="00872D85"/>
    <w:rsid w:val="008740EE"/>
    <w:rsid w:val="008745FB"/>
    <w:rsid w:val="00875620"/>
    <w:rsid w:val="00875720"/>
    <w:rsid w:val="008763AE"/>
    <w:rsid w:val="00876A2F"/>
    <w:rsid w:val="008773A6"/>
    <w:rsid w:val="0088147D"/>
    <w:rsid w:val="00881828"/>
    <w:rsid w:val="008818D7"/>
    <w:rsid w:val="00881DCA"/>
    <w:rsid w:val="00883446"/>
    <w:rsid w:val="00883DDA"/>
    <w:rsid w:val="00884CBD"/>
    <w:rsid w:val="00885EA8"/>
    <w:rsid w:val="00886648"/>
    <w:rsid w:val="00886791"/>
    <w:rsid w:val="00886F13"/>
    <w:rsid w:val="008873E4"/>
    <w:rsid w:val="00890188"/>
    <w:rsid w:val="008903DF"/>
    <w:rsid w:val="00891755"/>
    <w:rsid w:val="00891FF9"/>
    <w:rsid w:val="00892298"/>
    <w:rsid w:val="008927D6"/>
    <w:rsid w:val="008928B2"/>
    <w:rsid w:val="00892DA2"/>
    <w:rsid w:val="00893367"/>
    <w:rsid w:val="00893612"/>
    <w:rsid w:val="0089379F"/>
    <w:rsid w:val="008939F6"/>
    <w:rsid w:val="00893D07"/>
    <w:rsid w:val="00893EDD"/>
    <w:rsid w:val="00895F40"/>
    <w:rsid w:val="008978DC"/>
    <w:rsid w:val="008A041A"/>
    <w:rsid w:val="008A0661"/>
    <w:rsid w:val="008A0929"/>
    <w:rsid w:val="008A1927"/>
    <w:rsid w:val="008A21C4"/>
    <w:rsid w:val="008A2435"/>
    <w:rsid w:val="008A2D4C"/>
    <w:rsid w:val="008A306D"/>
    <w:rsid w:val="008A43FC"/>
    <w:rsid w:val="008A442E"/>
    <w:rsid w:val="008A4CED"/>
    <w:rsid w:val="008A5705"/>
    <w:rsid w:val="008A597A"/>
    <w:rsid w:val="008A65FD"/>
    <w:rsid w:val="008A66E4"/>
    <w:rsid w:val="008A6B05"/>
    <w:rsid w:val="008A7139"/>
    <w:rsid w:val="008A746B"/>
    <w:rsid w:val="008B0078"/>
    <w:rsid w:val="008B02A0"/>
    <w:rsid w:val="008B06FC"/>
    <w:rsid w:val="008B1D08"/>
    <w:rsid w:val="008B25DE"/>
    <w:rsid w:val="008B2746"/>
    <w:rsid w:val="008B2906"/>
    <w:rsid w:val="008B29AD"/>
    <w:rsid w:val="008B31CA"/>
    <w:rsid w:val="008B382B"/>
    <w:rsid w:val="008B53C4"/>
    <w:rsid w:val="008B76A1"/>
    <w:rsid w:val="008B7956"/>
    <w:rsid w:val="008B7FC5"/>
    <w:rsid w:val="008C0014"/>
    <w:rsid w:val="008C082D"/>
    <w:rsid w:val="008C0C5F"/>
    <w:rsid w:val="008C1B03"/>
    <w:rsid w:val="008C32F3"/>
    <w:rsid w:val="008C33BD"/>
    <w:rsid w:val="008C35C5"/>
    <w:rsid w:val="008C3722"/>
    <w:rsid w:val="008C3B67"/>
    <w:rsid w:val="008C3E91"/>
    <w:rsid w:val="008C3F48"/>
    <w:rsid w:val="008C4EDA"/>
    <w:rsid w:val="008C558F"/>
    <w:rsid w:val="008C5FDA"/>
    <w:rsid w:val="008C6418"/>
    <w:rsid w:val="008C6421"/>
    <w:rsid w:val="008C6913"/>
    <w:rsid w:val="008C697E"/>
    <w:rsid w:val="008C6BE6"/>
    <w:rsid w:val="008C71F8"/>
    <w:rsid w:val="008C726C"/>
    <w:rsid w:val="008C7585"/>
    <w:rsid w:val="008C7597"/>
    <w:rsid w:val="008C7FC9"/>
    <w:rsid w:val="008D1092"/>
    <w:rsid w:val="008D1610"/>
    <w:rsid w:val="008D413C"/>
    <w:rsid w:val="008D49B4"/>
    <w:rsid w:val="008D50B5"/>
    <w:rsid w:val="008D51F4"/>
    <w:rsid w:val="008D5DD9"/>
    <w:rsid w:val="008D63B1"/>
    <w:rsid w:val="008D66CB"/>
    <w:rsid w:val="008D6C1E"/>
    <w:rsid w:val="008D705D"/>
    <w:rsid w:val="008D7498"/>
    <w:rsid w:val="008D76D9"/>
    <w:rsid w:val="008D76F8"/>
    <w:rsid w:val="008E09BC"/>
    <w:rsid w:val="008E1594"/>
    <w:rsid w:val="008E275D"/>
    <w:rsid w:val="008E3FA2"/>
    <w:rsid w:val="008E4AE5"/>
    <w:rsid w:val="008E52ED"/>
    <w:rsid w:val="008E74D4"/>
    <w:rsid w:val="008E7687"/>
    <w:rsid w:val="008F06B6"/>
    <w:rsid w:val="008F167D"/>
    <w:rsid w:val="008F2B9B"/>
    <w:rsid w:val="008F2BDE"/>
    <w:rsid w:val="008F3259"/>
    <w:rsid w:val="008F344E"/>
    <w:rsid w:val="008F35D3"/>
    <w:rsid w:val="008F444D"/>
    <w:rsid w:val="008F616B"/>
    <w:rsid w:val="008F65A5"/>
    <w:rsid w:val="008F6F4F"/>
    <w:rsid w:val="008F7898"/>
    <w:rsid w:val="00900056"/>
    <w:rsid w:val="009007AD"/>
    <w:rsid w:val="00900C13"/>
    <w:rsid w:val="009010F7"/>
    <w:rsid w:val="00901423"/>
    <w:rsid w:val="00901431"/>
    <w:rsid w:val="0090264C"/>
    <w:rsid w:val="00904773"/>
    <w:rsid w:val="00904CF0"/>
    <w:rsid w:val="0090573C"/>
    <w:rsid w:val="00905D44"/>
    <w:rsid w:val="009072DA"/>
    <w:rsid w:val="00907454"/>
    <w:rsid w:val="009074E8"/>
    <w:rsid w:val="009103BF"/>
    <w:rsid w:val="009106E8"/>
    <w:rsid w:val="00910873"/>
    <w:rsid w:val="00910C47"/>
    <w:rsid w:val="009116EF"/>
    <w:rsid w:val="00912153"/>
    <w:rsid w:val="00912276"/>
    <w:rsid w:val="0091417F"/>
    <w:rsid w:val="0091438C"/>
    <w:rsid w:val="00915080"/>
    <w:rsid w:val="00915FF3"/>
    <w:rsid w:val="00916E44"/>
    <w:rsid w:val="00917054"/>
    <w:rsid w:val="0091727F"/>
    <w:rsid w:val="00917D0B"/>
    <w:rsid w:val="00917EED"/>
    <w:rsid w:val="009203A9"/>
    <w:rsid w:val="00920418"/>
    <w:rsid w:val="009223B4"/>
    <w:rsid w:val="0092342C"/>
    <w:rsid w:val="009236A3"/>
    <w:rsid w:val="00923FD4"/>
    <w:rsid w:val="0092463B"/>
    <w:rsid w:val="00924A5F"/>
    <w:rsid w:val="00924B59"/>
    <w:rsid w:val="00924C6C"/>
    <w:rsid w:val="00924E24"/>
    <w:rsid w:val="00925C1D"/>
    <w:rsid w:val="00925CEA"/>
    <w:rsid w:val="00926450"/>
    <w:rsid w:val="00926F96"/>
    <w:rsid w:val="0092756B"/>
    <w:rsid w:val="00927698"/>
    <w:rsid w:val="00927F77"/>
    <w:rsid w:val="009302BC"/>
    <w:rsid w:val="00930502"/>
    <w:rsid w:val="00931A46"/>
    <w:rsid w:val="00932621"/>
    <w:rsid w:val="00932B7C"/>
    <w:rsid w:val="00932E96"/>
    <w:rsid w:val="00933960"/>
    <w:rsid w:val="00934AC7"/>
    <w:rsid w:val="00935AC9"/>
    <w:rsid w:val="00936ACD"/>
    <w:rsid w:val="0094013C"/>
    <w:rsid w:val="00940350"/>
    <w:rsid w:val="009412C9"/>
    <w:rsid w:val="00941700"/>
    <w:rsid w:val="009418E6"/>
    <w:rsid w:val="00941A02"/>
    <w:rsid w:val="00942143"/>
    <w:rsid w:val="0094235F"/>
    <w:rsid w:val="0094279F"/>
    <w:rsid w:val="009429A5"/>
    <w:rsid w:val="00942E5B"/>
    <w:rsid w:val="009444B6"/>
    <w:rsid w:val="009454FD"/>
    <w:rsid w:val="00946AD5"/>
    <w:rsid w:val="00946B98"/>
    <w:rsid w:val="0095015D"/>
    <w:rsid w:val="0095052A"/>
    <w:rsid w:val="00950EB5"/>
    <w:rsid w:val="00951C06"/>
    <w:rsid w:val="009529B2"/>
    <w:rsid w:val="00953AF4"/>
    <w:rsid w:val="00953C53"/>
    <w:rsid w:val="00954465"/>
    <w:rsid w:val="00954ABD"/>
    <w:rsid w:val="00954F42"/>
    <w:rsid w:val="00955E20"/>
    <w:rsid w:val="00956D0B"/>
    <w:rsid w:val="00956D5A"/>
    <w:rsid w:val="009604E8"/>
    <w:rsid w:val="00960E5E"/>
    <w:rsid w:val="00960F5D"/>
    <w:rsid w:val="00961CE6"/>
    <w:rsid w:val="00962182"/>
    <w:rsid w:val="00964C26"/>
    <w:rsid w:val="00964F17"/>
    <w:rsid w:val="00964FC4"/>
    <w:rsid w:val="00965151"/>
    <w:rsid w:val="009658F0"/>
    <w:rsid w:val="00965B22"/>
    <w:rsid w:val="00966C81"/>
    <w:rsid w:val="009671BD"/>
    <w:rsid w:val="00967757"/>
    <w:rsid w:val="00967E7F"/>
    <w:rsid w:val="00971655"/>
    <w:rsid w:val="00971C63"/>
    <w:rsid w:val="009730A6"/>
    <w:rsid w:val="00973271"/>
    <w:rsid w:val="00973660"/>
    <w:rsid w:val="00973ECF"/>
    <w:rsid w:val="00974068"/>
    <w:rsid w:val="009741F8"/>
    <w:rsid w:val="009742FB"/>
    <w:rsid w:val="00974736"/>
    <w:rsid w:val="00974876"/>
    <w:rsid w:val="009748A2"/>
    <w:rsid w:val="00974DDC"/>
    <w:rsid w:val="00975139"/>
    <w:rsid w:val="0097532B"/>
    <w:rsid w:val="00975474"/>
    <w:rsid w:val="0097649B"/>
    <w:rsid w:val="0097652B"/>
    <w:rsid w:val="00976983"/>
    <w:rsid w:val="00977218"/>
    <w:rsid w:val="00977352"/>
    <w:rsid w:val="00977395"/>
    <w:rsid w:val="009775DF"/>
    <w:rsid w:val="009803D1"/>
    <w:rsid w:val="0098153C"/>
    <w:rsid w:val="0098181A"/>
    <w:rsid w:val="00982231"/>
    <w:rsid w:val="00982AF5"/>
    <w:rsid w:val="00984C4B"/>
    <w:rsid w:val="00985A69"/>
    <w:rsid w:val="00985CBA"/>
    <w:rsid w:val="00986D27"/>
    <w:rsid w:val="009909E7"/>
    <w:rsid w:val="00990CDE"/>
    <w:rsid w:val="00990FD9"/>
    <w:rsid w:val="0099102F"/>
    <w:rsid w:val="00991435"/>
    <w:rsid w:val="00991876"/>
    <w:rsid w:val="00991A0A"/>
    <w:rsid w:val="00991EDD"/>
    <w:rsid w:val="00992B9F"/>
    <w:rsid w:val="009934D8"/>
    <w:rsid w:val="009934E3"/>
    <w:rsid w:val="00994B30"/>
    <w:rsid w:val="00994D62"/>
    <w:rsid w:val="00994F63"/>
    <w:rsid w:val="009963E7"/>
    <w:rsid w:val="00996D3A"/>
    <w:rsid w:val="009A25DE"/>
    <w:rsid w:val="009A2779"/>
    <w:rsid w:val="009A33FA"/>
    <w:rsid w:val="009A341D"/>
    <w:rsid w:val="009A38F8"/>
    <w:rsid w:val="009A4AE9"/>
    <w:rsid w:val="009A4CD0"/>
    <w:rsid w:val="009A5AA2"/>
    <w:rsid w:val="009A5E3A"/>
    <w:rsid w:val="009A6C18"/>
    <w:rsid w:val="009B09C5"/>
    <w:rsid w:val="009B204B"/>
    <w:rsid w:val="009B2A3A"/>
    <w:rsid w:val="009B2B01"/>
    <w:rsid w:val="009B2BD3"/>
    <w:rsid w:val="009B30EF"/>
    <w:rsid w:val="009B3C96"/>
    <w:rsid w:val="009B47A7"/>
    <w:rsid w:val="009B5235"/>
    <w:rsid w:val="009B5878"/>
    <w:rsid w:val="009B77B5"/>
    <w:rsid w:val="009C1593"/>
    <w:rsid w:val="009C16F5"/>
    <w:rsid w:val="009C1B31"/>
    <w:rsid w:val="009C1DEC"/>
    <w:rsid w:val="009C1E47"/>
    <w:rsid w:val="009C2242"/>
    <w:rsid w:val="009C398C"/>
    <w:rsid w:val="009C3F50"/>
    <w:rsid w:val="009C40E1"/>
    <w:rsid w:val="009C4277"/>
    <w:rsid w:val="009C43D5"/>
    <w:rsid w:val="009C46E8"/>
    <w:rsid w:val="009C64A9"/>
    <w:rsid w:val="009C71D5"/>
    <w:rsid w:val="009C7632"/>
    <w:rsid w:val="009C797F"/>
    <w:rsid w:val="009C7D77"/>
    <w:rsid w:val="009C7E36"/>
    <w:rsid w:val="009D059B"/>
    <w:rsid w:val="009D0E04"/>
    <w:rsid w:val="009D0E5F"/>
    <w:rsid w:val="009D1847"/>
    <w:rsid w:val="009D1B03"/>
    <w:rsid w:val="009D1D7A"/>
    <w:rsid w:val="009D4370"/>
    <w:rsid w:val="009D449A"/>
    <w:rsid w:val="009D4588"/>
    <w:rsid w:val="009D6A7F"/>
    <w:rsid w:val="009D764E"/>
    <w:rsid w:val="009E1C0C"/>
    <w:rsid w:val="009E2E65"/>
    <w:rsid w:val="009E3977"/>
    <w:rsid w:val="009E3EBA"/>
    <w:rsid w:val="009E420B"/>
    <w:rsid w:val="009E665B"/>
    <w:rsid w:val="009E6C80"/>
    <w:rsid w:val="009E72A9"/>
    <w:rsid w:val="009E7DAD"/>
    <w:rsid w:val="009F092B"/>
    <w:rsid w:val="009F0A4D"/>
    <w:rsid w:val="009F0AE8"/>
    <w:rsid w:val="009F20AF"/>
    <w:rsid w:val="009F26E8"/>
    <w:rsid w:val="009F30FC"/>
    <w:rsid w:val="009F32BC"/>
    <w:rsid w:val="009F3816"/>
    <w:rsid w:val="009F49D0"/>
    <w:rsid w:val="009F49F8"/>
    <w:rsid w:val="009F4B43"/>
    <w:rsid w:val="009F4F5E"/>
    <w:rsid w:val="009F54AD"/>
    <w:rsid w:val="009F72FD"/>
    <w:rsid w:val="009F7868"/>
    <w:rsid w:val="009F7CE4"/>
    <w:rsid w:val="00A001F3"/>
    <w:rsid w:val="00A01873"/>
    <w:rsid w:val="00A0291E"/>
    <w:rsid w:val="00A043B7"/>
    <w:rsid w:val="00A054DD"/>
    <w:rsid w:val="00A05B91"/>
    <w:rsid w:val="00A10300"/>
    <w:rsid w:val="00A10768"/>
    <w:rsid w:val="00A10A10"/>
    <w:rsid w:val="00A11162"/>
    <w:rsid w:val="00A118BC"/>
    <w:rsid w:val="00A11AA2"/>
    <w:rsid w:val="00A11E21"/>
    <w:rsid w:val="00A130F8"/>
    <w:rsid w:val="00A13674"/>
    <w:rsid w:val="00A143A5"/>
    <w:rsid w:val="00A14530"/>
    <w:rsid w:val="00A159A5"/>
    <w:rsid w:val="00A168C3"/>
    <w:rsid w:val="00A16BEB"/>
    <w:rsid w:val="00A20001"/>
    <w:rsid w:val="00A2075B"/>
    <w:rsid w:val="00A215F0"/>
    <w:rsid w:val="00A2175D"/>
    <w:rsid w:val="00A2283B"/>
    <w:rsid w:val="00A228CE"/>
    <w:rsid w:val="00A22AEC"/>
    <w:rsid w:val="00A2495C"/>
    <w:rsid w:val="00A2510E"/>
    <w:rsid w:val="00A25E64"/>
    <w:rsid w:val="00A26920"/>
    <w:rsid w:val="00A26E11"/>
    <w:rsid w:val="00A277E7"/>
    <w:rsid w:val="00A27C77"/>
    <w:rsid w:val="00A27E0F"/>
    <w:rsid w:val="00A300FF"/>
    <w:rsid w:val="00A301B7"/>
    <w:rsid w:val="00A306E7"/>
    <w:rsid w:val="00A30C3D"/>
    <w:rsid w:val="00A31075"/>
    <w:rsid w:val="00A31D84"/>
    <w:rsid w:val="00A325DB"/>
    <w:rsid w:val="00A326F9"/>
    <w:rsid w:val="00A32AE0"/>
    <w:rsid w:val="00A332C1"/>
    <w:rsid w:val="00A336A1"/>
    <w:rsid w:val="00A3372A"/>
    <w:rsid w:val="00A3390F"/>
    <w:rsid w:val="00A34DA2"/>
    <w:rsid w:val="00A369C5"/>
    <w:rsid w:val="00A36AD1"/>
    <w:rsid w:val="00A376B8"/>
    <w:rsid w:val="00A37700"/>
    <w:rsid w:val="00A37A58"/>
    <w:rsid w:val="00A37C87"/>
    <w:rsid w:val="00A37D64"/>
    <w:rsid w:val="00A430DD"/>
    <w:rsid w:val="00A43227"/>
    <w:rsid w:val="00A434E8"/>
    <w:rsid w:val="00A4391A"/>
    <w:rsid w:val="00A44AE0"/>
    <w:rsid w:val="00A459C2"/>
    <w:rsid w:val="00A45CE0"/>
    <w:rsid w:val="00A46503"/>
    <w:rsid w:val="00A46CCD"/>
    <w:rsid w:val="00A50D2D"/>
    <w:rsid w:val="00A5143D"/>
    <w:rsid w:val="00A51487"/>
    <w:rsid w:val="00A52ED0"/>
    <w:rsid w:val="00A53043"/>
    <w:rsid w:val="00A54A27"/>
    <w:rsid w:val="00A54F60"/>
    <w:rsid w:val="00A55A40"/>
    <w:rsid w:val="00A55BB8"/>
    <w:rsid w:val="00A55C6B"/>
    <w:rsid w:val="00A56ECD"/>
    <w:rsid w:val="00A57E35"/>
    <w:rsid w:val="00A57F2F"/>
    <w:rsid w:val="00A60920"/>
    <w:rsid w:val="00A610A4"/>
    <w:rsid w:val="00A6138C"/>
    <w:rsid w:val="00A61ADE"/>
    <w:rsid w:val="00A62A14"/>
    <w:rsid w:val="00A63952"/>
    <w:rsid w:val="00A64041"/>
    <w:rsid w:val="00A641B6"/>
    <w:rsid w:val="00A6476E"/>
    <w:rsid w:val="00A64CD9"/>
    <w:rsid w:val="00A65133"/>
    <w:rsid w:val="00A651BA"/>
    <w:rsid w:val="00A652C5"/>
    <w:rsid w:val="00A660AC"/>
    <w:rsid w:val="00A6610B"/>
    <w:rsid w:val="00A6612E"/>
    <w:rsid w:val="00A673CF"/>
    <w:rsid w:val="00A719DB"/>
    <w:rsid w:val="00A71BDF"/>
    <w:rsid w:val="00A73787"/>
    <w:rsid w:val="00A73B31"/>
    <w:rsid w:val="00A73E4C"/>
    <w:rsid w:val="00A73EB2"/>
    <w:rsid w:val="00A74560"/>
    <w:rsid w:val="00A7500C"/>
    <w:rsid w:val="00A758EE"/>
    <w:rsid w:val="00A7598A"/>
    <w:rsid w:val="00A75C1F"/>
    <w:rsid w:val="00A75EC8"/>
    <w:rsid w:val="00A768E4"/>
    <w:rsid w:val="00A768F0"/>
    <w:rsid w:val="00A76AFB"/>
    <w:rsid w:val="00A76F0E"/>
    <w:rsid w:val="00A80BBF"/>
    <w:rsid w:val="00A81056"/>
    <w:rsid w:val="00A810FC"/>
    <w:rsid w:val="00A81733"/>
    <w:rsid w:val="00A81990"/>
    <w:rsid w:val="00A81C3E"/>
    <w:rsid w:val="00A827F3"/>
    <w:rsid w:val="00A831BC"/>
    <w:rsid w:val="00A84315"/>
    <w:rsid w:val="00A85C5A"/>
    <w:rsid w:val="00A87064"/>
    <w:rsid w:val="00A87604"/>
    <w:rsid w:val="00A877EC"/>
    <w:rsid w:val="00A908AA"/>
    <w:rsid w:val="00A918C8"/>
    <w:rsid w:val="00A921AB"/>
    <w:rsid w:val="00A92472"/>
    <w:rsid w:val="00A93206"/>
    <w:rsid w:val="00A93796"/>
    <w:rsid w:val="00A93ED2"/>
    <w:rsid w:val="00A94324"/>
    <w:rsid w:val="00A94904"/>
    <w:rsid w:val="00A949B4"/>
    <w:rsid w:val="00A95C57"/>
    <w:rsid w:val="00A966C8"/>
    <w:rsid w:val="00A96A08"/>
    <w:rsid w:val="00A97A9F"/>
    <w:rsid w:val="00A97B40"/>
    <w:rsid w:val="00AA0161"/>
    <w:rsid w:val="00AA09AE"/>
    <w:rsid w:val="00AA2113"/>
    <w:rsid w:val="00AA22B6"/>
    <w:rsid w:val="00AA2B7F"/>
    <w:rsid w:val="00AA41B4"/>
    <w:rsid w:val="00AA4E4C"/>
    <w:rsid w:val="00AA638F"/>
    <w:rsid w:val="00AA717F"/>
    <w:rsid w:val="00AB0A8E"/>
    <w:rsid w:val="00AB1742"/>
    <w:rsid w:val="00AB1D08"/>
    <w:rsid w:val="00AB333E"/>
    <w:rsid w:val="00AB36A1"/>
    <w:rsid w:val="00AB4345"/>
    <w:rsid w:val="00AB45B2"/>
    <w:rsid w:val="00AB4F71"/>
    <w:rsid w:val="00AB4F79"/>
    <w:rsid w:val="00AB5BD7"/>
    <w:rsid w:val="00AB5C0D"/>
    <w:rsid w:val="00AB612F"/>
    <w:rsid w:val="00AB6B32"/>
    <w:rsid w:val="00AB7794"/>
    <w:rsid w:val="00AC0135"/>
    <w:rsid w:val="00AC070D"/>
    <w:rsid w:val="00AC0BC2"/>
    <w:rsid w:val="00AC105B"/>
    <w:rsid w:val="00AC13EA"/>
    <w:rsid w:val="00AC1514"/>
    <w:rsid w:val="00AC1B94"/>
    <w:rsid w:val="00AC248B"/>
    <w:rsid w:val="00AC2E36"/>
    <w:rsid w:val="00AC2FF4"/>
    <w:rsid w:val="00AC36F9"/>
    <w:rsid w:val="00AC39D9"/>
    <w:rsid w:val="00AC4CFC"/>
    <w:rsid w:val="00AC5753"/>
    <w:rsid w:val="00AC5930"/>
    <w:rsid w:val="00AC5E51"/>
    <w:rsid w:val="00AC6557"/>
    <w:rsid w:val="00AC6D3E"/>
    <w:rsid w:val="00AC6F25"/>
    <w:rsid w:val="00AC76DA"/>
    <w:rsid w:val="00AD0036"/>
    <w:rsid w:val="00AD0594"/>
    <w:rsid w:val="00AD05A6"/>
    <w:rsid w:val="00AD0616"/>
    <w:rsid w:val="00AD0753"/>
    <w:rsid w:val="00AD1E73"/>
    <w:rsid w:val="00AD2202"/>
    <w:rsid w:val="00AD34FF"/>
    <w:rsid w:val="00AD4DE6"/>
    <w:rsid w:val="00AD634F"/>
    <w:rsid w:val="00AD63C1"/>
    <w:rsid w:val="00AD698C"/>
    <w:rsid w:val="00AE014D"/>
    <w:rsid w:val="00AE0A48"/>
    <w:rsid w:val="00AE2B44"/>
    <w:rsid w:val="00AE2F1F"/>
    <w:rsid w:val="00AE3356"/>
    <w:rsid w:val="00AE42A3"/>
    <w:rsid w:val="00AE43C4"/>
    <w:rsid w:val="00AE4EAC"/>
    <w:rsid w:val="00AE5609"/>
    <w:rsid w:val="00AE5633"/>
    <w:rsid w:val="00AE636D"/>
    <w:rsid w:val="00AE678A"/>
    <w:rsid w:val="00AE6DBC"/>
    <w:rsid w:val="00AE7541"/>
    <w:rsid w:val="00AF16A9"/>
    <w:rsid w:val="00AF235D"/>
    <w:rsid w:val="00AF2AFF"/>
    <w:rsid w:val="00AF30DE"/>
    <w:rsid w:val="00AF3E95"/>
    <w:rsid w:val="00AF4AE6"/>
    <w:rsid w:val="00AF4FAD"/>
    <w:rsid w:val="00AF5F10"/>
    <w:rsid w:val="00AF688C"/>
    <w:rsid w:val="00AF6E3D"/>
    <w:rsid w:val="00AF7374"/>
    <w:rsid w:val="00AF7C67"/>
    <w:rsid w:val="00AF7F18"/>
    <w:rsid w:val="00B020CC"/>
    <w:rsid w:val="00B024AA"/>
    <w:rsid w:val="00B02A6D"/>
    <w:rsid w:val="00B03324"/>
    <w:rsid w:val="00B03942"/>
    <w:rsid w:val="00B04459"/>
    <w:rsid w:val="00B059DF"/>
    <w:rsid w:val="00B05A13"/>
    <w:rsid w:val="00B06A99"/>
    <w:rsid w:val="00B0701B"/>
    <w:rsid w:val="00B101A5"/>
    <w:rsid w:val="00B1029D"/>
    <w:rsid w:val="00B11AD7"/>
    <w:rsid w:val="00B11D10"/>
    <w:rsid w:val="00B11D75"/>
    <w:rsid w:val="00B124E9"/>
    <w:rsid w:val="00B12B64"/>
    <w:rsid w:val="00B13240"/>
    <w:rsid w:val="00B13933"/>
    <w:rsid w:val="00B13CC4"/>
    <w:rsid w:val="00B14A0C"/>
    <w:rsid w:val="00B152A2"/>
    <w:rsid w:val="00B15FE9"/>
    <w:rsid w:val="00B1645F"/>
    <w:rsid w:val="00B172C0"/>
    <w:rsid w:val="00B173E3"/>
    <w:rsid w:val="00B20058"/>
    <w:rsid w:val="00B20491"/>
    <w:rsid w:val="00B205AA"/>
    <w:rsid w:val="00B21022"/>
    <w:rsid w:val="00B2122A"/>
    <w:rsid w:val="00B219D7"/>
    <w:rsid w:val="00B2304F"/>
    <w:rsid w:val="00B232CB"/>
    <w:rsid w:val="00B24247"/>
    <w:rsid w:val="00B24FF7"/>
    <w:rsid w:val="00B27130"/>
    <w:rsid w:val="00B271B7"/>
    <w:rsid w:val="00B27711"/>
    <w:rsid w:val="00B27A11"/>
    <w:rsid w:val="00B3061F"/>
    <w:rsid w:val="00B307CA"/>
    <w:rsid w:val="00B31C70"/>
    <w:rsid w:val="00B322E9"/>
    <w:rsid w:val="00B328C0"/>
    <w:rsid w:val="00B341C5"/>
    <w:rsid w:val="00B347B4"/>
    <w:rsid w:val="00B35A07"/>
    <w:rsid w:val="00B36673"/>
    <w:rsid w:val="00B37226"/>
    <w:rsid w:val="00B37F88"/>
    <w:rsid w:val="00B40456"/>
    <w:rsid w:val="00B417B8"/>
    <w:rsid w:val="00B42217"/>
    <w:rsid w:val="00B42BCA"/>
    <w:rsid w:val="00B43B78"/>
    <w:rsid w:val="00B45769"/>
    <w:rsid w:val="00B45793"/>
    <w:rsid w:val="00B45EB0"/>
    <w:rsid w:val="00B47892"/>
    <w:rsid w:val="00B47BE8"/>
    <w:rsid w:val="00B47D58"/>
    <w:rsid w:val="00B50596"/>
    <w:rsid w:val="00B506DB"/>
    <w:rsid w:val="00B50DC5"/>
    <w:rsid w:val="00B50DFB"/>
    <w:rsid w:val="00B5122D"/>
    <w:rsid w:val="00B5170F"/>
    <w:rsid w:val="00B51883"/>
    <w:rsid w:val="00B51DCD"/>
    <w:rsid w:val="00B5228A"/>
    <w:rsid w:val="00B523B1"/>
    <w:rsid w:val="00B524AF"/>
    <w:rsid w:val="00B527A3"/>
    <w:rsid w:val="00B52902"/>
    <w:rsid w:val="00B53444"/>
    <w:rsid w:val="00B53938"/>
    <w:rsid w:val="00B53AD1"/>
    <w:rsid w:val="00B54743"/>
    <w:rsid w:val="00B54987"/>
    <w:rsid w:val="00B552AA"/>
    <w:rsid w:val="00B56A8D"/>
    <w:rsid w:val="00B57509"/>
    <w:rsid w:val="00B57651"/>
    <w:rsid w:val="00B57C42"/>
    <w:rsid w:val="00B60CD4"/>
    <w:rsid w:val="00B61001"/>
    <w:rsid w:val="00B61FD4"/>
    <w:rsid w:val="00B622E9"/>
    <w:rsid w:val="00B62A1E"/>
    <w:rsid w:val="00B62AC5"/>
    <w:rsid w:val="00B63444"/>
    <w:rsid w:val="00B638D5"/>
    <w:rsid w:val="00B640CD"/>
    <w:rsid w:val="00B66292"/>
    <w:rsid w:val="00B662C5"/>
    <w:rsid w:val="00B66B19"/>
    <w:rsid w:val="00B67447"/>
    <w:rsid w:val="00B674DB"/>
    <w:rsid w:val="00B71534"/>
    <w:rsid w:val="00B71979"/>
    <w:rsid w:val="00B71C6D"/>
    <w:rsid w:val="00B72062"/>
    <w:rsid w:val="00B723EC"/>
    <w:rsid w:val="00B72924"/>
    <w:rsid w:val="00B73E35"/>
    <w:rsid w:val="00B73F44"/>
    <w:rsid w:val="00B74628"/>
    <w:rsid w:val="00B746F1"/>
    <w:rsid w:val="00B75DB2"/>
    <w:rsid w:val="00B76392"/>
    <w:rsid w:val="00B76438"/>
    <w:rsid w:val="00B76785"/>
    <w:rsid w:val="00B76EC4"/>
    <w:rsid w:val="00B7756C"/>
    <w:rsid w:val="00B77954"/>
    <w:rsid w:val="00B80A8D"/>
    <w:rsid w:val="00B80DCD"/>
    <w:rsid w:val="00B81D65"/>
    <w:rsid w:val="00B82360"/>
    <w:rsid w:val="00B82E8D"/>
    <w:rsid w:val="00B83B8B"/>
    <w:rsid w:val="00B84BA6"/>
    <w:rsid w:val="00B851D6"/>
    <w:rsid w:val="00B85991"/>
    <w:rsid w:val="00B86B93"/>
    <w:rsid w:val="00B8718A"/>
    <w:rsid w:val="00B8739B"/>
    <w:rsid w:val="00B876D2"/>
    <w:rsid w:val="00B87A75"/>
    <w:rsid w:val="00B90390"/>
    <w:rsid w:val="00B9264D"/>
    <w:rsid w:val="00B9272B"/>
    <w:rsid w:val="00B92E3D"/>
    <w:rsid w:val="00B93011"/>
    <w:rsid w:val="00B9329F"/>
    <w:rsid w:val="00B93398"/>
    <w:rsid w:val="00B944BE"/>
    <w:rsid w:val="00B94D99"/>
    <w:rsid w:val="00B95B4B"/>
    <w:rsid w:val="00B95DED"/>
    <w:rsid w:val="00B9652C"/>
    <w:rsid w:val="00B96C00"/>
    <w:rsid w:val="00B97106"/>
    <w:rsid w:val="00B97825"/>
    <w:rsid w:val="00B97F9D"/>
    <w:rsid w:val="00BA0BF9"/>
    <w:rsid w:val="00BA0C1A"/>
    <w:rsid w:val="00BA0D0F"/>
    <w:rsid w:val="00BA1158"/>
    <w:rsid w:val="00BA1B30"/>
    <w:rsid w:val="00BA1B7E"/>
    <w:rsid w:val="00BA2ED9"/>
    <w:rsid w:val="00BA309F"/>
    <w:rsid w:val="00BA3786"/>
    <w:rsid w:val="00BA38EF"/>
    <w:rsid w:val="00BA3B2F"/>
    <w:rsid w:val="00BA3D5D"/>
    <w:rsid w:val="00BA5147"/>
    <w:rsid w:val="00BA5DC0"/>
    <w:rsid w:val="00BA65F7"/>
    <w:rsid w:val="00BA67DA"/>
    <w:rsid w:val="00BA6BCA"/>
    <w:rsid w:val="00BA6C74"/>
    <w:rsid w:val="00BA6EE5"/>
    <w:rsid w:val="00BA7508"/>
    <w:rsid w:val="00BA788E"/>
    <w:rsid w:val="00BA7FE4"/>
    <w:rsid w:val="00BB18F1"/>
    <w:rsid w:val="00BB1BFF"/>
    <w:rsid w:val="00BB23A8"/>
    <w:rsid w:val="00BB2459"/>
    <w:rsid w:val="00BB24C0"/>
    <w:rsid w:val="00BB2ADC"/>
    <w:rsid w:val="00BB3EBF"/>
    <w:rsid w:val="00BB3FA1"/>
    <w:rsid w:val="00BB4555"/>
    <w:rsid w:val="00BB4814"/>
    <w:rsid w:val="00BB4DE8"/>
    <w:rsid w:val="00BB52D9"/>
    <w:rsid w:val="00BB56A3"/>
    <w:rsid w:val="00BB62BB"/>
    <w:rsid w:val="00BB64E6"/>
    <w:rsid w:val="00BB6F8D"/>
    <w:rsid w:val="00BB761E"/>
    <w:rsid w:val="00BB79E7"/>
    <w:rsid w:val="00BC00FE"/>
    <w:rsid w:val="00BC05C5"/>
    <w:rsid w:val="00BC0FD1"/>
    <w:rsid w:val="00BC16E8"/>
    <w:rsid w:val="00BC1A32"/>
    <w:rsid w:val="00BC1EA3"/>
    <w:rsid w:val="00BC27B6"/>
    <w:rsid w:val="00BC2B94"/>
    <w:rsid w:val="00BC2E5F"/>
    <w:rsid w:val="00BC3963"/>
    <w:rsid w:val="00BC41AA"/>
    <w:rsid w:val="00BC421D"/>
    <w:rsid w:val="00BC49BC"/>
    <w:rsid w:val="00BC4AA6"/>
    <w:rsid w:val="00BC5689"/>
    <w:rsid w:val="00BC6450"/>
    <w:rsid w:val="00BC661A"/>
    <w:rsid w:val="00BD0098"/>
    <w:rsid w:val="00BD0356"/>
    <w:rsid w:val="00BD04BE"/>
    <w:rsid w:val="00BD1762"/>
    <w:rsid w:val="00BD1E20"/>
    <w:rsid w:val="00BD1F2D"/>
    <w:rsid w:val="00BD205C"/>
    <w:rsid w:val="00BD221D"/>
    <w:rsid w:val="00BD2B50"/>
    <w:rsid w:val="00BD307E"/>
    <w:rsid w:val="00BD42D9"/>
    <w:rsid w:val="00BD4B49"/>
    <w:rsid w:val="00BD4B92"/>
    <w:rsid w:val="00BD5DB6"/>
    <w:rsid w:val="00BD61B2"/>
    <w:rsid w:val="00BD7039"/>
    <w:rsid w:val="00BD73BF"/>
    <w:rsid w:val="00BE0F10"/>
    <w:rsid w:val="00BE1DF4"/>
    <w:rsid w:val="00BE2298"/>
    <w:rsid w:val="00BE3381"/>
    <w:rsid w:val="00BE3A11"/>
    <w:rsid w:val="00BE3A41"/>
    <w:rsid w:val="00BE408A"/>
    <w:rsid w:val="00BE5090"/>
    <w:rsid w:val="00BE58C8"/>
    <w:rsid w:val="00BE68FB"/>
    <w:rsid w:val="00BE6F28"/>
    <w:rsid w:val="00BE76F8"/>
    <w:rsid w:val="00BE7A73"/>
    <w:rsid w:val="00BF017E"/>
    <w:rsid w:val="00BF0AF6"/>
    <w:rsid w:val="00BF0B03"/>
    <w:rsid w:val="00BF1074"/>
    <w:rsid w:val="00BF1860"/>
    <w:rsid w:val="00BF1876"/>
    <w:rsid w:val="00BF24F5"/>
    <w:rsid w:val="00BF29FA"/>
    <w:rsid w:val="00BF2F1F"/>
    <w:rsid w:val="00BF39D1"/>
    <w:rsid w:val="00BF5BDC"/>
    <w:rsid w:val="00BF6229"/>
    <w:rsid w:val="00C00758"/>
    <w:rsid w:val="00C00EE9"/>
    <w:rsid w:val="00C01455"/>
    <w:rsid w:val="00C0161A"/>
    <w:rsid w:val="00C02163"/>
    <w:rsid w:val="00C03611"/>
    <w:rsid w:val="00C03F6E"/>
    <w:rsid w:val="00C041C9"/>
    <w:rsid w:val="00C04D2B"/>
    <w:rsid w:val="00C04E05"/>
    <w:rsid w:val="00C04F7E"/>
    <w:rsid w:val="00C0618F"/>
    <w:rsid w:val="00C06414"/>
    <w:rsid w:val="00C06657"/>
    <w:rsid w:val="00C06CE5"/>
    <w:rsid w:val="00C07609"/>
    <w:rsid w:val="00C1046F"/>
    <w:rsid w:val="00C1119B"/>
    <w:rsid w:val="00C1121C"/>
    <w:rsid w:val="00C118CF"/>
    <w:rsid w:val="00C128B6"/>
    <w:rsid w:val="00C12D15"/>
    <w:rsid w:val="00C13191"/>
    <w:rsid w:val="00C131B2"/>
    <w:rsid w:val="00C1373B"/>
    <w:rsid w:val="00C13C31"/>
    <w:rsid w:val="00C1493F"/>
    <w:rsid w:val="00C14C75"/>
    <w:rsid w:val="00C15081"/>
    <w:rsid w:val="00C15A2F"/>
    <w:rsid w:val="00C17B8D"/>
    <w:rsid w:val="00C17ED3"/>
    <w:rsid w:val="00C202D3"/>
    <w:rsid w:val="00C213CE"/>
    <w:rsid w:val="00C221F5"/>
    <w:rsid w:val="00C22B81"/>
    <w:rsid w:val="00C25143"/>
    <w:rsid w:val="00C25419"/>
    <w:rsid w:val="00C25568"/>
    <w:rsid w:val="00C259A8"/>
    <w:rsid w:val="00C260BF"/>
    <w:rsid w:val="00C262CE"/>
    <w:rsid w:val="00C262EF"/>
    <w:rsid w:val="00C26581"/>
    <w:rsid w:val="00C27E06"/>
    <w:rsid w:val="00C308D9"/>
    <w:rsid w:val="00C30A58"/>
    <w:rsid w:val="00C30ADA"/>
    <w:rsid w:val="00C3122B"/>
    <w:rsid w:val="00C31A95"/>
    <w:rsid w:val="00C331B2"/>
    <w:rsid w:val="00C40972"/>
    <w:rsid w:val="00C41533"/>
    <w:rsid w:val="00C437D1"/>
    <w:rsid w:val="00C44ACC"/>
    <w:rsid w:val="00C44BD2"/>
    <w:rsid w:val="00C44F15"/>
    <w:rsid w:val="00C45493"/>
    <w:rsid w:val="00C46050"/>
    <w:rsid w:val="00C461AF"/>
    <w:rsid w:val="00C50AE4"/>
    <w:rsid w:val="00C5132E"/>
    <w:rsid w:val="00C518E4"/>
    <w:rsid w:val="00C52301"/>
    <w:rsid w:val="00C52F34"/>
    <w:rsid w:val="00C547D8"/>
    <w:rsid w:val="00C55AB1"/>
    <w:rsid w:val="00C57C4A"/>
    <w:rsid w:val="00C609E9"/>
    <w:rsid w:val="00C6120F"/>
    <w:rsid w:val="00C613D3"/>
    <w:rsid w:val="00C61A7A"/>
    <w:rsid w:val="00C61CDD"/>
    <w:rsid w:val="00C640A1"/>
    <w:rsid w:val="00C643B1"/>
    <w:rsid w:val="00C64FAF"/>
    <w:rsid w:val="00C6549D"/>
    <w:rsid w:val="00C65DFF"/>
    <w:rsid w:val="00C6642E"/>
    <w:rsid w:val="00C66F3E"/>
    <w:rsid w:val="00C679AE"/>
    <w:rsid w:val="00C67A74"/>
    <w:rsid w:val="00C702AD"/>
    <w:rsid w:val="00C70AB8"/>
    <w:rsid w:val="00C70B5D"/>
    <w:rsid w:val="00C71036"/>
    <w:rsid w:val="00C712C5"/>
    <w:rsid w:val="00C718CE"/>
    <w:rsid w:val="00C72284"/>
    <w:rsid w:val="00C7275E"/>
    <w:rsid w:val="00C73472"/>
    <w:rsid w:val="00C7370A"/>
    <w:rsid w:val="00C737C5"/>
    <w:rsid w:val="00C73FBC"/>
    <w:rsid w:val="00C74B76"/>
    <w:rsid w:val="00C75304"/>
    <w:rsid w:val="00C76FCE"/>
    <w:rsid w:val="00C8007F"/>
    <w:rsid w:val="00C800F3"/>
    <w:rsid w:val="00C804BA"/>
    <w:rsid w:val="00C80C46"/>
    <w:rsid w:val="00C80C6F"/>
    <w:rsid w:val="00C80ED2"/>
    <w:rsid w:val="00C82EEC"/>
    <w:rsid w:val="00C831DB"/>
    <w:rsid w:val="00C83999"/>
    <w:rsid w:val="00C8482D"/>
    <w:rsid w:val="00C86015"/>
    <w:rsid w:val="00C869AE"/>
    <w:rsid w:val="00C871FE"/>
    <w:rsid w:val="00C87CB7"/>
    <w:rsid w:val="00C9088C"/>
    <w:rsid w:val="00C9365E"/>
    <w:rsid w:val="00C945D7"/>
    <w:rsid w:val="00C94970"/>
    <w:rsid w:val="00C9769E"/>
    <w:rsid w:val="00CA07A6"/>
    <w:rsid w:val="00CA088C"/>
    <w:rsid w:val="00CA1C8A"/>
    <w:rsid w:val="00CA1E79"/>
    <w:rsid w:val="00CA25E4"/>
    <w:rsid w:val="00CA334C"/>
    <w:rsid w:val="00CA3540"/>
    <w:rsid w:val="00CA3D6D"/>
    <w:rsid w:val="00CA3D91"/>
    <w:rsid w:val="00CA5387"/>
    <w:rsid w:val="00CA5989"/>
    <w:rsid w:val="00CA5B61"/>
    <w:rsid w:val="00CA6DED"/>
    <w:rsid w:val="00CA6E79"/>
    <w:rsid w:val="00CB0215"/>
    <w:rsid w:val="00CB02F2"/>
    <w:rsid w:val="00CB0724"/>
    <w:rsid w:val="00CB09A2"/>
    <w:rsid w:val="00CB2392"/>
    <w:rsid w:val="00CB2A04"/>
    <w:rsid w:val="00CB2DA5"/>
    <w:rsid w:val="00CB6067"/>
    <w:rsid w:val="00CB6B8B"/>
    <w:rsid w:val="00CB7477"/>
    <w:rsid w:val="00CC01BD"/>
    <w:rsid w:val="00CC1156"/>
    <w:rsid w:val="00CC27E4"/>
    <w:rsid w:val="00CC2EB8"/>
    <w:rsid w:val="00CC35C5"/>
    <w:rsid w:val="00CC4921"/>
    <w:rsid w:val="00CC49D4"/>
    <w:rsid w:val="00CC4E75"/>
    <w:rsid w:val="00CC54FF"/>
    <w:rsid w:val="00CC5685"/>
    <w:rsid w:val="00CC7742"/>
    <w:rsid w:val="00CC799D"/>
    <w:rsid w:val="00CC7B06"/>
    <w:rsid w:val="00CD0783"/>
    <w:rsid w:val="00CD0CA0"/>
    <w:rsid w:val="00CD138A"/>
    <w:rsid w:val="00CD13C8"/>
    <w:rsid w:val="00CD1CE2"/>
    <w:rsid w:val="00CD1F76"/>
    <w:rsid w:val="00CD22B3"/>
    <w:rsid w:val="00CD35C9"/>
    <w:rsid w:val="00CD460D"/>
    <w:rsid w:val="00CD485F"/>
    <w:rsid w:val="00CD5B40"/>
    <w:rsid w:val="00CD60F8"/>
    <w:rsid w:val="00CD6A12"/>
    <w:rsid w:val="00CD748C"/>
    <w:rsid w:val="00CD7C96"/>
    <w:rsid w:val="00CE0223"/>
    <w:rsid w:val="00CE1141"/>
    <w:rsid w:val="00CE1518"/>
    <w:rsid w:val="00CE1587"/>
    <w:rsid w:val="00CE17B4"/>
    <w:rsid w:val="00CE307F"/>
    <w:rsid w:val="00CE323E"/>
    <w:rsid w:val="00CE340A"/>
    <w:rsid w:val="00CE396A"/>
    <w:rsid w:val="00CE3A4B"/>
    <w:rsid w:val="00CE47D4"/>
    <w:rsid w:val="00CE4C2B"/>
    <w:rsid w:val="00CE5623"/>
    <w:rsid w:val="00CE56FE"/>
    <w:rsid w:val="00CE5C76"/>
    <w:rsid w:val="00CE6D91"/>
    <w:rsid w:val="00CE6F5A"/>
    <w:rsid w:val="00CE71BD"/>
    <w:rsid w:val="00CE7D31"/>
    <w:rsid w:val="00CE7D47"/>
    <w:rsid w:val="00CE7DF5"/>
    <w:rsid w:val="00CF139E"/>
    <w:rsid w:val="00CF3BF7"/>
    <w:rsid w:val="00CF3C9A"/>
    <w:rsid w:val="00CF405C"/>
    <w:rsid w:val="00CF42CF"/>
    <w:rsid w:val="00CF47F0"/>
    <w:rsid w:val="00CF4A19"/>
    <w:rsid w:val="00CF5841"/>
    <w:rsid w:val="00CF5988"/>
    <w:rsid w:val="00D00BEE"/>
    <w:rsid w:val="00D0126E"/>
    <w:rsid w:val="00D0173E"/>
    <w:rsid w:val="00D01807"/>
    <w:rsid w:val="00D01BFA"/>
    <w:rsid w:val="00D0257E"/>
    <w:rsid w:val="00D02856"/>
    <w:rsid w:val="00D03424"/>
    <w:rsid w:val="00D03509"/>
    <w:rsid w:val="00D0386E"/>
    <w:rsid w:val="00D03D4C"/>
    <w:rsid w:val="00D03F3B"/>
    <w:rsid w:val="00D04F5B"/>
    <w:rsid w:val="00D0563A"/>
    <w:rsid w:val="00D0597A"/>
    <w:rsid w:val="00D05ADA"/>
    <w:rsid w:val="00D05C08"/>
    <w:rsid w:val="00D05E4F"/>
    <w:rsid w:val="00D101A1"/>
    <w:rsid w:val="00D102E9"/>
    <w:rsid w:val="00D11B39"/>
    <w:rsid w:val="00D11B9E"/>
    <w:rsid w:val="00D11CF9"/>
    <w:rsid w:val="00D11D6B"/>
    <w:rsid w:val="00D11F8E"/>
    <w:rsid w:val="00D12010"/>
    <w:rsid w:val="00D13453"/>
    <w:rsid w:val="00D13509"/>
    <w:rsid w:val="00D1571A"/>
    <w:rsid w:val="00D158FD"/>
    <w:rsid w:val="00D1688F"/>
    <w:rsid w:val="00D17121"/>
    <w:rsid w:val="00D17B23"/>
    <w:rsid w:val="00D20D8B"/>
    <w:rsid w:val="00D2117F"/>
    <w:rsid w:val="00D21C71"/>
    <w:rsid w:val="00D21DA2"/>
    <w:rsid w:val="00D21EF4"/>
    <w:rsid w:val="00D23387"/>
    <w:rsid w:val="00D23887"/>
    <w:rsid w:val="00D23AFD"/>
    <w:rsid w:val="00D23C1B"/>
    <w:rsid w:val="00D24B8B"/>
    <w:rsid w:val="00D24DEE"/>
    <w:rsid w:val="00D25317"/>
    <w:rsid w:val="00D254FC"/>
    <w:rsid w:val="00D25BB9"/>
    <w:rsid w:val="00D27554"/>
    <w:rsid w:val="00D30076"/>
    <w:rsid w:val="00D3030B"/>
    <w:rsid w:val="00D32396"/>
    <w:rsid w:val="00D32CF1"/>
    <w:rsid w:val="00D32FCF"/>
    <w:rsid w:val="00D34C97"/>
    <w:rsid w:val="00D35625"/>
    <w:rsid w:val="00D358A0"/>
    <w:rsid w:val="00D358E6"/>
    <w:rsid w:val="00D35E10"/>
    <w:rsid w:val="00D36AD0"/>
    <w:rsid w:val="00D36CDE"/>
    <w:rsid w:val="00D37487"/>
    <w:rsid w:val="00D377E3"/>
    <w:rsid w:val="00D400A7"/>
    <w:rsid w:val="00D406AD"/>
    <w:rsid w:val="00D41181"/>
    <w:rsid w:val="00D413D5"/>
    <w:rsid w:val="00D436B1"/>
    <w:rsid w:val="00D44C42"/>
    <w:rsid w:val="00D4636A"/>
    <w:rsid w:val="00D46BA9"/>
    <w:rsid w:val="00D473F8"/>
    <w:rsid w:val="00D47FF4"/>
    <w:rsid w:val="00D50493"/>
    <w:rsid w:val="00D510F4"/>
    <w:rsid w:val="00D51F3E"/>
    <w:rsid w:val="00D53A77"/>
    <w:rsid w:val="00D54461"/>
    <w:rsid w:val="00D5564C"/>
    <w:rsid w:val="00D55670"/>
    <w:rsid w:val="00D55B9A"/>
    <w:rsid w:val="00D55DB2"/>
    <w:rsid w:val="00D56957"/>
    <w:rsid w:val="00D56CF2"/>
    <w:rsid w:val="00D56F13"/>
    <w:rsid w:val="00D575E0"/>
    <w:rsid w:val="00D57BAD"/>
    <w:rsid w:val="00D60AD7"/>
    <w:rsid w:val="00D6101A"/>
    <w:rsid w:val="00D6154F"/>
    <w:rsid w:val="00D624B5"/>
    <w:rsid w:val="00D62535"/>
    <w:rsid w:val="00D63422"/>
    <w:rsid w:val="00D644BD"/>
    <w:rsid w:val="00D6542E"/>
    <w:rsid w:val="00D65836"/>
    <w:rsid w:val="00D66959"/>
    <w:rsid w:val="00D66E8B"/>
    <w:rsid w:val="00D6775F"/>
    <w:rsid w:val="00D67BB5"/>
    <w:rsid w:val="00D706DC"/>
    <w:rsid w:val="00D70F02"/>
    <w:rsid w:val="00D71BB3"/>
    <w:rsid w:val="00D729C9"/>
    <w:rsid w:val="00D734FA"/>
    <w:rsid w:val="00D73E6A"/>
    <w:rsid w:val="00D741E7"/>
    <w:rsid w:val="00D7580F"/>
    <w:rsid w:val="00D7643D"/>
    <w:rsid w:val="00D767A3"/>
    <w:rsid w:val="00D77C96"/>
    <w:rsid w:val="00D80891"/>
    <w:rsid w:val="00D818D1"/>
    <w:rsid w:val="00D81E92"/>
    <w:rsid w:val="00D82364"/>
    <w:rsid w:val="00D84686"/>
    <w:rsid w:val="00D85715"/>
    <w:rsid w:val="00D85AAF"/>
    <w:rsid w:val="00D85F30"/>
    <w:rsid w:val="00D8615E"/>
    <w:rsid w:val="00D86566"/>
    <w:rsid w:val="00D8706C"/>
    <w:rsid w:val="00D87EE8"/>
    <w:rsid w:val="00D90DAD"/>
    <w:rsid w:val="00D9193B"/>
    <w:rsid w:val="00D92850"/>
    <w:rsid w:val="00D934C2"/>
    <w:rsid w:val="00D95A76"/>
    <w:rsid w:val="00D95CDF"/>
    <w:rsid w:val="00D9606B"/>
    <w:rsid w:val="00D9641B"/>
    <w:rsid w:val="00D967BA"/>
    <w:rsid w:val="00D97737"/>
    <w:rsid w:val="00D979AF"/>
    <w:rsid w:val="00D97A48"/>
    <w:rsid w:val="00D97B19"/>
    <w:rsid w:val="00DA0AE1"/>
    <w:rsid w:val="00DA0B3F"/>
    <w:rsid w:val="00DA0E64"/>
    <w:rsid w:val="00DA142A"/>
    <w:rsid w:val="00DA2044"/>
    <w:rsid w:val="00DA36A1"/>
    <w:rsid w:val="00DA3843"/>
    <w:rsid w:val="00DA3DEB"/>
    <w:rsid w:val="00DA4187"/>
    <w:rsid w:val="00DA461E"/>
    <w:rsid w:val="00DA4C62"/>
    <w:rsid w:val="00DA4F8B"/>
    <w:rsid w:val="00DA55DF"/>
    <w:rsid w:val="00DB040D"/>
    <w:rsid w:val="00DB1731"/>
    <w:rsid w:val="00DB2CF5"/>
    <w:rsid w:val="00DB4244"/>
    <w:rsid w:val="00DB4817"/>
    <w:rsid w:val="00DB503F"/>
    <w:rsid w:val="00DB6A17"/>
    <w:rsid w:val="00DB6EFE"/>
    <w:rsid w:val="00DB70CF"/>
    <w:rsid w:val="00DB7F46"/>
    <w:rsid w:val="00DC0BA6"/>
    <w:rsid w:val="00DC0EEE"/>
    <w:rsid w:val="00DC1DD6"/>
    <w:rsid w:val="00DC201F"/>
    <w:rsid w:val="00DC27D7"/>
    <w:rsid w:val="00DC2876"/>
    <w:rsid w:val="00DC30A7"/>
    <w:rsid w:val="00DC331F"/>
    <w:rsid w:val="00DC3403"/>
    <w:rsid w:val="00DC3C78"/>
    <w:rsid w:val="00DC592F"/>
    <w:rsid w:val="00DC5C78"/>
    <w:rsid w:val="00DC60EC"/>
    <w:rsid w:val="00DC60F8"/>
    <w:rsid w:val="00DC6989"/>
    <w:rsid w:val="00DC7248"/>
    <w:rsid w:val="00DD04F5"/>
    <w:rsid w:val="00DD14C0"/>
    <w:rsid w:val="00DD1811"/>
    <w:rsid w:val="00DD1B72"/>
    <w:rsid w:val="00DD1D27"/>
    <w:rsid w:val="00DD2387"/>
    <w:rsid w:val="00DD297F"/>
    <w:rsid w:val="00DD2CB3"/>
    <w:rsid w:val="00DD37EA"/>
    <w:rsid w:val="00DD3B30"/>
    <w:rsid w:val="00DD3D26"/>
    <w:rsid w:val="00DD3E07"/>
    <w:rsid w:val="00DD430C"/>
    <w:rsid w:val="00DD4E84"/>
    <w:rsid w:val="00DD5520"/>
    <w:rsid w:val="00DD5E11"/>
    <w:rsid w:val="00DD67D6"/>
    <w:rsid w:val="00DD6F68"/>
    <w:rsid w:val="00DD778E"/>
    <w:rsid w:val="00DE0359"/>
    <w:rsid w:val="00DE1DA5"/>
    <w:rsid w:val="00DE2087"/>
    <w:rsid w:val="00DE2844"/>
    <w:rsid w:val="00DE3867"/>
    <w:rsid w:val="00DE3ACF"/>
    <w:rsid w:val="00DE43E9"/>
    <w:rsid w:val="00DE4C88"/>
    <w:rsid w:val="00DE5FC9"/>
    <w:rsid w:val="00DE6672"/>
    <w:rsid w:val="00DE67A4"/>
    <w:rsid w:val="00DE6809"/>
    <w:rsid w:val="00DE723E"/>
    <w:rsid w:val="00DE7C84"/>
    <w:rsid w:val="00DF02EC"/>
    <w:rsid w:val="00DF03F5"/>
    <w:rsid w:val="00DF0593"/>
    <w:rsid w:val="00DF088F"/>
    <w:rsid w:val="00DF0ECC"/>
    <w:rsid w:val="00DF16C2"/>
    <w:rsid w:val="00DF1DFF"/>
    <w:rsid w:val="00DF2C70"/>
    <w:rsid w:val="00DF3452"/>
    <w:rsid w:val="00DF3C5E"/>
    <w:rsid w:val="00DF4F35"/>
    <w:rsid w:val="00DF542B"/>
    <w:rsid w:val="00DF770E"/>
    <w:rsid w:val="00E00F76"/>
    <w:rsid w:val="00E013A3"/>
    <w:rsid w:val="00E01457"/>
    <w:rsid w:val="00E01A3A"/>
    <w:rsid w:val="00E02335"/>
    <w:rsid w:val="00E03FCC"/>
    <w:rsid w:val="00E04509"/>
    <w:rsid w:val="00E04848"/>
    <w:rsid w:val="00E049E0"/>
    <w:rsid w:val="00E04D0F"/>
    <w:rsid w:val="00E05049"/>
    <w:rsid w:val="00E0529F"/>
    <w:rsid w:val="00E06872"/>
    <w:rsid w:val="00E06A22"/>
    <w:rsid w:val="00E07780"/>
    <w:rsid w:val="00E12340"/>
    <w:rsid w:val="00E14490"/>
    <w:rsid w:val="00E14578"/>
    <w:rsid w:val="00E14880"/>
    <w:rsid w:val="00E15671"/>
    <w:rsid w:val="00E160B0"/>
    <w:rsid w:val="00E209A5"/>
    <w:rsid w:val="00E20B8B"/>
    <w:rsid w:val="00E21856"/>
    <w:rsid w:val="00E21E75"/>
    <w:rsid w:val="00E22458"/>
    <w:rsid w:val="00E22A67"/>
    <w:rsid w:val="00E2306E"/>
    <w:rsid w:val="00E231E9"/>
    <w:rsid w:val="00E24C19"/>
    <w:rsid w:val="00E25230"/>
    <w:rsid w:val="00E26445"/>
    <w:rsid w:val="00E270E5"/>
    <w:rsid w:val="00E27A41"/>
    <w:rsid w:val="00E3018A"/>
    <w:rsid w:val="00E30925"/>
    <w:rsid w:val="00E30EF5"/>
    <w:rsid w:val="00E31343"/>
    <w:rsid w:val="00E31A06"/>
    <w:rsid w:val="00E32E2D"/>
    <w:rsid w:val="00E337E9"/>
    <w:rsid w:val="00E33A10"/>
    <w:rsid w:val="00E348AA"/>
    <w:rsid w:val="00E3567E"/>
    <w:rsid w:val="00E37176"/>
    <w:rsid w:val="00E374E1"/>
    <w:rsid w:val="00E374F5"/>
    <w:rsid w:val="00E3760B"/>
    <w:rsid w:val="00E37823"/>
    <w:rsid w:val="00E37AAE"/>
    <w:rsid w:val="00E37C2C"/>
    <w:rsid w:val="00E37FD3"/>
    <w:rsid w:val="00E411E9"/>
    <w:rsid w:val="00E4158F"/>
    <w:rsid w:val="00E42A95"/>
    <w:rsid w:val="00E43EF9"/>
    <w:rsid w:val="00E44A48"/>
    <w:rsid w:val="00E44EC5"/>
    <w:rsid w:val="00E45657"/>
    <w:rsid w:val="00E45667"/>
    <w:rsid w:val="00E458C1"/>
    <w:rsid w:val="00E458E7"/>
    <w:rsid w:val="00E45F6A"/>
    <w:rsid w:val="00E4657E"/>
    <w:rsid w:val="00E4728A"/>
    <w:rsid w:val="00E473FA"/>
    <w:rsid w:val="00E47CA3"/>
    <w:rsid w:val="00E47CEB"/>
    <w:rsid w:val="00E504E8"/>
    <w:rsid w:val="00E50747"/>
    <w:rsid w:val="00E50DBD"/>
    <w:rsid w:val="00E519DC"/>
    <w:rsid w:val="00E51DC3"/>
    <w:rsid w:val="00E51EFF"/>
    <w:rsid w:val="00E525A5"/>
    <w:rsid w:val="00E52E4E"/>
    <w:rsid w:val="00E53DD9"/>
    <w:rsid w:val="00E553BC"/>
    <w:rsid w:val="00E556BD"/>
    <w:rsid w:val="00E55DB3"/>
    <w:rsid w:val="00E55FA5"/>
    <w:rsid w:val="00E56468"/>
    <w:rsid w:val="00E56B41"/>
    <w:rsid w:val="00E574E8"/>
    <w:rsid w:val="00E57BF1"/>
    <w:rsid w:val="00E61326"/>
    <w:rsid w:val="00E61EB8"/>
    <w:rsid w:val="00E62CB9"/>
    <w:rsid w:val="00E62E2A"/>
    <w:rsid w:val="00E630D4"/>
    <w:rsid w:val="00E63455"/>
    <w:rsid w:val="00E649EA"/>
    <w:rsid w:val="00E64AD7"/>
    <w:rsid w:val="00E64F7D"/>
    <w:rsid w:val="00E65768"/>
    <w:rsid w:val="00E65832"/>
    <w:rsid w:val="00E670CE"/>
    <w:rsid w:val="00E709AD"/>
    <w:rsid w:val="00E70D7C"/>
    <w:rsid w:val="00E71203"/>
    <w:rsid w:val="00E7140B"/>
    <w:rsid w:val="00E71FC5"/>
    <w:rsid w:val="00E72063"/>
    <w:rsid w:val="00E7248D"/>
    <w:rsid w:val="00E724AC"/>
    <w:rsid w:val="00E72BEB"/>
    <w:rsid w:val="00E7321E"/>
    <w:rsid w:val="00E741A4"/>
    <w:rsid w:val="00E74D9D"/>
    <w:rsid w:val="00E7559F"/>
    <w:rsid w:val="00E757D9"/>
    <w:rsid w:val="00E75F02"/>
    <w:rsid w:val="00E76C3E"/>
    <w:rsid w:val="00E77139"/>
    <w:rsid w:val="00E807DA"/>
    <w:rsid w:val="00E80A34"/>
    <w:rsid w:val="00E8175D"/>
    <w:rsid w:val="00E819A2"/>
    <w:rsid w:val="00E84E3A"/>
    <w:rsid w:val="00E85151"/>
    <w:rsid w:val="00E851F5"/>
    <w:rsid w:val="00E85937"/>
    <w:rsid w:val="00E862E6"/>
    <w:rsid w:val="00E86A05"/>
    <w:rsid w:val="00E87174"/>
    <w:rsid w:val="00E879DB"/>
    <w:rsid w:val="00E87D4E"/>
    <w:rsid w:val="00E91564"/>
    <w:rsid w:val="00E9165A"/>
    <w:rsid w:val="00E9184F"/>
    <w:rsid w:val="00E91E11"/>
    <w:rsid w:val="00E93C63"/>
    <w:rsid w:val="00E940B8"/>
    <w:rsid w:val="00E94144"/>
    <w:rsid w:val="00E94467"/>
    <w:rsid w:val="00E944CA"/>
    <w:rsid w:val="00E961FE"/>
    <w:rsid w:val="00E963DC"/>
    <w:rsid w:val="00E9668B"/>
    <w:rsid w:val="00E96F16"/>
    <w:rsid w:val="00E9709E"/>
    <w:rsid w:val="00E97274"/>
    <w:rsid w:val="00E97458"/>
    <w:rsid w:val="00EA040E"/>
    <w:rsid w:val="00EA05AF"/>
    <w:rsid w:val="00EA1381"/>
    <w:rsid w:val="00EA16AD"/>
    <w:rsid w:val="00EA245D"/>
    <w:rsid w:val="00EA2605"/>
    <w:rsid w:val="00EA3634"/>
    <w:rsid w:val="00EA3DC6"/>
    <w:rsid w:val="00EA40BA"/>
    <w:rsid w:val="00EA4AB9"/>
    <w:rsid w:val="00EA4D3F"/>
    <w:rsid w:val="00EA53CC"/>
    <w:rsid w:val="00EA5912"/>
    <w:rsid w:val="00EA60EB"/>
    <w:rsid w:val="00EA77BD"/>
    <w:rsid w:val="00EA7F7B"/>
    <w:rsid w:val="00EB0911"/>
    <w:rsid w:val="00EB215C"/>
    <w:rsid w:val="00EB2182"/>
    <w:rsid w:val="00EB4BDF"/>
    <w:rsid w:val="00EB4C18"/>
    <w:rsid w:val="00EB4E23"/>
    <w:rsid w:val="00EB5108"/>
    <w:rsid w:val="00EB54A7"/>
    <w:rsid w:val="00EB5CDF"/>
    <w:rsid w:val="00EB6B4F"/>
    <w:rsid w:val="00EB6CBE"/>
    <w:rsid w:val="00EB713C"/>
    <w:rsid w:val="00EC0188"/>
    <w:rsid w:val="00EC0462"/>
    <w:rsid w:val="00EC046E"/>
    <w:rsid w:val="00EC13B7"/>
    <w:rsid w:val="00EC1BBD"/>
    <w:rsid w:val="00EC25CE"/>
    <w:rsid w:val="00EC292F"/>
    <w:rsid w:val="00EC2D3D"/>
    <w:rsid w:val="00EC351C"/>
    <w:rsid w:val="00EC3597"/>
    <w:rsid w:val="00EC392A"/>
    <w:rsid w:val="00EC40E3"/>
    <w:rsid w:val="00EC4389"/>
    <w:rsid w:val="00EC43B9"/>
    <w:rsid w:val="00EC4F9D"/>
    <w:rsid w:val="00EC5E19"/>
    <w:rsid w:val="00EC5E1E"/>
    <w:rsid w:val="00EC6034"/>
    <w:rsid w:val="00EC6F32"/>
    <w:rsid w:val="00EC6F88"/>
    <w:rsid w:val="00EC72C9"/>
    <w:rsid w:val="00EC74B5"/>
    <w:rsid w:val="00EC7A54"/>
    <w:rsid w:val="00ED0947"/>
    <w:rsid w:val="00ED105B"/>
    <w:rsid w:val="00ED1233"/>
    <w:rsid w:val="00ED2139"/>
    <w:rsid w:val="00ED2F2B"/>
    <w:rsid w:val="00ED36E7"/>
    <w:rsid w:val="00ED3A28"/>
    <w:rsid w:val="00ED3E98"/>
    <w:rsid w:val="00ED4463"/>
    <w:rsid w:val="00ED477C"/>
    <w:rsid w:val="00ED4C8E"/>
    <w:rsid w:val="00ED4D69"/>
    <w:rsid w:val="00ED533C"/>
    <w:rsid w:val="00ED548E"/>
    <w:rsid w:val="00ED61AA"/>
    <w:rsid w:val="00ED658E"/>
    <w:rsid w:val="00ED6882"/>
    <w:rsid w:val="00ED6CBE"/>
    <w:rsid w:val="00ED71CE"/>
    <w:rsid w:val="00ED72F3"/>
    <w:rsid w:val="00ED7440"/>
    <w:rsid w:val="00ED752A"/>
    <w:rsid w:val="00ED7A3E"/>
    <w:rsid w:val="00EE0174"/>
    <w:rsid w:val="00EE12A7"/>
    <w:rsid w:val="00EE2F42"/>
    <w:rsid w:val="00EE362F"/>
    <w:rsid w:val="00EE3843"/>
    <w:rsid w:val="00EE4322"/>
    <w:rsid w:val="00EE48DE"/>
    <w:rsid w:val="00EE5A0B"/>
    <w:rsid w:val="00EE5CD1"/>
    <w:rsid w:val="00EE61C5"/>
    <w:rsid w:val="00EF0B5B"/>
    <w:rsid w:val="00EF0CBC"/>
    <w:rsid w:val="00EF0E19"/>
    <w:rsid w:val="00EF15F1"/>
    <w:rsid w:val="00EF29F0"/>
    <w:rsid w:val="00EF3F08"/>
    <w:rsid w:val="00EF3FD2"/>
    <w:rsid w:val="00EF4CE5"/>
    <w:rsid w:val="00EF5003"/>
    <w:rsid w:val="00EF6A03"/>
    <w:rsid w:val="00EF71D3"/>
    <w:rsid w:val="00EF73A2"/>
    <w:rsid w:val="00F00911"/>
    <w:rsid w:val="00F00D70"/>
    <w:rsid w:val="00F01A97"/>
    <w:rsid w:val="00F02D81"/>
    <w:rsid w:val="00F02F8E"/>
    <w:rsid w:val="00F03438"/>
    <w:rsid w:val="00F037E4"/>
    <w:rsid w:val="00F0437C"/>
    <w:rsid w:val="00F051BE"/>
    <w:rsid w:val="00F053C6"/>
    <w:rsid w:val="00F07162"/>
    <w:rsid w:val="00F07EA5"/>
    <w:rsid w:val="00F10332"/>
    <w:rsid w:val="00F10B23"/>
    <w:rsid w:val="00F10E88"/>
    <w:rsid w:val="00F114AE"/>
    <w:rsid w:val="00F12107"/>
    <w:rsid w:val="00F13151"/>
    <w:rsid w:val="00F13227"/>
    <w:rsid w:val="00F13C11"/>
    <w:rsid w:val="00F13C17"/>
    <w:rsid w:val="00F13CB1"/>
    <w:rsid w:val="00F1507A"/>
    <w:rsid w:val="00F15546"/>
    <w:rsid w:val="00F16D9B"/>
    <w:rsid w:val="00F17212"/>
    <w:rsid w:val="00F17920"/>
    <w:rsid w:val="00F17EF0"/>
    <w:rsid w:val="00F20D89"/>
    <w:rsid w:val="00F215E2"/>
    <w:rsid w:val="00F21660"/>
    <w:rsid w:val="00F21FFC"/>
    <w:rsid w:val="00F22BB3"/>
    <w:rsid w:val="00F22D2A"/>
    <w:rsid w:val="00F2378A"/>
    <w:rsid w:val="00F250DF"/>
    <w:rsid w:val="00F257B6"/>
    <w:rsid w:val="00F259EB"/>
    <w:rsid w:val="00F26122"/>
    <w:rsid w:val="00F27952"/>
    <w:rsid w:val="00F30CC9"/>
    <w:rsid w:val="00F30F90"/>
    <w:rsid w:val="00F3159D"/>
    <w:rsid w:val="00F3190B"/>
    <w:rsid w:val="00F3387D"/>
    <w:rsid w:val="00F345C9"/>
    <w:rsid w:val="00F34B49"/>
    <w:rsid w:val="00F34C1A"/>
    <w:rsid w:val="00F34FAB"/>
    <w:rsid w:val="00F36E3F"/>
    <w:rsid w:val="00F36FB5"/>
    <w:rsid w:val="00F37275"/>
    <w:rsid w:val="00F372AE"/>
    <w:rsid w:val="00F376E9"/>
    <w:rsid w:val="00F4005D"/>
    <w:rsid w:val="00F40246"/>
    <w:rsid w:val="00F40A6D"/>
    <w:rsid w:val="00F40C2C"/>
    <w:rsid w:val="00F40CA9"/>
    <w:rsid w:val="00F4100E"/>
    <w:rsid w:val="00F41422"/>
    <w:rsid w:val="00F41549"/>
    <w:rsid w:val="00F41837"/>
    <w:rsid w:val="00F420F9"/>
    <w:rsid w:val="00F43CA0"/>
    <w:rsid w:val="00F43EE0"/>
    <w:rsid w:val="00F44327"/>
    <w:rsid w:val="00F4463B"/>
    <w:rsid w:val="00F44A26"/>
    <w:rsid w:val="00F45192"/>
    <w:rsid w:val="00F45A86"/>
    <w:rsid w:val="00F50F1A"/>
    <w:rsid w:val="00F51826"/>
    <w:rsid w:val="00F51BB1"/>
    <w:rsid w:val="00F53503"/>
    <w:rsid w:val="00F54B2E"/>
    <w:rsid w:val="00F54BB8"/>
    <w:rsid w:val="00F55030"/>
    <w:rsid w:val="00F55288"/>
    <w:rsid w:val="00F563E1"/>
    <w:rsid w:val="00F5688E"/>
    <w:rsid w:val="00F56DD2"/>
    <w:rsid w:val="00F601BE"/>
    <w:rsid w:val="00F601E9"/>
    <w:rsid w:val="00F606CC"/>
    <w:rsid w:val="00F60880"/>
    <w:rsid w:val="00F608CB"/>
    <w:rsid w:val="00F60A58"/>
    <w:rsid w:val="00F60B77"/>
    <w:rsid w:val="00F61183"/>
    <w:rsid w:val="00F619A4"/>
    <w:rsid w:val="00F63948"/>
    <w:rsid w:val="00F640E6"/>
    <w:rsid w:val="00F65A77"/>
    <w:rsid w:val="00F66088"/>
    <w:rsid w:val="00F704C1"/>
    <w:rsid w:val="00F71410"/>
    <w:rsid w:val="00F71C67"/>
    <w:rsid w:val="00F73704"/>
    <w:rsid w:val="00F74439"/>
    <w:rsid w:val="00F74B36"/>
    <w:rsid w:val="00F74BB0"/>
    <w:rsid w:val="00F74DCA"/>
    <w:rsid w:val="00F74F5C"/>
    <w:rsid w:val="00F74FD1"/>
    <w:rsid w:val="00F75547"/>
    <w:rsid w:val="00F761F6"/>
    <w:rsid w:val="00F7696F"/>
    <w:rsid w:val="00F77091"/>
    <w:rsid w:val="00F7737F"/>
    <w:rsid w:val="00F80069"/>
    <w:rsid w:val="00F8096B"/>
    <w:rsid w:val="00F816A1"/>
    <w:rsid w:val="00F81B7C"/>
    <w:rsid w:val="00F8209B"/>
    <w:rsid w:val="00F8255A"/>
    <w:rsid w:val="00F825F9"/>
    <w:rsid w:val="00F82FD1"/>
    <w:rsid w:val="00F83074"/>
    <w:rsid w:val="00F8448A"/>
    <w:rsid w:val="00F85489"/>
    <w:rsid w:val="00F858E6"/>
    <w:rsid w:val="00F85D5D"/>
    <w:rsid w:val="00F8608B"/>
    <w:rsid w:val="00F86B15"/>
    <w:rsid w:val="00F86F83"/>
    <w:rsid w:val="00F86FDF"/>
    <w:rsid w:val="00F90107"/>
    <w:rsid w:val="00F9023C"/>
    <w:rsid w:val="00F9038A"/>
    <w:rsid w:val="00F92477"/>
    <w:rsid w:val="00F9250F"/>
    <w:rsid w:val="00F9286A"/>
    <w:rsid w:val="00F945B9"/>
    <w:rsid w:val="00F95E05"/>
    <w:rsid w:val="00F96A4E"/>
    <w:rsid w:val="00F978C2"/>
    <w:rsid w:val="00F97CD9"/>
    <w:rsid w:val="00F97F35"/>
    <w:rsid w:val="00FA0562"/>
    <w:rsid w:val="00FA0576"/>
    <w:rsid w:val="00FA0866"/>
    <w:rsid w:val="00FA0998"/>
    <w:rsid w:val="00FA1392"/>
    <w:rsid w:val="00FA1C04"/>
    <w:rsid w:val="00FA1F85"/>
    <w:rsid w:val="00FA2418"/>
    <w:rsid w:val="00FA3DA0"/>
    <w:rsid w:val="00FA5131"/>
    <w:rsid w:val="00FA6F5A"/>
    <w:rsid w:val="00FA7A3A"/>
    <w:rsid w:val="00FB007D"/>
    <w:rsid w:val="00FB0C53"/>
    <w:rsid w:val="00FB34F2"/>
    <w:rsid w:val="00FB50B4"/>
    <w:rsid w:val="00FB75E6"/>
    <w:rsid w:val="00FB795B"/>
    <w:rsid w:val="00FC0A2A"/>
    <w:rsid w:val="00FC0E31"/>
    <w:rsid w:val="00FC1966"/>
    <w:rsid w:val="00FC1CE9"/>
    <w:rsid w:val="00FC224C"/>
    <w:rsid w:val="00FC2F2D"/>
    <w:rsid w:val="00FC34C1"/>
    <w:rsid w:val="00FC3D5B"/>
    <w:rsid w:val="00FC4526"/>
    <w:rsid w:val="00FC4AC5"/>
    <w:rsid w:val="00FC4B1E"/>
    <w:rsid w:val="00FC53A3"/>
    <w:rsid w:val="00FC54B6"/>
    <w:rsid w:val="00FC597A"/>
    <w:rsid w:val="00FC6039"/>
    <w:rsid w:val="00FC632A"/>
    <w:rsid w:val="00FC7FAB"/>
    <w:rsid w:val="00FD093C"/>
    <w:rsid w:val="00FD0A25"/>
    <w:rsid w:val="00FD1A15"/>
    <w:rsid w:val="00FD2918"/>
    <w:rsid w:val="00FD34D2"/>
    <w:rsid w:val="00FD384F"/>
    <w:rsid w:val="00FD3B16"/>
    <w:rsid w:val="00FD4B97"/>
    <w:rsid w:val="00FD502C"/>
    <w:rsid w:val="00FD5158"/>
    <w:rsid w:val="00FD5595"/>
    <w:rsid w:val="00FD56C6"/>
    <w:rsid w:val="00FD5AC2"/>
    <w:rsid w:val="00FD5CEB"/>
    <w:rsid w:val="00FD63FD"/>
    <w:rsid w:val="00FD64A1"/>
    <w:rsid w:val="00FD70A6"/>
    <w:rsid w:val="00FD7B72"/>
    <w:rsid w:val="00FE009F"/>
    <w:rsid w:val="00FE09D4"/>
    <w:rsid w:val="00FE0A66"/>
    <w:rsid w:val="00FE0C80"/>
    <w:rsid w:val="00FE0ECE"/>
    <w:rsid w:val="00FE1770"/>
    <w:rsid w:val="00FE2E42"/>
    <w:rsid w:val="00FE38E5"/>
    <w:rsid w:val="00FE4441"/>
    <w:rsid w:val="00FE4544"/>
    <w:rsid w:val="00FE4E24"/>
    <w:rsid w:val="00FE55EB"/>
    <w:rsid w:val="00FE60C3"/>
    <w:rsid w:val="00FE61B4"/>
    <w:rsid w:val="00FE6231"/>
    <w:rsid w:val="00FE637A"/>
    <w:rsid w:val="00FE6DE9"/>
    <w:rsid w:val="00FE796C"/>
    <w:rsid w:val="00FF0A67"/>
    <w:rsid w:val="00FF1367"/>
    <w:rsid w:val="00FF1BB4"/>
    <w:rsid w:val="00FF265B"/>
    <w:rsid w:val="00FF3C9C"/>
    <w:rsid w:val="00FF59C0"/>
    <w:rsid w:val="00FF64E8"/>
    <w:rsid w:val="00FF6AFD"/>
    <w:rsid w:val="00FF7128"/>
    <w:rsid w:val="00FF7D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colormru v:ext="edit" colors="silver,#ddd"/>
    </o:shapedefaults>
    <o:shapelayout v:ext="edit">
      <o:idmap v:ext="edit" data="1"/>
      <o:rules v:ext="edit">
        <o:r id="V:Rule3" type="connector" idref="#_x0000_s1088"/>
        <o:r id="V:Rule4" type="connector" idref="#_x0000_s109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0E3444"/>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2"/>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5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58"/>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NormalWeb">
    <w:name w:val="Normal (Web)"/>
    <w:basedOn w:val="Normal"/>
    <w:uiPriority w:val="99"/>
    <w:semiHidden/>
    <w:unhideWhenUsed/>
    <w:locked/>
    <w:rsid w:val="00BC6450"/>
    <w:rPr>
      <w:rFonts w:ascii="Times New Roman" w:hAnsi="Times New Roman"/>
      <w:sz w:val="24"/>
      <w:szCs w:val="24"/>
    </w:rPr>
  </w:style>
  <w:style w:type="paragraph" w:styleId="Revision">
    <w:name w:val="Revision"/>
    <w:hidden/>
    <w:uiPriority w:val="99"/>
    <w:semiHidden/>
    <w:rsid w:val="00807C76"/>
    <w:rPr>
      <w:lang w:eastAsia="en-US"/>
    </w:rPr>
  </w:style>
  <w:style w:type="character" w:styleId="FollowedHyperlink">
    <w:name w:val="FollowedHyperlink"/>
    <w:basedOn w:val="DefaultParagraphFont"/>
    <w:uiPriority w:val="99"/>
    <w:semiHidden/>
    <w:unhideWhenUsed/>
    <w:rsid w:val="003829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51"/>
      </w:numPr>
    </w:pPr>
  </w:style>
  <w:style w:type="numbering" w:customStyle="1" w:styleId="Heading1Char">
    <w:name w:val="OldAERheadings"/>
    <w:pPr>
      <w:numPr>
        <w:numId w:val="24"/>
      </w:numPr>
    </w:pPr>
  </w:style>
  <w:style w:type="numbering" w:customStyle="1" w:styleId="Heading2Char">
    <w:name w:val="AERnumberedlist"/>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24839">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03895143">
      <w:bodyDiv w:val="1"/>
      <w:marLeft w:val="0"/>
      <w:marRight w:val="0"/>
      <w:marTop w:val="0"/>
      <w:marBottom w:val="0"/>
      <w:divBdr>
        <w:top w:val="none" w:sz="0" w:space="0" w:color="auto"/>
        <w:left w:val="none" w:sz="0" w:space="0" w:color="auto"/>
        <w:bottom w:val="none" w:sz="0" w:space="0" w:color="auto"/>
        <w:right w:val="none" w:sz="0" w:space="0" w:color="auto"/>
      </w:divBdr>
      <w:divsChild>
        <w:div w:id="767769839">
          <w:marLeft w:val="0"/>
          <w:marRight w:val="0"/>
          <w:marTop w:val="0"/>
          <w:marBottom w:val="0"/>
          <w:divBdr>
            <w:top w:val="none" w:sz="0" w:space="0" w:color="auto"/>
            <w:left w:val="none" w:sz="0" w:space="0" w:color="auto"/>
            <w:bottom w:val="none" w:sz="0" w:space="0" w:color="auto"/>
            <w:right w:val="none" w:sz="0" w:space="0" w:color="auto"/>
          </w:divBdr>
          <w:divsChild>
            <w:div w:id="10184142">
              <w:marLeft w:val="0"/>
              <w:marRight w:val="0"/>
              <w:marTop w:val="0"/>
              <w:marBottom w:val="0"/>
              <w:divBdr>
                <w:top w:val="none" w:sz="0" w:space="0" w:color="auto"/>
                <w:left w:val="none" w:sz="0" w:space="0" w:color="auto"/>
                <w:bottom w:val="none" w:sz="0" w:space="0" w:color="auto"/>
                <w:right w:val="none" w:sz="0" w:space="0" w:color="auto"/>
              </w:divBdr>
              <w:divsChild>
                <w:div w:id="1078476808">
                  <w:marLeft w:val="0"/>
                  <w:marRight w:val="0"/>
                  <w:marTop w:val="0"/>
                  <w:marBottom w:val="0"/>
                  <w:divBdr>
                    <w:top w:val="none" w:sz="0" w:space="0" w:color="auto"/>
                    <w:left w:val="none" w:sz="0" w:space="0" w:color="auto"/>
                    <w:bottom w:val="none" w:sz="0" w:space="0" w:color="auto"/>
                    <w:right w:val="none" w:sz="0" w:space="0" w:color="auto"/>
                  </w:divBdr>
                  <w:divsChild>
                    <w:div w:id="1123500031">
                      <w:marLeft w:val="0"/>
                      <w:marRight w:val="0"/>
                      <w:marTop w:val="0"/>
                      <w:marBottom w:val="0"/>
                      <w:divBdr>
                        <w:top w:val="none" w:sz="0" w:space="0" w:color="auto"/>
                        <w:left w:val="none" w:sz="0" w:space="0" w:color="auto"/>
                        <w:bottom w:val="none" w:sz="0" w:space="0" w:color="auto"/>
                        <w:right w:val="none" w:sz="0" w:space="0" w:color="auto"/>
                      </w:divBdr>
                      <w:divsChild>
                        <w:div w:id="876622630">
                          <w:marLeft w:val="0"/>
                          <w:marRight w:val="0"/>
                          <w:marTop w:val="0"/>
                          <w:marBottom w:val="0"/>
                          <w:divBdr>
                            <w:top w:val="none" w:sz="0" w:space="0" w:color="auto"/>
                            <w:left w:val="none" w:sz="0" w:space="0" w:color="auto"/>
                            <w:bottom w:val="none" w:sz="0" w:space="0" w:color="auto"/>
                            <w:right w:val="none" w:sz="0" w:space="0" w:color="auto"/>
                          </w:divBdr>
                          <w:divsChild>
                            <w:div w:id="1129472899">
                              <w:marLeft w:val="0"/>
                              <w:marRight w:val="0"/>
                              <w:marTop w:val="0"/>
                              <w:marBottom w:val="0"/>
                              <w:divBdr>
                                <w:top w:val="none" w:sz="0" w:space="0" w:color="auto"/>
                                <w:left w:val="none" w:sz="0" w:space="0" w:color="auto"/>
                                <w:bottom w:val="none" w:sz="0" w:space="0" w:color="auto"/>
                                <w:right w:val="none" w:sz="0" w:space="0" w:color="auto"/>
                              </w:divBdr>
                              <w:divsChild>
                                <w:div w:id="562450376">
                                  <w:marLeft w:val="0"/>
                                  <w:marRight w:val="0"/>
                                  <w:marTop w:val="0"/>
                                  <w:marBottom w:val="0"/>
                                  <w:divBdr>
                                    <w:top w:val="none" w:sz="0" w:space="0" w:color="auto"/>
                                    <w:left w:val="none" w:sz="0" w:space="0" w:color="auto"/>
                                    <w:bottom w:val="none" w:sz="0" w:space="0" w:color="auto"/>
                                    <w:right w:val="none" w:sz="0" w:space="0" w:color="auto"/>
                                  </w:divBdr>
                                  <w:divsChild>
                                    <w:div w:id="2004894305">
                                      <w:marLeft w:val="240"/>
                                      <w:marRight w:val="240"/>
                                      <w:marTop w:val="240"/>
                                      <w:marBottom w:val="0"/>
                                      <w:divBdr>
                                        <w:top w:val="none" w:sz="0" w:space="0" w:color="auto"/>
                                        <w:left w:val="none" w:sz="0" w:space="0" w:color="auto"/>
                                        <w:bottom w:val="none" w:sz="0" w:space="0" w:color="auto"/>
                                        <w:right w:val="none" w:sz="0" w:space="0" w:color="auto"/>
                                      </w:divBdr>
                                      <w:divsChild>
                                        <w:div w:id="1518033439">
                                          <w:marLeft w:val="0"/>
                                          <w:marRight w:val="0"/>
                                          <w:marTop w:val="0"/>
                                          <w:marBottom w:val="0"/>
                                          <w:divBdr>
                                            <w:top w:val="none" w:sz="0" w:space="0" w:color="auto"/>
                                            <w:left w:val="none" w:sz="0" w:space="0" w:color="auto"/>
                                            <w:bottom w:val="none" w:sz="0" w:space="0" w:color="auto"/>
                                            <w:right w:val="none" w:sz="0" w:space="0" w:color="auto"/>
                                          </w:divBdr>
                                          <w:divsChild>
                                            <w:div w:id="426191323">
                                              <w:marLeft w:val="0"/>
                                              <w:marRight w:val="0"/>
                                              <w:marTop w:val="0"/>
                                              <w:marBottom w:val="0"/>
                                              <w:divBdr>
                                                <w:top w:val="none" w:sz="0" w:space="0" w:color="auto"/>
                                                <w:left w:val="none" w:sz="0" w:space="0" w:color="auto"/>
                                                <w:bottom w:val="none" w:sz="0" w:space="0" w:color="auto"/>
                                                <w:right w:val="none" w:sz="0" w:space="0" w:color="auto"/>
                                              </w:divBdr>
                                              <w:divsChild>
                                                <w:div w:id="846553779">
                                                  <w:marLeft w:val="0"/>
                                                  <w:marRight w:val="0"/>
                                                  <w:marTop w:val="0"/>
                                                  <w:marBottom w:val="0"/>
                                                  <w:divBdr>
                                                    <w:top w:val="none" w:sz="0" w:space="0" w:color="auto"/>
                                                    <w:left w:val="none" w:sz="0" w:space="0" w:color="auto"/>
                                                    <w:bottom w:val="none" w:sz="0" w:space="0" w:color="auto"/>
                                                    <w:right w:val="none" w:sz="0" w:space="0" w:color="auto"/>
                                                  </w:divBdr>
                                                  <w:divsChild>
                                                    <w:div w:id="1277984308">
                                                      <w:marLeft w:val="0"/>
                                                      <w:marRight w:val="0"/>
                                                      <w:marTop w:val="0"/>
                                                      <w:marBottom w:val="0"/>
                                                      <w:divBdr>
                                                        <w:top w:val="none" w:sz="0" w:space="0" w:color="auto"/>
                                                        <w:left w:val="none" w:sz="0" w:space="0" w:color="auto"/>
                                                        <w:bottom w:val="none" w:sz="0" w:space="0" w:color="auto"/>
                                                        <w:right w:val="none" w:sz="0" w:space="0" w:color="auto"/>
                                                      </w:divBdr>
                                                      <w:divsChild>
                                                        <w:div w:id="312681433">
                                                          <w:marLeft w:val="0"/>
                                                          <w:marRight w:val="0"/>
                                                          <w:marTop w:val="0"/>
                                                          <w:marBottom w:val="0"/>
                                                          <w:divBdr>
                                                            <w:top w:val="none" w:sz="0" w:space="0" w:color="auto"/>
                                                            <w:left w:val="none" w:sz="0" w:space="0" w:color="auto"/>
                                                            <w:bottom w:val="none" w:sz="0" w:space="0" w:color="auto"/>
                                                            <w:right w:val="none" w:sz="0" w:space="0" w:color="auto"/>
                                                          </w:divBdr>
                                                          <w:divsChild>
                                                            <w:div w:id="1365180903">
                                                              <w:marLeft w:val="0"/>
                                                              <w:marRight w:val="0"/>
                                                              <w:marTop w:val="0"/>
                                                              <w:marBottom w:val="0"/>
                                                              <w:divBdr>
                                                                <w:top w:val="none" w:sz="0" w:space="0" w:color="auto"/>
                                                                <w:left w:val="none" w:sz="0" w:space="0" w:color="auto"/>
                                                                <w:bottom w:val="none" w:sz="0" w:space="0" w:color="auto"/>
                                                                <w:right w:val="none" w:sz="0" w:space="0" w:color="auto"/>
                                                              </w:divBdr>
                                                              <w:divsChild>
                                                                <w:div w:id="631180004">
                                                                  <w:marLeft w:val="0"/>
                                                                  <w:marRight w:val="0"/>
                                                                  <w:marTop w:val="0"/>
                                                                  <w:marBottom w:val="0"/>
                                                                  <w:divBdr>
                                                                    <w:top w:val="none" w:sz="0" w:space="0" w:color="auto"/>
                                                                    <w:left w:val="none" w:sz="0" w:space="0" w:color="auto"/>
                                                                    <w:bottom w:val="none" w:sz="0" w:space="0" w:color="auto"/>
                                                                    <w:right w:val="none" w:sz="0" w:space="0" w:color="auto"/>
                                                                  </w:divBdr>
                                                                  <w:divsChild>
                                                                    <w:div w:id="939332784">
                                                                      <w:marLeft w:val="0"/>
                                                                      <w:marRight w:val="0"/>
                                                                      <w:marTop w:val="0"/>
                                                                      <w:marBottom w:val="0"/>
                                                                      <w:divBdr>
                                                                        <w:top w:val="none" w:sz="0" w:space="0" w:color="auto"/>
                                                                        <w:left w:val="none" w:sz="0" w:space="0" w:color="auto"/>
                                                                        <w:bottom w:val="none" w:sz="0" w:space="0" w:color="auto"/>
                                                                        <w:right w:val="none" w:sz="0" w:space="0" w:color="auto"/>
                                                                      </w:divBdr>
                                                                      <w:divsChild>
                                                                        <w:div w:id="388041310">
                                                                          <w:marLeft w:val="0"/>
                                                                          <w:marRight w:val="0"/>
                                                                          <w:marTop w:val="0"/>
                                                                          <w:marBottom w:val="120"/>
                                                                          <w:divBdr>
                                                                            <w:top w:val="none" w:sz="0" w:space="0" w:color="auto"/>
                                                                            <w:left w:val="none" w:sz="0" w:space="0" w:color="auto"/>
                                                                            <w:bottom w:val="none" w:sz="0" w:space="0" w:color="auto"/>
                                                                            <w:right w:val="none" w:sz="0" w:space="0" w:color="auto"/>
                                                                          </w:divBdr>
                                                                          <w:divsChild>
                                                                            <w:div w:id="497888827">
                                                                              <w:marLeft w:val="0"/>
                                                                              <w:marRight w:val="0"/>
                                                                              <w:marTop w:val="0"/>
                                                                              <w:marBottom w:val="0"/>
                                                                              <w:divBdr>
                                                                                <w:top w:val="none" w:sz="0" w:space="0" w:color="auto"/>
                                                                                <w:left w:val="none" w:sz="0" w:space="0" w:color="auto"/>
                                                                                <w:bottom w:val="none" w:sz="0" w:space="0" w:color="auto"/>
                                                                                <w:right w:val="none" w:sz="0" w:space="0" w:color="auto"/>
                                                                              </w:divBdr>
                                                                              <w:divsChild>
                                                                                <w:div w:id="719281946">
                                                                                  <w:marLeft w:val="0"/>
                                                                                  <w:marRight w:val="0"/>
                                                                                  <w:marTop w:val="0"/>
                                                                                  <w:marBottom w:val="0"/>
                                                                                  <w:divBdr>
                                                                                    <w:top w:val="none" w:sz="0" w:space="0" w:color="auto"/>
                                                                                    <w:left w:val="none" w:sz="0" w:space="0" w:color="auto"/>
                                                                                    <w:bottom w:val="none" w:sz="0" w:space="0" w:color="auto"/>
                                                                                    <w:right w:val="none" w:sz="0" w:space="0" w:color="auto"/>
                                                                                  </w:divBdr>
                                                                                  <w:divsChild>
                                                                                    <w:div w:id="1593583887">
                                                                                      <w:marLeft w:val="0"/>
                                                                                      <w:marRight w:val="0"/>
                                                                                      <w:marTop w:val="0"/>
                                                                                      <w:marBottom w:val="0"/>
                                                                                      <w:divBdr>
                                                                                        <w:top w:val="none" w:sz="0" w:space="0" w:color="auto"/>
                                                                                        <w:left w:val="none" w:sz="0" w:space="0" w:color="auto"/>
                                                                                        <w:bottom w:val="none" w:sz="0" w:space="0" w:color="auto"/>
                                                                                        <w:right w:val="none" w:sz="0" w:space="0" w:color="auto"/>
                                                                                      </w:divBdr>
                                                                                      <w:divsChild>
                                                                                        <w:div w:id="1218854822">
                                                                                          <w:marLeft w:val="0"/>
                                                                                          <w:marRight w:val="0"/>
                                                                                          <w:marTop w:val="0"/>
                                                                                          <w:marBottom w:val="0"/>
                                                                                          <w:divBdr>
                                                                                            <w:top w:val="none" w:sz="0" w:space="0" w:color="auto"/>
                                                                                            <w:left w:val="none" w:sz="0" w:space="0" w:color="auto"/>
                                                                                            <w:bottom w:val="none" w:sz="0" w:space="0" w:color="auto"/>
                                                                                            <w:right w:val="none" w:sz="0" w:space="0" w:color="auto"/>
                                                                                          </w:divBdr>
                                                                                          <w:divsChild>
                                                                                            <w:div w:id="463811372">
                                                                                              <w:marLeft w:val="0"/>
                                                                                              <w:marRight w:val="0"/>
                                                                                              <w:marTop w:val="0"/>
                                                                                              <w:marBottom w:val="0"/>
                                                                                              <w:divBdr>
                                                                                                <w:top w:val="none" w:sz="0" w:space="0" w:color="auto"/>
                                                                                                <w:left w:val="none" w:sz="0" w:space="0" w:color="auto"/>
                                                                                                <w:bottom w:val="none" w:sz="0" w:space="0" w:color="auto"/>
                                                                                                <w:right w:val="none" w:sz="0" w:space="0" w:color="auto"/>
                                                                                              </w:divBdr>
                                                                                              <w:divsChild>
                                                                                                <w:div w:id="1593930083">
                                                                                                  <w:marLeft w:val="0"/>
                                                                                                  <w:marRight w:val="0"/>
                                                                                                  <w:marTop w:val="0"/>
                                                                                                  <w:marBottom w:val="0"/>
                                                                                                  <w:divBdr>
                                                                                                    <w:top w:val="none" w:sz="0" w:space="0" w:color="auto"/>
                                                                                                    <w:left w:val="none" w:sz="0" w:space="0" w:color="auto"/>
                                                                                                    <w:bottom w:val="none" w:sz="0" w:space="0" w:color="auto"/>
                                                                                                    <w:right w:val="none" w:sz="0" w:space="0" w:color="auto"/>
                                                                                                  </w:divBdr>
                                                                                                  <w:divsChild>
                                                                                                    <w:div w:id="8449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27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ERInquiry@aer.gov.au" TargetMode="External"/><Relationship Id="rId18" Type="http://schemas.openxmlformats.org/officeDocument/2006/relationships/image" Target="media/image4.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hyperlink" Target="mailto:NSWACTelectricity@aer.gov.au" TargetMode="External"/><Relationship Id="rId17" Type="http://schemas.openxmlformats.org/officeDocument/2006/relationships/image" Target="media/image3.emf"/><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24"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hyperlink" Target="http://www.aer.gov.au" TargetMode="External"/><Relationship Id="rId23" Type="http://schemas.openxmlformats.org/officeDocument/2006/relationships/image" Target="media/image9.emf"/><Relationship Id="rId28" Type="http://schemas.openxmlformats.org/officeDocument/2006/relationships/fontTable" Target="fontTable.xml"/><Relationship Id="rId10" Type="http://schemas.openxmlformats.org/officeDocument/2006/relationships/hyperlink" Target="mailto:publishing.unit@accc.gov.au" TargetMode="Externa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er.gov.au" TargetMode="External"/><Relationship Id="rId22" Type="http://schemas.openxmlformats.org/officeDocument/2006/relationships/image" Target="media/image8.png"/><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file:///C:\Documents%20and%20Settings\djoha\Local%20Settings\Temporary%20Internet%20Files\Content.Outlook\4XGFTQ26\www.aer.gov.au\Better-regulation-reform-program" TargetMode="External"/><Relationship Id="rId2" Type="http://schemas.openxmlformats.org/officeDocument/2006/relationships/hyperlink" Target="http://www.aemc.gov.au/Australias-Energy-Market/Market-Legislation/Relevant-Legislation-Electricity" TargetMode="External"/><Relationship Id="rId1" Type="http://schemas.openxmlformats.org/officeDocument/2006/relationships/hyperlink" Target="http://www.aer.gov.au" TargetMode="External"/><Relationship Id="rId5" Type="http://schemas.openxmlformats.org/officeDocument/2006/relationships/hyperlink" Target="http://www.aer.gov.au/node/11483" TargetMode="External"/><Relationship Id="rId4" Type="http://schemas.openxmlformats.org/officeDocument/2006/relationships/hyperlink" Target="http://www.aer.gov.au/node/191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B9876-F947-4751-AA92-1C3ED5A4B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CC177CB6.dotm</Template>
  <TotalTime>0</TotalTime>
  <Pages>36</Pages>
  <Words>9301</Words>
  <Characters>53017</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62194</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dc:creator>
  <cp:keywords/>
  <dc:description/>
  <cp:lastModifiedBy>Lowien, Robyn</cp:lastModifiedBy>
  <cp:revision>2</cp:revision>
  <cp:lastPrinted>2014-07-22T22:13:00Z</cp:lastPrinted>
  <dcterms:created xsi:type="dcterms:W3CDTF">2014-07-25T05:03:00Z</dcterms:created>
  <dcterms:modified xsi:type="dcterms:W3CDTF">2014-07-25T05:03:00Z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\\SCBRFS001\home$\rlowi\act electricity distribution 2 (D2014-00092549).docx</vt:lpwstr>
  </property>
</Properties>
</file>