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p w14:paraId="02287182" w14:textId="77777777" w:rsidR="000A6C7B" w:rsidRPr="00290C63" w:rsidRDefault="000A6C7B" w:rsidP="00290C63">
          <w:r w:rsidRPr="00290C63">
            <w:rPr>
              <w:noProof/>
              <w:lang w:eastAsia="en-AU"/>
            </w:rPr>
            <w:drawing>
              <wp:anchor distT="0" distB="0" distL="114300" distR="114300" simplePos="0" relativeHeight="251659264" behindDoc="1" locked="0" layoutInCell="1" allowOverlap="1" wp14:anchorId="0E456604" wp14:editId="176757C9">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14:paraId="6497436B" w14:textId="77777777" w:rsidR="00F171E0" w:rsidRDefault="00F171E0" w:rsidP="00F171E0"/>
        <w:p w14:paraId="1A024CBF" w14:textId="77777777" w:rsidR="00F171E0" w:rsidRDefault="00F171E0" w:rsidP="00F171E0"/>
        <w:p w14:paraId="654702F1" w14:textId="77777777" w:rsidR="00F171E0" w:rsidRDefault="00F171E0" w:rsidP="00F171E0"/>
        <w:p w14:paraId="7048C34C" w14:textId="77777777" w:rsidR="00F171E0" w:rsidRDefault="00F171E0" w:rsidP="00F171E0"/>
        <w:p w14:paraId="32791C18" w14:textId="77777777" w:rsidR="00F171E0" w:rsidRDefault="00F171E0" w:rsidP="00F171E0"/>
        <w:p w14:paraId="6B378455" w14:textId="77777777" w:rsidR="009C0307" w:rsidRDefault="009C0307" w:rsidP="009C0307">
          <w:pPr>
            <w:pStyle w:val="ReportSubtitle"/>
          </w:pPr>
        </w:p>
        <w:p w14:paraId="4BDC92E2" w14:textId="77777777" w:rsidR="009C0307" w:rsidRDefault="009C0307" w:rsidP="009C0307">
          <w:pPr>
            <w:pStyle w:val="ReportSubtitle"/>
          </w:pPr>
          <w:r>
            <w:t>FINAL DECISION</w:t>
          </w:r>
        </w:p>
        <w:p w14:paraId="67FBD86B" w14:textId="268B80A2" w:rsidR="009C0307" w:rsidRDefault="005276FD" w:rsidP="009C0307">
          <w:pPr>
            <w:pStyle w:val="ReportSubtitle"/>
          </w:pPr>
          <w:r>
            <w:t>SA Power Networks</w:t>
          </w:r>
        </w:p>
        <w:p w14:paraId="43AA656D" w14:textId="50D28CAF" w:rsidR="003F2309" w:rsidRDefault="005276FD" w:rsidP="009C0307">
          <w:pPr>
            <w:pStyle w:val="ReportSubtitle"/>
          </w:pPr>
          <w:r>
            <w:t>determination</w:t>
          </w:r>
          <w:r w:rsidR="003F2309">
            <w:t xml:space="preserve"> </w:t>
          </w:r>
        </w:p>
        <w:p w14:paraId="7B01D74B" w14:textId="77777777" w:rsidR="009C0307" w:rsidRDefault="003F2309" w:rsidP="009C0307">
          <w:pPr>
            <w:pStyle w:val="ReportSubtitle"/>
          </w:pPr>
          <w:r>
            <w:t>2015-</w:t>
          </w:r>
          <w:r w:rsidR="005276FD">
            <w:t>16 to 2019</w:t>
          </w:r>
          <w:r>
            <w:t>-</w:t>
          </w:r>
          <w:r w:rsidR="009C0307">
            <w:t>20</w:t>
          </w:r>
        </w:p>
        <w:p w14:paraId="10AD4A24" w14:textId="77777777" w:rsidR="008F07A3" w:rsidRPr="000A6C7B" w:rsidRDefault="008F07A3" w:rsidP="009C0307">
          <w:pPr>
            <w:pStyle w:val="ReportSubtitle"/>
            <w:tabs>
              <w:tab w:val="left" w:pos="1122"/>
              <w:tab w:val="center" w:pos="4238"/>
            </w:tabs>
            <w:jc w:val="left"/>
          </w:pPr>
        </w:p>
        <w:p w14:paraId="6301FE26" w14:textId="77777777" w:rsidR="000A6C7B" w:rsidRPr="000A6C7B" w:rsidRDefault="0070011E" w:rsidP="008F07A3">
          <w:pPr>
            <w:pStyle w:val="ReportSubtitle"/>
          </w:pPr>
          <w:r>
            <w:t xml:space="preserve">Attachment </w:t>
          </w:r>
          <w:r w:rsidR="00C04223">
            <w:t>4</w:t>
          </w:r>
          <w:r w:rsidR="00DA4752">
            <w:t xml:space="preserve"> </w:t>
          </w:r>
          <w:r w:rsidR="00415F31">
            <w:rPr>
              <w:rFonts w:cs="Arial"/>
            </w:rPr>
            <w:t>–</w:t>
          </w:r>
          <w:r w:rsidR="00DA4752">
            <w:t xml:space="preserve"> </w:t>
          </w:r>
          <w:r w:rsidR="00C04223">
            <w:t>Value of imputation credits</w:t>
          </w:r>
        </w:p>
        <w:p w14:paraId="5E7FE50C" w14:textId="386BFA81" w:rsidR="000A6C7B" w:rsidRPr="00327A1E" w:rsidRDefault="003F2309" w:rsidP="00327A1E">
          <w:pPr>
            <w:pStyle w:val="ReportDate"/>
          </w:pPr>
          <w:r>
            <w:t>October</w:t>
          </w:r>
          <w:r w:rsidR="00DA4752">
            <w:t xml:space="preserve"> 2015</w:t>
          </w:r>
        </w:p>
      </w:sdtContent>
    </w:sdt>
    <w:p w14:paraId="6B82F71E" w14:textId="77777777" w:rsidR="00327A1E" w:rsidRPr="00290C63" w:rsidRDefault="00327A1E" w:rsidP="00290C63">
      <w:r>
        <w:br w:type="page"/>
      </w:r>
    </w:p>
    <w:p w14:paraId="1A4F1A1C" w14:textId="77777777" w:rsidR="000A6C7B" w:rsidRDefault="008F07A3" w:rsidP="00961A4A">
      <w:pPr>
        <w:pStyle w:val="Copyright"/>
      </w:pPr>
      <w:r>
        <w:lastRenderedPageBreak/>
        <w:t>© Commonwealth of Australia 2015</w:t>
      </w:r>
    </w:p>
    <w:p w14:paraId="67A96056" w14:textId="77777777"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14:paraId="67E1BDF9" w14:textId="77777777" w:rsidR="000A6C7B" w:rsidRPr="00983C25" w:rsidRDefault="000A6C7B" w:rsidP="00983C25">
      <w:pPr>
        <w:pStyle w:val="AERbulletlistfirststyle"/>
        <w:rPr>
          <w:sz w:val="20"/>
          <w:szCs w:val="20"/>
        </w:rPr>
      </w:pPr>
      <w:r>
        <w:t xml:space="preserve">the </w:t>
      </w:r>
      <w:r w:rsidRPr="00983C25">
        <w:rPr>
          <w:sz w:val="20"/>
          <w:szCs w:val="20"/>
        </w:rPr>
        <w:t>Commonwealth Coat of Arms</w:t>
      </w:r>
    </w:p>
    <w:p w14:paraId="5A41E787" w14:textId="77777777" w:rsidR="000A6C7B" w:rsidRPr="00983C25" w:rsidRDefault="000A6C7B" w:rsidP="00983C25">
      <w:pPr>
        <w:pStyle w:val="AERbulletlistfirststyle"/>
        <w:rPr>
          <w:sz w:val="20"/>
          <w:szCs w:val="20"/>
        </w:rPr>
      </w:pPr>
      <w:r w:rsidRPr="00983C25">
        <w:rPr>
          <w:sz w:val="20"/>
          <w:szCs w:val="20"/>
        </w:rPr>
        <w:t>the ACCC and AER logos</w:t>
      </w:r>
    </w:p>
    <w:p w14:paraId="2D5BF95D" w14:textId="77777777"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14:paraId="3C7A3E06" w14:textId="77777777" w:rsidR="009D3906" w:rsidRDefault="000A6C7B" w:rsidP="000A6C7B">
      <w:pPr>
        <w:pStyle w:val="Copyright"/>
      </w:pPr>
      <w:r>
        <w:t>Requests and inquiries concerning reproduction and rights should be addressed to the</w:t>
      </w:r>
      <w:r w:rsidR="009D3906">
        <w:t>:</w:t>
      </w:r>
    </w:p>
    <w:p w14:paraId="38AA52D5" w14:textId="77777777"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14:paraId="7938895F" w14:textId="77777777" w:rsidR="000A6C7B" w:rsidRDefault="000A6C7B" w:rsidP="000A6C7B">
      <w:pPr>
        <w:pStyle w:val="Copyright"/>
      </w:pPr>
      <w:proofErr w:type="gramStart"/>
      <w:r>
        <w:t>or</w:t>
      </w:r>
      <w:proofErr w:type="gramEnd"/>
      <w:r>
        <w:t xml:space="preserve"> publishing.unit@accc.gov.au.</w:t>
      </w:r>
    </w:p>
    <w:p w14:paraId="08FAF31B" w14:textId="77777777" w:rsidR="00951978" w:rsidRDefault="000A6C7B" w:rsidP="00961A4A">
      <w:pPr>
        <w:pStyle w:val="Copyright"/>
      </w:pPr>
      <w:r>
        <w:t>Inquiries about this publication should be addressed to:</w:t>
      </w:r>
    </w:p>
    <w:p w14:paraId="1E4D1460" w14:textId="77777777" w:rsidR="000A6C7B" w:rsidRDefault="000A6C7B" w:rsidP="000A6C7B">
      <w:pPr>
        <w:pStyle w:val="Copyright"/>
      </w:pPr>
      <w:r>
        <w:t xml:space="preserve">Australian Energy </w:t>
      </w:r>
      <w:r w:rsidRPr="00F171E0">
        <w:t>Regulator</w:t>
      </w:r>
      <w:r w:rsidR="00951978">
        <w:br/>
      </w:r>
      <w:r>
        <w:t>GPO Box 520</w:t>
      </w:r>
      <w:r w:rsidR="00951978">
        <w:br/>
      </w:r>
      <w:proofErr w:type="gramStart"/>
      <w:r>
        <w:t>Melbourne  Vic</w:t>
      </w:r>
      <w:proofErr w:type="gramEnd"/>
      <w:r>
        <w:t xml:space="preserve">  3001</w:t>
      </w:r>
    </w:p>
    <w:p w14:paraId="0E1357E2" w14:textId="77777777" w:rsidR="000A6C7B" w:rsidRDefault="000A6C7B" w:rsidP="00961A4A">
      <w:pPr>
        <w:pStyle w:val="Copyright"/>
      </w:pPr>
      <w:r>
        <w:t>Tel: (03) 9290 1444</w:t>
      </w:r>
      <w:r w:rsidR="00951978">
        <w:br/>
      </w:r>
      <w:r>
        <w:t>Fax: (03) 9290 1457</w:t>
      </w:r>
    </w:p>
    <w:p w14:paraId="171F24A3" w14:textId="77777777"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14:paraId="7E7BF8AA" w14:textId="77777777" w:rsidR="009001B6" w:rsidRDefault="009001B6">
      <w:pPr>
        <w:spacing w:line="240" w:lineRule="auto"/>
      </w:pPr>
      <w:bookmarkStart w:id="0" w:name="_Toc404354899"/>
      <w:bookmarkStart w:id="1" w:name="_Toc404353070"/>
      <w:bookmarkStart w:id="2" w:name="_Toc404684201"/>
      <w:bookmarkStart w:id="3" w:name="_Toc404700923"/>
      <w:r>
        <w:br w:type="page"/>
      </w:r>
    </w:p>
    <w:p w14:paraId="74FF84FF" w14:textId="77777777" w:rsidR="00E6180D" w:rsidRDefault="00E6180D" w:rsidP="003D3D89">
      <w:pPr>
        <w:pStyle w:val="UnnumberedHeading"/>
      </w:pPr>
      <w:bookmarkStart w:id="4" w:name="_Toc408493480"/>
      <w:bookmarkStart w:id="5" w:name="_Toc433449203"/>
      <w:bookmarkEnd w:id="0"/>
      <w:bookmarkEnd w:id="1"/>
      <w:bookmarkEnd w:id="2"/>
      <w:bookmarkEnd w:id="3"/>
      <w:r w:rsidRPr="003D3D89">
        <w:lastRenderedPageBreak/>
        <w:t>Note</w:t>
      </w:r>
      <w:bookmarkEnd w:id="4"/>
      <w:bookmarkEnd w:id="5"/>
    </w:p>
    <w:p w14:paraId="2F0816E7" w14:textId="77777777" w:rsidR="0016622B" w:rsidRDefault="0016622B" w:rsidP="0016622B">
      <w:pPr>
        <w:numPr>
          <w:ilvl w:val="0"/>
          <w:numId w:val="25"/>
        </w:numPr>
      </w:pPr>
      <w:r>
        <w:t>This attachment forms part of the AER's final decision on SA Power Networks' 2015–20 distribution determination. It should be read with all other parts of the final decision.</w:t>
      </w:r>
    </w:p>
    <w:p w14:paraId="646374EE" w14:textId="77777777" w:rsidR="0016622B" w:rsidRDefault="0016622B" w:rsidP="0016622B">
      <w:pPr>
        <w:numPr>
          <w:ilvl w:val="0"/>
          <w:numId w:val="25"/>
        </w:numPr>
      </w:pPr>
      <w:r>
        <w:t>The final decision includes the following documents:</w:t>
      </w:r>
    </w:p>
    <w:p w14:paraId="5689C692" w14:textId="77777777" w:rsidR="0016622B" w:rsidRDefault="0016622B" w:rsidP="0016622B">
      <w:pPr>
        <w:numPr>
          <w:ilvl w:val="0"/>
          <w:numId w:val="25"/>
        </w:numPr>
      </w:pPr>
      <w:r>
        <w:t>Overview</w:t>
      </w:r>
    </w:p>
    <w:p w14:paraId="7E93AF65" w14:textId="77777777" w:rsidR="0016622B" w:rsidRDefault="0016622B" w:rsidP="0016622B">
      <w:pPr>
        <w:numPr>
          <w:ilvl w:val="0"/>
          <w:numId w:val="25"/>
        </w:numPr>
      </w:pPr>
      <w:r>
        <w:t>Attachment 1 – Annual revenue requirement</w:t>
      </w:r>
    </w:p>
    <w:p w14:paraId="02BCA62A" w14:textId="77777777" w:rsidR="0016622B" w:rsidRDefault="0016622B" w:rsidP="0016622B">
      <w:pPr>
        <w:numPr>
          <w:ilvl w:val="0"/>
          <w:numId w:val="25"/>
        </w:numPr>
      </w:pPr>
      <w:r>
        <w:t>Attachment 2 – Regulatory asset base</w:t>
      </w:r>
    </w:p>
    <w:p w14:paraId="1A3F3F19" w14:textId="77777777" w:rsidR="0016622B" w:rsidRDefault="0016622B" w:rsidP="0016622B">
      <w:pPr>
        <w:numPr>
          <w:ilvl w:val="0"/>
          <w:numId w:val="25"/>
        </w:numPr>
      </w:pPr>
      <w:r>
        <w:t>Attachment 3 – Rate of return</w:t>
      </w:r>
    </w:p>
    <w:p w14:paraId="07647183" w14:textId="77777777" w:rsidR="0016622B" w:rsidRDefault="0016622B" w:rsidP="0016622B">
      <w:pPr>
        <w:numPr>
          <w:ilvl w:val="0"/>
          <w:numId w:val="25"/>
        </w:numPr>
      </w:pPr>
      <w:r>
        <w:t>Attachment 4 – Value of imputation credits</w:t>
      </w:r>
    </w:p>
    <w:p w14:paraId="33636763" w14:textId="77777777" w:rsidR="0016622B" w:rsidRDefault="0016622B" w:rsidP="0016622B">
      <w:pPr>
        <w:numPr>
          <w:ilvl w:val="0"/>
          <w:numId w:val="25"/>
        </w:numPr>
      </w:pPr>
      <w:r>
        <w:t>Attachment 5 – Regulatory depreciation</w:t>
      </w:r>
    </w:p>
    <w:p w14:paraId="07820EAB" w14:textId="77777777" w:rsidR="0016622B" w:rsidRDefault="0016622B" w:rsidP="0016622B">
      <w:pPr>
        <w:numPr>
          <w:ilvl w:val="0"/>
          <w:numId w:val="25"/>
        </w:numPr>
      </w:pPr>
      <w:r>
        <w:t xml:space="preserve">Attachment 6 – Capital expenditure </w:t>
      </w:r>
    </w:p>
    <w:p w14:paraId="23797776" w14:textId="77777777" w:rsidR="0016622B" w:rsidRDefault="0016622B" w:rsidP="0016622B">
      <w:pPr>
        <w:numPr>
          <w:ilvl w:val="0"/>
          <w:numId w:val="25"/>
        </w:numPr>
      </w:pPr>
      <w:r>
        <w:t>Attachment 7 – Operating expenditure</w:t>
      </w:r>
    </w:p>
    <w:p w14:paraId="05E8AC55" w14:textId="77777777" w:rsidR="0016622B" w:rsidRDefault="0016622B" w:rsidP="0016622B">
      <w:pPr>
        <w:numPr>
          <w:ilvl w:val="0"/>
          <w:numId w:val="25"/>
        </w:numPr>
      </w:pPr>
      <w:r>
        <w:t>Attachment 8 – Corporate income tax</w:t>
      </w:r>
    </w:p>
    <w:p w14:paraId="4A27F0C6" w14:textId="77777777" w:rsidR="0016622B" w:rsidRDefault="0016622B" w:rsidP="0016622B">
      <w:pPr>
        <w:numPr>
          <w:ilvl w:val="0"/>
          <w:numId w:val="25"/>
        </w:numPr>
      </w:pPr>
      <w:r>
        <w:t>Attachment 9 – Efficiency benefit sharing scheme</w:t>
      </w:r>
    </w:p>
    <w:p w14:paraId="794CC919" w14:textId="77777777" w:rsidR="0016622B" w:rsidRDefault="0016622B" w:rsidP="0016622B">
      <w:pPr>
        <w:numPr>
          <w:ilvl w:val="0"/>
          <w:numId w:val="25"/>
        </w:numPr>
      </w:pPr>
      <w:r>
        <w:t>Attachment 10 – Capital expenditure sharing scheme</w:t>
      </w:r>
    </w:p>
    <w:p w14:paraId="11CBB6E0" w14:textId="77777777" w:rsidR="0016622B" w:rsidRDefault="0016622B" w:rsidP="0016622B">
      <w:pPr>
        <w:numPr>
          <w:ilvl w:val="0"/>
          <w:numId w:val="25"/>
        </w:numPr>
      </w:pPr>
      <w:r>
        <w:t>Attachment 11 – Service target performance incentive scheme</w:t>
      </w:r>
    </w:p>
    <w:p w14:paraId="4F336D57" w14:textId="77777777" w:rsidR="0016622B" w:rsidRDefault="0016622B" w:rsidP="0016622B">
      <w:pPr>
        <w:numPr>
          <w:ilvl w:val="0"/>
          <w:numId w:val="25"/>
        </w:numPr>
      </w:pPr>
      <w:r>
        <w:t>Attachment 12 – Demand management incentive scheme</w:t>
      </w:r>
    </w:p>
    <w:p w14:paraId="02F684C4" w14:textId="77777777" w:rsidR="0016622B" w:rsidRDefault="0016622B" w:rsidP="0016622B">
      <w:pPr>
        <w:numPr>
          <w:ilvl w:val="0"/>
          <w:numId w:val="25"/>
        </w:numPr>
      </w:pPr>
      <w:r>
        <w:t>Attachment 13 – Classification of services</w:t>
      </w:r>
    </w:p>
    <w:p w14:paraId="465004BB" w14:textId="77777777" w:rsidR="0016622B" w:rsidRDefault="0016622B" w:rsidP="0016622B">
      <w:pPr>
        <w:numPr>
          <w:ilvl w:val="0"/>
          <w:numId w:val="25"/>
        </w:numPr>
      </w:pPr>
      <w:r>
        <w:t>Attachment 14 – Control mechanism</w:t>
      </w:r>
    </w:p>
    <w:p w14:paraId="06D25640" w14:textId="77777777" w:rsidR="0016622B" w:rsidRDefault="0016622B" w:rsidP="0016622B">
      <w:pPr>
        <w:numPr>
          <w:ilvl w:val="0"/>
          <w:numId w:val="25"/>
        </w:numPr>
      </w:pPr>
      <w:r>
        <w:t>Attachment 15 – Pass through events</w:t>
      </w:r>
    </w:p>
    <w:p w14:paraId="4E439756" w14:textId="77777777" w:rsidR="0016622B" w:rsidRDefault="0016622B" w:rsidP="0016622B">
      <w:pPr>
        <w:numPr>
          <w:ilvl w:val="0"/>
          <w:numId w:val="25"/>
        </w:numPr>
      </w:pPr>
      <w:r>
        <w:t>Attachment 16 – Alternative control services</w:t>
      </w:r>
    </w:p>
    <w:p w14:paraId="1211A007" w14:textId="77777777" w:rsidR="0016622B" w:rsidRDefault="0016622B" w:rsidP="0016622B">
      <w:pPr>
        <w:numPr>
          <w:ilvl w:val="0"/>
          <w:numId w:val="25"/>
        </w:numPr>
      </w:pPr>
      <w:r>
        <w:t>Attachment 17 – Negotiated services framework and criteria</w:t>
      </w:r>
    </w:p>
    <w:p w14:paraId="319B42CD" w14:textId="7335D3F0" w:rsidR="00BB1615" w:rsidRPr="008F07A3" w:rsidRDefault="0016622B" w:rsidP="00BB1615">
      <w:pPr>
        <w:sectPr w:rsidR="00BB1615" w:rsidRPr="008F07A3" w:rsidSect="001754EE">
          <w:footerReference w:type="even" r:id="rId12"/>
          <w:footerReference w:type="default" r:id="rId13"/>
          <w:footerReference w:type="first" r:id="rId14"/>
          <w:pgSz w:w="11906" w:h="16838" w:code="9"/>
          <w:pgMar w:top="1440" w:right="1700" w:bottom="1582" w:left="1729" w:header="720" w:footer="0" w:gutter="0"/>
          <w:pgNumType w:start="0" w:chapStyle="1"/>
          <w:cols w:space="720"/>
          <w:docGrid w:linePitch="326"/>
        </w:sectPr>
      </w:pPr>
      <w:r>
        <w:t>Attachment 18 – Connection policy</w:t>
      </w:r>
    </w:p>
    <w:p w14:paraId="2C5E6F2B" w14:textId="77777777" w:rsidR="00DE563D" w:rsidRPr="00A72B34" w:rsidRDefault="00DE563D" w:rsidP="00DE563D">
      <w:pPr>
        <w:pStyle w:val="UnnumberedHeading"/>
        <w:numPr>
          <w:ilvl w:val="0"/>
          <w:numId w:val="24"/>
        </w:numPr>
      </w:pPr>
      <w:bookmarkStart w:id="6" w:name="_Toc403144133"/>
      <w:bookmarkStart w:id="7" w:name="_Toc433449204"/>
      <w:r>
        <w:lastRenderedPageBreak/>
        <w:t>Contents</w:t>
      </w:r>
      <w:bookmarkEnd w:id="6"/>
      <w:bookmarkEnd w:id="7"/>
    </w:p>
    <w:p w14:paraId="3DDB7D0B" w14:textId="77777777"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14:paraId="09708115" w14:textId="77777777" w:rsidR="001C5163" w:rsidRDefault="00993877">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\u \t "Heading 7,1,Heading 8,2" </w:instrText>
          </w:r>
          <w:r>
            <w:rPr>
              <w:color w:val="auto"/>
              <w:sz w:val="22"/>
            </w:rPr>
            <w:fldChar w:fldCharType="separate"/>
          </w:r>
          <w:hyperlink w:anchor="_Toc433449203" w:history="1">
            <w:r w:rsidR="001C5163" w:rsidRPr="00144C7F">
              <w:rPr>
                <w:rStyle w:val="Hyperlink"/>
              </w:rPr>
              <w:t>Note</w:t>
            </w:r>
            <w:r w:rsidR="001C5163">
              <w:rPr>
                <w:webHidden/>
              </w:rPr>
              <w:tab/>
            </w:r>
            <w:r w:rsidR="001C5163">
              <w:rPr>
                <w:webHidden/>
              </w:rPr>
              <w:fldChar w:fldCharType="begin"/>
            </w:r>
            <w:r w:rsidR="001C5163">
              <w:rPr>
                <w:webHidden/>
              </w:rPr>
              <w:instrText xml:space="preserve"> PAGEREF _Toc433449203 \h </w:instrText>
            </w:r>
            <w:r w:rsidR="001C5163">
              <w:rPr>
                <w:webHidden/>
              </w:rPr>
            </w:r>
            <w:r w:rsidR="001C5163">
              <w:rPr>
                <w:webHidden/>
              </w:rPr>
              <w:fldChar w:fldCharType="separate"/>
            </w:r>
            <w:r w:rsidR="001C5163">
              <w:rPr>
                <w:webHidden/>
              </w:rPr>
              <w:t>4-2</w:t>
            </w:r>
            <w:r w:rsidR="001C5163">
              <w:rPr>
                <w:webHidden/>
              </w:rPr>
              <w:fldChar w:fldCharType="end"/>
            </w:r>
          </w:hyperlink>
        </w:p>
        <w:p w14:paraId="3C14BD4C" w14:textId="77777777" w:rsidR="001C5163" w:rsidRDefault="00D70292">
          <w:pPr>
            <w:pStyle w:val="TOC1"/>
            <w:rPr>
              <w:rFonts w:asciiTheme="minorHAnsi" w:eastAsiaTheme="minorEastAsia" w:hAnsiTheme="minorHAnsi"/>
              <w:b w:val="0"/>
              <w:color w:val="auto"/>
              <w:sz w:val="22"/>
              <w:lang w:val="en-AU" w:eastAsia="en-AU"/>
            </w:rPr>
          </w:pPr>
          <w:hyperlink w:anchor="_Toc433449204" w:history="1">
            <w:r w:rsidR="001C5163" w:rsidRPr="00144C7F">
              <w:rPr>
                <w:rStyle w:val="Hyperlink"/>
              </w:rPr>
              <w:t>Contents</w:t>
            </w:r>
            <w:r w:rsidR="001C5163">
              <w:rPr>
                <w:webHidden/>
              </w:rPr>
              <w:tab/>
            </w:r>
            <w:r w:rsidR="001C5163">
              <w:rPr>
                <w:webHidden/>
              </w:rPr>
              <w:fldChar w:fldCharType="begin"/>
            </w:r>
            <w:r w:rsidR="001C5163">
              <w:rPr>
                <w:webHidden/>
              </w:rPr>
              <w:instrText xml:space="preserve"> PAGEREF _Toc433449204 \h </w:instrText>
            </w:r>
            <w:r w:rsidR="001C5163">
              <w:rPr>
                <w:webHidden/>
              </w:rPr>
            </w:r>
            <w:r w:rsidR="001C5163">
              <w:rPr>
                <w:webHidden/>
              </w:rPr>
              <w:fldChar w:fldCharType="separate"/>
            </w:r>
            <w:r w:rsidR="001C5163">
              <w:rPr>
                <w:webHidden/>
              </w:rPr>
              <w:t>4-3</w:t>
            </w:r>
            <w:r w:rsidR="001C5163">
              <w:rPr>
                <w:webHidden/>
              </w:rPr>
              <w:fldChar w:fldCharType="end"/>
            </w:r>
          </w:hyperlink>
        </w:p>
        <w:p w14:paraId="02AEEF12" w14:textId="77777777" w:rsidR="001C5163" w:rsidRDefault="00D70292">
          <w:pPr>
            <w:pStyle w:val="TOC1"/>
            <w:rPr>
              <w:rFonts w:asciiTheme="minorHAnsi" w:eastAsiaTheme="minorEastAsia" w:hAnsiTheme="minorHAnsi"/>
              <w:b w:val="0"/>
              <w:color w:val="auto"/>
              <w:sz w:val="22"/>
              <w:lang w:val="en-AU" w:eastAsia="en-AU"/>
            </w:rPr>
          </w:pPr>
          <w:hyperlink w:anchor="_Toc433449205" w:history="1">
            <w:r w:rsidR="001C5163" w:rsidRPr="00144C7F">
              <w:rPr>
                <w:rStyle w:val="Hyperlink"/>
              </w:rPr>
              <w:t>Shortened forms</w:t>
            </w:r>
            <w:r w:rsidR="001C5163">
              <w:rPr>
                <w:webHidden/>
              </w:rPr>
              <w:tab/>
            </w:r>
            <w:r w:rsidR="001C5163">
              <w:rPr>
                <w:webHidden/>
              </w:rPr>
              <w:fldChar w:fldCharType="begin"/>
            </w:r>
            <w:r w:rsidR="001C5163">
              <w:rPr>
                <w:webHidden/>
              </w:rPr>
              <w:instrText xml:space="preserve"> PAGEREF _Toc433449205 \h </w:instrText>
            </w:r>
            <w:r w:rsidR="001C5163">
              <w:rPr>
                <w:webHidden/>
              </w:rPr>
            </w:r>
            <w:r w:rsidR="001C5163">
              <w:rPr>
                <w:webHidden/>
              </w:rPr>
              <w:fldChar w:fldCharType="separate"/>
            </w:r>
            <w:r w:rsidR="001C5163">
              <w:rPr>
                <w:webHidden/>
              </w:rPr>
              <w:t>4-5</w:t>
            </w:r>
            <w:r w:rsidR="001C5163">
              <w:rPr>
                <w:webHidden/>
              </w:rPr>
              <w:fldChar w:fldCharType="end"/>
            </w:r>
          </w:hyperlink>
        </w:p>
        <w:p w14:paraId="0C162C95" w14:textId="77777777" w:rsidR="001C5163" w:rsidRDefault="00D70292">
          <w:pPr>
            <w:pStyle w:val="TOC1"/>
            <w:rPr>
              <w:rFonts w:asciiTheme="minorHAnsi" w:eastAsiaTheme="minorEastAsia" w:hAnsiTheme="minorHAnsi"/>
              <w:b w:val="0"/>
              <w:color w:val="auto"/>
              <w:sz w:val="22"/>
              <w:lang w:val="en-AU" w:eastAsia="en-AU"/>
            </w:rPr>
          </w:pPr>
          <w:hyperlink w:anchor="_Toc433449206" w:history="1">
            <w:r w:rsidR="001C5163" w:rsidRPr="00144C7F">
              <w:rPr>
                <w:rStyle w:val="Hyperlink"/>
              </w:rPr>
              <w:t>4</w:t>
            </w:r>
            <w:r w:rsidR="001C5163">
              <w:rPr>
                <w:rFonts w:asciiTheme="minorHAnsi" w:eastAsiaTheme="minorEastAsia" w:hAnsiTheme="minorHAnsi"/>
                <w:b w:val="0"/>
                <w:color w:val="auto"/>
                <w:sz w:val="22"/>
                <w:lang w:val="en-AU" w:eastAsia="en-AU"/>
              </w:rPr>
              <w:tab/>
            </w:r>
            <w:r w:rsidR="001C5163" w:rsidRPr="00144C7F">
              <w:rPr>
                <w:rStyle w:val="Hyperlink"/>
              </w:rPr>
              <w:t>Value of imputation credits</w:t>
            </w:r>
            <w:r w:rsidR="001C5163">
              <w:rPr>
                <w:webHidden/>
              </w:rPr>
              <w:tab/>
            </w:r>
            <w:r w:rsidR="001C5163">
              <w:rPr>
                <w:webHidden/>
              </w:rPr>
              <w:fldChar w:fldCharType="begin"/>
            </w:r>
            <w:r w:rsidR="001C5163">
              <w:rPr>
                <w:webHidden/>
              </w:rPr>
              <w:instrText xml:space="preserve"> PAGEREF _Toc433449206 \h </w:instrText>
            </w:r>
            <w:r w:rsidR="001C5163">
              <w:rPr>
                <w:webHidden/>
              </w:rPr>
            </w:r>
            <w:r w:rsidR="001C5163">
              <w:rPr>
                <w:webHidden/>
              </w:rPr>
              <w:fldChar w:fldCharType="separate"/>
            </w:r>
            <w:r w:rsidR="001C5163">
              <w:rPr>
                <w:webHidden/>
              </w:rPr>
              <w:t>4-6</w:t>
            </w:r>
            <w:r w:rsidR="001C5163">
              <w:rPr>
                <w:webHidden/>
              </w:rPr>
              <w:fldChar w:fldCharType="end"/>
            </w:r>
          </w:hyperlink>
        </w:p>
        <w:p w14:paraId="49B8F598" w14:textId="77777777" w:rsidR="001C5163" w:rsidRDefault="00D70292">
          <w:pPr>
            <w:pStyle w:val="TOC2"/>
            <w:rPr>
              <w:rFonts w:asciiTheme="minorHAnsi" w:eastAsiaTheme="minorEastAsia" w:hAnsiTheme="minorHAnsi"/>
              <w:b w:val="0"/>
              <w:color w:val="auto"/>
              <w:sz w:val="22"/>
              <w:lang w:eastAsia="en-AU"/>
            </w:rPr>
          </w:pPr>
          <w:hyperlink w:anchor="_Toc433449207" w:history="1">
            <w:r w:rsidR="001C5163" w:rsidRPr="00144C7F">
              <w:rPr>
                <w:rStyle w:val="Hyperlink"/>
              </w:rPr>
              <w:t>4.1</w:t>
            </w:r>
            <w:r w:rsidR="001C5163">
              <w:rPr>
                <w:rFonts w:asciiTheme="minorHAnsi" w:eastAsiaTheme="minorEastAsia" w:hAnsiTheme="minorHAnsi"/>
                <w:b w:val="0"/>
                <w:color w:val="auto"/>
                <w:sz w:val="22"/>
                <w:lang w:eastAsia="en-AU"/>
              </w:rPr>
              <w:tab/>
            </w:r>
            <w:r w:rsidR="001C5163" w:rsidRPr="00144C7F">
              <w:rPr>
                <w:rStyle w:val="Hyperlink"/>
              </w:rPr>
              <w:t>Final decision</w:t>
            </w:r>
            <w:r w:rsidR="001C5163">
              <w:rPr>
                <w:webHidden/>
              </w:rPr>
              <w:tab/>
            </w:r>
            <w:r w:rsidR="001C5163">
              <w:rPr>
                <w:webHidden/>
              </w:rPr>
              <w:fldChar w:fldCharType="begin"/>
            </w:r>
            <w:r w:rsidR="001C5163">
              <w:rPr>
                <w:webHidden/>
              </w:rPr>
              <w:instrText xml:space="preserve"> PAGEREF _Toc433449207 \h </w:instrText>
            </w:r>
            <w:r w:rsidR="001C5163">
              <w:rPr>
                <w:webHidden/>
              </w:rPr>
            </w:r>
            <w:r w:rsidR="001C5163">
              <w:rPr>
                <w:webHidden/>
              </w:rPr>
              <w:fldChar w:fldCharType="separate"/>
            </w:r>
            <w:r w:rsidR="001C5163">
              <w:rPr>
                <w:webHidden/>
              </w:rPr>
              <w:t>4-6</w:t>
            </w:r>
            <w:r w:rsidR="001C5163">
              <w:rPr>
                <w:webHidden/>
              </w:rPr>
              <w:fldChar w:fldCharType="end"/>
            </w:r>
          </w:hyperlink>
        </w:p>
        <w:p w14:paraId="57B2B228" w14:textId="77777777" w:rsidR="001C5163" w:rsidRDefault="00D70292">
          <w:pPr>
            <w:pStyle w:val="TOC2"/>
            <w:rPr>
              <w:rFonts w:asciiTheme="minorHAnsi" w:eastAsiaTheme="minorEastAsia" w:hAnsiTheme="minorHAnsi"/>
              <w:b w:val="0"/>
              <w:color w:val="auto"/>
              <w:sz w:val="22"/>
              <w:lang w:eastAsia="en-AU"/>
            </w:rPr>
          </w:pPr>
          <w:hyperlink w:anchor="_Toc433449208" w:history="1">
            <w:r w:rsidR="001C5163" w:rsidRPr="00144C7F">
              <w:rPr>
                <w:rStyle w:val="Hyperlink"/>
              </w:rPr>
              <w:t>4.2</w:t>
            </w:r>
            <w:r w:rsidR="001C5163">
              <w:rPr>
                <w:rFonts w:asciiTheme="minorHAnsi" w:eastAsiaTheme="minorEastAsia" w:hAnsiTheme="minorHAnsi"/>
                <w:b w:val="0"/>
                <w:color w:val="auto"/>
                <w:sz w:val="22"/>
                <w:lang w:eastAsia="en-AU"/>
              </w:rPr>
              <w:tab/>
            </w:r>
            <w:r w:rsidR="001C5163" w:rsidRPr="00144C7F">
              <w:rPr>
                <w:rStyle w:val="Hyperlink"/>
              </w:rPr>
              <w:t>SA Power Networks' revised proposal</w:t>
            </w:r>
            <w:r w:rsidR="001C5163">
              <w:rPr>
                <w:webHidden/>
              </w:rPr>
              <w:tab/>
            </w:r>
            <w:r w:rsidR="001C5163">
              <w:rPr>
                <w:webHidden/>
              </w:rPr>
              <w:fldChar w:fldCharType="begin"/>
            </w:r>
            <w:r w:rsidR="001C5163">
              <w:rPr>
                <w:webHidden/>
              </w:rPr>
              <w:instrText xml:space="preserve"> PAGEREF _Toc433449208 \h </w:instrText>
            </w:r>
            <w:r w:rsidR="001C5163">
              <w:rPr>
                <w:webHidden/>
              </w:rPr>
            </w:r>
            <w:r w:rsidR="001C5163">
              <w:rPr>
                <w:webHidden/>
              </w:rPr>
              <w:fldChar w:fldCharType="separate"/>
            </w:r>
            <w:r w:rsidR="001C5163">
              <w:rPr>
                <w:webHidden/>
              </w:rPr>
              <w:t>4-7</w:t>
            </w:r>
            <w:r w:rsidR="001C5163">
              <w:rPr>
                <w:webHidden/>
              </w:rPr>
              <w:fldChar w:fldCharType="end"/>
            </w:r>
          </w:hyperlink>
        </w:p>
        <w:p w14:paraId="7D69934D" w14:textId="77777777" w:rsidR="001C5163" w:rsidRDefault="00D70292">
          <w:pPr>
            <w:pStyle w:val="TOC2"/>
            <w:rPr>
              <w:rFonts w:asciiTheme="minorHAnsi" w:eastAsiaTheme="minorEastAsia" w:hAnsiTheme="minorHAnsi"/>
              <w:b w:val="0"/>
              <w:color w:val="auto"/>
              <w:sz w:val="22"/>
              <w:lang w:eastAsia="en-AU"/>
            </w:rPr>
          </w:pPr>
          <w:hyperlink w:anchor="_Toc433449209" w:history="1">
            <w:r w:rsidR="001C5163" w:rsidRPr="00144C7F">
              <w:rPr>
                <w:rStyle w:val="Hyperlink"/>
              </w:rPr>
              <w:t>4.3</w:t>
            </w:r>
            <w:r w:rsidR="001C5163">
              <w:rPr>
                <w:rFonts w:asciiTheme="minorHAnsi" w:eastAsiaTheme="minorEastAsia" w:hAnsiTheme="minorHAnsi"/>
                <w:b w:val="0"/>
                <w:color w:val="auto"/>
                <w:sz w:val="22"/>
                <w:lang w:eastAsia="en-AU"/>
              </w:rPr>
              <w:tab/>
            </w:r>
            <w:r w:rsidR="001C5163" w:rsidRPr="00144C7F">
              <w:rPr>
                <w:rStyle w:val="Hyperlink"/>
              </w:rPr>
              <w:t>AER’s assessment approach</w:t>
            </w:r>
            <w:r w:rsidR="001C5163">
              <w:rPr>
                <w:webHidden/>
              </w:rPr>
              <w:tab/>
            </w:r>
            <w:r w:rsidR="001C5163">
              <w:rPr>
                <w:webHidden/>
              </w:rPr>
              <w:fldChar w:fldCharType="begin"/>
            </w:r>
            <w:r w:rsidR="001C5163">
              <w:rPr>
                <w:webHidden/>
              </w:rPr>
              <w:instrText xml:space="preserve"> PAGEREF _Toc433449209 \h </w:instrText>
            </w:r>
            <w:r w:rsidR="001C5163">
              <w:rPr>
                <w:webHidden/>
              </w:rPr>
            </w:r>
            <w:r w:rsidR="001C5163">
              <w:rPr>
                <w:webHidden/>
              </w:rPr>
              <w:fldChar w:fldCharType="separate"/>
            </w:r>
            <w:r w:rsidR="001C5163">
              <w:rPr>
                <w:webHidden/>
              </w:rPr>
              <w:t>4-9</w:t>
            </w:r>
            <w:r w:rsidR="001C5163">
              <w:rPr>
                <w:webHidden/>
              </w:rPr>
              <w:fldChar w:fldCharType="end"/>
            </w:r>
          </w:hyperlink>
        </w:p>
        <w:p w14:paraId="5644EAF4" w14:textId="77777777" w:rsidR="001C5163" w:rsidRDefault="00D70292">
          <w:pPr>
            <w:pStyle w:val="TOC2"/>
            <w:rPr>
              <w:rFonts w:asciiTheme="minorHAnsi" w:eastAsiaTheme="minorEastAsia" w:hAnsiTheme="minorHAnsi"/>
              <w:b w:val="0"/>
              <w:color w:val="auto"/>
              <w:sz w:val="22"/>
              <w:lang w:eastAsia="en-AU"/>
            </w:rPr>
          </w:pPr>
          <w:hyperlink w:anchor="_Toc433449210" w:history="1">
            <w:r w:rsidR="001C5163" w:rsidRPr="00144C7F">
              <w:rPr>
                <w:rStyle w:val="Hyperlink"/>
              </w:rPr>
              <w:t>4.4</w:t>
            </w:r>
            <w:r w:rsidR="001C5163">
              <w:rPr>
                <w:rFonts w:asciiTheme="minorHAnsi" w:eastAsiaTheme="minorEastAsia" w:hAnsiTheme="minorHAnsi"/>
                <w:b w:val="0"/>
                <w:color w:val="auto"/>
                <w:sz w:val="22"/>
                <w:lang w:eastAsia="en-AU"/>
              </w:rPr>
              <w:tab/>
            </w:r>
            <w:r w:rsidR="001C5163" w:rsidRPr="00144C7F">
              <w:rPr>
                <w:rStyle w:val="Hyperlink"/>
              </w:rPr>
              <w:t>Reasons for final decision</w:t>
            </w:r>
            <w:r w:rsidR="001C5163">
              <w:rPr>
                <w:webHidden/>
              </w:rPr>
              <w:tab/>
            </w:r>
            <w:r w:rsidR="001C5163">
              <w:rPr>
                <w:webHidden/>
              </w:rPr>
              <w:fldChar w:fldCharType="begin"/>
            </w:r>
            <w:r w:rsidR="001C5163">
              <w:rPr>
                <w:webHidden/>
              </w:rPr>
              <w:instrText xml:space="preserve"> PAGEREF _Toc433449210 \h </w:instrText>
            </w:r>
            <w:r w:rsidR="001C5163">
              <w:rPr>
                <w:webHidden/>
              </w:rPr>
            </w:r>
            <w:r w:rsidR="001C5163">
              <w:rPr>
                <w:webHidden/>
              </w:rPr>
              <w:fldChar w:fldCharType="separate"/>
            </w:r>
            <w:r w:rsidR="001C5163">
              <w:rPr>
                <w:webHidden/>
              </w:rPr>
              <w:t>4-16</w:t>
            </w:r>
            <w:r w:rsidR="001C5163">
              <w:rPr>
                <w:webHidden/>
              </w:rPr>
              <w:fldChar w:fldCharType="end"/>
            </w:r>
          </w:hyperlink>
        </w:p>
        <w:p w14:paraId="2CF687C1" w14:textId="77777777" w:rsidR="001C5163" w:rsidRDefault="00D70292">
          <w:pPr>
            <w:pStyle w:val="TOC1"/>
            <w:rPr>
              <w:rFonts w:asciiTheme="minorHAnsi" w:eastAsiaTheme="minorEastAsia" w:hAnsiTheme="minorHAnsi"/>
              <w:b w:val="0"/>
              <w:color w:val="auto"/>
              <w:sz w:val="22"/>
              <w:lang w:val="en-AU" w:eastAsia="en-AU"/>
            </w:rPr>
          </w:pPr>
          <w:hyperlink w:anchor="_Toc433449211" w:history="1">
            <w:r w:rsidR="001C5163" w:rsidRPr="00144C7F">
              <w:rPr>
                <w:rStyle w:val="Hyperlink"/>
              </w:rPr>
              <w:t>A</w:t>
            </w:r>
            <w:r w:rsidR="001C5163">
              <w:rPr>
                <w:rFonts w:asciiTheme="minorHAnsi" w:eastAsiaTheme="minorEastAsia" w:hAnsiTheme="minorHAnsi"/>
                <w:b w:val="0"/>
                <w:color w:val="auto"/>
                <w:sz w:val="22"/>
                <w:lang w:val="en-AU" w:eastAsia="en-AU"/>
              </w:rPr>
              <w:tab/>
            </w:r>
            <w:r w:rsidR="001C5163" w:rsidRPr="00144C7F">
              <w:rPr>
                <w:rStyle w:val="Hyperlink"/>
              </w:rPr>
              <w:t>Value of imputation credits: Detailed analysis</w:t>
            </w:r>
            <w:r w:rsidR="001C5163">
              <w:rPr>
                <w:webHidden/>
              </w:rPr>
              <w:tab/>
            </w:r>
            <w:r w:rsidR="001C5163">
              <w:rPr>
                <w:webHidden/>
              </w:rPr>
              <w:fldChar w:fldCharType="begin"/>
            </w:r>
            <w:r w:rsidR="001C5163">
              <w:rPr>
                <w:webHidden/>
              </w:rPr>
              <w:instrText xml:space="preserve"> PAGEREF _Toc433449211 \h </w:instrText>
            </w:r>
            <w:r w:rsidR="001C5163">
              <w:rPr>
                <w:webHidden/>
              </w:rPr>
            </w:r>
            <w:r w:rsidR="001C5163">
              <w:rPr>
                <w:webHidden/>
              </w:rPr>
              <w:fldChar w:fldCharType="separate"/>
            </w:r>
            <w:r w:rsidR="001C5163">
              <w:rPr>
                <w:webHidden/>
              </w:rPr>
              <w:t>4-34</w:t>
            </w:r>
            <w:r w:rsidR="001C5163">
              <w:rPr>
                <w:webHidden/>
              </w:rPr>
              <w:fldChar w:fldCharType="end"/>
            </w:r>
          </w:hyperlink>
        </w:p>
        <w:p w14:paraId="08C2CD49" w14:textId="77777777" w:rsidR="001C5163" w:rsidRDefault="00D70292">
          <w:pPr>
            <w:pStyle w:val="TOC2"/>
            <w:rPr>
              <w:rFonts w:asciiTheme="minorHAnsi" w:eastAsiaTheme="minorEastAsia" w:hAnsiTheme="minorHAnsi"/>
              <w:b w:val="0"/>
              <w:color w:val="auto"/>
              <w:sz w:val="22"/>
              <w:lang w:eastAsia="en-AU"/>
            </w:rPr>
          </w:pPr>
          <w:hyperlink w:anchor="_Toc433449212" w:history="1">
            <w:r w:rsidR="001C5163" w:rsidRPr="00144C7F">
              <w:rPr>
                <w:rStyle w:val="Hyperlink"/>
              </w:rPr>
              <w:t>A.1</w:t>
            </w:r>
            <w:r w:rsidR="001C5163">
              <w:rPr>
                <w:rFonts w:asciiTheme="minorHAnsi" w:eastAsiaTheme="minorEastAsia" w:hAnsiTheme="minorHAnsi"/>
                <w:b w:val="0"/>
                <w:color w:val="auto"/>
                <w:sz w:val="22"/>
                <w:lang w:eastAsia="en-AU"/>
              </w:rPr>
              <w:tab/>
            </w:r>
            <w:r w:rsidR="001C5163" w:rsidRPr="00144C7F">
              <w:rPr>
                <w:rStyle w:val="Hyperlink"/>
              </w:rPr>
              <w:t>Expert views on the value of imputation credits</w:t>
            </w:r>
            <w:r w:rsidR="001C5163">
              <w:rPr>
                <w:webHidden/>
              </w:rPr>
              <w:tab/>
            </w:r>
            <w:r w:rsidR="001C5163">
              <w:rPr>
                <w:webHidden/>
              </w:rPr>
              <w:fldChar w:fldCharType="begin"/>
            </w:r>
            <w:r w:rsidR="001C5163">
              <w:rPr>
                <w:webHidden/>
              </w:rPr>
              <w:instrText xml:space="preserve"> PAGEREF _Toc433449212 \h </w:instrText>
            </w:r>
            <w:r w:rsidR="001C5163">
              <w:rPr>
                <w:webHidden/>
              </w:rPr>
            </w:r>
            <w:r w:rsidR="001C5163">
              <w:rPr>
                <w:webHidden/>
              </w:rPr>
              <w:fldChar w:fldCharType="separate"/>
            </w:r>
            <w:r w:rsidR="001C5163">
              <w:rPr>
                <w:webHidden/>
              </w:rPr>
              <w:t>4-34</w:t>
            </w:r>
            <w:r w:rsidR="001C5163">
              <w:rPr>
                <w:webHidden/>
              </w:rPr>
              <w:fldChar w:fldCharType="end"/>
            </w:r>
          </w:hyperlink>
        </w:p>
        <w:p w14:paraId="344A18A7" w14:textId="77777777" w:rsidR="001C5163" w:rsidRDefault="00D70292">
          <w:pPr>
            <w:pStyle w:val="TOC2"/>
            <w:rPr>
              <w:rFonts w:asciiTheme="minorHAnsi" w:eastAsiaTheme="minorEastAsia" w:hAnsiTheme="minorHAnsi"/>
              <w:b w:val="0"/>
              <w:color w:val="auto"/>
              <w:sz w:val="22"/>
              <w:lang w:eastAsia="en-AU"/>
            </w:rPr>
          </w:pPr>
          <w:hyperlink w:anchor="_Toc433449213" w:history="1">
            <w:r w:rsidR="001C5163" w:rsidRPr="00144C7F">
              <w:rPr>
                <w:rStyle w:val="Hyperlink"/>
              </w:rPr>
              <w:t>A.2</w:t>
            </w:r>
            <w:r w:rsidR="001C5163">
              <w:rPr>
                <w:rFonts w:asciiTheme="minorHAnsi" w:eastAsiaTheme="minorEastAsia" w:hAnsiTheme="minorHAnsi"/>
                <w:b w:val="0"/>
                <w:color w:val="auto"/>
                <w:sz w:val="22"/>
                <w:lang w:eastAsia="en-AU"/>
              </w:rPr>
              <w:tab/>
            </w:r>
            <w:r w:rsidR="001C5163" w:rsidRPr="00144C7F">
              <w:rPr>
                <w:rStyle w:val="Hyperlink"/>
              </w:rPr>
              <w:t>The value of imputation credits used by other regulators</w:t>
            </w:r>
            <w:r w:rsidR="001C5163">
              <w:rPr>
                <w:webHidden/>
              </w:rPr>
              <w:tab/>
            </w:r>
            <w:r w:rsidR="001C5163">
              <w:rPr>
                <w:webHidden/>
              </w:rPr>
              <w:fldChar w:fldCharType="begin"/>
            </w:r>
            <w:r w:rsidR="001C5163">
              <w:rPr>
                <w:webHidden/>
              </w:rPr>
              <w:instrText xml:space="preserve"> PAGEREF _Toc433449213 \h </w:instrText>
            </w:r>
            <w:r w:rsidR="001C5163">
              <w:rPr>
                <w:webHidden/>
              </w:rPr>
            </w:r>
            <w:r w:rsidR="001C5163">
              <w:rPr>
                <w:webHidden/>
              </w:rPr>
              <w:fldChar w:fldCharType="separate"/>
            </w:r>
            <w:r w:rsidR="001C5163">
              <w:rPr>
                <w:webHidden/>
              </w:rPr>
              <w:t>4-36</w:t>
            </w:r>
            <w:r w:rsidR="001C5163">
              <w:rPr>
                <w:webHidden/>
              </w:rPr>
              <w:fldChar w:fldCharType="end"/>
            </w:r>
          </w:hyperlink>
        </w:p>
        <w:p w14:paraId="19A07BD0" w14:textId="77777777" w:rsidR="001C5163" w:rsidRDefault="00D70292">
          <w:pPr>
            <w:pStyle w:val="TOC2"/>
            <w:rPr>
              <w:rFonts w:asciiTheme="minorHAnsi" w:eastAsiaTheme="minorEastAsia" w:hAnsiTheme="minorHAnsi"/>
              <w:b w:val="0"/>
              <w:color w:val="auto"/>
              <w:sz w:val="22"/>
              <w:lang w:eastAsia="en-AU"/>
            </w:rPr>
          </w:pPr>
          <w:hyperlink w:anchor="_Toc433449214" w:history="1">
            <w:r w:rsidR="001C5163" w:rsidRPr="00144C7F">
              <w:rPr>
                <w:rStyle w:val="Hyperlink"/>
              </w:rPr>
              <w:t>A.3</w:t>
            </w:r>
            <w:r w:rsidR="001C5163">
              <w:rPr>
                <w:rFonts w:asciiTheme="minorHAnsi" w:eastAsiaTheme="minorEastAsia" w:hAnsiTheme="minorHAnsi"/>
                <w:b w:val="0"/>
                <w:color w:val="auto"/>
                <w:sz w:val="22"/>
                <w:lang w:eastAsia="en-AU"/>
              </w:rPr>
              <w:tab/>
            </w:r>
            <w:r w:rsidR="001C5163" w:rsidRPr="00144C7F">
              <w:rPr>
                <w:rStyle w:val="Hyperlink"/>
              </w:rPr>
              <w:t>Previous Australian Competition Tribunal considerations</w:t>
            </w:r>
            <w:r w:rsidR="001C5163">
              <w:rPr>
                <w:webHidden/>
              </w:rPr>
              <w:tab/>
            </w:r>
            <w:r w:rsidR="001C5163">
              <w:rPr>
                <w:webHidden/>
              </w:rPr>
              <w:fldChar w:fldCharType="begin"/>
            </w:r>
            <w:r w:rsidR="001C5163">
              <w:rPr>
                <w:webHidden/>
              </w:rPr>
              <w:instrText xml:space="preserve"> PAGEREF _Toc433449214 \h </w:instrText>
            </w:r>
            <w:r w:rsidR="001C5163">
              <w:rPr>
                <w:webHidden/>
              </w:rPr>
            </w:r>
            <w:r w:rsidR="001C5163">
              <w:rPr>
                <w:webHidden/>
              </w:rPr>
              <w:fldChar w:fldCharType="separate"/>
            </w:r>
            <w:r w:rsidR="001C5163">
              <w:rPr>
                <w:webHidden/>
              </w:rPr>
              <w:t>4-38</w:t>
            </w:r>
            <w:r w:rsidR="001C5163">
              <w:rPr>
                <w:webHidden/>
              </w:rPr>
              <w:fldChar w:fldCharType="end"/>
            </w:r>
          </w:hyperlink>
        </w:p>
        <w:p w14:paraId="3CBA966E" w14:textId="77777777" w:rsidR="001C5163" w:rsidRDefault="00D70292">
          <w:pPr>
            <w:pStyle w:val="TOC2"/>
            <w:rPr>
              <w:rFonts w:asciiTheme="minorHAnsi" w:eastAsiaTheme="minorEastAsia" w:hAnsiTheme="minorHAnsi"/>
              <w:b w:val="0"/>
              <w:color w:val="auto"/>
              <w:sz w:val="22"/>
              <w:lang w:eastAsia="en-AU"/>
            </w:rPr>
          </w:pPr>
          <w:hyperlink w:anchor="_Toc433449215" w:history="1">
            <w:r w:rsidR="001C5163" w:rsidRPr="00144C7F">
              <w:rPr>
                <w:rStyle w:val="Hyperlink"/>
              </w:rPr>
              <w:t>A.4</w:t>
            </w:r>
            <w:r w:rsidR="001C5163">
              <w:rPr>
                <w:rFonts w:asciiTheme="minorHAnsi" w:eastAsiaTheme="minorEastAsia" w:hAnsiTheme="minorHAnsi"/>
                <w:b w:val="0"/>
                <w:color w:val="auto"/>
                <w:sz w:val="22"/>
                <w:lang w:eastAsia="en-AU"/>
              </w:rPr>
              <w:tab/>
            </w:r>
            <w:r w:rsidR="001C5163" w:rsidRPr="00144C7F">
              <w:rPr>
                <w:rStyle w:val="Hyperlink"/>
              </w:rPr>
              <w:t>Key concerns of the service providers</w:t>
            </w:r>
            <w:r w:rsidR="001C5163">
              <w:rPr>
                <w:webHidden/>
              </w:rPr>
              <w:tab/>
            </w:r>
            <w:r w:rsidR="001C5163">
              <w:rPr>
                <w:webHidden/>
              </w:rPr>
              <w:fldChar w:fldCharType="begin"/>
            </w:r>
            <w:r w:rsidR="001C5163">
              <w:rPr>
                <w:webHidden/>
              </w:rPr>
              <w:instrText xml:space="preserve"> PAGEREF _Toc433449215 \h </w:instrText>
            </w:r>
            <w:r w:rsidR="001C5163">
              <w:rPr>
                <w:webHidden/>
              </w:rPr>
            </w:r>
            <w:r w:rsidR="001C5163">
              <w:rPr>
                <w:webHidden/>
              </w:rPr>
              <w:fldChar w:fldCharType="separate"/>
            </w:r>
            <w:r w:rsidR="001C5163">
              <w:rPr>
                <w:webHidden/>
              </w:rPr>
              <w:t>4-44</w:t>
            </w:r>
            <w:r w:rsidR="001C5163">
              <w:rPr>
                <w:webHidden/>
              </w:rPr>
              <w:fldChar w:fldCharType="end"/>
            </w:r>
          </w:hyperlink>
        </w:p>
        <w:p w14:paraId="5D29D8D2" w14:textId="77777777" w:rsidR="001C5163" w:rsidRDefault="00D70292">
          <w:pPr>
            <w:pStyle w:val="TOC2"/>
            <w:rPr>
              <w:rFonts w:asciiTheme="minorHAnsi" w:eastAsiaTheme="minorEastAsia" w:hAnsiTheme="minorHAnsi"/>
              <w:b w:val="0"/>
              <w:color w:val="auto"/>
              <w:sz w:val="22"/>
              <w:lang w:eastAsia="en-AU"/>
            </w:rPr>
          </w:pPr>
          <w:hyperlink w:anchor="_Toc433449216" w:history="1">
            <w:r w:rsidR="001C5163" w:rsidRPr="00144C7F">
              <w:rPr>
                <w:rStyle w:val="Hyperlink"/>
              </w:rPr>
              <w:t>A.5</w:t>
            </w:r>
            <w:r w:rsidR="001C5163">
              <w:rPr>
                <w:rFonts w:asciiTheme="minorHAnsi" w:eastAsiaTheme="minorEastAsia" w:hAnsiTheme="minorHAnsi"/>
                <w:b w:val="0"/>
                <w:color w:val="auto"/>
                <w:sz w:val="22"/>
                <w:lang w:eastAsia="en-AU"/>
              </w:rPr>
              <w:tab/>
            </w:r>
            <w:r w:rsidR="001C5163" w:rsidRPr="00144C7F">
              <w:rPr>
                <w:rStyle w:val="Hyperlink"/>
              </w:rPr>
              <w:t>The role of the value of imputation credits in the regulatory framework</w:t>
            </w:r>
            <w:r w:rsidR="001C5163">
              <w:rPr>
                <w:webHidden/>
              </w:rPr>
              <w:tab/>
            </w:r>
            <w:r w:rsidR="001C5163">
              <w:rPr>
                <w:webHidden/>
              </w:rPr>
              <w:fldChar w:fldCharType="begin"/>
            </w:r>
            <w:r w:rsidR="001C5163">
              <w:rPr>
                <w:webHidden/>
              </w:rPr>
              <w:instrText xml:space="preserve"> PAGEREF _Toc433449216 \h </w:instrText>
            </w:r>
            <w:r w:rsidR="001C5163">
              <w:rPr>
                <w:webHidden/>
              </w:rPr>
            </w:r>
            <w:r w:rsidR="001C5163">
              <w:rPr>
                <w:webHidden/>
              </w:rPr>
              <w:fldChar w:fldCharType="separate"/>
            </w:r>
            <w:r w:rsidR="001C5163">
              <w:rPr>
                <w:webHidden/>
              </w:rPr>
              <w:t>4-47</w:t>
            </w:r>
            <w:r w:rsidR="001C5163">
              <w:rPr>
                <w:webHidden/>
              </w:rPr>
              <w:fldChar w:fldCharType="end"/>
            </w:r>
          </w:hyperlink>
        </w:p>
        <w:p w14:paraId="296FC87B" w14:textId="77777777" w:rsidR="001C5163" w:rsidRDefault="00D70292">
          <w:pPr>
            <w:pStyle w:val="TOC2"/>
            <w:rPr>
              <w:rFonts w:asciiTheme="minorHAnsi" w:eastAsiaTheme="minorEastAsia" w:hAnsiTheme="minorHAnsi"/>
              <w:b w:val="0"/>
              <w:color w:val="auto"/>
              <w:sz w:val="22"/>
              <w:lang w:eastAsia="en-AU"/>
            </w:rPr>
          </w:pPr>
          <w:hyperlink w:anchor="_Toc433449217" w:history="1">
            <w:r w:rsidR="001C5163" w:rsidRPr="00144C7F">
              <w:rPr>
                <w:rStyle w:val="Hyperlink"/>
              </w:rPr>
              <w:t>A.6</w:t>
            </w:r>
            <w:r w:rsidR="001C5163">
              <w:rPr>
                <w:rFonts w:asciiTheme="minorHAnsi" w:eastAsiaTheme="minorEastAsia" w:hAnsiTheme="minorHAnsi"/>
                <w:b w:val="0"/>
                <w:color w:val="auto"/>
                <w:sz w:val="22"/>
                <w:lang w:eastAsia="en-AU"/>
              </w:rPr>
              <w:tab/>
            </w:r>
            <w:r w:rsidR="001C5163" w:rsidRPr="00144C7F">
              <w:rPr>
                <w:rStyle w:val="Hyperlink"/>
              </w:rPr>
              <w:t>The conceptual framework for the value of imputation credits</w:t>
            </w:r>
            <w:r w:rsidR="001C5163">
              <w:rPr>
                <w:webHidden/>
              </w:rPr>
              <w:tab/>
            </w:r>
            <w:r w:rsidR="001C5163">
              <w:rPr>
                <w:webHidden/>
              </w:rPr>
              <w:fldChar w:fldCharType="begin"/>
            </w:r>
            <w:r w:rsidR="001C5163">
              <w:rPr>
                <w:webHidden/>
              </w:rPr>
              <w:instrText xml:space="preserve"> PAGEREF _Toc433449217 \h </w:instrText>
            </w:r>
            <w:r w:rsidR="001C5163">
              <w:rPr>
                <w:webHidden/>
              </w:rPr>
            </w:r>
            <w:r w:rsidR="001C5163">
              <w:rPr>
                <w:webHidden/>
              </w:rPr>
              <w:fldChar w:fldCharType="separate"/>
            </w:r>
            <w:r w:rsidR="001C5163">
              <w:rPr>
                <w:webHidden/>
              </w:rPr>
              <w:t>4-50</w:t>
            </w:r>
            <w:r w:rsidR="001C5163">
              <w:rPr>
                <w:webHidden/>
              </w:rPr>
              <w:fldChar w:fldCharType="end"/>
            </w:r>
          </w:hyperlink>
        </w:p>
        <w:p w14:paraId="406AE881" w14:textId="77777777" w:rsidR="001C5163" w:rsidRDefault="00D70292">
          <w:pPr>
            <w:pStyle w:val="TOC2"/>
            <w:rPr>
              <w:rFonts w:asciiTheme="minorHAnsi" w:eastAsiaTheme="minorEastAsia" w:hAnsiTheme="minorHAnsi"/>
              <w:b w:val="0"/>
              <w:color w:val="auto"/>
              <w:sz w:val="22"/>
              <w:lang w:eastAsia="en-AU"/>
            </w:rPr>
          </w:pPr>
          <w:hyperlink w:anchor="_Toc433449218" w:history="1">
            <w:r w:rsidR="001C5163" w:rsidRPr="00144C7F">
              <w:rPr>
                <w:rStyle w:val="Hyperlink"/>
              </w:rPr>
              <w:t>A.7</w:t>
            </w:r>
            <w:r w:rsidR="001C5163">
              <w:rPr>
                <w:rFonts w:asciiTheme="minorHAnsi" w:eastAsiaTheme="minorEastAsia" w:hAnsiTheme="minorHAnsi"/>
                <w:b w:val="0"/>
                <w:color w:val="auto"/>
                <w:sz w:val="22"/>
                <w:lang w:eastAsia="en-AU"/>
              </w:rPr>
              <w:tab/>
            </w:r>
            <w:r w:rsidR="001C5163" w:rsidRPr="00144C7F">
              <w:rPr>
                <w:rStyle w:val="Hyperlink"/>
              </w:rPr>
              <w:t>Gray's comments on the conceptual framework</w:t>
            </w:r>
            <w:r w:rsidR="001C5163">
              <w:rPr>
                <w:webHidden/>
              </w:rPr>
              <w:tab/>
            </w:r>
            <w:r w:rsidR="001C5163">
              <w:rPr>
                <w:webHidden/>
              </w:rPr>
              <w:fldChar w:fldCharType="begin"/>
            </w:r>
            <w:r w:rsidR="001C5163">
              <w:rPr>
                <w:webHidden/>
              </w:rPr>
              <w:instrText xml:space="preserve"> PAGEREF _Toc433449218 \h </w:instrText>
            </w:r>
            <w:r w:rsidR="001C5163">
              <w:rPr>
                <w:webHidden/>
              </w:rPr>
            </w:r>
            <w:r w:rsidR="001C5163">
              <w:rPr>
                <w:webHidden/>
              </w:rPr>
              <w:fldChar w:fldCharType="separate"/>
            </w:r>
            <w:r w:rsidR="001C5163">
              <w:rPr>
                <w:webHidden/>
              </w:rPr>
              <w:t>4-53</w:t>
            </w:r>
            <w:r w:rsidR="001C5163">
              <w:rPr>
                <w:webHidden/>
              </w:rPr>
              <w:fldChar w:fldCharType="end"/>
            </w:r>
          </w:hyperlink>
        </w:p>
        <w:p w14:paraId="60668430" w14:textId="77777777" w:rsidR="001C5163" w:rsidRDefault="00D70292">
          <w:pPr>
            <w:pStyle w:val="TOC2"/>
            <w:rPr>
              <w:rFonts w:asciiTheme="minorHAnsi" w:eastAsiaTheme="minorEastAsia" w:hAnsiTheme="minorHAnsi"/>
              <w:b w:val="0"/>
              <w:color w:val="auto"/>
              <w:sz w:val="22"/>
              <w:lang w:eastAsia="en-AU"/>
            </w:rPr>
          </w:pPr>
          <w:hyperlink w:anchor="_Toc433449219" w:history="1">
            <w:r w:rsidR="001C5163" w:rsidRPr="00144C7F">
              <w:rPr>
                <w:rStyle w:val="Hyperlink"/>
              </w:rPr>
              <w:t>A.8</w:t>
            </w:r>
            <w:r w:rsidR="001C5163">
              <w:rPr>
                <w:rFonts w:asciiTheme="minorHAnsi" w:eastAsiaTheme="minorEastAsia" w:hAnsiTheme="minorHAnsi"/>
                <w:b w:val="0"/>
                <w:color w:val="auto"/>
                <w:sz w:val="22"/>
                <w:lang w:eastAsia="en-AU"/>
              </w:rPr>
              <w:tab/>
            </w:r>
            <w:r w:rsidR="001C5163" w:rsidRPr="00144C7F">
              <w:rPr>
                <w:rStyle w:val="Hyperlink"/>
              </w:rPr>
              <w:t>Further issues relating to the utilisation rate</w:t>
            </w:r>
            <w:r w:rsidR="001C5163">
              <w:rPr>
                <w:webHidden/>
              </w:rPr>
              <w:tab/>
            </w:r>
            <w:r w:rsidR="001C5163">
              <w:rPr>
                <w:webHidden/>
              </w:rPr>
              <w:fldChar w:fldCharType="begin"/>
            </w:r>
            <w:r w:rsidR="001C5163">
              <w:rPr>
                <w:webHidden/>
              </w:rPr>
              <w:instrText xml:space="preserve"> PAGEREF _Toc433449219 \h </w:instrText>
            </w:r>
            <w:r w:rsidR="001C5163">
              <w:rPr>
                <w:webHidden/>
              </w:rPr>
            </w:r>
            <w:r w:rsidR="001C5163">
              <w:rPr>
                <w:webHidden/>
              </w:rPr>
              <w:fldChar w:fldCharType="separate"/>
            </w:r>
            <w:r w:rsidR="001C5163">
              <w:rPr>
                <w:webHidden/>
              </w:rPr>
              <w:t>4-64</w:t>
            </w:r>
            <w:r w:rsidR="001C5163">
              <w:rPr>
                <w:webHidden/>
              </w:rPr>
              <w:fldChar w:fldCharType="end"/>
            </w:r>
          </w:hyperlink>
        </w:p>
        <w:p w14:paraId="57EA11C8" w14:textId="77777777" w:rsidR="001C5163" w:rsidRDefault="00D70292">
          <w:pPr>
            <w:pStyle w:val="TOC2"/>
            <w:rPr>
              <w:rFonts w:asciiTheme="minorHAnsi" w:eastAsiaTheme="minorEastAsia" w:hAnsiTheme="minorHAnsi"/>
              <w:b w:val="0"/>
              <w:color w:val="auto"/>
              <w:sz w:val="22"/>
              <w:lang w:eastAsia="en-AU"/>
            </w:rPr>
          </w:pPr>
          <w:hyperlink w:anchor="_Toc433449220" w:history="1">
            <w:r w:rsidR="001C5163" w:rsidRPr="00144C7F">
              <w:rPr>
                <w:rStyle w:val="Hyperlink"/>
              </w:rPr>
              <w:t>A.9</w:t>
            </w:r>
            <w:r w:rsidR="001C5163">
              <w:rPr>
                <w:rFonts w:asciiTheme="minorHAnsi" w:eastAsiaTheme="minorEastAsia" w:hAnsiTheme="minorHAnsi"/>
                <w:b w:val="0"/>
                <w:color w:val="auto"/>
                <w:sz w:val="22"/>
                <w:lang w:eastAsia="en-AU"/>
              </w:rPr>
              <w:tab/>
            </w:r>
            <w:r w:rsidR="001C5163" w:rsidRPr="00144C7F">
              <w:rPr>
                <w:rStyle w:val="Hyperlink"/>
              </w:rPr>
              <w:t>Estimation approach considerations</w:t>
            </w:r>
            <w:r w:rsidR="001C5163">
              <w:rPr>
                <w:webHidden/>
              </w:rPr>
              <w:tab/>
            </w:r>
            <w:r w:rsidR="001C5163">
              <w:rPr>
                <w:webHidden/>
              </w:rPr>
              <w:fldChar w:fldCharType="begin"/>
            </w:r>
            <w:r w:rsidR="001C5163">
              <w:rPr>
                <w:webHidden/>
              </w:rPr>
              <w:instrText xml:space="preserve"> PAGEREF _Toc433449220 \h </w:instrText>
            </w:r>
            <w:r w:rsidR="001C5163">
              <w:rPr>
                <w:webHidden/>
              </w:rPr>
            </w:r>
            <w:r w:rsidR="001C5163">
              <w:rPr>
                <w:webHidden/>
              </w:rPr>
              <w:fldChar w:fldCharType="separate"/>
            </w:r>
            <w:r w:rsidR="001C5163">
              <w:rPr>
                <w:webHidden/>
              </w:rPr>
              <w:t>4-81</w:t>
            </w:r>
            <w:r w:rsidR="001C5163">
              <w:rPr>
                <w:webHidden/>
              </w:rPr>
              <w:fldChar w:fldCharType="end"/>
            </w:r>
          </w:hyperlink>
        </w:p>
        <w:p w14:paraId="49B91885" w14:textId="77777777" w:rsidR="001C5163" w:rsidRDefault="00D70292">
          <w:pPr>
            <w:pStyle w:val="TOC2"/>
            <w:tabs>
              <w:tab w:val="left" w:pos="1276"/>
            </w:tabs>
            <w:rPr>
              <w:rFonts w:asciiTheme="minorHAnsi" w:eastAsiaTheme="minorEastAsia" w:hAnsiTheme="minorHAnsi"/>
              <w:b w:val="0"/>
              <w:color w:val="auto"/>
              <w:sz w:val="22"/>
              <w:lang w:eastAsia="en-AU"/>
            </w:rPr>
          </w:pPr>
          <w:hyperlink w:anchor="_Toc433449221" w:history="1">
            <w:r w:rsidR="001C5163" w:rsidRPr="00144C7F">
              <w:rPr>
                <w:rStyle w:val="Hyperlink"/>
              </w:rPr>
              <w:t>A.10</w:t>
            </w:r>
            <w:r w:rsidR="001C5163">
              <w:rPr>
                <w:rFonts w:asciiTheme="minorHAnsi" w:eastAsiaTheme="minorEastAsia" w:hAnsiTheme="minorHAnsi"/>
                <w:b w:val="0"/>
                <w:color w:val="auto"/>
                <w:sz w:val="22"/>
                <w:lang w:eastAsia="en-AU"/>
              </w:rPr>
              <w:tab/>
            </w:r>
            <w:r w:rsidR="001C5163" w:rsidRPr="00144C7F">
              <w:rPr>
                <w:rStyle w:val="Hyperlink"/>
              </w:rPr>
              <w:t>Estimating the distribution rate</w:t>
            </w:r>
            <w:r w:rsidR="001C5163">
              <w:rPr>
                <w:webHidden/>
              </w:rPr>
              <w:tab/>
            </w:r>
            <w:r w:rsidR="001C5163">
              <w:rPr>
                <w:webHidden/>
              </w:rPr>
              <w:fldChar w:fldCharType="begin"/>
            </w:r>
            <w:r w:rsidR="001C5163">
              <w:rPr>
                <w:webHidden/>
              </w:rPr>
              <w:instrText xml:space="preserve"> PAGEREF _Toc433449221 \h </w:instrText>
            </w:r>
            <w:r w:rsidR="001C5163">
              <w:rPr>
                <w:webHidden/>
              </w:rPr>
            </w:r>
            <w:r w:rsidR="001C5163">
              <w:rPr>
                <w:webHidden/>
              </w:rPr>
              <w:fldChar w:fldCharType="separate"/>
            </w:r>
            <w:r w:rsidR="001C5163">
              <w:rPr>
                <w:webHidden/>
              </w:rPr>
              <w:t>4-83</w:t>
            </w:r>
            <w:r w:rsidR="001C5163">
              <w:rPr>
                <w:webHidden/>
              </w:rPr>
              <w:fldChar w:fldCharType="end"/>
            </w:r>
          </w:hyperlink>
        </w:p>
        <w:p w14:paraId="5CEE919D" w14:textId="77777777" w:rsidR="001C5163" w:rsidRDefault="00D70292">
          <w:pPr>
            <w:pStyle w:val="TOC2"/>
            <w:tabs>
              <w:tab w:val="left" w:pos="1276"/>
            </w:tabs>
            <w:rPr>
              <w:rFonts w:asciiTheme="minorHAnsi" w:eastAsiaTheme="minorEastAsia" w:hAnsiTheme="minorHAnsi"/>
              <w:b w:val="0"/>
              <w:color w:val="auto"/>
              <w:sz w:val="22"/>
              <w:lang w:eastAsia="en-AU"/>
            </w:rPr>
          </w:pPr>
          <w:hyperlink w:anchor="_Toc433449222" w:history="1">
            <w:r w:rsidR="001C5163" w:rsidRPr="00144C7F">
              <w:rPr>
                <w:rStyle w:val="Hyperlink"/>
              </w:rPr>
              <w:t>A.11</w:t>
            </w:r>
            <w:r w:rsidR="001C5163">
              <w:rPr>
                <w:rFonts w:asciiTheme="minorHAnsi" w:eastAsiaTheme="minorEastAsia" w:hAnsiTheme="minorHAnsi"/>
                <w:b w:val="0"/>
                <w:color w:val="auto"/>
                <w:sz w:val="22"/>
                <w:lang w:eastAsia="en-AU"/>
              </w:rPr>
              <w:tab/>
            </w:r>
            <w:r w:rsidR="001C5163" w:rsidRPr="00144C7F">
              <w:rPr>
                <w:rStyle w:val="Hyperlink"/>
              </w:rPr>
              <w:t>Application of rate of return criteria to evidence on the utilisation rate</w:t>
            </w:r>
            <w:r w:rsidR="001C5163">
              <w:rPr>
                <w:webHidden/>
              </w:rPr>
              <w:tab/>
            </w:r>
            <w:r w:rsidR="001C5163">
              <w:rPr>
                <w:webHidden/>
              </w:rPr>
              <w:fldChar w:fldCharType="begin"/>
            </w:r>
            <w:r w:rsidR="001C5163">
              <w:rPr>
                <w:webHidden/>
              </w:rPr>
              <w:instrText xml:space="preserve"> PAGEREF _Toc433449222 \h </w:instrText>
            </w:r>
            <w:r w:rsidR="001C5163">
              <w:rPr>
                <w:webHidden/>
              </w:rPr>
            </w:r>
            <w:r w:rsidR="001C5163">
              <w:rPr>
                <w:webHidden/>
              </w:rPr>
              <w:fldChar w:fldCharType="separate"/>
            </w:r>
            <w:r w:rsidR="001C5163">
              <w:rPr>
                <w:webHidden/>
              </w:rPr>
              <w:t>4-90</w:t>
            </w:r>
            <w:r w:rsidR="001C5163">
              <w:rPr>
                <w:webHidden/>
              </w:rPr>
              <w:fldChar w:fldCharType="end"/>
            </w:r>
          </w:hyperlink>
        </w:p>
        <w:p w14:paraId="47551212" w14:textId="77777777" w:rsidR="001C5163" w:rsidRDefault="00D70292">
          <w:pPr>
            <w:pStyle w:val="TOC2"/>
            <w:tabs>
              <w:tab w:val="left" w:pos="1276"/>
            </w:tabs>
            <w:rPr>
              <w:rFonts w:asciiTheme="minorHAnsi" w:eastAsiaTheme="minorEastAsia" w:hAnsiTheme="minorHAnsi"/>
              <w:b w:val="0"/>
              <w:color w:val="auto"/>
              <w:sz w:val="22"/>
              <w:lang w:eastAsia="en-AU"/>
            </w:rPr>
          </w:pPr>
          <w:hyperlink w:anchor="_Toc433449223" w:history="1">
            <w:r w:rsidR="001C5163" w:rsidRPr="00144C7F">
              <w:rPr>
                <w:rStyle w:val="Hyperlink"/>
              </w:rPr>
              <w:t>A.12</w:t>
            </w:r>
            <w:r w:rsidR="001C5163">
              <w:rPr>
                <w:rFonts w:asciiTheme="minorHAnsi" w:eastAsiaTheme="minorEastAsia" w:hAnsiTheme="minorHAnsi"/>
                <w:b w:val="0"/>
                <w:color w:val="auto"/>
                <w:sz w:val="22"/>
                <w:lang w:eastAsia="en-AU"/>
              </w:rPr>
              <w:tab/>
            </w:r>
            <w:r w:rsidR="001C5163" w:rsidRPr="00144C7F">
              <w:rPr>
                <w:rStyle w:val="Hyperlink"/>
              </w:rPr>
              <w:t>The equity ownership approach</w:t>
            </w:r>
            <w:r w:rsidR="001C5163">
              <w:rPr>
                <w:webHidden/>
              </w:rPr>
              <w:tab/>
            </w:r>
            <w:r w:rsidR="001C5163">
              <w:rPr>
                <w:webHidden/>
              </w:rPr>
              <w:fldChar w:fldCharType="begin"/>
            </w:r>
            <w:r w:rsidR="001C5163">
              <w:rPr>
                <w:webHidden/>
              </w:rPr>
              <w:instrText xml:space="preserve"> PAGEREF _Toc433449223 \h </w:instrText>
            </w:r>
            <w:r w:rsidR="001C5163">
              <w:rPr>
                <w:webHidden/>
              </w:rPr>
            </w:r>
            <w:r w:rsidR="001C5163">
              <w:rPr>
                <w:webHidden/>
              </w:rPr>
              <w:fldChar w:fldCharType="separate"/>
            </w:r>
            <w:r w:rsidR="001C5163">
              <w:rPr>
                <w:webHidden/>
              </w:rPr>
              <w:t>4-92</w:t>
            </w:r>
            <w:r w:rsidR="001C5163">
              <w:rPr>
                <w:webHidden/>
              </w:rPr>
              <w:fldChar w:fldCharType="end"/>
            </w:r>
          </w:hyperlink>
        </w:p>
        <w:p w14:paraId="25A314CE" w14:textId="77777777" w:rsidR="001C5163" w:rsidRDefault="00D70292">
          <w:pPr>
            <w:pStyle w:val="TOC2"/>
            <w:tabs>
              <w:tab w:val="left" w:pos="1276"/>
            </w:tabs>
            <w:rPr>
              <w:rFonts w:asciiTheme="minorHAnsi" w:eastAsiaTheme="minorEastAsia" w:hAnsiTheme="minorHAnsi"/>
              <w:b w:val="0"/>
              <w:color w:val="auto"/>
              <w:sz w:val="22"/>
              <w:lang w:eastAsia="en-AU"/>
            </w:rPr>
          </w:pPr>
          <w:hyperlink w:anchor="_Toc433449224" w:history="1">
            <w:r w:rsidR="001C5163" w:rsidRPr="00144C7F">
              <w:rPr>
                <w:rStyle w:val="Hyperlink"/>
              </w:rPr>
              <w:t>A.13</w:t>
            </w:r>
            <w:r w:rsidR="001C5163">
              <w:rPr>
                <w:rFonts w:asciiTheme="minorHAnsi" w:eastAsiaTheme="minorEastAsia" w:hAnsiTheme="minorHAnsi"/>
                <w:b w:val="0"/>
                <w:color w:val="auto"/>
                <w:sz w:val="22"/>
                <w:lang w:eastAsia="en-AU"/>
              </w:rPr>
              <w:tab/>
            </w:r>
            <w:r w:rsidR="001C5163" w:rsidRPr="00144C7F">
              <w:rPr>
                <w:rStyle w:val="Hyperlink"/>
              </w:rPr>
              <w:t>Tax statistics</w:t>
            </w:r>
            <w:r w:rsidR="001C5163">
              <w:rPr>
                <w:webHidden/>
              </w:rPr>
              <w:tab/>
            </w:r>
            <w:r w:rsidR="001C5163">
              <w:rPr>
                <w:webHidden/>
              </w:rPr>
              <w:fldChar w:fldCharType="begin"/>
            </w:r>
            <w:r w:rsidR="001C5163">
              <w:rPr>
                <w:webHidden/>
              </w:rPr>
              <w:instrText xml:space="preserve"> PAGEREF _Toc433449224 \h </w:instrText>
            </w:r>
            <w:r w:rsidR="001C5163">
              <w:rPr>
                <w:webHidden/>
              </w:rPr>
            </w:r>
            <w:r w:rsidR="001C5163">
              <w:rPr>
                <w:webHidden/>
              </w:rPr>
              <w:fldChar w:fldCharType="separate"/>
            </w:r>
            <w:r w:rsidR="001C5163">
              <w:rPr>
                <w:webHidden/>
              </w:rPr>
              <w:t>4-96</w:t>
            </w:r>
            <w:r w:rsidR="001C5163">
              <w:rPr>
                <w:webHidden/>
              </w:rPr>
              <w:fldChar w:fldCharType="end"/>
            </w:r>
          </w:hyperlink>
        </w:p>
        <w:p w14:paraId="7C61FB9F" w14:textId="77777777" w:rsidR="001C5163" w:rsidRDefault="00D70292">
          <w:pPr>
            <w:pStyle w:val="TOC2"/>
            <w:tabs>
              <w:tab w:val="left" w:pos="1276"/>
            </w:tabs>
            <w:rPr>
              <w:rFonts w:asciiTheme="minorHAnsi" w:eastAsiaTheme="minorEastAsia" w:hAnsiTheme="minorHAnsi"/>
              <w:b w:val="0"/>
              <w:color w:val="auto"/>
              <w:sz w:val="22"/>
              <w:lang w:eastAsia="en-AU"/>
            </w:rPr>
          </w:pPr>
          <w:hyperlink w:anchor="_Toc433449225" w:history="1">
            <w:r w:rsidR="001C5163" w:rsidRPr="00144C7F">
              <w:rPr>
                <w:rStyle w:val="Hyperlink"/>
              </w:rPr>
              <w:t>A.14</w:t>
            </w:r>
            <w:r w:rsidR="001C5163">
              <w:rPr>
                <w:rFonts w:asciiTheme="minorHAnsi" w:eastAsiaTheme="minorEastAsia" w:hAnsiTheme="minorHAnsi"/>
                <w:b w:val="0"/>
                <w:color w:val="auto"/>
                <w:sz w:val="22"/>
                <w:lang w:eastAsia="en-AU"/>
              </w:rPr>
              <w:tab/>
            </w:r>
            <w:r w:rsidR="001C5163" w:rsidRPr="00144C7F">
              <w:rPr>
                <w:rStyle w:val="Hyperlink"/>
              </w:rPr>
              <w:t>Implied market value studies</w:t>
            </w:r>
            <w:r w:rsidR="001C5163">
              <w:rPr>
                <w:webHidden/>
              </w:rPr>
              <w:tab/>
            </w:r>
            <w:r w:rsidR="001C5163">
              <w:rPr>
                <w:webHidden/>
              </w:rPr>
              <w:fldChar w:fldCharType="begin"/>
            </w:r>
            <w:r w:rsidR="001C5163">
              <w:rPr>
                <w:webHidden/>
              </w:rPr>
              <w:instrText xml:space="preserve"> PAGEREF _Toc433449225 \h </w:instrText>
            </w:r>
            <w:r w:rsidR="001C5163">
              <w:rPr>
                <w:webHidden/>
              </w:rPr>
            </w:r>
            <w:r w:rsidR="001C5163">
              <w:rPr>
                <w:webHidden/>
              </w:rPr>
              <w:fldChar w:fldCharType="separate"/>
            </w:r>
            <w:r w:rsidR="001C5163">
              <w:rPr>
                <w:webHidden/>
              </w:rPr>
              <w:t>4-98</w:t>
            </w:r>
            <w:r w:rsidR="001C5163">
              <w:rPr>
                <w:webHidden/>
              </w:rPr>
              <w:fldChar w:fldCharType="end"/>
            </w:r>
          </w:hyperlink>
        </w:p>
        <w:p w14:paraId="55FF0C54" w14:textId="77777777" w:rsidR="001C5163" w:rsidRDefault="00D70292">
          <w:pPr>
            <w:pStyle w:val="TOC2"/>
            <w:tabs>
              <w:tab w:val="left" w:pos="1276"/>
            </w:tabs>
            <w:rPr>
              <w:rFonts w:asciiTheme="minorHAnsi" w:eastAsiaTheme="minorEastAsia" w:hAnsiTheme="minorHAnsi"/>
              <w:b w:val="0"/>
              <w:color w:val="auto"/>
              <w:sz w:val="22"/>
              <w:lang w:eastAsia="en-AU"/>
            </w:rPr>
          </w:pPr>
          <w:hyperlink w:anchor="_Toc433449226" w:history="1">
            <w:r w:rsidR="001C5163" w:rsidRPr="00144C7F">
              <w:rPr>
                <w:rStyle w:val="Hyperlink"/>
              </w:rPr>
              <w:t>A.15</w:t>
            </w:r>
            <w:r w:rsidR="001C5163">
              <w:rPr>
                <w:rFonts w:asciiTheme="minorHAnsi" w:eastAsiaTheme="minorEastAsia" w:hAnsiTheme="minorHAnsi"/>
                <w:b w:val="0"/>
                <w:color w:val="auto"/>
                <w:sz w:val="22"/>
                <w:lang w:eastAsia="en-AU"/>
              </w:rPr>
              <w:tab/>
            </w:r>
            <w:r w:rsidR="001C5163" w:rsidRPr="00144C7F">
              <w:rPr>
                <w:rStyle w:val="Hyperlink"/>
              </w:rPr>
              <w:t>Revised consideration of the conceptual goalposts approach</w:t>
            </w:r>
            <w:r w:rsidR="001C5163">
              <w:rPr>
                <w:webHidden/>
              </w:rPr>
              <w:tab/>
            </w:r>
            <w:r w:rsidR="001C5163">
              <w:rPr>
                <w:webHidden/>
              </w:rPr>
              <w:fldChar w:fldCharType="begin"/>
            </w:r>
            <w:r w:rsidR="001C5163">
              <w:rPr>
                <w:webHidden/>
              </w:rPr>
              <w:instrText xml:space="preserve"> PAGEREF _Toc433449226 \h </w:instrText>
            </w:r>
            <w:r w:rsidR="001C5163">
              <w:rPr>
                <w:webHidden/>
              </w:rPr>
            </w:r>
            <w:r w:rsidR="001C5163">
              <w:rPr>
                <w:webHidden/>
              </w:rPr>
              <w:fldChar w:fldCharType="separate"/>
            </w:r>
            <w:r w:rsidR="001C5163">
              <w:rPr>
                <w:webHidden/>
              </w:rPr>
              <w:t>4-116</w:t>
            </w:r>
            <w:r w:rsidR="001C5163">
              <w:rPr>
                <w:webHidden/>
              </w:rPr>
              <w:fldChar w:fldCharType="end"/>
            </w:r>
          </w:hyperlink>
        </w:p>
        <w:p w14:paraId="3488DF3D" w14:textId="77777777" w:rsidR="001C5163" w:rsidRDefault="00D70292">
          <w:pPr>
            <w:pStyle w:val="TOC1"/>
            <w:rPr>
              <w:rFonts w:asciiTheme="minorHAnsi" w:eastAsiaTheme="minorEastAsia" w:hAnsiTheme="minorHAnsi"/>
              <w:b w:val="0"/>
              <w:color w:val="auto"/>
              <w:sz w:val="22"/>
              <w:lang w:val="en-AU" w:eastAsia="en-AU"/>
            </w:rPr>
          </w:pPr>
          <w:hyperlink w:anchor="_Toc433449227" w:history="1">
            <w:r w:rsidR="001C5163" w:rsidRPr="00144C7F">
              <w:rPr>
                <w:rStyle w:val="Hyperlink"/>
              </w:rPr>
              <w:t>B</w:t>
            </w:r>
            <w:r w:rsidR="001C5163">
              <w:rPr>
                <w:rFonts w:asciiTheme="minorHAnsi" w:eastAsiaTheme="minorEastAsia" w:hAnsiTheme="minorHAnsi"/>
                <w:b w:val="0"/>
                <w:color w:val="auto"/>
                <w:sz w:val="22"/>
                <w:lang w:val="en-AU" w:eastAsia="en-AU"/>
              </w:rPr>
              <w:tab/>
            </w:r>
            <w:r w:rsidR="001C5163" w:rsidRPr="00144C7F">
              <w:rPr>
                <w:rStyle w:val="Hyperlink"/>
              </w:rPr>
              <w:t>Confidential appendix: Value of imputation credits—Consideration of comments in relation to SA Power Networks advisors freedom of information request</w:t>
            </w:r>
            <w:r w:rsidR="001C5163">
              <w:rPr>
                <w:webHidden/>
              </w:rPr>
              <w:tab/>
            </w:r>
            <w:r w:rsidR="001C5163">
              <w:rPr>
                <w:webHidden/>
              </w:rPr>
              <w:fldChar w:fldCharType="begin"/>
            </w:r>
            <w:r w:rsidR="001C5163">
              <w:rPr>
                <w:webHidden/>
              </w:rPr>
              <w:instrText xml:space="preserve"> PAGEREF _Toc433449227 \h </w:instrText>
            </w:r>
            <w:r w:rsidR="001C5163">
              <w:rPr>
                <w:webHidden/>
              </w:rPr>
            </w:r>
            <w:r w:rsidR="001C5163">
              <w:rPr>
                <w:webHidden/>
              </w:rPr>
              <w:fldChar w:fldCharType="separate"/>
            </w:r>
            <w:r w:rsidR="001C5163">
              <w:rPr>
                <w:webHidden/>
              </w:rPr>
              <w:t>4-121</w:t>
            </w:r>
            <w:r w:rsidR="001C5163">
              <w:rPr>
                <w:webHidden/>
              </w:rPr>
              <w:fldChar w:fldCharType="end"/>
            </w:r>
          </w:hyperlink>
        </w:p>
        <w:p w14:paraId="49CF34B2" w14:textId="77777777" w:rsidR="00DE563D" w:rsidRDefault="00993877" w:rsidP="00993877">
          <w:pPr>
            <w:pStyle w:val="TOC1"/>
          </w:pPr>
          <w:r>
            <w:rPr>
              <w:color w:val="auto"/>
              <w:sz w:val="22"/>
            </w:rPr>
            <w:fldChar w:fldCharType="end"/>
          </w:r>
        </w:p>
      </w:sdtContent>
    </w:sdt>
    <w:p w14:paraId="2D25772B" w14:textId="77777777" w:rsidR="00DE563D" w:rsidRDefault="00C84560">
      <w:pPr>
        <w:spacing w:line="240" w:lineRule="auto"/>
      </w:pPr>
      <w:r>
        <w:t xml:space="preserve"> </w:t>
      </w:r>
    </w:p>
    <w:p w14:paraId="115972AF" w14:textId="77777777" w:rsidR="003D3D89" w:rsidRDefault="003D3D89" w:rsidP="003D3D89">
      <w:pPr>
        <w:pStyle w:val="UnnumberedHeading"/>
      </w:pPr>
      <w:bookmarkStart w:id="8" w:name="_Toc404700925"/>
      <w:bookmarkStart w:id="9" w:name="_Toc408493482"/>
      <w:bookmarkStart w:id="10" w:name="_Toc433449205"/>
      <w:r w:rsidRPr="003D3D89">
        <w:lastRenderedPageBreak/>
        <w:t>Shortened</w:t>
      </w:r>
      <w:r>
        <w:t xml:space="preserve"> forms</w:t>
      </w:r>
      <w:bookmarkEnd w:id="8"/>
      <w:bookmarkEnd w:id="9"/>
      <w:bookmarkEnd w:id="10"/>
    </w:p>
    <w:p w14:paraId="2F9150AF" w14:textId="77777777" w:rsidR="003D3D89" w:rsidRPr="00271F7C" w:rsidRDefault="003D3D89" w:rsidP="003D3D89">
      <w:pPr>
        <w:numPr>
          <w:ilvl w:val="0"/>
          <w:numId w:val="25"/>
        </w:numPr>
      </w:pPr>
    </w:p>
    <w:tbl>
      <w:tblPr>
        <w:tblStyle w:val="AERtable-text0"/>
        <w:tblW w:w="0" w:type="auto"/>
        <w:tblLook w:val="04A0" w:firstRow="1" w:lastRow="0" w:firstColumn="1" w:lastColumn="0" w:noHBand="0" w:noVBand="1"/>
      </w:tblPr>
      <w:tblGrid>
        <w:gridCol w:w="3652"/>
        <w:gridCol w:w="5041"/>
      </w:tblGrid>
      <w:tr w:rsidR="0016622B" w14:paraId="1366759F" w14:textId="77777777" w:rsidTr="00CF4D6D">
        <w:trPr>
          <w:cnfStyle w:val="100000000000" w:firstRow="1" w:lastRow="0" w:firstColumn="0" w:lastColumn="0" w:oddVBand="0" w:evenVBand="0" w:oddHBand="0" w:evenHBand="0" w:firstRowFirstColumn="0" w:firstRowLastColumn="0" w:lastRowFirstColumn="0" w:lastRowLastColumn="0"/>
          <w:tblHeader/>
        </w:trPr>
        <w:tc>
          <w:tcPr>
            <w:tcW w:w="3652" w:type="dxa"/>
          </w:tcPr>
          <w:p w14:paraId="74D10A62" w14:textId="40477647" w:rsidR="0016622B" w:rsidRPr="0016622B" w:rsidRDefault="0016622B" w:rsidP="0016622B">
            <w:pPr>
              <w:numPr>
                <w:ilvl w:val="0"/>
                <w:numId w:val="25"/>
              </w:numPr>
            </w:pPr>
            <w:r w:rsidRPr="0016622B">
              <w:t>Shortened form</w:t>
            </w:r>
          </w:p>
        </w:tc>
        <w:tc>
          <w:tcPr>
            <w:tcW w:w="5041" w:type="dxa"/>
          </w:tcPr>
          <w:p w14:paraId="12885661" w14:textId="291CC307" w:rsidR="0016622B" w:rsidRPr="0016622B" w:rsidRDefault="0016622B" w:rsidP="0016622B">
            <w:pPr>
              <w:numPr>
                <w:ilvl w:val="0"/>
                <w:numId w:val="25"/>
              </w:numPr>
            </w:pPr>
            <w:r w:rsidRPr="0016622B">
              <w:t>Extended form</w:t>
            </w:r>
          </w:p>
        </w:tc>
      </w:tr>
      <w:tr w:rsidR="0016622B" w14:paraId="1F9C4B63" w14:textId="77777777" w:rsidTr="00CF4D6D">
        <w:tc>
          <w:tcPr>
            <w:tcW w:w="3652" w:type="dxa"/>
          </w:tcPr>
          <w:p w14:paraId="5CBB18F2" w14:textId="4F72BE35" w:rsidR="0016622B" w:rsidRPr="0016622B" w:rsidRDefault="0016622B" w:rsidP="0016622B">
            <w:pPr>
              <w:numPr>
                <w:ilvl w:val="0"/>
                <w:numId w:val="25"/>
              </w:numPr>
            </w:pPr>
            <w:r w:rsidRPr="0016622B">
              <w:t>AEMC</w:t>
            </w:r>
          </w:p>
        </w:tc>
        <w:tc>
          <w:tcPr>
            <w:tcW w:w="5041" w:type="dxa"/>
          </w:tcPr>
          <w:p w14:paraId="10B8E0FF" w14:textId="7FF7C8D9" w:rsidR="0016622B" w:rsidRPr="0016622B" w:rsidRDefault="0016622B" w:rsidP="0016622B">
            <w:pPr>
              <w:numPr>
                <w:ilvl w:val="0"/>
                <w:numId w:val="25"/>
              </w:numPr>
            </w:pPr>
            <w:r w:rsidRPr="0016622B">
              <w:t>Australian Energy Market Commission</w:t>
            </w:r>
          </w:p>
        </w:tc>
      </w:tr>
      <w:tr w:rsidR="0016622B" w14:paraId="3819A99D" w14:textId="77777777" w:rsidTr="00CF4D6D">
        <w:trPr>
          <w:cnfStyle w:val="000000010000" w:firstRow="0" w:lastRow="0" w:firstColumn="0" w:lastColumn="0" w:oddVBand="0" w:evenVBand="0" w:oddHBand="0" w:evenHBand="1" w:firstRowFirstColumn="0" w:firstRowLastColumn="0" w:lastRowFirstColumn="0" w:lastRowLastColumn="0"/>
        </w:trPr>
        <w:tc>
          <w:tcPr>
            <w:tcW w:w="3652" w:type="dxa"/>
          </w:tcPr>
          <w:p w14:paraId="4A04EA02" w14:textId="5FE1259D" w:rsidR="0016622B" w:rsidRPr="0016622B" w:rsidRDefault="0016622B" w:rsidP="0016622B">
            <w:pPr>
              <w:numPr>
                <w:ilvl w:val="0"/>
                <w:numId w:val="25"/>
              </w:numPr>
            </w:pPr>
            <w:r w:rsidRPr="0016622B">
              <w:t>AER</w:t>
            </w:r>
          </w:p>
        </w:tc>
        <w:tc>
          <w:tcPr>
            <w:tcW w:w="5041" w:type="dxa"/>
          </w:tcPr>
          <w:p w14:paraId="39922EC9" w14:textId="5B6CF0BE" w:rsidR="0016622B" w:rsidRPr="0016622B" w:rsidRDefault="0016622B" w:rsidP="0016622B">
            <w:pPr>
              <w:numPr>
                <w:ilvl w:val="0"/>
                <w:numId w:val="25"/>
              </w:numPr>
            </w:pPr>
            <w:r w:rsidRPr="0016622B">
              <w:t>Australian Energy Regulator</w:t>
            </w:r>
          </w:p>
        </w:tc>
      </w:tr>
      <w:tr w:rsidR="0016622B" w14:paraId="07BF97B5" w14:textId="77777777" w:rsidTr="00CF4D6D">
        <w:tc>
          <w:tcPr>
            <w:tcW w:w="3652" w:type="dxa"/>
          </w:tcPr>
          <w:p w14:paraId="4B8CC8A5" w14:textId="7D5C9AC3" w:rsidR="0016622B" w:rsidRPr="0016622B" w:rsidRDefault="0016622B" w:rsidP="0016622B">
            <w:pPr>
              <w:numPr>
                <w:ilvl w:val="0"/>
                <w:numId w:val="25"/>
              </w:numPr>
            </w:pPr>
            <w:r w:rsidRPr="0016622B">
              <w:t>AGN</w:t>
            </w:r>
          </w:p>
        </w:tc>
        <w:tc>
          <w:tcPr>
            <w:tcW w:w="5041" w:type="dxa"/>
          </w:tcPr>
          <w:p w14:paraId="72FA4F42" w14:textId="64AA20B3" w:rsidR="0016622B" w:rsidRPr="0016622B" w:rsidRDefault="0016622B" w:rsidP="0016622B">
            <w:pPr>
              <w:numPr>
                <w:ilvl w:val="0"/>
                <w:numId w:val="25"/>
              </w:numPr>
            </w:pPr>
            <w:r w:rsidRPr="0016622B">
              <w:t>Australian Gas Networks</w:t>
            </w:r>
          </w:p>
        </w:tc>
      </w:tr>
      <w:tr w:rsidR="0016622B" w14:paraId="619424B3" w14:textId="77777777" w:rsidTr="00CF4D6D">
        <w:trPr>
          <w:cnfStyle w:val="000000010000" w:firstRow="0" w:lastRow="0" w:firstColumn="0" w:lastColumn="0" w:oddVBand="0" w:evenVBand="0" w:oddHBand="0" w:evenHBand="1" w:firstRowFirstColumn="0" w:firstRowLastColumn="0" w:lastRowFirstColumn="0" w:lastRowLastColumn="0"/>
        </w:trPr>
        <w:tc>
          <w:tcPr>
            <w:tcW w:w="3652" w:type="dxa"/>
          </w:tcPr>
          <w:p w14:paraId="5C2BB0A0" w14:textId="6DB56896" w:rsidR="0016622B" w:rsidRPr="0016622B" w:rsidRDefault="0016622B" w:rsidP="0016622B">
            <w:pPr>
              <w:numPr>
                <w:ilvl w:val="0"/>
                <w:numId w:val="25"/>
              </w:numPr>
            </w:pPr>
            <w:r w:rsidRPr="0016622B">
              <w:t>APTNT</w:t>
            </w:r>
          </w:p>
        </w:tc>
        <w:tc>
          <w:tcPr>
            <w:tcW w:w="5041" w:type="dxa"/>
          </w:tcPr>
          <w:p w14:paraId="1323DAF8" w14:textId="637A4278" w:rsidR="0016622B" w:rsidRPr="0016622B" w:rsidRDefault="0016622B" w:rsidP="0016622B">
            <w:pPr>
              <w:numPr>
                <w:ilvl w:val="0"/>
                <w:numId w:val="25"/>
              </w:numPr>
            </w:pPr>
            <w:r w:rsidRPr="0016622B">
              <w:t>APT Pipelines (NT) Pty Ltd</w:t>
            </w:r>
          </w:p>
        </w:tc>
      </w:tr>
      <w:tr w:rsidR="0016622B" w14:paraId="39A1F2A2" w14:textId="77777777" w:rsidTr="00CF4D6D">
        <w:tc>
          <w:tcPr>
            <w:tcW w:w="3652" w:type="dxa"/>
          </w:tcPr>
          <w:p w14:paraId="0B50C13F" w14:textId="6454D8B9" w:rsidR="0016622B" w:rsidRPr="0016622B" w:rsidRDefault="0016622B" w:rsidP="0016622B">
            <w:pPr>
              <w:numPr>
                <w:ilvl w:val="0"/>
                <w:numId w:val="25"/>
              </w:numPr>
            </w:pPr>
            <w:r w:rsidRPr="0016622B">
              <w:t>capex</w:t>
            </w:r>
          </w:p>
        </w:tc>
        <w:tc>
          <w:tcPr>
            <w:tcW w:w="5041" w:type="dxa"/>
          </w:tcPr>
          <w:p w14:paraId="341235AD" w14:textId="260B16F6" w:rsidR="0016622B" w:rsidRPr="0016622B" w:rsidRDefault="0016622B" w:rsidP="0016622B">
            <w:pPr>
              <w:numPr>
                <w:ilvl w:val="0"/>
                <w:numId w:val="25"/>
              </w:numPr>
            </w:pPr>
            <w:r w:rsidRPr="0016622B">
              <w:t>capital expenditure</w:t>
            </w:r>
          </w:p>
        </w:tc>
      </w:tr>
      <w:tr w:rsidR="0016622B" w14:paraId="03A4D910" w14:textId="77777777" w:rsidTr="00CF4D6D">
        <w:trPr>
          <w:cnfStyle w:val="000000010000" w:firstRow="0" w:lastRow="0" w:firstColumn="0" w:lastColumn="0" w:oddVBand="0" w:evenVBand="0" w:oddHBand="0" w:evenHBand="1" w:firstRowFirstColumn="0" w:firstRowLastColumn="0" w:lastRowFirstColumn="0" w:lastRowLastColumn="0"/>
        </w:trPr>
        <w:tc>
          <w:tcPr>
            <w:tcW w:w="3652" w:type="dxa"/>
          </w:tcPr>
          <w:p w14:paraId="14E600F4" w14:textId="127CA879" w:rsidR="0016622B" w:rsidRPr="0016622B" w:rsidRDefault="0016622B" w:rsidP="0016622B">
            <w:pPr>
              <w:numPr>
                <w:ilvl w:val="0"/>
                <w:numId w:val="25"/>
              </w:numPr>
            </w:pPr>
            <w:r w:rsidRPr="0016622B">
              <w:t>CAPM</w:t>
            </w:r>
          </w:p>
        </w:tc>
        <w:tc>
          <w:tcPr>
            <w:tcW w:w="5041" w:type="dxa"/>
          </w:tcPr>
          <w:p w14:paraId="56BF4AC9" w14:textId="6C4FA312" w:rsidR="0016622B" w:rsidRPr="0016622B" w:rsidRDefault="0016622B" w:rsidP="0016622B">
            <w:pPr>
              <w:numPr>
                <w:ilvl w:val="0"/>
                <w:numId w:val="25"/>
              </w:numPr>
            </w:pPr>
            <w:r w:rsidRPr="0016622B">
              <w:t>capital asset pricing model</w:t>
            </w:r>
          </w:p>
        </w:tc>
      </w:tr>
      <w:tr w:rsidR="0016622B" w14:paraId="178DDD09" w14:textId="77777777" w:rsidTr="00CF4D6D">
        <w:tc>
          <w:tcPr>
            <w:tcW w:w="3652" w:type="dxa"/>
          </w:tcPr>
          <w:p w14:paraId="6627FEB2" w14:textId="462FEB2A" w:rsidR="0016622B" w:rsidRPr="0016622B" w:rsidRDefault="0016622B" w:rsidP="0016622B">
            <w:pPr>
              <w:numPr>
                <w:ilvl w:val="0"/>
                <w:numId w:val="25"/>
              </w:numPr>
            </w:pPr>
            <w:r w:rsidRPr="0016622B">
              <w:t>CCP</w:t>
            </w:r>
          </w:p>
        </w:tc>
        <w:tc>
          <w:tcPr>
            <w:tcW w:w="5041" w:type="dxa"/>
          </w:tcPr>
          <w:p w14:paraId="2762E23C" w14:textId="375D8D3D" w:rsidR="0016622B" w:rsidRPr="0016622B" w:rsidRDefault="0016622B" w:rsidP="0016622B">
            <w:pPr>
              <w:numPr>
                <w:ilvl w:val="0"/>
                <w:numId w:val="25"/>
              </w:numPr>
            </w:pPr>
            <w:r w:rsidRPr="0016622B">
              <w:t>Consumer Challenge Panel</w:t>
            </w:r>
          </w:p>
        </w:tc>
      </w:tr>
      <w:tr w:rsidR="0016622B" w14:paraId="73192405" w14:textId="77777777" w:rsidTr="00CF4D6D">
        <w:trPr>
          <w:cnfStyle w:val="000000010000" w:firstRow="0" w:lastRow="0" w:firstColumn="0" w:lastColumn="0" w:oddVBand="0" w:evenVBand="0" w:oddHBand="0" w:evenHBand="1" w:firstRowFirstColumn="0" w:firstRowLastColumn="0" w:lastRowFirstColumn="0" w:lastRowLastColumn="0"/>
        </w:trPr>
        <w:tc>
          <w:tcPr>
            <w:tcW w:w="3652" w:type="dxa"/>
          </w:tcPr>
          <w:p w14:paraId="38654F74" w14:textId="1B0034FB" w:rsidR="0016622B" w:rsidRPr="0016622B" w:rsidRDefault="0016622B" w:rsidP="0016622B">
            <w:pPr>
              <w:numPr>
                <w:ilvl w:val="0"/>
                <w:numId w:val="25"/>
              </w:numPr>
            </w:pPr>
            <w:r w:rsidRPr="0016622B">
              <w:t>CGS</w:t>
            </w:r>
          </w:p>
        </w:tc>
        <w:tc>
          <w:tcPr>
            <w:tcW w:w="5041" w:type="dxa"/>
          </w:tcPr>
          <w:p w14:paraId="21A5DCED" w14:textId="71FD3029" w:rsidR="0016622B" w:rsidRPr="0016622B" w:rsidRDefault="0016622B" w:rsidP="0016622B">
            <w:pPr>
              <w:numPr>
                <w:ilvl w:val="0"/>
                <w:numId w:val="25"/>
              </w:numPr>
            </w:pPr>
            <w:r w:rsidRPr="0016622B">
              <w:t>Commonwealth Government securities, also called Australian Government securities (AGS)</w:t>
            </w:r>
          </w:p>
        </w:tc>
      </w:tr>
      <w:tr w:rsidR="0016622B" w14:paraId="0368A6B1" w14:textId="77777777" w:rsidTr="00CF4D6D">
        <w:tc>
          <w:tcPr>
            <w:tcW w:w="3652" w:type="dxa"/>
          </w:tcPr>
          <w:p w14:paraId="2687CF4D" w14:textId="192D90D4" w:rsidR="0016622B" w:rsidRPr="0016622B" w:rsidRDefault="0016622B" w:rsidP="0016622B">
            <w:pPr>
              <w:numPr>
                <w:ilvl w:val="0"/>
                <w:numId w:val="25"/>
              </w:numPr>
            </w:pPr>
            <w:r w:rsidRPr="0016622B">
              <w:t>CPI</w:t>
            </w:r>
          </w:p>
        </w:tc>
        <w:tc>
          <w:tcPr>
            <w:tcW w:w="5041" w:type="dxa"/>
          </w:tcPr>
          <w:p w14:paraId="43287DA3" w14:textId="0419D921" w:rsidR="0016622B" w:rsidRPr="0016622B" w:rsidRDefault="0016622B" w:rsidP="0016622B">
            <w:pPr>
              <w:numPr>
                <w:ilvl w:val="0"/>
                <w:numId w:val="25"/>
              </w:numPr>
            </w:pPr>
            <w:r w:rsidRPr="0016622B">
              <w:t>consumer price index</w:t>
            </w:r>
          </w:p>
        </w:tc>
      </w:tr>
      <w:tr w:rsidR="0016622B" w14:paraId="580A7287" w14:textId="77777777" w:rsidTr="00CF4D6D">
        <w:trPr>
          <w:cnfStyle w:val="000000010000" w:firstRow="0" w:lastRow="0" w:firstColumn="0" w:lastColumn="0" w:oddVBand="0" w:evenVBand="0" w:oddHBand="0" w:evenHBand="1" w:firstRowFirstColumn="0" w:firstRowLastColumn="0" w:lastRowFirstColumn="0" w:lastRowLastColumn="0"/>
        </w:trPr>
        <w:tc>
          <w:tcPr>
            <w:tcW w:w="3652" w:type="dxa"/>
          </w:tcPr>
          <w:p w14:paraId="60CF8AEC" w14:textId="6EAB7EBB" w:rsidR="0016622B" w:rsidRPr="0016622B" w:rsidRDefault="0016622B" w:rsidP="0016622B">
            <w:pPr>
              <w:numPr>
                <w:ilvl w:val="0"/>
                <w:numId w:val="25"/>
              </w:numPr>
            </w:pPr>
            <w:r w:rsidRPr="0016622B">
              <w:t>DGM</w:t>
            </w:r>
          </w:p>
        </w:tc>
        <w:tc>
          <w:tcPr>
            <w:tcW w:w="5041" w:type="dxa"/>
          </w:tcPr>
          <w:p w14:paraId="15116989" w14:textId="4429D188" w:rsidR="0016622B" w:rsidRPr="0016622B" w:rsidRDefault="0016622B" w:rsidP="0016622B">
            <w:pPr>
              <w:numPr>
                <w:ilvl w:val="0"/>
                <w:numId w:val="25"/>
              </w:numPr>
            </w:pPr>
            <w:r w:rsidRPr="0016622B">
              <w:t>dividend growth model</w:t>
            </w:r>
          </w:p>
        </w:tc>
      </w:tr>
      <w:tr w:rsidR="0016622B" w14:paraId="163BC64F" w14:textId="77777777" w:rsidTr="00CF4D6D">
        <w:tc>
          <w:tcPr>
            <w:tcW w:w="3652" w:type="dxa"/>
          </w:tcPr>
          <w:p w14:paraId="23D88301" w14:textId="13582327" w:rsidR="0016622B" w:rsidRPr="0016622B" w:rsidRDefault="0016622B" w:rsidP="0016622B">
            <w:pPr>
              <w:numPr>
                <w:ilvl w:val="0"/>
                <w:numId w:val="25"/>
              </w:numPr>
            </w:pPr>
            <w:r w:rsidRPr="0016622B">
              <w:t>DRP</w:t>
            </w:r>
          </w:p>
        </w:tc>
        <w:tc>
          <w:tcPr>
            <w:tcW w:w="5041" w:type="dxa"/>
          </w:tcPr>
          <w:p w14:paraId="44268EA9" w14:textId="3749535B" w:rsidR="0016622B" w:rsidRPr="0016622B" w:rsidRDefault="0016622B" w:rsidP="0016622B">
            <w:pPr>
              <w:numPr>
                <w:ilvl w:val="0"/>
                <w:numId w:val="25"/>
              </w:numPr>
            </w:pPr>
            <w:r w:rsidRPr="0016622B">
              <w:t>debt risk premium</w:t>
            </w:r>
          </w:p>
        </w:tc>
      </w:tr>
      <w:tr w:rsidR="0016622B" w14:paraId="378BC416" w14:textId="77777777" w:rsidTr="00CF4D6D">
        <w:trPr>
          <w:cnfStyle w:val="000000010000" w:firstRow="0" w:lastRow="0" w:firstColumn="0" w:lastColumn="0" w:oddVBand="0" w:evenVBand="0" w:oddHBand="0" w:evenHBand="1" w:firstRowFirstColumn="0" w:firstRowLastColumn="0" w:lastRowFirstColumn="0" w:lastRowLastColumn="0"/>
        </w:trPr>
        <w:tc>
          <w:tcPr>
            <w:tcW w:w="3652" w:type="dxa"/>
          </w:tcPr>
          <w:p w14:paraId="0E33812B" w14:textId="130F88C7" w:rsidR="0016622B" w:rsidRPr="0016622B" w:rsidRDefault="0016622B" w:rsidP="0016622B">
            <w:pPr>
              <w:numPr>
                <w:ilvl w:val="0"/>
                <w:numId w:val="25"/>
              </w:numPr>
            </w:pPr>
            <w:r w:rsidRPr="0016622B">
              <w:t>distributor</w:t>
            </w:r>
          </w:p>
        </w:tc>
        <w:tc>
          <w:tcPr>
            <w:tcW w:w="5041" w:type="dxa"/>
          </w:tcPr>
          <w:p w14:paraId="68EF1880" w14:textId="55FEEF0B" w:rsidR="0016622B" w:rsidRPr="0016622B" w:rsidRDefault="0016622B" w:rsidP="0016622B">
            <w:pPr>
              <w:numPr>
                <w:ilvl w:val="0"/>
                <w:numId w:val="25"/>
              </w:numPr>
            </w:pPr>
            <w:r w:rsidRPr="0016622B">
              <w:t>distribution network service provider</w:t>
            </w:r>
          </w:p>
        </w:tc>
      </w:tr>
      <w:tr w:rsidR="0016622B" w14:paraId="5AC89F70" w14:textId="77777777" w:rsidTr="00CF4D6D">
        <w:tc>
          <w:tcPr>
            <w:tcW w:w="3652" w:type="dxa"/>
          </w:tcPr>
          <w:p w14:paraId="07EE54D1" w14:textId="30254E0A" w:rsidR="0016622B" w:rsidRPr="0016622B" w:rsidRDefault="0016622B" w:rsidP="0016622B">
            <w:pPr>
              <w:numPr>
                <w:ilvl w:val="0"/>
                <w:numId w:val="25"/>
              </w:numPr>
            </w:pPr>
            <w:r w:rsidRPr="0016622B">
              <w:t>ERP</w:t>
            </w:r>
          </w:p>
        </w:tc>
        <w:tc>
          <w:tcPr>
            <w:tcW w:w="5041" w:type="dxa"/>
          </w:tcPr>
          <w:p w14:paraId="5D387AB7" w14:textId="222FB5B1" w:rsidR="0016622B" w:rsidRPr="0016622B" w:rsidRDefault="0016622B" w:rsidP="0016622B">
            <w:pPr>
              <w:numPr>
                <w:ilvl w:val="0"/>
                <w:numId w:val="25"/>
              </w:numPr>
            </w:pPr>
            <w:r w:rsidRPr="0016622B">
              <w:t>equity risk premium</w:t>
            </w:r>
          </w:p>
        </w:tc>
      </w:tr>
      <w:tr w:rsidR="0016622B" w14:paraId="70000876" w14:textId="77777777" w:rsidTr="00CF4D6D">
        <w:trPr>
          <w:cnfStyle w:val="000000010000" w:firstRow="0" w:lastRow="0" w:firstColumn="0" w:lastColumn="0" w:oddVBand="0" w:evenVBand="0" w:oddHBand="0" w:evenHBand="1" w:firstRowFirstColumn="0" w:firstRowLastColumn="0" w:lastRowFirstColumn="0" w:lastRowLastColumn="0"/>
        </w:trPr>
        <w:tc>
          <w:tcPr>
            <w:tcW w:w="3652" w:type="dxa"/>
          </w:tcPr>
          <w:p w14:paraId="5D99672C" w14:textId="1B5A1BE6" w:rsidR="0016622B" w:rsidRPr="0016622B" w:rsidRDefault="0016622B" w:rsidP="0016622B">
            <w:pPr>
              <w:numPr>
                <w:ilvl w:val="0"/>
                <w:numId w:val="25"/>
              </w:numPr>
            </w:pPr>
            <w:r w:rsidRPr="0016622B">
              <w:t>FFM</w:t>
            </w:r>
          </w:p>
        </w:tc>
        <w:tc>
          <w:tcPr>
            <w:tcW w:w="5041" w:type="dxa"/>
          </w:tcPr>
          <w:p w14:paraId="6117FADE" w14:textId="6AECFCCD" w:rsidR="0016622B" w:rsidRPr="0016622B" w:rsidRDefault="0016622B" w:rsidP="0016622B">
            <w:pPr>
              <w:numPr>
                <w:ilvl w:val="0"/>
                <w:numId w:val="25"/>
              </w:numPr>
            </w:pPr>
            <w:r w:rsidRPr="0016622B">
              <w:t>Fama-French three-factor model</w:t>
            </w:r>
          </w:p>
        </w:tc>
      </w:tr>
      <w:tr w:rsidR="0016622B" w14:paraId="2C7F96AB" w14:textId="77777777" w:rsidTr="00CF4D6D">
        <w:tc>
          <w:tcPr>
            <w:tcW w:w="3652" w:type="dxa"/>
          </w:tcPr>
          <w:p w14:paraId="4C5193B3" w14:textId="20AB31CC" w:rsidR="0016622B" w:rsidRPr="0016622B" w:rsidRDefault="0016622B" w:rsidP="0016622B">
            <w:pPr>
              <w:numPr>
                <w:ilvl w:val="0"/>
                <w:numId w:val="25"/>
              </w:numPr>
            </w:pPr>
            <w:r w:rsidRPr="0016622B">
              <w:t>JEN</w:t>
            </w:r>
          </w:p>
        </w:tc>
        <w:tc>
          <w:tcPr>
            <w:tcW w:w="5041" w:type="dxa"/>
          </w:tcPr>
          <w:p w14:paraId="709C052E" w14:textId="62A2132F" w:rsidR="0016622B" w:rsidRPr="0016622B" w:rsidRDefault="0016622B" w:rsidP="0016622B">
            <w:pPr>
              <w:numPr>
                <w:ilvl w:val="0"/>
                <w:numId w:val="25"/>
              </w:numPr>
            </w:pPr>
            <w:r w:rsidRPr="0016622B">
              <w:t>Jemena Electricity Networks</w:t>
            </w:r>
          </w:p>
        </w:tc>
      </w:tr>
      <w:tr w:rsidR="0016622B" w14:paraId="5FE6C866" w14:textId="77777777" w:rsidTr="00CF4D6D">
        <w:trPr>
          <w:cnfStyle w:val="000000010000" w:firstRow="0" w:lastRow="0" w:firstColumn="0" w:lastColumn="0" w:oddVBand="0" w:evenVBand="0" w:oddHBand="0" w:evenHBand="1" w:firstRowFirstColumn="0" w:firstRowLastColumn="0" w:lastRowFirstColumn="0" w:lastRowLastColumn="0"/>
        </w:trPr>
        <w:tc>
          <w:tcPr>
            <w:tcW w:w="3652" w:type="dxa"/>
          </w:tcPr>
          <w:p w14:paraId="35C3F9C2" w14:textId="7EC6D520" w:rsidR="0016622B" w:rsidRPr="0016622B" w:rsidRDefault="0016622B" w:rsidP="0016622B">
            <w:pPr>
              <w:numPr>
                <w:ilvl w:val="0"/>
                <w:numId w:val="25"/>
              </w:numPr>
            </w:pPr>
            <w:r w:rsidRPr="0016622B">
              <w:t>JGN</w:t>
            </w:r>
          </w:p>
        </w:tc>
        <w:tc>
          <w:tcPr>
            <w:tcW w:w="5041" w:type="dxa"/>
          </w:tcPr>
          <w:p w14:paraId="3A5166F0" w14:textId="2CEB31C6" w:rsidR="0016622B" w:rsidRPr="0016622B" w:rsidRDefault="0016622B" w:rsidP="0016622B">
            <w:pPr>
              <w:numPr>
                <w:ilvl w:val="0"/>
                <w:numId w:val="25"/>
              </w:numPr>
            </w:pPr>
            <w:r w:rsidRPr="0016622B">
              <w:t>Jemena Gas Networks</w:t>
            </w:r>
          </w:p>
        </w:tc>
      </w:tr>
      <w:tr w:rsidR="0016622B" w14:paraId="56AB7180" w14:textId="77777777" w:rsidTr="00CF4D6D">
        <w:tc>
          <w:tcPr>
            <w:tcW w:w="3652" w:type="dxa"/>
          </w:tcPr>
          <w:p w14:paraId="33A2C846" w14:textId="55E14A3A" w:rsidR="0016622B" w:rsidRPr="0016622B" w:rsidRDefault="0016622B" w:rsidP="0016622B">
            <w:pPr>
              <w:numPr>
                <w:ilvl w:val="0"/>
                <w:numId w:val="25"/>
              </w:numPr>
            </w:pPr>
            <w:r w:rsidRPr="0016622B">
              <w:t>MRP</w:t>
            </w:r>
          </w:p>
        </w:tc>
        <w:tc>
          <w:tcPr>
            <w:tcW w:w="5041" w:type="dxa"/>
          </w:tcPr>
          <w:p w14:paraId="06E9E965" w14:textId="3EE96FFB" w:rsidR="0016622B" w:rsidRPr="0016622B" w:rsidRDefault="0016622B" w:rsidP="0016622B">
            <w:pPr>
              <w:numPr>
                <w:ilvl w:val="0"/>
                <w:numId w:val="25"/>
              </w:numPr>
            </w:pPr>
            <w:r w:rsidRPr="0016622B">
              <w:t>market risk premium</w:t>
            </w:r>
          </w:p>
        </w:tc>
      </w:tr>
      <w:tr w:rsidR="0016622B" w14:paraId="5EBCD148" w14:textId="77777777" w:rsidTr="00CF4D6D">
        <w:trPr>
          <w:cnfStyle w:val="000000010000" w:firstRow="0" w:lastRow="0" w:firstColumn="0" w:lastColumn="0" w:oddVBand="0" w:evenVBand="0" w:oddHBand="0" w:evenHBand="1" w:firstRowFirstColumn="0" w:firstRowLastColumn="0" w:lastRowFirstColumn="0" w:lastRowLastColumn="0"/>
        </w:trPr>
        <w:tc>
          <w:tcPr>
            <w:tcW w:w="3652" w:type="dxa"/>
          </w:tcPr>
          <w:p w14:paraId="0A2E22FB" w14:textId="1C79D304" w:rsidR="0016622B" w:rsidRPr="0016622B" w:rsidRDefault="0016622B" w:rsidP="0016622B">
            <w:pPr>
              <w:numPr>
                <w:ilvl w:val="0"/>
                <w:numId w:val="25"/>
              </w:numPr>
            </w:pPr>
            <w:r w:rsidRPr="0016622B">
              <w:t>NEL</w:t>
            </w:r>
          </w:p>
        </w:tc>
        <w:tc>
          <w:tcPr>
            <w:tcW w:w="5041" w:type="dxa"/>
          </w:tcPr>
          <w:p w14:paraId="2700A4BE" w14:textId="08A10A56" w:rsidR="0016622B" w:rsidRPr="0016622B" w:rsidRDefault="0016622B" w:rsidP="0016622B">
            <w:pPr>
              <w:numPr>
                <w:ilvl w:val="0"/>
                <w:numId w:val="25"/>
              </w:numPr>
            </w:pPr>
            <w:r w:rsidRPr="0016622B">
              <w:t>national electricity law</w:t>
            </w:r>
          </w:p>
        </w:tc>
      </w:tr>
      <w:tr w:rsidR="0016622B" w14:paraId="32872B85" w14:textId="77777777" w:rsidTr="00CF4D6D">
        <w:tc>
          <w:tcPr>
            <w:tcW w:w="3652" w:type="dxa"/>
          </w:tcPr>
          <w:p w14:paraId="0CB5A335" w14:textId="25163C77" w:rsidR="0016622B" w:rsidRPr="0016622B" w:rsidRDefault="0016622B" w:rsidP="0016622B">
            <w:pPr>
              <w:numPr>
                <w:ilvl w:val="0"/>
                <w:numId w:val="25"/>
              </w:numPr>
            </w:pPr>
            <w:r w:rsidRPr="0016622B">
              <w:t>NEO</w:t>
            </w:r>
          </w:p>
        </w:tc>
        <w:tc>
          <w:tcPr>
            <w:tcW w:w="5041" w:type="dxa"/>
          </w:tcPr>
          <w:p w14:paraId="2F42D8E2" w14:textId="611A760C" w:rsidR="0016622B" w:rsidRPr="0016622B" w:rsidRDefault="0016622B" w:rsidP="0016622B">
            <w:pPr>
              <w:numPr>
                <w:ilvl w:val="0"/>
                <w:numId w:val="25"/>
              </w:numPr>
            </w:pPr>
            <w:r w:rsidRPr="0016622B">
              <w:t>national electricity objective</w:t>
            </w:r>
          </w:p>
        </w:tc>
      </w:tr>
      <w:tr w:rsidR="0016622B" w14:paraId="7D51F757" w14:textId="77777777" w:rsidTr="00CF4D6D">
        <w:trPr>
          <w:cnfStyle w:val="000000010000" w:firstRow="0" w:lastRow="0" w:firstColumn="0" w:lastColumn="0" w:oddVBand="0" w:evenVBand="0" w:oddHBand="0" w:evenHBand="1" w:firstRowFirstColumn="0" w:firstRowLastColumn="0" w:lastRowFirstColumn="0" w:lastRowLastColumn="0"/>
        </w:trPr>
        <w:tc>
          <w:tcPr>
            <w:tcW w:w="3652" w:type="dxa"/>
          </w:tcPr>
          <w:p w14:paraId="069D69DB" w14:textId="4F2F9BE0" w:rsidR="0016622B" w:rsidRPr="0016622B" w:rsidRDefault="0016622B" w:rsidP="0016622B">
            <w:pPr>
              <w:numPr>
                <w:ilvl w:val="0"/>
                <w:numId w:val="25"/>
              </w:numPr>
            </w:pPr>
            <w:r w:rsidRPr="0016622B">
              <w:t>NER</w:t>
            </w:r>
          </w:p>
        </w:tc>
        <w:tc>
          <w:tcPr>
            <w:tcW w:w="5041" w:type="dxa"/>
          </w:tcPr>
          <w:p w14:paraId="5FF2B68C" w14:textId="707BC154" w:rsidR="0016622B" w:rsidRPr="0016622B" w:rsidRDefault="0016622B" w:rsidP="0016622B">
            <w:pPr>
              <w:numPr>
                <w:ilvl w:val="0"/>
                <w:numId w:val="25"/>
              </w:numPr>
            </w:pPr>
            <w:r w:rsidRPr="0016622B">
              <w:t>national electricity rules</w:t>
            </w:r>
          </w:p>
        </w:tc>
      </w:tr>
      <w:tr w:rsidR="0016622B" w14:paraId="08673DAC" w14:textId="77777777" w:rsidTr="00CF4D6D">
        <w:tc>
          <w:tcPr>
            <w:tcW w:w="3652" w:type="dxa"/>
          </w:tcPr>
          <w:p w14:paraId="4C8AC6AE" w14:textId="56B4B55E" w:rsidR="0016622B" w:rsidRPr="0016622B" w:rsidRDefault="0016622B" w:rsidP="0016622B">
            <w:pPr>
              <w:numPr>
                <w:ilvl w:val="0"/>
                <w:numId w:val="25"/>
              </w:numPr>
            </w:pPr>
            <w:r w:rsidRPr="0016622B">
              <w:t>NGL</w:t>
            </w:r>
          </w:p>
        </w:tc>
        <w:tc>
          <w:tcPr>
            <w:tcW w:w="5041" w:type="dxa"/>
          </w:tcPr>
          <w:p w14:paraId="02F4E7A4" w14:textId="6D9EA8BE" w:rsidR="0016622B" w:rsidRPr="0016622B" w:rsidRDefault="0016622B" w:rsidP="0016622B">
            <w:pPr>
              <w:numPr>
                <w:ilvl w:val="0"/>
                <w:numId w:val="25"/>
              </w:numPr>
            </w:pPr>
            <w:r w:rsidRPr="0016622B">
              <w:t>national gas law</w:t>
            </w:r>
          </w:p>
        </w:tc>
      </w:tr>
      <w:tr w:rsidR="0016622B" w14:paraId="0B7CD1AA" w14:textId="77777777" w:rsidTr="00CF4D6D">
        <w:trPr>
          <w:cnfStyle w:val="000000010000" w:firstRow="0" w:lastRow="0" w:firstColumn="0" w:lastColumn="0" w:oddVBand="0" w:evenVBand="0" w:oddHBand="0" w:evenHBand="1" w:firstRowFirstColumn="0" w:firstRowLastColumn="0" w:lastRowFirstColumn="0" w:lastRowLastColumn="0"/>
        </w:trPr>
        <w:tc>
          <w:tcPr>
            <w:tcW w:w="3652" w:type="dxa"/>
          </w:tcPr>
          <w:p w14:paraId="7BB5A0B6" w14:textId="7ABC79CE" w:rsidR="0016622B" w:rsidRPr="0016622B" w:rsidRDefault="0016622B" w:rsidP="0016622B">
            <w:pPr>
              <w:numPr>
                <w:ilvl w:val="0"/>
                <w:numId w:val="25"/>
              </w:numPr>
            </w:pPr>
            <w:r w:rsidRPr="0016622B">
              <w:t>NGO</w:t>
            </w:r>
          </w:p>
        </w:tc>
        <w:tc>
          <w:tcPr>
            <w:tcW w:w="5041" w:type="dxa"/>
          </w:tcPr>
          <w:p w14:paraId="01E363EB" w14:textId="2B99CC8C" w:rsidR="0016622B" w:rsidRPr="0016622B" w:rsidRDefault="0016622B" w:rsidP="0016622B">
            <w:pPr>
              <w:numPr>
                <w:ilvl w:val="0"/>
                <w:numId w:val="25"/>
              </w:numPr>
            </w:pPr>
            <w:r w:rsidRPr="0016622B">
              <w:t>national gas objective</w:t>
            </w:r>
          </w:p>
        </w:tc>
      </w:tr>
      <w:tr w:rsidR="0016622B" w14:paraId="2CF89D54" w14:textId="77777777" w:rsidTr="00CF4D6D">
        <w:tc>
          <w:tcPr>
            <w:tcW w:w="3652" w:type="dxa"/>
          </w:tcPr>
          <w:p w14:paraId="4E842F71" w14:textId="4648E250" w:rsidR="0016622B" w:rsidRPr="0016622B" w:rsidRDefault="0016622B" w:rsidP="0016622B">
            <w:pPr>
              <w:numPr>
                <w:ilvl w:val="0"/>
                <w:numId w:val="25"/>
              </w:numPr>
            </w:pPr>
            <w:r w:rsidRPr="0016622B">
              <w:t>NGR</w:t>
            </w:r>
          </w:p>
        </w:tc>
        <w:tc>
          <w:tcPr>
            <w:tcW w:w="5041" w:type="dxa"/>
          </w:tcPr>
          <w:p w14:paraId="401CD3DD" w14:textId="751EED87" w:rsidR="0016622B" w:rsidRPr="0016622B" w:rsidRDefault="0016622B" w:rsidP="0016622B">
            <w:pPr>
              <w:numPr>
                <w:ilvl w:val="0"/>
                <w:numId w:val="25"/>
              </w:numPr>
            </w:pPr>
            <w:r w:rsidRPr="0016622B">
              <w:t>national gas rules</w:t>
            </w:r>
          </w:p>
        </w:tc>
      </w:tr>
    </w:tbl>
    <w:p w14:paraId="58B86366" w14:textId="77777777" w:rsidR="00DE563D" w:rsidRPr="00436A39" w:rsidRDefault="00DE563D" w:rsidP="00DE563D">
      <w:pPr>
        <w:numPr>
          <w:ilvl w:val="0"/>
          <w:numId w:val="25"/>
        </w:numPr>
      </w:pPr>
    </w:p>
    <w:p w14:paraId="34CA2FA0" w14:textId="77777777" w:rsidR="00DE563D" w:rsidRDefault="00DE563D" w:rsidP="00DE563D"/>
    <w:p w14:paraId="4B91D25C" w14:textId="77777777" w:rsidR="00DE563D" w:rsidRDefault="00C04223" w:rsidP="00C04223">
      <w:pPr>
        <w:pStyle w:val="Heading1"/>
      </w:pPr>
      <w:bookmarkStart w:id="11" w:name="_Toc433449206"/>
      <w:r>
        <w:lastRenderedPageBreak/>
        <w:t>Value of imputation credits</w:t>
      </w:r>
      <w:bookmarkEnd w:id="11"/>
    </w:p>
    <w:p w14:paraId="343FE6F8" w14:textId="77777777" w:rsidR="00E356F9" w:rsidRDefault="00E356F9" w:rsidP="00E356F9">
      <w:pPr>
        <w:numPr>
          <w:ilvl w:val="0"/>
          <w:numId w:val="25"/>
        </w:numPr>
      </w:pPr>
      <w:r w:rsidRPr="00A3318E">
        <w:t xml:space="preserve">Under the Australian imputation tax system, investors </w:t>
      </w:r>
      <w:r>
        <w:t xml:space="preserve">can </w:t>
      </w:r>
      <w:r w:rsidRPr="00A3318E">
        <w:t>receive an imputation credit for income t</w:t>
      </w:r>
      <w:r>
        <w:t>ax paid at the company level.</w:t>
      </w:r>
      <w:r>
        <w:rPr>
          <w:rStyle w:val="FootnoteReference"/>
        </w:rPr>
        <w:footnoteReference w:id="2"/>
      </w:r>
      <w:r w:rsidRPr="00A3318E">
        <w:t xml:space="preserve"> For eligible investors, this credit offsets their Australian income tax liabilities. If the </w:t>
      </w:r>
      <w:r>
        <w:t>amount</w:t>
      </w:r>
      <w:r w:rsidRPr="00A3318E">
        <w:t xml:space="preserve"> of imputation credits </w:t>
      </w:r>
      <w:r>
        <w:t xml:space="preserve">received </w:t>
      </w:r>
      <w:r w:rsidRPr="00A3318E">
        <w:t xml:space="preserve">exceeds an investor's tax liability, that investor can receive a cash refund for the balance. </w:t>
      </w:r>
      <w:r>
        <w:t>Imputation</w:t>
      </w:r>
      <w:r w:rsidRPr="00A3318E">
        <w:t xml:space="preserve"> credits are therefore </w:t>
      </w:r>
      <w:r>
        <w:t xml:space="preserve">valuable to investors and are </w:t>
      </w:r>
      <w:r w:rsidRPr="00A3318E">
        <w:t xml:space="preserve">a benefit to investors in addition to any cash dividend or capital gains </w:t>
      </w:r>
      <w:r>
        <w:t xml:space="preserve">they receive </w:t>
      </w:r>
      <w:r w:rsidRPr="00A3318E">
        <w:t>from owning shares.</w:t>
      </w:r>
    </w:p>
    <w:p w14:paraId="128C7FE1" w14:textId="77777777" w:rsidR="00E356F9" w:rsidRPr="00E356F9" w:rsidRDefault="004569D9" w:rsidP="00A971D2">
      <w:pPr>
        <w:numPr>
          <w:ilvl w:val="0"/>
          <w:numId w:val="25"/>
        </w:numPr>
      </w:pPr>
      <w:r>
        <w:t xml:space="preserve">The NER/NGR </w:t>
      </w:r>
      <w:proofErr w:type="gramStart"/>
      <w:r>
        <w:t>recognise</w:t>
      </w:r>
      <w:proofErr w:type="gramEnd"/>
      <w:r w:rsidR="006479AE">
        <w:t xml:space="preserve"> that a service provider</w:t>
      </w:r>
      <w:r w:rsidR="005828FB">
        <w:t>'s allowed revenue does not</w:t>
      </w:r>
      <w:r w:rsidR="006479AE">
        <w:t xml:space="preserve"> need </w:t>
      </w:r>
      <w:r w:rsidR="005828FB">
        <w:t xml:space="preserve">to include </w:t>
      </w:r>
      <w:r w:rsidR="006479AE">
        <w:t xml:space="preserve">the value of imputation credits. </w:t>
      </w:r>
      <w:r w:rsidR="00B23437">
        <w:t xml:space="preserve">Under the </w:t>
      </w:r>
      <w:r w:rsidR="00AD351F">
        <w:t>NER/NGR</w:t>
      </w:r>
      <w:r w:rsidR="00B23437">
        <w:t xml:space="preserve">, service providers are to </w:t>
      </w:r>
      <w:r w:rsidR="0028481C">
        <w:t>recover</w:t>
      </w:r>
      <w:r w:rsidR="00B23437">
        <w:t xml:space="preserve"> revenue that compensates them for their efficient costs</w:t>
      </w:r>
      <w:r w:rsidR="006479AE">
        <w:t xml:space="preserve"> in providing regulated services. This includes, among other things,</w:t>
      </w:r>
      <w:r w:rsidR="00B23437">
        <w:t xml:space="preserve"> a return </w:t>
      </w:r>
      <w:r w:rsidR="006479AE">
        <w:t>to be provided to investors (return on equity) that is required to promote</w:t>
      </w:r>
      <w:r w:rsidR="00B23437">
        <w:t xml:space="preserve"> </w:t>
      </w:r>
      <w:r w:rsidR="00F50D64">
        <w:t>efficient levels of investment</w:t>
      </w:r>
      <w:r w:rsidR="00B23437">
        <w:t>.</w:t>
      </w:r>
      <w:r w:rsidR="006479AE">
        <w:t xml:space="preserve"> </w:t>
      </w:r>
      <w:r w:rsidR="00F50D64">
        <w:t>The more that imputation credits are valuable, the less return</w:t>
      </w:r>
      <w:r w:rsidR="005E63F7">
        <w:t xml:space="preserve"> that</w:t>
      </w:r>
      <w:r w:rsidR="00F50D64">
        <w:t xml:space="preserve"> investors require from dividends and capital gains. </w:t>
      </w:r>
      <w:r w:rsidR="005E63F7">
        <w:t>However, t</w:t>
      </w:r>
      <w:r w:rsidR="00F50D64">
        <w:t xml:space="preserve">he </w:t>
      </w:r>
      <w:r w:rsidR="006479AE">
        <w:t>estimation of the return on equity does not take imputation credits</w:t>
      </w:r>
      <w:r w:rsidR="005E63F7">
        <w:t xml:space="preserve"> into account</w:t>
      </w:r>
      <w:r w:rsidR="006479AE">
        <w:t>.</w:t>
      </w:r>
      <w:r w:rsidR="008D59B7">
        <w:rPr>
          <w:rStyle w:val="FootnoteReference"/>
        </w:rPr>
        <w:footnoteReference w:id="3"/>
      </w:r>
      <w:r w:rsidR="006479AE">
        <w:t xml:space="preserve"> </w:t>
      </w:r>
      <w:r w:rsidR="005E63F7">
        <w:t>Therefore, an adjustment for the value of imputation credits is required. This adjustment could take the form of a decrease in the estimated return on equity itself. An alternative but equivalent form of adjustment, which is employed by the NER/NGR, is via the revenue granted to a service provider to cover its expected tax liability.</w:t>
      </w:r>
      <w:r w:rsidR="00A971D2">
        <w:t xml:space="preserve"> Specifically, </w:t>
      </w:r>
      <w:r w:rsidR="00E356F9">
        <w:t xml:space="preserve">the </w:t>
      </w:r>
      <w:r>
        <w:t>NER/NGR</w:t>
      </w:r>
      <w:r w:rsidR="00E356F9">
        <w:t xml:space="preserve"> require that the estimated cost of corporate income tax be determined in accordance with a formula that reduces the estimated cost of corporate tax by the 'value of imputation credits' (represented by the Greek letter, </w:t>
      </w:r>
      <m:oMath>
        <m:r>
          <w:rPr>
            <w:rFonts w:ascii="Cambria Math" w:hAnsi="Cambria Math"/>
          </w:rPr>
          <m:t>γ</m:t>
        </m:r>
      </m:oMath>
      <w:r w:rsidR="00E356F9">
        <w:t>, 'gamma').</w:t>
      </w:r>
      <w:r w:rsidR="00E356F9">
        <w:rPr>
          <w:rStyle w:val="FootnoteReference"/>
        </w:rPr>
        <w:footnoteReference w:id="4"/>
      </w:r>
      <w:r w:rsidR="00E356F9">
        <w:t xml:space="preserve"> </w:t>
      </w:r>
      <w:r w:rsidR="00D66291">
        <w:t>This form of adjustment recognises that it is the payment of corporate tax which is the source of the imputation credit return to investors.</w:t>
      </w:r>
    </w:p>
    <w:p w14:paraId="33128EAA" w14:textId="360B4580" w:rsidR="00E356F9" w:rsidRDefault="00E356F9" w:rsidP="00E356F9">
      <w:pPr>
        <w:numPr>
          <w:ilvl w:val="0"/>
          <w:numId w:val="25"/>
        </w:numPr>
      </w:pPr>
      <w:r>
        <w:t xml:space="preserve">In this attachment, we set out our </w:t>
      </w:r>
      <w:r w:rsidR="00CE2DEA">
        <w:t>final</w:t>
      </w:r>
      <w:r>
        <w:t xml:space="preserve"> decision on the value of imputation credits and our key reasons for this </w:t>
      </w:r>
      <w:r w:rsidR="007661C9">
        <w:t>decision</w:t>
      </w:r>
      <w:r>
        <w:t xml:space="preserve">. We also consider </w:t>
      </w:r>
      <w:r w:rsidR="00FB4886">
        <w:t>SA Power Networks'</w:t>
      </w:r>
      <w:r>
        <w:t xml:space="preserve"> proposed value of imputation credits and the key reasons for its proposal. In appendix A, we include further supporting detail on our position on the value of imputation credits and also respond to </w:t>
      </w:r>
      <w:r w:rsidR="00FB4886">
        <w:t>SA Power Networks'</w:t>
      </w:r>
      <w:r>
        <w:t xml:space="preserve"> proposal in more detail. </w:t>
      </w:r>
    </w:p>
    <w:p w14:paraId="69F7E4E0" w14:textId="77777777" w:rsidR="00DE563D" w:rsidRPr="001754EE" w:rsidRDefault="00415F31" w:rsidP="001754EE">
      <w:pPr>
        <w:pStyle w:val="Heading2"/>
      </w:pPr>
      <w:bookmarkStart w:id="12" w:name="_Toc403144136"/>
      <w:bookmarkStart w:id="13" w:name="_Toc433449207"/>
      <w:r w:rsidRPr="001754EE">
        <w:t>Final</w:t>
      </w:r>
      <w:r w:rsidR="00DE563D" w:rsidRPr="001754EE">
        <w:t xml:space="preserve"> decision</w:t>
      </w:r>
      <w:bookmarkEnd w:id="12"/>
      <w:bookmarkEnd w:id="13"/>
    </w:p>
    <w:p w14:paraId="66144C66" w14:textId="1EE885F2" w:rsidR="002C233C" w:rsidRDefault="00AA4E4D" w:rsidP="002C233C">
      <w:pPr>
        <w:numPr>
          <w:ilvl w:val="0"/>
          <w:numId w:val="25"/>
        </w:numPr>
      </w:pPr>
      <w:bookmarkStart w:id="14" w:name="_Toc403144137"/>
      <w:r>
        <w:t>We do not acce</w:t>
      </w:r>
      <w:r w:rsidR="00841282">
        <w:t xml:space="preserve">pt </w:t>
      </w:r>
      <w:r w:rsidR="00D373D1">
        <w:t>SA Power Networks'</w:t>
      </w:r>
      <w:r>
        <w:t xml:space="preserve"> proposed value of imputation credits of 0.25. Instead, we adopt a value of imputation credits of 0.4.</w:t>
      </w:r>
    </w:p>
    <w:p w14:paraId="33C3DBE4" w14:textId="77777777" w:rsidR="006F0FAC" w:rsidRDefault="006F0FAC" w:rsidP="006F0FAC">
      <w:pPr>
        <w:numPr>
          <w:ilvl w:val="0"/>
          <w:numId w:val="25"/>
        </w:numPr>
      </w:pPr>
      <w:r>
        <w:t>Estimating the value of imputation credits is a complex and imprecise task. There is no consensus among experts on the appropriate value or estimation techniques to use.</w:t>
      </w:r>
      <w:r>
        <w:rPr>
          <w:rStyle w:val="FootnoteReference"/>
        </w:rPr>
        <w:footnoteReference w:id="5"/>
      </w:r>
      <w:r>
        <w:t xml:space="preserve"> Further, with each estimation technique there are often a number of ways these may be </w:t>
      </w:r>
      <w:r>
        <w:lastRenderedPageBreak/>
        <w:t>applied resulting in different outcomes. Conceptually, the value of imputation credits must be between 0 and 1, and the range of expert views on the value of imputation credits is almost this wide.</w:t>
      </w:r>
      <w:r>
        <w:rPr>
          <w:rStyle w:val="FootnoteReference"/>
        </w:rPr>
        <w:footnoteReference w:id="6"/>
      </w:r>
    </w:p>
    <w:p w14:paraId="7BD796D0" w14:textId="77777777" w:rsidR="006F0FAC" w:rsidRDefault="006F0FAC" w:rsidP="006F0FAC">
      <w:pPr>
        <w:numPr>
          <w:ilvl w:val="0"/>
          <w:numId w:val="25"/>
        </w:numPr>
      </w:pPr>
      <w:r>
        <w:t xml:space="preserve">In coming to a value of imputation credits of 0.4, we have considered the </w:t>
      </w:r>
      <w:r w:rsidR="00A40349">
        <w:t>full range</w:t>
      </w:r>
      <w:r>
        <w:t xml:space="preserve"> of evidence before us with regard to its merits. Specifically, we use the widely accepted approach of estimating the value of imputation credits as the product of two sub-parameters: the 'distribution rate' and the 'utilisation rate'.</w:t>
      </w:r>
      <w:r>
        <w:rPr>
          <w:rStyle w:val="FootnoteReference"/>
        </w:rPr>
        <w:footnoteReference w:id="7"/>
      </w:r>
      <w:r>
        <w:t xml:space="preserve"> Moreover, we have regard to: </w:t>
      </w:r>
    </w:p>
    <w:p w14:paraId="18C1935D" w14:textId="77777777" w:rsidR="006F0FAC" w:rsidRPr="006F0FAC" w:rsidRDefault="006F0FAC" w:rsidP="006F0FAC">
      <w:pPr>
        <w:pStyle w:val="AERbulletlistfirststyle"/>
      </w:pPr>
      <w:r>
        <w:t>t</w:t>
      </w:r>
      <w:r w:rsidRPr="006F0FAC">
        <w:t>he widely accepted approach to e</w:t>
      </w:r>
      <w:r w:rsidR="00511C9E">
        <w:t>stimating the distribution rate, and</w:t>
      </w:r>
    </w:p>
    <w:p w14:paraId="553F1C8B" w14:textId="77777777" w:rsidR="006F0FAC" w:rsidRPr="006F0FAC" w:rsidRDefault="006F0FAC" w:rsidP="006F0FAC">
      <w:pPr>
        <w:pStyle w:val="AERbulletlistfirststyle"/>
      </w:pPr>
      <w:proofErr w:type="gramStart"/>
      <w:r>
        <w:t>t</w:t>
      </w:r>
      <w:r w:rsidRPr="006F0FAC">
        <w:t>he</w:t>
      </w:r>
      <w:proofErr w:type="gramEnd"/>
      <w:r w:rsidRPr="006F0FAC">
        <w:t xml:space="preserve"> range of approaches relevant to estimating the utilisation rate, with due regard to the merit of each approach.</w:t>
      </w:r>
    </w:p>
    <w:p w14:paraId="7136DE74" w14:textId="77777777" w:rsidR="006F0FAC" w:rsidRDefault="006F0FAC" w:rsidP="006F0FAC">
      <w:pPr>
        <w:numPr>
          <w:ilvl w:val="0"/>
          <w:numId w:val="25"/>
        </w:numPr>
      </w:pPr>
      <w:r>
        <w:t xml:space="preserve">Overall, this evidence suggests that a range of estimates for the value of imputation credits might be reasonable. With regard to the merits of the evidence before us, we choose a value </w:t>
      </w:r>
      <w:r w:rsidR="00D11729">
        <w:t>of</w:t>
      </w:r>
      <w:r>
        <w:t xml:space="preserve"> imputation credits of 0.4 from within a range</w:t>
      </w:r>
      <w:r w:rsidR="00F05353">
        <w:t xml:space="preserve"> of 0.3</w:t>
      </w:r>
      <w:r w:rsidR="00AD45FF">
        <w:t xml:space="preserve"> to 0.5</w:t>
      </w:r>
      <w:r w:rsidR="00674847">
        <w:t>.</w:t>
      </w:r>
    </w:p>
    <w:p w14:paraId="6100FFCD" w14:textId="77777777" w:rsidR="00AA4E4D" w:rsidRDefault="006F0FAC" w:rsidP="006F0FAC">
      <w:r>
        <w:t>In considering the evidence on the distribution and utilisation rates, we have broadly maintained the approach set out in the rate of return guideline (the Guideline), but have re-examined the relevant evidence and estimates. This re-examination, and new evidence and advice considered since the Guideline, led us to depart from the 0.5 value of imputation credits we proposed in the Guideline.</w:t>
      </w:r>
    </w:p>
    <w:p w14:paraId="7E623875" w14:textId="6CEBD7FE" w:rsidR="00DE563D" w:rsidRPr="001754EE" w:rsidRDefault="00F864E6" w:rsidP="001754EE">
      <w:pPr>
        <w:pStyle w:val="Heading2"/>
      </w:pPr>
      <w:bookmarkStart w:id="15" w:name="_Ref414621796"/>
      <w:bookmarkStart w:id="16" w:name="_Toc433449208"/>
      <w:r>
        <w:t>SA Power Networks'</w:t>
      </w:r>
      <w:r w:rsidR="00415F31" w:rsidRPr="001754EE">
        <w:t xml:space="preserve"> revised</w:t>
      </w:r>
      <w:r w:rsidR="00DE563D" w:rsidRPr="001754EE">
        <w:t xml:space="preserve"> proposal</w:t>
      </w:r>
      <w:bookmarkEnd w:id="14"/>
      <w:bookmarkEnd w:id="15"/>
      <w:bookmarkEnd w:id="16"/>
    </w:p>
    <w:p w14:paraId="191CCA4E" w14:textId="74EB6387" w:rsidR="006F0FAC" w:rsidRDefault="006F0FAC" w:rsidP="00D14DE4">
      <w:pPr>
        <w:numPr>
          <w:ilvl w:val="0"/>
          <w:numId w:val="25"/>
        </w:numPr>
      </w:pPr>
      <w:r>
        <w:t xml:space="preserve">In its revised proposal, </w:t>
      </w:r>
      <w:r w:rsidR="00F864E6">
        <w:t>SA Power Networks</w:t>
      </w:r>
      <w:r>
        <w:t xml:space="preserve"> did not </w:t>
      </w:r>
      <w:r w:rsidR="003B0C3D">
        <w:t>adopt</w:t>
      </w:r>
      <w:r>
        <w:t xml:space="preserve"> our </w:t>
      </w:r>
      <w:r w:rsidR="00F864E6">
        <w:t>preliminary</w:t>
      </w:r>
      <w:r>
        <w:t xml:space="preserve"> decision and maintained the position in its initial proposal.</w:t>
      </w:r>
      <w:r w:rsidR="00C903FF">
        <w:rPr>
          <w:rStyle w:val="FootnoteReference"/>
        </w:rPr>
        <w:footnoteReference w:id="8"/>
      </w:r>
      <w:r>
        <w:t xml:space="preserve"> This was </w:t>
      </w:r>
      <w:r w:rsidR="00A35A6E">
        <w:t xml:space="preserve">for </w:t>
      </w:r>
      <w:r>
        <w:t xml:space="preserve">a value of imputation credits of 0.25, calculated as the product of a distribution rate of 0.7 and </w:t>
      </w:r>
      <w:proofErr w:type="gramStart"/>
      <w:r>
        <w:t>a</w:t>
      </w:r>
      <w:proofErr w:type="gramEnd"/>
      <w:r>
        <w:t xml:space="preserve"> utilisation rate of 0.35.</w:t>
      </w:r>
      <w:r>
        <w:rPr>
          <w:rStyle w:val="FootnoteReference"/>
        </w:rPr>
        <w:footnoteReference w:id="9"/>
      </w:r>
      <w:r>
        <w:t xml:space="preserve"> Its proposed distribution rate of 0.7 was consistent with</w:t>
      </w:r>
      <w:r w:rsidR="008E3B4F">
        <w:t xml:space="preserve"> the value in the Guideline and</w:t>
      </w:r>
      <w:r>
        <w:t xml:space="preserve"> </w:t>
      </w:r>
      <w:r w:rsidR="00A35A6E">
        <w:t xml:space="preserve">our value in the </w:t>
      </w:r>
      <w:r w:rsidR="00305358">
        <w:t>preliminary</w:t>
      </w:r>
      <w:r w:rsidR="00A35A6E">
        <w:t xml:space="preserve"> decision when estimated over all companies. However, in the </w:t>
      </w:r>
      <w:r w:rsidR="00305358">
        <w:t>preliminary</w:t>
      </w:r>
      <w:r w:rsidR="00A35A6E">
        <w:t xml:space="preserve"> decision we also relied in part on a distribution rate estimated over just public companies</w:t>
      </w:r>
      <w:r w:rsidR="00254F30">
        <w:t>,</w:t>
      </w:r>
      <w:r w:rsidR="00DE0079">
        <w:t xml:space="preserve"> of 0.8</w:t>
      </w:r>
      <w:r w:rsidR="00A35A6E">
        <w:t>.</w:t>
      </w:r>
      <w:r>
        <w:t xml:space="preserve"> </w:t>
      </w:r>
      <w:r w:rsidR="005666AD">
        <w:t>SA Power Networks'</w:t>
      </w:r>
      <w:r>
        <w:t xml:space="preserve"> proposed utilisation rate of 0.35</w:t>
      </w:r>
      <w:r w:rsidR="009E2B76">
        <w:t xml:space="preserve"> was lower than </w:t>
      </w:r>
      <w:r w:rsidR="008E3B4F">
        <w:t xml:space="preserve">the value in the Guideline and </w:t>
      </w:r>
      <w:r w:rsidR="009E2B76">
        <w:t xml:space="preserve">a number of estimates </w:t>
      </w:r>
      <w:r w:rsidR="00391493">
        <w:t xml:space="preserve">on which </w:t>
      </w:r>
      <w:r w:rsidR="00F1028F">
        <w:t xml:space="preserve">we </w:t>
      </w:r>
      <w:r w:rsidR="00391493">
        <w:t>placed reliance</w:t>
      </w:r>
      <w:r w:rsidR="009E2B76">
        <w:t xml:space="preserve"> in the </w:t>
      </w:r>
      <w:r w:rsidR="005666AD">
        <w:t>preliminary</w:t>
      </w:r>
      <w:r w:rsidR="009E2B76">
        <w:t xml:space="preserve"> decision</w:t>
      </w:r>
      <w:r>
        <w:t xml:space="preserve">. </w:t>
      </w:r>
      <w:r w:rsidR="005666AD">
        <w:t>SA Power Networks' p</w:t>
      </w:r>
      <w:r w:rsidR="00D14DE4">
        <w:t>roposed utilisation rate was supported by Professor Stephen Gray's view that '</w:t>
      </w:r>
      <w:r w:rsidR="00D14DE4" w:rsidRPr="00D14DE4">
        <w:t xml:space="preserve">the best available estimate of </w:t>
      </w:r>
      <w:r w:rsidR="007B067C">
        <w:t>theta</w:t>
      </w:r>
      <w:r w:rsidR="00D14DE4" w:rsidRPr="00D14DE4">
        <w:t xml:space="preserve"> is 0.35</w:t>
      </w:r>
      <w:r w:rsidR="00D14DE4">
        <w:t>'.</w:t>
      </w:r>
      <w:r w:rsidR="00D14DE4">
        <w:rPr>
          <w:rStyle w:val="FootnoteReference"/>
        </w:rPr>
        <w:footnoteReference w:id="10"/>
      </w:r>
      <w:r w:rsidR="002939DB">
        <w:t xml:space="preserve"> This estimate is from a 'dividend drop off' study by SFG Consulting and co-authored by Professor Gray.</w:t>
      </w:r>
      <w:r w:rsidR="002939DB">
        <w:rPr>
          <w:rStyle w:val="FootnoteReference"/>
        </w:rPr>
        <w:footnoteReference w:id="11"/>
      </w:r>
    </w:p>
    <w:p w14:paraId="0089D819" w14:textId="5064CD6C" w:rsidR="005E50C1" w:rsidRDefault="00300843" w:rsidP="006F0FAC">
      <w:r>
        <w:lastRenderedPageBreak/>
        <w:t>SA Power Networks'</w:t>
      </w:r>
      <w:r w:rsidR="006F0FAC">
        <w:t xml:space="preserve"> proposed value of imputation credits of 0.25 and supporting reasons were </w:t>
      </w:r>
      <w:r>
        <w:t xml:space="preserve">broadly </w:t>
      </w:r>
      <w:r w:rsidR="006F0FAC">
        <w:t xml:space="preserve">consistent with the proposals we received from a number of other service providers. </w:t>
      </w:r>
      <w:r w:rsidR="000A75BE">
        <w:t>Seventeen</w:t>
      </w:r>
      <w:r w:rsidR="00332C7E" w:rsidRPr="00332C7E">
        <w:t xml:space="preserve"> service providers </w:t>
      </w:r>
      <w:r w:rsidR="004D4F86">
        <w:t xml:space="preserve">over the past 18 </w:t>
      </w:r>
      <w:r w:rsidR="00391493">
        <w:t>M</w:t>
      </w:r>
      <w:r w:rsidR="004D4F86">
        <w:t xml:space="preserve">onths </w:t>
      </w:r>
      <w:r w:rsidR="00B765CA">
        <w:t xml:space="preserve">have now </w:t>
      </w:r>
      <w:r w:rsidR="00332C7E" w:rsidRPr="00332C7E">
        <w:t xml:space="preserve">made </w:t>
      </w:r>
      <w:r w:rsidR="004D4F86">
        <w:t xml:space="preserve">broadly </w:t>
      </w:r>
      <w:r w:rsidR="00332C7E" w:rsidRPr="00332C7E">
        <w:t>consistent proposals on the value of imputation credits</w:t>
      </w:r>
      <w:r w:rsidR="005E50C1">
        <w:t>:</w:t>
      </w:r>
      <w:r w:rsidR="00332C7E" w:rsidRPr="00332C7E">
        <w:t xml:space="preserve">  ActewAGL, Ausgrid, Directlink, Endeavour Energy, Essential Energy, </w:t>
      </w:r>
      <w:r w:rsidR="00FC5C0E">
        <w:t>Jemena Gas Networks (</w:t>
      </w:r>
      <w:r w:rsidR="00332C7E" w:rsidRPr="00332C7E">
        <w:t>JGN</w:t>
      </w:r>
      <w:r w:rsidR="00FC5C0E">
        <w:t>)</w:t>
      </w:r>
      <w:r w:rsidR="006C0A85">
        <w:t>,</w:t>
      </w:r>
      <w:r w:rsidR="00332C7E" w:rsidRPr="00332C7E">
        <w:t xml:space="preserve"> TransGrid</w:t>
      </w:r>
      <w:r w:rsidR="008F101D">
        <w:t>, SA Power Networks, Energex,</w:t>
      </w:r>
      <w:r w:rsidR="006C0A85">
        <w:t xml:space="preserve"> Ergon, AusNet</w:t>
      </w:r>
      <w:r w:rsidR="00B765CA">
        <w:t xml:space="preserve"> Services, Citipower, Powercor</w:t>
      </w:r>
      <w:r w:rsidR="008F101D">
        <w:t xml:space="preserve">, </w:t>
      </w:r>
      <w:r w:rsidR="00B765CA">
        <w:t>Jemena Electricity Networks (Vic)</w:t>
      </w:r>
      <w:r w:rsidR="008F101D">
        <w:t>, ActewAGL Distribution, Australian Gas Networks, and APT Pipeline (NT) Pty Ltd</w:t>
      </w:r>
      <w:r w:rsidR="00332C7E" w:rsidRPr="00332C7E">
        <w:t>.</w:t>
      </w:r>
      <w:r w:rsidR="00332C7E">
        <w:t xml:space="preserve"> </w:t>
      </w:r>
      <w:r w:rsidR="00B765CA" w:rsidRPr="00332C7E">
        <w:t>ActewAGL, Ausgrid, Directlink, Endeavour Energy, Essential Energy, JGN</w:t>
      </w:r>
      <w:r w:rsidR="00B765CA">
        <w:t>,</w:t>
      </w:r>
      <w:r w:rsidR="00B765CA" w:rsidRPr="00332C7E">
        <w:t xml:space="preserve"> TransGrid</w:t>
      </w:r>
      <w:r w:rsidR="00B765CA">
        <w:t>, SA Power Networks, Energex and Ergon</w:t>
      </w:r>
      <w:r w:rsidR="008F101D">
        <w:t>, who lodged initial proposals in 2014,</w:t>
      </w:r>
      <w:r w:rsidR="00B765CA" w:rsidDel="00B765CA">
        <w:t xml:space="preserve"> </w:t>
      </w:r>
      <w:r w:rsidR="00240132">
        <w:t xml:space="preserve"> maintained in their revised proposals their position in their initial proposals. </w:t>
      </w:r>
    </w:p>
    <w:p w14:paraId="4333EEAE" w14:textId="4CE2DF45" w:rsidR="005E50C1" w:rsidRDefault="00E470C3" w:rsidP="005E50C1">
      <w:r>
        <w:t xml:space="preserve">The majority of the service providers listed above </w:t>
      </w:r>
      <w:r w:rsidR="005E50C1">
        <w:t xml:space="preserve">jointly commissioned two reports from SFG Consulting (SFG) and relied on these reports in their proposals. </w:t>
      </w:r>
      <w:r w:rsidR="004D4F86">
        <w:t>I</w:t>
      </w:r>
      <w:r w:rsidR="00C87763">
        <w:t>n</w:t>
      </w:r>
      <w:r w:rsidR="004D4F86">
        <w:t xml:space="preserve"> addition, the majority of service providers have commissioned and relied on expert reports from NERA </w:t>
      </w:r>
      <w:r w:rsidR="002E1251">
        <w:t xml:space="preserve">Economic Consulting (NERA) </w:t>
      </w:r>
      <w:r w:rsidR="004D4F86">
        <w:t>and Frontier Economics</w:t>
      </w:r>
      <w:r w:rsidR="002E1251">
        <w:t xml:space="preserve"> (Frontier)</w:t>
      </w:r>
      <w:r w:rsidR="004D4F86">
        <w:t>.</w:t>
      </w:r>
      <w:r w:rsidR="004D4F86">
        <w:rPr>
          <w:rStyle w:val="FootnoteReference"/>
        </w:rPr>
        <w:footnoteReference w:id="12"/>
      </w:r>
    </w:p>
    <w:p w14:paraId="2C66528A" w14:textId="7B266E0D" w:rsidR="0099223C" w:rsidRDefault="00332C7E" w:rsidP="005E50C1">
      <w:r>
        <w:t>O</w:t>
      </w:r>
      <w:r w:rsidR="006F0FAC">
        <w:t xml:space="preserve">ur analysis of </w:t>
      </w:r>
      <w:r w:rsidR="00841282">
        <w:t xml:space="preserve">JGN's </w:t>
      </w:r>
      <w:r w:rsidR="00240132">
        <w:t xml:space="preserve">revised </w:t>
      </w:r>
      <w:r w:rsidR="006F0FAC">
        <w:t xml:space="preserve">proposal </w:t>
      </w:r>
      <w:r w:rsidR="005E50C1">
        <w:t>wa</w:t>
      </w:r>
      <w:r w:rsidR="006F0FAC">
        <w:t xml:space="preserve">s </w:t>
      </w:r>
      <w:r w:rsidR="00836555">
        <w:t xml:space="preserve">broadly </w:t>
      </w:r>
      <w:r w:rsidR="006F0FAC">
        <w:t>consistent with our analysis of the proposals from th</w:t>
      </w:r>
      <w:r w:rsidR="004D4F86">
        <w:t>e</w:t>
      </w:r>
      <w:r w:rsidR="006F0FAC">
        <w:t xml:space="preserve"> service providers</w:t>
      </w:r>
      <w:r w:rsidR="005E50C1">
        <w:t xml:space="preserve"> </w:t>
      </w:r>
      <w:r w:rsidR="004D4F86">
        <w:t xml:space="preserve">we </w:t>
      </w:r>
      <w:r w:rsidR="002C1CFB">
        <w:t>released decisions</w:t>
      </w:r>
      <w:r w:rsidR="005E50C1">
        <w:t xml:space="preserve"> </w:t>
      </w:r>
      <w:r w:rsidR="004D4F86">
        <w:t>for</w:t>
      </w:r>
      <w:r w:rsidR="005E50C1">
        <w:t xml:space="preserve"> in </w:t>
      </w:r>
      <w:r w:rsidR="0037770A">
        <w:t>April 2015</w:t>
      </w:r>
      <w:r w:rsidR="006F0FAC">
        <w:t>.</w:t>
      </w:r>
      <w:r w:rsidR="00C87763">
        <w:rPr>
          <w:rStyle w:val="FootnoteReference"/>
        </w:rPr>
        <w:footnoteReference w:id="13"/>
      </w:r>
      <w:r>
        <w:t xml:space="preserve"> The only material difference between th</w:t>
      </w:r>
      <w:r w:rsidR="0037770A">
        <w:t>e</w:t>
      </w:r>
      <w:r>
        <w:t xml:space="preserve"> final decision for JGN and our </w:t>
      </w:r>
      <w:r w:rsidR="00EF4770">
        <w:t>earlier</w:t>
      </w:r>
      <w:r>
        <w:t xml:space="preserve"> decisions for those service providers </w:t>
      </w:r>
      <w:r w:rsidR="0037770A">
        <w:t>wa</w:t>
      </w:r>
      <w:r>
        <w:t>s that in th</w:t>
      </w:r>
      <w:r w:rsidR="0037770A">
        <w:t>e JGN</w:t>
      </w:r>
      <w:r w:rsidR="00C54835">
        <w:t xml:space="preserve"> final decision had regard to two</w:t>
      </w:r>
      <w:r>
        <w:t xml:space="preserve"> new </w:t>
      </w:r>
      <w:r w:rsidR="00C54835">
        <w:t xml:space="preserve">expert </w:t>
      </w:r>
      <w:r>
        <w:t>report</w:t>
      </w:r>
      <w:r w:rsidR="00C54835">
        <w:t>s</w:t>
      </w:r>
      <w:r>
        <w:t>.</w:t>
      </w:r>
      <w:r w:rsidR="00A62899">
        <w:rPr>
          <w:rStyle w:val="FootnoteReference"/>
        </w:rPr>
        <w:footnoteReference w:id="14"/>
      </w:r>
      <w:r w:rsidR="00207E2C">
        <w:t xml:space="preserve"> </w:t>
      </w:r>
      <w:r w:rsidR="0037770A">
        <w:t xml:space="preserve">The </w:t>
      </w:r>
      <w:r w:rsidR="00C9636D">
        <w:t>key</w:t>
      </w:r>
      <w:r w:rsidR="0037770A">
        <w:t xml:space="preserve"> difference </w:t>
      </w:r>
      <w:r w:rsidR="00EF4770">
        <w:t>between</w:t>
      </w:r>
      <w:r w:rsidR="0037770A">
        <w:t xml:space="preserve"> this final decision and the JGN final decision is we have had regard to </w:t>
      </w:r>
      <w:r w:rsidR="002E1251">
        <w:t>several</w:t>
      </w:r>
      <w:r w:rsidR="00A51C21">
        <w:t xml:space="preserve"> </w:t>
      </w:r>
      <w:r w:rsidR="0037770A">
        <w:t>new expert reports</w:t>
      </w:r>
      <w:r w:rsidR="00C87763">
        <w:t xml:space="preserve"> from </w:t>
      </w:r>
      <w:proofErr w:type="gramStart"/>
      <w:r w:rsidR="00C87763">
        <w:t>NERA  and</w:t>
      </w:r>
      <w:proofErr w:type="gramEnd"/>
      <w:r w:rsidR="00C87763">
        <w:t xml:space="preserve"> Frontier</w:t>
      </w:r>
      <w:r w:rsidR="00E50C64">
        <w:t>.</w:t>
      </w:r>
      <w:r w:rsidR="00E50C64" w:rsidRPr="00E50C64">
        <w:rPr>
          <w:rStyle w:val="FootnoteReference"/>
        </w:rPr>
        <w:t xml:space="preserve"> </w:t>
      </w:r>
      <w:r w:rsidR="00E50C64">
        <w:rPr>
          <w:rStyle w:val="FootnoteReference"/>
        </w:rPr>
        <w:footnoteReference w:id="15"/>
      </w:r>
      <w:r w:rsidR="00E50C64">
        <w:t xml:space="preserve"> We note that the new and revised proposals, which we have considered in detail, add little beyond what is contained in the new reports</w:t>
      </w:r>
      <w:r w:rsidR="00573C3B">
        <w:t>.</w:t>
      </w:r>
      <w:r w:rsidR="0099223C">
        <w:t xml:space="preserve"> We also note key areas of </w:t>
      </w:r>
      <w:r w:rsidR="002C1CFB">
        <w:t>disagreement are</w:t>
      </w:r>
      <w:r w:rsidR="0099223C">
        <w:t xml:space="preserve"> largely unchanged from those we considered in making our final decisions released in April and June 2015</w:t>
      </w:r>
      <w:r w:rsidR="008B5041">
        <w:t xml:space="preserve"> currently being considered by The Australian Competition Tribunal</w:t>
      </w:r>
      <w:r w:rsidR="0037770A">
        <w:t>.</w:t>
      </w:r>
      <w:r w:rsidR="00823112">
        <w:rPr>
          <w:rStyle w:val="FootnoteReference"/>
        </w:rPr>
        <w:footnoteReference w:id="16"/>
      </w:r>
      <w:r w:rsidR="0082105A">
        <w:t xml:space="preserve"> </w:t>
      </w:r>
    </w:p>
    <w:p w14:paraId="3A585A83" w14:textId="1199C72C" w:rsidR="002C233C" w:rsidRDefault="00843AA2" w:rsidP="005E50C1">
      <w:r>
        <w:t xml:space="preserve">Throughout this </w:t>
      </w:r>
      <w:r w:rsidR="001D4E56">
        <w:t>attachment</w:t>
      </w:r>
      <w:r>
        <w:t xml:space="preserve"> we refer to </w:t>
      </w:r>
      <w:r w:rsidR="0037770A">
        <w:t xml:space="preserve">AusNet Services, Citipower, </w:t>
      </w:r>
      <w:r w:rsidR="00EF4770">
        <w:t>Powercor</w:t>
      </w:r>
      <w:r w:rsidR="0037770A">
        <w:t>, and Jemena Electricity Networks (Vic) as 'the Vi</w:t>
      </w:r>
      <w:r>
        <w:t>ctorian service providers',</w:t>
      </w:r>
      <w:r w:rsidR="0037770A">
        <w:t xml:space="preserve"> </w:t>
      </w:r>
      <w:r>
        <w:t xml:space="preserve">and </w:t>
      </w:r>
      <w:r w:rsidR="0037770A">
        <w:t>ActewAGL Distribution, Australian Gas Networks, and APT Pipeline (NT) Pty Ltd as 'the 2015 gas network service providers'</w:t>
      </w:r>
      <w:r w:rsidR="008A73F5">
        <w:t>.</w:t>
      </w:r>
      <w:r w:rsidR="0037770A">
        <w:t xml:space="preserve"> </w:t>
      </w:r>
      <w:r w:rsidR="00C42DAA">
        <w:t xml:space="preserve"> </w:t>
      </w:r>
    </w:p>
    <w:p w14:paraId="6A951599" w14:textId="77777777" w:rsidR="00DE563D" w:rsidRDefault="00DE563D" w:rsidP="001754EE">
      <w:pPr>
        <w:pStyle w:val="Heading2"/>
      </w:pPr>
      <w:bookmarkStart w:id="17" w:name="_Toc403144138"/>
      <w:bookmarkStart w:id="18" w:name="_Toc433449209"/>
      <w:r w:rsidRPr="001754EE">
        <w:lastRenderedPageBreak/>
        <w:t>AER’s</w:t>
      </w:r>
      <w:r>
        <w:t xml:space="preserve"> assessment approach</w:t>
      </w:r>
      <w:bookmarkEnd w:id="17"/>
      <w:bookmarkEnd w:id="18"/>
    </w:p>
    <w:p w14:paraId="746A8FC1" w14:textId="49835512" w:rsidR="00A90D90" w:rsidRDefault="00A90D90" w:rsidP="00A90D90">
      <w:pPr>
        <w:numPr>
          <w:ilvl w:val="0"/>
          <w:numId w:val="25"/>
        </w:numPr>
      </w:pPr>
      <w:r>
        <w:t xml:space="preserve">In this section we set out the approach we have taken to assessing proposals on the value of imputation credits. This approach </w:t>
      </w:r>
      <w:r w:rsidR="00E24213">
        <w:t>includes</w:t>
      </w:r>
      <w:r>
        <w:t xml:space="preserve"> consideration of:</w:t>
      </w:r>
    </w:p>
    <w:p w14:paraId="3719E503" w14:textId="77777777" w:rsidR="00A90D90" w:rsidRPr="00A90D90" w:rsidRDefault="00A90D90" w:rsidP="00A90D90">
      <w:pPr>
        <w:pStyle w:val="AERbulletlistfirststyle"/>
      </w:pPr>
      <w:r>
        <w:t>the re</w:t>
      </w:r>
      <w:r w:rsidRPr="00A90D90">
        <w:t xml:space="preserve">quirements of the </w:t>
      </w:r>
      <w:r w:rsidR="005D59BA">
        <w:t>NEL/NGL and NER/NGR</w:t>
      </w:r>
    </w:p>
    <w:p w14:paraId="77736E57" w14:textId="77777777" w:rsidR="00A90D90" w:rsidRPr="00A90D90" w:rsidRDefault="00A90D90" w:rsidP="00A90D90">
      <w:pPr>
        <w:pStyle w:val="AERbulletlistfirststyle"/>
      </w:pPr>
      <w:r>
        <w:t>the Guideline</w:t>
      </w:r>
    </w:p>
    <w:p w14:paraId="225D0009" w14:textId="77777777" w:rsidR="00A90D90" w:rsidRDefault="00A90D90" w:rsidP="00A90D90">
      <w:pPr>
        <w:pStyle w:val="AERbulletlistfirststyle"/>
      </w:pPr>
      <w:r>
        <w:t>our definition of the benchmark efficient entity</w:t>
      </w:r>
    </w:p>
    <w:p w14:paraId="64D719A2" w14:textId="77777777" w:rsidR="00F8556F" w:rsidRPr="00A90D90" w:rsidRDefault="00F8556F" w:rsidP="00A90D90">
      <w:pPr>
        <w:pStyle w:val="AERbulletlistfirststyle"/>
      </w:pPr>
      <w:r>
        <w:t>interrelationships with other aspects of the decision</w:t>
      </w:r>
    </w:p>
    <w:p w14:paraId="2AFF36D1" w14:textId="77777777" w:rsidR="00A90D90" w:rsidRPr="00A90D90" w:rsidRDefault="00A90D90" w:rsidP="00A90D90">
      <w:pPr>
        <w:pStyle w:val="AERbulletlistfirststyle"/>
      </w:pPr>
      <w:r>
        <w:t>expert reports</w:t>
      </w:r>
      <w:r w:rsidRPr="00A90D90">
        <w:t>, and</w:t>
      </w:r>
    </w:p>
    <w:p w14:paraId="1BE6B709" w14:textId="77777777" w:rsidR="00A90D90" w:rsidRPr="00A90D90" w:rsidRDefault="00A90D90" w:rsidP="00A90D90">
      <w:pPr>
        <w:pStyle w:val="AERbulletlistfirststyle"/>
      </w:pPr>
      <w:proofErr w:type="gramStart"/>
      <w:r>
        <w:t>our</w:t>
      </w:r>
      <w:proofErr w:type="gramEnd"/>
      <w:r>
        <w:t xml:space="preserve"> approach to determining the value of imputation credits.</w:t>
      </w:r>
    </w:p>
    <w:p w14:paraId="7D089634" w14:textId="77777777" w:rsidR="00A90D90" w:rsidRPr="00A90D90" w:rsidRDefault="00A90D90" w:rsidP="00A90D90">
      <w:pPr>
        <w:pStyle w:val="Heading3"/>
      </w:pPr>
      <w:bookmarkStart w:id="19" w:name="_Ref400272912"/>
      <w:bookmarkStart w:id="20" w:name="_Ref416802130"/>
      <w:bookmarkStart w:id="21" w:name="_Ref416802459"/>
      <w:r w:rsidRPr="00EA24D2">
        <w:t>Requirements</w:t>
      </w:r>
      <w:r w:rsidRPr="00A90D90">
        <w:t xml:space="preserve"> of the </w:t>
      </w:r>
      <w:bookmarkEnd w:id="19"/>
      <w:r w:rsidR="005D59BA">
        <w:t>NEL/NGL and NER/NGR</w:t>
      </w:r>
      <w:bookmarkEnd w:id="20"/>
      <w:bookmarkEnd w:id="21"/>
    </w:p>
    <w:p w14:paraId="4D774319" w14:textId="77777777" w:rsidR="00A90D90" w:rsidRPr="00EA5C1A" w:rsidRDefault="00A90D90" w:rsidP="00A90D90">
      <w:pPr>
        <w:numPr>
          <w:ilvl w:val="0"/>
          <w:numId w:val="25"/>
        </w:numPr>
      </w:pPr>
      <w:r>
        <w:t xml:space="preserve">The </w:t>
      </w:r>
      <w:r w:rsidR="005D59BA">
        <w:t>NER/NGR</w:t>
      </w:r>
      <w:r>
        <w:t xml:space="preserve"> require that t</w:t>
      </w:r>
      <w:r w:rsidRPr="00EA5C1A">
        <w:t xml:space="preserve">he estimated cost of corporate income tax of a </w:t>
      </w:r>
      <w:r>
        <w:t>service provider</w:t>
      </w:r>
      <w:r w:rsidRPr="006D6E12">
        <w:t xml:space="preserve"> for each regulatory year</w:t>
      </w:r>
      <w:r w:rsidRPr="00EA5C1A">
        <w:t xml:space="preserve"> (</w:t>
      </w:r>
      <w:bookmarkStart w:id="22" w:name="id2446ce28_fed1_4fcc_88c9_2398ab3976f9_b"/>
      <m:oMath>
        <m:sSub>
          <m:sSubPr>
            <m:ctrlPr>
              <w:rPr>
                <w:rFonts w:ascii="Cambria Math" w:hAnsi="Cambria Math"/>
              </w:rPr>
            </m:ctrlPr>
          </m:sSubPr>
          <m:e>
            <m:r>
              <w:rPr>
                <w:rFonts w:ascii="Cambria Math" w:hAnsi="Cambria Math"/>
              </w:rPr>
              <m:t>ETC</m:t>
            </m:r>
          </m:e>
          <m:sub>
            <m:r>
              <w:rPr>
                <w:rFonts w:ascii="Cambria Math" w:hAnsi="Cambria Math"/>
              </w:rPr>
              <m:t>t</m:t>
            </m:r>
          </m:sub>
        </m:sSub>
      </m:oMath>
      <w:bookmarkEnd w:id="22"/>
      <w:r w:rsidRPr="00EA5C1A">
        <w:t>) must be estimated in accordance with the following formula:</w:t>
      </w:r>
      <w:r>
        <w:rPr>
          <w:rStyle w:val="FootnoteReference"/>
        </w:rPr>
        <w:footnoteReference w:id="17"/>
      </w:r>
    </w:p>
    <w:p w14:paraId="7355F9CF" w14:textId="77777777" w:rsidR="00A90D90" w:rsidRPr="00EA5C1A" w:rsidRDefault="00D70292" w:rsidP="00A90D90">
      <w:pPr>
        <w:numPr>
          <w:ilvl w:val="0"/>
          <w:numId w:val="25"/>
        </w:numPr>
      </w:pPr>
      <m:oMath>
        <m:sSub>
          <m:sSubPr>
            <m:ctrlPr>
              <w:rPr>
                <w:rFonts w:ascii="Cambria Math" w:hAnsi="Cambria Math"/>
              </w:rPr>
            </m:ctrlPr>
          </m:sSubPr>
          <m:e>
            <m:r>
              <w:rPr>
                <w:rFonts w:ascii="Cambria Math" w:hAnsi="Cambria Math"/>
              </w:rPr>
              <m:t>ETC</m:t>
            </m:r>
          </m:e>
          <m:sub>
            <m:r>
              <w:rPr>
                <w:rFonts w:ascii="Cambria Math" w:hAnsi="Cambria Math"/>
              </w:rPr>
              <m:t>t</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d>
          <m:dPr>
            <m:ctrlPr>
              <w:rPr>
                <w:rFonts w:ascii="Cambria Math" w:hAnsi="Cambria Math"/>
              </w:rPr>
            </m:ctrlPr>
          </m:dPr>
          <m:e>
            <m:r>
              <w:rPr>
                <w:rFonts w:ascii="Cambria Math" w:hAnsi="Cambria Math"/>
              </w:rPr>
              <m:t>1-γ</m:t>
            </m:r>
          </m:e>
        </m:d>
      </m:oMath>
    </w:p>
    <w:p w14:paraId="445D7156" w14:textId="77777777" w:rsidR="00A90D90" w:rsidRPr="00EA5C1A" w:rsidRDefault="00A90D90" w:rsidP="00A90D90">
      <w:pPr>
        <w:numPr>
          <w:ilvl w:val="0"/>
          <w:numId w:val="25"/>
        </w:numPr>
      </w:pPr>
      <w:r w:rsidRPr="00EA5C1A">
        <w:t>where:</w:t>
      </w:r>
    </w:p>
    <w:p w14:paraId="4FD1C2E3" w14:textId="77777777" w:rsidR="00A90D90" w:rsidRPr="00A90D90" w:rsidRDefault="00D70292" w:rsidP="00A90D90">
      <w:pPr>
        <w:pStyle w:val="AERbulletlistfirststyle"/>
      </w:pPr>
      <m:oMath>
        <m:sSub>
          <m:sSubPr>
            <m:ctrlPr>
              <w:rPr>
                <w:rFonts w:ascii="Cambria Math" w:hAnsi="Cambria Math"/>
              </w:rPr>
            </m:ctrlPr>
          </m:sSubPr>
          <m:e>
            <m:r>
              <w:rPr>
                <w:rFonts w:ascii="Cambria Math" w:hAnsi="Cambria Math"/>
              </w:rPr>
              <m:t>ETI</m:t>
            </m:r>
          </m:e>
          <m:sub>
            <m:r>
              <w:rPr>
                <w:rFonts w:ascii="Cambria Math" w:hAnsi="Cambria Math"/>
              </w:rPr>
              <m:t>t</m:t>
            </m:r>
          </m:sub>
        </m:sSub>
      </m:oMath>
      <w:r w:rsidR="00A90D90" w:rsidRPr="00A90D90">
        <w:t> is an estimate of the taxable income for that regulatory year that would be earned by a benchmark efficient entity as a result of the provision of regulated services if such an entity, rather than the service provider, operated the business of the service provider, such estimate being determined in accordance with the post-tax revenue model.</w:t>
      </w:r>
    </w:p>
    <w:p w14:paraId="3D2E65B7" w14:textId="77777777" w:rsidR="00A90D90" w:rsidRPr="00A90D90" w:rsidRDefault="00D70292" w:rsidP="00A90D90">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A90D90" w:rsidRPr="00A90D90">
        <w:t> </w:t>
      </w:r>
      <w:proofErr w:type="gramStart"/>
      <w:r w:rsidR="00A90D90" w:rsidRPr="00A90D90">
        <w:t>is</w:t>
      </w:r>
      <w:proofErr w:type="gramEnd"/>
      <w:r w:rsidR="00A90D90" w:rsidRPr="00A90D90">
        <w:t xml:space="preserve"> the expected statutory income tax rate for that regulatory year as determined by the AER.</w:t>
      </w:r>
    </w:p>
    <w:p w14:paraId="380102DC" w14:textId="77777777" w:rsidR="00A90D90" w:rsidRPr="00A90D90" w:rsidRDefault="00A90D90" w:rsidP="00A90D90">
      <w:pPr>
        <w:pStyle w:val="AERbulletlistfirststyle"/>
      </w:pPr>
      <m:oMath>
        <m:r>
          <w:rPr>
            <w:rFonts w:ascii="Cambria Math" w:hAnsi="Cambria Math"/>
          </w:rPr>
          <m:t>γ</m:t>
        </m:r>
      </m:oMath>
      <w:r w:rsidRPr="00A90D90">
        <w:t> </w:t>
      </w:r>
      <w:proofErr w:type="gramStart"/>
      <w:r w:rsidRPr="00A90D90">
        <w:t>is</w:t>
      </w:r>
      <w:proofErr w:type="gramEnd"/>
      <w:r w:rsidRPr="00A90D90">
        <w:t xml:space="preserve"> the value of imputation credits.</w:t>
      </w:r>
    </w:p>
    <w:p w14:paraId="19D7828C" w14:textId="77777777" w:rsidR="00A90D90" w:rsidRDefault="00A90D90" w:rsidP="00A90D90">
      <w:pPr>
        <w:numPr>
          <w:ilvl w:val="0"/>
          <w:numId w:val="25"/>
        </w:numPr>
      </w:pPr>
      <w:r w:rsidRPr="00FA0554">
        <w:t xml:space="preserve">Unlike many other aspects of the </w:t>
      </w:r>
      <w:r w:rsidR="005D59BA">
        <w:t>NER/NGR</w:t>
      </w:r>
      <w:r w:rsidRPr="00FA0554">
        <w:t xml:space="preserve">, there is no specific objective </w:t>
      </w:r>
      <w:r>
        <w:t>we</w:t>
      </w:r>
      <w:r w:rsidRPr="00FA0554">
        <w:t xml:space="preserve"> must achieve </w:t>
      </w:r>
      <w:r>
        <w:t>for the value of imputation credits and no specific factors we</w:t>
      </w:r>
      <w:r w:rsidRPr="00FA0554">
        <w:t xml:space="preserve"> must take into account in estimating </w:t>
      </w:r>
      <w:r>
        <w:t xml:space="preserve">it. </w:t>
      </w:r>
      <w:r w:rsidR="00B61A9F">
        <w:t>T</w:t>
      </w:r>
      <w:r w:rsidRPr="00FA0554">
        <w:t>he rate of return objective does not specifi</w:t>
      </w:r>
      <w:r>
        <w:t>cally apply to the value of imputation credits</w:t>
      </w:r>
      <w:r w:rsidRPr="00FA0554">
        <w:t xml:space="preserve">. However, the rate of return must be determined on a nominal vanilla basis consistent with </w:t>
      </w:r>
      <w:r>
        <w:t>our</w:t>
      </w:r>
      <w:r w:rsidRPr="00FA0554">
        <w:t xml:space="preserve"> value of imputation credits.</w:t>
      </w:r>
      <w:r>
        <w:rPr>
          <w:rStyle w:val="FootnoteReference"/>
        </w:rPr>
        <w:footnoteReference w:id="18"/>
      </w:r>
    </w:p>
    <w:p w14:paraId="7BB7F96A" w14:textId="77777777" w:rsidR="008C1870" w:rsidRDefault="00B61A9F" w:rsidP="008C1870">
      <w:pPr>
        <w:numPr>
          <w:ilvl w:val="0"/>
          <w:numId w:val="25"/>
        </w:numPr>
      </w:pPr>
      <w:r>
        <w:t>In this context</w:t>
      </w:r>
      <w:r w:rsidR="008C1870">
        <w:t xml:space="preserve">, </w:t>
      </w:r>
      <w:r w:rsidR="00504808">
        <w:t xml:space="preserve">the conceptual rate of return framework </w:t>
      </w:r>
      <w:r w:rsidR="00D11729">
        <w:t>developed by</w:t>
      </w:r>
      <w:r w:rsidR="00504808">
        <w:t xml:space="preserve"> Officer in a 1994 paper informs our </w:t>
      </w:r>
      <w:r w:rsidR="008C1870">
        <w:t>approach to interpreting and estimating the value of imputation credits.</w:t>
      </w:r>
      <w:r w:rsidR="008C1870">
        <w:rPr>
          <w:rStyle w:val="FootnoteReference"/>
        </w:rPr>
        <w:footnoteReference w:id="19"/>
      </w:r>
      <w:r w:rsidR="008C1870">
        <w:t xml:space="preserve"> This is because:</w:t>
      </w:r>
    </w:p>
    <w:p w14:paraId="5BE85F6D" w14:textId="77777777" w:rsidR="008C1870" w:rsidRPr="00A3557D" w:rsidRDefault="008C1870" w:rsidP="008C1870">
      <w:pPr>
        <w:pStyle w:val="AERbulletlistfirststyle"/>
      </w:pPr>
      <w:r>
        <w:lastRenderedPageBreak/>
        <w:t xml:space="preserve">The </w:t>
      </w:r>
      <w:r w:rsidR="00504808">
        <w:t>NER</w:t>
      </w:r>
      <w:r w:rsidR="00D11729">
        <w:t>/NGR</w:t>
      </w:r>
      <w:r w:rsidR="00504808">
        <w:t xml:space="preserve">'s </w:t>
      </w:r>
      <w:r>
        <w:t xml:space="preserve">cost of corporate income tax formula (shown above) mirrors </w:t>
      </w:r>
      <w:r w:rsidR="00504808">
        <w:t xml:space="preserve">Officer's framework for </w:t>
      </w:r>
      <w:r>
        <w:t>the treatment of imputation credits, including through use of the parameter denoted by the Greek letter 'gamma'.</w:t>
      </w:r>
      <w:r w:rsidRPr="00A3557D">
        <w:rPr>
          <w:rStyle w:val="FootnoteReference"/>
        </w:rPr>
        <w:footnoteReference w:id="20"/>
      </w:r>
    </w:p>
    <w:p w14:paraId="7CA1C59D" w14:textId="4E636164" w:rsidR="00975A16" w:rsidRDefault="00B61A9F" w:rsidP="00713D13">
      <w:pPr>
        <w:pStyle w:val="AERbulletlistfirststyle"/>
      </w:pPr>
      <w:r>
        <w:t>We have received expert advice</w:t>
      </w:r>
      <w:r w:rsidR="008C1870">
        <w:t xml:space="preserve"> that Officer's definition of the nominal vanilla rate of return provides the basis for the rate of return framework in the NER/NGR.</w:t>
      </w:r>
      <w:r w:rsidR="008C1870" w:rsidRPr="00A3557D">
        <w:rPr>
          <w:rStyle w:val="FootnoteReference"/>
        </w:rPr>
        <w:footnoteReference w:id="21"/>
      </w:r>
      <w:r>
        <w:t xml:space="preserve"> </w:t>
      </w:r>
      <w:r w:rsidR="00F34737">
        <w:t>Previous statements by t</w:t>
      </w:r>
      <w:r w:rsidR="00975A16">
        <w:t xml:space="preserve">he </w:t>
      </w:r>
      <w:r w:rsidR="00843AA2">
        <w:t xml:space="preserve">consultant for the majority of the </w:t>
      </w:r>
      <w:r w:rsidR="00975A16">
        <w:t>service providers</w:t>
      </w:r>
      <w:r w:rsidR="00F34737">
        <w:t xml:space="preserve">', </w:t>
      </w:r>
      <w:r w:rsidR="00284A7F">
        <w:t>Gray</w:t>
      </w:r>
      <w:r w:rsidR="00F34737">
        <w:t>,</w:t>
      </w:r>
      <w:r w:rsidR="00975A16">
        <w:t xml:space="preserve"> and their </w:t>
      </w:r>
      <w:r w:rsidR="00F34737">
        <w:t>industry association appear to support this consideration</w:t>
      </w:r>
      <w:r w:rsidR="00975A16">
        <w:t>:</w:t>
      </w:r>
    </w:p>
    <w:p w14:paraId="65272340" w14:textId="559C089A" w:rsidR="00975A16" w:rsidRDefault="00975A16" w:rsidP="007C38AD">
      <w:pPr>
        <w:pStyle w:val="AERbulletlistsecondstyle"/>
      </w:pPr>
      <w:r>
        <w:t xml:space="preserve">During the AEMC's 2012 rule change process, </w:t>
      </w:r>
      <w:r w:rsidR="00284A7F">
        <w:t>Gray</w:t>
      </w:r>
      <w:r>
        <w:t xml:space="preserve"> advised the AEMC that '…</w:t>
      </w:r>
      <w:r w:rsidRPr="00975A16">
        <w:t>there are a number of different WACC formulas that can all be identified as post-tax nominal definitions of WACC. Officer (1994), in the paper that forms the basis for the regulatory rate of return framework, sets out four such definitions</w:t>
      </w:r>
      <w:r>
        <w:t>…</w:t>
      </w:r>
      <w:proofErr w:type="gramStart"/>
      <w:r>
        <w:t>'.</w:t>
      </w:r>
      <w:proofErr w:type="gramEnd"/>
      <w:r w:rsidR="00CB622C">
        <w:rPr>
          <w:rStyle w:val="FootnoteReference"/>
        </w:rPr>
        <w:footnoteReference w:id="22"/>
      </w:r>
    </w:p>
    <w:p w14:paraId="29803AF9" w14:textId="77777777" w:rsidR="00975A16" w:rsidRDefault="00975A16" w:rsidP="007C38AD">
      <w:pPr>
        <w:pStyle w:val="AERbulletlistsecondstyle"/>
      </w:pPr>
      <w:r>
        <w:t>D</w:t>
      </w:r>
      <w:r w:rsidR="00713D13">
        <w:t>uring the development of the Guideline</w:t>
      </w:r>
      <w:r>
        <w:t>,</w:t>
      </w:r>
      <w:r w:rsidR="00713D13">
        <w:t xml:space="preserve"> the Energy Networks Association (ENA) submitted '[t]</w:t>
      </w:r>
      <w:r w:rsidR="00713D13" w:rsidRPr="00713D13">
        <w:t>he fundamental economic framework in relation to dividend imputation was set out by Officer</w:t>
      </w:r>
      <w:r w:rsidR="00713D13">
        <w:t xml:space="preserve"> </w:t>
      </w:r>
      <w:r w:rsidR="00713D13" w:rsidRPr="00713D13">
        <w:t>(1994)</w:t>
      </w:r>
      <w:r w:rsidR="00A221E7">
        <w:t>…</w:t>
      </w:r>
      <w:proofErr w:type="gramStart"/>
      <w:r w:rsidR="00713D13">
        <w:t>'.</w:t>
      </w:r>
      <w:proofErr w:type="gramEnd"/>
      <w:r w:rsidR="00CB622C">
        <w:rPr>
          <w:rStyle w:val="FootnoteReference"/>
        </w:rPr>
        <w:footnoteReference w:id="23"/>
      </w:r>
      <w:r w:rsidR="00713D13">
        <w:t xml:space="preserve"> </w:t>
      </w:r>
    </w:p>
    <w:p w14:paraId="37632B70" w14:textId="77777777" w:rsidR="008A4877" w:rsidRDefault="00BB0325" w:rsidP="007C38AD">
      <w:r>
        <w:t>T</w:t>
      </w:r>
      <w:r w:rsidR="008C1870">
        <w:t xml:space="preserve">he NER/NGR </w:t>
      </w:r>
      <w:proofErr w:type="gramStart"/>
      <w:r w:rsidR="008C1870">
        <w:t>require</w:t>
      </w:r>
      <w:proofErr w:type="gramEnd"/>
      <w:r w:rsidR="008C1870">
        <w:t xml:space="preserve"> that we determine the rate of return </w:t>
      </w:r>
      <w:r w:rsidR="008C1870" w:rsidRPr="00A3557D">
        <w:t>on a nominal vanilla basis that is consistent with our estimate of the value of imputation credits.</w:t>
      </w:r>
      <w:r w:rsidR="008C1870" w:rsidRPr="00A3557D">
        <w:rPr>
          <w:rStyle w:val="FootnoteReference"/>
        </w:rPr>
        <w:footnoteReference w:id="24"/>
      </w:r>
      <w:r w:rsidR="007A5DF9">
        <w:t xml:space="preserve"> The Officer framework provides a means for doing </w:t>
      </w:r>
      <w:r w:rsidR="00391221">
        <w:t>this</w:t>
      </w:r>
      <w:r w:rsidR="007A5DF9">
        <w:t>. It provides a consistent framework for determining the rate of return for a business</w:t>
      </w:r>
      <w:r w:rsidR="00E874BD">
        <w:t>,</w:t>
      </w:r>
      <w:r w:rsidR="007A5DF9">
        <w:t xml:space="preserve"> </w:t>
      </w:r>
      <w:r w:rsidR="00E874BD">
        <w:t>which</w:t>
      </w:r>
      <w:r w:rsidR="00CC70EE">
        <w:t xml:space="preserve"> takes into account the value that investors receive from imputation credits.</w:t>
      </w:r>
      <w:r w:rsidR="00CC70EE">
        <w:rPr>
          <w:rStyle w:val="FootnoteReference"/>
        </w:rPr>
        <w:footnoteReference w:id="25"/>
      </w:r>
      <w:r w:rsidR="008006B0">
        <w:t xml:space="preserve"> An important implication of this is that gamma is not a standalone concept or parameter. It is part of a broader framework, and should be interpreted and estimated accordingly.</w:t>
      </w:r>
    </w:p>
    <w:p w14:paraId="72863E60" w14:textId="77777777" w:rsidR="00322B99" w:rsidRDefault="00391221" w:rsidP="00A90D90">
      <w:pPr>
        <w:numPr>
          <w:ilvl w:val="0"/>
          <w:numId w:val="25"/>
        </w:numPr>
      </w:pPr>
      <w:r>
        <w:t>Consistent with the expert advice we have received,</w:t>
      </w:r>
      <w:r w:rsidR="00F34737">
        <w:t xml:space="preserve"> we consider that the Officer framework provides the basis for the rate of </w:t>
      </w:r>
      <w:r>
        <w:t>return framework in the NER/NGR</w:t>
      </w:r>
      <w:r w:rsidR="005B011C">
        <w:t>. W</w:t>
      </w:r>
      <w:r w:rsidR="00F34737">
        <w:t xml:space="preserve">e </w:t>
      </w:r>
      <w:r w:rsidR="005B011C">
        <w:t xml:space="preserve">therefore </w:t>
      </w:r>
      <w:r w:rsidR="00F34737">
        <w:t xml:space="preserve">also consider that estimating the value of imputation credits consistently with the Officer framework will best promote the </w:t>
      </w:r>
      <w:r w:rsidR="00C925F8">
        <w:t>NEO/NGO</w:t>
      </w:r>
      <w:r w:rsidR="00F34737">
        <w:t xml:space="preserve"> and </w:t>
      </w:r>
      <w:r w:rsidR="00C925F8">
        <w:t xml:space="preserve">other </w:t>
      </w:r>
      <w:r w:rsidR="00F34737">
        <w:t xml:space="preserve">requirements of the NER/NGR. </w:t>
      </w:r>
    </w:p>
    <w:p w14:paraId="2313EF26" w14:textId="77777777" w:rsidR="00F34737" w:rsidRDefault="00741647" w:rsidP="00A90D90">
      <w:pPr>
        <w:numPr>
          <w:ilvl w:val="0"/>
          <w:numId w:val="25"/>
        </w:numPr>
      </w:pPr>
      <w:r>
        <w:t>To this end, w</w:t>
      </w:r>
      <w:r w:rsidR="00AF1508">
        <w:t>e have</w:t>
      </w:r>
      <w:r>
        <w:t xml:space="preserve"> had</w:t>
      </w:r>
      <w:r w:rsidR="00AF1508">
        <w:t xml:space="preserve"> regard to </w:t>
      </w:r>
      <w:r w:rsidR="00322B99">
        <w:t xml:space="preserve">the </w:t>
      </w:r>
      <w:r w:rsidR="00AF1508">
        <w:t xml:space="preserve">differing expert opinions on the proper interpretation of </w:t>
      </w:r>
      <w:r w:rsidR="00322B99">
        <w:t xml:space="preserve">the </w:t>
      </w:r>
      <w:r w:rsidR="00AF1508">
        <w:t xml:space="preserve">gamma </w:t>
      </w:r>
      <w:r w:rsidR="00322B99">
        <w:t xml:space="preserve">parameter </w:t>
      </w:r>
      <w:r w:rsidR="00AF1508">
        <w:t xml:space="preserve">in the Officer framework. </w:t>
      </w:r>
      <w:r w:rsidR="00322B99">
        <w:t xml:space="preserve">As discussed in section </w:t>
      </w:r>
      <w:r w:rsidR="00322B99">
        <w:fldChar w:fldCharType="begin"/>
      </w:r>
      <w:r w:rsidR="00322B99">
        <w:instrText xml:space="preserve"> REF _Ref414028398 \r \h </w:instrText>
      </w:r>
      <w:r w:rsidR="00322B99">
        <w:fldChar w:fldCharType="separate"/>
      </w:r>
      <w:r w:rsidR="001E2164">
        <w:t>A.7.3</w:t>
      </w:r>
      <w:r w:rsidR="00322B99">
        <w:fldChar w:fldCharType="end"/>
      </w:r>
      <w:r w:rsidR="00322B99">
        <w:t xml:space="preserve"> of appendix A, we accept </w:t>
      </w:r>
      <w:r w:rsidR="0028481C">
        <w:t>Handley's expert advice</w:t>
      </w:r>
      <w:r w:rsidR="00322B99">
        <w:t xml:space="preserve"> </w:t>
      </w:r>
      <w:r w:rsidR="007C38AD">
        <w:t xml:space="preserve">on the Officer framework. </w:t>
      </w:r>
      <w:r w:rsidR="00322B99">
        <w:t xml:space="preserve">An important aspect of </w:t>
      </w:r>
      <w:r w:rsidR="007C38AD">
        <w:t>this</w:t>
      </w:r>
      <w:r w:rsidR="00322B99">
        <w:t xml:space="preserve"> advice is that the framework is on a 'before-personal-tax and before-personal-costs' basis</w:t>
      </w:r>
      <w:r w:rsidR="000E0997">
        <w:t>.</w:t>
      </w:r>
      <w:r w:rsidR="00976FE8">
        <w:rPr>
          <w:rStyle w:val="FootnoteReference"/>
        </w:rPr>
        <w:footnoteReference w:id="26"/>
      </w:r>
      <w:r w:rsidR="000E0997">
        <w:t xml:space="preserve"> </w:t>
      </w:r>
      <w:r w:rsidR="000E0997">
        <w:lastRenderedPageBreak/>
        <w:t>That is, '</w:t>
      </w:r>
      <w:proofErr w:type="gramStart"/>
      <w:r w:rsidR="000E0997">
        <w:t>the per</w:t>
      </w:r>
      <w:proofErr w:type="gramEnd"/>
      <w:r w:rsidR="000E0997">
        <w:t xml:space="preserve"> dollar value of an imputation credit </w:t>
      </w:r>
      <m:oMath>
        <m:r>
          <w:rPr>
            <w:rFonts w:ascii="Cambria Math" w:hAnsi="Cambria Math"/>
          </w:rPr>
          <m:t>γ</m:t>
        </m:r>
      </m:oMath>
      <w:r w:rsidR="000E0997">
        <w:t xml:space="preserve"> gamma should be measured prior to any personal tax on the credit and prior to any personal costs associated with the receipt of the credit'.</w:t>
      </w:r>
      <w:r w:rsidR="000E0997">
        <w:rPr>
          <w:rStyle w:val="FootnoteReference"/>
        </w:rPr>
        <w:footnoteReference w:id="27"/>
      </w:r>
    </w:p>
    <w:p w14:paraId="4ECA4B76" w14:textId="77777777" w:rsidR="00112FED" w:rsidRDefault="00A35C46" w:rsidP="00A90D90">
      <w:pPr>
        <w:numPr>
          <w:ilvl w:val="0"/>
          <w:numId w:val="25"/>
        </w:numPr>
      </w:pPr>
      <w:r>
        <w:t>By determining a value of imputation credits in a manner consistent with the Officer framework, w</w:t>
      </w:r>
      <w:r w:rsidR="00A90D90">
        <w:t xml:space="preserve">e </w:t>
      </w:r>
      <w:r>
        <w:t xml:space="preserve">consider that we are making </w:t>
      </w:r>
      <w:r w:rsidR="00A90D90">
        <w:t xml:space="preserve">our decision in a manner that will or </w:t>
      </w:r>
      <w:proofErr w:type="gramStart"/>
      <w:r w:rsidR="00A90D90">
        <w:t>is</w:t>
      </w:r>
      <w:proofErr w:type="gramEnd"/>
      <w:r w:rsidR="00A90D90">
        <w:t xml:space="preserve"> likely to contribute to the achievement of the </w:t>
      </w:r>
      <w:r w:rsidR="005D59BA">
        <w:t>NEO/NGO</w:t>
      </w:r>
      <w:r w:rsidR="00A90D90">
        <w:t>.</w:t>
      </w:r>
      <w:r w:rsidR="00A90D90">
        <w:rPr>
          <w:rStyle w:val="FootnoteReference"/>
        </w:rPr>
        <w:footnoteReference w:id="28"/>
      </w:r>
      <w:r w:rsidR="00A90D90">
        <w:t xml:space="preserve"> Further, when exercising </w:t>
      </w:r>
      <w:proofErr w:type="gramStart"/>
      <w:r w:rsidR="00A90D90">
        <w:t>a discretion</w:t>
      </w:r>
      <w:proofErr w:type="gramEnd"/>
      <w:r w:rsidR="00A90D90">
        <w:t xml:space="preserve"> in making the relevant parts of a decision, we must take into account the </w:t>
      </w:r>
      <w:r w:rsidR="00566FF4">
        <w:t>RPP</w:t>
      </w:r>
      <w:r w:rsidR="00A90D90">
        <w:t>.</w:t>
      </w:r>
      <w:r w:rsidR="00A90D90">
        <w:rPr>
          <w:rStyle w:val="FootnoteReference"/>
        </w:rPr>
        <w:footnoteReference w:id="29"/>
      </w:r>
      <w:r w:rsidR="00A90D90">
        <w:t xml:space="preserve"> The </w:t>
      </w:r>
      <w:r w:rsidR="00566FF4">
        <w:t>RPP</w:t>
      </w:r>
      <w:r w:rsidR="00A90D90">
        <w:t xml:space="preserve"> provide, amongst other things, that</w:t>
      </w:r>
      <w:r w:rsidR="00112FED">
        <w:t>:</w:t>
      </w:r>
      <w:r w:rsidR="00112FED">
        <w:rPr>
          <w:rStyle w:val="FootnoteReference"/>
        </w:rPr>
        <w:footnoteReference w:id="30"/>
      </w:r>
    </w:p>
    <w:p w14:paraId="41BDD2B9" w14:textId="77777777" w:rsidR="00112FED" w:rsidRDefault="00A90D90" w:rsidP="00112FED">
      <w:pPr>
        <w:pStyle w:val="AERbulletlistfirststyle"/>
      </w:pPr>
      <w:r>
        <w:t>a service provider should be provided with a reasonable opportunity to recover at least the efficient costs the operator incurs providing regulated services and comply</w:t>
      </w:r>
      <w:r w:rsidR="00F8556F">
        <w:t>ing with regulatory obligations</w:t>
      </w:r>
    </w:p>
    <w:p w14:paraId="2A49C96B" w14:textId="77777777" w:rsidR="00112FED" w:rsidRDefault="00112FED" w:rsidP="00112FED">
      <w:pPr>
        <w:pStyle w:val="AERbulletlistfirststyle"/>
      </w:pPr>
      <w:r>
        <w:t>a</w:t>
      </w:r>
      <w:r w:rsidRPr="00112FED">
        <w:t xml:space="preserve"> service provider should be provided with effective incentives in order to promote economic efficiency with respect to </w:t>
      </w:r>
      <w:r>
        <w:t>the regulated services</w:t>
      </w:r>
      <w:r w:rsidRPr="00112FED">
        <w:t xml:space="preserve"> </w:t>
      </w:r>
      <w:r>
        <w:t>it provides, and</w:t>
      </w:r>
      <w:r w:rsidR="00A90D90">
        <w:t xml:space="preserve"> </w:t>
      </w:r>
    </w:p>
    <w:p w14:paraId="6BC0C8EA" w14:textId="77777777" w:rsidR="00112FED" w:rsidRDefault="00A90D90" w:rsidP="00112FED">
      <w:pPr>
        <w:pStyle w:val="AERbulletlistfirststyle"/>
      </w:pPr>
      <w:proofErr w:type="gramStart"/>
      <w:r>
        <w:t>a</w:t>
      </w:r>
      <w:proofErr w:type="gramEnd"/>
      <w:r>
        <w:t xml:space="preserve"> price, charge or tariff for the provision of a regulated service should allow for a return commensurate with the regulatory and commercial risks involved in providing the regulated service. </w:t>
      </w:r>
    </w:p>
    <w:p w14:paraId="5DE897F1" w14:textId="77777777" w:rsidR="00A90D90" w:rsidRDefault="00A90D90" w:rsidP="00A90D90">
      <w:pPr>
        <w:numPr>
          <w:ilvl w:val="0"/>
          <w:numId w:val="25"/>
        </w:numPr>
      </w:pPr>
      <w:r>
        <w:t xml:space="preserve">Therefore, the value of imputation credits we adopt must ultimately promote the achievement of the </w:t>
      </w:r>
      <w:r w:rsidR="005D59BA">
        <w:t>NEO/NGO</w:t>
      </w:r>
      <w:r>
        <w:t xml:space="preserve"> (via its application in the estimated cost of corporate income tax building block) and must take into account the </w:t>
      </w:r>
      <w:r w:rsidR="00566FF4">
        <w:t>RPP</w:t>
      </w:r>
      <w:r>
        <w:t xml:space="preserve">. </w:t>
      </w:r>
    </w:p>
    <w:p w14:paraId="3F19D7C9" w14:textId="77777777" w:rsidR="00A90D90" w:rsidRDefault="00A90D90" w:rsidP="00A90D90">
      <w:pPr>
        <w:numPr>
          <w:ilvl w:val="0"/>
          <w:numId w:val="25"/>
        </w:numPr>
      </w:pPr>
      <w:r>
        <w:t xml:space="preserve">With reference to the language of </w:t>
      </w:r>
      <w:r w:rsidR="00566FF4">
        <w:t>the RPP</w:t>
      </w:r>
      <w:r>
        <w:t>, this requires the exercise of our discretion in determining a tax building block (including the exercise of our discretion in determining the adjustment for the value of imputation credits) that is:</w:t>
      </w:r>
    </w:p>
    <w:p w14:paraId="5D780EB0" w14:textId="77777777" w:rsidR="00A90D90" w:rsidRPr="00A90D90" w:rsidRDefault="00A90D90" w:rsidP="00A90D90">
      <w:pPr>
        <w:pStyle w:val="AERbulletlistfirststyle"/>
      </w:pPr>
      <w:r>
        <w:t xml:space="preserve">not too </w:t>
      </w:r>
      <w:r w:rsidRPr="00A90D90">
        <w:t>low, in that it contributes to providing a reasonable opportunity to recover at least efficient corporate tax costs, and</w:t>
      </w:r>
    </w:p>
    <w:p w14:paraId="61D85984" w14:textId="77777777" w:rsidR="00A90D90" w:rsidRPr="00A90D90" w:rsidRDefault="00A90D90" w:rsidP="00A90D90">
      <w:pPr>
        <w:pStyle w:val="AERbulletlistfirststyle"/>
      </w:pPr>
      <w:proofErr w:type="gramStart"/>
      <w:r>
        <w:t>not</w:t>
      </w:r>
      <w:proofErr w:type="gramEnd"/>
      <w:r>
        <w:t xml:space="preserve"> too </w:t>
      </w:r>
      <w:r w:rsidRPr="00A90D90">
        <w:t>high, in that it contributes to a return that is not excessive and is commensurate with the relevant risks.</w:t>
      </w:r>
    </w:p>
    <w:p w14:paraId="43EF0627" w14:textId="77777777" w:rsidR="00A90D90" w:rsidRDefault="00A90D90" w:rsidP="008A4877">
      <w:pPr>
        <w:numPr>
          <w:ilvl w:val="0"/>
          <w:numId w:val="25"/>
        </w:numPr>
      </w:pPr>
      <w:r>
        <w:t>We consider that finding the right balance is best served by havin</w:t>
      </w:r>
      <w:r w:rsidR="00B56F09">
        <w:t>g regard to the merits of the full</w:t>
      </w:r>
      <w:r>
        <w:t xml:space="preserve"> range of relevant evidence. We explain our consideration of, and reliance upon, the range of relevant evidence in this attachment. We have determined a value of imputation credits that </w:t>
      </w:r>
      <w:r w:rsidR="003A55DC">
        <w:t xml:space="preserve">we are satisfied </w:t>
      </w:r>
      <w:r>
        <w:t xml:space="preserve">achieves a balance between the </w:t>
      </w:r>
      <w:proofErr w:type="gramStart"/>
      <w:r>
        <w:t>opportunity</w:t>
      </w:r>
      <w:proofErr w:type="gramEnd"/>
      <w:r>
        <w:t xml:space="preserve"> for service providers to recover at least efficient costs but that is commensurate with relevant risks.</w:t>
      </w:r>
    </w:p>
    <w:p w14:paraId="43CBE0E8" w14:textId="77777777" w:rsidR="00A90D90" w:rsidRPr="00A90D90" w:rsidRDefault="00A90D90" w:rsidP="00A90D90">
      <w:pPr>
        <w:pStyle w:val="Heading3"/>
      </w:pPr>
      <w:bookmarkStart w:id="23" w:name="_Ref401234016"/>
      <w:r>
        <w:lastRenderedPageBreak/>
        <w:t xml:space="preserve">Rate of return </w:t>
      </w:r>
      <w:r w:rsidR="00EA6FAD">
        <w:t>G</w:t>
      </w:r>
      <w:r>
        <w:t>uideline</w:t>
      </w:r>
      <w:bookmarkEnd w:id="23"/>
    </w:p>
    <w:p w14:paraId="7F7FFCD8" w14:textId="77777777" w:rsidR="00A90D90" w:rsidRDefault="00A90D90" w:rsidP="00A90D90">
      <w:pPr>
        <w:numPr>
          <w:ilvl w:val="0"/>
          <w:numId w:val="25"/>
        </w:numPr>
      </w:pPr>
      <w:r>
        <w:t>In December 2013, we published the Guideline which is available on our website.</w:t>
      </w:r>
      <w:r>
        <w:rPr>
          <w:rStyle w:val="FootnoteReference"/>
        </w:rPr>
        <w:footnoteReference w:id="31"/>
      </w:r>
      <w:r>
        <w:t xml:space="preserve"> Within it we </w:t>
      </w:r>
      <w:r w:rsidRPr="007968DE">
        <w:t>specif</w:t>
      </w:r>
      <w:r>
        <w:t>ied</w:t>
      </w:r>
      <w:r w:rsidRPr="007968DE">
        <w:t>:</w:t>
      </w:r>
      <w:r w:rsidRPr="000709A4">
        <w:rPr>
          <w:rStyle w:val="FootnoteReference"/>
        </w:rPr>
        <w:footnoteReference w:id="32"/>
      </w:r>
    </w:p>
    <w:p w14:paraId="6C13DF21" w14:textId="77777777" w:rsidR="00A90D90" w:rsidRPr="00A90D90" w:rsidRDefault="00A90D90" w:rsidP="00A90D90">
      <w:pPr>
        <w:pStyle w:val="AERbulletlistfirststyle"/>
      </w:pPr>
      <w:r w:rsidRPr="000709A4">
        <w:t>The method</w:t>
      </w:r>
      <w:r w:rsidRPr="00A90D90">
        <w:t>ologies we propose to use to estimate the allowed rate of return (derived from the expected return on equity and the return on debt) for electricity and gas network service providers.</w:t>
      </w:r>
    </w:p>
    <w:p w14:paraId="5163EE26" w14:textId="77777777" w:rsidR="00A90D90" w:rsidRPr="00A90D90" w:rsidRDefault="00A90D90" w:rsidP="00A90D90">
      <w:pPr>
        <w:pStyle w:val="AERbulletlistfirststyle"/>
      </w:pPr>
      <w:r w:rsidRPr="000709A4">
        <w:t>The method we propose to use to estimate the value of imputation credits.</w:t>
      </w:r>
    </w:p>
    <w:p w14:paraId="01B3F6B5" w14:textId="77777777" w:rsidR="00A90D90" w:rsidRPr="00A90D90" w:rsidRDefault="00A90D90" w:rsidP="00A90D90">
      <w:pPr>
        <w:pStyle w:val="AERbulletlistfirststyle"/>
      </w:pPr>
      <w:r w:rsidRPr="000709A4">
        <w:t xml:space="preserve">How these methods will result in an allowed return on </w:t>
      </w:r>
      <w:r w:rsidRPr="00A90D90">
        <w:t>equity and return on debt which we are satisfied achieve the allowed rate of return objective.</w:t>
      </w:r>
    </w:p>
    <w:p w14:paraId="700C3B7E" w14:textId="77777777" w:rsidR="00A90D90" w:rsidRDefault="00A90D90" w:rsidP="00A90D90">
      <w:pPr>
        <w:numPr>
          <w:ilvl w:val="0"/>
          <w:numId w:val="25"/>
        </w:numPr>
      </w:pPr>
      <w:r>
        <w:t>I</w:t>
      </w:r>
      <w:r w:rsidRPr="000709A4">
        <w:t xml:space="preserve">n the </w:t>
      </w:r>
      <w:r>
        <w:t>Guideline we</w:t>
      </w:r>
      <w:r w:rsidRPr="000709A4">
        <w:t xml:space="preserve"> also set out the estimation methods, financial models, market data and other evidence that we propose to take into account in estimating the expected return on equity, return on debt and the value of imputation credits.</w:t>
      </w:r>
      <w:r w:rsidRPr="000709A4">
        <w:rPr>
          <w:rStyle w:val="FootnoteReference"/>
        </w:rPr>
        <w:footnoteReference w:id="33"/>
      </w:r>
      <w:r>
        <w:t xml:space="preserve"> We discuss in detail in attachment 3 on the rate of return our development of the Guideline.  </w:t>
      </w:r>
    </w:p>
    <w:p w14:paraId="20534464" w14:textId="77777777" w:rsidR="00A90D90" w:rsidRDefault="00A90D90" w:rsidP="00A90D90">
      <w:pPr>
        <w:numPr>
          <w:ilvl w:val="0"/>
          <w:numId w:val="25"/>
        </w:numPr>
      </w:pPr>
      <w:r>
        <w:t xml:space="preserve">The Guideline </w:t>
      </w:r>
      <w:r w:rsidRPr="00696EC1">
        <w:t xml:space="preserve">is not binding in determining the </w:t>
      </w:r>
      <w:r>
        <w:t>value of imputation credits.</w:t>
      </w:r>
      <w:r w:rsidRPr="00696EC1">
        <w:t xml:space="preserve"> However, should we decide to depart from the </w:t>
      </w:r>
      <w:r>
        <w:t>Guideline</w:t>
      </w:r>
      <w:r w:rsidRPr="00696EC1">
        <w:t xml:space="preserve"> we </w:t>
      </w:r>
      <w:r>
        <w:t>must</w:t>
      </w:r>
      <w:r w:rsidRPr="00696EC1">
        <w:t xml:space="preserve"> provide reasons for doing so.</w:t>
      </w:r>
      <w:r>
        <w:rPr>
          <w:rStyle w:val="FootnoteReference"/>
        </w:rPr>
        <w:footnoteReference w:id="34"/>
      </w:r>
      <w:r w:rsidRPr="00696EC1">
        <w:t xml:space="preserve"> Equally, it is open to </w:t>
      </w:r>
      <w:r>
        <w:t>service providers</w:t>
      </w:r>
      <w:r w:rsidRPr="00696EC1">
        <w:t xml:space="preserve"> to </w:t>
      </w:r>
      <w:r>
        <w:t>propose departures f</w:t>
      </w:r>
      <w:r w:rsidRPr="00696EC1">
        <w:t xml:space="preserve">rom the </w:t>
      </w:r>
      <w:r>
        <w:t>Guideline,</w:t>
      </w:r>
      <w:r w:rsidRPr="00696EC1">
        <w:t xml:space="preserve"> </w:t>
      </w:r>
      <w:r>
        <w:t>so long as</w:t>
      </w:r>
      <w:r w:rsidRPr="00696EC1">
        <w:t xml:space="preserve"> they provide reasons.</w:t>
      </w:r>
      <w:r>
        <w:rPr>
          <w:rStyle w:val="FootnoteReference"/>
        </w:rPr>
        <w:footnoteReference w:id="35"/>
      </w:r>
      <w:r>
        <w:t xml:space="preserve"> We have identified in section</w:t>
      </w:r>
      <w:r w:rsidR="008E3B4F">
        <w:t xml:space="preserve"> </w:t>
      </w:r>
      <w:r w:rsidR="008E3B4F">
        <w:fldChar w:fldCharType="begin"/>
      </w:r>
      <w:r w:rsidR="008E3B4F">
        <w:instrText xml:space="preserve"> REF _Ref414621796 \r \h </w:instrText>
      </w:r>
      <w:r w:rsidR="008E3B4F">
        <w:fldChar w:fldCharType="separate"/>
      </w:r>
      <w:r w:rsidR="001E2164">
        <w:t>4.2</w:t>
      </w:r>
      <w:r w:rsidR="008E3B4F">
        <w:fldChar w:fldCharType="end"/>
      </w:r>
      <w:r>
        <w:t xml:space="preserve"> where </w:t>
      </w:r>
      <w:r w:rsidR="008E3B4F">
        <w:t xml:space="preserve">revised </w:t>
      </w:r>
      <w:r>
        <w:t xml:space="preserve">proposals have departed from the Guideline. We identify in section </w:t>
      </w:r>
      <w:r w:rsidR="008E3B4F">
        <w:fldChar w:fldCharType="begin"/>
      </w:r>
      <w:r w:rsidR="008E3B4F">
        <w:instrText xml:space="preserve"> REF _Ref414621836 \r \h </w:instrText>
      </w:r>
      <w:r w:rsidR="008E3B4F">
        <w:fldChar w:fldCharType="separate"/>
      </w:r>
      <w:r w:rsidR="001E2164">
        <w:t>4.4</w:t>
      </w:r>
      <w:r w:rsidR="008E3B4F">
        <w:fldChar w:fldCharType="end"/>
      </w:r>
      <w:r w:rsidR="008E3B4F">
        <w:t xml:space="preserve"> </w:t>
      </w:r>
      <w:r>
        <w:t>the departures we have made from the Guideline position on the value of imputation credits.</w:t>
      </w:r>
    </w:p>
    <w:p w14:paraId="35738539" w14:textId="77777777" w:rsidR="00A90D90" w:rsidRPr="00A90D90" w:rsidRDefault="00A90D90" w:rsidP="00A90D90">
      <w:pPr>
        <w:pStyle w:val="Heading3"/>
      </w:pPr>
      <w:bookmarkStart w:id="24" w:name="_Ref404065332"/>
      <w:r>
        <w:t>Definition of benchmark efficient</w:t>
      </w:r>
      <w:r w:rsidRPr="00A90D90">
        <w:t xml:space="preserve"> entity</w:t>
      </w:r>
      <w:bookmarkEnd w:id="24"/>
    </w:p>
    <w:p w14:paraId="2BCAADD4" w14:textId="77777777" w:rsidR="00A90D90" w:rsidRPr="003E6517" w:rsidRDefault="00A90D90" w:rsidP="00A90D90">
      <w:pPr>
        <w:numPr>
          <w:ilvl w:val="0"/>
          <w:numId w:val="25"/>
        </w:numPr>
      </w:pPr>
      <w:r>
        <w:t xml:space="preserve">As shown in section </w:t>
      </w:r>
      <w:r>
        <w:fldChar w:fldCharType="begin"/>
      </w:r>
      <w:r>
        <w:instrText xml:space="preserve"> REF _Ref400272912 \r \h </w:instrText>
      </w:r>
      <w:r>
        <w:fldChar w:fldCharType="separate"/>
      </w:r>
      <w:r w:rsidR="001E2164">
        <w:t>4.3.1</w:t>
      </w:r>
      <w:r>
        <w:fldChar w:fldCharType="end"/>
      </w:r>
      <w:r>
        <w:t xml:space="preserve">, the </w:t>
      </w:r>
      <w:r w:rsidR="004569D9">
        <w:t>NER/NGR</w:t>
      </w:r>
      <w:r>
        <w:t xml:space="preserve"> </w:t>
      </w:r>
      <w:proofErr w:type="gramStart"/>
      <w:r>
        <w:t>refer</w:t>
      </w:r>
      <w:proofErr w:type="gramEnd"/>
      <w:r>
        <w:t xml:space="preserve"> to a 'benchmark efficient entity'. For the benchmark efficient entity, we have adopted:</w:t>
      </w:r>
    </w:p>
    <w:p w14:paraId="197B7ADB" w14:textId="77777777" w:rsidR="00A90D90" w:rsidRPr="00A90D90" w:rsidRDefault="00A90D90" w:rsidP="00A90D90">
      <w:pPr>
        <w:pStyle w:val="AERbulletlistfirststyle"/>
      </w:pPr>
      <w:r>
        <w:t>a s</w:t>
      </w:r>
      <w:r w:rsidRPr="00A90D90">
        <w:t>ingle benchmark across gas, electricity, transmission and distribution, and</w:t>
      </w:r>
    </w:p>
    <w:p w14:paraId="3124D90F" w14:textId="77777777" w:rsidR="00A90D90" w:rsidRPr="00A90D90" w:rsidRDefault="00A90D90" w:rsidP="00A90D90">
      <w:pPr>
        <w:pStyle w:val="AERbulletlistfirststyle"/>
      </w:pPr>
      <w:proofErr w:type="gramStart"/>
      <w:r>
        <w:t>a</w:t>
      </w:r>
      <w:proofErr w:type="gramEnd"/>
      <w:r>
        <w:t xml:space="preserve"> </w:t>
      </w:r>
      <w:r w:rsidRPr="00A90D90">
        <w:t xml:space="preserve">conceptual definition of the benchmark efficient entity as 'a </w:t>
      </w:r>
      <w:r w:rsidR="0021566A">
        <w:t>'</w:t>
      </w:r>
      <w:r w:rsidRPr="00A90D90">
        <w:t>pure play</w:t>
      </w:r>
      <w:r w:rsidR="0021566A">
        <w:t>'</w:t>
      </w:r>
      <w:r w:rsidRPr="00A90D90">
        <w:t>, regulated energy network business operating within Australia'.</w:t>
      </w:r>
      <w:r w:rsidRPr="00A90D90">
        <w:rPr>
          <w:rStyle w:val="FootnoteReference"/>
        </w:rPr>
        <w:footnoteReference w:id="36"/>
      </w:r>
    </w:p>
    <w:p w14:paraId="6DA7E272" w14:textId="77777777" w:rsidR="00A90D90" w:rsidRPr="0046739D" w:rsidRDefault="00A90D90" w:rsidP="00A90D90">
      <w:pPr>
        <w:numPr>
          <w:ilvl w:val="0"/>
          <w:numId w:val="25"/>
        </w:numPr>
      </w:pPr>
      <w:r>
        <w:t xml:space="preserve">Our benchmark efficient entity includes the following sub-components as defined below. </w:t>
      </w:r>
    </w:p>
    <w:p w14:paraId="5CA732FD" w14:textId="77777777" w:rsidR="00A90D90" w:rsidRPr="008E0B16" w:rsidRDefault="00A90D90" w:rsidP="00A90D90">
      <w:pPr>
        <w:pStyle w:val="HeadingBoldBlue"/>
        <w:numPr>
          <w:ilvl w:val="0"/>
          <w:numId w:val="25"/>
        </w:numPr>
        <w:rPr>
          <w:rStyle w:val="Strong"/>
        </w:rPr>
      </w:pPr>
      <w:r>
        <w:lastRenderedPageBreak/>
        <w:t>Pure play</w:t>
      </w:r>
    </w:p>
    <w:p w14:paraId="155BEC41" w14:textId="77777777" w:rsidR="00A90D90" w:rsidRPr="00440CEC" w:rsidRDefault="00A90D90" w:rsidP="00A90D90">
      <w:pPr>
        <w:numPr>
          <w:ilvl w:val="0"/>
          <w:numId w:val="25"/>
        </w:numPr>
      </w:pPr>
      <w:r w:rsidRPr="00440CEC">
        <w:t>A pure play business is one which offers services focused in one industry or product area. In this context, it means that the benchmark efficient entity provides only regulated energy network services.</w:t>
      </w:r>
    </w:p>
    <w:p w14:paraId="02833303" w14:textId="77777777" w:rsidR="00A90D90" w:rsidRDefault="00A90D90" w:rsidP="00A90D90">
      <w:pPr>
        <w:pStyle w:val="HeadingBoldBlue"/>
        <w:numPr>
          <w:ilvl w:val="0"/>
          <w:numId w:val="25"/>
        </w:numPr>
      </w:pPr>
      <w:r>
        <w:t>Regulated</w:t>
      </w:r>
    </w:p>
    <w:p w14:paraId="7E48B2CF" w14:textId="77777777" w:rsidR="00A90D90" w:rsidRPr="00637A60" w:rsidRDefault="00A90D90" w:rsidP="00A90D90">
      <w:pPr>
        <w:numPr>
          <w:ilvl w:val="0"/>
          <w:numId w:val="25"/>
        </w:numPr>
      </w:pPr>
      <w:r w:rsidRPr="00440CEC">
        <w:t>A regulated entity for the purposes of our benchmark is one which is subject to economic regulation (</w:t>
      </w:r>
      <w:r w:rsidR="00D25EE1">
        <w:t>for example, its revenue is controlled by a revenue cap or price cap</w:t>
      </w:r>
      <w:r w:rsidRPr="00440CEC">
        <w:t xml:space="preserve">) under the </w:t>
      </w:r>
      <w:r w:rsidR="00F36FE9">
        <w:t>NER</w:t>
      </w:r>
      <w:r w:rsidRPr="00440CEC">
        <w:t xml:space="preserve"> and/or the </w:t>
      </w:r>
      <w:r w:rsidR="00F36FE9">
        <w:t>NGR</w:t>
      </w:r>
      <w:r w:rsidRPr="00440CEC">
        <w:t>.</w:t>
      </w:r>
    </w:p>
    <w:p w14:paraId="46009C4C" w14:textId="77777777" w:rsidR="00A90D90" w:rsidRDefault="00A90D90" w:rsidP="00A90D90">
      <w:pPr>
        <w:pStyle w:val="HeadingBoldBlue"/>
        <w:numPr>
          <w:ilvl w:val="0"/>
          <w:numId w:val="25"/>
        </w:numPr>
      </w:pPr>
      <w:r>
        <w:t>Energy network business</w:t>
      </w:r>
    </w:p>
    <w:p w14:paraId="2078EC26" w14:textId="77777777" w:rsidR="00A90D90" w:rsidRPr="00637A60" w:rsidRDefault="00A90D90" w:rsidP="00A90D90">
      <w:pPr>
        <w:numPr>
          <w:ilvl w:val="0"/>
          <w:numId w:val="25"/>
        </w:numPr>
      </w:pPr>
      <w:r w:rsidRPr="00440CEC">
        <w:t>Energy network refers to a gas distribution, gas transmission, electricity distribution or electricity transmission business.</w:t>
      </w:r>
    </w:p>
    <w:p w14:paraId="5A082DCB" w14:textId="77777777" w:rsidR="00A90D90" w:rsidRDefault="00A90D90" w:rsidP="00A90D90">
      <w:pPr>
        <w:pStyle w:val="HeadingBoldBlue"/>
        <w:numPr>
          <w:ilvl w:val="0"/>
          <w:numId w:val="25"/>
        </w:numPr>
      </w:pPr>
      <w:r>
        <w:t>Operating within Australia</w:t>
      </w:r>
    </w:p>
    <w:p w14:paraId="06D1A33C" w14:textId="77777777" w:rsidR="00A90D90" w:rsidRDefault="00A90D90" w:rsidP="00A90D90">
      <w:pPr>
        <w:numPr>
          <w:ilvl w:val="0"/>
          <w:numId w:val="25"/>
        </w:numPr>
      </w:pPr>
      <w:r>
        <w:t>T</w:t>
      </w:r>
      <w:r w:rsidRPr="00637A60">
        <w:t>he benchmark efficient entity should be operating within Australia as the location of a business determines the conditions unde</w:t>
      </w:r>
      <w:r>
        <w:t xml:space="preserve">r which the business operates. </w:t>
      </w:r>
      <w:r w:rsidRPr="00EB2FFB">
        <w:t>This includes the regulat</w:t>
      </w:r>
      <w:r>
        <w:t xml:space="preserve">ory regime, </w:t>
      </w:r>
      <w:r w:rsidRPr="00EB2FFB">
        <w:t>tax laws, industry structure and broader economic environment.</w:t>
      </w:r>
      <w:r>
        <w:t xml:space="preserve"> An additional consideration that is particularly relevant to the value of imputation credits is that we recognise that both domestic and foreign investors participate in the Australian market. That is, we consider that the defined market is an Australian domestic market that recognises the presence of foreign investors to the extent that they invest in the Australian market. This is important for determining a value of imputation credits because typically domestic investors are eligible to utilise imputation credits while foreign investors are not. </w:t>
      </w:r>
    </w:p>
    <w:p w14:paraId="336FEA26" w14:textId="77777777" w:rsidR="009E59CE" w:rsidRDefault="009E59CE" w:rsidP="00A90D90">
      <w:pPr>
        <w:pStyle w:val="Heading3"/>
      </w:pPr>
      <w:bookmarkStart w:id="25" w:name="_Ref415070818"/>
      <w:r>
        <w:t>Interrelationships</w:t>
      </w:r>
      <w:bookmarkEnd w:id="25"/>
    </w:p>
    <w:p w14:paraId="677673DE" w14:textId="18141AE9" w:rsidR="009E59CE" w:rsidRDefault="00140344" w:rsidP="009E59CE">
      <w:r>
        <w:t xml:space="preserve">The NER/NGR </w:t>
      </w:r>
      <w:proofErr w:type="gramStart"/>
      <w:r>
        <w:t>recognise</w:t>
      </w:r>
      <w:proofErr w:type="gramEnd"/>
      <w:r w:rsidR="00392DDE">
        <w:t xml:space="preserve"> that a service provider</w:t>
      </w:r>
      <w:r w:rsidR="0050152B">
        <w:t>'s allowed revenue does not</w:t>
      </w:r>
      <w:r w:rsidR="00392DDE">
        <w:t xml:space="preserve"> need </w:t>
      </w:r>
      <w:r w:rsidR="0050152B">
        <w:t>to include</w:t>
      </w:r>
      <w:r w:rsidR="00392DDE">
        <w:t xml:space="preserve"> the value of imputation credits. The NER/NGR </w:t>
      </w:r>
      <w:proofErr w:type="gramStart"/>
      <w:r>
        <w:t>adjust</w:t>
      </w:r>
      <w:proofErr w:type="gramEnd"/>
      <w:r w:rsidR="00392DDE">
        <w:t xml:space="preserve"> for the value of imputation credits via the revenue granted to a service provider to cover its expected tax liability. This form of adjustment recognises that it is the payment of corporate tax which is the source of the imputation credit return to investors.</w:t>
      </w:r>
    </w:p>
    <w:p w14:paraId="4647F11A" w14:textId="77777777" w:rsidR="00A736D1" w:rsidRDefault="00140344" w:rsidP="009E59CE">
      <w:r>
        <w:t xml:space="preserve">The CCP's view suggests that we should </w:t>
      </w:r>
      <w:r w:rsidR="00A736D1">
        <w:t xml:space="preserve">take </w:t>
      </w:r>
      <w:r>
        <w:t>into account the interrelationship with the corporate tax allowance when determining the value of imputation credits. The CCP submitted evidence that our benchmark tax allowance was substantially higher than the corporate tax actually paid by service providers.</w:t>
      </w:r>
      <w:r>
        <w:rPr>
          <w:rStyle w:val="FootnoteReference"/>
        </w:rPr>
        <w:footnoteReference w:id="37"/>
      </w:r>
      <w:r w:rsidR="00A736D1">
        <w:t xml:space="preserve"> The CCP then concluded:</w:t>
      </w:r>
      <w:r w:rsidR="00A736D1">
        <w:rPr>
          <w:rStyle w:val="FootnoteReference"/>
        </w:rPr>
        <w:footnoteReference w:id="38"/>
      </w:r>
    </w:p>
    <w:p w14:paraId="50F94A09" w14:textId="77777777" w:rsidR="00A736D1" w:rsidRDefault="00A736D1" w:rsidP="00A736D1">
      <w:pPr>
        <w:pStyle w:val="AERquote"/>
      </w:pPr>
      <w:r w:rsidRPr="00A736D1">
        <w:lastRenderedPageBreak/>
        <w:t>Regarding gamma, it is difficult for the CCP to support a gamma of 0.5 as being better or worse than 1 or 0 or any number in between, we simply do not know enough about the vagaries of such calculations.  Though the lack of tax paid would suggest a gamma nearer 1 than 0.</w:t>
      </w:r>
    </w:p>
    <w:p w14:paraId="069A2213" w14:textId="77777777" w:rsidR="00D37196" w:rsidRDefault="00B40F68" w:rsidP="00A736D1">
      <w:r>
        <w:t>We agree</w:t>
      </w:r>
      <w:r w:rsidR="005D46A7">
        <w:t xml:space="preserve"> with the CCP's suggestion</w:t>
      </w:r>
      <w:r>
        <w:t xml:space="preserve"> that </w:t>
      </w:r>
      <w:r w:rsidR="00486FC1">
        <w:t>it would be</w:t>
      </w:r>
      <w:r>
        <w:t xml:space="preserve"> reasonable </w:t>
      </w:r>
      <w:r w:rsidR="00486FC1">
        <w:t xml:space="preserve">to </w:t>
      </w:r>
      <w:r>
        <w:t>consider</w:t>
      </w:r>
      <w:r w:rsidR="00AF1A4A">
        <w:t xml:space="preserve"> the tax building block as a whole</w:t>
      </w:r>
      <w:r w:rsidR="005D46A7">
        <w:t xml:space="preserve"> when determining the value of imputation credits</w:t>
      </w:r>
      <w:r w:rsidR="00AF1A4A">
        <w:t xml:space="preserve">. </w:t>
      </w:r>
      <w:r w:rsidR="009F4D7E">
        <w:t>Under this approach</w:t>
      </w:r>
      <w:r w:rsidR="00AF1A4A">
        <w:t xml:space="preserve">, a </w:t>
      </w:r>
      <w:r w:rsidR="00CC09CE">
        <w:t xml:space="preserve">tendency toward a </w:t>
      </w:r>
      <w:r w:rsidR="00AF1A4A">
        <w:t xml:space="preserve">higher </w:t>
      </w:r>
      <w:r w:rsidR="009F4D7E">
        <w:t>value of imputation credits</w:t>
      </w:r>
      <w:r w:rsidR="00AF1A4A">
        <w:t xml:space="preserve"> (and therefore greater reduction in the tax building block) </w:t>
      </w:r>
      <w:r w:rsidR="00486FC1">
        <w:t>might be</w:t>
      </w:r>
      <w:r>
        <w:t xml:space="preserve"> reasonable if</w:t>
      </w:r>
      <w:r w:rsidR="009F4D7E">
        <w:t xml:space="preserve"> the benchmark tax allowance is above the efficient cost of tax. However,</w:t>
      </w:r>
      <w:r w:rsidR="00072EB6">
        <w:t xml:space="preserve"> in the Guideline and this final decision </w:t>
      </w:r>
      <w:r>
        <w:t xml:space="preserve">our determination of the value of imputation credits </w:t>
      </w:r>
      <w:r w:rsidR="00072EB6">
        <w:t>is guided by</w:t>
      </w:r>
      <w:r w:rsidR="009F4D7E" w:rsidDel="00AF1A4A">
        <w:t xml:space="preserve"> the relevant theoretical framework and </w:t>
      </w:r>
      <w:r w:rsidR="00072EB6">
        <w:t>associated</w:t>
      </w:r>
      <w:r w:rsidR="009F4D7E" w:rsidDel="00AF1A4A">
        <w:t xml:space="preserve"> evidence.</w:t>
      </w:r>
    </w:p>
    <w:p w14:paraId="6219EE78" w14:textId="77777777" w:rsidR="00392DDE" w:rsidRPr="009E59CE" w:rsidRDefault="00D37196" w:rsidP="00A736D1">
      <w:r>
        <w:t>The value of imputation credits is also interrelated with the</w:t>
      </w:r>
      <w:r w:rsidR="005D2A97">
        <w:t xml:space="preserve"> </w:t>
      </w:r>
      <w:r w:rsidR="00B01263">
        <w:t>MRP</w:t>
      </w:r>
      <w:r w:rsidR="005D2A97">
        <w:t xml:space="preserve">. </w:t>
      </w:r>
      <w:r w:rsidR="002C0A37">
        <w:t xml:space="preserve">As discussed in attachment 3, </w:t>
      </w:r>
      <w:r w:rsidR="002C0A37" w:rsidRPr="002C0A37">
        <w:t xml:space="preserve">the definition of the </w:t>
      </w:r>
      <w:r w:rsidR="00B01263">
        <w:t>MRP</w:t>
      </w:r>
      <w:r w:rsidR="002C0A37" w:rsidRPr="002C0A37">
        <w:t xml:space="preserve"> in</w:t>
      </w:r>
      <w:r w:rsidR="006A237E">
        <w:t xml:space="preserve"> the</w:t>
      </w:r>
      <w:r w:rsidR="002C0A37" w:rsidRPr="002C0A37">
        <w:t xml:space="preserve"> SLCAPM should account for the capitalised value of </w:t>
      </w:r>
      <w:r w:rsidR="002C0A37">
        <w:t>imputation</w:t>
      </w:r>
      <w:r w:rsidR="002C0A37" w:rsidRPr="002C0A37">
        <w:t xml:space="preserve"> credits. </w:t>
      </w:r>
      <w:r w:rsidR="00B01263">
        <w:t>Accordingly, in our determination of the return on equity in attachment 3 we adjust estimates of the MRP in a manner consistent with our determination of the value of imputation credits</w:t>
      </w:r>
      <w:r w:rsidR="00F622DF">
        <w:t xml:space="preserve"> </w:t>
      </w:r>
      <w:r w:rsidR="00B01263">
        <w:t>in this attachment.</w:t>
      </w:r>
      <w:r w:rsidR="003A55CA">
        <w:t xml:space="preserve"> </w:t>
      </w:r>
      <w:r w:rsidR="009661BA">
        <w:t>This is also required by the NER/NGR.</w:t>
      </w:r>
      <w:r w:rsidR="009661BA">
        <w:rPr>
          <w:rStyle w:val="FootnoteReference"/>
        </w:rPr>
        <w:footnoteReference w:id="39"/>
      </w:r>
    </w:p>
    <w:p w14:paraId="17DE5AF2" w14:textId="77777777" w:rsidR="00A90D90" w:rsidRPr="00A90D90" w:rsidRDefault="00A90D90" w:rsidP="00A90D90">
      <w:pPr>
        <w:pStyle w:val="Heading3"/>
      </w:pPr>
      <w:r>
        <w:t xml:space="preserve">Expert </w:t>
      </w:r>
      <w:r w:rsidRPr="00A90D90">
        <w:t>reports</w:t>
      </w:r>
    </w:p>
    <w:p w14:paraId="4853B83A" w14:textId="77777777" w:rsidR="00016F8E" w:rsidRDefault="00016F8E" w:rsidP="00A90D90">
      <w:pPr>
        <w:numPr>
          <w:ilvl w:val="0"/>
          <w:numId w:val="25"/>
        </w:numPr>
      </w:pPr>
      <w:r>
        <w:t>During the development of the Guideline, we commissioned expert advice on the value of imputation credits from Associate Professor Martin Lally of the Victoria University of Wellington.</w:t>
      </w:r>
      <w:r w:rsidRPr="004B0617">
        <w:rPr>
          <w:rStyle w:val="FootnoteReference"/>
        </w:rPr>
        <w:footnoteReference w:id="40"/>
      </w:r>
    </w:p>
    <w:p w14:paraId="4ECF5965" w14:textId="2718F29C" w:rsidR="00A90D90" w:rsidRDefault="00FA3A98" w:rsidP="00A90D90">
      <w:pPr>
        <w:numPr>
          <w:ilvl w:val="0"/>
          <w:numId w:val="25"/>
        </w:numPr>
      </w:pPr>
      <w:r>
        <w:t>Since the Guideline</w:t>
      </w:r>
      <w:r w:rsidR="00A90D90">
        <w:t xml:space="preserve">, we </w:t>
      </w:r>
      <w:r w:rsidR="00A90D90" w:rsidRPr="00867688">
        <w:t xml:space="preserve">commissioned </w:t>
      </w:r>
      <w:r w:rsidR="00A90D90">
        <w:t xml:space="preserve">further </w:t>
      </w:r>
      <w:r w:rsidR="00A90D90" w:rsidRPr="00867688">
        <w:t xml:space="preserve">expert advice from </w:t>
      </w:r>
      <w:r w:rsidR="00A90D90">
        <w:t>Associate Professor John Handley of the University of Melbourne.</w:t>
      </w:r>
      <w:r w:rsidR="00A90D90">
        <w:rPr>
          <w:rStyle w:val="FootnoteReference"/>
        </w:rPr>
        <w:footnoteReference w:id="41"/>
      </w:r>
      <w:r w:rsidR="00A90D90">
        <w:t xml:space="preserve"> We have also had regard to, among other things:</w:t>
      </w:r>
    </w:p>
    <w:p w14:paraId="03A546BF" w14:textId="3006E932" w:rsidR="00A90D90" w:rsidRPr="00A90D90" w:rsidRDefault="00A90D90" w:rsidP="00A90D90">
      <w:pPr>
        <w:pStyle w:val="AERbulletlistfirststyle"/>
      </w:pPr>
      <w:proofErr w:type="gramStart"/>
      <w:r>
        <w:t>t</w:t>
      </w:r>
      <w:r w:rsidRPr="00A90D90">
        <w:t>he</w:t>
      </w:r>
      <w:proofErr w:type="gramEnd"/>
      <w:r w:rsidRPr="00A90D90">
        <w:t xml:space="preserve"> May 2014</w:t>
      </w:r>
      <w:r w:rsidR="0059112F">
        <w:t>,</w:t>
      </w:r>
      <w:r w:rsidR="00332A53">
        <w:t xml:space="preserve"> February 2015</w:t>
      </w:r>
      <w:r w:rsidR="0059112F">
        <w:t xml:space="preserve"> and June 2015</w:t>
      </w:r>
      <w:r w:rsidRPr="00A90D90">
        <w:t xml:space="preserve"> report</w:t>
      </w:r>
      <w:r w:rsidR="00332A53">
        <w:t>s</w:t>
      </w:r>
      <w:r w:rsidRPr="00A90D90">
        <w:t xml:space="preserve"> </w:t>
      </w:r>
      <w:r w:rsidR="00836DA3">
        <w:t>by</w:t>
      </w:r>
      <w:r w:rsidRPr="00A90D90">
        <w:t xml:space="preserve"> </w:t>
      </w:r>
      <w:r w:rsidR="0059112F">
        <w:t>Professor Stephen Gray</w:t>
      </w:r>
      <w:r w:rsidRPr="00A90D90">
        <w:t xml:space="preserve"> that </w:t>
      </w:r>
      <w:r w:rsidR="00836DA3">
        <w:t>were commissioned by service providers</w:t>
      </w:r>
      <w:r w:rsidRPr="00A90D90">
        <w:t>.</w:t>
      </w:r>
      <w:r w:rsidRPr="00A90D90">
        <w:rPr>
          <w:rStyle w:val="FootnoteReference"/>
        </w:rPr>
        <w:footnoteReference w:id="42"/>
      </w:r>
    </w:p>
    <w:p w14:paraId="7697B2B3" w14:textId="18DC901D" w:rsidR="00836DA3" w:rsidRDefault="00836DA3" w:rsidP="00A90D90">
      <w:pPr>
        <w:pStyle w:val="AERbulletlistfirststyle"/>
      </w:pPr>
      <w:proofErr w:type="gramStart"/>
      <w:r>
        <w:t>the</w:t>
      </w:r>
      <w:proofErr w:type="gramEnd"/>
      <w:r>
        <w:t xml:space="preserve"> March 2015, April 2015 and June 2015 reports by </w:t>
      </w:r>
      <w:r w:rsidRPr="00A90D90">
        <w:t>NERA Economic Consulting (NERA)</w:t>
      </w:r>
      <w:r>
        <w:t xml:space="preserve"> that were commissioned by service providers.</w:t>
      </w:r>
      <w:r w:rsidR="00C730ED">
        <w:rPr>
          <w:rStyle w:val="FootnoteReference"/>
        </w:rPr>
        <w:footnoteReference w:id="43"/>
      </w:r>
    </w:p>
    <w:p w14:paraId="34AF6867" w14:textId="3699C803" w:rsidR="00A90D90" w:rsidRPr="00A90D90" w:rsidRDefault="00836DA3" w:rsidP="00A90D90">
      <w:pPr>
        <w:pStyle w:val="AERbulletlistfirststyle"/>
      </w:pPr>
      <w:proofErr w:type="gramStart"/>
      <w:r>
        <w:t>the</w:t>
      </w:r>
      <w:proofErr w:type="gramEnd"/>
      <w:r>
        <w:t xml:space="preserve"> November 2013 and</w:t>
      </w:r>
      <w:r w:rsidR="00A90D90" w:rsidRPr="00A90D90">
        <w:t xml:space="preserve"> March 2014 report</w:t>
      </w:r>
      <w:r>
        <w:t>s</w:t>
      </w:r>
      <w:r w:rsidR="00A90D90" w:rsidRPr="00A90D90">
        <w:t xml:space="preserve"> by Associate Professor Lally that </w:t>
      </w:r>
      <w:r>
        <w:t>were</w:t>
      </w:r>
      <w:r w:rsidR="00A90D90" w:rsidRPr="00A90D90">
        <w:t xml:space="preserve"> commissioned by the Queensland Competition Authority.</w:t>
      </w:r>
      <w:r w:rsidR="00A90D90" w:rsidRPr="00A90D90">
        <w:rPr>
          <w:rStyle w:val="FootnoteReference"/>
        </w:rPr>
        <w:footnoteReference w:id="44"/>
      </w:r>
    </w:p>
    <w:p w14:paraId="4844F622" w14:textId="77777777" w:rsidR="00A90D90" w:rsidRPr="00A90D90" w:rsidRDefault="00A90D90" w:rsidP="00A90D90">
      <w:pPr>
        <w:pStyle w:val="AERbulletlistfirststyle"/>
      </w:pPr>
      <w:proofErr w:type="gramStart"/>
      <w:r>
        <w:lastRenderedPageBreak/>
        <w:t>a</w:t>
      </w:r>
      <w:r w:rsidRPr="00A90D90">
        <w:t>n</w:t>
      </w:r>
      <w:proofErr w:type="gramEnd"/>
      <w:r w:rsidRPr="00A90D90">
        <w:t xml:space="preserve"> October 2013 review of a network rail access undertaking by Professor Michael McKenzie of the University of Liverpool and Associate Professor Graham Partington of the University of Sydney.</w:t>
      </w:r>
      <w:r w:rsidRPr="00A90D90">
        <w:rPr>
          <w:rStyle w:val="FootnoteReference"/>
        </w:rPr>
        <w:footnoteReference w:id="45"/>
      </w:r>
      <w:r w:rsidRPr="00A90D90">
        <w:t xml:space="preserve"> This review was commissioned by the Queensland Resources Council and submitted to the Queensland Competition Authority.</w:t>
      </w:r>
    </w:p>
    <w:p w14:paraId="18A35178" w14:textId="77777777" w:rsidR="00A90D90" w:rsidRPr="00A90D90" w:rsidRDefault="00A90D90" w:rsidP="00A90D90">
      <w:pPr>
        <w:pStyle w:val="AERbulletlistfirststyle"/>
      </w:pPr>
      <w:proofErr w:type="gramStart"/>
      <w:r>
        <w:t>a</w:t>
      </w:r>
      <w:proofErr w:type="gramEnd"/>
      <w:r w:rsidRPr="00A90D90">
        <w:t xml:space="preserve"> September 2013 report on tax statistics by Dr. Neville Hathaway that was commissioned by the Energy Networks Association.</w:t>
      </w:r>
      <w:r w:rsidRPr="00A90D90">
        <w:rPr>
          <w:rStyle w:val="FootnoteReference"/>
        </w:rPr>
        <w:footnoteReference w:id="46"/>
      </w:r>
    </w:p>
    <w:p w14:paraId="4C791746" w14:textId="449ADF59" w:rsidR="00A90D90" w:rsidRPr="00A90D90" w:rsidRDefault="00A90D90" w:rsidP="00A90D90">
      <w:pPr>
        <w:pStyle w:val="AERbulletlistfirststyle"/>
      </w:pPr>
      <w:proofErr w:type="gramStart"/>
      <w:r>
        <w:t>a</w:t>
      </w:r>
      <w:proofErr w:type="gramEnd"/>
      <w:r w:rsidRPr="00A90D90">
        <w:t xml:space="preserve"> June 2013 report on the distribution rate by </w:t>
      </w:r>
      <w:r w:rsidR="00047615">
        <w:t>NERA</w:t>
      </w:r>
      <w:r w:rsidRPr="00A90D90">
        <w:t xml:space="preserve"> that was commissioned by the Energy Networks Association.</w:t>
      </w:r>
      <w:r w:rsidRPr="00A90D90">
        <w:rPr>
          <w:rStyle w:val="FootnoteReference"/>
        </w:rPr>
        <w:footnoteReference w:id="47"/>
      </w:r>
    </w:p>
    <w:p w14:paraId="5C7EB87D" w14:textId="77777777" w:rsidR="00A90D90" w:rsidRPr="00A90D90" w:rsidRDefault="00A90D90" w:rsidP="00A90D90">
      <w:pPr>
        <w:pStyle w:val="Heading3"/>
      </w:pPr>
      <w:bookmarkStart w:id="26" w:name="_Ref415048973"/>
      <w:r w:rsidRPr="00784B2C">
        <w:t xml:space="preserve">Approach to </w:t>
      </w:r>
      <w:r w:rsidRPr="00A90D90">
        <w:t>determining the value of imputation credits</w:t>
      </w:r>
      <w:bookmarkEnd w:id="26"/>
    </w:p>
    <w:p w14:paraId="04786802" w14:textId="77777777" w:rsidR="00A90D90" w:rsidRDefault="00A90D90" w:rsidP="00A90D90">
      <w:pPr>
        <w:numPr>
          <w:ilvl w:val="0"/>
          <w:numId w:val="25"/>
        </w:numPr>
      </w:pPr>
      <w:r>
        <w:t>There is no consensus among experts or regulators on the value of imputation credits or the techniques to use to estimate it.</w:t>
      </w:r>
      <w:r>
        <w:rPr>
          <w:rStyle w:val="FootnoteReference"/>
        </w:rPr>
        <w:footnoteReference w:id="48"/>
      </w:r>
      <w:r>
        <w:t xml:space="preserve"> Our approach to determining the value of imputation credits is guided by:</w:t>
      </w:r>
    </w:p>
    <w:p w14:paraId="1A3ACAFA" w14:textId="77777777" w:rsidR="00A90D90" w:rsidRPr="00A90D90" w:rsidRDefault="00A90D90" w:rsidP="00A90D90">
      <w:pPr>
        <w:pStyle w:val="AERbulletlistfirststyle"/>
      </w:pPr>
      <w:proofErr w:type="gramStart"/>
      <w:r>
        <w:t>t</w:t>
      </w:r>
      <w:r w:rsidRPr="00A90D90">
        <w:t>he</w:t>
      </w:r>
      <w:proofErr w:type="gramEnd"/>
      <w:r w:rsidRPr="00A90D90">
        <w:t xml:space="preserve"> requirements of the </w:t>
      </w:r>
      <w:r w:rsidR="00ED498D">
        <w:t>NER/NGR</w:t>
      </w:r>
      <w:r w:rsidRPr="00A90D90">
        <w:t xml:space="preserve">—see section </w:t>
      </w:r>
      <w:r w:rsidRPr="00A90D90">
        <w:fldChar w:fldCharType="begin"/>
      </w:r>
      <w:r w:rsidRPr="00A90D90">
        <w:instrText xml:space="preserve"> REF _Ref400272912 \r \h </w:instrText>
      </w:r>
      <w:r w:rsidRPr="00A90D90">
        <w:fldChar w:fldCharType="separate"/>
      </w:r>
      <w:r w:rsidR="001E2164">
        <w:t>4.3.1</w:t>
      </w:r>
      <w:r w:rsidRPr="00A90D90">
        <w:fldChar w:fldCharType="end"/>
      </w:r>
      <w:r w:rsidRPr="00A90D90">
        <w:t>.</w:t>
      </w:r>
    </w:p>
    <w:p w14:paraId="5C899FC7" w14:textId="77777777" w:rsidR="00A90D90" w:rsidRPr="00A90D90" w:rsidRDefault="00A90D90" w:rsidP="00A90D90">
      <w:pPr>
        <w:pStyle w:val="AERbulletlistfirststyle"/>
      </w:pPr>
      <w:proofErr w:type="gramStart"/>
      <w:r>
        <w:t>t</w:t>
      </w:r>
      <w:r w:rsidRPr="00A90D90">
        <w:t>he</w:t>
      </w:r>
      <w:proofErr w:type="gramEnd"/>
      <w:r w:rsidRPr="00A90D90">
        <w:t xml:space="preserve"> role of the value of the imputation credits in the revenue building block framework—this suggests that the value of imputation credits is intended to reflect the value of imputation credits to investors in the benchmark efficient entity.</w:t>
      </w:r>
      <w:r w:rsidRPr="00A90D90">
        <w:rPr>
          <w:rStyle w:val="FootnoteReference"/>
        </w:rPr>
        <w:footnoteReference w:id="49"/>
      </w:r>
    </w:p>
    <w:p w14:paraId="26C36FA9" w14:textId="77777777" w:rsidR="00A90D90" w:rsidRPr="00A90D90" w:rsidRDefault="00A90D90" w:rsidP="00A90D90">
      <w:pPr>
        <w:pStyle w:val="AERbulletlistfirststyle"/>
      </w:pPr>
      <w:proofErr w:type="gramStart"/>
      <w:r>
        <w:t>r</w:t>
      </w:r>
      <w:r w:rsidRPr="00A90D90">
        <w:t>elevant</w:t>
      </w:r>
      <w:proofErr w:type="gramEnd"/>
      <w:r w:rsidRPr="00A90D90">
        <w:t xml:space="preserve"> academic literature—the framework developed in a 1994 paper by Officer is widely recognised as providing the basis for the value of imputation credits in the building block framework.</w:t>
      </w:r>
      <w:r w:rsidRPr="00A90D90">
        <w:rPr>
          <w:rStyle w:val="FootnoteReference"/>
        </w:rPr>
        <w:footnoteReference w:id="50"/>
      </w:r>
      <w:r w:rsidRPr="00A90D90">
        <w:t xml:space="preserve"> </w:t>
      </w:r>
      <w:r w:rsidR="002711F2">
        <w:t xml:space="preserve">A key implication of Officer's framework is that the value of imputation credits should be estimated on a before-personal-tax and before-personal-costs basis. </w:t>
      </w:r>
      <w:r w:rsidRPr="00A90D90">
        <w:t>The work of Monkhouse (and others) extends the Officer framework, and shows that the value of imputation credits can be estimated as the product of two parameters:</w:t>
      </w:r>
    </w:p>
    <w:p w14:paraId="329F5C1F" w14:textId="77777777" w:rsidR="00A90D90" w:rsidRPr="00A90D90" w:rsidRDefault="00A90D90" w:rsidP="00A90D90">
      <w:pPr>
        <w:pStyle w:val="AERbulletlistsecondstyle"/>
      </w:pPr>
      <w:r w:rsidRPr="00423E59">
        <w:t>the proportion of imputation credits generated that is distributed to investors</w:t>
      </w:r>
      <w:r w:rsidRPr="00A90D90">
        <w:t xml:space="preserve"> (the distribution rate), and </w:t>
      </w:r>
    </w:p>
    <w:p w14:paraId="269DCDCE" w14:textId="77777777" w:rsidR="00A90D90" w:rsidRPr="00A90D90" w:rsidRDefault="00A90D90" w:rsidP="00A90D90">
      <w:pPr>
        <w:pStyle w:val="AERbulletlistsecondstyle"/>
      </w:pPr>
      <w:proofErr w:type="gramStart"/>
      <w:r w:rsidRPr="00423E59">
        <w:t>the</w:t>
      </w:r>
      <w:proofErr w:type="gramEnd"/>
      <w:r w:rsidRPr="00423E59">
        <w:t xml:space="preserve"> utilisation value to investors in the market per dollar of imputation credits distributed </w:t>
      </w:r>
      <w:r w:rsidRPr="00A90D90">
        <w:t>(the utilisation rate).</w:t>
      </w:r>
      <w:r w:rsidRPr="00A90D90">
        <w:rPr>
          <w:rStyle w:val="FootnoteReference"/>
        </w:rPr>
        <w:footnoteReference w:id="51"/>
      </w:r>
      <w:r w:rsidRPr="00A90D90">
        <w:t xml:space="preserve"> </w:t>
      </w:r>
    </w:p>
    <w:p w14:paraId="0EED28B0" w14:textId="77777777" w:rsidR="00A90D90" w:rsidRPr="00A90D90" w:rsidRDefault="00A90D90" w:rsidP="00A91589">
      <w:pPr>
        <w:pStyle w:val="AERbulletlistfirststyle"/>
        <w:numPr>
          <w:ilvl w:val="0"/>
          <w:numId w:val="0"/>
        </w:numPr>
        <w:ind w:left="357"/>
      </w:pPr>
      <w:r>
        <w:t xml:space="preserve">Consistent with this </w:t>
      </w:r>
      <w:r w:rsidRPr="00A90D90">
        <w:t>literature, we determine the value of imputation credits as the product of these two parameters.</w:t>
      </w:r>
    </w:p>
    <w:p w14:paraId="3B3E9B0A" w14:textId="77777777" w:rsidR="00A90D90" w:rsidRPr="00A90D90" w:rsidRDefault="00AF1D81" w:rsidP="00A90D90">
      <w:pPr>
        <w:pStyle w:val="AERbulletlistfirststyle"/>
      </w:pPr>
      <w:r>
        <w:t>a</w:t>
      </w:r>
      <w:r w:rsidR="00A90D90">
        <w:t xml:space="preserve"> wide range of relevant </w:t>
      </w:r>
      <w:r w:rsidR="00A90D90" w:rsidRPr="00A90D90">
        <w:t xml:space="preserve">evidence—while there is a widely accepted approach to estimating the distribution rate, there is no single accepted approach to estimating the </w:t>
      </w:r>
      <w:r w:rsidR="00A90D90" w:rsidRPr="00A90D90">
        <w:lastRenderedPageBreak/>
        <w:t>utilisation rate and there is a range of evidence relevant to the utilisation rate. This includes:</w:t>
      </w:r>
    </w:p>
    <w:p w14:paraId="6BCEA3D3" w14:textId="77777777" w:rsidR="00A90D90" w:rsidRPr="00A90D90" w:rsidRDefault="00A90D90" w:rsidP="00A90D90">
      <w:pPr>
        <w:pStyle w:val="AERbulletlistsecondstyle"/>
      </w:pPr>
      <w:proofErr w:type="gramStart"/>
      <w:r>
        <w:t>t</w:t>
      </w:r>
      <w:r w:rsidRPr="00A90D90">
        <w:t>he</w:t>
      </w:r>
      <w:proofErr w:type="gramEnd"/>
      <w:r w:rsidRPr="00A90D90">
        <w:t xml:space="preserve"> proportion of Australian equity held by domestic investors (the 'equity ownership approach').</w:t>
      </w:r>
    </w:p>
    <w:p w14:paraId="716FC3A5" w14:textId="77777777" w:rsidR="00A90D90" w:rsidRPr="00A90D90" w:rsidRDefault="00A90D90" w:rsidP="00A90D90">
      <w:pPr>
        <w:pStyle w:val="AERbulletlistsecondstyle"/>
      </w:pPr>
      <w:proofErr w:type="gramStart"/>
      <w:r>
        <w:t>t</w:t>
      </w:r>
      <w:r w:rsidRPr="00A90D90">
        <w:t>he</w:t>
      </w:r>
      <w:proofErr w:type="gramEnd"/>
      <w:r w:rsidRPr="00A90D90">
        <w:t xml:space="preserve"> reported value of credits utilised by investors in Australian Taxation Office (ATO) statistics ('tax statistics').</w:t>
      </w:r>
    </w:p>
    <w:p w14:paraId="67B183A8" w14:textId="77777777" w:rsidR="00A90D90" w:rsidRPr="00A90D90" w:rsidRDefault="00A90D90" w:rsidP="00A90D90">
      <w:pPr>
        <w:pStyle w:val="AERbulletlistsecondstyle"/>
      </w:pPr>
      <w:proofErr w:type="gramStart"/>
      <w:r>
        <w:t>s</w:t>
      </w:r>
      <w:r w:rsidRPr="00A90D90">
        <w:t>tudies</w:t>
      </w:r>
      <w:proofErr w:type="gramEnd"/>
      <w:r w:rsidRPr="00A90D90">
        <w:t xml:space="preserve"> that seek to infer from market prices the value to investors of distributed imputation credits ('implied market value studies').</w:t>
      </w:r>
    </w:p>
    <w:p w14:paraId="2014A178" w14:textId="77777777" w:rsidR="00A90D90" w:rsidRPr="00A90D90" w:rsidRDefault="00A90D90" w:rsidP="001A29C8">
      <w:pPr>
        <w:pStyle w:val="AERbulletlistfirststyle"/>
        <w:numPr>
          <w:ilvl w:val="0"/>
          <w:numId w:val="0"/>
        </w:numPr>
        <w:ind w:left="357"/>
      </w:pPr>
      <w:r>
        <w:t xml:space="preserve">Also, when estimating the distribution rate and the utilisation rate there is </w:t>
      </w:r>
      <w:r w:rsidRPr="00A90D90">
        <w:t>no consensus regarding whether evidence and data should be used on all companies and their investors (all equity) or just listed companies and their investors (</w:t>
      </w:r>
      <w:r w:rsidR="001C274C">
        <w:t>only listed equity</w:t>
      </w:r>
      <w:r w:rsidRPr="00A90D90">
        <w:t>).</w:t>
      </w:r>
      <w:r w:rsidRPr="00A90D90">
        <w:rPr>
          <w:rStyle w:val="FootnoteReference"/>
        </w:rPr>
        <w:footnoteReference w:id="52"/>
      </w:r>
      <w:r w:rsidRPr="00A90D90">
        <w:t xml:space="preserve"> In determining the value of imputation credits, we rely on the results from both approaches.</w:t>
      </w:r>
    </w:p>
    <w:p w14:paraId="52833F7A" w14:textId="77777777" w:rsidR="00A90D90" w:rsidRPr="00A90D90" w:rsidRDefault="00AF1D81" w:rsidP="00A90D90">
      <w:pPr>
        <w:pStyle w:val="AERbulletlistfirststyle"/>
      </w:pPr>
      <w:r>
        <w:t>t</w:t>
      </w:r>
      <w:r w:rsidR="00A90D90">
        <w:t>he views of experts</w:t>
      </w:r>
      <w:r w:rsidR="00A90D90" w:rsidRPr="00A90D90">
        <w:t>—experts differ in their interpretations of the:</w:t>
      </w:r>
    </w:p>
    <w:p w14:paraId="1026FEB8" w14:textId="77777777" w:rsidR="00A90D90" w:rsidRPr="00A90D90" w:rsidRDefault="00A90D90" w:rsidP="00A90D90">
      <w:pPr>
        <w:pStyle w:val="AERbulletlistsecondstyle"/>
      </w:pPr>
      <w:r>
        <w:t>role of the value of imputation credits in the regulatory framework</w:t>
      </w:r>
    </w:p>
    <w:p w14:paraId="430692B0" w14:textId="77777777" w:rsidR="00FD000C" w:rsidRDefault="00A90D90" w:rsidP="00A90D90">
      <w:pPr>
        <w:pStyle w:val="AERbulletlistsecondstyle"/>
      </w:pPr>
      <w:r>
        <w:t>underlying theory and academic literature</w:t>
      </w:r>
      <w:r w:rsidRPr="00A90D90">
        <w:t>, and</w:t>
      </w:r>
    </w:p>
    <w:p w14:paraId="6E364C77" w14:textId="77777777" w:rsidR="002C233C" w:rsidRDefault="00A90D90" w:rsidP="00A90D90">
      <w:pPr>
        <w:pStyle w:val="AERbulletlistsecondstyle"/>
      </w:pPr>
      <w:proofErr w:type="gramStart"/>
      <w:r>
        <w:t>relevance</w:t>
      </w:r>
      <w:proofErr w:type="gramEnd"/>
      <w:r>
        <w:t xml:space="preserve"> of different estimation techniques, particularly for the utilisation rate.</w:t>
      </w:r>
    </w:p>
    <w:p w14:paraId="34206BF7" w14:textId="77777777" w:rsidR="00DE563D" w:rsidRDefault="00DE563D" w:rsidP="001754EE">
      <w:pPr>
        <w:pStyle w:val="Heading2"/>
      </w:pPr>
      <w:bookmarkStart w:id="27" w:name="_Toc403144140"/>
      <w:bookmarkStart w:id="28" w:name="_Ref414621693"/>
      <w:bookmarkStart w:id="29" w:name="_Ref414621836"/>
      <w:bookmarkStart w:id="30" w:name="_Ref414907434"/>
      <w:bookmarkStart w:id="31" w:name="_Ref415068229"/>
      <w:bookmarkStart w:id="32" w:name="_Ref419298166"/>
      <w:bookmarkStart w:id="33" w:name="_Toc433449210"/>
      <w:r w:rsidRPr="001754EE">
        <w:t>Reasons</w:t>
      </w:r>
      <w:r>
        <w:t xml:space="preserve"> for </w:t>
      </w:r>
      <w:r w:rsidR="002016E7">
        <w:t>final</w:t>
      </w:r>
      <w:r>
        <w:t xml:space="preserve"> decision</w:t>
      </w:r>
      <w:bookmarkEnd w:id="27"/>
      <w:bookmarkEnd w:id="28"/>
      <w:bookmarkEnd w:id="29"/>
      <w:bookmarkEnd w:id="30"/>
      <w:bookmarkEnd w:id="31"/>
      <w:bookmarkEnd w:id="32"/>
      <w:bookmarkEnd w:id="33"/>
      <w:r>
        <w:t xml:space="preserve"> </w:t>
      </w:r>
    </w:p>
    <w:p w14:paraId="5ADAAA96" w14:textId="77777777" w:rsidR="00730504" w:rsidRDefault="00730504" w:rsidP="00730504">
      <w:pPr>
        <w:numPr>
          <w:ilvl w:val="0"/>
          <w:numId w:val="25"/>
        </w:numPr>
      </w:pPr>
      <w:r>
        <w:t xml:space="preserve">In determining the value of imputation credits, we have considered the </w:t>
      </w:r>
      <w:r w:rsidR="00B71AA2">
        <w:t>full</w:t>
      </w:r>
      <w:r>
        <w:t xml:space="preserve"> range of evidence before us with regard to its merits. We consider that a value of imputation credits of 0.4, selected fr</w:t>
      </w:r>
      <w:r w:rsidR="003B3322">
        <w:t>om within a range of 0.3 to 0.5</w:t>
      </w:r>
      <w:r>
        <w:t>, is reasonable because:</w:t>
      </w:r>
    </w:p>
    <w:p w14:paraId="11CF1DC1" w14:textId="77777777" w:rsidR="00730504" w:rsidRPr="00730504" w:rsidRDefault="00AF1D81" w:rsidP="00730504">
      <w:pPr>
        <w:pStyle w:val="AERbulletlistfirststyle"/>
      </w:pPr>
      <w:proofErr w:type="gramStart"/>
      <w:r>
        <w:t>i</w:t>
      </w:r>
      <w:r w:rsidR="00730504">
        <w:t>t</w:t>
      </w:r>
      <w:proofErr w:type="gramEnd"/>
      <w:r w:rsidR="00730504">
        <w:t xml:space="preserve"> is within the range of values indicated by the evidence, and the relevance of the evidence is supported by the expert opinion of Handley, Lally</w:t>
      </w:r>
      <w:r w:rsidR="007632C9">
        <w:t>,</w:t>
      </w:r>
      <w:r w:rsidR="00730504">
        <w:t xml:space="preserve"> and McKenzie and Partington</w:t>
      </w:r>
      <w:r w:rsidR="00730504" w:rsidRPr="00730504">
        <w:t>.</w:t>
      </w:r>
    </w:p>
    <w:p w14:paraId="51B51FBF" w14:textId="77777777" w:rsidR="00730504" w:rsidRPr="00730504" w:rsidRDefault="00AF1D81" w:rsidP="00730504">
      <w:pPr>
        <w:pStyle w:val="AERbulletlistfirststyle"/>
      </w:pPr>
      <w:proofErr w:type="gramStart"/>
      <w:r>
        <w:t>i</w:t>
      </w:r>
      <w:r w:rsidR="00730504">
        <w:t>t</w:t>
      </w:r>
      <w:proofErr w:type="gramEnd"/>
      <w:r w:rsidR="00730504">
        <w:t xml:space="preserve"> primarily reflects an estimate of the utilisation rate fro</w:t>
      </w:r>
      <w:r w:rsidR="00730504" w:rsidRPr="00730504">
        <w:t>m the equity ownership approach. Handley considered this the most important approach to estimating the utilisation rate, relative to the alternatives of tax statistics and implied market value studies.</w:t>
      </w:r>
      <w:r w:rsidR="00730504" w:rsidRPr="00730504">
        <w:rPr>
          <w:rStyle w:val="FootnoteReference"/>
        </w:rPr>
        <w:footnoteReference w:id="53"/>
      </w:r>
      <w:r w:rsidR="00730504" w:rsidRPr="00730504">
        <w:t xml:space="preserve"> The equity ownership approach was Lally's second preference after his recommendation for </w:t>
      </w:r>
      <w:proofErr w:type="gramStart"/>
      <w:r w:rsidR="00730504" w:rsidRPr="00730504">
        <w:t>a</w:t>
      </w:r>
      <w:proofErr w:type="gramEnd"/>
      <w:r w:rsidR="00730504" w:rsidRPr="00730504">
        <w:t xml:space="preserve"> utilisation rate of 1.</w:t>
      </w:r>
      <w:r w:rsidR="00730504" w:rsidRPr="00730504">
        <w:rPr>
          <w:rStyle w:val="FootnoteReference"/>
        </w:rPr>
        <w:footnoteReference w:id="54"/>
      </w:r>
    </w:p>
    <w:p w14:paraId="2C8FC9CA" w14:textId="77777777" w:rsidR="00730504" w:rsidRPr="00730504" w:rsidRDefault="00AF1D81" w:rsidP="00730504">
      <w:pPr>
        <w:pStyle w:val="AERbulletlistfirststyle"/>
      </w:pPr>
      <w:proofErr w:type="gramStart"/>
      <w:r>
        <w:lastRenderedPageBreak/>
        <w:t>i</w:t>
      </w:r>
      <w:r w:rsidR="00730504">
        <w:t>t</w:t>
      </w:r>
      <w:proofErr w:type="gramEnd"/>
      <w:r w:rsidR="00730504">
        <w:t xml:space="preserve"> is within the 'preferred' range for the value of imputation credits </w:t>
      </w:r>
      <w:r w:rsidR="00730504" w:rsidRPr="00730504">
        <w:t xml:space="preserve">(0.4 to 0.5) in Handley's </w:t>
      </w:r>
      <w:r w:rsidR="00730504">
        <w:t>September 2014</w:t>
      </w:r>
      <w:r w:rsidR="00730504" w:rsidRPr="00730504">
        <w:t xml:space="preserve"> advice.</w:t>
      </w:r>
      <w:r w:rsidR="00730504" w:rsidRPr="00730504">
        <w:rPr>
          <w:rStyle w:val="FootnoteReference"/>
        </w:rPr>
        <w:footnoteReference w:id="55"/>
      </w:r>
    </w:p>
    <w:p w14:paraId="233D1756" w14:textId="77777777" w:rsidR="00730504" w:rsidRPr="00730504" w:rsidRDefault="00AF1D81" w:rsidP="00730504">
      <w:pPr>
        <w:pStyle w:val="AERbulletlistfirststyle"/>
      </w:pPr>
      <w:proofErr w:type="gramStart"/>
      <w:r>
        <w:t>b</w:t>
      </w:r>
      <w:r w:rsidR="00730504">
        <w:t>ased</w:t>
      </w:r>
      <w:proofErr w:type="gramEnd"/>
      <w:r w:rsidR="00730504">
        <w:t xml:space="preserve"> on the evidence before us at this time, a</w:t>
      </w:r>
      <w:r w:rsidR="00730504" w:rsidRPr="00730504">
        <w:t>dopting a value of imputation credits that is rounded to one decimal place appropriately reflects the uncertainty and imprecision associated with this parameter. This uncertainty is evident in the range of views and values that have been espoused by experts, and was recognised by Handley and McKenzie and Partington.</w:t>
      </w:r>
      <w:r w:rsidR="00730504" w:rsidRPr="00730504">
        <w:rPr>
          <w:rStyle w:val="FootnoteReference"/>
        </w:rPr>
        <w:footnoteReference w:id="56"/>
      </w:r>
      <w:r w:rsidR="00730504" w:rsidRPr="00730504">
        <w:t xml:space="preserve"> The imprecision of determining the value of imputation credits was emphasised by Handley.</w:t>
      </w:r>
      <w:r w:rsidR="00730504" w:rsidRPr="00730504">
        <w:rPr>
          <w:rStyle w:val="FootnoteReference"/>
        </w:rPr>
        <w:footnoteReference w:id="57"/>
      </w:r>
    </w:p>
    <w:p w14:paraId="79B5069F" w14:textId="77777777" w:rsidR="00730504" w:rsidRDefault="00730504" w:rsidP="00730504">
      <w:pPr>
        <w:numPr>
          <w:ilvl w:val="0"/>
          <w:numId w:val="25"/>
        </w:numPr>
      </w:pPr>
      <w:r>
        <w:t xml:space="preserve">In considering the evidence on the distribution and utilisation rates, we have broadly maintained the approach set out in the Guideline, but have re-examined the relevant evidence and estimates. This re-examination, and new evidence and advice considered since the Guideline, led us to depart from the Guideline value of imputation credits of 0.5. Departures from specific aspects of the Guideline are noted in the discussion of the distribution rate and utilisation rate below. </w:t>
      </w:r>
    </w:p>
    <w:p w14:paraId="30CBED6F" w14:textId="77777777" w:rsidR="00730504" w:rsidRDefault="00730504" w:rsidP="00730504">
      <w:pPr>
        <w:numPr>
          <w:ilvl w:val="0"/>
          <w:numId w:val="25"/>
        </w:numPr>
      </w:pPr>
      <w:r>
        <w:t>Further to the Guideline approach, in this final decision we consider that:</w:t>
      </w:r>
    </w:p>
    <w:p w14:paraId="1A6095EA" w14:textId="77777777" w:rsidR="00730504" w:rsidRPr="00730504" w:rsidRDefault="00AF1D81" w:rsidP="00730504">
      <w:pPr>
        <w:pStyle w:val="AERbulletlistfirststyle"/>
      </w:pPr>
      <w:proofErr w:type="gramStart"/>
      <w:r>
        <w:t>w</w:t>
      </w:r>
      <w:r w:rsidR="00730504">
        <w:t>e</w:t>
      </w:r>
      <w:proofErr w:type="gramEnd"/>
      <w:r w:rsidR="00730504">
        <w:t xml:space="preserve"> may</w:t>
      </w:r>
      <w:r w:rsidR="00730504" w:rsidRPr="00730504">
        <w:t xml:space="preserve"> have regard to evidence from all equity and/or </w:t>
      </w:r>
      <w:r w:rsidR="001C274C">
        <w:t xml:space="preserve">only </w:t>
      </w:r>
      <w:r w:rsidR="00730504" w:rsidRPr="00730504">
        <w:t xml:space="preserve">listed equity. Some experts advocate use of evidence on only listed companies and their investors because </w:t>
      </w:r>
      <w:r w:rsidR="0055021B">
        <w:t>they consider it</w:t>
      </w:r>
      <w:r w:rsidR="00730504" w:rsidRPr="00730504">
        <w:t xml:space="preserve"> to be more reflective of the benchmark efficient entity and its investors, or because</w:t>
      </w:r>
      <w:r w:rsidR="0055021B">
        <w:t xml:space="preserve"> they consider</w:t>
      </w:r>
      <w:r w:rsidR="00730504" w:rsidRPr="00730504">
        <w:t xml:space="preserve"> this is consistent with the use of evidence from only listed companies when estimating the market risk premium. However, there is no consensus on this point. We discuss the issue further in section </w:t>
      </w:r>
      <w:r w:rsidR="00730504" w:rsidRPr="00730504">
        <w:fldChar w:fldCharType="begin"/>
      </w:r>
      <w:r w:rsidR="00730504" w:rsidRPr="00730504">
        <w:instrText xml:space="preserve"> REF _Ref401048631 \r \h </w:instrText>
      </w:r>
      <w:r w:rsidR="00730504" w:rsidRPr="00730504">
        <w:fldChar w:fldCharType="separate"/>
      </w:r>
      <w:r w:rsidR="001E2164">
        <w:t>A.9.1</w:t>
      </w:r>
      <w:r w:rsidR="00730504" w:rsidRPr="00730504">
        <w:fldChar w:fldCharType="end"/>
      </w:r>
      <w:r w:rsidR="00730504" w:rsidRPr="00730504">
        <w:t xml:space="preserve"> of appendix A. We did not consider this issue in the Guideline.</w:t>
      </w:r>
    </w:p>
    <w:p w14:paraId="0663FCA4" w14:textId="77777777" w:rsidR="00730504" w:rsidRPr="00730504" w:rsidRDefault="00AF1D81" w:rsidP="00730504">
      <w:pPr>
        <w:pStyle w:val="AERbulletlistfirststyle"/>
      </w:pPr>
      <w:proofErr w:type="gramStart"/>
      <w:r>
        <w:t>i</w:t>
      </w:r>
      <w:r w:rsidR="00730504">
        <w:t>t</w:t>
      </w:r>
      <w:proofErr w:type="gramEnd"/>
      <w:r w:rsidR="00730504">
        <w:t xml:space="preserve"> would be i</w:t>
      </w:r>
      <w:r w:rsidR="00730504" w:rsidRPr="00730504">
        <w:t xml:space="preserve">nappropriate to pair an estimate of the utilisation rate from </w:t>
      </w:r>
      <w:r w:rsidR="001C274C">
        <w:t xml:space="preserve">only </w:t>
      </w:r>
      <w:r w:rsidR="00730504" w:rsidRPr="00730504">
        <w:t xml:space="preserve">listed equity with an estimate of the distribution rate from all equity (and vice versa). There is a relationship between definitions and estimates of the distribution rate and utilisation rate that should be recognised when estimating the value of imputation credits. In the Guideline, we estimated the distribution and utilisation rates independently, and did not recognise this relationship. We discuss this relationship further in section </w:t>
      </w:r>
      <w:r w:rsidR="00730504" w:rsidRPr="00730504">
        <w:fldChar w:fldCharType="begin"/>
      </w:r>
      <w:r w:rsidR="00730504" w:rsidRPr="00730504">
        <w:instrText xml:space="preserve"> REF _Ref403481194 \r \h </w:instrText>
      </w:r>
      <w:r w:rsidR="00730504" w:rsidRPr="00730504">
        <w:fldChar w:fldCharType="separate"/>
      </w:r>
      <w:r w:rsidR="001E2164">
        <w:t>A.9.2</w:t>
      </w:r>
      <w:r w:rsidR="00730504" w:rsidRPr="00730504">
        <w:fldChar w:fldCharType="end"/>
      </w:r>
      <w:r w:rsidR="00730504" w:rsidRPr="00730504">
        <w:t xml:space="preserve"> of appendix A. </w:t>
      </w:r>
    </w:p>
    <w:p w14:paraId="44DFCFC2" w14:textId="6CB6FB37" w:rsidR="00730504" w:rsidRPr="00EB588E" w:rsidRDefault="00730504" w:rsidP="00730504">
      <w:pPr>
        <w:numPr>
          <w:ilvl w:val="0"/>
          <w:numId w:val="25"/>
        </w:numPr>
      </w:pPr>
      <w:r>
        <w:t xml:space="preserve">Recognising these considerations, </w:t>
      </w:r>
      <w:r>
        <w:fldChar w:fldCharType="begin"/>
      </w:r>
      <w:r>
        <w:instrText xml:space="preserve"> REF  _Ref400900366 \* Lower \h </w:instrText>
      </w:r>
      <w:r>
        <w:fldChar w:fldCharType="separate"/>
      </w:r>
      <w:r w:rsidR="001E2164">
        <w:t xml:space="preserve">table </w:t>
      </w:r>
      <w:r w:rsidR="001E2164">
        <w:rPr>
          <w:noProof/>
        </w:rPr>
        <w:t>4</w:t>
      </w:r>
      <w:r w:rsidR="001E2164">
        <w:noBreakHyphen/>
      </w:r>
      <w:r w:rsidR="001E2164">
        <w:rPr>
          <w:noProof/>
        </w:rPr>
        <w:t>1</w:t>
      </w:r>
      <w:r>
        <w:fldChar w:fldCharType="end"/>
      </w:r>
      <w:r>
        <w:t xml:space="preserve"> and </w:t>
      </w:r>
      <w:r>
        <w:fldChar w:fldCharType="begin"/>
      </w:r>
      <w:r>
        <w:instrText xml:space="preserve"> REF  _Ref404072148 \* Lower \h </w:instrText>
      </w:r>
      <w:r>
        <w:fldChar w:fldCharType="separate"/>
      </w:r>
      <w:r w:rsidR="001E2164">
        <w:t xml:space="preserve">table </w:t>
      </w:r>
      <w:r w:rsidR="001E2164">
        <w:rPr>
          <w:noProof/>
        </w:rPr>
        <w:t>4</w:t>
      </w:r>
      <w:r w:rsidR="001E2164">
        <w:noBreakHyphen/>
      </w:r>
      <w:r w:rsidR="001E2164">
        <w:rPr>
          <w:noProof/>
        </w:rPr>
        <w:t>2</w:t>
      </w:r>
      <w:r>
        <w:fldChar w:fldCharType="end"/>
      </w:r>
      <w:r>
        <w:t xml:space="preserve"> </w:t>
      </w:r>
      <w:r w:rsidRPr="00EB588E">
        <w:t xml:space="preserve">show estimates of the value of imputation credits that arise from internally consistent evidence from all equity and </w:t>
      </w:r>
      <w:r w:rsidR="001C274C">
        <w:t>only listed equity</w:t>
      </w:r>
      <w:r w:rsidRPr="00EB588E">
        <w:t>, respectively.</w:t>
      </w:r>
      <w:r w:rsidR="00F27BB2">
        <w:rPr>
          <w:rStyle w:val="FootnoteReference"/>
        </w:rPr>
        <w:footnoteReference w:id="58"/>
      </w:r>
      <w:r w:rsidRPr="00EB588E">
        <w:t xml:space="preserve"> These individual sources of evidence allow us to present estimates to </w:t>
      </w:r>
      <w:r w:rsidRPr="00EB588E">
        <w:lastRenderedPageBreak/>
        <w:t>two decimal places. However, we consider it reasonable to determine a value of imputation credits to only one decimal place when determining a single value from across this evidence.</w:t>
      </w:r>
      <w:r w:rsidR="00F21A67">
        <w:t xml:space="preserve"> </w:t>
      </w:r>
    </w:p>
    <w:p w14:paraId="59321772" w14:textId="77777777" w:rsidR="00730504" w:rsidRDefault="00730504" w:rsidP="00730504">
      <w:pPr>
        <w:pStyle w:val="Caption"/>
      </w:pPr>
      <w:bookmarkStart w:id="34" w:name="_Ref400900366"/>
      <w:bookmarkStart w:id="35" w:name="_Ref400900335"/>
      <w:r>
        <w:t xml:space="preserve">Table </w:t>
      </w:r>
      <w:r w:rsidR="00D70292">
        <w:fldChar w:fldCharType="begin"/>
      </w:r>
      <w:r w:rsidR="00D70292">
        <w:instrText xml:space="preserve"> STYLEREF 1 \s </w:instrText>
      </w:r>
      <w:r w:rsidR="00D70292">
        <w:fldChar w:fldCharType="separate"/>
      </w:r>
      <w:r w:rsidR="001E2164">
        <w:rPr>
          <w:noProof/>
        </w:rPr>
        <w:t>4</w:t>
      </w:r>
      <w:r w:rsidR="00D70292">
        <w:rPr>
          <w:noProof/>
        </w:rPr>
        <w:fldChar w:fldCharType="end"/>
      </w:r>
      <w:r w:rsidR="00257FBE">
        <w:noBreakHyphen/>
      </w:r>
      <w:r w:rsidR="00D70292">
        <w:fldChar w:fldCharType="begin"/>
      </w:r>
      <w:r w:rsidR="00D70292">
        <w:instrText xml:space="preserve"> SEQ Table \*</w:instrText>
      </w:r>
      <w:r w:rsidR="00D70292">
        <w:instrText xml:space="preserve"> ARABIC \s 1 </w:instrText>
      </w:r>
      <w:r w:rsidR="00D70292">
        <w:fldChar w:fldCharType="separate"/>
      </w:r>
      <w:r w:rsidR="001E2164">
        <w:rPr>
          <w:noProof/>
        </w:rPr>
        <w:t>1</w:t>
      </w:r>
      <w:r w:rsidR="00D70292">
        <w:rPr>
          <w:noProof/>
        </w:rPr>
        <w:fldChar w:fldCharType="end"/>
      </w:r>
      <w:bookmarkEnd w:id="34"/>
      <w:r>
        <w:tab/>
        <w:t>Estimates of the value of imputation credits—evidence from all equity</w:t>
      </w:r>
      <w:bookmarkEnd w:id="35"/>
    </w:p>
    <w:tbl>
      <w:tblPr>
        <w:tblStyle w:val="AERtable-numbers"/>
        <w:tblW w:w="0" w:type="auto"/>
        <w:tblLook w:val="04A0" w:firstRow="1" w:lastRow="0" w:firstColumn="1" w:lastColumn="0" w:noHBand="0" w:noVBand="1"/>
      </w:tblPr>
      <w:tblGrid>
        <w:gridCol w:w="3085"/>
        <w:gridCol w:w="2052"/>
        <w:gridCol w:w="2052"/>
        <w:gridCol w:w="2053"/>
      </w:tblGrid>
      <w:tr w:rsidR="00730504" w14:paraId="67DEFDF7" w14:textId="77777777" w:rsidTr="000A247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14:paraId="71BA65AD" w14:textId="77777777" w:rsidR="00730504" w:rsidRDefault="00730504" w:rsidP="00D71DDD">
            <w:pPr>
              <w:keepNext/>
              <w:numPr>
                <w:ilvl w:val="0"/>
                <w:numId w:val="25"/>
              </w:numPr>
            </w:pPr>
            <w:r>
              <w:t>Evidence on utilisation rate</w:t>
            </w:r>
          </w:p>
        </w:tc>
        <w:tc>
          <w:tcPr>
            <w:tcW w:w="2052" w:type="dxa"/>
          </w:tcPr>
          <w:p w14:paraId="16DB81F4"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Utilisation rate</w:t>
            </w:r>
          </w:p>
        </w:tc>
        <w:tc>
          <w:tcPr>
            <w:tcW w:w="2052" w:type="dxa"/>
          </w:tcPr>
          <w:p w14:paraId="7E153AE3"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Distribution rate</w:t>
            </w:r>
          </w:p>
        </w:tc>
        <w:tc>
          <w:tcPr>
            <w:tcW w:w="2053" w:type="dxa"/>
          </w:tcPr>
          <w:p w14:paraId="0F812116"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Value of Imputation Credits</w:t>
            </w:r>
          </w:p>
        </w:tc>
      </w:tr>
      <w:tr w:rsidR="00730504" w14:paraId="7007741E" w14:textId="77777777" w:rsidTr="000A247D">
        <w:trPr>
          <w:cantSplit/>
        </w:trPr>
        <w:tc>
          <w:tcPr>
            <w:cnfStyle w:val="001000000000" w:firstRow="0" w:lastRow="0" w:firstColumn="1" w:lastColumn="0" w:oddVBand="0" w:evenVBand="0" w:oddHBand="0" w:evenHBand="0" w:firstRowFirstColumn="0" w:firstRowLastColumn="0" w:lastRowFirstColumn="0" w:lastRowLastColumn="0"/>
            <w:tcW w:w="3085" w:type="dxa"/>
          </w:tcPr>
          <w:p w14:paraId="70C1D6AD" w14:textId="77777777" w:rsidR="00730504" w:rsidRDefault="00730504" w:rsidP="00D71DDD">
            <w:pPr>
              <w:keepNext/>
              <w:numPr>
                <w:ilvl w:val="0"/>
                <w:numId w:val="25"/>
              </w:numPr>
            </w:pPr>
            <w:r>
              <w:t>Equity ownership approach</w:t>
            </w:r>
          </w:p>
        </w:tc>
        <w:tc>
          <w:tcPr>
            <w:tcW w:w="2052" w:type="dxa"/>
          </w:tcPr>
          <w:p w14:paraId="5755A4E8" w14:textId="77777777" w:rsidR="00730504" w:rsidRPr="00730504" w:rsidRDefault="00647254" w:rsidP="00D71DDD">
            <w:pPr>
              <w:keepNext/>
              <w:cnfStyle w:val="000000000000" w:firstRow="0" w:lastRow="0" w:firstColumn="0" w:lastColumn="0" w:oddVBand="0" w:evenVBand="0" w:oddHBand="0" w:evenHBand="0" w:firstRowFirstColumn="0" w:firstRowLastColumn="0" w:lastRowFirstColumn="0" w:lastRowLastColumn="0"/>
            </w:pPr>
            <w:r>
              <w:t>0.56</w:t>
            </w:r>
            <w:r w:rsidR="00730504">
              <w:t xml:space="preserve"> to 0.</w:t>
            </w:r>
            <w:r w:rsidR="00FE3331">
              <w:t>6</w:t>
            </w:r>
            <w:r>
              <w:t>8</w:t>
            </w:r>
          </w:p>
        </w:tc>
        <w:tc>
          <w:tcPr>
            <w:tcW w:w="2052" w:type="dxa"/>
          </w:tcPr>
          <w:p w14:paraId="0BA42E14" w14:textId="77777777" w:rsidR="00730504" w:rsidRDefault="0073050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0.7</w:t>
            </w:r>
          </w:p>
        </w:tc>
        <w:tc>
          <w:tcPr>
            <w:tcW w:w="2053" w:type="dxa"/>
          </w:tcPr>
          <w:p w14:paraId="348867EB" w14:textId="77777777" w:rsidR="00730504" w:rsidRDefault="0064725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0.40</w:t>
            </w:r>
            <w:r w:rsidR="00730504">
              <w:t xml:space="preserve"> to 0.4</w:t>
            </w:r>
            <w:r>
              <w:t>7</w:t>
            </w:r>
          </w:p>
        </w:tc>
      </w:tr>
      <w:tr w:rsidR="00730504" w14:paraId="31AA0182" w14:textId="77777777" w:rsidTr="000A247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14:paraId="68FE8341" w14:textId="77777777" w:rsidR="00730504" w:rsidRDefault="00730504" w:rsidP="00D71DDD">
            <w:pPr>
              <w:keepNext/>
              <w:numPr>
                <w:ilvl w:val="0"/>
                <w:numId w:val="25"/>
              </w:numPr>
            </w:pPr>
            <w:r>
              <w:t>Tax statistics</w:t>
            </w:r>
          </w:p>
        </w:tc>
        <w:tc>
          <w:tcPr>
            <w:tcW w:w="2052" w:type="dxa"/>
          </w:tcPr>
          <w:p w14:paraId="06FE453C"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0.4</w:t>
            </w:r>
            <w:r w:rsidR="00DD48C9">
              <w:t>5</w:t>
            </w:r>
          </w:p>
        </w:tc>
        <w:tc>
          <w:tcPr>
            <w:tcW w:w="2052" w:type="dxa"/>
          </w:tcPr>
          <w:p w14:paraId="63B2C27F"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0.7</w:t>
            </w:r>
          </w:p>
        </w:tc>
        <w:tc>
          <w:tcPr>
            <w:tcW w:w="2053" w:type="dxa"/>
          </w:tcPr>
          <w:p w14:paraId="5BDC68B6"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0.3</w:t>
            </w:r>
            <w:r w:rsidR="00DD48C9">
              <w:t>1</w:t>
            </w:r>
          </w:p>
        </w:tc>
      </w:tr>
    </w:tbl>
    <w:p w14:paraId="6208A793" w14:textId="77777777" w:rsidR="00730504" w:rsidRPr="001B2B55" w:rsidRDefault="00730504" w:rsidP="00730504">
      <w:pPr>
        <w:pStyle w:val="AERtablesource"/>
      </w:pPr>
      <w:r>
        <w:t>Source:</w:t>
      </w:r>
      <w:r>
        <w:tab/>
        <w:t>AER analysis.</w:t>
      </w:r>
      <w:bookmarkStart w:id="36" w:name="_Ref400900373"/>
    </w:p>
    <w:p w14:paraId="011199F5" w14:textId="77777777" w:rsidR="00730504" w:rsidRDefault="00730504" w:rsidP="00730504">
      <w:pPr>
        <w:pStyle w:val="Caption"/>
      </w:pPr>
      <w:bookmarkStart w:id="37" w:name="_Ref404072148"/>
      <w:r>
        <w:t xml:space="preserve">Table </w:t>
      </w:r>
      <w:r w:rsidR="00D70292">
        <w:fldChar w:fldCharType="begin"/>
      </w:r>
      <w:r w:rsidR="00D70292">
        <w:instrText xml:space="preserve"> STYLEREF 1 \s </w:instrText>
      </w:r>
      <w:r w:rsidR="00D70292">
        <w:fldChar w:fldCharType="separate"/>
      </w:r>
      <w:r w:rsidR="001E2164">
        <w:rPr>
          <w:noProof/>
        </w:rPr>
        <w:t>4</w:t>
      </w:r>
      <w:r w:rsidR="00D70292">
        <w:rPr>
          <w:noProof/>
        </w:rPr>
        <w:fldChar w:fldCharType="end"/>
      </w:r>
      <w:r w:rsidR="00257FBE">
        <w:noBreakHyphen/>
      </w:r>
      <w:r w:rsidR="00D70292">
        <w:fldChar w:fldCharType="begin"/>
      </w:r>
      <w:r w:rsidR="00D70292">
        <w:instrText xml:space="preserve"> SEQ Table \* ARABIC \s 1 </w:instrText>
      </w:r>
      <w:r w:rsidR="00D70292">
        <w:fldChar w:fldCharType="separate"/>
      </w:r>
      <w:r w:rsidR="001E2164">
        <w:rPr>
          <w:noProof/>
        </w:rPr>
        <w:t>2</w:t>
      </w:r>
      <w:r w:rsidR="00D70292">
        <w:rPr>
          <w:noProof/>
        </w:rPr>
        <w:fldChar w:fldCharType="end"/>
      </w:r>
      <w:bookmarkEnd w:id="36"/>
      <w:bookmarkEnd w:id="37"/>
      <w:r>
        <w:tab/>
        <w:t>Estimates of the value of imputation credits—evidence from listed equity</w:t>
      </w:r>
    </w:p>
    <w:tbl>
      <w:tblPr>
        <w:tblStyle w:val="AERtable-numbers"/>
        <w:tblW w:w="0" w:type="auto"/>
        <w:tblLook w:val="04A0" w:firstRow="1" w:lastRow="0" w:firstColumn="1" w:lastColumn="0" w:noHBand="0" w:noVBand="1"/>
      </w:tblPr>
      <w:tblGrid>
        <w:gridCol w:w="2802"/>
        <w:gridCol w:w="2146"/>
        <w:gridCol w:w="2147"/>
        <w:gridCol w:w="2147"/>
      </w:tblGrid>
      <w:tr w:rsidR="00730504" w14:paraId="2E101496" w14:textId="77777777" w:rsidTr="000A247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dxa"/>
          </w:tcPr>
          <w:p w14:paraId="1B4C0088" w14:textId="77777777" w:rsidR="00730504" w:rsidRDefault="00730504" w:rsidP="00D71DDD">
            <w:pPr>
              <w:keepNext/>
              <w:numPr>
                <w:ilvl w:val="0"/>
                <w:numId w:val="25"/>
              </w:numPr>
            </w:pPr>
            <w:r>
              <w:t>Evidence on utilisation rate</w:t>
            </w:r>
          </w:p>
        </w:tc>
        <w:tc>
          <w:tcPr>
            <w:tcW w:w="2146" w:type="dxa"/>
          </w:tcPr>
          <w:p w14:paraId="4DBD218C"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U</w:t>
            </w:r>
            <w:r w:rsidRPr="00052838">
              <w:t>tilisation rate</w:t>
            </w:r>
          </w:p>
        </w:tc>
        <w:tc>
          <w:tcPr>
            <w:tcW w:w="2147" w:type="dxa"/>
          </w:tcPr>
          <w:p w14:paraId="6BBCC96B"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D</w:t>
            </w:r>
            <w:r w:rsidRPr="00052838">
              <w:t>istribution rate</w:t>
            </w:r>
          </w:p>
        </w:tc>
        <w:tc>
          <w:tcPr>
            <w:tcW w:w="2147" w:type="dxa"/>
          </w:tcPr>
          <w:p w14:paraId="4487F007"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V</w:t>
            </w:r>
            <w:r w:rsidRPr="00052838">
              <w:t>alue of Imputation Credits</w:t>
            </w:r>
          </w:p>
        </w:tc>
      </w:tr>
      <w:tr w:rsidR="00730504" w14:paraId="21B65FFB" w14:textId="77777777" w:rsidTr="000A247D">
        <w:trPr>
          <w:cantSplit/>
        </w:trPr>
        <w:tc>
          <w:tcPr>
            <w:cnfStyle w:val="001000000000" w:firstRow="0" w:lastRow="0" w:firstColumn="1" w:lastColumn="0" w:oddVBand="0" w:evenVBand="0" w:oddHBand="0" w:evenHBand="0" w:firstRowFirstColumn="0" w:firstRowLastColumn="0" w:lastRowFirstColumn="0" w:lastRowLastColumn="0"/>
            <w:tcW w:w="2802" w:type="dxa"/>
          </w:tcPr>
          <w:p w14:paraId="39F28261" w14:textId="77777777" w:rsidR="00730504" w:rsidRDefault="00730504" w:rsidP="00D71DDD">
            <w:pPr>
              <w:keepNext/>
              <w:numPr>
                <w:ilvl w:val="0"/>
                <w:numId w:val="25"/>
              </w:numPr>
            </w:pPr>
            <w:r>
              <w:t>Equity ownership approach</w:t>
            </w:r>
          </w:p>
        </w:tc>
        <w:tc>
          <w:tcPr>
            <w:tcW w:w="2146" w:type="dxa"/>
          </w:tcPr>
          <w:p w14:paraId="27808C72" w14:textId="77777777" w:rsidR="00730504" w:rsidRDefault="00C20C67"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0.38</w:t>
            </w:r>
            <w:r w:rsidR="00730504">
              <w:t xml:space="preserve"> to 0.</w:t>
            </w:r>
            <w:r>
              <w:t>5</w:t>
            </w:r>
            <w:r w:rsidR="00647254">
              <w:t>5</w:t>
            </w:r>
          </w:p>
        </w:tc>
        <w:tc>
          <w:tcPr>
            <w:tcW w:w="2147" w:type="dxa"/>
          </w:tcPr>
          <w:p w14:paraId="0998B6A7" w14:textId="77777777" w:rsidR="00730504" w:rsidRPr="00730504" w:rsidRDefault="00730504" w:rsidP="00D71DDD">
            <w:pPr>
              <w:keepNext/>
              <w:cnfStyle w:val="000000000000" w:firstRow="0" w:lastRow="0" w:firstColumn="0" w:lastColumn="0" w:oddVBand="0" w:evenVBand="0" w:oddHBand="0" w:evenHBand="0" w:firstRowFirstColumn="0" w:firstRowLastColumn="0" w:lastRowFirstColumn="0" w:lastRowLastColumn="0"/>
            </w:pPr>
            <w:r>
              <w:t>0.</w:t>
            </w:r>
            <w:r w:rsidR="00DD48C9">
              <w:t>7</w:t>
            </w:r>
            <w:r w:rsidR="009563DA">
              <w:t>7</w:t>
            </w:r>
          </w:p>
        </w:tc>
        <w:tc>
          <w:tcPr>
            <w:tcW w:w="2147" w:type="dxa"/>
          </w:tcPr>
          <w:p w14:paraId="42A3D1DA" w14:textId="77777777" w:rsidR="00730504" w:rsidRDefault="0064725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w:t>
            </w:r>
            <w:r w:rsidR="00B5371C">
              <w:t>29</w:t>
            </w:r>
            <w:r w:rsidR="00730504">
              <w:t xml:space="preserve"> to 0.4</w:t>
            </w:r>
            <w:r w:rsidR="00B5371C">
              <w:t>2</w:t>
            </w:r>
          </w:p>
        </w:tc>
      </w:tr>
      <w:tr w:rsidR="00884B75" w14:paraId="41DA69F5" w14:textId="77777777" w:rsidTr="000A247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dxa"/>
            <w:vAlign w:val="top"/>
          </w:tcPr>
          <w:p w14:paraId="6C8CD41B" w14:textId="77777777" w:rsidR="00884B75" w:rsidRDefault="00884B75" w:rsidP="00D71DDD">
            <w:pPr>
              <w:keepNext/>
            </w:pPr>
            <w:r>
              <w:t>Implied market value studies</w:t>
            </w:r>
          </w:p>
          <w:p w14:paraId="71B20B4A" w14:textId="77777777" w:rsidR="00884B75" w:rsidRPr="00884B75" w:rsidRDefault="00884B75" w:rsidP="00D71DDD">
            <w:pPr>
              <w:keepNext/>
              <w:rPr>
                <w:rStyle w:val="AERtextitalic"/>
              </w:rPr>
            </w:pPr>
            <w:r w:rsidRPr="00884B75">
              <w:rPr>
                <w:rStyle w:val="AERtextitalic"/>
              </w:rPr>
              <w:t>SFG dividend drop off study</w:t>
            </w:r>
          </w:p>
        </w:tc>
        <w:tc>
          <w:tcPr>
            <w:tcW w:w="2146" w:type="dxa"/>
            <w:vAlign w:val="top"/>
          </w:tcPr>
          <w:p w14:paraId="5667FCE8" w14:textId="77777777" w:rsidR="00884B75" w:rsidRDefault="00884B75" w:rsidP="00D71DDD">
            <w:pPr>
              <w:keepNext/>
              <w:cnfStyle w:val="000000010000" w:firstRow="0" w:lastRow="0" w:firstColumn="0" w:lastColumn="0" w:oddVBand="0" w:evenVBand="0" w:oddHBand="0" w:evenHBand="1" w:firstRowFirstColumn="0" w:firstRowLastColumn="0" w:lastRowFirstColumn="0" w:lastRowLastColumn="0"/>
            </w:pPr>
            <w:r>
              <w:t>0 to 1</w:t>
            </w:r>
          </w:p>
          <w:p w14:paraId="6E5E4731"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rsidRPr="00884B75">
              <w:rPr>
                <w:rStyle w:val="AERtextitalic"/>
              </w:rPr>
              <w:t>0.35 (0.4)</w:t>
            </w:r>
            <w:r>
              <w:rPr>
                <w:rStyle w:val="AERsuperscript"/>
              </w:rPr>
              <w:t>(a</w:t>
            </w:r>
            <w:r w:rsidRPr="00884B75">
              <w:rPr>
                <w:rStyle w:val="AERsuperscript"/>
              </w:rPr>
              <w:t>)</w:t>
            </w:r>
          </w:p>
        </w:tc>
        <w:tc>
          <w:tcPr>
            <w:tcW w:w="2147" w:type="dxa"/>
            <w:vAlign w:val="top"/>
          </w:tcPr>
          <w:p w14:paraId="31DE06C2"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t xml:space="preserve">  0.</w:t>
            </w:r>
            <w:r w:rsidR="00DD48C9">
              <w:t>7</w:t>
            </w:r>
            <w:r w:rsidR="009563DA">
              <w:t>7</w:t>
            </w:r>
          </w:p>
        </w:tc>
        <w:tc>
          <w:tcPr>
            <w:tcW w:w="2147" w:type="dxa"/>
            <w:vAlign w:val="top"/>
          </w:tcPr>
          <w:p w14:paraId="2DB5FFF1" w14:textId="77777777" w:rsidR="00884B75" w:rsidRDefault="00884B75" w:rsidP="00D71DDD">
            <w:pPr>
              <w:keepNext/>
              <w:cnfStyle w:val="000000010000" w:firstRow="0" w:lastRow="0" w:firstColumn="0" w:lastColumn="0" w:oddVBand="0" w:evenVBand="0" w:oddHBand="0" w:evenHBand="1" w:firstRowFirstColumn="0" w:firstRowLastColumn="0" w:lastRowFirstColumn="0" w:lastRowLastColumn="0"/>
            </w:pPr>
            <w:r>
              <w:t>0 to 0.</w:t>
            </w:r>
            <w:r w:rsidR="00DD48C9">
              <w:t>7</w:t>
            </w:r>
            <w:r w:rsidR="00E92E9F">
              <w:t>7</w:t>
            </w:r>
          </w:p>
          <w:p w14:paraId="3A28949F"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rsidRPr="00884B75">
              <w:rPr>
                <w:rStyle w:val="AERtextitalic"/>
              </w:rPr>
              <w:t>0.2</w:t>
            </w:r>
            <w:r w:rsidR="00DD48C9">
              <w:rPr>
                <w:rStyle w:val="AERtextitalic"/>
              </w:rPr>
              <w:t>7</w:t>
            </w:r>
            <w:r w:rsidRPr="00884B75">
              <w:rPr>
                <w:rStyle w:val="AERtextitalic"/>
              </w:rPr>
              <w:t xml:space="preserve"> (0.3</w:t>
            </w:r>
            <w:r w:rsidR="00DD48C9">
              <w:rPr>
                <w:rStyle w:val="AERtextitalic"/>
              </w:rPr>
              <w:t>1</w:t>
            </w:r>
            <w:r w:rsidRPr="00884B75">
              <w:rPr>
                <w:rStyle w:val="AERtextitalic"/>
              </w:rPr>
              <w:t>)</w:t>
            </w:r>
            <w:r>
              <w:rPr>
                <w:rStyle w:val="AERsuperscript"/>
              </w:rPr>
              <w:t>(a</w:t>
            </w:r>
            <w:r w:rsidRPr="00884B75">
              <w:rPr>
                <w:rStyle w:val="AERsuperscript"/>
              </w:rPr>
              <w:t>)</w:t>
            </w:r>
          </w:p>
        </w:tc>
      </w:tr>
    </w:tbl>
    <w:p w14:paraId="731FBFCE" w14:textId="77777777" w:rsidR="00730504" w:rsidRDefault="00730504" w:rsidP="00730504">
      <w:pPr>
        <w:pStyle w:val="AERtablesource"/>
      </w:pPr>
      <w:r>
        <w:t>Source:</w:t>
      </w:r>
      <w:r>
        <w:tab/>
        <w:t>AER analysis.</w:t>
      </w:r>
    </w:p>
    <w:p w14:paraId="240E3FF1" w14:textId="77777777" w:rsidR="00730504" w:rsidRDefault="00884B75" w:rsidP="00530F0A">
      <w:pPr>
        <w:pStyle w:val="AERtablesource"/>
      </w:pPr>
      <w:r>
        <w:t>(</w:t>
      </w:r>
      <w:proofErr w:type="gramStart"/>
      <w:r>
        <w:t>a</w:t>
      </w:r>
      <w:proofErr w:type="gramEnd"/>
      <w:r w:rsidR="00730504">
        <w:t>):</w:t>
      </w:r>
      <w:r w:rsidR="00730504">
        <w:tab/>
      </w:r>
      <w:r w:rsidR="00530F0A">
        <w:t>Following the adjustment proposed by Handley and Lally. This adjustment is discussed further in section</w:t>
      </w:r>
      <w:r w:rsidR="00EF0918">
        <w:t xml:space="preserve"> </w:t>
      </w:r>
      <w:r w:rsidR="00EF0918">
        <w:fldChar w:fldCharType="begin"/>
      </w:r>
      <w:r w:rsidR="00EF0918">
        <w:instrText xml:space="preserve"> REF _Ref414289593 \r \h </w:instrText>
      </w:r>
      <w:r w:rsidR="00EF0918">
        <w:fldChar w:fldCharType="separate"/>
      </w:r>
      <w:r w:rsidR="001E2164">
        <w:t>4.4.2</w:t>
      </w:r>
      <w:r w:rsidR="00EF0918">
        <w:fldChar w:fldCharType="end"/>
      </w:r>
      <w:r w:rsidR="00EF0918">
        <w:t>.</w:t>
      </w:r>
      <w:r w:rsidR="00530F0A">
        <w:t xml:space="preserve"> </w:t>
      </w:r>
    </w:p>
    <w:p w14:paraId="51B7CF00" w14:textId="77777777" w:rsidR="00730504" w:rsidRDefault="00730504" w:rsidP="00730504">
      <w:pPr>
        <w:numPr>
          <w:ilvl w:val="0"/>
          <w:numId w:val="25"/>
        </w:numPr>
      </w:pPr>
      <w:r>
        <w:t>Overall, the evidence suggests that a reasonable estimate of the value of imputation credits is within the range 0.3 to 0.</w:t>
      </w:r>
      <w:r w:rsidR="003B3322">
        <w:t>5</w:t>
      </w:r>
      <w:r>
        <w:t>.</w:t>
      </w:r>
      <w:r>
        <w:rPr>
          <w:rStyle w:val="FootnoteReference"/>
        </w:rPr>
        <w:footnoteReference w:id="59"/>
      </w:r>
      <w:r>
        <w:t xml:space="preserve"> From within this range, we choose a value of 0.4. This is because:</w:t>
      </w:r>
    </w:p>
    <w:p w14:paraId="138D13A9" w14:textId="77777777" w:rsidR="00730504" w:rsidRPr="00730504" w:rsidRDefault="00AF1D81" w:rsidP="00730504">
      <w:pPr>
        <w:pStyle w:val="AERbulletlistfirststyle"/>
      </w:pPr>
      <w:proofErr w:type="gramStart"/>
      <w:r>
        <w:t>t</w:t>
      </w:r>
      <w:r w:rsidR="00730504">
        <w:t>he</w:t>
      </w:r>
      <w:proofErr w:type="gramEnd"/>
      <w:r w:rsidR="00730504">
        <w:t xml:space="preserve"> equity ownership approach, on which we have placed the most relian</w:t>
      </w:r>
      <w:r w:rsidR="00C20C67">
        <w:t xml:space="preserve">ce, suggests a value </w:t>
      </w:r>
      <w:r w:rsidR="00361EF1">
        <w:t>between 0.4</w:t>
      </w:r>
      <w:r w:rsidR="005E0668">
        <w:t>0</w:t>
      </w:r>
      <w:r w:rsidR="00730504">
        <w:t xml:space="preserve"> and 0.</w:t>
      </w:r>
      <w:r w:rsidR="00C20C67">
        <w:t>4</w:t>
      </w:r>
      <w:r w:rsidR="00361EF1">
        <w:t>7</w:t>
      </w:r>
      <w:r w:rsidR="00730504">
        <w:t xml:space="preserve"> when applied to al</w:t>
      </w:r>
      <w:r w:rsidR="00C20C67">
        <w:t>l equity and between 0.</w:t>
      </w:r>
      <w:r w:rsidR="00E92E9F">
        <w:t>29</w:t>
      </w:r>
      <w:r w:rsidR="00361EF1">
        <w:t xml:space="preserve"> and 0.4</w:t>
      </w:r>
      <w:r w:rsidR="00E92E9F">
        <w:t>2</w:t>
      </w:r>
      <w:r w:rsidR="00730504">
        <w:t xml:space="preserve"> when applied to </w:t>
      </w:r>
      <w:r w:rsidR="001C274C">
        <w:t>only listed equity</w:t>
      </w:r>
      <w:r w:rsidR="00730504">
        <w:t>. Therefore, t</w:t>
      </w:r>
      <w:r w:rsidR="00730504" w:rsidRPr="00730504">
        <w:t xml:space="preserve">he </w:t>
      </w:r>
      <w:r w:rsidR="00960EBC">
        <w:t>overlap</w:t>
      </w:r>
      <w:r w:rsidR="00730504" w:rsidRPr="00730504">
        <w:t xml:space="preserve"> of </w:t>
      </w:r>
      <w:r w:rsidR="00960EBC">
        <w:t xml:space="preserve">the </w:t>
      </w:r>
      <w:r w:rsidR="00730504" w:rsidRPr="00730504">
        <w:t>evidence from the equity ownership a</w:t>
      </w:r>
      <w:r w:rsidR="00361EF1">
        <w:t>pproach suggests a value between 0.4</w:t>
      </w:r>
      <w:r w:rsidR="005E0668">
        <w:t>0</w:t>
      </w:r>
      <w:r w:rsidR="00361EF1">
        <w:t xml:space="preserve"> and 0.4</w:t>
      </w:r>
      <w:r w:rsidR="00E92E9F">
        <w:t>2</w:t>
      </w:r>
      <w:r w:rsidR="00730504" w:rsidRPr="00730504">
        <w:t>.</w:t>
      </w:r>
    </w:p>
    <w:p w14:paraId="2637FA03" w14:textId="77777777" w:rsidR="00730504" w:rsidRDefault="00AF1D81" w:rsidP="00730504">
      <w:pPr>
        <w:pStyle w:val="AERbulletlistfirststyle"/>
      </w:pPr>
      <w:proofErr w:type="gramStart"/>
      <w:r>
        <w:t>t</w:t>
      </w:r>
      <w:r w:rsidR="00730504">
        <w:t>he</w:t>
      </w:r>
      <w:proofErr w:type="gramEnd"/>
      <w:r w:rsidR="00730504">
        <w:t xml:space="preserve"> evidence from tax statistics</w:t>
      </w:r>
      <w:r w:rsidR="00361EF1">
        <w:t xml:space="preserve"> suggest</w:t>
      </w:r>
      <w:r w:rsidR="00A015CD">
        <w:t>s</w:t>
      </w:r>
      <w:r w:rsidR="00730504" w:rsidRPr="00730504">
        <w:t xml:space="preserve"> the value could be lower than 0.4. Therefore</w:t>
      </w:r>
      <w:r w:rsidR="0031438A">
        <w:t>, with regard to this evidenc</w:t>
      </w:r>
      <w:r w:rsidR="00297C4E">
        <w:t>e and the less reliance we place on it,</w:t>
      </w:r>
      <w:r w:rsidR="00730504" w:rsidRPr="00730504">
        <w:t xml:space="preserve"> we choose a value at the lower e</w:t>
      </w:r>
      <w:r w:rsidR="00960EBC">
        <w:t>nd of the range suggested by the overlap</w:t>
      </w:r>
      <w:r w:rsidR="00730504" w:rsidRPr="00730504">
        <w:t xml:space="preserve"> of evidence from the equity ownership approach (that is, 0.4).</w:t>
      </w:r>
    </w:p>
    <w:p w14:paraId="4C7F00BB" w14:textId="77777777" w:rsidR="00884B75" w:rsidRPr="00730504" w:rsidRDefault="00AF1D81" w:rsidP="005C7BE1">
      <w:pPr>
        <w:pStyle w:val="AERbulletlistfirststyle"/>
      </w:pPr>
      <w:proofErr w:type="gramStart"/>
      <w:r>
        <w:lastRenderedPageBreak/>
        <w:t>t</w:t>
      </w:r>
      <w:r w:rsidR="005C7BE1" w:rsidRPr="005C7BE1">
        <w:t>he</w:t>
      </w:r>
      <w:proofErr w:type="gramEnd"/>
      <w:r w:rsidR="005C7BE1" w:rsidRPr="005C7BE1">
        <w:t xml:space="preserve"> evidence from SFG's dividend drop off study also suggests that the value could be lower than 0.4. However, we place even less reliance on this evidence. We therefore consider that choosing a value at the lower end of the range suggested by the overlap of evidence from the equity ownership approach (that is, 0.4) has appropriate regard to the merits of SFG’s evidence. Moreover, evidence from other implied market value studies suggests that the value could be </w:t>
      </w:r>
      <w:proofErr w:type="gramStart"/>
      <w:r w:rsidR="005C7BE1" w:rsidRPr="005C7BE1">
        <w:t>both higher or</w:t>
      </w:r>
      <w:proofErr w:type="gramEnd"/>
      <w:r w:rsidR="005C7BE1" w:rsidRPr="005C7BE1">
        <w:t xml:space="preserve"> lower than 0.4.</w:t>
      </w:r>
    </w:p>
    <w:p w14:paraId="3F4BF640" w14:textId="77777777" w:rsidR="00730504" w:rsidRDefault="00730504" w:rsidP="00730504">
      <w:pPr>
        <w:numPr>
          <w:ilvl w:val="0"/>
          <w:numId w:val="25"/>
        </w:numPr>
      </w:pPr>
      <w:r>
        <w:t>The reasons for the relative levels of reliance that we place on different types of evidence are set out in this attachment and appendix A.</w:t>
      </w:r>
    </w:p>
    <w:p w14:paraId="6032D9CD" w14:textId="60B955F4" w:rsidR="00730504" w:rsidRPr="00730504" w:rsidRDefault="00730504" w:rsidP="00CB42DF">
      <w:pPr>
        <w:numPr>
          <w:ilvl w:val="0"/>
          <w:numId w:val="25"/>
        </w:numPr>
      </w:pPr>
      <w:r>
        <w:t xml:space="preserve">We therefore do not accept the service providers' proposed value of imputation credits of 0.25, calculated as the product of a distribution rate of 0.7 and </w:t>
      </w:r>
      <w:proofErr w:type="gramStart"/>
      <w:r>
        <w:t>a</w:t>
      </w:r>
      <w:proofErr w:type="gramEnd"/>
      <w:r>
        <w:t xml:space="preserve"> utilisation rate of 0.35. Specifically, we do not accept the service providers' proposed estimate of the utilisation rate of 0.35. This is because</w:t>
      </w:r>
      <w:r w:rsidR="00CB42DF">
        <w:t xml:space="preserve"> w</w:t>
      </w:r>
      <w:r>
        <w:t xml:space="preserve">e do not consider it </w:t>
      </w:r>
      <w:r w:rsidR="00C9626B">
        <w:t>appropriate</w:t>
      </w:r>
      <w:r>
        <w:t xml:space="preserve"> to rely exclusively on </w:t>
      </w:r>
      <w:r w:rsidR="001534F5">
        <w:t xml:space="preserve">implied market value studies (or </w:t>
      </w:r>
      <w:r w:rsidR="00CB42DF">
        <w:t xml:space="preserve">SFG's </w:t>
      </w:r>
      <w:r w:rsidR="00C9626B">
        <w:t xml:space="preserve">single </w:t>
      </w:r>
      <w:r w:rsidR="00CB42DF">
        <w:t>dividend drop off study</w:t>
      </w:r>
      <w:r w:rsidR="001534F5">
        <w:t>)</w:t>
      </w:r>
      <w:r>
        <w:t>. Handley and Lally advise</w:t>
      </w:r>
      <w:r w:rsidRPr="00730504">
        <w:t xml:space="preserve">d that other classes of evidence are more </w:t>
      </w:r>
      <w:r w:rsidR="00C9626B">
        <w:t>valuable</w:t>
      </w:r>
      <w:r w:rsidRPr="00730504">
        <w:t>.</w:t>
      </w:r>
      <w:r w:rsidRPr="00730504">
        <w:rPr>
          <w:rStyle w:val="FootnoteReference"/>
        </w:rPr>
        <w:footnoteReference w:id="60"/>
      </w:r>
      <w:r w:rsidRPr="00730504">
        <w:t xml:space="preserve"> McKenzie and Partington's report for the Queensland Resources Council suggested that it is reasonable to have regard to other classes of evidence.</w:t>
      </w:r>
      <w:r w:rsidRPr="00730504">
        <w:rPr>
          <w:rStyle w:val="FootnoteReference"/>
        </w:rPr>
        <w:footnoteReference w:id="61"/>
      </w:r>
      <w:r w:rsidR="00792483">
        <w:t xml:space="preserve"> The South Australian Centre for E</w:t>
      </w:r>
      <w:r w:rsidR="003B4139">
        <w:t>conomic Studies</w:t>
      </w:r>
      <w:r w:rsidR="00792483">
        <w:t xml:space="preserve"> report for the South Australian Council of Social Service suggested that</w:t>
      </w:r>
      <w:r w:rsidR="005612D9">
        <w:t xml:space="preserve"> </w:t>
      </w:r>
      <w:r w:rsidR="001534F5">
        <w:t>dividend drop off studies</w:t>
      </w:r>
      <w:r w:rsidR="005612D9">
        <w:t xml:space="preserve"> </w:t>
      </w:r>
      <w:proofErr w:type="gramStart"/>
      <w:r w:rsidR="00792483">
        <w:t>be</w:t>
      </w:r>
      <w:proofErr w:type="gramEnd"/>
      <w:r w:rsidR="00792483">
        <w:t xml:space="preserve"> disregarded entirely.</w:t>
      </w:r>
      <w:r w:rsidR="005170E4">
        <w:rPr>
          <w:rStyle w:val="FootnoteReference"/>
        </w:rPr>
        <w:footnoteReference w:id="62"/>
      </w:r>
    </w:p>
    <w:p w14:paraId="19DA8489" w14:textId="77777777" w:rsidR="00730504" w:rsidRDefault="00E424CC" w:rsidP="00730504">
      <w:pPr>
        <w:numPr>
          <w:ilvl w:val="0"/>
          <w:numId w:val="25"/>
        </w:numPr>
      </w:pPr>
      <w:r>
        <w:t>Even if</w:t>
      </w:r>
      <w:r w:rsidR="005D795E">
        <w:t xml:space="preserve"> we were to rely solely on the</w:t>
      </w:r>
      <w:r w:rsidR="00730504">
        <w:t xml:space="preserve"> estimate of the utilisation rate of 0.35 from SFG's study, we consider that a value of imputation credits of 0.25 is unreasonable. This is because:</w:t>
      </w:r>
    </w:p>
    <w:p w14:paraId="6F1B474B" w14:textId="77777777" w:rsidR="00730504" w:rsidRPr="00730504" w:rsidRDefault="00730504" w:rsidP="00730504">
      <w:pPr>
        <w:pStyle w:val="AERbulletlistfirststyle"/>
      </w:pPr>
      <w:r>
        <w:t>Handley and Lally advise</w:t>
      </w:r>
      <w:r w:rsidRPr="00730504">
        <w:t>d that the proper use of this estimate of the utilisation rate requires its adjustment to 0.4.</w:t>
      </w:r>
      <w:r w:rsidRPr="00730504">
        <w:rPr>
          <w:rStyle w:val="FootnoteReference"/>
        </w:rPr>
        <w:footnoteReference w:id="63"/>
      </w:r>
      <w:r w:rsidRPr="00730504">
        <w:t xml:space="preserve"> We </w:t>
      </w:r>
      <w:r w:rsidR="00C9626B">
        <w:t>agree</w:t>
      </w:r>
      <w:r w:rsidRPr="00730504">
        <w:t>.</w:t>
      </w:r>
    </w:p>
    <w:p w14:paraId="048B0C0D" w14:textId="77777777" w:rsidR="00730504" w:rsidRPr="00730504" w:rsidRDefault="00730504" w:rsidP="00730504">
      <w:pPr>
        <w:pStyle w:val="AERbulletlistfirststyle"/>
      </w:pPr>
      <w:r>
        <w:t xml:space="preserve">This is an estimate of </w:t>
      </w:r>
      <w:r w:rsidRPr="00730504">
        <w:t xml:space="preserve">the utilisation rate of investors in </w:t>
      </w:r>
      <w:r w:rsidR="001C274C">
        <w:t>only listed equity</w:t>
      </w:r>
      <w:r w:rsidRPr="00730504">
        <w:t xml:space="preserve">, and therefore it should be paired with an estimate of the distribution rate from </w:t>
      </w:r>
      <w:r w:rsidR="001C274C">
        <w:t>only listed equity</w:t>
      </w:r>
      <w:r w:rsidRPr="00730504">
        <w:t xml:space="preserve"> (that is, 0.</w:t>
      </w:r>
      <w:r w:rsidR="00716D12">
        <w:t>7</w:t>
      </w:r>
      <w:r w:rsidR="00E92E9F">
        <w:t>7</w:t>
      </w:r>
      <w:r w:rsidRPr="00730504">
        <w:t>).</w:t>
      </w:r>
    </w:p>
    <w:p w14:paraId="6559EF51" w14:textId="73EFE38E" w:rsidR="00730504" w:rsidRDefault="00730504" w:rsidP="00730504">
      <w:pPr>
        <w:numPr>
          <w:ilvl w:val="0"/>
          <w:numId w:val="25"/>
        </w:numPr>
      </w:pPr>
      <w:r>
        <w:t>Therefore, even if the service providers' proposed utilisation rate is used, it yields a value of imputation credits of (0.4 x 0.</w:t>
      </w:r>
      <w:r w:rsidR="00DD48C9">
        <w:t>7</w:t>
      </w:r>
      <w:r w:rsidR="00E92E9F">
        <w:t>7</w:t>
      </w:r>
      <w:r>
        <w:t>) 0.3</w:t>
      </w:r>
      <w:r w:rsidR="00DD48C9">
        <w:t>1</w:t>
      </w:r>
      <w:r>
        <w:t xml:space="preserve"> rather than 0.25. However, with regard to </w:t>
      </w:r>
      <w:r w:rsidR="008A6898">
        <w:t xml:space="preserve">the </w:t>
      </w:r>
      <w:r>
        <w:t xml:space="preserve">discussion above, our </w:t>
      </w:r>
      <w:r w:rsidR="00C9626B">
        <w:t>estimated</w:t>
      </w:r>
      <w:r>
        <w:t xml:space="preserve"> value of imputation credits is higher than 0.3</w:t>
      </w:r>
      <w:r w:rsidR="00DD48C9">
        <w:t>1</w:t>
      </w:r>
      <w:r>
        <w:t>.</w:t>
      </w:r>
    </w:p>
    <w:p w14:paraId="463ED0CA" w14:textId="13A4DB90" w:rsidR="002C233C" w:rsidRDefault="00730504" w:rsidP="00730504">
      <w:r>
        <w:lastRenderedPageBreak/>
        <w:t>In sections</w:t>
      </w:r>
      <w:r w:rsidR="008D1665">
        <w:t xml:space="preserve"> </w:t>
      </w:r>
      <w:r w:rsidR="008D1665">
        <w:fldChar w:fldCharType="begin"/>
      </w:r>
      <w:r w:rsidR="008D1665">
        <w:instrText xml:space="preserve"> REF _Ref403482746 \r \h </w:instrText>
      </w:r>
      <w:r w:rsidR="008D1665">
        <w:fldChar w:fldCharType="separate"/>
      </w:r>
      <w:r w:rsidR="001E2164">
        <w:t>4.4.1</w:t>
      </w:r>
      <w:r w:rsidR="008D1665">
        <w:fldChar w:fldCharType="end"/>
      </w:r>
      <w:r w:rsidR="008D1665">
        <w:t xml:space="preserve"> and </w:t>
      </w:r>
      <w:r w:rsidR="008D1665">
        <w:fldChar w:fldCharType="begin"/>
      </w:r>
      <w:r w:rsidR="008D1665">
        <w:instrText xml:space="preserve"> REF _Ref414289593 \r \h </w:instrText>
      </w:r>
      <w:r w:rsidR="008D1665">
        <w:fldChar w:fldCharType="separate"/>
      </w:r>
      <w:r w:rsidR="001E2164">
        <w:t>4.4.2</w:t>
      </w:r>
      <w:r w:rsidR="008D1665">
        <w:fldChar w:fldCharType="end"/>
      </w:r>
      <w:r>
        <w:t xml:space="preserve">, we describe the sources of the estimates in </w:t>
      </w:r>
      <w:r>
        <w:fldChar w:fldCharType="begin"/>
      </w:r>
      <w:r>
        <w:instrText xml:space="preserve"> REF  _Ref400900366 \* Lower \h </w:instrText>
      </w:r>
      <w:r>
        <w:fldChar w:fldCharType="separate"/>
      </w:r>
      <w:r w:rsidR="001E2164">
        <w:t xml:space="preserve">table </w:t>
      </w:r>
      <w:r w:rsidR="001E2164">
        <w:rPr>
          <w:noProof/>
        </w:rPr>
        <w:t>4</w:t>
      </w:r>
      <w:r w:rsidR="001E2164">
        <w:noBreakHyphen/>
      </w:r>
      <w:r w:rsidR="001E2164">
        <w:rPr>
          <w:noProof/>
        </w:rPr>
        <w:t>1</w:t>
      </w:r>
      <w:r>
        <w:fldChar w:fldCharType="end"/>
      </w:r>
      <w:r>
        <w:t xml:space="preserve"> and </w:t>
      </w:r>
      <w:r>
        <w:fldChar w:fldCharType="begin"/>
      </w:r>
      <w:r>
        <w:instrText xml:space="preserve"> REF  _Ref404072148 \* Lower \h </w:instrText>
      </w:r>
      <w:r>
        <w:fldChar w:fldCharType="separate"/>
      </w:r>
      <w:r w:rsidR="001E2164">
        <w:t xml:space="preserve">table </w:t>
      </w:r>
      <w:r w:rsidR="001E2164">
        <w:rPr>
          <w:noProof/>
        </w:rPr>
        <w:t>4</w:t>
      </w:r>
      <w:r w:rsidR="001E2164">
        <w:noBreakHyphen/>
      </w:r>
      <w:r w:rsidR="001E2164">
        <w:rPr>
          <w:noProof/>
        </w:rPr>
        <w:t>2</w:t>
      </w:r>
      <w:r>
        <w:fldChar w:fldCharType="end"/>
      </w:r>
      <w:r>
        <w:t>, and we present our assessment of the underlying evidence.</w:t>
      </w:r>
    </w:p>
    <w:p w14:paraId="72DCB178" w14:textId="77777777" w:rsidR="00570EA2" w:rsidRDefault="008D1665" w:rsidP="00CF4D6D">
      <w:pPr>
        <w:pStyle w:val="HeadingBoldBlue"/>
      </w:pPr>
      <w:r>
        <w:t>Responses to key issues raised by stakeholders</w:t>
      </w:r>
    </w:p>
    <w:p w14:paraId="117D9567" w14:textId="5E9F65B1" w:rsidR="00B935D2" w:rsidRDefault="007D7B91" w:rsidP="008D1665">
      <w:r>
        <w:t xml:space="preserve">The issues raised by the service providers are addressed in the relevant sections below and in various sections of appendix A. In section </w:t>
      </w:r>
      <w:r>
        <w:fldChar w:fldCharType="begin"/>
      </w:r>
      <w:r>
        <w:instrText xml:space="preserve"> REF _Ref415070393 \r \h </w:instrText>
      </w:r>
      <w:r>
        <w:fldChar w:fldCharType="separate"/>
      </w:r>
      <w:r w:rsidR="001E2164">
        <w:t>A.4</w:t>
      </w:r>
      <w:r>
        <w:fldChar w:fldCharType="end"/>
      </w:r>
      <w:r>
        <w:t xml:space="preserve"> of appendix A</w:t>
      </w:r>
      <w:r w:rsidR="001943F7">
        <w:t>,</w:t>
      </w:r>
      <w:r>
        <w:t xml:space="preserve"> we identify where in this final decision we have responded to</w:t>
      </w:r>
      <w:r w:rsidR="00B935D2">
        <w:t>:</w:t>
      </w:r>
    </w:p>
    <w:p w14:paraId="3E288436" w14:textId="5A68CCA6" w:rsidR="00B935D2" w:rsidRDefault="007D7B91" w:rsidP="00B027E1">
      <w:pPr>
        <w:pStyle w:val="AERbulletlistfirststyle"/>
      </w:pPr>
      <w:r>
        <w:t xml:space="preserve">the eight </w:t>
      </w:r>
      <w:r w:rsidR="0046390C">
        <w:t xml:space="preserve">key concerns of </w:t>
      </w:r>
      <w:r>
        <w:t xml:space="preserve">the </w:t>
      </w:r>
      <w:r w:rsidR="00AD0AE8">
        <w:t xml:space="preserve">majority of </w:t>
      </w:r>
      <w:r>
        <w:t>service providers</w:t>
      </w:r>
      <w:r w:rsidR="00B935D2">
        <w:t xml:space="preserve"> </w:t>
      </w:r>
      <w:r w:rsidR="00AD0AE8">
        <w:t>in relation to</w:t>
      </w:r>
      <w:r w:rsidR="00B935D2">
        <w:t xml:space="preserve"> the AER draft </w:t>
      </w:r>
      <w:r w:rsidR="00FE2616">
        <w:t>regulatory decision</w:t>
      </w:r>
      <w:r w:rsidR="00615E45">
        <w:t>s</w:t>
      </w:r>
      <w:r w:rsidR="00FE2616">
        <w:t xml:space="preserve"> </w:t>
      </w:r>
      <w:r w:rsidR="00AD0AE8">
        <w:t xml:space="preserve">released </w:t>
      </w:r>
      <w:r w:rsidR="00FE2616">
        <w:t>in 2014</w:t>
      </w:r>
      <w:r w:rsidR="00AD0AE8">
        <w:t>; and</w:t>
      </w:r>
    </w:p>
    <w:p w14:paraId="17912B80" w14:textId="62E417D4" w:rsidR="007D7B91" w:rsidRDefault="00B935D2" w:rsidP="00B027E1">
      <w:pPr>
        <w:pStyle w:val="AERbulletlistfirststyle"/>
      </w:pPr>
      <w:r>
        <w:t>O</w:t>
      </w:r>
      <w:r w:rsidR="00FE2616">
        <w:t xml:space="preserve">ther key concerns raised </w:t>
      </w:r>
      <w:r>
        <w:t xml:space="preserve">by </w:t>
      </w:r>
      <w:r w:rsidR="00FE2616">
        <w:t xml:space="preserve">service providers in response to our </w:t>
      </w:r>
      <w:r w:rsidR="00AD0AE8">
        <w:t xml:space="preserve">draft </w:t>
      </w:r>
      <w:r w:rsidR="00FE2616">
        <w:t xml:space="preserve">regulatory decisions released in </w:t>
      </w:r>
      <w:r w:rsidR="00836555">
        <w:t xml:space="preserve">2014 or </w:t>
      </w:r>
      <w:r w:rsidR="00AD0AE8">
        <w:t xml:space="preserve">regulatory decisions released in </w:t>
      </w:r>
      <w:r w:rsidR="00FE2616">
        <w:t xml:space="preserve">April and </w:t>
      </w:r>
      <w:r w:rsidR="00ED0B08">
        <w:t>June</w:t>
      </w:r>
      <w:r w:rsidR="00FE2616">
        <w:t xml:space="preserve"> 2015</w:t>
      </w:r>
      <w:r w:rsidR="007D7B91">
        <w:t>.</w:t>
      </w:r>
    </w:p>
    <w:p w14:paraId="502462F7" w14:textId="01430D4A" w:rsidR="00270E6E" w:rsidRPr="00B158D1" w:rsidRDefault="00270E6E" w:rsidP="008D1665">
      <w:pPr>
        <w:rPr>
          <w:rStyle w:val="AERbody"/>
        </w:rPr>
      </w:pPr>
      <w:r w:rsidRPr="00B158D1">
        <w:rPr>
          <w:rStyle w:val="AERbody"/>
        </w:rPr>
        <w:t xml:space="preserve">In addition, SA Power Networks raised concerns that the AER might be </w:t>
      </w:r>
      <w:r w:rsidR="00EF4770" w:rsidRPr="00B158D1">
        <w:rPr>
          <w:rStyle w:val="AERbody"/>
        </w:rPr>
        <w:t>withholding</w:t>
      </w:r>
      <w:r w:rsidRPr="00B158D1">
        <w:rPr>
          <w:rStyle w:val="AERbody"/>
        </w:rPr>
        <w:t xml:space="preserve"> expert work on gamma by Associate Professor Martin Lally stating in its revised regulatory proposal:</w:t>
      </w:r>
      <w:r w:rsidR="00B158D1">
        <w:rPr>
          <w:rStyle w:val="FootnoteReference"/>
        </w:rPr>
        <w:footnoteReference w:id="64"/>
      </w:r>
    </w:p>
    <w:p w14:paraId="10E828F8" w14:textId="2FA1405D" w:rsidR="00522309" w:rsidRPr="00B158D1" w:rsidRDefault="00522309" w:rsidP="00B158D1">
      <w:pPr>
        <w:pStyle w:val="AERquoteindent1"/>
        <w:rPr>
          <w:rStyle w:val="AERtexthighlight"/>
          <w:shd w:val="clear" w:color="auto" w:fill="auto"/>
        </w:rPr>
      </w:pPr>
      <w:r w:rsidRPr="00B158D1">
        <w:rPr>
          <w:rStyle w:val="AERtexthighlight"/>
          <w:shd w:val="clear" w:color="auto" w:fill="auto"/>
        </w:rPr>
        <w:t>We note that since Lally articulated his criticisms of the AER's approach on gamma, the AER has ceased to publish any further advice from him while continuing to rely on Lally's earlier work.</w:t>
      </w:r>
    </w:p>
    <w:p w14:paraId="0FA349C5" w14:textId="7D744C65" w:rsidR="00270E6E" w:rsidRPr="00B158D1" w:rsidRDefault="00270E6E" w:rsidP="00B158D1">
      <w:pPr>
        <w:pStyle w:val="AERquoteindent1"/>
        <w:rPr>
          <w:rStyle w:val="AERtexthighlight"/>
          <w:shd w:val="clear" w:color="auto" w:fill="auto"/>
        </w:rPr>
      </w:pPr>
      <w:r w:rsidRPr="00B158D1">
        <w:rPr>
          <w:rStyle w:val="AERtexthighlight"/>
          <w:shd w:val="clear" w:color="auto" w:fill="auto"/>
        </w:rPr>
        <w:t xml:space="preserve">Because the value of gamma is so important, it is incumbent upon the AER to reveal all of the advice that it has received from this author on this issue. Our advisors requested that any further work that Lally produced since October 2014 </w:t>
      </w:r>
      <w:proofErr w:type="gramStart"/>
      <w:r w:rsidRPr="00B158D1">
        <w:rPr>
          <w:rStyle w:val="AERtexthighlight"/>
          <w:shd w:val="clear" w:color="auto" w:fill="auto"/>
        </w:rPr>
        <w:t>be</w:t>
      </w:r>
      <w:proofErr w:type="gramEnd"/>
      <w:r w:rsidRPr="00B158D1">
        <w:rPr>
          <w:rStyle w:val="AERtexthighlight"/>
          <w:shd w:val="clear" w:color="auto" w:fill="auto"/>
        </w:rPr>
        <w:t xml:space="preserve"> disclosed to the public. The AER has resisted providing this information on the basis that it would involve reviewing approximately 7,400 pages of material which the AER considers would be a substantial and unreasonable diversion of resources. This response is disappointing. It suggests that there may indeed be a body of significant work from Lally on this matter. Having regard to the fact that the gamma (a) represents a material and substantial pecuniary value, and (b) an essential service consumed by the broadest cross-section of the community, this material should be disclosed without delay.</w:t>
      </w:r>
    </w:p>
    <w:p w14:paraId="53A3B090" w14:textId="5CDCF766" w:rsidR="00522309" w:rsidRPr="00B158D1" w:rsidRDefault="00954B48" w:rsidP="00913061">
      <w:pPr>
        <w:rPr>
          <w:rStyle w:val="AERbody"/>
        </w:rPr>
      </w:pPr>
      <w:r w:rsidRPr="00B158D1">
        <w:rPr>
          <w:rStyle w:val="AERbody"/>
        </w:rPr>
        <w:t>In respo</w:t>
      </w:r>
      <w:r w:rsidR="00D70A27" w:rsidRPr="00B158D1">
        <w:rPr>
          <w:rStyle w:val="AERbody"/>
        </w:rPr>
        <w:t>ns</w:t>
      </w:r>
      <w:r w:rsidRPr="00B158D1">
        <w:rPr>
          <w:rStyle w:val="AERbody"/>
        </w:rPr>
        <w:t>e to this we note th</w:t>
      </w:r>
      <w:r w:rsidR="00D70A27" w:rsidRPr="00B158D1">
        <w:rPr>
          <w:rStyle w:val="AERbody"/>
        </w:rPr>
        <w:t xml:space="preserve">at </w:t>
      </w:r>
      <w:r w:rsidRPr="00B158D1">
        <w:rPr>
          <w:rStyle w:val="AERbody"/>
        </w:rPr>
        <w:t>t</w:t>
      </w:r>
      <w:r w:rsidR="003918B4" w:rsidRPr="00B158D1">
        <w:rPr>
          <w:rStyle w:val="AERbody"/>
        </w:rPr>
        <w:t>he AER ha</w:t>
      </w:r>
      <w:r w:rsidR="00D70A27" w:rsidRPr="00B158D1">
        <w:rPr>
          <w:rStyle w:val="AERbody"/>
        </w:rPr>
        <w:t>s</w:t>
      </w:r>
      <w:r w:rsidR="003918B4" w:rsidRPr="00B158D1">
        <w:rPr>
          <w:rStyle w:val="AERbody"/>
        </w:rPr>
        <w:t xml:space="preserve"> not had any work undertaken by Associate Professor Lally in relation to the value of </w:t>
      </w:r>
      <w:r w:rsidR="004412C4" w:rsidRPr="00B158D1">
        <w:rPr>
          <w:rStyle w:val="AERbody"/>
        </w:rPr>
        <w:t>imputation credits (</w:t>
      </w:r>
      <w:r w:rsidR="003918B4" w:rsidRPr="00B158D1">
        <w:rPr>
          <w:rStyle w:val="AERbody"/>
        </w:rPr>
        <w:t>gamma</w:t>
      </w:r>
      <w:r w:rsidR="004412C4" w:rsidRPr="00B158D1">
        <w:rPr>
          <w:rStyle w:val="AERbody"/>
        </w:rPr>
        <w:t>)</w:t>
      </w:r>
      <w:r w:rsidR="003918B4" w:rsidRPr="00B158D1">
        <w:rPr>
          <w:rStyle w:val="AERbody"/>
        </w:rPr>
        <w:t xml:space="preserve"> </w:t>
      </w:r>
      <w:r w:rsidR="00D70A27" w:rsidRPr="00B158D1">
        <w:rPr>
          <w:rStyle w:val="AERbody"/>
        </w:rPr>
        <w:t>since</w:t>
      </w:r>
      <w:r w:rsidR="003918B4" w:rsidRPr="00B158D1">
        <w:rPr>
          <w:rStyle w:val="AERbody"/>
        </w:rPr>
        <w:t xml:space="preserve"> the rate of return Guideline process was com</w:t>
      </w:r>
      <w:r w:rsidR="0035243C" w:rsidRPr="00B158D1">
        <w:rPr>
          <w:rStyle w:val="AERbody"/>
        </w:rPr>
        <w:t>p</w:t>
      </w:r>
      <w:r w:rsidR="003918B4" w:rsidRPr="00B158D1">
        <w:rPr>
          <w:rStyle w:val="AERbody"/>
        </w:rPr>
        <w:t xml:space="preserve">leted in December 2013. As some of the correspondence related to this matter is confidential, this is discussed further in confidential Appendix B to this attachment.  </w:t>
      </w:r>
    </w:p>
    <w:p w14:paraId="373E9E59" w14:textId="77777777" w:rsidR="008D1665" w:rsidRDefault="00F42728" w:rsidP="008D1665">
      <w:r>
        <w:t>Submissions</w:t>
      </w:r>
      <w:r w:rsidR="007C6807">
        <w:t xml:space="preserve"> on the value of imputation credits from consumer representatives </w:t>
      </w:r>
      <w:r>
        <w:t>are summarised below</w:t>
      </w:r>
      <w:r w:rsidR="007C6807">
        <w:t>:</w:t>
      </w:r>
    </w:p>
    <w:p w14:paraId="784D95CB" w14:textId="77777777" w:rsidR="007C6807" w:rsidRDefault="007C6807" w:rsidP="007C6807">
      <w:pPr>
        <w:pStyle w:val="AERbulletlistfirststyle"/>
      </w:pPr>
      <w:r>
        <w:t xml:space="preserve">The CCP expressed a view that </w:t>
      </w:r>
      <w:r w:rsidRPr="007C6807">
        <w:t>suggests we should take into account the interrelationship with the corporate tax allowance when determining the value of imputation credits.</w:t>
      </w:r>
      <w:r>
        <w:rPr>
          <w:rStyle w:val="FootnoteReference"/>
        </w:rPr>
        <w:footnoteReference w:id="65"/>
      </w:r>
      <w:r w:rsidR="00997F72">
        <w:t xml:space="preserve"> We address this in section </w:t>
      </w:r>
      <w:r w:rsidR="00997F72">
        <w:fldChar w:fldCharType="begin"/>
      </w:r>
      <w:r w:rsidR="00997F72">
        <w:instrText xml:space="preserve"> REF _Ref415070818 \r \h </w:instrText>
      </w:r>
      <w:r w:rsidR="00997F72">
        <w:fldChar w:fldCharType="separate"/>
      </w:r>
      <w:r w:rsidR="001E2164">
        <w:t>4.3.4</w:t>
      </w:r>
      <w:r w:rsidR="00997F72">
        <w:fldChar w:fldCharType="end"/>
      </w:r>
      <w:r w:rsidR="00997F72">
        <w:t>.</w:t>
      </w:r>
    </w:p>
    <w:p w14:paraId="5378884D" w14:textId="77777777" w:rsidR="005401BC" w:rsidRPr="005401BC" w:rsidRDefault="005401BC" w:rsidP="005401BC">
      <w:pPr>
        <w:pStyle w:val="AERbulletlistfirststyle"/>
      </w:pPr>
      <w:r>
        <w:lastRenderedPageBreak/>
        <w:t>The Public Interest Advocacy Centre (PIAC) submitted that the Australian Competition Tribunal's decision in 2011 to rely on an estimate of the utilisation rate from</w:t>
      </w:r>
      <w:r w:rsidR="00CE55B5">
        <w:t xml:space="preserve"> the 2011 version of</w:t>
      </w:r>
      <w:r>
        <w:t xml:space="preserve"> SFG's dividend drop off study should not be viewed as permanently determinative.</w:t>
      </w:r>
      <w:r w:rsidRPr="005401BC">
        <w:rPr>
          <w:rStyle w:val="FootnoteReference"/>
        </w:rPr>
        <w:footnoteReference w:id="66"/>
      </w:r>
      <w:r w:rsidRPr="005401BC">
        <w:t xml:space="preserve"> We agree with these comments in light of the Tribunal's finding that:</w:t>
      </w:r>
      <w:r w:rsidRPr="005401BC">
        <w:rPr>
          <w:rStyle w:val="FootnoteReference"/>
        </w:rPr>
        <w:footnoteReference w:id="67"/>
      </w:r>
    </w:p>
    <w:p w14:paraId="5211E00B" w14:textId="77777777" w:rsidR="005401BC" w:rsidRDefault="005401BC" w:rsidP="005401BC">
      <w:pPr>
        <w:pStyle w:val="AERquote"/>
      </w:pPr>
      <w:r>
        <w:t xml:space="preserve">Further, the Tribunal notes that estimation of a parameter such as </w:t>
      </w:r>
      <w:r w:rsidR="0046390C">
        <w:t xml:space="preserve">gamma </w:t>
      </w:r>
      <w:r>
        <w:t>[the value of imputation credits] is necessarily, and desirably, an ongoing intellectual and empirical endeavour. Its decision in these proceedings is based on the material before it.</w:t>
      </w:r>
    </w:p>
    <w:p w14:paraId="12CCD952" w14:textId="77777777" w:rsidR="005401BC" w:rsidRDefault="005401BC" w:rsidP="005401BC">
      <w:pPr>
        <w:pStyle w:val="AERbulletlistfirststyle"/>
        <w:numPr>
          <w:ilvl w:val="0"/>
          <w:numId w:val="0"/>
        </w:numPr>
        <w:ind w:left="357"/>
      </w:pPr>
      <w:r>
        <w:t>PIAC also submitted that our draft decisions adequately set out the reasons for departing from the value of imputation credits in the Guideline.</w:t>
      </w:r>
      <w:r>
        <w:rPr>
          <w:rStyle w:val="FootnoteReference"/>
        </w:rPr>
        <w:footnoteReference w:id="68"/>
      </w:r>
    </w:p>
    <w:p w14:paraId="57B9D1AA" w14:textId="77777777" w:rsidR="00700E74" w:rsidRDefault="005B539D" w:rsidP="005B539D">
      <w:pPr>
        <w:pStyle w:val="AERbulletlistfirststyle"/>
      </w:pPr>
      <w:r>
        <w:t>T</w:t>
      </w:r>
      <w:r w:rsidRPr="005B539D">
        <w:t>he E</w:t>
      </w:r>
      <w:r>
        <w:t xml:space="preserve">nergy </w:t>
      </w:r>
      <w:r w:rsidRPr="005B539D">
        <w:t>M</w:t>
      </w:r>
      <w:r>
        <w:t xml:space="preserve">arkets </w:t>
      </w:r>
      <w:r w:rsidRPr="005B539D">
        <w:t>R</w:t>
      </w:r>
      <w:r>
        <w:t xml:space="preserve">eform </w:t>
      </w:r>
      <w:r w:rsidRPr="005B539D">
        <w:t>F</w:t>
      </w:r>
      <w:r>
        <w:t>orum</w:t>
      </w:r>
      <w:r w:rsidR="001B6BD3">
        <w:t xml:space="preserve"> (EMRF)</w:t>
      </w:r>
      <w:r w:rsidRPr="005B539D">
        <w:t xml:space="preserve"> </w:t>
      </w:r>
      <w:r>
        <w:t>submitted</w:t>
      </w:r>
      <w:r w:rsidRPr="005B539D">
        <w:t xml:space="preserve"> that </w:t>
      </w:r>
      <w:r>
        <w:t>our</w:t>
      </w:r>
      <w:r w:rsidRPr="005B539D">
        <w:t xml:space="preserve"> estimates of the utilisation and distribution rates are lower</w:t>
      </w:r>
      <w:r w:rsidR="0046390C">
        <w:t xml:space="preserve"> (and, therefore more favourable to service providers)</w:t>
      </w:r>
      <w:r w:rsidRPr="005B539D">
        <w:t xml:space="preserve"> than those relevant to a pure play energy network (which is the benchmark </w:t>
      </w:r>
      <w:r w:rsidR="0046390C">
        <w:t xml:space="preserve">efficient </w:t>
      </w:r>
      <w:r w:rsidRPr="005B539D">
        <w:t xml:space="preserve">entity for setting the </w:t>
      </w:r>
      <w:r>
        <w:t>rate of return</w:t>
      </w:r>
      <w:r w:rsidRPr="005B539D">
        <w:t>).</w:t>
      </w:r>
      <w:r>
        <w:rPr>
          <w:rStyle w:val="FootnoteReference"/>
        </w:rPr>
        <w:footnoteReference w:id="69"/>
      </w:r>
      <w:r>
        <w:t xml:space="preserve"> </w:t>
      </w:r>
      <w:r w:rsidR="001B6BD3">
        <w:t>The EMRF also submitted that we should consider actual industry practices when determining the value of imputation credits</w:t>
      </w:r>
      <w:r w:rsidR="00BC4484">
        <w:rPr>
          <w:rFonts w:cs="Arial"/>
        </w:rPr>
        <w:t>—</w:t>
      </w:r>
      <w:r w:rsidR="00BC4484">
        <w:t>for example, the EMRF submitted that none of APA Group, Envestra Limited (pre sale) or JGN's parent company had balances in their franking accounts</w:t>
      </w:r>
      <w:r w:rsidR="001B6BD3">
        <w:t>.</w:t>
      </w:r>
      <w:r w:rsidR="001B6BD3">
        <w:rPr>
          <w:rStyle w:val="FootnoteReference"/>
        </w:rPr>
        <w:footnoteReference w:id="70"/>
      </w:r>
      <w:r w:rsidR="001B6BD3">
        <w:t xml:space="preserve"> </w:t>
      </w:r>
      <w:r>
        <w:t>To clarify, w</w:t>
      </w:r>
      <w:r w:rsidRPr="005B539D">
        <w:t xml:space="preserve">e have interpreted and estimated </w:t>
      </w:r>
      <w:r w:rsidR="007632C9">
        <w:t>the value of imputation credits</w:t>
      </w:r>
      <w:r w:rsidRPr="005B539D">
        <w:t xml:space="preserve"> consistently with Officer</w:t>
      </w:r>
      <w:r>
        <w:t>'s 1994 paper</w:t>
      </w:r>
      <w:r w:rsidRPr="005B539D">
        <w:t xml:space="preserve"> and related literature, such </w:t>
      </w:r>
      <w:r w:rsidR="0046390C">
        <w:t xml:space="preserve">as </w:t>
      </w:r>
      <w:r w:rsidRPr="005B539D">
        <w:t xml:space="preserve">Monkhouse. Under this literature, the </w:t>
      </w:r>
      <w:r w:rsidR="007632C9" w:rsidRPr="005B539D">
        <w:t xml:space="preserve">utilisation rate is </w:t>
      </w:r>
      <w:r w:rsidR="00A92655">
        <w:t xml:space="preserve">a </w:t>
      </w:r>
      <w:r w:rsidR="007632C9" w:rsidRPr="005B539D">
        <w:t xml:space="preserve">market-wide parameter </w:t>
      </w:r>
      <w:r w:rsidR="007632C9">
        <w:t xml:space="preserve">and the </w:t>
      </w:r>
      <w:r w:rsidRPr="005B539D">
        <w:t>distribution rate is a firm specific parameter</w:t>
      </w:r>
      <w:r w:rsidR="007632C9">
        <w:t>.</w:t>
      </w:r>
      <w:r w:rsidRPr="005B539D">
        <w:t xml:space="preserve"> </w:t>
      </w:r>
      <w:r w:rsidR="007632C9">
        <w:t>We estimate the utilisation rate on a market-wide</w:t>
      </w:r>
      <w:r w:rsidR="00366244">
        <w:t xml:space="preserve"> basis</w:t>
      </w:r>
      <w:r w:rsidR="007632C9">
        <w:t>. A</w:t>
      </w:r>
      <w:r w:rsidRPr="005B539D">
        <w:t xml:space="preserve">lthough the distribution rate is a firm specific parameter, we estimate it on a market-wide basis </w:t>
      </w:r>
      <w:r w:rsidR="007632C9">
        <w:t xml:space="preserve">also </w:t>
      </w:r>
      <w:r w:rsidRPr="005B539D">
        <w:t>and our reasons for doing so are set out i</w:t>
      </w:r>
      <w:r>
        <w:t>n the Guideline</w:t>
      </w:r>
      <w:r w:rsidRPr="005B539D">
        <w:t>.</w:t>
      </w:r>
      <w:r>
        <w:rPr>
          <w:rStyle w:val="FootnoteReference"/>
        </w:rPr>
        <w:footnoteReference w:id="71"/>
      </w:r>
    </w:p>
    <w:p w14:paraId="0EAD4D6A" w14:textId="5F197AEC" w:rsidR="0034249A" w:rsidRDefault="0034249A" w:rsidP="005B539D">
      <w:pPr>
        <w:pStyle w:val="AERbulletlistfirststyle"/>
      </w:pPr>
      <w:r>
        <w:t>The South Australian Council of Social Service (SACOSS) submitted</w:t>
      </w:r>
      <w:r w:rsidR="00E50C64">
        <w:t xml:space="preserve"> on SAPN's initial regulatory proposal</w:t>
      </w:r>
      <w:r>
        <w:t xml:space="preserve">, based on advice received from the South Australian Centre for Economic </w:t>
      </w:r>
      <w:proofErr w:type="gramStart"/>
      <w:r>
        <w:t>Studies, that</w:t>
      </w:r>
      <w:proofErr w:type="gramEnd"/>
      <w:r>
        <w:t xml:space="preserve"> evidence was emerging for a value of imputation credits lower than the 0.5 in the Guideline.</w:t>
      </w:r>
      <w:r w:rsidR="00B36753">
        <w:rPr>
          <w:rStyle w:val="FootnoteReference"/>
        </w:rPr>
        <w:footnoteReference w:id="72"/>
      </w:r>
      <w:r>
        <w:t xml:space="preserve"> SACOSS supported a value of imputation credits of at least 0.4.</w:t>
      </w:r>
      <w:r w:rsidR="00852196">
        <w:t xml:space="preserve"> In a </w:t>
      </w:r>
      <w:r w:rsidR="00E50C64">
        <w:t xml:space="preserve">subsequent </w:t>
      </w:r>
      <w:r w:rsidR="00852196">
        <w:t xml:space="preserve">submission on the </w:t>
      </w:r>
      <w:r w:rsidR="00E50C64">
        <w:t xml:space="preserve">AER's </w:t>
      </w:r>
      <w:r w:rsidR="00852196">
        <w:t xml:space="preserve">preliminary decision SACOSS supported the AER's decision to use the lower estimate of gamma than in the rate of return guideline, although noting its preferred estimate was for a gamma of 0.36. </w:t>
      </w:r>
      <w:r w:rsidR="00852196">
        <w:lastRenderedPageBreak/>
        <w:t xml:space="preserve">However, given the AER is reporting gamma to one decimal place SACOSS acknowledged that its preferred estimate of 0.36 concurs with the AER's </w:t>
      </w:r>
      <w:r w:rsidR="00EF4770">
        <w:t>estimate</w:t>
      </w:r>
      <w:r w:rsidR="00852196">
        <w:t xml:space="preserve"> of 0.4 to one decimal place.</w:t>
      </w:r>
      <w:r w:rsidR="00852196">
        <w:rPr>
          <w:rStyle w:val="FootnoteReference"/>
        </w:rPr>
        <w:footnoteReference w:id="73"/>
      </w:r>
    </w:p>
    <w:p w14:paraId="297F8924" w14:textId="09259353" w:rsidR="00F17B34" w:rsidRDefault="00F17B34" w:rsidP="00F17B34">
      <w:pPr>
        <w:pStyle w:val="AERbulletlistfirststyle"/>
      </w:pPr>
      <w:r>
        <w:t xml:space="preserve">The Energy Consumers Coalition of South Australia </w:t>
      </w:r>
      <w:r w:rsidR="00780A03">
        <w:t xml:space="preserve">(ECCSA) </w:t>
      </w:r>
      <w:r w:rsidR="00E50C64">
        <w:t>in a submission on SAPN</w:t>
      </w:r>
      <w:r w:rsidR="00573C3B">
        <w:t>'s</w:t>
      </w:r>
      <w:r w:rsidR="00E50C64">
        <w:t xml:space="preserve"> initial regulatory </w:t>
      </w:r>
      <w:proofErr w:type="gramStart"/>
      <w:r w:rsidR="00E50C64">
        <w:t>proposal,</w:t>
      </w:r>
      <w:proofErr w:type="gramEnd"/>
      <w:r w:rsidR="00E50C64">
        <w:t xml:space="preserve"> </w:t>
      </w:r>
      <w:r>
        <w:t xml:space="preserve">considered that the service providers </w:t>
      </w:r>
      <w:r w:rsidR="0060605B">
        <w:t>(</w:t>
      </w:r>
      <w:r w:rsidR="00FE2616">
        <w:t xml:space="preserve">who </w:t>
      </w:r>
      <w:r w:rsidR="0060605B">
        <w:t xml:space="preserve">had submitted regulatory proposals to us in 2014) </w:t>
      </w:r>
      <w:r>
        <w:t>submitted no new evidence</w:t>
      </w:r>
      <w:r w:rsidR="003504FC">
        <w:t xml:space="preserve"> to change our conclusions in the Guideline regarding the value of imputation credits.</w:t>
      </w:r>
      <w:r w:rsidR="003504FC">
        <w:rPr>
          <w:rStyle w:val="FootnoteReference"/>
        </w:rPr>
        <w:footnoteReference w:id="74"/>
      </w:r>
      <w:r w:rsidR="003504FC">
        <w:t xml:space="preserve"> </w:t>
      </w:r>
      <w:r w:rsidR="00E32943">
        <w:t>W</w:t>
      </w:r>
      <w:r w:rsidR="003504FC">
        <w:t>e set out in this decision how and why we have departed from the Guideline.</w:t>
      </w:r>
      <w:r w:rsidR="00780A03">
        <w:t xml:space="preserve"> In a </w:t>
      </w:r>
      <w:r w:rsidR="00E50C64">
        <w:t xml:space="preserve">subsequent </w:t>
      </w:r>
      <w:r w:rsidR="00780A03">
        <w:t xml:space="preserve">submission on the </w:t>
      </w:r>
      <w:r w:rsidR="00E50C64">
        <w:t xml:space="preserve">AER's </w:t>
      </w:r>
      <w:r w:rsidR="00780A03">
        <w:t xml:space="preserve">preliminary decision the ECCSA submitted that 'the AER has moved to a conservative position on the issue of gamma to the detriment of consumers' and it appeared 'the AER has based its assessment on lower utilisation and distribution rates than would </w:t>
      </w:r>
      <w:r w:rsidR="00EF4770">
        <w:t>otherwise</w:t>
      </w:r>
      <w:r w:rsidR="00780A03">
        <w:t xml:space="preserve"> be the case for a pure play energy network which is the benchmark entity for setting the WACC.'</w:t>
      </w:r>
      <w:r w:rsidR="00780A03">
        <w:rPr>
          <w:rStyle w:val="FootnoteReference"/>
        </w:rPr>
        <w:footnoteReference w:id="75"/>
      </w:r>
    </w:p>
    <w:p w14:paraId="1CBCF54F" w14:textId="77777777" w:rsidR="00913C57" w:rsidRDefault="0044559A" w:rsidP="0044559A">
      <w:pPr>
        <w:pStyle w:val="AERbulletlistfirststyle"/>
      </w:pPr>
      <w:r>
        <w:t>The Queensland Council of Social Service</w:t>
      </w:r>
      <w:r w:rsidR="0014196F">
        <w:t xml:space="preserve"> (QCOSS)</w:t>
      </w:r>
      <w:r>
        <w:t xml:space="preserve"> submitted a 'more </w:t>
      </w:r>
      <w:r w:rsidRPr="0044559A">
        <w:t>even-handed and consistent approach</w:t>
      </w:r>
      <w:r>
        <w:t>' would be a value of imputation credits of 0.5 as per the Guideline.</w:t>
      </w:r>
      <w:r w:rsidR="0014196F">
        <w:rPr>
          <w:rStyle w:val="FootnoteReference"/>
        </w:rPr>
        <w:footnoteReference w:id="76"/>
      </w:r>
      <w:r w:rsidR="0014196F">
        <w:t xml:space="preserve"> QCOSS had regard to a recent decision by the Queensland Competition Authority for a value of 0.47. We set out in this decision why we consider 0.4 to be the best estimate from within the range 0.3 to 0.5.</w:t>
      </w:r>
    </w:p>
    <w:p w14:paraId="181B9944" w14:textId="77777777" w:rsidR="003009F6" w:rsidRDefault="003009F6" w:rsidP="0044559A">
      <w:pPr>
        <w:pStyle w:val="AERbulletlistfirststyle"/>
      </w:pPr>
      <w:r>
        <w:t>The Alliance of Electricity Consumers</w:t>
      </w:r>
      <w:r w:rsidR="008F5248">
        <w:t xml:space="preserve"> (the Alliance) employed</w:t>
      </w:r>
      <w:r>
        <w:t xml:space="preserve"> a value of imputation credits of 0.25 in its estimation of an efficient rate of </w:t>
      </w:r>
      <w:r w:rsidR="008F5248">
        <w:t>return.</w:t>
      </w:r>
      <w:r w:rsidR="00F31D12">
        <w:rPr>
          <w:rStyle w:val="FootnoteReference"/>
        </w:rPr>
        <w:footnoteReference w:id="77"/>
      </w:r>
      <w:r w:rsidR="008F5248">
        <w:t xml:space="preserve"> However, the Alliance provided no discussion or justification for the use of this estimate. Regardless, the Alliance submitted that the appropriate rate of return was 3.76 per cent, which is less than half the rate of return typically proposed by the service providers.</w:t>
      </w:r>
    </w:p>
    <w:p w14:paraId="338142CA" w14:textId="683847E2" w:rsidR="00B239C6" w:rsidRDefault="00B239C6" w:rsidP="0044559A">
      <w:pPr>
        <w:pStyle w:val="AERbulletlistfirststyle"/>
      </w:pPr>
      <w:r>
        <w:t>UnitingCare Australia supported our value for gamma, if a value for gamma is necessary.</w:t>
      </w:r>
      <w:r>
        <w:rPr>
          <w:rStyle w:val="FootnoteReference"/>
        </w:rPr>
        <w:footnoteReference w:id="78"/>
      </w:r>
    </w:p>
    <w:p w14:paraId="75D376B4" w14:textId="77777777" w:rsidR="009B2ABF" w:rsidRPr="009B2ABF" w:rsidRDefault="009B2ABF" w:rsidP="00FD5BE7">
      <w:pPr>
        <w:pStyle w:val="Heading3"/>
      </w:pPr>
      <w:bookmarkStart w:id="38" w:name="_Ref403482746"/>
      <w:r>
        <w:t xml:space="preserve">The </w:t>
      </w:r>
      <w:r w:rsidRPr="00FD5BE7">
        <w:t>distribution</w:t>
      </w:r>
      <w:r>
        <w:t xml:space="preserve"> rate</w:t>
      </w:r>
      <w:bookmarkEnd w:id="38"/>
    </w:p>
    <w:p w14:paraId="4C7DCFA6" w14:textId="77777777" w:rsidR="009B2ABF" w:rsidRDefault="00D44750" w:rsidP="00FD5BE7">
      <w:r>
        <w:t>T</w:t>
      </w:r>
      <w:r w:rsidR="009B2ABF">
        <w:t xml:space="preserve">he distribution rate </w:t>
      </w:r>
      <w:r>
        <w:t>is</w:t>
      </w:r>
      <w:r w:rsidR="009B2ABF">
        <w:t xml:space="preserve"> the proportion of imputation credits generated by the benchmark efficient entity that is distributed to investors.</w:t>
      </w:r>
      <w:r w:rsidR="009B2ABF">
        <w:rPr>
          <w:rStyle w:val="FootnoteReference"/>
        </w:rPr>
        <w:footnoteReference w:id="79"/>
      </w:r>
      <w:r w:rsidR="009B2ABF">
        <w:t xml:space="preserve"> We use a</w:t>
      </w:r>
      <w:r w:rsidR="00E424CC">
        <w:t>n</w:t>
      </w:r>
      <w:r w:rsidR="009B2ABF">
        <w:t xml:space="preserve"> estimate of </w:t>
      </w:r>
      <w:r w:rsidR="00E424CC">
        <w:t>0.</w:t>
      </w:r>
      <w:r w:rsidR="00716D12">
        <w:t>7</w:t>
      </w:r>
      <w:r w:rsidR="00E92E9F">
        <w:t>7</w:t>
      </w:r>
      <w:r w:rsidR="00E424CC">
        <w:t xml:space="preserve"> for </w:t>
      </w:r>
      <w:r w:rsidR="009B2ABF">
        <w:t xml:space="preserve">the distribution </w:t>
      </w:r>
      <w:r w:rsidR="009B2ABF">
        <w:lastRenderedPageBreak/>
        <w:t xml:space="preserve">rate </w:t>
      </w:r>
      <w:r>
        <w:t>when considering</w:t>
      </w:r>
      <w:r w:rsidR="009B2ABF">
        <w:t xml:space="preserve"> estimates of the utilisation rate </w:t>
      </w:r>
      <w:r>
        <w:t>that relate to</w:t>
      </w:r>
      <w:r w:rsidR="009B2ABF">
        <w:t xml:space="preserve"> </w:t>
      </w:r>
      <w:r w:rsidR="001C274C">
        <w:t>only listed equity</w:t>
      </w:r>
      <w:r w:rsidR="009B2ABF">
        <w:t>, and a</w:t>
      </w:r>
      <w:r w:rsidR="00E424CC">
        <w:t>n</w:t>
      </w:r>
      <w:r w:rsidR="009B2ABF">
        <w:t xml:space="preserve"> estimate of</w:t>
      </w:r>
      <w:r w:rsidR="00E424CC">
        <w:t xml:space="preserve"> 0.7 for</w:t>
      </w:r>
      <w:r w:rsidR="009B2ABF">
        <w:t xml:space="preserve"> the distribution rate </w:t>
      </w:r>
      <w:r>
        <w:t xml:space="preserve">when considering </w:t>
      </w:r>
      <w:r w:rsidR="009B2ABF">
        <w:t xml:space="preserve">estimates of the utilisation rate </w:t>
      </w:r>
      <w:r>
        <w:t>that relate to</w:t>
      </w:r>
      <w:r w:rsidR="009B2ABF">
        <w:t xml:space="preserve"> all equity.</w:t>
      </w:r>
    </w:p>
    <w:p w14:paraId="119401AD" w14:textId="261DBBB8" w:rsidR="009B2ABF" w:rsidRDefault="009B2ABF" w:rsidP="009B2ABF">
      <w:pPr>
        <w:numPr>
          <w:ilvl w:val="0"/>
          <w:numId w:val="25"/>
        </w:numPr>
      </w:pPr>
      <w:r>
        <w:t>Consistent with the Guideline, we estimate the distribution rate using the 'cumulative payout ratio approach', which uses data from the ATO on the accounts used by companies to track their stocks of imputation credits ('franking account balances').</w:t>
      </w:r>
      <w:r>
        <w:rPr>
          <w:rStyle w:val="FootnoteReference"/>
        </w:rPr>
        <w:footnoteReference w:id="80"/>
      </w:r>
      <w:r>
        <w:t xml:space="preserve"> Using this approach, NERA estimated a distribution rate across all equity of 0.7 for the period 1987 to 2011.</w:t>
      </w:r>
      <w:r>
        <w:rPr>
          <w:rStyle w:val="FootnoteReference"/>
        </w:rPr>
        <w:footnoteReference w:id="81"/>
      </w:r>
      <w:r>
        <w:t xml:space="preserve"> Hathaway found a similar estimate for the period 2004 to 2011.</w:t>
      </w:r>
      <w:r>
        <w:rPr>
          <w:rStyle w:val="FootnoteReference"/>
        </w:rPr>
        <w:footnoteReference w:id="82"/>
      </w:r>
      <w:r>
        <w:t xml:space="preserve"> </w:t>
      </w:r>
      <w:r w:rsidR="00D15210">
        <w:t>We relied on these estimates in the Guideline and the draft decision</w:t>
      </w:r>
      <w:r w:rsidR="00615E45">
        <w:t>s</w:t>
      </w:r>
      <w:r w:rsidR="00AF3603">
        <w:t xml:space="preserve"> released in 2014</w:t>
      </w:r>
      <w:r w:rsidR="00D15210">
        <w:t xml:space="preserve">. </w:t>
      </w:r>
      <w:r w:rsidR="00FB7FCD">
        <w:t>We consider that u</w:t>
      </w:r>
      <w:r w:rsidR="00D15210">
        <w:t xml:space="preserve">pdated analysis of the ATO data to the 2012 tax year by NERA and Handley </w:t>
      </w:r>
      <w:r w:rsidR="00090E98">
        <w:t>indicate</w:t>
      </w:r>
      <w:r w:rsidR="00FB7FCD">
        <w:t>s</w:t>
      </w:r>
      <w:r w:rsidR="00D15210">
        <w:t xml:space="preserve"> that 0.7 </w:t>
      </w:r>
      <w:r w:rsidR="00090E98">
        <w:t>remains</w:t>
      </w:r>
      <w:r w:rsidR="00D15210">
        <w:t xml:space="preserve"> a reasonable estimate of the distribution rate over all equity.</w:t>
      </w:r>
      <w:r w:rsidR="00D15210">
        <w:rPr>
          <w:rStyle w:val="FootnoteReference"/>
        </w:rPr>
        <w:footnoteReference w:id="83"/>
      </w:r>
    </w:p>
    <w:p w14:paraId="761112AD" w14:textId="77777777" w:rsidR="009B2ABF" w:rsidRDefault="009B2ABF" w:rsidP="009B2ABF">
      <w:pPr>
        <w:numPr>
          <w:ilvl w:val="0"/>
          <w:numId w:val="25"/>
        </w:numPr>
      </w:pPr>
      <w:r>
        <w:t>We use the cumulative payout ratio approach because it:</w:t>
      </w:r>
    </w:p>
    <w:p w14:paraId="080665F8" w14:textId="77777777" w:rsidR="009B2ABF" w:rsidRPr="009B2ABF" w:rsidRDefault="009B2ABF" w:rsidP="009B2ABF">
      <w:pPr>
        <w:pStyle w:val="AERbulletlistfirststyle"/>
      </w:pPr>
      <w:r>
        <w:t>uses long-term, published data</w:t>
      </w:r>
    </w:p>
    <w:p w14:paraId="78829CF4" w14:textId="1BF2363D" w:rsidR="009B2ABF" w:rsidRDefault="009B2ABF" w:rsidP="009B2ABF">
      <w:pPr>
        <w:pStyle w:val="AERbulletlistfirststyle"/>
      </w:pPr>
      <w:r>
        <w:t>is supported by the s</w:t>
      </w:r>
      <w:r w:rsidRPr="009B2ABF">
        <w:t xml:space="preserve">ervice providers, </w:t>
      </w:r>
      <w:r w:rsidR="00873AF3">
        <w:t xml:space="preserve">Gray (for </w:t>
      </w:r>
      <w:r w:rsidRPr="009B2ABF">
        <w:t>SFG</w:t>
      </w:r>
      <w:r w:rsidR="00873AF3">
        <w:t>)</w:t>
      </w:r>
      <w:r w:rsidRPr="009B2ABF">
        <w:t>, Handley</w:t>
      </w:r>
      <w:r w:rsidR="005D5322">
        <w:t>,</w:t>
      </w:r>
      <w:r w:rsidRPr="009B2ABF">
        <w:t xml:space="preserve"> and McKenzie and Partington</w:t>
      </w:r>
      <w:r w:rsidR="000F0BB8">
        <w:t>,</w:t>
      </w:r>
      <w:r w:rsidRPr="009B2ABF">
        <w:rPr>
          <w:rStyle w:val="FootnoteReference"/>
        </w:rPr>
        <w:footnoteReference w:id="84"/>
      </w:r>
      <w:r w:rsidR="000F0BB8">
        <w:t xml:space="preserve"> and</w:t>
      </w:r>
    </w:p>
    <w:p w14:paraId="45CC2FE1" w14:textId="77777777" w:rsidR="000F0BB8" w:rsidRPr="009B2ABF" w:rsidRDefault="000F0BB8" w:rsidP="000F0BB8">
      <w:pPr>
        <w:pStyle w:val="AERbulletlistfirststyle"/>
      </w:pPr>
      <w:proofErr w:type="gramStart"/>
      <w:r>
        <w:t>is</w:t>
      </w:r>
      <w:proofErr w:type="gramEnd"/>
      <w:r>
        <w:t xml:space="preserve"> simple and intuitive.</w:t>
      </w:r>
    </w:p>
    <w:p w14:paraId="4555B2AA" w14:textId="38C1BEB9" w:rsidR="00090E98" w:rsidRDefault="009B2ABF" w:rsidP="009B2ABF">
      <w:pPr>
        <w:numPr>
          <w:ilvl w:val="0"/>
          <w:numId w:val="25"/>
        </w:numPr>
      </w:pPr>
      <w:r>
        <w:t xml:space="preserve">Also using this approach, Handley estimated a distribution rate across </w:t>
      </w:r>
      <w:r w:rsidR="001C274C">
        <w:t>only listed equity</w:t>
      </w:r>
      <w:r>
        <w:t xml:space="preserve"> of 0.8 for the period 1987 to 2011.</w:t>
      </w:r>
      <w:r>
        <w:rPr>
          <w:rStyle w:val="FootnoteReference"/>
        </w:rPr>
        <w:footnoteReference w:id="85"/>
      </w:r>
      <w:r>
        <w:t xml:space="preserve"> </w:t>
      </w:r>
      <w:r w:rsidR="00090E98">
        <w:t>We found a similar estimate</w:t>
      </w:r>
      <w:r w:rsidR="00CE7F4B">
        <w:t xml:space="preserve"> for the period 2004 to 2011.</w:t>
      </w:r>
      <w:r w:rsidR="00AE0135">
        <w:rPr>
          <w:rStyle w:val="FootnoteReference"/>
        </w:rPr>
        <w:footnoteReference w:id="86"/>
      </w:r>
      <w:r w:rsidR="00CE7F4B">
        <w:t xml:space="preserve"> </w:t>
      </w:r>
      <w:r w:rsidR="00D15210">
        <w:t xml:space="preserve">We relied on these estimates in the </w:t>
      </w:r>
      <w:r w:rsidR="0060605B">
        <w:t>preliminary</w:t>
      </w:r>
      <w:r w:rsidR="00D15210">
        <w:t xml:space="preserve"> decision. </w:t>
      </w:r>
      <w:r w:rsidR="00AF1D81">
        <w:t>U</w:t>
      </w:r>
      <w:r w:rsidR="00090E98">
        <w:t>pdated analysis of the ATO data to the 2012 tax year by NERA and Handley indicate</w:t>
      </w:r>
      <w:r w:rsidR="009D05E8">
        <w:t>s</w:t>
      </w:r>
      <w:r w:rsidR="00090E98">
        <w:t xml:space="preserve"> that the distribution rate over only listed equity has fallen slightly.</w:t>
      </w:r>
      <w:r w:rsidR="00090E98">
        <w:rPr>
          <w:rStyle w:val="FootnoteReference"/>
        </w:rPr>
        <w:footnoteReference w:id="87"/>
      </w:r>
      <w:r w:rsidR="00090E98">
        <w:t xml:space="preserve"> With regard to this updated analysis, in this final decision we use an estimate of the distribution rate over only listed equity of 0.77</w:t>
      </w:r>
      <w:r w:rsidR="0083423A">
        <w:t>, consistent with the value used in our June 2015 decision for JGN</w:t>
      </w:r>
      <w:r w:rsidR="00090E98">
        <w:t xml:space="preserve">. </w:t>
      </w:r>
    </w:p>
    <w:p w14:paraId="03B3FB21" w14:textId="77777777" w:rsidR="009B2ABF" w:rsidRDefault="009B2ABF" w:rsidP="009B2ABF">
      <w:pPr>
        <w:numPr>
          <w:ilvl w:val="0"/>
          <w:numId w:val="25"/>
        </w:numPr>
      </w:pPr>
      <w:r>
        <w:t xml:space="preserve">A distribution rate across </w:t>
      </w:r>
      <w:r w:rsidR="001C274C">
        <w:t>only listed equity</w:t>
      </w:r>
      <w:r>
        <w:t xml:space="preserve"> was not presented in the Guideline. However, as set out above, we now consider that:</w:t>
      </w:r>
    </w:p>
    <w:p w14:paraId="2AB5CC86" w14:textId="77777777" w:rsidR="009B2ABF" w:rsidRPr="009B2ABF" w:rsidRDefault="009B2ABF" w:rsidP="009B2ABF">
      <w:pPr>
        <w:pStyle w:val="AERbulletlistfirststyle"/>
      </w:pPr>
      <w:r>
        <w:lastRenderedPageBreak/>
        <w:t>It is o</w:t>
      </w:r>
      <w:r w:rsidRPr="009B2ABF">
        <w:t xml:space="preserve">pen to us to have regard to evidence from all equity and/or </w:t>
      </w:r>
      <w:r w:rsidR="001C274C">
        <w:t>only listed equity</w:t>
      </w:r>
      <w:r w:rsidRPr="009B2ABF">
        <w:t>.</w:t>
      </w:r>
    </w:p>
    <w:p w14:paraId="1B73F89D" w14:textId="77777777" w:rsidR="002C233C" w:rsidRDefault="009B2ABF" w:rsidP="00371C1E">
      <w:pPr>
        <w:pStyle w:val="AERbulletlistfirststyle"/>
      </w:pPr>
      <w:r>
        <w:t>It would be inconsistent</w:t>
      </w:r>
      <w:r w:rsidRPr="00F5531F">
        <w:t xml:space="preserve"> to pair an estimate of the utilisation rate from </w:t>
      </w:r>
      <w:r w:rsidR="001C274C">
        <w:t>only listed equity</w:t>
      </w:r>
      <w:r w:rsidRPr="00F5531F">
        <w:t xml:space="preserve"> with an estimate of the distribution rate from all equity (and vice versa).</w:t>
      </w:r>
    </w:p>
    <w:p w14:paraId="4B1560E6" w14:textId="77777777" w:rsidR="00722823" w:rsidRDefault="00722823" w:rsidP="00722823">
      <w:r>
        <w:t>We discuss our approach to estimating the distribution</w:t>
      </w:r>
      <w:r w:rsidR="00E323D7">
        <w:t xml:space="preserve"> rate further in section </w:t>
      </w:r>
      <w:r w:rsidR="00E323D7">
        <w:fldChar w:fldCharType="begin"/>
      </w:r>
      <w:r w:rsidR="00E323D7">
        <w:instrText xml:space="preserve"> REF _Ref401133206 \r \h </w:instrText>
      </w:r>
      <w:r w:rsidR="00E323D7">
        <w:fldChar w:fldCharType="separate"/>
      </w:r>
      <w:r w:rsidR="001E2164">
        <w:t>A.10</w:t>
      </w:r>
      <w:r w:rsidR="00E323D7">
        <w:fldChar w:fldCharType="end"/>
      </w:r>
      <w:r w:rsidR="00946639">
        <w:t xml:space="preserve"> of appendix A.</w:t>
      </w:r>
    </w:p>
    <w:p w14:paraId="0E33246F" w14:textId="77777777" w:rsidR="00CE7F4B" w:rsidRDefault="00CE7F4B" w:rsidP="00FE182A">
      <w:pPr>
        <w:pStyle w:val="HeadingBoldItalic"/>
      </w:pPr>
      <w:r>
        <w:t>Responses to key issues raised by stakeholders</w:t>
      </w:r>
    </w:p>
    <w:p w14:paraId="5B0977BC" w14:textId="77777777" w:rsidR="00CE7F4B" w:rsidRDefault="00CE7F4B" w:rsidP="00CE7F4B">
      <w:r w:rsidRPr="00CE7F4B">
        <w:t xml:space="preserve">The service providers submitted that </w:t>
      </w:r>
      <w:r w:rsidR="00E547E2">
        <w:t>we should not</w:t>
      </w:r>
      <w:r w:rsidRPr="00CE7F4B">
        <w:t xml:space="preserve"> apply a distribution rate based on evidence from </w:t>
      </w:r>
      <w:r w:rsidR="001C274C">
        <w:t>only listed equity</w:t>
      </w:r>
      <w:r w:rsidRPr="00CE7F4B">
        <w:t>.</w:t>
      </w:r>
      <w:r>
        <w:rPr>
          <w:rStyle w:val="FootnoteReference"/>
        </w:rPr>
        <w:footnoteReference w:id="88"/>
      </w:r>
      <w:r w:rsidRPr="00CE7F4B">
        <w:t xml:space="preserve"> We disagr</w:t>
      </w:r>
      <w:r>
        <w:t xml:space="preserve">ee and set out our reasons in section </w:t>
      </w:r>
      <w:r>
        <w:fldChar w:fldCharType="begin"/>
      </w:r>
      <w:r>
        <w:instrText xml:space="preserve"> REF _Ref414289334 \r \h </w:instrText>
      </w:r>
      <w:r>
        <w:fldChar w:fldCharType="separate"/>
      </w:r>
      <w:r w:rsidR="001E2164">
        <w:t>A.10.1</w:t>
      </w:r>
      <w:r>
        <w:fldChar w:fldCharType="end"/>
      </w:r>
      <w:r>
        <w:t xml:space="preserve"> of appendix A</w:t>
      </w:r>
      <w:r w:rsidRPr="00CE7F4B">
        <w:t>.</w:t>
      </w:r>
    </w:p>
    <w:p w14:paraId="15435718" w14:textId="77777777" w:rsidR="00FE182A" w:rsidRDefault="00FE182A" w:rsidP="001754EE">
      <w:pPr>
        <w:pStyle w:val="Heading3"/>
      </w:pPr>
      <w:bookmarkStart w:id="39" w:name="_Ref414289593"/>
      <w:r>
        <w:t>The utilisation rate</w:t>
      </w:r>
      <w:bookmarkEnd w:id="39"/>
    </w:p>
    <w:p w14:paraId="5370E77E" w14:textId="77777777" w:rsidR="008D1665" w:rsidRDefault="008D1665" w:rsidP="008D1665">
      <w:pPr>
        <w:numPr>
          <w:ilvl w:val="0"/>
          <w:numId w:val="25"/>
        </w:numPr>
      </w:pPr>
      <w:r>
        <w:t xml:space="preserve">We </w:t>
      </w:r>
      <w:r w:rsidR="00E547E2">
        <w:t>understand</w:t>
      </w:r>
      <w:r>
        <w:t xml:space="preserve"> the utilisation rate </w:t>
      </w:r>
      <w:r w:rsidR="00E547E2">
        <w:t>to be</w:t>
      </w:r>
      <w:r>
        <w:t xml:space="preserve"> the utilisation value to investors in the market per dollar of imputation credits distributed. In the Monkhouse framework, the utilisation rate is equal to the weighted average, by wealth and risk aversion, of the utilisation rates of individual investors. </w:t>
      </w:r>
      <w:r w:rsidRPr="00EB5361">
        <w:t xml:space="preserve">For an ‘eligible’ investor, each dollar of imputation credit received can be fully </w:t>
      </w:r>
      <w:r>
        <w:t>returned to the investor</w:t>
      </w:r>
      <w:r w:rsidRPr="00EB5361">
        <w:t xml:space="preserve"> </w:t>
      </w:r>
      <w:r>
        <w:t xml:space="preserve">in </w:t>
      </w:r>
      <w:r w:rsidRPr="00EB5361">
        <w:t>the form of a reducti</w:t>
      </w:r>
      <w:r>
        <w:t>on in tax payable or a refund.</w:t>
      </w:r>
      <w:r>
        <w:rPr>
          <w:rStyle w:val="FootnoteReference"/>
        </w:rPr>
        <w:footnoteReference w:id="89"/>
      </w:r>
      <w:r>
        <w:t xml:space="preserve"> </w:t>
      </w:r>
      <w:r w:rsidRPr="00EB5361">
        <w:t xml:space="preserve">Therefore, we consider that eligible investors have </w:t>
      </w:r>
      <w:proofErr w:type="gramStart"/>
      <w:r w:rsidRPr="00EB5361">
        <w:t>a</w:t>
      </w:r>
      <w:proofErr w:type="gramEnd"/>
      <w:r w:rsidRPr="00EB5361">
        <w:t xml:space="preserve"> utilisation rate of 1. Conversely, ‘ineligible’ investors cannot </w:t>
      </w:r>
      <w:r>
        <w:t>utilise</w:t>
      </w:r>
      <w:r w:rsidRPr="00EB5361">
        <w:t xml:space="preserve"> imputation credits and have </w:t>
      </w:r>
      <w:proofErr w:type="gramStart"/>
      <w:r w:rsidRPr="00EB5361">
        <w:t>a</w:t>
      </w:r>
      <w:proofErr w:type="gramEnd"/>
      <w:r w:rsidRPr="00EB5361">
        <w:t xml:space="preserve"> utilisation rate of 0.</w:t>
      </w:r>
      <w:r>
        <w:t xml:space="preserve"> It follows that the utilisation rate reflects the extent to which investors can utilise the imputation credits they receive to reduce their tax or </w:t>
      </w:r>
      <w:r w:rsidR="00F470A2">
        <w:t>obtain</w:t>
      </w:r>
      <w:r>
        <w:t xml:space="preserve"> a refund. We discuss our interpretation and definition of the utilisation rate further in sections </w:t>
      </w:r>
      <w:r w:rsidR="001311D0">
        <w:fldChar w:fldCharType="begin"/>
      </w:r>
      <w:r w:rsidR="001311D0">
        <w:instrText xml:space="preserve"> REF _Ref400965182 \r \h </w:instrText>
      </w:r>
      <w:r w:rsidR="001311D0">
        <w:fldChar w:fldCharType="separate"/>
      </w:r>
      <w:r w:rsidR="001E2164">
        <w:t>A.6</w:t>
      </w:r>
      <w:r w:rsidR="001311D0">
        <w:fldChar w:fldCharType="end"/>
      </w:r>
      <w:r w:rsidR="001311D0">
        <w:t xml:space="preserve"> </w:t>
      </w:r>
      <w:r>
        <w:t xml:space="preserve">and </w:t>
      </w:r>
      <w:r w:rsidR="00E57690">
        <w:fldChar w:fldCharType="begin"/>
      </w:r>
      <w:r w:rsidR="00E57690">
        <w:instrText xml:space="preserve"> REF _Ref414623120 \r \h </w:instrText>
      </w:r>
      <w:r w:rsidR="00E57690">
        <w:fldChar w:fldCharType="separate"/>
      </w:r>
      <w:r w:rsidR="001E2164">
        <w:t>A.8</w:t>
      </w:r>
      <w:r w:rsidR="00E57690">
        <w:fldChar w:fldCharType="end"/>
      </w:r>
      <w:r w:rsidR="00E57690">
        <w:t xml:space="preserve"> </w:t>
      </w:r>
      <w:r>
        <w:t xml:space="preserve">of appendix A. </w:t>
      </w:r>
    </w:p>
    <w:p w14:paraId="2D6DBA52" w14:textId="77777777" w:rsidR="008D1665" w:rsidRDefault="008D1665" w:rsidP="008D1665">
      <w:pPr>
        <w:numPr>
          <w:ilvl w:val="0"/>
          <w:numId w:val="25"/>
        </w:numPr>
      </w:pPr>
      <w:r>
        <w:t>Consistent with the Guideline, when estimating the utilisation rate we place:</w:t>
      </w:r>
    </w:p>
    <w:p w14:paraId="6591A4B1" w14:textId="77777777" w:rsidR="008D1665" w:rsidRPr="008D1665" w:rsidRDefault="008D1665" w:rsidP="008D1665">
      <w:pPr>
        <w:pStyle w:val="AERbulletlistfirststyle"/>
      </w:pPr>
      <w:r>
        <w:t xml:space="preserve">significant </w:t>
      </w:r>
      <w:r w:rsidRPr="008D1665">
        <w:t>reliance upon the equity ownership approach</w:t>
      </w:r>
    </w:p>
    <w:p w14:paraId="1F681064" w14:textId="77777777" w:rsidR="008D1665" w:rsidRPr="008D1665" w:rsidRDefault="008D1665" w:rsidP="008D1665">
      <w:pPr>
        <w:pStyle w:val="AERbulletlistfirststyle"/>
      </w:pPr>
      <w:r>
        <w:t xml:space="preserve">some </w:t>
      </w:r>
      <w:r w:rsidRPr="008D1665">
        <w:t>reliance upon tax statistics, and</w:t>
      </w:r>
    </w:p>
    <w:p w14:paraId="764989FE" w14:textId="77777777" w:rsidR="008D1665" w:rsidRPr="008D1665" w:rsidRDefault="008D1665" w:rsidP="008D1665">
      <w:pPr>
        <w:pStyle w:val="AERbulletlistfirststyle"/>
      </w:pPr>
      <w:proofErr w:type="gramStart"/>
      <w:r>
        <w:t>less</w:t>
      </w:r>
      <w:proofErr w:type="gramEnd"/>
      <w:r>
        <w:t xml:space="preserve"> </w:t>
      </w:r>
      <w:r w:rsidRPr="008D1665">
        <w:t>reliance upon implied market value studies.</w:t>
      </w:r>
    </w:p>
    <w:p w14:paraId="7E3FC1EA" w14:textId="24208B47" w:rsidR="008D1665" w:rsidRDefault="008D1665" w:rsidP="008D1665">
      <w:pPr>
        <w:numPr>
          <w:ilvl w:val="0"/>
          <w:numId w:val="25"/>
        </w:numPr>
      </w:pPr>
      <w:r>
        <w:lastRenderedPageBreak/>
        <w:t xml:space="preserve">The results from those classes of evidence on which we place reliance are summarised in </w:t>
      </w:r>
      <w:r>
        <w:fldChar w:fldCharType="begin"/>
      </w:r>
      <w:r>
        <w:instrText xml:space="preserve"> REF  _Ref400900366 \* Lower \h </w:instrText>
      </w:r>
      <w:r>
        <w:fldChar w:fldCharType="separate"/>
      </w:r>
      <w:r w:rsidR="001E2164">
        <w:t xml:space="preserve">table </w:t>
      </w:r>
      <w:r w:rsidR="001E2164">
        <w:rPr>
          <w:noProof/>
        </w:rPr>
        <w:t>4</w:t>
      </w:r>
      <w:r w:rsidR="001E2164">
        <w:noBreakHyphen/>
      </w:r>
      <w:r w:rsidR="001E2164">
        <w:rPr>
          <w:noProof/>
        </w:rPr>
        <w:t>1</w:t>
      </w:r>
      <w:r>
        <w:fldChar w:fldCharType="end"/>
      </w:r>
      <w:r>
        <w:t xml:space="preserve"> and </w:t>
      </w:r>
      <w:r>
        <w:fldChar w:fldCharType="begin"/>
      </w:r>
      <w:r>
        <w:instrText xml:space="preserve"> REF  _Ref404072148 \* Lower \h </w:instrText>
      </w:r>
      <w:r>
        <w:fldChar w:fldCharType="separate"/>
      </w:r>
      <w:r w:rsidR="001E2164">
        <w:t xml:space="preserve">table </w:t>
      </w:r>
      <w:r w:rsidR="001E2164">
        <w:rPr>
          <w:noProof/>
        </w:rPr>
        <w:t>4</w:t>
      </w:r>
      <w:r w:rsidR="001E2164">
        <w:noBreakHyphen/>
      </w:r>
      <w:r w:rsidR="001E2164">
        <w:rPr>
          <w:noProof/>
        </w:rPr>
        <w:t>2</w:t>
      </w:r>
      <w:r>
        <w:fldChar w:fldCharType="end"/>
      </w:r>
      <w:r>
        <w:t>.</w:t>
      </w:r>
    </w:p>
    <w:p w14:paraId="6EFF3CE5" w14:textId="77777777" w:rsidR="008D1665" w:rsidRDefault="008D1665" w:rsidP="008D1665">
      <w:pPr>
        <w:numPr>
          <w:ilvl w:val="0"/>
          <w:numId w:val="25"/>
        </w:numPr>
      </w:pPr>
      <w:r>
        <w:t>The relative importance that we assign to each approach is supported by Handley and Lally, while McKenzie and Partington's report for the Queensland Resources Council suggested that having regard to all of these approaches is reasonable.</w:t>
      </w:r>
      <w:r>
        <w:rPr>
          <w:rStyle w:val="FootnoteReference"/>
        </w:rPr>
        <w:footnoteReference w:id="90"/>
      </w:r>
      <w:r>
        <w:t xml:space="preserve"> We discuss each approach in the sections below.</w:t>
      </w:r>
      <w:r>
        <w:rPr>
          <w:rStyle w:val="FootnoteReference"/>
        </w:rPr>
        <w:footnoteReference w:id="91"/>
      </w:r>
      <w:r>
        <w:t xml:space="preserve"> We depart from the Guideline by not relying upon the 'conceptual goalposts approach'. We discuss this approach and our revised consideration of it in section </w:t>
      </w:r>
      <w:r w:rsidR="001311D0">
        <w:fldChar w:fldCharType="begin"/>
      </w:r>
      <w:r w:rsidR="001311D0">
        <w:instrText xml:space="preserve"> REF _Ref403481482 \r \h </w:instrText>
      </w:r>
      <w:r w:rsidR="001311D0">
        <w:fldChar w:fldCharType="separate"/>
      </w:r>
      <w:r w:rsidR="001E2164">
        <w:t>A.15</w:t>
      </w:r>
      <w:r w:rsidR="001311D0">
        <w:fldChar w:fldCharType="end"/>
      </w:r>
      <w:r w:rsidR="001311D0">
        <w:t xml:space="preserve"> </w:t>
      </w:r>
      <w:r>
        <w:t>of appendix A.</w:t>
      </w:r>
    </w:p>
    <w:p w14:paraId="50D00604" w14:textId="77777777" w:rsidR="008D1665" w:rsidRDefault="008D1665" w:rsidP="008D1665">
      <w:pPr>
        <w:pStyle w:val="HeadingBoldBlue"/>
      </w:pPr>
      <w:r>
        <w:t>The equity ownership approach</w:t>
      </w:r>
    </w:p>
    <w:p w14:paraId="5783A5C9" w14:textId="77777777" w:rsidR="008D1665" w:rsidRDefault="008D1665" w:rsidP="008D1665">
      <w:pPr>
        <w:numPr>
          <w:ilvl w:val="0"/>
          <w:numId w:val="25"/>
        </w:numPr>
      </w:pPr>
      <w:r>
        <w:t xml:space="preserve">We consider that </w:t>
      </w:r>
      <w:r w:rsidRPr="0029614B">
        <w:t>the value-weighted proportion of domestic investors in th</w:t>
      </w:r>
      <w:r>
        <w:t>e Australian equity market is a reasonable</w:t>
      </w:r>
      <w:r w:rsidRPr="0029614B">
        <w:t xml:space="preserve"> estimate of the utilisation rate</w:t>
      </w:r>
      <w:r>
        <w:t xml:space="preserve">. This is because, in general, domestic investors are eligible to utilise imputation credits and foreign investors are not. Moreover, as discussed above, we consider that </w:t>
      </w:r>
      <w:r w:rsidRPr="00EB5361">
        <w:t xml:space="preserve">eligible investors have </w:t>
      </w:r>
      <w:proofErr w:type="gramStart"/>
      <w:r w:rsidRPr="00EB5361">
        <w:t>a</w:t>
      </w:r>
      <w:proofErr w:type="gramEnd"/>
      <w:r w:rsidRPr="00EB5361">
        <w:t xml:space="preserve"> utilisation rate of 1</w:t>
      </w:r>
      <w:r>
        <w:t xml:space="preserve"> because </w:t>
      </w:r>
      <w:r w:rsidRPr="00EB5361">
        <w:t xml:space="preserve">each dollar of imputation credit received </w:t>
      </w:r>
      <w:r>
        <w:t xml:space="preserve">by these investors </w:t>
      </w:r>
      <w:r w:rsidRPr="00EB5361">
        <w:t xml:space="preserve">can be fully </w:t>
      </w:r>
      <w:r>
        <w:t>returned to them</w:t>
      </w:r>
      <w:r w:rsidRPr="00EB5361">
        <w:t xml:space="preserve"> </w:t>
      </w:r>
      <w:r>
        <w:t xml:space="preserve">in </w:t>
      </w:r>
      <w:r w:rsidRPr="00EB5361">
        <w:t>the form of a reducti</w:t>
      </w:r>
      <w:r>
        <w:t>on in tax payable or a refund.</w:t>
      </w:r>
      <w:r w:rsidRPr="003A2E5B">
        <w:t xml:space="preserve"> We refer to this approach as </w:t>
      </w:r>
      <w:r>
        <w:t>the 'equity ownership approach', and we use data from the National Accounts of the Australian Bureau of Statistics (ABS) to estimate the domestic ownership share.</w:t>
      </w:r>
      <w:r>
        <w:rPr>
          <w:rStyle w:val="FootnoteReference"/>
        </w:rPr>
        <w:footnoteReference w:id="92"/>
      </w:r>
    </w:p>
    <w:p w14:paraId="707C0428" w14:textId="77777777" w:rsidR="008D1665" w:rsidRDefault="008D1665" w:rsidP="008D1665">
      <w:pPr>
        <w:numPr>
          <w:ilvl w:val="0"/>
          <w:numId w:val="25"/>
        </w:numPr>
      </w:pPr>
      <w:r>
        <w:t>We place significant reliance upon the equity ownership approach when considering estimates of the utilisation rate. This is because:</w:t>
      </w:r>
    </w:p>
    <w:p w14:paraId="60B86133" w14:textId="77777777" w:rsidR="008D1665" w:rsidRPr="008D1665" w:rsidRDefault="008D1665" w:rsidP="008D1665">
      <w:pPr>
        <w:pStyle w:val="AERbulletlistfirststyle"/>
      </w:pPr>
      <w:r>
        <w:t>it is well aligned with the definition of the utilisation rate in the Monkhouse framework</w:t>
      </w:r>
    </w:p>
    <w:p w14:paraId="1C75C64F" w14:textId="77777777" w:rsidR="008D1665" w:rsidRPr="008D1665" w:rsidRDefault="008D1665" w:rsidP="008D1665">
      <w:pPr>
        <w:pStyle w:val="AERbulletlistfirststyle"/>
      </w:pPr>
      <w:r>
        <w:t>it employs a relatively simple and intuitive methodology</w:t>
      </w:r>
    </w:p>
    <w:p w14:paraId="6D4583F0" w14:textId="77777777" w:rsidR="008D1665" w:rsidRPr="008D1665" w:rsidRDefault="008D1665" w:rsidP="008D1665">
      <w:pPr>
        <w:pStyle w:val="AERbulletlistfirststyle"/>
      </w:pPr>
      <w:r>
        <w:t>it uses a reliable and transparent source of data</w:t>
      </w:r>
      <w:r w:rsidRPr="008D1665">
        <w:t>, and</w:t>
      </w:r>
    </w:p>
    <w:p w14:paraId="1EE373B8" w14:textId="77777777" w:rsidR="008D1665" w:rsidRPr="008D1665" w:rsidRDefault="008D1665" w:rsidP="008D1665">
      <w:pPr>
        <w:pStyle w:val="AERbulletlistfirststyle"/>
      </w:pPr>
      <w:proofErr w:type="gramStart"/>
      <w:r>
        <w:t>it</w:t>
      </w:r>
      <w:proofErr w:type="gramEnd"/>
      <w:r>
        <w:t xml:space="preserve"> provides </w:t>
      </w:r>
      <w:r w:rsidRPr="008D1665">
        <w:t xml:space="preserve">estimates of the utilisation rate for investors in both all equity and </w:t>
      </w:r>
      <w:r w:rsidR="001C274C">
        <w:t>only listed equity</w:t>
      </w:r>
      <w:r w:rsidRPr="008D1665">
        <w:t>.</w:t>
      </w:r>
    </w:p>
    <w:p w14:paraId="16DB121E" w14:textId="77777777" w:rsidR="008D1665" w:rsidRDefault="008D1665" w:rsidP="008D1665">
      <w:pPr>
        <w:numPr>
          <w:ilvl w:val="0"/>
          <w:numId w:val="25"/>
        </w:numPr>
      </w:pPr>
      <w:r>
        <w:t xml:space="preserve">We </w:t>
      </w:r>
      <w:r w:rsidR="00E547E2">
        <w:t>are aware of</w:t>
      </w:r>
      <w:r>
        <w:t xml:space="preserve"> the limitations </w:t>
      </w:r>
      <w:r w:rsidR="00E547E2">
        <w:t>with this approach. B</w:t>
      </w:r>
      <w:r>
        <w:t>ut</w:t>
      </w:r>
      <w:r w:rsidR="00E547E2">
        <w:t>,</w:t>
      </w:r>
      <w:r>
        <w:t xml:space="preserve"> we do not consider them significant. We discuss these limitations in section </w:t>
      </w:r>
      <w:r w:rsidR="005D5322">
        <w:fldChar w:fldCharType="begin"/>
      </w:r>
      <w:r w:rsidR="005D5322">
        <w:instrText xml:space="preserve"> REF _Ref415049811 \r \h </w:instrText>
      </w:r>
      <w:r w:rsidR="005D5322">
        <w:fldChar w:fldCharType="separate"/>
      </w:r>
      <w:r w:rsidR="001E2164">
        <w:t>A.12</w:t>
      </w:r>
      <w:r w:rsidR="005D5322">
        <w:fldChar w:fldCharType="end"/>
      </w:r>
      <w:r w:rsidR="005D5322">
        <w:t xml:space="preserve"> </w:t>
      </w:r>
      <w:r>
        <w:t>of appendix A.</w:t>
      </w:r>
    </w:p>
    <w:p w14:paraId="6D52CC2E" w14:textId="77777777" w:rsidR="008D1665" w:rsidRDefault="008D1665" w:rsidP="008D1665">
      <w:pPr>
        <w:numPr>
          <w:ilvl w:val="0"/>
          <w:numId w:val="25"/>
        </w:numPr>
      </w:pPr>
      <w:r>
        <w:t>We consider that a reasonable estimate for the utilisation rate from the equity ownership approach is between:</w:t>
      </w:r>
    </w:p>
    <w:p w14:paraId="1C700543" w14:textId="77777777" w:rsidR="001D4E2C" w:rsidRPr="001D4E2C" w:rsidRDefault="00647254" w:rsidP="001D4E2C">
      <w:pPr>
        <w:pStyle w:val="AERbulletlistfirststyle"/>
      </w:pPr>
      <w:r>
        <w:t>0.5</w:t>
      </w:r>
      <w:r w:rsidR="00C66D02">
        <w:t>6</w:t>
      </w:r>
      <w:r w:rsidR="001D4E2C" w:rsidRPr="001D4E2C">
        <w:t xml:space="preserve"> and </w:t>
      </w:r>
      <w:r>
        <w:t>0.6</w:t>
      </w:r>
      <w:r w:rsidR="00C66D02">
        <w:t>8</w:t>
      </w:r>
      <w:r w:rsidR="001D4E2C" w:rsidRPr="001D4E2C">
        <w:t>, if all equity is considered, and</w:t>
      </w:r>
    </w:p>
    <w:p w14:paraId="10869B42" w14:textId="77777777" w:rsidR="001D4E2C" w:rsidRPr="001D4E2C" w:rsidRDefault="001D4E2C" w:rsidP="001D4E2C">
      <w:pPr>
        <w:pStyle w:val="AERbulletlistfirststyle"/>
      </w:pPr>
      <w:r w:rsidRPr="001D4E2C">
        <w:t xml:space="preserve">0.38 </w:t>
      </w:r>
      <w:proofErr w:type="gramStart"/>
      <w:r w:rsidRPr="001D4E2C">
        <w:t>and</w:t>
      </w:r>
      <w:proofErr w:type="gramEnd"/>
      <w:r w:rsidRPr="001D4E2C">
        <w:t xml:space="preserve"> </w:t>
      </w:r>
      <w:r w:rsidR="00647254">
        <w:t>0.5</w:t>
      </w:r>
      <w:r w:rsidR="00C66D02">
        <w:t>5</w:t>
      </w:r>
      <w:r w:rsidRPr="001D4E2C">
        <w:t>, if only listed equity is considered.</w:t>
      </w:r>
    </w:p>
    <w:p w14:paraId="16FEE422" w14:textId="77777777" w:rsidR="008D1665" w:rsidRDefault="0027049E" w:rsidP="008D1665">
      <w:pPr>
        <w:numPr>
          <w:ilvl w:val="0"/>
          <w:numId w:val="25"/>
        </w:numPr>
      </w:pPr>
      <w:r>
        <w:lastRenderedPageBreak/>
        <w:t>This differs from the Guideline. I</w:t>
      </w:r>
      <w:r w:rsidR="008D1665">
        <w:t>n</w:t>
      </w:r>
      <w:r>
        <w:t xml:space="preserve"> the Guideline,</w:t>
      </w:r>
      <w:r w:rsidR="008D1665">
        <w:t xml:space="preserve"> we considered that the equity ownership approach supported </w:t>
      </w:r>
      <w:proofErr w:type="gramStart"/>
      <w:r w:rsidR="008D1665">
        <w:t>a</w:t>
      </w:r>
      <w:proofErr w:type="gramEnd"/>
      <w:r w:rsidR="008D1665">
        <w:t xml:space="preserve"> utilisation rate between 0.7 and 0.8. Since the Guideline's publication, we have examined more closely the relevant data from the National Accounts. This has allowed us to update and refine our estimates. We describe our application of the equity ownership approach and our re-examination of this source of evidence since the Guideline in detail in section </w:t>
      </w:r>
      <w:r w:rsidR="00F30705">
        <w:fldChar w:fldCharType="begin"/>
      </w:r>
      <w:r w:rsidR="00F30705">
        <w:instrText xml:space="preserve"> REF _Ref415049811 \r \h </w:instrText>
      </w:r>
      <w:r w:rsidR="00F30705">
        <w:fldChar w:fldCharType="separate"/>
      </w:r>
      <w:r w:rsidR="001E2164">
        <w:t>A.12</w:t>
      </w:r>
      <w:r w:rsidR="00F30705">
        <w:fldChar w:fldCharType="end"/>
      </w:r>
      <w:r w:rsidR="00F30705">
        <w:t xml:space="preserve"> </w:t>
      </w:r>
      <w:r w:rsidR="008D1665">
        <w:t>of appendix A.</w:t>
      </w:r>
    </w:p>
    <w:p w14:paraId="4B82A5D2" w14:textId="77777777" w:rsidR="008D1665" w:rsidRPr="004E1702" w:rsidRDefault="008D1665" w:rsidP="00CF4D6D">
      <w:pPr>
        <w:pStyle w:val="HeadingBoldItalic"/>
      </w:pPr>
      <w:r w:rsidRPr="004E1702">
        <w:t>Responses to key issues raised by stakeholders</w:t>
      </w:r>
    </w:p>
    <w:p w14:paraId="6E204F57" w14:textId="57DBB166" w:rsidR="008D1665" w:rsidRDefault="000F5162" w:rsidP="008D1665">
      <w:pPr>
        <w:numPr>
          <w:ilvl w:val="0"/>
          <w:numId w:val="25"/>
        </w:numPr>
      </w:pPr>
      <w:r>
        <w:t xml:space="preserve">The majority of </w:t>
      </w:r>
      <w:r w:rsidR="008D1665">
        <w:t xml:space="preserve">service providers </w:t>
      </w:r>
      <w:r w:rsidR="00EF4770">
        <w:t>have submitted</w:t>
      </w:r>
      <w:r w:rsidR="008D1665">
        <w:t xml:space="preserve"> that the equity ownership </w:t>
      </w:r>
      <w:proofErr w:type="gramStart"/>
      <w:r w:rsidR="008D1665">
        <w:t>approach, and other measures of the utilisation or redemption of imputation credits, do</w:t>
      </w:r>
      <w:proofErr w:type="gramEnd"/>
      <w:r w:rsidR="008D1665">
        <w:t xml:space="preserve"> not reflect a number of factors which affect investors' valuation of imputation credits.</w:t>
      </w:r>
      <w:r w:rsidR="008D1665">
        <w:rPr>
          <w:rStyle w:val="FootnoteReference"/>
        </w:rPr>
        <w:footnoteReference w:id="93"/>
      </w:r>
      <w:r w:rsidR="008D1665">
        <w:t xml:space="preserve"> We have received advice from Handley on these factors, and our responses are set out in detail in section </w:t>
      </w:r>
      <w:r w:rsidR="00E478F1">
        <w:fldChar w:fldCharType="begin"/>
      </w:r>
      <w:r w:rsidR="00E478F1">
        <w:instrText xml:space="preserve"> REF _Ref414099389 \r \h </w:instrText>
      </w:r>
      <w:r w:rsidR="00E478F1">
        <w:fldChar w:fldCharType="separate"/>
      </w:r>
      <w:r w:rsidR="001E2164">
        <w:t>A.8.2</w:t>
      </w:r>
      <w:r w:rsidR="00E478F1">
        <w:fldChar w:fldCharType="end"/>
      </w:r>
      <w:r w:rsidR="00E478F1">
        <w:t xml:space="preserve"> </w:t>
      </w:r>
      <w:r w:rsidR="008D1665">
        <w:t>of appendix A. In summary, we consider that such factors are either immaterial or should not be accounted for when estimating the properly defined utilisation rate.</w:t>
      </w:r>
      <w:r w:rsidR="00261628">
        <w:t xml:space="preserve"> </w:t>
      </w:r>
    </w:p>
    <w:p w14:paraId="6890A594" w14:textId="77777777" w:rsidR="008D1665" w:rsidRDefault="008D1665" w:rsidP="00CF4D6D">
      <w:pPr>
        <w:pStyle w:val="HeadingBoldBlue"/>
      </w:pPr>
      <w:r>
        <w:t>Tax statistics</w:t>
      </w:r>
    </w:p>
    <w:p w14:paraId="102D0B0A" w14:textId="77777777" w:rsidR="008D1665" w:rsidRDefault="008D1665" w:rsidP="008D1665">
      <w:pPr>
        <w:numPr>
          <w:ilvl w:val="0"/>
          <w:numId w:val="25"/>
        </w:numPr>
      </w:pPr>
      <w:r w:rsidRPr="00863CA4">
        <w:t xml:space="preserve">The ATO publishes aggregate statistics on the tax returns submitted by individuals, superannuation funds and companies, as well as on the imputation credits refunded to </w:t>
      </w:r>
      <w:r>
        <w:t>certain income tax exempt entities (for example,</w:t>
      </w:r>
      <w:r w:rsidRPr="00863CA4">
        <w:t xml:space="preserve"> charities).</w:t>
      </w:r>
      <w:r>
        <w:rPr>
          <w:rStyle w:val="FootnoteReference"/>
        </w:rPr>
        <w:footnoteReference w:id="94"/>
      </w:r>
      <w:r w:rsidRPr="00863CA4">
        <w:t xml:space="preserve"> </w:t>
      </w:r>
      <w:r w:rsidR="00FD7FDB">
        <w:t>In theory, t</w:t>
      </w:r>
      <w:r w:rsidRPr="00863CA4">
        <w:t xml:space="preserve">hese statistics can be used to derive a measure of the total </w:t>
      </w:r>
      <w:r>
        <w:t>amount</w:t>
      </w:r>
      <w:r w:rsidRPr="00863CA4">
        <w:t xml:space="preserve"> of imputation credits </w:t>
      </w:r>
      <w:r>
        <w:t>utilised</w:t>
      </w:r>
      <w:r w:rsidRPr="00863CA4">
        <w:t xml:space="preserve"> by eligible investors to offset tax or to be refunded.</w:t>
      </w:r>
      <w:r>
        <w:t xml:space="preserve"> As discussed in relation to the distribution rate, ATO statistics also provide estimates of the amount of imputation credits distributed. We consider that the reported </w:t>
      </w:r>
      <w:r w:rsidR="00E7661A">
        <w:t>value</w:t>
      </w:r>
      <w:r>
        <w:t xml:space="preserve"> of credits utilised divided by the reported </w:t>
      </w:r>
      <w:r w:rsidR="00E7661A">
        <w:t>value</w:t>
      </w:r>
      <w:r>
        <w:t xml:space="preserve"> of credits distributed is a reasonable estimate of the utilisation rate</w:t>
      </w:r>
      <w:r w:rsidR="00E61699">
        <w:t xml:space="preserve">. </w:t>
      </w:r>
    </w:p>
    <w:p w14:paraId="2B0D442B" w14:textId="5C2EAD4D" w:rsidR="008D1665" w:rsidRDefault="008D1665" w:rsidP="008D1665">
      <w:pPr>
        <w:numPr>
          <w:ilvl w:val="0"/>
          <w:numId w:val="25"/>
        </w:numPr>
      </w:pPr>
      <w:r>
        <w:t>We have had regard to tax statistics when considering estimates of the utilisation rate. We place a degree of reliance upon tax statistics that is less than that placed upon the equity ownership approach, but which is more than that placed on implied market value studies. Our position on tax statistics is consistent with the advice from Handley and Lally. Handley considered tax statistics to be the second most important approach to estimating the utilisation rate after the equity ownership approach.</w:t>
      </w:r>
      <w:r>
        <w:rPr>
          <w:rStyle w:val="FootnoteReference"/>
        </w:rPr>
        <w:footnoteReference w:id="95"/>
      </w:r>
      <w:r>
        <w:t xml:space="preserve"> Lally considered that the tax statistics </w:t>
      </w:r>
      <w:r>
        <w:lastRenderedPageBreak/>
        <w:t>approach lacks precision, and he did not prefer it to the equity ownership approach.</w:t>
      </w:r>
      <w:r>
        <w:rPr>
          <w:rStyle w:val="FootnoteReference"/>
        </w:rPr>
        <w:footnoteReference w:id="96"/>
      </w:r>
      <w:r>
        <w:t xml:space="preserve">  However, Lally still preferred tax statistics to implied market value studies.</w:t>
      </w:r>
      <w:r w:rsidR="002C640C">
        <w:rPr>
          <w:rStyle w:val="FootnoteReference"/>
        </w:rPr>
        <w:footnoteReference w:id="97"/>
      </w:r>
    </w:p>
    <w:p w14:paraId="36FCEEAD" w14:textId="77777777" w:rsidR="008D1665" w:rsidRDefault="008D1665" w:rsidP="008D1665">
      <w:pPr>
        <w:numPr>
          <w:ilvl w:val="0"/>
          <w:numId w:val="25"/>
        </w:numPr>
      </w:pPr>
      <w:r>
        <w:t>We have placed less reliance upon tax statistics compared with the equity ownership approach because we consider that tax statistics have a number of limitations:</w:t>
      </w:r>
    </w:p>
    <w:p w14:paraId="205D4083" w14:textId="77777777" w:rsidR="0044032A" w:rsidRPr="008D1665" w:rsidRDefault="0044032A" w:rsidP="0044032A">
      <w:pPr>
        <w:pStyle w:val="AERbulletlistfirststyle"/>
      </w:pPr>
      <w:r w:rsidRPr="0081765E">
        <w:t xml:space="preserve">There are residual concerns regarding the </w:t>
      </w:r>
      <w:r w:rsidRPr="008D1665">
        <w:t>data. While Hathaway considered that the amounts of tax paid and credits utilised can be concluded ‘with some confidence’ and that they are ‘unlikely to be in major error’, Hathaway also identified a significant discrepancy associated with the tracking of imputation credits in the data that led him to 'urge all caution in using ATO statistics for any estimates of parameters concerned with [imputation] credits'.</w:t>
      </w:r>
      <w:r w:rsidRPr="008D1665">
        <w:rPr>
          <w:rStyle w:val="FootnoteReference"/>
        </w:rPr>
        <w:footnoteReference w:id="98"/>
      </w:r>
    </w:p>
    <w:p w14:paraId="34809704" w14:textId="77777777" w:rsidR="008D1665" w:rsidRPr="008D1665" w:rsidRDefault="008D1665" w:rsidP="008D1665">
      <w:pPr>
        <w:pStyle w:val="AERbulletlistfirststyle"/>
      </w:pPr>
      <w:r>
        <w:t>They do not reflect</w:t>
      </w:r>
      <w:r w:rsidRPr="008D1665">
        <w:t xml:space="preserve"> the amount of credits refunded to individuals that do not have to fill out a tax return.</w:t>
      </w:r>
    </w:p>
    <w:p w14:paraId="442E3B7C" w14:textId="77777777" w:rsidR="008D1665" w:rsidRPr="008D1665" w:rsidRDefault="008D1665" w:rsidP="008D1665">
      <w:pPr>
        <w:pStyle w:val="AERbulletlistfirststyle"/>
      </w:pPr>
      <w:r>
        <w:t xml:space="preserve">They might not reflect the </w:t>
      </w:r>
      <w:r w:rsidRPr="008D1665">
        <w:t>amount of credits refunded to certain types of entities.</w:t>
      </w:r>
      <w:r w:rsidRPr="008D1665">
        <w:rPr>
          <w:rStyle w:val="FootnoteReference"/>
        </w:rPr>
        <w:footnoteReference w:id="99"/>
      </w:r>
      <w:r w:rsidRPr="008D1665">
        <w:t xml:space="preserve"> </w:t>
      </w:r>
    </w:p>
    <w:p w14:paraId="3CACE561" w14:textId="77777777" w:rsidR="001F6A3E" w:rsidRDefault="008D1665" w:rsidP="001F6A3E">
      <w:pPr>
        <w:pStyle w:val="AERbulletlistfirststyle"/>
      </w:pPr>
      <w:r>
        <w:t xml:space="preserve">They do not provide </w:t>
      </w:r>
      <w:r w:rsidRPr="008D1665">
        <w:t xml:space="preserve">estimates of the utilisation rate for investors in </w:t>
      </w:r>
      <w:r w:rsidR="001C274C">
        <w:t>only listed equity</w:t>
      </w:r>
      <w:r w:rsidRPr="008D1665">
        <w:t>. Handley suggested that evidence from listed equity is more relevant to the benchmark efficient entity.</w:t>
      </w:r>
      <w:r w:rsidRPr="008D1665">
        <w:rPr>
          <w:rStyle w:val="FootnoteReference"/>
        </w:rPr>
        <w:footnoteReference w:id="100"/>
      </w:r>
      <w:r w:rsidR="00846525">
        <w:t xml:space="preserve"> </w:t>
      </w:r>
    </w:p>
    <w:p w14:paraId="4FE89234" w14:textId="597111DB" w:rsidR="008D1665" w:rsidRDefault="008D1665" w:rsidP="008D1665">
      <w:pPr>
        <w:numPr>
          <w:ilvl w:val="0"/>
          <w:numId w:val="25"/>
        </w:numPr>
      </w:pPr>
      <w:r>
        <w:t xml:space="preserve">With regard to Hathaway's analysis, </w:t>
      </w:r>
      <w:r w:rsidR="00310914">
        <w:t>in the draft decision</w:t>
      </w:r>
      <w:r w:rsidR="00AF3603">
        <w:t>s released in 2014</w:t>
      </w:r>
      <w:r w:rsidR="00310914">
        <w:t xml:space="preserve"> </w:t>
      </w:r>
      <w:r>
        <w:t>we consider</w:t>
      </w:r>
      <w:r w:rsidR="00310914">
        <w:t>ed</w:t>
      </w:r>
      <w:r>
        <w:t xml:space="preserve"> that tax statistics support</w:t>
      </w:r>
      <w:r w:rsidR="00310914">
        <w:t>ed</w:t>
      </w:r>
      <w:r>
        <w:t xml:space="preserve"> an estimate of the utilisation rate between 0.4 and 0.6.</w:t>
      </w:r>
      <w:r>
        <w:rPr>
          <w:rStyle w:val="FootnoteReference"/>
        </w:rPr>
        <w:footnoteReference w:id="101"/>
      </w:r>
      <w:r>
        <w:t xml:space="preserve"> However, </w:t>
      </w:r>
      <w:r w:rsidR="00310914">
        <w:t>we also recognised in the draft decision</w:t>
      </w:r>
      <w:r w:rsidR="00AF3603">
        <w:t>s</w:t>
      </w:r>
      <w:r w:rsidR="00310914">
        <w:t xml:space="preserve"> that </w:t>
      </w:r>
      <w:r>
        <w:t>our estimate of the distribution rate</w:t>
      </w:r>
      <w:r w:rsidR="00310914">
        <w:t xml:space="preserve"> (0.7)</w:t>
      </w:r>
      <w:r>
        <w:t xml:space="preserve"> implie</w:t>
      </w:r>
      <w:r w:rsidR="00310914">
        <w:t>d</w:t>
      </w:r>
      <w:r>
        <w:t xml:space="preserve"> that we should adopt </w:t>
      </w:r>
      <w:proofErr w:type="gramStart"/>
      <w:r>
        <w:t>a</w:t>
      </w:r>
      <w:proofErr w:type="gramEnd"/>
      <w:r>
        <w:t xml:space="preserve"> utilisation rate of around 0.43 from within this range for consistency. This differs from the Guideline, in which we considered that tax statistics supported an estimate of the utilisation rate between 0.4 and 0.8. </w:t>
      </w:r>
    </w:p>
    <w:p w14:paraId="283DB82C" w14:textId="77777777" w:rsidR="008D1665" w:rsidRDefault="008D1665" w:rsidP="008D1665">
      <w:pPr>
        <w:numPr>
          <w:ilvl w:val="0"/>
          <w:numId w:val="25"/>
        </w:numPr>
      </w:pPr>
      <w:r>
        <w:t>Since the Guideline, we have continued to examine this evidence. We now consider that greater reliance should be placed upon estimates that are:</w:t>
      </w:r>
    </w:p>
    <w:p w14:paraId="62CF3D4F" w14:textId="77777777" w:rsidR="008D1665" w:rsidRPr="008D1665" w:rsidRDefault="008D1665" w:rsidP="008D1665">
      <w:pPr>
        <w:pStyle w:val="AERbulletlistfirststyle"/>
      </w:pPr>
      <w:r>
        <w:t>d</w:t>
      </w:r>
      <w:r w:rsidRPr="008D1665">
        <w:t>erived from post-2004 data, consistent with Hathaway's findings that the ATO statistics are subject to a number of issues prior to 2004,</w:t>
      </w:r>
      <w:r w:rsidRPr="008D1665">
        <w:rPr>
          <w:rStyle w:val="FootnoteReference"/>
        </w:rPr>
        <w:footnoteReference w:id="102"/>
      </w:r>
      <w:r w:rsidRPr="008D1665">
        <w:t xml:space="preserve"> and</w:t>
      </w:r>
    </w:p>
    <w:p w14:paraId="436FEAEC" w14:textId="77777777" w:rsidR="008D1665" w:rsidRPr="008D1665" w:rsidRDefault="008D1665" w:rsidP="008D1665">
      <w:pPr>
        <w:pStyle w:val="AERbulletlistfirststyle"/>
      </w:pPr>
      <w:proofErr w:type="gramStart"/>
      <w:r>
        <w:t>c</w:t>
      </w:r>
      <w:r w:rsidRPr="008D1665">
        <w:t>onsistent</w:t>
      </w:r>
      <w:proofErr w:type="gramEnd"/>
      <w:r w:rsidRPr="008D1665">
        <w:t xml:space="preserve"> with our estimates of the distribution rate.</w:t>
      </w:r>
    </w:p>
    <w:p w14:paraId="379436CD" w14:textId="77777777" w:rsidR="00384981" w:rsidRDefault="00384981" w:rsidP="008D1665">
      <w:pPr>
        <w:numPr>
          <w:ilvl w:val="0"/>
          <w:numId w:val="25"/>
        </w:numPr>
      </w:pPr>
      <w:r>
        <w:lastRenderedPageBreak/>
        <w:t xml:space="preserve">In this final decision we </w:t>
      </w:r>
      <w:r w:rsidR="00340B37">
        <w:t>have regard to</w:t>
      </w:r>
      <w:r>
        <w:t xml:space="preserve"> NERA's updated analysis of the ATO data to the 2012 tax year.</w:t>
      </w:r>
      <w:r>
        <w:rPr>
          <w:rStyle w:val="FootnoteReference"/>
        </w:rPr>
        <w:footnoteReference w:id="103"/>
      </w:r>
      <w:r>
        <w:t xml:space="preserve"> This analysis supports a distribution rate of 0.7 and </w:t>
      </w:r>
      <w:proofErr w:type="gramStart"/>
      <w:r>
        <w:t>a</w:t>
      </w:r>
      <w:proofErr w:type="gramEnd"/>
      <w:r>
        <w:t xml:space="preserve"> utilisation rate of 0.45.</w:t>
      </w:r>
    </w:p>
    <w:p w14:paraId="4C0732DC" w14:textId="77777777" w:rsidR="008D1665" w:rsidRDefault="008D1665" w:rsidP="008D1665">
      <w:pPr>
        <w:numPr>
          <w:ilvl w:val="0"/>
          <w:numId w:val="25"/>
        </w:numPr>
      </w:pPr>
      <w:r>
        <w:t xml:space="preserve">We discuss our revised consideration of tax statistics in more detail in section </w:t>
      </w:r>
      <w:r w:rsidR="003E4F74">
        <w:fldChar w:fldCharType="begin"/>
      </w:r>
      <w:r w:rsidR="003E4F74">
        <w:instrText xml:space="preserve"> REF _Ref402179420 \r \h </w:instrText>
      </w:r>
      <w:r w:rsidR="003E4F74">
        <w:fldChar w:fldCharType="separate"/>
      </w:r>
      <w:r w:rsidR="001E2164">
        <w:t>A.13</w:t>
      </w:r>
      <w:r w:rsidR="003E4F74">
        <w:fldChar w:fldCharType="end"/>
      </w:r>
      <w:r w:rsidR="003E4F74">
        <w:t xml:space="preserve"> </w:t>
      </w:r>
      <w:r>
        <w:t>of appendix A.</w:t>
      </w:r>
    </w:p>
    <w:p w14:paraId="4B36FA56" w14:textId="77777777" w:rsidR="008D1665" w:rsidRPr="004C6F08" w:rsidRDefault="008D1665" w:rsidP="008D1665">
      <w:pPr>
        <w:pStyle w:val="HeadingBoldItalic"/>
        <w:numPr>
          <w:ilvl w:val="0"/>
          <w:numId w:val="25"/>
        </w:numPr>
      </w:pPr>
      <w:r w:rsidRPr="004C6F08">
        <w:t>Responses to key issues raised by stakeholders</w:t>
      </w:r>
    </w:p>
    <w:p w14:paraId="172E9BF9" w14:textId="2FF46AFE" w:rsidR="008D1665" w:rsidRDefault="008D1665" w:rsidP="008D1665">
      <w:pPr>
        <w:numPr>
          <w:ilvl w:val="0"/>
          <w:numId w:val="25"/>
        </w:numPr>
      </w:pPr>
      <w:r>
        <w:t xml:space="preserve">The </w:t>
      </w:r>
      <w:r w:rsidR="00CF5D53">
        <w:t xml:space="preserve">majority of </w:t>
      </w:r>
      <w:r>
        <w:t>service providers submitted that tax statistics, and other measures of the utilisation or redemption of imputation credits, do not reflect a number of factors which affect investors' valuation of imputation credits.</w:t>
      </w:r>
      <w:r>
        <w:rPr>
          <w:rStyle w:val="FootnoteReference"/>
        </w:rPr>
        <w:footnoteReference w:id="104"/>
      </w:r>
      <w:r>
        <w:t xml:space="preserve"> We have received advice from Handley on these factors, and our responses are set out in detail in </w:t>
      </w:r>
      <w:r w:rsidRPr="00132F9A">
        <w:t xml:space="preserve">section </w:t>
      </w:r>
      <w:r w:rsidR="00311850">
        <w:fldChar w:fldCharType="begin"/>
      </w:r>
      <w:r w:rsidR="00311850">
        <w:instrText xml:space="preserve"> REF _Ref414099389 \r \h </w:instrText>
      </w:r>
      <w:r w:rsidR="00311850">
        <w:fldChar w:fldCharType="separate"/>
      </w:r>
      <w:r w:rsidR="001E2164">
        <w:t>A.8.2</w:t>
      </w:r>
      <w:r w:rsidR="00311850">
        <w:fldChar w:fldCharType="end"/>
      </w:r>
      <w:r w:rsidR="00311850">
        <w:t xml:space="preserve"> </w:t>
      </w:r>
      <w:r w:rsidRPr="00132F9A">
        <w:t xml:space="preserve">of </w:t>
      </w:r>
      <w:r>
        <w:t>appendix A. In summary, we consider that such factors are either immaterial or should not be accounted for when estimating the properly defined utilisation rate.</w:t>
      </w:r>
    </w:p>
    <w:p w14:paraId="7222540E" w14:textId="77777777" w:rsidR="008D1665" w:rsidRDefault="008D1665" w:rsidP="008D1665">
      <w:pPr>
        <w:pStyle w:val="HeadingBoldBlue"/>
        <w:numPr>
          <w:ilvl w:val="0"/>
          <w:numId w:val="25"/>
        </w:numPr>
      </w:pPr>
      <w:r>
        <w:t>Implied market value studies</w:t>
      </w:r>
    </w:p>
    <w:p w14:paraId="29FF8A8F" w14:textId="77777777" w:rsidR="008D1665" w:rsidRDefault="008D1665" w:rsidP="008D1665">
      <w:pPr>
        <w:numPr>
          <w:ilvl w:val="0"/>
          <w:numId w:val="25"/>
        </w:numPr>
      </w:pPr>
      <w:r>
        <w:t xml:space="preserve">Implied market value studies seek to infer from market prices the </w:t>
      </w:r>
      <w:r w:rsidRPr="007E6C27">
        <w:t>value of distributed imputation credit</w:t>
      </w:r>
      <w:r>
        <w:t xml:space="preserve">s. A wide range of such studies have been conducted over time, employing a variety of techniques. </w:t>
      </w:r>
      <w:proofErr w:type="gramStart"/>
      <w:r>
        <w:t>A common type of implied market value study are</w:t>
      </w:r>
      <w:proofErr w:type="gramEnd"/>
      <w:r>
        <w:t xml:space="preserve"> dividend drop off studies. These studies compare the price of a security </w:t>
      </w:r>
      <w:r w:rsidR="00F30705">
        <w:t>with and without the entitlement to a dividend</w:t>
      </w:r>
      <w:r>
        <w:t xml:space="preserve">. Econometric techniques are then used to infer the value of the imputation credits attached to these dividends. We discuss the different types of implied market value study in section </w:t>
      </w:r>
      <w:r w:rsidR="003E4F74">
        <w:fldChar w:fldCharType="begin"/>
      </w:r>
      <w:r w:rsidR="003E4F74">
        <w:instrText xml:space="preserve"> REF _Ref402791521 \r \h </w:instrText>
      </w:r>
      <w:r w:rsidR="003E4F74">
        <w:fldChar w:fldCharType="separate"/>
      </w:r>
      <w:r w:rsidR="001E2164">
        <w:t>A.14.1</w:t>
      </w:r>
      <w:r w:rsidR="003E4F74">
        <w:fldChar w:fldCharType="end"/>
      </w:r>
      <w:r w:rsidR="003E4F74">
        <w:t xml:space="preserve"> </w:t>
      </w:r>
      <w:r>
        <w:t>of appendix A.</w:t>
      </w:r>
    </w:p>
    <w:p w14:paraId="4B7351F6" w14:textId="77777777" w:rsidR="008D1665" w:rsidRDefault="00371865" w:rsidP="00371865">
      <w:pPr>
        <w:numPr>
          <w:ilvl w:val="0"/>
          <w:numId w:val="25"/>
        </w:numPr>
      </w:pPr>
      <w:r>
        <w:t xml:space="preserve">We consider that the equity ownership approach and tax statistics provide </w:t>
      </w:r>
      <w:r w:rsidR="004E4BF6">
        <w:t xml:space="preserve">more direct </w:t>
      </w:r>
      <w:r>
        <w:t xml:space="preserve">and </w:t>
      </w:r>
      <w:r w:rsidR="004E4BF6">
        <w:t xml:space="preserve">simpler </w:t>
      </w:r>
      <w:r>
        <w:t xml:space="preserve">evidence on the utilisation rate than implied market value studies. </w:t>
      </w:r>
      <w:r w:rsidR="008D1665" w:rsidRPr="00F70D3C">
        <w:t>Handley</w:t>
      </w:r>
      <w:r w:rsidR="005F0A6F">
        <w:t xml:space="preserve"> supported this view;</w:t>
      </w:r>
      <w:r>
        <w:t xml:space="preserve"> </w:t>
      </w:r>
      <w:r w:rsidR="005F0A6F">
        <w:t>h</w:t>
      </w:r>
      <w:r w:rsidR="004E4BF6">
        <w:t>e</w:t>
      </w:r>
      <w:r>
        <w:t xml:space="preserve"> noted</w:t>
      </w:r>
      <w:r w:rsidR="008D1665">
        <w:t xml:space="preserve"> that dividend drop off studies are the most relevant clas</w:t>
      </w:r>
      <w:r w:rsidR="004E4BF6">
        <w:t>s of implied market value study</w:t>
      </w:r>
      <w:r w:rsidR="005F0A6F">
        <w:t>, but</w:t>
      </w:r>
      <w:r w:rsidR="004E4BF6">
        <w:t xml:space="preserve"> considered them</w:t>
      </w:r>
      <w:r w:rsidR="008D1665">
        <w:t xml:space="preserve"> less important to estimating the utilisation rate than the equity ownership approach and tax statistics.</w:t>
      </w:r>
      <w:r w:rsidR="008D1665">
        <w:rPr>
          <w:rStyle w:val="FootnoteReference"/>
        </w:rPr>
        <w:footnoteReference w:id="105"/>
      </w:r>
      <w:r w:rsidR="008D1665">
        <w:t xml:space="preserve"> Lally identified a number of issues with using market prices t</w:t>
      </w:r>
      <w:r w:rsidR="004E4BF6">
        <w:t>o estimate the utilisation rate</w:t>
      </w:r>
      <w:r w:rsidR="008D1665">
        <w:t xml:space="preserve"> and</w:t>
      </w:r>
      <w:r w:rsidR="004E4BF6">
        <w:t>, therefore,</w:t>
      </w:r>
      <w:r w:rsidR="008D1665">
        <w:t xml:space="preserve"> </w:t>
      </w:r>
      <w:r w:rsidR="004E4BF6">
        <w:t xml:space="preserve">preferred </w:t>
      </w:r>
      <w:r w:rsidR="008D1665">
        <w:t>the equity ownership approach.</w:t>
      </w:r>
      <w:r w:rsidR="008D1665">
        <w:rPr>
          <w:rStyle w:val="FootnoteReference"/>
        </w:rPr>
        <w:footnoteReference w:id="106"/>
      </w:r>
    </w:p>
    <w:p w14:paraId="221C252F" w14:textId="77777777" w:rsidR="008D1665" w:rsidRDefault="00371865" w:rsidP="008D1665">
      <w:pPr>
        <w:numPr>
          <w:ilvl w:val="0"/>
          <w:numId w:val="25"/>
        </w:numPr>
      </w:pPr>
      <w:r>
        <w:lastRenderedPageBreak/>
        <w:t xml:space="preserve">We also consider that these studies can be subject to a number of limitations. </w:t>
      </w:r>
      <w:r w:rsidR="008D1665">
        <w:t>The limitations of implied market value studies</w:t>
      </w:r>
      <w:r w:rsidR="00F05353">
        <w:t xml:space="preserve"> can</w:t>
      </w:r>
      <w:r w:rsidR="008D1665">
        <w:t xml:space="preserve"> include:</w:t>
      </w:r>
    </w:p>
    <w:p w14:paraId="2CCB353F" w14:textId="77777777" w:rsidR="008D1665" w:rsidRPr="008D1665" w:rsidRDefault="008D1665" w:rsidP="008D1665">
      <w:pPr>
        <w:pStyle w:val="AERbulletlistfirststyle"/>
      </w:pPr>
      <w:r>
        <w:t>T</w:t>
      </w:r>
      <w:r w:rsidRPr="008D1665">
        <w:t>hese studies can produce nonsensical estimates of the utilisation rate; that is, greater than one or less than zero.</w:t>
      </w:r>
    </w:p>
    <w:p w14:paraId="0AC67C12" w14:textId="77777777" w:rsidR="008D1665" w:rsidRPr="008D1665" w:rsidRDefault="008D1665" w:rsidP="008D1665">
      <w:pPr>
        <w:pStyle w:val="AERbulletlistfirststyle"/>
      </w:pPr>
      <w:r>
        <w:t>T</w:t>
      </w:r>
      <w:r w:rsidRPr="008D1665">
        <w:t>he results of these studies can reflect factors, such as differential personal taxes and risk, which are not relevant to the utilisation rate.</w:t>
      </w:r>
    </w:p>
    <w:p w14:paraId="7B926B45" w14:textId="77777777" w:rsidR="008D1665" w:rsidRPr="008D1665" w:rsidRDefault="008D1665" w:rsidP="008D1665">
      <w:pPr>
        <w:pStyle w:val="AERbulletlistfirststyle"/>
      </w:pPr>
      <w:r>
        <w:t>T</w:t>
      </w:r>
      <w:r w:rsidRPr="008D1665">
        <w:t xml:space="preserve">he results of these studies might not be reflective of the value of imputation credits to investors in the market as a whole. </w:t>
      </w:r>
    </w:p>
    <w:p w14:paraId="3B2A20C4" w14:textId="77777777" w:rsidR="008D1665" w:rsidRPr="008D1665" w:rsidRDefault="008D1665" w:rsidP="008D1665">
      <w:pPr>
        <w:pStyle w:val="AERbulletlistfirststyle"/>
      </w:pPr>
      <w:r>
        <w:t>T</w:t>
      </w:r>
      <w:r w:rsidRPr="008D1665">
        <w:t>hese studies can be data intensive and employ complex and sometimes problematic estimation methodologies.</w:t>
      </w:r>
    </w:p>
    <w:p w14:paraId="5A37CBDA" w14:textId="77777777" w:rsidR="008D1665" w:rsidRPr="008D1665" w:rsidRDefault="008D1665" w:rsidP="008D1665">
      <w:pPr>
        <w:pStyle w:val="AERbulletlistfirststyle"/>
      </w:pPr>
      <w:r>
        <w:t>R</w:t>
      </w:r>
      <w:r w:rsidRPr="008D1665">
        <w:t>egarding dividend drop off studies, it is only the value of the combined package of dividends and imputation credits tha</w:t>
      </w:r>
      <w:r w:rsidR="00984362">
        <w:t>t can be observed in the market. However,</w:t>
      </w:r>
      <w:r w:rsidRPr="008D1665">
        <w:t xml:space="preserve"> there is no consensus among experts on how to separate the value to the market of dividends from the value to the market of imputation credits (this is referred to as the 'allocation problem').</w:t>
      </w:r>
    </w:p>
    <w:p w14:paraId="2994636E" w14:textId="77777777" w:rsidR="008D1665" w:rsidRDefault="008D1665" w:rsidP="008D1665">
      <w:pPr>
        <w:numPr>
          <w:ilvl w:val="0"/>
          <w:numId w:val="25"/>
        </w:numPr>
      </w:pPr>
      <w:r>
        <w:t xml:space="preserve">The limitations of dividend drop off studies are discussed in more detail in </w:t>
      </w:r>
      <w:r w:rsidRPr="003854B2">
        <w:t xml:space="preserve">section </w:t>
      </w:r>
      <w:r w:rsidR="00FD3811">
        <w:fldChar w:fldCharType="begin"/>
      </w:r>
      <w:r w:rsidR="00FD3811">
        <w:instrText xml:space="preserve"> REF _Ref414619467 \r \h </w:instrText>
      </w:r>
      <w:r w:rsidR="00FD3811">
        <w:fldChar w:fldCharType="separate"/>
      </w:r>
      <w:r w:rsidR="001E2164">
        <w:t>A.14.6</w:t>
      </w:r>
      <w:r w:rsidR="00FD3811">
        <w:fldChar w:fldCharType="end"/>
      </w:r>
      <w:r w:rsidR="00FD3811">
        <w:t xml:space="preserve"> </w:t>
      </w:r>
      <w:r w:rsidRPr="003854B2">
        <w:t xml:space="preserve">of </w:t>
      </w:r>
      <w:r>
        <w:t>appendix A.</w:t>
      </w:r>
    </w:p>
    <w:p w14:paraId="3CB748C1" w14:textId="77777777" w:rsidR="008D1665" w:rsidRDefault="008D1665" w:rsidP="008D1665">
      <w:pPr>
        <w:numPr>
          <w:ilvl w:val="0"/>
          <w:numId w:val="25"/>
        </w:numPr>
      </w:pPr>
      <w:r>
        <w:t xml:space="preserve">The available implied market value studies produce estimates for the utilisation rate between 0 and 1, with some studies even producing estimates outside this range. We summarise the available studies and their results in </w:t>
      </w:r>
      <w:r w:rsidRPr="003854B2">
        <w:t xml:space="preserve">section </w:t>
      </w:r>
      <w:r w:rsidR="00311850">
        <w:fldChar w:fldCharType="begin"/>
      </w:r>
      <w:r w:rsidR="00311850">
        <w:instrText xml:space="preserve"> REF _Ref403482459 \r \h </w:instrText>
      </w:r>
      <w:r w:rsidR="00311850">
        <w:fldChar w:fldCharType="separate"/>
      </w:r>
      <w:r w:rsidR="001E2164">
        <w:t>A.14.2</w:t>
      </w:r>
      <w:r w:rsidR="00311850">
        <w:fldChar w:fldCharType="end"/>
      </w:r>
      <w:r w:rsidR="00311850">
        <w:t xml:space="preserve"> </w:t>
      </w:r>
      <w:r w:rsidRPr="003854B2">
        <w:t xml:space="preserve">of </w:t>
      </w:r>
      <w:r>
        <w:t>appendix A. Opinion on the merits of the various studies differs:</w:t>
      </w:r>
    </w:p>
    <w:p w14:paraId="5E6EED20" w14:textId="758AF699" w:rsidR="008D1665" w:rsidRPr="008D1665" w:rsidRDefault="00873AF3" w:rsidP="008D1665">
      <w:pPr>
        <w:pStyle w:val="AERbulletlistfirststyle"/>
      </w:pPr>
      <w:r>
        <w:t xml:space="preserve">Gray (for </w:t>
      </w:r>
      <w:r w:rsidR="008D1665">
        <w:t>SFG</w:t>
      </w:r>
      <w:r>
        <w:t>)</w:t>
      </w:r>
      <w:r w:rsidR="008D1665">
        <w:t xml:space="preserve"> consider</w:t>
      </w:r>
      <w:r w:rsidR="008D1665" w:rsidRPr="008D1665">
        <w:t xml:space="preserve">ed that implied market value studies should be relied upon exclusively when estimating the </w:t>
      </w:r>
      <w:r w:rsidR="00725A26">
        <w:t>(after-personal-tax and after-personal-costs) utilisation rate</w:t>
      </w:r>
      <w:r w:rsidR="008D1665" w:rsidRPr="008D1665">
        <w:t xml:space="preserve">. Moreover, </w:t>
      </w:r>
      <w:r w:rsidR="00573C3B">
        <w:t>he</w:t>
      </w:r>
      <w:r w:rsidR="008D1665" w:rsidRPr="008D1665">
        <w:t xml:space="preserve"> considered that dividend drop off studies should be preferre</w:t>
      </w:r>
      <w:r w:rsidR="00984362">
        <w:t xml:space="preserve">d to alternative market studies. In </w:t>
      </w:r>
      <w:r>
        <w:t>Gray</w:t>
      </w:r>
      <w:r w:rsidR="00984362">
        <w:t>'s view,</w:t>
      </w:r>
      <w:r w:rsidR="008D1665" w:rsidRPr="008D1665">
        <w:t xml:space="preserve"> there is no reasonable basis for adopting an estimate from dividend drop off analysis above the 0.35 estimate from </w:t>
      </w:r>
      <w:r>
        <w:t>SFG's</w:t>
      </w:r>
      <w:r w:rsidR="008D1665" w:rsidRPr="008D1665">
        <w:t xml:space="preserve"> study.</w:t>
      </w:r>
      <w:r w:rsidR="008D1665" w:rsidRPr="008D1665">
        <w:rPr>
          <w:rStyle w:val="FootnoteReference"/>
        </w:rPr>
        <w:footnoteReference w:id="107"/>
      </w:r>
    </w:p>
    <w:p w14:paraId="608BDCBC" w14:textId="77777777" w:rsidR="008D1665" w:rsidRPr="008D1665" w:rsidRDefault="008D1665" w:rsidP="008D1665">
      <w:pPr>
        <w:pStyle w:val="AERbulletlistfirststyle"/>
      </w:pPr>
      <w:r>
        <w:t xml:space="preserve">The </w:t>
      </w:r>
      <w:r w:rsidRPr="008D1665">
        <w:t>Economic Regulation Authority of Western Australia (ERA)</w:t>
      </w:r>
      <w:r w:rsidR="00062164">
        <w:t xml:space="preserve"> </w:t>
      </w:r>
      <w:r w:rsidRPr="008D1665">
        <w:t>conducted its own dividend drop off study and concluded that a reasonable estimate is between 0.35 and 0.55.</w:t>
      </w:r>
      <w:r w:rsidRPr="008D1665">
        <w:rPr>
          <w:rStyle w:val="FootnoteReference"/>
        </w:rPr>
        <w:footnoteReference w:id="108"/>
      </w:r>
    </w:p>
    <w:p w14:paraId="709FF8A7" w14:textId="77777777" w:rsidR="008D1665" w:rsidRPr="008D1665" w:rsidRDefault="008D1665" w:rsidP="008D1665">
      <w:pPr>
        <w:pStyle w:val="AERbulletlistfirststyle"/>
      </w:pPr>
      <w:r>
        <w:t xml:space="preserve">Lally </w:t>
      </w:r>
      <w:r w:rsidRPr="008D1665">
        <w:t>concurred with the view that implied market value studies 'warrant low weight', but suggested that some studies are more useful than others based on their characteristics.</w:t>
      </w:r>
      <w:r w:rsidRPr="008D1665">
        <w:rPr>
          <w:rStyle w:val="FootnoteReference"/>
        </w:rPr>
        <w:footnoteReference w:id="109"/>
      </w:r>
      <w:r w:rsidR="00725A26">
        <w:t xml:space="preserve"> Lally also raised a number of issues in relation to SFG</w:t>
      </w:r>
      <w:r w:rsidR="00EB4959">
        <w:t>'s</w:t>
      </w:r>
      <w:r w:rsidR="00725A26">
        <w:t xml:space="preserve"> dividend drop off study.</w:t>
      </w:r>
      <w:r w:rsidR="00725A26">
        <w:rPr>
          <w:rStyle w:val="FootnoteReference"/>
        </w:rPr>
        <w:footnoteReference w:id="110"/>
      </w:r>
    </w:p>
    <w:p w14:paraId="44130F23" w14:textId="77777777" w:rsidR="008D1665" w:rsidRDefault="008D1665" w:rsidP="008D1665">
      <w:pPr>
        <w:pStyle w:val="AERbulletlistfirststyle"/>
      </w:pPr>
      <w:r>
        <w:lastRenderedPageBreak/>
        <w:t>McKenzie and Partington consider</w:t>
      </w:r>
      <w:r w:rsidRPr="008D1665">
        <w:t>ed that there is no obvious manner in which to weigh the results from various studies based on their characteristics. They observed that a simple average of the results from a reasonably comprehensive sample of studies suggests an estimate of the utilisation rate of 0.53. They also noted that their own studies suggest a significantly higher estimate of 0.83.</w:t>
      </w:r>
      <w:r w:rsidRPr="008D1665">
        <w:rPr>
          <w:rStyle w:val="FootnoteReference"/>
        </w:rPr>
        <w:footnoteReference w:id="111"/>
      </w:r>
    </w:p>
    <w:p w14:paraId="52D4601D" w14:textId="31D21A3F" w:rsidR="003C7B9C" w:rsidRPr="008D1665" w:rsidRDefault="001365AD" w:rsidP="008D1665">
      <w:pPr>
        <w:pStyle w:val="AERbulletlistfirststyle"/>
      </w:pPr>
      <w:r>
        <w:t xml:space="preserve">Gray (for </w:t>
      </w:r>
      <w:r w:rsidR="003C7B9C">
        <w:t>Frontier</w:t>
      </w:r>
      <w:r>
        <w:t>)</w:t>
      </w:r>
      <w:r w:rsidR="003C7B9C">
        <w:t xml:space="preserve"> expressed concerns that the reintroduction of pre-2000 and low quality studies is an error, and that it is also an error to </w:t>
      </w:r>
      <w:r w:rsidR="00EF4770">
        <w:t>assume</w:t>
      </w:r>
      <w:r w:rsidR="003C7B9C">
        <w:t xml:space="preserve"> all market value studies are of uniform relevance and quality.</w:t>
      </w:r>
      <w:r w:rsidR="003C7B9C">
        <w:rPr>
          <w:rStyle w:val="FootnoteReference"/>
        </w:rPr>
        <w:footnoteReference w:id="112"/>
      </w:r>
      <w:r w:rsidR="003C7B9C">
        <w:t xml:space="preserve"> </w:t>
      </w:r>
    </w:p>
    <w:p w14:paraId="2A387DEB" w14:textId="77777777" w:rsidR="00733809" w:rsidRDefault="00733809" w:rsidP="00733809">
      <w:pPr>
        <w:numPr>
          <w:ilvl w:val="0"/>
          <w:numId w:val="25"/>
        </w:numPr>
      </w:pPr>
      <w:r>
        <w:t>A further issue regarding implied market value studies is the appropriate interpretation of their results. Handley and Lally both advised that in the rate of return framework investors are assumed to value a dollar of dividends at one dollar</w:t>
      </w:r>
      <w:r w:rsidR="00F17A22">
        <w:t xml:space="preserve"> (on a pre-personal-tax basis)</w:t>
      </w:r>
      <w:r>
        <w:t xml:space="preserve">. However, the results of implied market value studies can reflect certain factors that </w:t>
      </w:r>
      <w:r w:rsidR="00863D70">
        <w:t>suggest that</w:t>
      </w:r>
      <w:r>
        <w:t xml:space="preserve"> investor</w:t>
      </w:r>
      <w:r w:rsidR="00863D70">
        <w:t>s</w:t>
      </w:r>
      <w:r>
        <w:t xml:space="preserve"> value a dollar of dividends at less than one dollar (such as differential personal taxes on dividends and capital gains). Moreover, any such factors will </w:t>
      </w:r>
      <w:r w:rsidR="00422781">
        <w:t xml:space="preserve">affect </w:t>
      </w:r>
      <w:r w:rsidR="00863D70">
        <w:t>these studies' results for</w:t>
      </w:r>
      <w:r>
        <w:t xml:space="preserve"> investors' valuation of imputation credits. Handley and Lally advised that the desired estimate of the utilisation rate should exclude the effect of these factors.</w:t>
      </w:r>
      <w:r w:rsidR="00984362">
        <w:rPr>
          <w:rStyle w:val="FootnoteReference"/>
        </w:rPr>
        <w:footnoteReference w:id="113"/>
      </w:r>
      <w:r>
        <w:t xml:space="preserve"> To remove the effect, they advised that the estimate of the utilisation rate from a given study can be divided by investors' estimated valuation of dividends from the same study.</w:t>
      </w:r>
      <w:r>
        <w:rPr>
          <w:rStyle w:val="FootnoteReference"/>
        </w:rPr>
        <w:footnoteReference w:id="114"/>
      </w:r>
      <w:r>
        <w:t xml:space="preserve"> Therefore, Handley and Lally advised that the 0.35 estimate from SFG's dividend drop off study should in fact be interpreted as an estimate of around 0.4. </w:t>
      </w:r>
    </w:p>
    <w:p w14:paraId="58E8B62E" w14:textId="0BFDF69E" w:rsidR="006C5380" w:rsidRPr="00913061" w:rsidRDefault="00351C95" w:rsidP="00913061">
      <w:pPr>
        <w:rPr>
          <w:rStyle w:val="AERbody"/>
        </w:rPr>
      </w:pPr>
      <w:r w:rsidRPr="00913061">
        <w:rPr>
          <w:rStyle w:val="AERbody"/>
        </w:rPr>
        <w:t>In response to our decision to adjust the theta estimate from</w:t>
      </w:r>
      <w:r w:rsidR="0042476A" w:rsidRPr="00913061">
        <w:rPr>
          <w:rStyle w:val="AERbody"/>
        </w:rPr>
        <w:t xml:space="preserve"> SFG' dividend drop off study to correct for the apparent incorrect valuation of cash dividends</w:t>
      </w:r>
      <w:r w:rsidRPr="00913061">
        <w:rPr>
          <w:rStyle w:val="AERbody"/>
        </w:rPr>
        <w:t>,</w:t>
      </w:r>
      <w:r w:rsidR="000637AF" w:rsidRPr="00913061">
        <w:rPr>
          <w:rStyle w:val="AERbody"/>
        </w:rPr>
        <w:t xml:space="preserve"> </w:t>
      </w:r>
      <w:r w:rsidR="00873AF3" w:rsidRPr="00913061">
        <w:rPr>
          <w:rStyle w:val="AERbody"/>
        </w:rPr>
        <w:t xml:space="preserve">Gray (for </w:t>
      </w:r>
      <w:r w:rsidR="000637AF" w:rsidRPr="00913061">
        <w:rPr>
          <w:rStyle w:val="AERbody"/>
        </w:rPr>
        <w:t>Frontier</w:t>
      </w:r>
      <w:r w:rsidR="00873AF3" w:rsidRPr="00913061">
        <w:rPr>
          <w:rStyle w:val="AERbody"/>
        </w:rPr>
        <w:t>)</w:t>
      </w:r>
      <w:r w:rsidRPr="00913061">
        <w:rPr>
          <w:rStyle w:val="AERbody"/>
        </w:rPr>
        <w:t xml:space="preserve"> indicated the appropriate response was not to adjust the theta estimate, rather </w:t>
      </w:r>
      <w:r w:rsidR="003173E1" w:rsidRPr="00913061">
        <w:rPr>
          <w:rStyle w:val="AERbody"/>
        </w:rPr>
        <w:t xml:space="preserve">it was </w:t>
      </w:r>
      <w:r w:rsidRPr="00913061">
        <w:rPr>
          <w:rStyle w:val="AERbody"/>
        </w:rPr>
        <w:t xml:space="preserve">to </w:t>
      </w:r>
      <w:r w:rsidR="003173E1" w:rsidRPr="00913061">
        <w:rPr>
          <w:rStyle w:val="AERbody"/>
        </w:rPr>
        <w:t>adjust</w:t>
      </w:r>
      <w:r w:rsidRPr="00913061">
        <w:rPr>
          <w:rStyle w:val="AERbody"/>
        </w:rPr>
        <w:t xml:space="preserve"> the allowed return on equ</w:t>
      </w:r>
      <w:r w:rsidR="003173E1" w:rsidRPr="00913061">
        <w:rPr>
          <w:rStyle w:val="AERbody"/>
        </w:rPr>
        <w:t>it</w:t>
      </w:r>
      <w:r w:rsidRPr="00913061">
        <w:rPr>
          <w:rStyle w:val="AERbody"/>
        </w:rPr>
        <w:t xml:space="preserve">y. </w:t>
      </w:r>
      <w:r w:rsidR="00873AF3" w:rsidRPr="00913061">
        <w:rPr>
          <w:rStyle w:val="AERbody"/>
        </w:rPr>
        <w:t>Gray</w:t>
      </w:r>
      <w:r w:rsidRPr="00913061">
        <w:rPr>
          <w:rStyle w:val="AERbody"/>
        </w:rPr>
        <w:t xml:space="preserve"> put the position that the valuation from SFG's study for cash dividends of less than $1 for each dollar of cash </w:t>
      </w:r>
      <w:r w:rsidR="00EF4770" w:rsidRPr="00913061">
        <w:rPr>
          <w:rStyle w:val="AERbody"/>
        </w:rPr>
        <w:t>dividends</w:t>
      </w:r>
      <w:r w:rsidRPr="00913061">
        <w:rPr>
          <w:rStyle w:val="AERbody"/>
        </w:rPr>
        <w:t xml:space="preserve"> paid indicates you need to increase the </w:t>
      </w:r>
      <w:r w:rsidR="003173E1" w:rsidRPr="00913061">
        <w:rPr>
          <w:rStyle w:val="AERbody"/>
        </w:rPr>
        <w:t xml:space="preserve">allowed </w:t>
      </w:r>
      <w:r w:rsidRPr="00913061">
        <w:rPr>
          <w:rStyle w:val="AERbody"/>
        </w:rPr>
        <w:t>return</w:t>
      </w:r>
      <w:r w:rsidR="006C5380" w:rsidRPr="00913061">
        <w:rPr>
          <w:rStyle w:val="AERbody"/>
        </w:rPr>
        <w:t xml:space="preserve"> </w:t>
      </w:r>
      <w:r w:rsidR="003173E1" w:rsidRPr="00913061">
        <w:rPr>
          <w:rStyle w:val="AERbody"/>
        </w:rPr>
        <w:t xml:space="preserve">on equity </w:t>
      </w:r>
      <w:r w:rsidR="006C5380" w:rsidRPr="00913061">
        <w:rPr>
          <w:rStyle w:val="AERbody"/>
        </w:rPr>
        <w:t>stating:</w:t>
      </w:r>
      <w:r w:rsidR="0060266A">
        <w:rPr>
          <w:rStyle w:val="FootnoteReference"/>
        </w:rPr>
        <w:footnoteReference w:id="115"/>
      </w:r>
      <w:r w:rsidR="006C5380" w:rsidRPr="00913061">
        <w:rPr>
          <w:rStyle w:val="AERbody"/>
        </w:rPr>
        <w:t xml:space="preserve"> </w:t>
      </w:r>
    </w:p>
    <w:p w14:paraId="4AA77014" w14:textId="05B16EB4" w:rsidR="006C5380" w:rsidRPr="0060266A" w:rsidRDefault="006C5380" w:rsidP="0060266A">
      <w:pPr>
        <w:pStyle w:val="AERquote"/>
        <w:rPr>
          <w:rStyle w:val="AERtexthighlight"/>
          <w:shd w:val="clear" w:color="auto" w:fill="auto"/>
        </w:rPr>
      </w:pPr>
      <w:r w:rsidRPr="0060266A">
        <w:rPr>
          <w:rStyle w:val="AERtexthighlight"/>
          <w:shd w:val="clear" w:color="auto" w:fill="auto"/>
        </w:rPr>
        <w:t>If further consideration of this issue is required, it can be best considered in the following way. Suppose the dividend drop-off regression produced a coefficient of 1 on cash dividends and a coefficient of 0.35 on imputation credits. This would suggest that 100% of the face amount of dividends and 35% of the face amount of imputation credits is capitalised into the stock price. In this case, the AER’s proposed adjustment would be to divide the 0.35 estimate by 1, leaving it at 0.35.</w:t>
      </w:r>
    </w:p>
    <w:p w14:paraId="02F0AF02" w14:textId="136F9140" w:rsidR="006C5380" w:rsidRPr="0060266A" w:rsidRDefault="006C5380" w:rsidP="0060266A">
      <w:pPr>
        <w:pStyle w:val="AERquote"/>
        <w:rPr>
          <w:rStyle w:val="AERtexthighlight"/>
          <w:shd w:val="clear" w:color="auto" w:fill="auto"/>
        </w:rPr>
      </w:pPr>
      <w:r w:rsidRPr="0060266A">
        <w:rPr>
          <w:rStyle w:val="AERtexthighlight"/>
          <w:shd w:val="clear" w:color="auto" w:fill="auto"/>
        </w:rPr>
        <w:lastRenderedPageBreak/>
        <w:t>Now consider a case that is identical, except that the coefficient on cash dividends is 0.9. This implies that dividends are worth only 90% of their face amount and imputation credits are still worth 35% of their face amount. In this case, the allowed return would need to be higher to leave investors equally well off. This would enable the firm to pay dividends with a higher face amount, which would be necessary if investors value dividends at less than their face amount. Regulators in some jurisdictions (e.g., New Zealand) allow higher returns in relation to dividends being valued at less than the face amount, but the AER does not.</w:t>
      </w:r>
    </w:p>
    <w:p w14:paraId="3B18090F" w14:textId="02528447" w:rsidR="00351C95" w:rsidRPr="0060266A" w:rsidRDefault="0042476A" w:rsidP="00733809">
      <w:pPr>
        <w:numPr>
          <w:ilvl w:val="0"/>
          <w:numId w:val="25"/>
        </w:numPr>
        <w:rPr>
          <w:rStyle w:val="AERbody"/>
        </w:rPr>
      </w:pPr>
      <w:r w:rsidRPr="0060266A">
        <w:rPr>
          <w:rStyle w:val="AERbody"/>
        </w:rPr>
        <w:t xml:space="preserve">We consider </w:t>
      </w:r>
      <w:r w:rsidR="003173E1" w:rsidRPr="0060266A">
        <w:rPr>
          <w:rStyle w:val="AERbody"/>
        </w:rPr>
        <w:t xml:space="preserve">that </w:t>
      </w:r>
      <w:r w:rsidRPr="0060266A">
        <w:rPr>
          <w:rStyle w:val="AERbody"/>
        </w:rPr>
        <w:t xml:space="preserve">such an adjustment </w:t>
      </w:r>
      <w:r w:rsidR="003173E1" w:rsidRPr="0060266A">
        <w:rPr>
          <w:rStyle w:val="AERbody"/>
        </w:rPr>
        <w:t>to the allowed return on equity would</w:t>
      </w:r>
      <w:r w:rsidRPr="0060266A">
        <w:rPr>
          <w:rStyle w:val="AERbody"/>
        </w:rPr>
        <w:t xml:space="preserve"> not </w:t>
      </w:r>
      <w:r w:rsidR="003173E1" w:rsidRPr="0060266A">
        <w:rPr>
          <w:rStyle w:val="AERbody"/>
        </w:rPr>
        <w:t xml:space="preserve">be </w:t>
      </w:r>
      <w:r w:rsidRPr="0060266A">
        <w:rPr>
          <w:rStyle w:val="AERbody"/>
        </w:rPr>
        <w:t>appropriate</w:t>
      </w:r>
      <w:r w:rsidR="00351C95" w:rsidRPr="0060266A">
        <w:rPr>
          <w:rStyle w:val="AERbody"/>
        </w:rPr>
        <w:t xml:space="preserve">. The </w:t>
      </w:r>
      <w:r w:rsidR="00EF4770" w:rsidRPr="0060266A">
        <w:rPr>
          <w:rStyle w:val="AERbody"/>
        </w:rPr>
        <w:t>post-tax</w:t>
      </w:r>
      <w:r w:rsidR="00351C95" w:rsidRPr="0060266A">
        <w:rPr>
          <w:rStyle w:val="AERbody"/>
        </w:rPr>
        <w:t xml:space="preserve"> required return on the </w:t>
      </w:r>
      <w:r w:rsidR="00D011D4" w:rsidRPr="0060266A">
        <w:rPr>
          <w:rStyle w:val="AERbody"/>
        </w:rPr>
        <w:t xml:space="preserve">equities </w:t>
      </w:r>
      <w:r w:rsidR="00351C95" w:rsidRPr="0060266A">
        <w:rPr>
          <w:rStyle w:val="AERbody"/>
        </w:rPr>
        <w:t xml:space="preserve">market is </w:t>
      </w:r>
      <w:r w:rsidRPr="0060266A">
        <w:rPr>
          <w:rStyle w:val="AERbody"/>
        </w:rPr>
        <w:t xml:space="preserve">reflective of </w:t>
      </w:r>
      <w:r w:rsidR="00351C95" w:rsidRPr="0060266A">
        <w:rPr>
          <w:rStyle w:val="AERbody"/>
        </w:rPr>
        <w:t>the face value of dividends paid</w:t>
      </w:r>
      <w:r w:rsidRPr="0060266A">
        <w:rPr>
          <w:rStyle w:val="AERbody"/>
        </w:rPr>
        <w:t xml:space="preserve"> in the market</w:t>
      </w:r>
      <w:r w:rsidR="00351C95" w:rsidRPr="0060266A">
        <w:rPr>
          <w:rStyle w:val="AERbody"/>
        </w:rPr>
        <w:t>, not a higher amount</w:t>
      </w:r>
      <w:r w:rsidR="00D011D4" w:rsidRPr="0060266A">
        <w:rPr>
          <w:rStyle w:val="AERbody"/>
        </w:rPr>
        <w:t xml:space="preserve">. We also </w:t>
      </w:r>
      <w:r w:rsidR="00EF4770" w:rsidRPr="0060266A">
        <w:rPr>
          <w:rStyle w:val="AERbody"/>
        </w:rPr>
        <w:t>note the</w:t>
      </w:r>
      <w:r w:rsidRPr="0060266A">
        <w:rPr>
          <w:rStyle w:val="AERbody"/>
        </w:rPr>
        <w:t xml:space="preserve"> equities market sets </w:t>
      </w:r>
      <w:r w:rsidR="00EF4770" w:rsidRPr="0060266A">
        <w:rPr>
          <w:rStyle w:val="AERbody"/>
        </w:rPr>
        <w:t>equilibrium</w:t>
      </w:r>
      <w:r w:rsidRPr="0060266A">
        <w:rPr>
          <w:rStyle w:val="AERbody"/>
        </w:rPr>
        <w:t xml:space="preserve"> prices based on </w:t>
      </w:r>
      <w:r w:rsidR="00937B90" w:rsidRPr="0060266A">
        <w:rPr>
          <w:rStyle w:val="AERbody"/>
        </w:rPr>
        <w:t xml:space="preserve">the </w:t>
      </w:r>
      <w:r w:rsidRPr="0060266A">
        <w:rPr>
          <w:rStyle w:val="AERbody"/>
        </w:rPr>
        <w:t xml:space="preserve">expected post tax </w:t>
      </w:r>
      <w:r w:rsidR="00937B90" w:rsidRPr="0060266A">
        <w:rPr>
          <w:rStyle w:val="AERbody"/>
        </w:rPr>
        <w:t xml:space="preserve">returns to shareholders (post tax </w:t>
      </w:r>
      <w:r w:rsidRPr="0060266A">
        <w:rPr>
          <w:rStyle w:val="AERbody"/>
        </w:rPr>
        <w:t>dividends</w:t>
      </w:r>
      <w:r w:rsidR="00D011D4" w:rsidRPr="0060266A">
        <w:rPr>
          <w:rStyle w:val="AERbody"/>
        </w:rPr>
        <w:t xml:space="preserve">, </w:t>
      </w:r>
      <w:r w:rsidR="00EF4770" w:rsidRPr="0060266A">
        <w:rPr>
          <w:rStyle w:val="AERbody"/>
        </w:rPr>
        <w:t>post-tax</w:t>
      </w:r>
      <w:r w:rsidR="003173E1" w:rsidRPr="0060266A">
        <w:rPr>
          <w:rStyle w:val="AERbody"/>
        </w:rPr>
        <w:t xml:space="preserve"> </w:t>
      </w:r>
      <w:r w:rsidR="00D011D4" w:rsidRPr="0060266A">
        <w:rPr>
          <w:rStyle w:val="AERbody"/>
        </w:rPr>
        <w:t xml:space="preserve">capital gains and </w:t>
      </w:r>
      <w:r w:rsidR="00EF4770" w:rsidRPr="0060266A">
        <w:rPr>
          <w:rStyle w:val="AERbody"/>
        </w:rPr>
        <w:t>post-tax</w:t>
      </w:r>
      <w:r w:rsidR="003173E1" w:rsidRPr="0060266A">
        <w:rPr>
          <w:rStyle w:val="AERbody"/>
        </w:rPr>
        <w:t xml:space="preserve"> </w:t>
      </w:r>
      <w:r w:rsidR="00D011D4" w:rsidRPr="0060266A">
        <w:rPr>
          <w:rStyle w:val="AERbody"/>
        </w:rPr>
        <w:t>imputation credits</w:t>
      </w:r>
      <w:r w:rsidR="00937B90" w:rsidRPr="0060266A">
        <w:rPr>
          <w:rStyle w:val="AERbody"/>
        </w:rPr>
        <w:t>)</w:t>
      </w:r>
      <w:r w:rsidRPr="0060266A">
        <w:rPr>
          <w:rStyle w:val="AERbody"/>
        </w:rPr>
        <w:t xml:space="preserve">. </w:t>
      </w:r>
      <w:r w:rsidR="00D011D4" w:rsidRPr="0060266A">
        <w:rPr>
          <w:rStyle w:val="AERbody"/>
        </w:rPr>
        <w:t xml:space="preserve">Having considered </w:t>
      </w:r>
      <w:r w:rsidR="00873AF3" w:rsidRPr="0060266A">
        <w:rPr>
          <w:rStyle w:val="AERbody"/>
        </w:rPr>
        <w:t>Gray'</w:t>
      </w:r>
      <w:r w:rsidR="00D011D4" w:rsidRPr="0060266A">
        <w:rPr>
          <w:rStyle w:val="AERbody"/>
        </w:rPr>
        <w:t>s lates</w:t>
      </w:r>
      <w:r w:rsidR="003173E1" w:rsidRPr="0060266A">
        <w:rPr>
          <w:rStyle w:val="AERbody"/>
        </w:rPr>
        <w:t>t</w:t>
      </w:r>
      <w:r w:rsidR="00D011D4" w:rsidRPr="0060266A">
        <w:rPr>
          <w:rStyle w:val="AERbody"/>
        </w:rPr>
        <w:t xml:space="preserve"> report </w:t>
      </w:r>
      <w:r w:rsidR="00873AF3" w:rsidRPr="0060266A">
        <w:rPr>
          <w:rStyle w:val="AERbody"/>
        </w:rPr>
        <w:t xml:space="preserve">(for Frontier) </w:t>
      </w:r>
      <w:r w:rsidR="00D011D4" w:rsidRPr="0060266A">
        <w:rPr>
          <w:rStyle w:val="AERbody"/>
        </w:rPr>
        <w:t>we</w:t>
      </w:r>
      <w:r w:rsidRPr="0060266A">
        <w:rPr>
          <w:rStyle w:val="AERbody"/>
        </w:rPr>
        <w:t xml:space="preserve"> remain of the view that dividend drop off studies, including SFG's study, </w:t>
      </w:r>
      <w:r w:rsidR="003173E1" w:rsidRPr="0060266A">
        <w:rPr>
          <w:rStyle w:val="AERbody"/>
        </w:rPr>
        <w:t xml:space="preserve">that </w:t>
      </w:r>
      <w:r w:rsidRPr="0060266A">
        <w:rPr>
          <w:rStyle w:val="AERbody"/>
        </w:rPr>
        <w:t>estimate a value for cash dividends at a materially different amount to</w:t>
      </w:r>
      <w:r w:rsidR="003173E1" w:rsidRPr="0060266A">
        <w:rPr>
          <w:rStyle w:val="AERbody"/>
        </w:rPr>
        <w:t xml:space="preserve"> their face value,</w:t>
      </w:r>
      <w:r w:rsidRPr="0060266A">
        <w:rPr>
          <w:rStyle w:val="AERbody"/>
        </w:rPr>
        <w:t xml:space="preserve"> are not correctly estimating a </w:t>
      </w:r>
      <w:r w:rsidR="00EF4770" w:rsidRPr="0060266A">
        <w:rPr>
          <w:rStyle w:val="AERbody"/>
        </w:rPr>
        <w:t>post-tax</w:t>
      </w:r>
      <w:r w:rsidRPr="0060266A">
        <w:rPr>
          <w:rStyle w:val="AERbody"/>
        </w:rPr>
        <w:t xml:space="preserve"> </w:t>
      </w:r>
      <w:r w:rsidR="003173E1" w:rsidRPr="0060266A">
        <w:rPr>
          <w:rStyle w:val="AERbody"/>
        </w:rPr>
        <w:t>value</w:t>
      </w:r>
      <w:r w:rsidRPr="0060266A">
        <w:rPr>
          <w:rStyle w:val="AERbody"/>
        </w:rPr>
        <w:t xml:space="preserve"> before personal taxes and personal transaction costs. </w:t>
      </w:r>
      <w:r w:rsidR="00D011D4" w:rsidRPr="0060266A">
        <w:rPr>
          <w:rStyle w:val="AERbody"/>
        </w:rPr>
        <w:t>W</w:t>
      </w:r>
      <w:r w:rsidRPr="0060266A">
        <w:rPr>
          <w:rStyle w:val="AERbody"/>
        </w:rPr>
        <w:t xml:space="preserve">e remain of the view the </w:t>
      </w:r>
      <w:r w:rsidR="00873AF3" w:rsidRPr="0060266A">
        <w:rPr>
          <w:rStyle w:val="AERbody"/>
        </w:rPr>
        <w:t xml:space="preserve">estimate of the value of theta from </w:t>
      </w:r>
      <w:r w:rsidR="000637AF" w:rsidRPr="0060266A">
        <w:rPr>
          <w:rStyle w:val="AERbody"/>
        </w:rPr>
        <w:t>SFG</w:t>
      </w:r>
      <w:r w:rsidR="009A3916" w:rsidRPr="0060266A">
        <w:rPr>
          <w:rStyle w:val="AERbody"/>
        </w:rPr>
        <w:t>'</w:t>
      </w:r>
      <w:r w:rsidR="000637AF" w:rsidRPr="0060266A">
        <w:rPr>
          <w:rStyle w:val="AERbody"/>
        </w:rPr>
        <w:t xml:space="preserve">s study (as a minimum) </w:t>
      </w:r>
      <w:r w:rsidRPr="0060266A">
        <w:rPr>
          <w:rStyle w:val="AERbody"/>
        </w:rPr>
        <w:t>require</w:t>
      </w:r>
      <w:r w:rsidR="000637AF" w:rsidRPr="0060266A">
        <w:rPr>
          <w:rStyle w:val="AERbody"/>
        </w:rPr>
        <w:t>s</w:t>
      </w:r>
      <w:r w:rsidRPr="0060266A">
        <w:rPr>
          <w:rStyle w:val="AERbody"/>
        </w:rPr>
        <w:t xml:space="preserve"> </w:t>
      </w:r>
      <w:r w:rsidR="000637AF" w:rsidRPr="0060266A">
        <w:rPr>
          <w:rStyle w:val="AERbody"/>
        </w:rPr>
        <w:t xml:space="preserve">an </w:t>
      </w:r>
      <w:r w:rsidRPr="0060266A">
        <w:rPr>
          <w:rStyle w:val="AERbody"/>
        </w:rPr>
        <w:t>adjustment</w:t>
      </w:r>
      <w:r w:rsidR="000637AF" w:rsidRPr="0060266A">
        <w:rPr>
          <w:rStyle w:val="AERbody"/>
        </w:rPr>
        <w:t xml:space="preserve"> for the apparent </w:t>
      </w:r>
      <w:r w:rsidR="00573C3B" w:rsidRPr="0060266A">
        <w:rPr>
          <w:rStyle w:val="AERbody"/>
        </w:rPr>
        <w:t xml:space="preserve">incorrect </w:t>
      </w:r>
      <w:r w:rsidR="00EF4770" w:rsidRPr="0060266A">
        <w:rPr>
          <w:rStyle w:val="AERbody"/>
        </w:rPr>
        <w:t>valuation</w:t>
      </w:r>
      <w:r w:rsidR="000637AF" w:rsidRPr="0060266A">
        <w:rPr>
          <w:rStyle w:val="AERbody"/>
        </w:rPr>
        <w:t xml:space="preserve"> of cash dividends that would also be expected to be reflected in the estimated value of </w:t>
      </w:r>
      <w:r w:rsidR="00573C3B" w:rsidRPr="0060266A">
        <w:rPr>
          <w:rStyle w:val="AERbody"/>
        </w:rPr>
        <w:t xml:space="preserve">distributed </w:t>
      </w:r>
      <w:r w:rsidR="000637AF" w:rsidRPr="0060266A">
        <w:rPr>
          <w:rStyle w:val="AERbody"/>
        </w:rPr>
        <w:t>imputation credits</w:t>
      </w:r>
      <w:r w:rsidRPr="0060266A">
        <w:rPr>
          <w:rStyle w:val="AERbody"/>
        </w:rPr>
        <w:t>.</w:t>
      </w:r>
    </w:p>
    <w:p w14:paraId="54436FCB" w14:textId="77777777" w:rsidR="002030C9" w:rsidRDefault="00733809" w:rsidP="002030C9">
      <w:pPr>
        <w:numPr>
          <w:ilvl w:val="0"/>
          <w:numId w:val="25"/>
        </w:numPr>
      </w:pPr>
      <w:r>
        <w:t xml:space="preserve">In light of the differing views on these studies and the range of estimates they produce, we consider that implied market value studies provide limited guidance. </w:t>
      </w:r>
      <w:r w:rsidR="002030C9">
        <w:t>In the Guideline, we considered that implied market value studies supported an estimate of the utilisation rate between 0 and 0.5. This range was determined with regard to a range of studies, with higher regard given to those studies that:</w:t>
      </w:r>
    </w:p>
    <w:p w14:paraId="3A24AD44" w14:textId="77777777" w:rsidR="002030C9" w:rsidRPr="008D1665" w:rsidRDefault="002030C9" w:rsidP="002030C9">
      <w:pPr>
        <w:pStyle w:val="AERbulletlistfirststyle"/>
      </w:pPr>
      <w:r>
        <w:t>u</w:t>
      </w:r>
      <w:r w:rsidRPr="008D1665">
        <w:t>sed longer data periods</w:t>
      </w:r>
    </w:p>
    <w:p w14:paraId="2C17E079" w14:textId="77777777" w:rsidR="002030C9" w:rsidRPr="008D1665" w:rsidRDefault="002030C9" w:rsidP="002030C9">
      <w:pPr>
        <w:pStyle w:val="AERbulletlistfirststyle"/>
      </w:pPr>
      <w:r>
        <w:t>u</w:t>
      </w:r>
      <w:r w:rsidRPr="008D1665">
        <w:t>sed data since 2000, when the change in tax law entitled eligible investors to a refund of credits that exceeded their tax liability</w:t>
      </w:r>
    </w:p>
    <w:p w14:paraId="2B0B4279" w14:textId="77777777" w:rsidR="002030C9" w:rsidRPr="008D1665" w:rsidRDefault="002030C9" w:rsidP="002030C9">
      <w:pPr>
        <w:pStyle w:val="AERbulletlistfirststyle"/>
      </w:pPr>
      <w:r>
        <w:t>e</w:t>
      </w:r>
      <w:r w:rsidRPr="008D1665">
        <w:t>ncompassed the breadth of the market instead of just selected firms, and</w:t>
      </w:r>
    </w:p>
    <w:p w14:paraId="6A01DE7E" w14:textId="77777777" w:rsidR="00733809" w:rsidRDefault="002030C9" w:rsidP="002030C9">
      <w:pPr>
        <w:pStyle w:val="AERbulletlistfirststyle"/>
      </w:pPr>
      <w:proofErr w:type="gramStart"/>
      <w:r>
        <w:t>appeared</w:t>
      </w:r>
      <w:proofErr w:type="gramEnd"/>
      <w:r>
        <w:t xml:space="preserve"> to use more reasonable and robust econometric treatments.</w:t>
      </w:r>
    </w:p>
    <w:p w14:paraId="64C16D00" w14:textId="6DB8F068" w:rsidR="002030C9" w:rsidRDefault="00EF7EC0" w:rsidP="008D1665">
      <w:pPr>
        <w:numPr>
          <w:ilvl w:val="0"/>
          <w:numId w:val="25"/>
        </w:numPr>
      </w:pPr>
      <w:r>
        <w:t xml:space="preserve">However, in this final decision we recognise </w:t>
      </w:r>
      <w:r w:rsidR="00566D1D">
        <w:t>that</w:t>
      </w:r>
      <w:r>
        <w:t xml:space="preserve"> experts advocate both broader and narrower assessments of the evidence from implied market value studies. McKenzie and Partington considered it reasonable to have regard to </w:t>
      </w:r>
      <w:r w:rsidR="00D83801">
        <w:t xml:space="preserve">a range of </w:t>
      </w:r>
      <w:r>
        <w:t>studies</w:t>
      </w:r>
      <w:r w:rsidR="00D83801">
        <w:t>, including those</w:t>
      </w:r>
      <w:r>
        <w:t xml:space="preserve"> th</w:t>
      </w:r>
      <w:r w:rsidR="00566D1D">
        <w:t>at produced estimates above 0.5.</w:t>
      </w:r>
      <w:r w:rsidR="00120E2C">
        <w:rPr>
          <w:rStyle w:val="FootnoteReference"/>
        </w:rPr>
        <w:footnoteReference w:id="116"/>
      </w:r>
      <w:r>
        <w:t xml:space="preserve"> </w:t>
      </w:r>
      <w:r w:rsidR="00566D1D">
        <w:t>In</w:t>
      </w:r>
      <w:r>
        <w:t xml:space="preserve"> </w:t>
      </w:r>
      <w:r w:rsidR="00873AF3">
        <w:t>Gray</w:t>
      </w:r>
      <w:r w:rsidR="00566D1D">
        <w:t>'s view</w:t>
      </w:r>
      <w:r w:rsidR="00873AF3">
        <w:t xml:space="preserve"> (for SFG)</w:t>
      </w:r>
      <w:r w:rsidR="00566D1D">
        <w:t>,</w:t>
      </w:r>
      <w:r>
        <w:t xml:space="preserve"> </w:t>
      </w:r>
      <w:r w:rsidRPr="008D1665">
        <w:t xml:space="preserve">there is no reasonable basis for adopting an estimate from dividend drop off analysis above the 0.35 estimate from </w:t>
      </w:r>
      <w:r w:rsidR="00E07815">
        <w:t>SFG's</w:t>
      </w:r>
      <w:r w:rsidRPr="008D1665">
        <w:t xml:space="preserve"> study</w:t>
      </w:r>
      <w:r>
        <w:t>.</w:t>
      </w:r>
      <w:r w:rsidR="00120E2C">
        <w:rPr>
          <w:rStyle w:val="FootnoteReference"/>
        </w:rPr>
        <w:footnoteReference w:id="117"/>
      </w:r>
      <w:r w:rsidR="00D02BD1">
        <w:t xml:space="preserve"> It appears that Gray </w:t>
      </w:r>
      <w:r w:rsidR="00B63676">
        <w:t>(</w:t>
      </w:r>
      <w:r w:rsidR="00D02BD1">
        <w:t>for Frontier</w:t>
      </w:r>
      <w:r w:rsidR="00B63676">
        <w:t>)</w:t>
      </w:r>
      <w:r w:rsidR="00D02BD1">
        <w:t xml:space="preserve"> continues to hold this view.</w:t>
      </w:r>
      <w:r w:rsidR="00D02BD1">
        <w:rPr>
          <w:rStyle w:val="FootnoteReference"/>
        </w:rPr>
        <w:footnoteReference w:id="118"/>
      </w:r>
      <w:r w:rsidR="00313C79">
        <w:t xml:space="preserve"> </w:t>
      </w:r>
    </w:p>
    <w:p w14:paraId="6B7F820C" w14:textId="54EC1C4E" w:rsidR="002030C9" w:rsidRDefault="002030C9" w:rsidP="008D1665">
      <w:pPr>
        <w:numPr>
          <w:ilvl w:val="0"/>
          <w:numId w:val="25"/>
        </w:numPr>
      </w:pPr>
      <w:r>
        <w:lastRenderedPageBreak/>
        <w:t>Ultimate</w:t>
      </w:r>
      <w:r w:rsidR="00367EDE">
        <w:t xml:space="preserve">ly, as discussed in section </w:t>
      </w:r>
      <w:r w:rsidR="003663DE">
        <w:fldChar w:fldCharType="begin"/>
      </w:r>
      <w:r w:rsidR="003663DE">
        <w:instrText xml:space="preserve"> REF _Ref414907434 \r \h </w:instrText>
      </w:r>
      <w:r w:rsidR="003663DE">
        <w:fldChar w:fldCharType="separate"/>
      </w:r>
      <w:r w:rsidR="001E2164">
        <w:t>4.4</w:t>
      </w:r>
      <w:r w:rsidR="003663DE">
        <w:fldChar w:fldCharType="end"/>
      </w:r>
      <w:r>
        <w:t>, estimates from implied market value studies and the level of reliance we place on them (including SFG's dividend drop off study) do not give us cause to move from the estimate</w:t>
      </w:r>
      <w:r w:rsidR="00313C79">
        <w:t xml:space="preserve"> of the value of imputation credits that we</w:t>
      </w:r>
      <w:r>
        <w:t xml:space="preserve"> </w:t>
      </w:r>
      <w:r w:rsidR="00313C79">
        <w:t>determine</w:t>
      </w:r>
      <w:r>
        <w:t xml:space="preserve"> with regard to evidence from </w:t>
      </w:r>
      <w:r w:rsidR="00313C79">
        <w:t xml:space="preserve">the </w:t>
      </w:r>
      <w:r>
        <w:t>equity ownership approach and tax statistics.</w:t>
      </w:r>
      <w:r w:rsidR="003C7B9C">
        <w:t xml:space="preserve"> </w:t>
      </w:r>
      <w:r w:rsidR="00D02BD1">
        <w:t xml:space="preserve">In response to </w:t>
      </w:r>
      <w:r w:rsidR="001365AD">
        <w:t>Gray</w:t>
      </w:r>
      <w:r w:rsidR="00D02BD1">
        <w:t xml:space="preserve">'s comments </w:t>
      </w:r>
      <w:r w:rsidR="001365AD">
        <w:t xml:space="preserve">(for Frontier) </w:t>
      </w:r>
      <w:r w:rsidR="00D02BD1">
        <w:t>on our</w:t>
      </w:r>
      <w:r w:rsidR="000C33D0">
        <w:t xml:space="preserve"> consideration of "pre-2000 and low-quality studies"</w:t>
      </w:r>
      <w:r w:rsidR="000C33D0">
        <w:rPr>
          <w:rStyle w:val="FootnoteReference"/>
        </w:rPr>
        <w:footnoteReference w:id="119"/>
      </w:r>
      <w:r w:rsidR="00CF4D6D">
        <w:t xml:space="preserve"> </w:t>
      </w:r>
      <w:r w:rsidR="000C33D0">
        <w:t>w</w:t>
      </w:r>
      <w:r w:rsidR="00714FCB">
        <w:t xml:space="preserve">e note that </w:t>
      </w:r>
      <w:r w:rsidR="0079277D">
        <w:t xml:space="preserve">our </w:t>
      </w:r>
      <w:r w:rsidR="00714FCB">
        <w:t>having regard to more studies</w:t>
      </w:r>
      <w:r w:rsidR="00312D30">
        <w:t xml:space="preserve"> since the Guideline</w:t>
      </w:r>
      <w:r w:rsidR="00714FCB">
        <w:t>, including those that use pre 2000 data</w:t>
      </w:r>
      <w:r w:rsidR="000C33D0">
        <w:t xml:space="preserve"> and </w:t>
      </w:r>
      <w:r w:rsidR="0079277D">
        <w:t xml:space="preserve">those that </w:t>
      </w:r>
      <w:r w:rsidR="000C33D0">
        <w:t>estimate a value for theta between 0.5 and 1</w:t>
      </w:r>
      <w:r w:rsidR="00714FCB">
        <w:t xml:space="preserve">, </w:t>
      </w:r>
      <w:r w:rsidR="0079277D">
        <w:t>wa</w:t>
      </w:r>
      <w:r w:rsidR="00714FCB">
        <w:t>s not material t</w:t>
      </w:r>
      <w:r w:rsidR="00664462">
        <w:t>o</w:t>
      </w:r>
      <w:r w:rsidR="00714FCB">
        <w:t xml:space="preserve"> our decision to set gamma at 0.4, and that we </w:t>
      </w:r>
      <w:r w:rsidR="001365AD">
        <w:t xml:space="preserve">have </w:t>
      </w:r>
      <w:r w:rsidR="00714FCB">
        <w:t xml:space="preserve">had particular regard to SFG's dividend drop off study in making our decision.  </w:t>
      </w:r>
    </w:p>
    <w:p w14:paraId="15ACF987" w14:textId="77777777" w:rsidR="008D1665" w:rsidRPr="004C6F08" w:rsidRDefault="008D1665" w:rsidP="008D1665">
      <w:pPr>
        <w:pStyle w:val="HeadingBoldItalic"/>
        <w:numPr>
          <w:ilvl w:val="0"/>
          <w:numId w:val="25"/>
        </w:numPr>
      </w:pPr>
      <w:r w:rsidRPr="004C6F08">
        <w:t>Responses to key issues raised by stakeholders</w:t>
      </w:r>
    </w:p>
    <w:p w14:paraId="27ED6A90" w14:textId="6E6570C4" w:rsidR="006E1716" w:rsidRDefault="006E1716" w:rsidP="008D1665">
      <w:pPr>
        <w:numPr>
          <w:ilvl w:val="0"/>
          <w:numId w:val="25"/>
        </w:numPr>
      </w:pPr>
      <w:r>
        <w:t xml:space="preserve">The </w:t>
      </w:r>
      <w:r w:rsidR="00510DA0">
        <w:t xml:space="preserve">majority of </w:t>
      </w:r>
      <w:r>
        <w:t>service providers submitted that implied market value studies are direct evidence on the value of imputation credits to investors, and that this value will reflect the transactions costs or other personal costs incurred in redeeming credits.</w:t>
      </w:r>
      <w:r>
        <w:rPr>
          <w:rStyle w:val="FootnoteReference"/>
        </w:rPr>
        <w:footnoteReference w:id="120"/>
      </w:r>
      <w:r>
        <w:t xml:space="preserve"> </w:t>
      </w:r>
      <w:r w:rsidR="000D5ED8">
        <w:t>However</w:t>
      </w:r>
      <w:r>
        <w:t>, we consider that the utilisation rate relates to the before-personal-tax and before-personal-costs utilisation value to investors in the market per dollar of imputation credits distributed.</w:t>
      </w:r>
      <w:r w:rsidR="000D5ED8">
        <w:t xml:space="preserve"> As discussed in section</w:t>
      </w:r>
      <w:r w:rsidR="00650984">
        <w:t xml:space="preserve">s </w:t>
      </w:r>
      <w:r w:rsidR="00650984">
        <w:fldChar w:fldCharType="begin"/>
      </w:r>
      <w:r w:rsidR="00650984">
        <w:instrText xml:space="preserve"> REF _Ref415144114 \r \h </w:instrText>
      </w:r>
      <w:r w:rsidR="00650984">
        <w:fldChar w:fldCharType="separate"/>
      </w:r>
      <w:r w:rsidR="001E2164">
        <w:t>A.5</w:t>
      </w:r>
      <w:r w:rsidR="00650984">
        <w:fldChar w:fldCharType="end"/>
      </w:r>
      <w:r w:rsidR="00650984">
        <w:t>,</w:t>
      </w:r>
      <w:r w:rsidR="000D5ED8">
        <w:t xml:space="preserve"> </w:t>
      </w:r>
      <w:r w:rsidR="000D5ED8">
        <w:fldChar w:fldCharType="begin"/>
      </w:r>
      <w:r w:rsidR="000D5ED8">
        <w:instrText xml:space="preserve"> REF _Ref400965182 \r \h </w:instrText>
      </w:r>
      <w:r w:rsidR="000D5ED8">
        <w:fldChar w:fldCharType="separate"/>
      </w:r>
      <w:r w:rsidR="001E2164">
        <w:t>A.6</w:t>
      </w:r>
      <w:r w:rsidR="000D5ED8">
        <w:fldChar w:fldCharType="end"/>
      </w:r>
      <w:r w:rsidR="000D5ED8">
        <w:t>,</w:t>
      </w:r>
      <w:r w:rsidR="00650984">
        <w:t xml:space="preserve"> </w:t>
      </w:r>
      <w:r w:rsidR="00650984">
        <w:fldChar w:fldCharType="begin"/>
      </w:r>
      <w:r w:rsidR="00650984">
        <w:instrText xml:space="preserve"> REF _Ref414282622 \r \h </w:instrText>
      </w:r>
      <w:r w:rsidR="00650984">
        <w:fldChar w:fldCharType="separate"/>
      </w:r>
      <w:r w:rsidR="001E2164">
        <w:t>A.7</w:t>
      </w:r>
      <w:r w:rsidR="00650984">
        <w:fldChar w:fldCharType="end"/>
      </w:r>
      <w:r w:rsidR="00650984">
        <w:t xml:space="preserve"> and </w:t>
      </w:r>
      <w:r w:rsidR="00650984">
        <w:fldChar w:fldCharType="begin"/>
      </w:r>
      <w:r w:rsidR="00650984">
        <w:instrText xml:space="preserve"> REF _Ref401748758 \r \h </w:instrText>
      </w:r>
      <w:r w:rsidR="00650984">
        <w:fldChar w:fldCharType="separate"/>
      </w:r>
      <w:r w:rsidR="001E2164">
        <w:t>A.8.1</w:t>
      </w:r>
      <w:r w:rsidR="00650984">
        <w:fldChar w:fldCharType="end"/>
      </w:r>
      <w:r w:rsidR="00650984">
        <w:t>,</w:t>
      </w:r>
      <w:r w:rsidR="000D5ED8">
        <w:t xml:space="preserve"> we estimate the utilisation rate in this way in order to be consistent with the Officer framework, </w:t>
      </w:r>
      <w:r w:rsidR="00481511">
        <w:t xml:space="preserve">which provides the </w:t>
      </w:r>
      <w:r w:rsidR="000D5ED8">
        <w:t>basis for the rate of return framework in the NER/NGR</w:t>
      </w:r>
      <w:r w:rsidR="00756996">
        <w:t>, and we consider</w:t>
      </w:r>
      <w:r w:rsidR="00375483">
        <w:t>, and remain of the view having had regard to the new information considered since our JGN decision was released in June 2015, that</w:t>
      </w:r>
      <w:r w:rsidR="00756996">
        <w:t xml:space="preserve"> our estimation of the utilisation rate is consistent with a valid interpretation of the "value of imputation credits" in clause 6.5.3 of the Rules.</w:t>
      </w:r>
      <w:r>
        <w:t xml:space="preserve"> Therefore, we do not consider that implied market value studies provide direct evidence on the utilisation rate, and this is reflected in the lower level of reliance we place on these studies.</w:t>
      </w:r>
      <w:r w:rsidR="00A7708F">
        <w:t xml:space="preserve"> </w:t>
      </w:r>
    </w:p>
    <w:p w14:paraId="5A1DEAD5" w14:textId="6118C6C1" w:rsidR="00A96BBA" w:rsidRDefault="00AA0E9F" w:rsidP="008D1665">
      <w:pPr>
        <w:numPr>
          <w:ilvl w:val="0"/>
          <w:numId w:val="25"/>
        </w:numPr>
      </w:pPr>
      <w:r>
        <w:t xml:space="preserve"> A number of</w:t>
      </w:r>
      <w:r w:rsidR="006E1716">
        <w:t xml:space="preserve"> service providers also submitted that:</w:t>
      </w:r>
    </w:p>
    <w:p w14:paraId="48C6C306" w14:textId="1799FAAD" w:rsidR="006E1716" w:rsidRDefault="006B6E4A" w:rsidP="006E1716">
      <w:pPr>
        <w:pStyle w:val="AERbulletlistfirststyle"/>
      </w:pPr>
      <w:r>
        <w:t>t</w:t>
      </w:r>
      <w:r w:rsidR="006E1716">
        <w:t>he use of implied market value studies to estimate the value of imputation credits is consistent with the approach to estimating other rate of return parameters</w:t>
      </w:r>
      <w:r w:rsidR="00EA6B60">
        <w:rPr>
          <w:rStyle w:val="FootnoteReference"/>
        </w:rPr>
        <w:footnoteReference w:id="121"/>
      </w:r>
    </w:p>
    <w:p w14:paraId="0C348843" w14:textId="3B5021F4" w:rsidR="006E1716" w:rsidRDefault="006B6E4A" w:rsidP="006E1716">
      <w:pPr>
        <w:pStyle w:val="AERbulletlistfirststyle"/>
      </w:pPr>
      <w:r>
        <w:lastRenderedPageBreak/>
        <w:t>a</w:t>
      </w:r>
      <w:r w:rsidR="00C20980">
        <w:t>n adjustment can be made to the results of SFG's dividend drop off study to account for the differences between our and the service providers' interpretation</w:t>
      </w:r>
      <w:r w:rsidR="00E76C30">
        <w:t>s</w:t>
      </w:r>
      <w:r w:rsidR="00C20980">
        <w:t xml:space="preserve"> of the utilisation rate</w:t>
      </w:r>
      <w:r>
        <w:t>,</w:t>
      </w:r>
      <w:r w:rsidR="00EA6B60">
        <w:rPr>
          <w:rStyle w:val="FootnoteReference"/>
        </w:rPr>
        <w:footnoteReference w:id="122"/>
      </w:r>
      <w:r>
        <w:t xml:space="preserve"> and</w:t>
      </w:r>
    </w:p>
    <w:p w14:paraId="565C25F7" w14:textId="211E2783" w:rsidR="00C20980" w:rsidRDefault="006B6E4A" w:rsidP="006E1716">
      <w:pPr>
        <w:pStyle w:val="AERbulletlistfirststyle"/>
      </w:pPr>
      <w:proofErr w:type="gramStart"/>
      <w:r>
        <w:t>s</w:t>
      </w:r>
      <w:r w:rsidR="00C20980">
        <w:t>everal</w:t>
      </w:r>
      <w:proofErr w:type="gramEnd"/>
      <w:r w:rsidR="00C20980">
        <w:t xml:space="preserve"> of the limitations </w:t>
      </w:r>
      <w:r w:rsidR="00E76C30">
        <w:t>that</w:t>
      </w:r>
      <w:r w:rsidR="00C20980">
        <w:t xml:space="preserve"> we have identified as potentially applying to implied market value studies do not apply to SFG's dividend drop off study.</w:t>
      </w:r>
      <w:r w:rsidR="00EA6B60">
        <w:rPr>
          <w:rStyle w:val="FootnoteReference"/>
        </w:rPr>
        <w:footnoteReference w:id="123"/>
      </w:r>
    </w:p>
    <w:p w14:paraId="28295457" w14:textId="77777777" w:rsidR="004F6A0E" w:rsidRDefault="00193E3A" w:rsidP="002C233C">
      <w:pPr>
        <w:numPr>
          <w:ilvl w:val="0"/>
          <w:numId w:val="25"/>
        </w:numPr>
      </w:pPr>
      <w:r>
        <w:t>We disagree with all of these points and our rea</w:t>
      </w:r>
      <w:r w:rsidR="00C31B22">
        <w:t xml:space="preserve">sons are set out in section </w:t>
      </w:r>
      <w:r w:rsidR="00C31B22">
        <w:fldChar w:fldCharType="begin"/>
      </w:r>
      <w:r w:rsidR="00C31B22">
        <w:instrText xml:space="preserve"> REF _Ref401080753 \r \h </w:instrText>
      </w:r>
      <w:r w:rsidR="00C31B22">
        <w:fldChar w:fldCharType="separate"/>
      </w:r>
      <w:r w:rsidR="001E2164">
        <w:t>A.14</w:t>
      </w:r>
      <w:r w:rsidR="00C31B22">
        <w:fldChar w:fldCharType="end"/>
      </w:r>
      <w:r>
        <w:t xml:space="preserve"> of appendix A.</w:t>
      </w:r>
    </w:p>
    <w:p w14:paraId="54955EC0" w14:textId="77777777" w:rsidR="00091B15" w:rsidRDefault="00B168A4" w:rsidP="00091B15">
      <w:pPr>
        <w:pStyle w:val="Heading7"/>
      </w:pPr>
      <w:bookmarkStart w:id="40" w:name="_Toc433449211"/>
      <w:r>
        <w:lastRenderedPageBreak/>
        <w:t>Value of imputation credits: Detailed analysis</w:t>
      </w:r>
      <w:bookmarkEnd w:id="40"/>
    </w:p>
    <w:p w14:paraId="0160E118" w14:textId="18FBB632" w:rsidR="00076A67" w:rsidRPr="00076A67" w:rsidRDefault="00076A67" w:rsidP="00076A67">
      <w:r w:rsidRPr="00076A67">
        <w:t xml:space="preserve">In attachment 4, we set out our </w:t>
      </w:r>
      <w:r w:rsidR="00491828">
        <w:t>decision</w:t>
      </w:r>
      <w:r w:rsidRPr="00076A67">
        <w:t xml:space="preserve"> on the value of imputation credits—which is to adopt a value of 0.4—and our key reasons for that </w:t>
      </w:r>
      <w:r w:rsidR="00491828">
        <w:t>view</w:t>
      </w:r>
      <w:r w:rsidRPr="00076A67">
        <w:t xml:space="preserve">. We also indicated the position submitted to us by </w:t>
      </w:r>
      <w:r w:rsidR="009D11C4">
        <w:t xml:space="preserve">the </w:t>
      </w:r>
      <w:r w:rsidRPr="00076A67">
        <w:t xml:space="preserve">service providers and briefly set out our consideration of that position. In this appendix, we set out further supporting material for our </w:t>
      </w:r>
      <w:r w:rsidR="00491828">
        <w:t>decision</w:t>
      </w:r>
      <w:r w:rsidRPr="00076A67">
        <w:t xml:space="preserve"> on the value of imputation credits. We also respond in more detail to the position submitted to us by </w:t>
      </w:r>
      <w:r w:rsidR="009D11C4">
        <w:t xml:space="preserve">the </w:t>
      </w:r>
      <w:r w:rsidRPr="00076A67">
        <w:t>service providers.</w:t>
      </w:r>
    </w:p>
    <w:p w14:paraId="7CA7F410" w14:textId="264969EC" w:rsidR="00B168A4" w:rsidRPr="00B168A4" w:rsidRDefault="00076A67" w:rsidP="00076A67">
      <w:r w:rsidRPr="00076A67">
        <w:t xml:space="preserve">All </w:t>
      </w:r>
      <w:r w:rsidR="009D11C4">
        <w:t xml:space="preserve">of the </w:t>
      </w:r>
      <w:r w:rsidRPr="00076A67">
        <w:t xml:space="preserve">service providers proposed a value of imputation credits of 0.25. The reasons submitted by </w:t>
      </w:r>
      <w:r w:rsidR="009D11C4">
        <w:t>the</w:t>
      </w:r>
      <w:r w:rsidR="009D11C4" w:rsidRPr="00076A67">
        <w:t xml:space="preserve"> </w:t>
      </w:r>
      <w:r w:rsidRPr="00076A67">
        <w:t xml:space="preserve">service providers </w:t>
      </w:r>
      <w:r w:rsidR="00777A49">
        <w:t xml:space="preserve">in their initial and revised proposals </w:t>
      </w:r>
      <w:r w:rsidR="00EF4770" w:rsidRPr="00076A67">
        <w:t>w</w:t>
      </w:r>
      <w:r w:rsidR="00EF4770">
        <w:t>e</w:t>
      </w:r>
      <w:r w:rsidR="00EF4770" w:rsidRPr="00076A67">
        <w:t>re</w:t>
      </w:r>
      <w:r w:rsidRPr="00076A67">
        <w:t xml:space="preserve"> largely the same and the </w:t>
      </w:r>
      <w:r w:rsidR="00A221C0">
        <w:t xml:space="preserve">majority of the </w:t>
      </w:r>
      <w:r w:rsidRPr="00076A67">
        <w:t>service p</w:t>
      </w:r>
      <w:r w:rsidR="00777A49">
        <w:t xml:space="preserve">roviders jointly commissioned </w:t>
      </w:r>
      <w:r w:rsidRPr="00076A67">
        <w:t>report</w:t>
      </w:r>
      <w:r w:rsidR="00777A49">
        <w:t>s</w:t>
      </w:r>
      <w:r w:rsidRPr="00076A67">
        <w:t xml:space="preserve"> from SFG </w:t>
      </w:r>
      <w:r w:rsidR="00A62897">
        <w:t>(by</w:t>
      </w:r>
      <w:r w:rsidR="002C1CFB">
        <w:t xml:space="preserve"> </w:t>
      </w:r>
      <w:r w:rsidR="00A62897">
        <w:t xml:space="preserve">Gray) </w:t>
      </w:r>
      <w:r w:rsidRPr="00076A67">
        <w:t xml:space="preserve">and relied on </w:t>
      </w:r>
      <w:r w:rsidR="00777A49">
        <w:t>those</w:t>
      </w:r>
      <w:r w:rsidRPr="00076A67">
        <w:t xml:space="preserve"> report</w:t>
      </w:r>
      <w:r w:rsidR="00777A49">
        <w:t>s</w:t>
      </w:r>
      <w:r w:rsidRPr="00076A67">
        <w:t xml:space="preserve"> in their proposals</w:t>
      </w:r>
      <w:r w:rsidR="00693024">
        <w:t>. In addition, while the majority of service providers with decisions to be released in October and November</w:t>
      </w:r>
      <w:r w:rsidR="00E07815">
        <w:t xml:space="preserve"> 2015</w:t>
      </w:r>
      <w:r w:rsidR="00693024">
        <w:t xml:space="preserve"> jointly commissioned new reports post the release of our JGN decision from NERA and </w:t>
      </w:r>
      <w:r w:rsidR="00E07815">
        <w:t xml:space="preserve">Gray (for </w:t>
      </w:r>
      <w:r w:rsidR="00693024">
        <w:t>Frontier</w:t>
      </w:r>
      <w:r w:rsidR="00E07815">
        <w:t>)</w:t>
      </w:r>
      <w:r w:rsidR="00693024">
        <w:t>, the substance of these reports is largely unchanged from earlier expert material submitted by the service providers and considered in our JGN decision</w:t>
      </w:r>
      <w:r w:rsidRPr="00076A67">
        <w:t xml:space="preserve">. Accordingly, our analysis in this appendix is </w:t>
      </w:r>
      <w:r w:rsidR="00EC3176">
        <w:t>broadly</w:t>
      </w:r>
      <w:r w:rsidRPr="00076A67">
        <w:t xml:space="preserve"> consistent with our analysis of the proposals from </w:t>
      </w:r>
      <w:r w:rsidR="00EC3176">
        <w:t>the</w:t>
      </w:r>
      <w:r w:rsidR="00EC3176" w:rsidRPr="00076A67">
        <w:t xml:space="preserve"> </w:t>
      </w:r>
      <w:r w:rsidRPr="00076A67">
        <w:t>service providers</w:t>
      </w:r>
      <w:r w:rsidR="00A221C0">
        <w:t xml:space="preserve"> that we releas</w:t>
      </w:r>
      <w:r w:rsidR="004C7303">
        <w:t xml:space="preserve">ed decision for in April and </w:t>
      </w:r>
      <w:r w:rsidR="00ED0B08">
        <w:t>June</w:t>
      </w:r>
      <w:r w:rsidR="004C7303">
        <w:t xml:space="preserve"> 2015</w:t>
      </w:r>
      <w:r w:rsidRPr="00076A67">
        <w:t>.</w:t>
      </w:r>
      <w:r w:rsidR="00EC3176">
        <w:t xml:space="preserve"> The only material difference between this appendix and the appendi</w:t>
      </w:r>
      <w:r w:rsidR="00E07815">
        <w:t>x</w:t>
      </w:r>
      <w:r w:rsidR="00EC3176">
        <w:t xml:space="preserve"> for </w:t>
      </w:r>
      <w:r w:rsidR="004C7303">
        <w:t xml:space="preserve">our </w:t>
      </w:r>
      <w:r w:rsidR="00ED0B08">
        <w:t>June</w:t>
      </w:r>
      <w:r w:rsidR="004C7303">
        <w:t xml:space="preserve"> 2015 Jemena Gas Networks (JGN) </w:t>
      </w:r>
      <w:proofErr w:type="gramStart"/>
      <w:r w:rsidR="004C7303">
        <w:t xml:space="preserve">determination </w:t>
      </w:r>
      <w:r w:rsidR="00EC3176">
        <w:t xml:space="preserve"> is</w:t>
      </w:r>
      <w:proofErr w:type="gramEnd"/>
      <w:r w:rsidR="00EC3176">
        <w:t xml:space="preserve"> that we have in this appendix had regard to </w:t>
      </w:r>
      <w:r w:rsidR="0079277D">
        <w:t>the new pro</w:t>
      </w:r>
      <w:r w:rsidR="00AF3603">
        <w:t>posals (revised proposal of SA Power Networks</w:t>
      </w:r>
      <w:r w:rsidR="0079277D">
        <w:t xml:space="preserve">, Energex and Ergon, and new </w:t>
      </w:r>
      <w:r w:rsidR="00EF4770">
        <w:t>proposals</w:t>
      </w:r>
      <w:r w:rsidR="0079277D">
        <w:t xml:space="preserve"> of the Victorian </w:t>
      </w:r>
      <w:r w:rsidR="001D4E56">
        <w:t>service providers</w:t>
      </w:r>
      <w:r w:rsidR="0079277D">
        <w:t xml:space="preserve"> and the 2015 gas </w:t>
      </w:r>
      <w:r w:rsidR="001D4E56">
        <w:t>network service providers</w:t>
      </w:r>
      <w:r w:rsidR="0079277D">
        <w:t xml:space="preserve">) and submissions on these </w:t>
      </w:r>
      <w:r w:rsidR="00EF4770">
        <w:t>proposals</w:t>
      </w:r>
      <w:r w:rsidR="0079277D">
        <w:t xml:space="preserve"> and </w:t>
      </w:r>
      <w:r w:rsidR="00EC3176">
        <w:t xml:space="preserve">new expert reports from NERA and </w:t>
      </w:r>
      <w:r w:rsidR="00A62897">
        <w:t xml:space="preserve">Gray (for </w:t>
      </w:r>
      <w:r w:rsidR="00693024">
        <w:t>Frontier</w:t>
      </w:r>
      <w:r w:rsidR="00A62897">
        <w:t>)</w:t>
      </w:r>
      <w:r w:rsidR="00EC3176">
        <w:t>.</w:t>
      </w:r>
      <w:r w:rsidR="00EC3176">
        <w:rPr>
          <w:rStyle w:val="FootnoteReference"/>
        </w:rPr>
        <w:footnoteReference w:id="124"/>
      </w:r>
      <w:r w:rsidR="00B63676">
        <w:t xml:space="preserve"> </w:t>
      </w:r>
      <w:r w:rsidR="004C7303">
        <w:t xml:space="preserve">We also note that the JGN decision was an update from the AER decisions releases in April 2015, and the only </w:t>
      </w:r>
      <w:r w:rsidR="00EF4770">
        <w:t>material</w:t>
      </w:r>
      <w:r w:rsidR="004C7303">
        <w:t xml:space="preserve"> </w:t>
      </w:r>
      <w:r w:rsidR="00EF4770">
        <w:t>difference</w:t>
      </w:r>
      <w:r w:rsidR="004C7303">
        <w:t xml:space="preserve"> between the JGN decision and the April 2015 AER decisions was </w:t>
      </w:r>
      <w:r w:rsidR="002E1251">
        <w:t xml:space="preserve">that </w:t>
      </w:r>
      <w:r w:rsidR="004C7303">
        <w:t>we had regard to new expert reports from NERA and Handley.</w:t>
      </w:r>
      <w:r w:rsidR="004C7303">
        <w:rPr>
          <w:rStyle w:val="FootnoteReference"/>
        </w:rPr>
        <w:footnoteReference w:id="125"/>
      </w:r>
    </w:p>
    <w:p w14:paraId="524AF94E" w14:textId="77777777" w:rsidR="00091B15" w:rsidRDefault="000222ED" w:rsidP="00091B15">
      <w:pPr>
        <w:pStyle w:val="Heading8"/>
      </w:pPr>
      <w:bookmarkStart w:id="41" w:name="_Ref414621676"/>
      <w:bookmarkStart w:id="42" w:name="_Toc433449212"/>
      <w:r>
        <w:t>Expert views on the value of imputation credits</w:t>
      </w:r>
      <w:bookmarkEnd w:id="41"/>
      <w:bookmarkEnd w:id="42"/>
    </w:p>
    <w:p w14:paraId="214B1581" w14:textId="7A54C054" w:rsidR="000222ED" w:rsidRDefault="00A36459" w:rsidP="000222ED">
      <w:r>
        <w:t xml:space="preserve">We, other regulators, service providers and consumer representatives have commissioned expert advice on the value of imputation credits from a range of experts in the context of a number of regulatory processes. These expert reports demonstrate that there is no consensus among experts on either the value of imputation credits (particularly for the utilisation rate parameter), nor on the techniques to estimate it. </w:t>
      </w:r>
      <w:r>
        <w:fldChar w:fldCharType="begin"/>
      </w:r>
      <w:r>
        <w:instrText xml:space="preserve"> REF _Ref400609043 \h </w:instrText>
      </w:r>
      <w:r>
        <w:fldChar w:fldCharType="separate"/>
      </w:r>
      <w:r w:rsidR="001E2164" w:rsidRPr="009421A7">
        <w:t xml:space="preserve">Table </w:t>
      </w:r>
      <w:r w:rsidR="001E2164">
        <w:rPr>
          <w:noProof/>
        </w:rPr>
        <w:t>4</w:t>
      </w:r>
      <w:r w:rsidR="001E2164">
        <w:noBreakHyphen/>
      </w:r>
      <w:r w:rsidR="001E2164">
        <w:rPr>
          <w:noProof/>
        </w:rPr>
        <w:t>3</w:t>
      </w:r>
      <w:r>
        <w:fldChar w:fldCharType="end"/>
      </w:r>
      <w:r>
        <w:t xml:space="preserve"> summarises recent expert advice of which we are aware. We have considered the advice from each of these experts in forming our position on the value of imputation credits.</w:t>
      </w:r>
      <w:r w:rsidR="004C7303">
        <w:t xml:space="preserve"> For this final decision the AER has considered the new </w:t>
      </w:r>
      <w:r w:rsidR="00BB6681">
        <w:t xml:space="preserve">expert </w:t>
      </w:r>
      <w:r w:rsidR="004C7303">
        <w:t xml:space="preserve">reports </w:t>
      </w:r>
      <w:r w:rsidR="00BB6681">
        <w:t xml:space="preserve">from the NSPs internally </w:t>
      </w:r>
      <w:r w:rsidR="004C7303">
        <w:t>and has not commissioned further expert a</w:t>
      </w:r>
      <w:r w:rsidR="00BB6681">
        <w:t>dvice</w:t>
      </w:r>
      <w:r w:rsidR="004C7303">
        <w:t>.</w:t>
      </w:r>
      <w:r w:rsidR="00BB6681">
        <w:t xml:space="preserve"> We consider the new expert reports</w:t>
      </w:r>
      <w:r w:rsidR="004E30F8">
        <w:t xml:space="preserve"> from the service </w:t>
      </w:r>
      <w:r w:rsidR="004E30F8">
        <w:lastRenderedPageBreak/>
        <w:t xml:space="preserve">providers do not provide new evidence to justify a </w:t>
      </w:r>
      <w:r w:rsidR="00BB6681">
        <w:t>depart</w:t>
      </w:r>
      <w:r w:rsidR="004E30F8">
        <w:t>ure</w:t>
      </w:r>
      <w:r w:rsidR="00BB6681">
        <w:t xml:space="preserve"> from the </w:t>
      </w:r>
      <w:r w:rsidR="004E30F8">
        <w:t xml:space="preserve">position we adopted in the </w:t>
      </w:r>
      <w:r w:rsidR="00BB6681">
        <w:t>decision</w:t>
      </w:r>
      <w:r w:rsidR="004E30F8">
        <w:t>s</w:t>
      </w:r>
      <w:r w:rsidR="00BB6681">
        <w:t xml:space="preserve"> we released in April and </w:t>
      </w:r>
      <w:r w:rsidR="00ED0B08">
        <w:t>June</w:t>
      </w:r>
      <w:r w:rsidR="00BB6681">
        <w:t xml:space="preserve"> 2015.</w:t>
      </w:r>
      <w:r w:rsidR="003E0AD9">
        <w:t xml:space="preserve"> </w:t>
      </w:r>
      <w:r w:rsidR="00BB6681">
        <w:t xml:space="preserve"> </w:t>
      </w:r>
    </w:p>
    <w:p w14:paraId="5884CC7B" w14:textId="77777777" w:rsidR="00A36459" w:rsidRDefault="00A36459" w:rsidP="00A36459">
      <w:pPr>
        <w:pStyle w:val="Caption"/>
      </w:pPr>
      <w:bookmarkStart w:id="43" w:name="_Ref400609043"/>
      <w:r w:rsidRPr="009421A7">
        <w:t xml:space="preserve">Table </w:t>
      </w:r>
      <w:r w:rsidR="00D70292">
        <w:fldChar w:fldCharType="begin"/>
      </w:r>
      <w:r w:rsidR="00D70292">
        <w:instrText xml:space="preserve"> STYLEREF 1 \s </w:instrText>
      </w:r>
      <w:r w:rsidR="00D70292">
        <w:fldChar w:fldCharType="separate"/>
      </w:r>
      <w:r w:rsidR="001E2164">
        <w:rPr>
          <w:noProof/>
        </w:rPr>
        <w:t>4</w:t>
      </w:r>
      <w:r w:rsidR="00D70292">
        <w:rPr>
          <w:noProof/>
        </w:rPr>
        <w:fldChar w:fldCharType="end"/>
      </w:r>
      <w:r w:rsidR="00257FBE">
        <w:noBreakHyphen/>
      </w:r>
      <w:r w:rsidR="00D70292">
        <w:fldChar w:fldCharType="begin"/>
      </w:r>
      <w:r w:rsidR="00D70292">
        <w:instrText xml:space="preserve"> SEQ Table \* ARABIC \s 1 </w:instrText>
      </w:r>
      <w:r w:rsidR="00D70292">
        <w:fldChar w:fldCharType="separate"/>
      </w:r>
      <w:r w:rsidR="001E2164">
        <w:rPr>
          <w:noProof/>
        </w:rPr>
        <w:t>3</w:t>
      </w:r>
      <w:r w:rsidR="00D70292">
        <w:rPr>
          <w:noProof/>
        </w:rPr>
        <w:fldChar w:fldCharType="end"/>
      </w:r>
      <w:bookmarkEnd w:id="43"/>
      <w:r w:rsidRPr="009421A7">
        <w:tab/>
        <w:t xml:space="preserve">Summary of expert views on the </w:t>
      </w:r>
      <w:r>
        <w:t>value of imputation credits</w:t>
      </w:r>
    </w:p>
    <w:tbl>
      <w:tblPr>
        <w:tblStyle w:val="AERtable-text0"/>
        <w:tblW w:w="0" w:type="auto"/>
        <w:tblLook w:val="04A0" w:firstRow="1" w:lastRow="0" w:firstColumn="1" w:lastColumn="0" w:noHBand="0" w:noVBand="1"/>
      </w:tblPr>
      <w:tblGrid>
        <w:gridCol w:w="1562"/>
        <w:gridCol w:w="2560"/>
        <w:gridCol w:w="2560"/>
        <w:gridCol w:w="2560"/>
      </w:tblGrid>
      <w:tr w:rsidR="00D91188" w14:paraId="6C900572"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tcW w:w="1562" w:type="dxa"/>
          </w:tcPr>
          <w:p w14:paraId="79A5639F" w14:textId="77777777" w:rsidR="00A36459" w:rsidRDefault="00A36459" w:rsidP="003C0026">
            <w:pPr>
              <w:numPr>
                <w:ilvl w:val="0"/>
                <w:numId w:val="25"/>
              </w:numPr>
            </w:pPr>
            <w:r w:rsidRPr="005527C3">
              <w:t>Expert</w:t>
            </w:r>
          </w:p>
        </w:tc>
        <w:tc>
          <w:tcPr>
            <w:tcW w:w="2560" w:type="dxa"/>
          </w:tcPr>
          <w:p w14:paraId="58EBBBE7" w14:textId="77777777" w:rsidR="00A36459" w:rsidRDefault="00A36459" w:rsidP="003C0026">
            <w:pPr>
              <w:numPr>
                <w:ilvl w:val="0"/>
                <w:numId w:val="25"/>
              </w:numPr>
            </w:pPr>
            <w:r>
              <w:t>Distribution rate</w:t>
            </w:r>
          </w:p>
        </w:tc>
        <w:tc>
          <w:tcPr>
            <w:tcW w:w="2560" w:type="dxa"/>
          </w:tcPr>
          <w:p w14:paraId="6694718B" w14:textId="77777777" w:rsidR="00A36459" w:rsidRDefault="00A36459" w:rsidP="003C0026">
            <w:pPr>
              <w:numPr>
                <w:ilvl w:val="0"/>
                <w:numId w:val="25"/>
              </w:numPr>
            </w:pPr>
            <w:r>
              <w:t>Utilisation rate</w:t>
            </w:r>
          </w:p>
        </w:tc>
        <w:tc>
          <w:tcPr>
            <w:tcW w:w="2560" w:type="dxa"/>
          </w:tcPr>
          <w:p w14:paraId="67D4DF86" w14:textId="77777777" w:rsidR="00A36459" w:rsidRDefault="00A36459" w:rsidP="003C0026">
            <w:pPr>
              <w:numPr>
                <w:ilvl w:val="0"/>
                <w:numId w:val="25"/>
              </w:numPr>
            </w:pPr>
            <w:r>
              <w:t>Value of imputation credits</w:t>
            </w:r>
          </w:p>
        </w:tc>
      </w:tr>
      <w:tr w:rsidR="00D91188" w14:paraId="41B46D1A" w14:textId="77777777" w:rsidTr="00144D81">
        <w:trPr>
          <w:cantSplit/>
        </w:trPr>
        <w:tc>
          <w:tcPr>
            <w:tcW w:w="1562" w:type="dxa"/>
          </w:tcPr>
          <w:p w14:paraId="6C2DEA96" w14:textId="77777777" w:rsidR="00A36459" w:rsidRPr="005527C3" w:rsidRDefault="00A36459" w:rsidP="003C0026">
            <w:pPr>
              <w:numPr>
                <w:ilvl w:val="0"/>
                <w:numId w:val="25"/>
              </w:numPr>
            </w:pPr>
            <w:r w:rsidRPr="005527C3">
              <w:t>Lally (2013</w:t>
            </w:r>
            <w:r w:rsidR="00384402">
              <w:t>a</w:t>
            </w:r>
            <w:r>
              <w:t>,</w:t>
            </w:r>
            <w:r w:rsidR="00384402">
              <w:t xml:space="preserve"> 2013b, </w:t>
            </w:r>
            <w:r>
              <w:t xml:space="preserve"> 2014</w:t>
            </w:r>
            <w:r w:rsidRPr="005527C3">
              <w:t>)</w:t>
            </w:r>
            <w:r>
              <w:rPr>
                <w:rStyle w:val="FootnoteReference"/>
              </w:rPr>
              <w:footnoteReference w:id="126"/>
            </w:r>
          </w:p>
        </w:tc>
        <w:tc>
          <w:tcPr>
            <w:tcW w:w="2560" w:type="dxa"/>
          </w:tcPr>
          <w:p w14:paraId="388D6637" w14:textId="77777777" w:rsidR="00A36459" w:rsidRPr="005527C3" w:rsidRDefault="00A36459" w:rsidP="003C0026">
            <w:pPr>
              <w:numPr>
                <w:ilvl w:val="0"/>
                <w:numId w:val="25"/>
              </w:numPr>
            </w:pPr>
            <w:r>
              <w:rPr>
                <w:rStyle w:val="Strong"/>
              </w:rPr>
              <w:t>0.84</w:t>
            </w:r>
            <w:r>
              <w:t xml:space="preserve"> using the financial statements of 20 largest ASX-listed companies</w:t>
            </w:r>
          </w:p>
        </w:tc>
        <w:tc>
          <w:tcPr>
            <w:tcW w:w="2560" w:type="dxa"/>
          </w:tcPr>
          <w:p w14:paraId="23973136" w14:textId="77777777" w:rsidR="00A36459" w:rsidRDefault="00A36459" w:rsidP="003C0026">
            <w:pPr>
              <w:numPr>
                <w:ilvl w:val="0"/>
                <w:numId w:val="25"/>
              </w:numPr>
            </w:pPr>
            <w:r w:rsidRPr="00EB7ECD">
              <w:rPr>
                <w:rStyle w:val="Strong"/>
              </w:rPr>
              <w:t>1</w:t>
            </w:r>
            <w:r>
              <w:rPr>
                <w:rStyle w:val="Strong"/>
              </w:rPr>
              <w:t>.0</w:t>
            </w:r>
            <w:r w:rsidRPr="005527C3">
              <w:t>, based on assumption that all investors in the Officer CAPM are domestic investors</w:t>
            </w:r>
          </w:p>
          <w:p w14:paraId="7A47A74D" w14:textId="77777777" w:rsidR="00A36459" w:rsidRPr="005527C3" w:rsidRDefault="00A36459" w:rsidP="003C0026">
            <w:pPr>
              <w:numPr>
                <w:ilvl w:val="0"/>
                <w:numId w:val="25"/>
              </w:numPr>
            </w:pPr>
            <w:r>
              <w:t>0.54 to 0.7, using equity ownership as second preference</w:t>
            </w:r>
          </w:p>
        </w:tc>
        <w:tc>
          <w:tcPr>
            <w:tcW w:w="2560" w:type="dxa"/>
          </w:tcPr>
          <w:p w14:paraId="29EA2824" w14:textId="77777777" w:rsidR="00A36459" w:rsidRDefault="00A36459" w:rsidP="003C0026">
            <w:pPr>
              <w:rPr>
                <w:rStyle w:val="Strong"/>
              </w:rPr>
            </w:pPr>
            <w:r w:rsidRPr="00371594">
              <w:rPr>
                <w:rStyle w:val="Strong"/>
              </w:rPr>
              <w:t>0.</w:t>
            </w:r>
            <w:r>
              <w:rPr>
                <w:rStyle w:val="Strong"/>
              </w:rPr>
              <w:t>84</w:t>
            </w:r>
          </w:p>
          <w:p w14:paraId="1712A79A" w14:textId="77777777" w:rsidR="00D91188" w:rsidRPr="00A36459" w:rsidRDefault="00D91188" w:rsidP="003C0026">
            <w:pPr>
              <w:rPr>
                <w:rStyle w:val="Strong"/>
              </w:rPr>
            </w:pPr>
            <w:r>
              <w:t xml:space="preserve">0.45 to 0.59 using </w:t>
            </w:r>
            <w:r w:rsidRPr="00D91188">
              <w:t>second preference</w:t>
            </w:r>
            <w:r>
              <w:t xml:space="preserve"> utilisation rate</w:t>
            </w:r>
          </w:p>
        </w:tc>
      </w:tr>
      <w:tr w:rsidR="00D91188" w14:paraId="527CA4A2"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41CA5417" w14:textId="77777777" w:rsidR="00A36459" w:rsidRPr="005527C3" w:rsidRDefault="00A36459" w:rsidP="003C0026">
            <w:pPr>
              <w:numPr>
                <w:ilvl w:val="0"/>
                <w:numId w:val="25"/>
              </w:numPr>
            </w:pPr>
            <w:r w:rsidRPr="005527C3">
              <w:t>McKenzie and Partington (2013)</w:t>
            </w:r>
            <w:r>
              <w:rPr>
                <w:rStyle w:val="FootnoteReference"/>
              </w:rPr>
              <w:footnoteReference w:id="127"/>
            </w:r>
          </w:p>
        </w:tc>
        <w:tc>
          <w:tcPr>
            <w:tcW w:w="2560" w:type="dxa"/>
          </w:tcPr>
          <w:p w14:paraId="0A08C170" w14:textId="77777777" w:rsidR="00A36459" w:rsidRPr="005527C3" w:rsidRDefault="00A36459" w:rsidP="003C0026">
            <w:pPr>
              <w:numPr>
                <w:ilvl w:val="0"/>
                <w:numId w:val="25"/>
              </w:numPr>
            </w:pPr>
            <w:r w:rsidRPr="00371594">
              <w:rPr>
                <w:rStyle w:val="Strong"/>
              </w:rPr>
              <w:t>0.7</w:t>
            </w:r>
            <w:r>
              <w:t>, using</w:t>
            </w:r>
            <w:r w:rsidRPr="005527C3">
              <w:t xml:space="preserve"> cumulative payout </w:t>
            </w:r>
            <w:r>
              <w:t xml:space="preserve">ratio </w:t>
            </w:r>
            <w:r w:rsidRPr="005527C3">
              <w:t>approach</w:t>
            </w:r>
            <w:r>
              <w:t xml:space="preserve"> over all equity</w:t>
            </w:r>
          </w:p>
        </w:tc>
        <w:tc>
          <w:tcPr>
            <w:tcW w:w="2560" w:type="dxa"/>
          </w:tcPr>
          <w:p w14:paraId="0CF19951" w14:textId="77777777" w:rsidR="00A36459" w:rsidRPr="005527C3" w:rsidRDefault="00A36459" w:rsidP="003C0026">
            <w:pPr>
              <w:numPr>
                <w:ilvl w:val="0"/>
                <w:numId w:val="25"/>
              </w:numPr>
            </w:pPr>
            <w:r>
              <w:rPr>
                <w:rStyle w:val="Strong"/>
              </w:rPr>
              <w:t>None recommended</w:t>
            </w:r>
            <w:r>
              <w:t>, although estimates considered included 0.7</w:t>
            </w:r>
            <w:r w:rsidR="00EA6FAD">
              <w:t xml:space="preserve"> from AER draft rate of return G</w:t>
            </w:r>
            <w:r>
              <w:t>uideline approach, 0.53 from average of implied market value studies and 0.83 from average of McKenzie and Partington's implied market value studies</w:t>
            </w:r>
          </w:p>
        </w:tc>
        <w:tc>
          <w:tcPr>
            <w:tcW w:w="2560" w:type="dxa"/>
          </w:tcPr>
          <w:p w14:paraId="2B9371AC" w14:textId="77777777" w:rsidR="00A36459" w:rsidRPr="00371594" w:rsidRDefault="00A36459" w:rsidP="003C0026">
            <w:pPr>
              <w:numPr>
                <w:ilvl w:val="0"/>
                <w:numId w:val="25"/>
              </w:numPr>
              <w:rPr>
                <w:rStyle w:val="Strong"/>
              </w:rPr>
            </w:pPr>
            <w:r>
              <w:rPr>
                <w:rStyle w:val="Strong"/>
              </w:rPr>
              <w:t>Evidence not</w:t>
            </w:r>
            <w:r w:rsidRPr="00371594">
              <w:rPr>
                <w:rStyle w:val="Strong"/>
              </w:rPr>
              <w:t xml:space="preserve"> compelling</w:t>
            </w:r>
            <w:r>
              <w:rPr>
                <w:rStyle w:val="Strong"/>
              </w:rPr>
              <w:t xml:space="preserve"> enough</w:t>
            </w:r>
            <w:r w:rsidRPr="00371594">
              <w:rPr>
                <w:rStyle w:val="Strong"/>
              </w:rPr>
              <w:t xml:space="preserve"> to depart from 0.5</w:t>
            </w:r>
          </w:p>
        </w:tc>
      </w:tr>
      <w:tr w:rsidR="00D91188" w14:paraId="5D250DB2" w14:textId="77777777" w:rsidTr="00144D81">
        <w:trPr>
          <w:cantSplit/>
        </w:trPr>
        <w:tc>
          <w:tcPr>
            <w:tcW w:w="1562" w:type="dxa"/>
          </w:tcPr>
          <w:p w14:paraId="12C4A9D4" w14:textId="77777777" w:rsidR="00A36459" w:rsidRPr="005527C3" w:rsidRDefault="00A36459" w:rsidP="003C0026">
            <w:pPr>
              <w:numPr>
                <w:ilvl w:val="0"/>
                <w:numId w:val="25"/>
              </w:numPr>
            </w:pPr>
            <w:r>
              <w:t>Handley (2014)</w:t>
            </w:r>
            <w:r>
              <w:rPr>
                <w:rStyle w:val="FootnoteReference"/>
              </w:rPr>
              <w:footnoteReference w:id="128"/>
            </w:r>
          </w:p>
        </w:tc>
        <w:tc>
          <w:tcPr>
            <w:tcW w:w="2560" w:type="dxa"/>
          </w:tcPr>
          <w:p w14:paraId="1DB3EEBA" w14:textId="77777777" w:rsidR="00A36459" w:rsidRPr="005527C3" w:rsidRDefault="00A36459" w:rsidP="003C0026">
            <w:pPr>
              <w:numPr>
                <w:ilvl w:val="0"/>
                <w:numId w:val="25"/>
              </w:numPr>
            </w:pPr>
            <w:r w:rsidRPr="00371594">
              <w:rPr>
                <w:rStyle w:val="Strong"/>
              </w:rPr>
              <w:t>0.8</w:t>
            </w:r>
            <w:r>
              <w:t xml:space="preserve">, using cumulative payout ratio approach over </w:t>
            </w:r>
            <w:r w:rsidR="001C274C">
              <w:t>only listed equity</w:t>
            </w:r>
            <w:r>
              <w:t xml:space="preserve"> </w:t>
            </w:r>
          </w:p>
        </w:tc>
        <w:tc>
          <w:tcPr>
            <w:tcW w:w="2560" w:type="dxa"/>
          </w:tcPr>
          <w:p w14:paraId="1ADA1EB4" w14:textId="77777777" w:rsidR="00A36459" w:rsidRPr="005527C3" w:rsidRDefault="00A36459" w:rsidP="003C0026">
            <w:pPr>
              <w:numPr>
                <w:ilvl w:val="0"/>
                <w:numId w:val="25"/>
              </w:numPr>
            </w:pPr>
            <w:r w:rsidRPr="00371594">
              <w:rPr>
                <w:rStyle w:val="Strong"/>
              </w:rPr>
              <w:t>0.5 to 0.6</w:t>
            </w:r>
            <w:r>
              <w:t>, with regard to (in order of importance) equity ownership approach, tax statistics and dividend drop off studies</w:t>
            </w:r>
          </w:p>
        </w:tc>
        <w:tc>
          <w:tcPr>
            <w:tcW w:w="2560" w:type="dxa"/>
          </w:tcPr>
          <w:p w14:paraId="3CD89DA8" w14:textId="77777777" w:rsidR="00A36459" w:rsidRPr="00371594" w:rsidRDefault="00A36459" w:rsidP="003C0026">
            <w:pPr>
              <w:numPr>
                <w:ilvl w:val="0"/>
                <w:numId w:val="25"/>
              </w:numPr>
              <w:rPr>
                <w:rStyle w:val="Strong"/>
              </w:rPr>
            </w:pPr>
            <w:r w:rsidRPr="00371594">
              <w:rPr>
                <w:rStyle w:val="Strong"/>
              </w:rPr>
              <w:t>0.4 to 0.5</w:t>
            </w:r>
          </w:p>
        </w:tc>
      </w:tr>
      <w:tr w:rsidR="00A34FE2" w14:paraId="054FD62C"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718B536E" w14:textId="77777777" w:rsidR="00A34FE2" w:rsidRPr="005527C3" w:rsidRDefault="00A34FE2" w:rsidP="003C0026">
            <w:pPr>
              <w:numPr>
                <w:ilvl w:val="0"/>
                <w:numId w:val="25"/>
              </w:numPr>
            </w:pPr>
            <w:r>
              <w:t>SACES (2015)</w:t>
            </w:r>
            <w:r>
              <w:rPr>
                <w:rStyle w:val="FootnoteReference"/>
              </w:rPr>
              <w:footnoteReference w:id="129"/>
            </w:r>
          </w:p>
        </w:tc>
        <w:tc>
          <w:tcPr>
            <w:tcW w:w="2560" w:type="dxa"/>
          </w:tcPr>
          <w:p w14:paraId="090CA723" w14:textId="77777777" w:rsidR="00A34FE2" w:rsidRPr="00371594" w:rsidRDefault="00253C46" w:rsidP="003C0026">
            <w:pPr>
              <w:rPr>
                <w:rStyle w:val="Strong"/>
              </w:rPr>
            </w:pPr>
            <w:r w:rsidRPr="00AF3A97">
              <w:rPr>
                <w:rStyle w:val="Strong"/>
              </w:rPr>
              <w:t>0.8</w:t>
            </w:r>
            <w:r>
              <w:t xml:space="preserve">, using cumulative payout ratio approach over </w:t>
            </w:r>
            <w:r w:rsidR="001C274C">
              <w:t>only listed equity</w:t>
            </w:r>
          </w:p>
        </w:tc>
        <w:tc>
          <w:tcPr>
            <w:tcW w:w="2560" w:type="dxa"/>
          </w:tcPr>
          <w:p w14:paraId="4574AD13" w14:textId="77777777" w:rsidR="00A34FE2" w:rsidRPr="00371594" w:rsidRDefault="00253C46" w:rsidP="003C0026">
            <w:pPr>
              <w:numPr>
                <w:ilvl w:val="0"/>
                <w:numId w:val="25"/>
              </w:numPr>
              <w:rPr>
                <w:rStyle w:val="Strong"/>
              </w:rPr>
            </w:pPr>
            <w:r w:rsidRPr="00AF3A97">
              <w:rPr>
                <w:rStyle w:val="Strong"/>
              </w:rPr>
              <w:t>0.45</w:t>
            </w:r>
            <w:r>
              <w:t xml:space="preserve">, using the average of the estimate from tax statistics (0.43) and the refined domestic ownership share of </w:t>
            </w:r>
            <w:r w:rsidR="001C274C">
              <w:t>only listed equity</w:t>
            </w:r>
            <w:r>
              <w:t xml:space="preserve"> (0.46)</w:t>
            </w:r>
          </w:p>
        </w:tc>
        <w:tc>
          <w:tcPr>
            <w:tcW w:w="2560" w:type="dxa"/>
          </w:tcPr>
          <w:p w14:paraId="2820970F" w14:textId="77777777" w:rsidR="00A34FE2" w:rsidRPr="00AF3A97" w:rsidRDefault="00AF3A97" w:rsidP="003C0026">
            <w:pPr>
              <w:numPr>
                <w:ilvl w:val="0"/>
                <w:numId w:val="25"/>
              </w:numPr>
              <w:rPr>
                <w:rStyle w:val="Strong"/>
              </w:rPr>
            </w:pPr>
            <w:r w:rsidRPr="00AF3A97">
              <w:rPr>
                <w:rStyle w:val="Strong"/>
              </w:rPr>
              <w:t>0.36</w:t>
            </w:r>
          </w:p>
        </w:tc>
      </w:tr>
      <w:tr w:rsidR="00D91188" w14:paraId="237E6520" w14:textId="77777777" w:rsidTr="00144D81">
        <w:trPr>
          <w:cantSplit/>
        </w:trPr>
        <w:tc>
          <w:tcPr>
            <w:tcW w:w="1562" w:type="dxa"/>
          </w:tcPr>
          <w:p w14:paraId="62D8008B" w14:textId="77777777" w:rsidR="00A36459" w:rsidRDefault="00A36459" w:rsidP="003C0026">
            <w:pPr>
              <w:numPr>
                <w:ilvl w:val="0"/>
                <w:numId w:val="25"/>
              </w:numPr>
            </w:pPr>
            <w:r w:rsidRPr="005527C3">
              <w:t>CEG (2014)</w:t>
            </w:r>
            <w:r>
              <w:rPr>
                <w:rStyle w:val="FootnoteReference"/>
              </w:rPr>
              <w:footnoteReference w:id="130"/>
            </w:r>
          </w:p>
        </w:tc>
        <w:tc>
          <w:tcPr>
            <w:tcW w:w="2560" w:type="dxa"/>
          </w:tcPr>
          <w:p w14:paraId="1399B4EF" w14:textId="77777777" w:rsidR="00A36459" w:rsidRDefault="00A36459" w:rsidP="003C0026">
            <w:pPr>
              <w:numPr>
                <w:ilvl w:val="0"/>
                <w:numId w:val="25"/>
              </w:numPr>
            </w:pPr>
            <w:r w:rsidRPr="00371594">
              <w:rPr>
                <w:rStyle w:val="Strong"/>
              </w:rPr>
              <w:t>0.7</w:t>
            </w:r>
            <w:r w:rsidRPr="00371594">
              <w:t>, using cumulative payout ratio approach</w:t>
            </w:r>
            <w:r>
              <w:t xml:space="preserve"> over all equity</w:t>
            </w:r>
          </w:p>
        </w:tc>
        <w:tc>
          <w:tcPr>
            <w:tcW w:w="2560" w:type="dxa"/>
          </w:tcPr>
          <w:p w14:paraId="0ABEDF89" w14:textId="77777777" w:rsidR="00A36459" w:rsidRDefault="00A36459" w:rsidP="003C0026">
            <w:pPr>
              <w:numPr>
                <w:ilvl w:val="0"/>
                <w:numId w:val="25"/>
              </w:numPr>
            </w:pPr>
            <w:r w:rsidRPr="00371594">
              <w:rPr>
                <w:rStyle w:val="Strong"/>
              </w:rPr>
              <w:t>0.35</w:t>
            </w:r>
            <w:r w:rsidRPr="00371594">
              <w:t>, based on SFG's dividend drop off study</w:t>
            </w:r>
          </w:p>
        </w:tc>
        <w:tc>
          <w:tcPr>
            <w:tcW w:w="2560" w:type="dxa"/>
          </w:tcPr>
          <w:p w14:paraId="579252C6" w14:textId="77777777" w:rsidR="00A36459" w:rsidRPr="002C2564" w:rsidRDefault="00A36459" w:rsidP="003C0026">
            <w:pPr>
              <w:numPr>
                <w:ilvl w:val="0"/>
                <w:numId w:val="25"/>
              </w:numPr>
              <w:rPr>
                <w:rStyle w:val="Strong"/>
              </w:rPr>
            </w:pPr>
            <w:r w:rsidRPr="002C2564">
              <w:rPr>
                <w:rStyle w:val="Strong"/>
              </w:rPr>
              <w:t>0.25</w:t>
            </w:r>
          </w:p>
        </w:tc>
      </w:tr>
      <w:tr w:rsidR="00D91188" w14:paraId="529EF6B8"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42FA4561" w14:textId="0832C63B" w:rsidR="00A36459" w:rsidRPr="005527C3" w:rsidRDefault="00A62897" w:rsidP="003C0026">
            <w:pPr>
              <w:numPr>
                <w:ilvl w:val="0"/>
                <w:numId w:val="25"/>
              </w:numPr>
            </w:pPr>
            <w:r>
              <w:t xml:space="preserve">Gray (for </w:t>
            </w:r>
            <w:r w:rsidR="00F97F03">
              <w:t>SFG</w:t>
            </w:r>
            <w:r>
              <w:t>)</w:t>
            </w:r>
            <w:r w:rsidR="00F97F03">
              <w:t xml:space="preserve"> (2015</w:t>
            </w:r>
            <w:r w:rsidR="00A36459" w:rsidRPr="005527C3">
              <w:t>)</w:t>
            </w:r>
            <w:r w:rsidR="00A36459">
              <w:rPr>
                <w:rStyle w:val="FootnoteReference"/>
              </w:rPr>
              <w:footnoteReference w:id="131"/>
            </w:r>
          </w:p>
        </w:tc>
        <w:tc>
          <w:tcPr>
            <w:tcW w:w="2560" w:type="dxa"/>
          </w:tcPr>
          <w:p w14:paraId="16448264" w14:textId="77777777" w:rsidR="00A36459" w:rsidRPr="005527C3" w:rsidRDefault="00A36459" w:rsidP="003C0026">
            <w:pPr>
              <w:numPr>
                <w:ilvl w:val="0"/>
                <w:numId w:val="25"/>
              </w:numPr>
            </w:pPr>
            <w:r w:rsidRPr="00371594">
              <w:rPr>
                <w:rStyle w:val="Strong"/>
              </w:rPr>
              <w:t>0.7</w:t>
            </w:r>
            <w:r>
              <w:t>, using</w:t>
            </w:r>
            <w:r w:rsidRPr="00D7304F">
              <w:t xml:space="preserve"> cumulative payout ratio approach</w:t>
            </w:r>
            <w:r>
              <w:t xml:space="preserve"> over all equity</w:t>
            </w:r>
          </w:p>
        </w:tc>
        <w:tc>
          <w:tcPr>
            <w:tcW w:w="2560" w:type="dxa"/>
          </w:tcPr>
          <w:p w14:paraId="5D4AFC3C" w14:textId="77777777" w:rsidR="00A36459" w:rsidRPr="005527C3" w:rsidRDefault="00A36459" w:rsidP="003C0026">
            <w:pPr>
              <w:numPr>
                <w:ilvl w:val="0"/>
                <w:numId w:val="25"/>
              </w:numPr>
            </w:pPr>
            <w:r w:rsidRPr="00371594">
              <w:rPr>
                <w:rStyle w:val="Strong"/>
              </w:rPr>
              <w:t>0.35</w:t>
            </w:r>
            <w:r>
              <w:t>, based on SFG's dividend drop off study</w:t>
            </w:r>
          </w:p>
        </w:tc>
        <w:tc>
          <w:tcPr>
            <w:tcW w:w="2560" w:type="dxa"/>
          </w:tcPr>
          <w:p w14:paraId="20BB75B2" w14:textId="77777777" w:rsidR="00A36459" w:rsidRPr="00371594" w:rsidRDefault="00A36459" w:rsidP="003C0026">
            <w:pPr>
              <w:numPr>
                <w:ilvl w:val="0"/>
                <w:numId w:val="25"/>
              </w:numPr>
              <w:rPr>
                <w:rStyle w:val="Strong"/>
              </w:rPr>
            </w:pPr>
            <w:r w:rsidRPr="00371594">
              <w:rPr>
                <w:rStyle w:val="Strong"/>
              </w:rPr>
              <w:t>0.25</w:t>
            </w:r>
          </w:p>
        </w:tc>
      </w:tr>
      <w:tr w:rsidR="003E0AD9" w14:paraId="06E271AA" w14:textId="77777777" w:rsidTr="00D71DDD">
        <w:trPr>
          <w:cantSplit/>
        </w:trPr>
        <w:tc>
          <w:tcPr>
            <w:tcW w:w="1562" w:type="dxa"/>
          </w:tcPr>
          <w:p w14:paraId="24CBA3C8" w14:textId="3A9BD07B" w:rsidR="003E0AD9" w:rsidRDefault="00A62897" w:rsidP="003C0026">
            <w:pPr>
              <w:numPr>
                <w:ilvl w:val="0"/>
                <w:numId w:val="25"/>
              </w:numPr>
            </w:pPr>
            <w:r>
              <w:lastRenderedPageBreak/>
              <w:t xml:space="preserve">Gray (for </w:t>
            </w:r>
            <w:r w:rsidR="003E0AD9">
              <w:t>Frontier</w:t>
            </w:r>
            <w:r>
              <w:t>)</w:t>
            </w:r>
            <w:r w:rsidR="003E0AD9">
              <w:t xml:space="preserve"> (2015)</w:t>
            </w:r>
            <w:r w:rsidR="003E0AD9">
              <w:rPr>
                <w:rStyle w:val="FootnoteReference"/>
              </w:rPr>
              <w:footnoteReference w:id="132"/>
            </w:r>
          </w:p>
        </w:tc>
        <w:tc>
          <w:tcPr>
            <w:tcW w:w="2560" w:type="dxa"/>
          </w:tcPr>
          <w:p w14:paraId="335708F9" w14:textId="2063487C" w:rsidR="003E0AD9" w:rsidRPr="00371594" w:rsidRDefault="00362B16" w:rsidP="003C0026">
            <w:pPr>
              <w:numPr>
                <w:ilvl w:val="0"/>
                <w:numId w:val="25"/>
              </w:numPr>
              <w:rPr>
                <w:rStyle w:val="Strong"/>
              </w:rPr>
            </w:pPr>
            <w:r>
              <w:rPr>
                <w:rStyle w:val="Strong"/>
              </w:rPr>
              <w:t xml:space="preserve">0.7, using cumulative payout ratio approach over all </w:t>
            </w:r>
            <w:r w:rsidR="00EF4770">
              <w:rPr>
                <w:rStyle w:val="Strong"/>
              </w:rPr>
              <w:t>equity</w:t>
            </w:r>
            <w:r>
              <w:rPr>
                <w:rStyle w:val="Strong"/>
              </w:rPr>
              <w:t>, or alternatively using an estimate of the payout ratio for listed equity excluding the 20</w:t>
            </w:r>
            <w:r w:rsidR="00A62897">
              <w:rPr>
                <w:rStyle w:val="Strong"/>
              </w:rPr>
              <w:t xml:space="preserve"> largest firms</w:t>
            </w:r>
            <w:r>
              <w:rPr>
                <w:rStyle w:val="Strong"/>
              </w:rPr>
              <w:t>.</w:t>
            </w:r>
          </w:p>
        </w:tc>
        <w:tc>
          <w:tcPr>
            <w:tcW w:w="2560" w:type="dxa"/>
          </w:tcPr>
          <w:p w14:paraId="2CFFFFB7" w14:textId="15C3EDD8" w:rsidR="003E0AD9" w:rsidRPr="00371594" w:rsidRDefault="00362B16" w:rsidP="003C0026">
            <w:pPr>
              <w:numPr>
                <w:ilvl w:val="0"/>
                <w:numId w:val="25"/>
              </w:numPr>
              <w:rPr>
                <w:rStyle w:val="Strong"/>
              </w:rPr>
            </w:pPr>
            <w:r>
              <w:rPr>
                <w:rStyle w:val="Strong"/>
              </w:rPr>
              <w:t>0.35, based on SFG's dividend drop off study</w:t>
            </w:r>
          </w:p>
        </w:tc>
        <w:tc>
          <w:tcPr>
            <w:tcW w:w="2560" w:type="dxa"/>
          </w:tcPr>
          <w:p w14:paraId="7401DF5A" w14:textId="18883C7B" w:rsidR="003E0AD9" w:rsidRPr="00371594" w:rsidRDefault="00362B16" w:rsidP="003C0026">
            <w:pPr>
              <w:numPr>
                <w:ilvl w:val="0"/>
                <w:numId w:val="25"/>
              </w:numPr>
              <w:rPr>
                <w:rStyle w:val="Strong"/>
              </w:rPr>
            </w:pPr>
            <w:r>
              <w:rPr>
                <w:rStyle w:val="Strong"/>
              </w:rPr>
              <w:t>0.25</w:t>
            </w:r>
          </w:p>
        </w:tc>
      </w:tr>
    </w:tbl>
    <w:p w14:paraId="376BCE81" w14:textId="77777777" w:rsidR="00A36459" w:rsidRDefault="00A36459" w:rsidP="00A36459">
      <w:pPr>
        <w:pStyle w:val="AERtablesource"/>
      </w:pPr>
      <w:r>
        <w:t>Source:</w:t>
      </w:r>
      <w:r>
        <w:tab/>
        <w:t>As specified in table.</w:t>
      </w:r>
    </w:p>
    <w:p w14:paraId="3DDE06A7" w14:textId="77777777" w:rsidR="00887F2D" w:rsidRDefault="00887F2D" w:rsidP="00887F2D">
      <w:pPr>
        <w:numPr>
          <w:ilvl w:val="0"/>
          <w:numId w:val="25"/>
        </w:numPr>
      </w:pPr>
      <w:r>
        <w:t>In summary:</w:t>
      </w:r>
      <w:r w:rsidRPr="00DE068A">
        <w:t xml:space="preserve"> </w:t>
      </w:r>
    </w:p>
    <w:p w14:paraId="09B1FBB4" w14:textId="77777777" w:rsidR="00887F2D" w:rsidRPr="00887F2D" w:rsidRDefault="00887F2D" w:rsidP="00887F2D">
      <w:pPr>
        <w:pStyle w:val="AERbulletlistfirststyle"/>
      </w:pPr>
      <w:r>
        <w:t>A distribution rate of 0.7 estimated using the cumulative payout ratio approach is most commonly accepted</w:t>
      </w:r>
      <w:r w:rsidR="005C0ACE">
        <w:t xml:space="preserve">. We describe this approach in </w:t>
      </w:r>
      <w:r>
        <w:t>section</w:t>
      </w:r>
      <w:r w:rsidR="005C0ACE">
        <w:t xml:space="preserve"> </w:t>
      </w:r>
      <w:r w:rsidR="005C0ACE">
        <w:fldChar w:fldCharType="begin"/>
      </w:r>
      <w:r w:rsidR="005C0ACE">
        <w:instrText xml:space="preserve"> REF _Ref415126827 \r \h </w:instrText>
      </w:r>
      <w:r w:rsidR="005C0ACE">
        <w:fldChar w:fldCharType="separate"/>
      </w:r>
      <w:r w:rsidR="001E2164">
        <w:t>A.10.2</w:t>
      </w:r>
      <w:r w:rsidR="005C0ACE">
        <w:fldChar w:fldCharType="end"/>
      </w:r>
      <w:r w:rsidRPr="00887F2D">
        <w:t xml:space="preserve">. However, Handley considers that this approach should be applied to </w:t>
      </w:r>
      <w:r w:rsidR="001C274C">
        <w:t>only listed equity</w:t>
      </w:r>
      <w:r w:rsidRPr="00887F2D">
        <w:t xml:space="preserve">, and this produces a higher estimate of the distribution rate. </w:t>
      </w:r>
      <w:r w:rsidR="003B4139">
        <w:t>The South Australian Centre for Economic Studies (</w:t>
      </w:r>
      <w:r>
        <w:t>SACES</w:t>
      </w:r>
      <w:r w:rsidR="003B4139">
        <w:t>)</w:t>
      </w:r>
      <w:r>
        <w:t xml:space="preserve"> accepts Handley's approach. </w:t>
      </w:r>
      <w:r w:rsidRPr="00887F2D">
        <w:t>Lally considers that the best estimate of the distribution rate is 0.84, calculated using the financial statements of the 20 largest ASX-listed companies.</w:t>
      </w:r>
    </w:p>
    <w:p w14:paraId="0C11E35D" w14:textId="77777777" w:rsidR="00887F2D" w:rsidRPr="00887F2D" w:rsidRDefault="00887F2D" w:rsidP="00887F2D">
      <w:pPr>
        <w:pStyle w:val="AERbulletlistfirststyle"/>
      </w:pPr>
      <w:r>
        <w:t>T</w:t>
      </w:r>
      <w:r w:rsidRPr="00887F2D">
        <w:t xml:space="preserve">here is no widely accepted utilisation rate or method for estimating it. The recommended values for the utilisation rate range from 0.35 to 1. </w:t>
      </w:r>
    </w:p>
    <w:p w14:paraId="254C1864" w14:textId="41C4AD7B" w:rsidR="00887F2D" w:rsidRPr="00887F2D" w:rsidRDefault="00887F2D" w:rsidP="00887F2D">
      <w:pPr>
        <w:pStyle w:val="AERbulletlistfirststyle"/>
      </w:pPr>
      <w:r>
        <w:t>Only CEG</w:t>
      </w:r>
      <w:r w:rsidR="004E30F8">
        <w:t>,</w:t>
      </w:r>
      <w:r>
        <w:t xml:space="preserve"> </w:t>
      </w:r>
      <w:r w:rsidR="00A62897">
        <w:t xml:space="preserve">SFG, and </w:t>
      </w:r>
      <w:r w:rsidR="006F0830">
        <w:t xml:space="preserve">Gray (for </w:t>
      </w:r>
      <w:r>
        <w:t>SFG</w:t>
      </w:r>
      <w:r w:rsidR="00A62897">
        <w:t xml:space="preserve"> and Frontier</w:t>
      </w:r>
      <w:r w:rsidR="006F0830">
        <w:t>)</w:t>
      </w:r>
      <w:r w:rsidR="004E30F8">
        <w:t>,</w:t>
      </w:r>
      <w:r>
        <w:t xml:space="preserve"> rely exclusively on the SFG dividend drop off study when estimating the utilisation rate. Handley and McKenzie and Partington rely on a range of evidence. </w:t>
      </w:r>
      <w:r w:rsidR="005436C8">
        <w:t xml:space="preserve">SACES gives equal weight to the equity ownership approach and tax statistics. </w:t>
      </w:r>
      <w:r>
        <w:t>Lally prefers a conceptual approach, but his second preference is the equity ownership approach.</w:t>
      </w:r>
    </w:p>
    <w:p w14:paraId="7350713E" w14:textId="77777777" w:rsidR="00887F2D" w:rsidRPr="00887F2D" w:rsidRDefault="00887F2D" w:rsidP="00887F2D">
      <w:pPr>
        <w:pStyle w:val="AERbulletlistfirststyle"/>
      </w:pPr>
      <w:r>
        <w:t>As a result of the differing approaches, particularly to the utilisation rate, the range of estimates of the value of imputation credits is 0.25 to 0.84.</w:t>
      </w:r>
    </w:p>
    <w:p w14:paraId="70154B36" w14:textId="77777777" w:rsidR="00A36459" w:rsidRDefault="00887F2D" w:rsidP="00887F2D">
      <w:r>
        <w:t xml:space="preserve">Conceptually, the value of imputation credits must be between 0 and 1. Accordingly the range of recommended estimates from 0.25 to 0.84, which spans most of the possible range for the value of imputation credits, highlights the lack of consensus among experts. Our </w:t>
      </w:r>
      <w:r w:rsidR="005436C8">
        <w:t>final</w:t>
      </w:r>
      <w:r>
        <w:t xml:space="preserve"> decision value of imputation credits of 0.4 sits </w:t>
      </w:r>
      <w:r w:rsidR="00196FC6">
        <w:t>in the lower half</w:t>
      </w:r>
      <w:r w:rsidR="00B10699">
        <w:t xml:space="preserve"> of the</w:t>
      </w:r>
      <w:r w:rsidR="00EC3159">
        <w:t xml:space="preserve"> range recommended by experts, which is more favourable to service providers.</w:t>
      </w:r>
    </w:p>
    <w:p w14:paraId="7BF341D6" w14:textId="77777777" w:rsidR="000B65E0" w:rsidRDefault="000B65E0" w:rsidP="000B65E0">
      <w:pPr>
        <w:pStyle w:val="Heading8"/>
      </w:pPr>
      <w:bookmarkStart w:id="44" w:name="_Ref414621875"/>
      <w:bookmarkStart w:id="45" w:name="_Toc433449213"/>
      <w:r>
        <w:t>The value of imputation credits used by other regulators</w:t>
      </w:r>
      <w:bookmarkEnd w:id="44"/>
      <w:bookmarkEnd w:id="45"/>
    </w:p>
    <w:p w14:paraId="3E31AC3F" w14:textId="77777777" w:rsidR="000B65E0" w:rsidRDefault="000B65E0" w:rsidP="000B65E0">
      <w:r w:rsidRPr="001274F5">
        <w:t xml:space="preserve">Australian regulators have applied a wide range of approaches to estimate the value of imputation credits, resulting in varied outcomes. </w:t>
      </w:r>
      <w:r>
        <w:fldChar w:fldCharType="begin"/>
      </w:r>
      <w:r>
        <w:instrText xml:space="preserve"> REF _Ref401082422 \h </w:instrText>
      </w:r>
      <w:r>
        <w:fldChar w:fldCharType="separate"/>
      </w:r>
      <w:r w:rsidR="001E2164">
        <w:t xml:space="preserve">Table </w:t>
      </w:r>
      <w:r w:rsidR="001E2164">
        <w:rPr>
          <w:noProof/>
        </w:rPr>
        <w:t>4</w:t>
      </w:r>
      <w:r w:rsidR="001E2164">
        <w:noBreakHyphen/>
      </w:r>
      <w:r w:rsidR="001E2164">
        <w:rPr>
          <w:noProof/>
        </w:rPr>
        <w:t>4</w:t>
      </w:r>
      <w:r>
        <w:fldChar w:fldCharType="end"/>
      </w:r>
      <w:r>
        <w:t xml:space="preserve"> </w:t>
      </w:r>
      <w:r w:rsidRPr="001274F5">
        <w:t>summarises some recent regulatory decisions on the value of imputation credits. While these decisions have not directly informed our position on the value of imputation credits, they indicate that there is no conceptual or practical consensus amongst Australian regulators.</w:t>
      </w:r>
    </w:p>
    <w:p w14:paraId="12A9D052" w14:textId="77777777" w:rsidR="000B65E0" w:rsidRDefault="000B65E0" w:rsidP="000B65E0">
      <w:pPr>
        <w:pStyle w:val="Caption"/>
      </w:pPr>
      <w:bookmarkStart w:id="46" w:name="_Ref401082422"/>
      <w:r>
        <w:lastRenderedPageBreak/>
        <w:t xml:space="preserve">Table </w:t>
      </w:r>
      <w:r w:rsidR="00D70292">
        <w:fldChar w:fldCharType="begin"/>
      </w:r>
      <w:r w:rsidR="00D70292">
        <w:instrText xml:space="preserve"> STYLEREF 1 \s </w:instrText>
      </w:r>
      <w:r w:rsidR="00D70292">
        <w:fldChar w:fldCharType="separate"/>
      </w:r>
      <w:r w:rsidR="001E2164">
        <w:rPr>
          <w:noProof/>
        </w:rPr>
        <w:t>4</w:t>
      </w:r>
      <w:r w:rsidR="00D70292">
        <w:rPr>
          <w:noProof/>
        </w:rPr>
        <w:fldChar w:fldCharType="end"/>
      </w:r>
      <w:r w:rsidR="00257FBE">
        <w:noBreakHyphen/>
      </w:r>
      <w:r w:rsidR="00D70292">
        <w:fldChar w:fldCharType="begin"/>
      </w:r>
      <w:r w:rsidR="00D70292">
        <w:instrText xml:space="preserve"> SEQ Table \* ARABIC \s 1 </w:instrText>
      </w:r>
      <w:r w:rsidR="00D70292">
        <w:fldChar w:fldCharType="separate"/>
      </w:r>
      <w:r w:rsidR="001E2164">
        <w:rPr>
          <w:noProof/>
        </w:rPr>
        <w:t>4</w:t>
      </w:r>
      <w:r w:rsidR="00D70292">
        <w:rPr>
          <w:noProof/>
        </w:rPr>
        <w:fldChar w:fldCharType="end"/>
      </w:r>
      <w:bookmarkEnd w:id="46"/>
      <w:r>
        <w:tab/>
      </w:r>
      <w:r w:rsidRPr="000B7BA2">
        <w:t>Au</w:t>
      </w:r>
      <w:r>
        <w:t>stralian regulators' approaches to</w:t>
      </w:r>
      <w:r w:rsidRPr="000B7BA2">
        <w:t xml:space="preserve"> the value of imputation credits</w:t>
      </w:r>
    </w:p>
    <w:tbl>
      <w:tblPr>
        <w:tblStyle w:val="AERtable-numbers"/>
        <w:tblW w:w="9242" w:type="dxa"/>
        <w:tblLayout w:type="fixed"/>
        <w:tblLook w:val="04A0" w:firstRow="1" w:lastRow="0" w:firstColumn="1" w:lastColumn="0" w:noHBand="0" w:noVBand="1"/>
      </w:tblPr>
      <w:tblGrid>
        <w:gridCol w:w="1101"/>
        <w:gridCol w:w="1842"/>
        <w:gridCol w:w="709"/>
        <w:gridCol w:w="1768"/>
        <w:gridCol w:w="1911"/>
        <w:gridCol w:w="1911"/>
      </w:tblGrid>
      <w:tr w:rsidR="000B65E0" w14:paraId="772F3DFD"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01" w:type="dxa"/>
          </w:tcPr>
          <w:p w14:paraId="17A98EB1" w14:textId="77777777" w:rsidR="000B65E0" w:rsidRDefault="000B65E0" w:rsidP="003C0026">
            <w:pPr>
              <w:numPr>
                <w:ilvl w:val="0"/>
                <w:numId w:val="25"/>
              </w:numPr>
            </w:pPr>
            <w:r>
              <w:t>Regulator</w:t>
            </w:r>
          </w:p>
        </w:tc>
        <w:tc>
          <w:tcPr>
            <w:tcW w:w="1842" w:type="dxa"/>
          </w:tcPr>
          <w:p w14:paraId="5ED3D8EB"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Form of adoption</w:t>
            </w:r>
          </w:p>
        </w:tc>
        <w:tc>
          <w:tcPr>
            <w:tcW w:w="709" w:type="dxa"/>
          </w:tcPr>
          <w:p w14:paraId="00358731"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Year</w:t>
            </w:r>
          </w:p>
        </w:tc>
        <w:tc>
          <w:tcPr>
            <w:tcW w:w="1768" w:type="dxa"/>
          </w:tcPr>
          <w:p w14:paraId="209011C8"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Distribution rate</w:t>
            </w:r>
          </w:p>
        </w:tc>
        <w:tc>
          <w:tcPr>
            <w:tcW w:w="1911" w:type="dxa"/>
          </w:tcPr>
          <w:p w14:paraId="5206FB3A"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Utilisation rate</w:t>
            </w:r>
          </w:p>
        </w:tc>
        <w:tc>
          <w:tcPr>
            <w:tcW w:w="1911" w:type="dxa"/>
          </w:tcPr>
          <w:p w14:paraId="70E0B290"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Value of imputation credits</w:t>
            </w:r>
          </w:p>
        </w:tc>
      </w:tr>
      <w:tr w:rsidR="00060F5E" w14:paraId="5CAC3328"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6A6A0087" w14:textId="77777777" w:rsidR="00060F5E" w:rsidRPr="00060F5E" w:rsidRDefault="00060F5E" w:rsidP="003C0026">
            <w:r>
              <w:t>IPART</w:t>
            </w:r>
            <w:r w:rsidRPr="00060F5E">
              <w:rPr>
                <w:rStyle w:val="FootnoteReference"/>
              </w:rPr>
              <w:footnoteReference w:id="133"/>
            </w:r>
          </w:p>
        </w:tc>
        <w:tc>
          <w:tcPr>
            <w:tcW w:w="1842" w:type="dxa"/>
          </w:tcPr>
          <w:p w14:paraId="7FA3315A" w14:textId="77777777" w:rsidR="00060F5E" w:rsidRPr="000F2066"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372214">
              <w:t>Review of imputation credits, final decision</w:t>
            </w:r>
          </w:p>
        </w:tc>
        <w:tc>
          <w:tcPr>
            <w:tcW w:w="709" w:type="dxa"/>
          </w:tcPr>
          <w:p w14:paraId="32A942A1" w14:textId="77777777" w:rsidR="00060F5E" w:rsidRPr="005657CB"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t>2012</w:t>
            </w:r>
          </w:p>
        </w:tc>
        <w:tc>
          <w:tcPr>
            <w:tcW w:w="1768" w:type="dxa"/>
          </w:tcPr>
          <w:p w14:paraId="226DFAEC" w14:textId="77777777" w:rsidR="00060F5E"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0.7</w:t>
            </w:r>
            <w:r>
              <w:t>, using cumulative payout ratio approach</w:t>
            </w:r>
          </w:p>
        </w:tc>
        <w:tc>
          <w:tcPr>
            <w:tcW w:w="1911" w:type="dxa"/>
          </w:tcPr>
          <w:p w14:paraId="704000CE" w14:textId="77777777" w:rsidR="00060F5E"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0.35</w:t>
            </w:r>
            <w:r>
              <w:t>, using 2011 version of SFG dividend drop off study</w:t>
            </w:r>
          </w:p>
        </w:tc>
        <w:tc>
          <w:tcPr>
            <w:tcW w:w="1911" w:type="dxa"/>
          </w:tcPr>
          <w:p w14:paraId="626BCD34" w14:textId="77777777" w:rsidR="00060F5E" w:rsidRPr="005657CB"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rPr>
                <w:rStyle w:val="Strong"/>
              </w:rPr>
            </w:pPr>
            <w:r w:rsidRPr="00584C69">
              <w:rPr>
                <w:rStyle w:val="Strong"/>
              </w:rPr>
              <w:t>0.25</w:t>
            </w:r>
          </w:p>
        </w:tc>
      </w:tr>
      <w:tr w:rsidR="00060F5E" w14:paraId="3D3E82C1"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Pr>
          <w:p w14:paraId="55337B9E" w14:textId="77777777" w:rsidR="00060F5E" w:rsidRPr="00060F5E" w:rsidRDefault="00060F5E" w:rsidP="003C0026">
            <w:r>
              <w:t>ESC</w:t>
            </w:r>
            <w:r w:rsidRPr="00060F5E">
              <w:rPr>
                <w:rStyle w:val="AERsuperscript"/>
              </w:rPr>
              <w:footnoteReference w:id="134"/>
            </w:r>
          </w:p>
        </w:tc>
        <w:tc>
          <w:tcPr>
            <w:tcW w:w="1842" w:type="dxa"/>
          </w:tcPr>
          <w:p w14:paraId="331A406E" w14:textId="77777777" w:rsidR="00060F5E" w:rsidRPr="00372214"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pPr>
            <w:r>
              <w:t>Price review, greater metropolitan water businesses, final decision</w:t>
            </w:r>
          </w:p>
        </w:tc>
        <w:tc>
          <w:tcPr>
            <w:tcW w:w="709" w:type="dxa"/>
          </w:tcPr>
          <w:p w14:paraId="1126823F" w14:textId="77777777" w:rsidR="00060F5E"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pPr>
            <w:r>
              <w:t>2013</w:t>
            </w:r>
          </w:p>
        </w:tc>
        <w:tc>
          <w:tcPr>
            <w:tcW w:w="1768" w:type="dxa"/>
          </w:tcPr>
          <w:p w14:paraId="0D5F6CE7" w14:textId="77777777" w:rsidR="00060F5E" w:rsidRPr="00B76A97"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t>N/A</w:t>
            </w:r>
          </w:p>
        </w:tc>
        <w:tc>
          <w:tcPr>
            <w:tcW w:w="1911" w:type="dxa"/>
          </w:tcPr>
          <w:p w14:paraId="20E18E5F" w14:textId="77777777" w:rsidR="00060F5E" w:rsidRPr="00B76A97"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t>N/A</w:t>
            </w:r>
          </w:p>
        </w:tc>
        <w:tc>
          <w:tcPr>
            <w:tcW w:w="1911" w:type="dxa"/>
          </w:tcPr>
          <w:p w14:paraId="081F8BB0" w14:textId="77777777" w:rsidR="00060F5E" w:rsidRPr="00B76A97"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rsidRPr="00B7073F">
              <w:rPr>
                <w:rStyle w:val="Strong"/>
              </w:rPr>
              <w:t>0.5</w:t>
            </w:r>
            <w:r>
              <w:t>, based on 2011 guidance</w:t>
            </w:r>
            <w:r>
              <w:rPr>
                <w:rStyle w:val="FootnoteReference"/>
              </w:rPr>
              <w:footnoteReference w:id="135"/>
            </w:r>
          </w:p>
        </w:tc>
      </w:tr>
      <w:tr w:rsidR="00604705" w14:paraId="1674B92D"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222AF936" w14:textId="77777777" w:rsidR="00604705" w:rsidRPr="00604705" w:rsidRDefault="00604705" w:rsidP="003C0026">
            <w:r w:rsidRPr="00501101">
              <w:t>QCA</w:t>
            </w:r>
            <w:r w:rsidRPr="00604705">
              <w:rPr>
                <w:rStyle w:val="FootnoteReference"/>
              </w:rPr>
              <w:footnoteReference w:id="136"/>
            </w:r>
            <w:r w:rsidRPr="00604705">
              <w:t xml:space="preserve">  </w:t>
            </w:r>
          </w:p>
        </w:tc>
        <w:tc>
          <w:tcPr>
            <w:tcW w:w="1842" w:type="dxa"/>
          </w:tcPr>
          <w:p w14:paraId="65A750F3" w14:textId="77777777" w:rsidR="00604705" w:rsidRPr="000F2066"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372214">
              <w:t>Cost of capital market parameters, final decision</w:t>
            </w:r>
          </w:p>
        </w:tc>
        <w:tc>
          <w:tcPr>
            <w:tcW w:w="709" w:type="dxa"/>
          </w:tcPr>
          <w:p w14:paraId="5ED96D4A"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2014</w:t>
            </w:r>
          </w:p>
        </w:tc>
        <w:tc>
          <w:tcPr>
            <w:tcW w:w="1768" w:type="dxa"/>
          </w:tcPr>
          <w:p w14:paraId="5642A91E" w14:textId="77777777" w:rsidR="00604705" w:rsidRPr="005657CB"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0.84</w:t>
            </w:r>
            <w:r w:rsidRPr="005657CB">
              <w:t>, using the financial statements of 20 largest ASX-listed companies</w:t>
            </w:r>
          </w:p>
        </w:tc>
        <w:tc>
          <w:tcPr>
            <w:tcW w:w="1911" w:type="dxa"/>
          </w:tcPr>
          <w:p w14:paraId="565EB9B1"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0.56</w:t>
            </w:r>
            <w:r>
              <w:t>, based primarily on the domestic ownership share of listed equity</w:t>
            </w:r>
          </w:p>
        </w:tc>
        <w:tc>
          <w:tcPr>
            <w:tcW w:w="1911" w:type="dxa"/>
          </w:tcPr>
          <w:p w14:paraId="0B069452" w14:textId="77777777" w:rsidR="00604705" w:rsidRPr="00584C69"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rPr>
                <w:rStyle w:val="Strong"/>
              </w:rPr>
            </w:pPr>
            <w:r w:rsidRPr="00584C69">
              <w:rPr>
                <w:rStyle w:val="Strong"/>
              </w:rPr>
              <w:t>0.47</w:t>
            </w:r>
          </w:p>
        </w:tc>
      </w:tr>
      <w:tr w:rsidR="00604705" w14:paraId="148B105E"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Pr>
          <w:p w14:paraId="16F0AD58" w14:textId="77777777" w:rsidR="00604705" w:rsidRPr="001E32C9" w:rsidRDefault="00604705" w:rsidP="003C0026">
            <w:pPr>
              <w:numPr>
                <w:ilvl w:val="0"/>
                <w:numId w:val="25"/>
              </w:numPr>
            </w:pPr>
            <w:r>
              <w:t>ERA</w:t>
            </w:r>
            <w:r w:rsidRPr="001E32C9">
              <w:rPr>
                <w:rStyle w:val="FootnoteReference"/>
              </w:rPr>
              <w:footnoteReference w:id="137"/>
            </w:r>
            <w:r w:rsidRPr="001E32C9">
              <w:t xml:space="preserve">  </w:t>
            </w:r>
          </w:p>
        </w:tc>
        <w:tc>
          <w:tcPr>
            <w:tcW w:w="1842" w:type="dxa"/>
          </w:tcPr>
          <w:p w14:paraId="2A36D313" w14:textId="77777777" w:rsidR="00604705" w:rsidRPr="000F2066"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sidRPr="00372214">
              <w:t xml:space="preserve">Review of rate of return estimation for rail networks, </w:t>
            </w:r>
            <w:r>
              <w:t xml:space="preserve">revised </w:t>
            </w:r>
            <w:r w:rsidRPr="00372214">
              <w:t xml:space="preserve">draft determination </w:t>
            </w:r>
          </w:p>
        </w:tc>
        <w:tc>
          <w:tcPr>
            <w:tcW w:w="709" w:type="dxa"/>
          </w:tcPr>
          <w:p w14:paraId="144C4C08" w14:textId="77777777" w:rsidR="00604705" w:rsidRPr="005657CB"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t>2</w:t>
            </w:r>
            <w:r w:rsidRPr="005657CB">
              <w:t>014</w:t>
            </w:r>
          </w:p>
        </w:tc>
        <w:tc>
          <w:tcPr>
            <w:tcW w:w="1768" w:type="dxa"/>
          </w:tcPr>
          <w:p w14:paraId="4E0D975D" w14:textId="77777777" w:rsidR="00604705"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sidRPr="00584C69">
              <w:rPr>
                <w:rStyle w:val="Strong"/>
              </w:rPr>
              <w:t>0.7</w:t>
            </w:r>
            <w:r>
              <w:t>, using cumulative payout ratio approach</w:t>
            </w:r>
          </w:p>
        </w:tc>
        <w:tc>
          <w:tcPr>
            <w:tcW w:w="1911" w:type="dxa"/>
          </w:tcPr>
          <w:p w14:paraId="7A74970F" w14:textId="77777777" w:rsidR="00604705" w:rsidRPr="005657CB"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Pr>
                <w:rStyle w:val="Strong"/>
              </w:rPr>
              <w:t>0.7</w:t>
            </w:r>
            <w:r w:rsidRPr="005657CB">
              <w:t xml:space="preserve">, </w:t>
            </w:r>
            <w:r>
              <w:t>most weight to simple domestic ownership share of all equity, some weight to conceptual goalposts approach, low weight to tax statistics and dividend drop off studies</w:t>
            </w:r>
          </w:p>
        </w:tc>
        <w:tc>
          <w:tcPr>
            <w:tcW w:w="1911" w:type="dxa"/>
          </w:tcPr>
          <w:p w14:paraId="65D41734" w14:textId="77777777" w:rsidR="00604705" w:rsidRPr="005657CB"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sidRPr="00584C69">
              <w:rPr>
                <w:rStyle w:val="Strong"/>
              </w:rPr>
              <w:t>0.</w:t>
            </w:r>
            <w:r>
              <w:rPr>
                <w:rStyle w:val="Strong"/>
              </w:rPr>
              <w:t>5</w:t>
            </w:r>
          </w:p>
        </w:tc>
      </w:tr>
      <w:tr w:rsidR="00604705" w14:paraId="5659D1AC"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35FF9DE5" w14:textId="77777777" w:rsidR="00604705" w:rsidRPr="001E32C9" w:rsidRDefault="00604705" w:rsidP="003C0026">
            <w:pPr>
              <w:numPr>
                <w:ilvl w:val="0"/>
                <w:numId w:val="25"/>
              </w:numPr>
            </w:pPr>
            <w:r w:rsidRPr="00501101">
              <w:lastRenderedPageBreak/>
              <w:t>ACCC</w:t>
            </w:r>
            <w:r w:rsidRPr="001E32C9">
              <w:rPr>
                <w:rStyle w:val="FootnoteReference"/>
              </w:rPr>
              <w:footnoteReference w:id="138"/>
            </w:r>
            <w:r w:rsidRPr="001E32C9">
              <w:t xml:space="preserve"> </w:t>
            </w:r>
          </w:p>
        </w:tc>
        <w:tc>
          <w:tcPr>
            <w:tcW w:w="1842" w:type="dxa"/>
          </w:tcPr>
          <w:p w14:paraId="2A59396D" w14:textId="74AB2832" w:rsidR="00604705" w:rsidRPr="000F2066"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372214">
              <w:t xml:space="preserve">Fixed line services (telecommunications), </w:t>
            </w:r>
            <w:r>
              <w:t>draft decision on</w:t>
            </w:r>
            <w:r w:rsidRPr="00372214">
              <w:t xml:space="preserve"> access </w:t>
            </w:r>
            <w:r>
              <w:t>determination</w:t>
            </w:r>
          </w:p>
        </w:tc>
        <w:tc>
          <w:tcPr>
            <w:tcW w:w="709" w:type="dxa"/>
          </w:tcPr>
          <w:p w14:paraId="3BFCDF44"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2015</w:t>
            </w:r>
          </w:p>
        </w:tc>
        <w:tc>
          <w:tcPr>
            <w:tcW w:w="1768" w:type="dxa"/>
          </w:tcPr>
          <w:p w14:paraId="6F0E1748"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N/A</w:t>
            </w:r>
          </w:p>
        </w:tc>
        <w:tc>
          <w:tcPr>
            <w:tcW w:w="1911" w:type="dxa"/>
          </w:tcPr>
          <w:p w14:paraId="0AA00E5C"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N/A</w:t>
            </w:r>
          </w:p>
        </w:tc>
        <w:tc>
          <w:tcPr>
            <w:tcW w:w="1911" w:type="dxa"/>
          </w:tcPr>
          <w:p w14:paraId="395393CC" w14:textId="77777777" w:rsidR="00604705" w:rsidRPr="00F73B34"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806F67">
              <w:rPr>
                <w:rStyle w:val="Strong"/>
              </w:rPr>
              <w:t>0.45</w:t>
            </w:r>
            <w:r>
              <w:t>, set for consistency with</w:t>
            </w:r>
            <w:r w:rsidRPr="00F73B34">
              <w:t xml:space="preserve"> previous</w:t>
            </w:r>
            <w:r>
              <w:t xml:space="preserve"> ACCC decisions, but with regard to a </w:t>
            </w:r>
            <w:r w:rsidRPr="00F73B34">
              <w:t xml:space="preserve">range of </w:t>
            </w:r>
            <w:r>
              <w:t xml:space="preserve">recent </w:t>
            </w:r>
            <w:r w:rsidRPr="00F73B34">
              <w:t xml:space="preserve">evidence, including </w:t>
            </w:r>
            <w:r>
              <w:t>firm</w:t>
            </w:r>
            <w:r w:rsidRPr="00F73B34">
              <w:t xml:space="preserve"> specific factors</w:t>
            </w:r>
          </w:p>
        </w:tc>
      </w:tr>
    </w:tbl>
    <w:p w14:paraId="4ECDA826" w14:textId="77777777" w:rsidR="000B65E0" w:rsidRPr="000B65E0" w:rsidRDefault="000B65E0" w:rsidP="006A61BE">
      <w:pPr>
        <w:pStyle w:val="AERtablesource"/>
      </w:pPr>
      <w:r>
        <w:t>Source:</w:t>
      </w:r>
      <w:r>
        <w:tab/>
        <w:t>As specified in table.</w:t>
      </w:r>
    </w:p>
    <w:p w14:paraId="42B88C87" w14:textId="77777777" w:rsidR="00924584" w:rsidRDefault="00675214" w:rsidP="00924584">
      <w:r>
        <w:t>C</w:t>
      </w:r>
      <w:r w:rsidR="00206294">
        <w:t>onceptually, the value of imputation credits must be between 0 and 1. The range of values adopted by Australian regulators is from 0.25 to 0.5. This range is narrower than the range of estimates recommended by experts (from 0.25 to 0.84), but it is still quite wide. This highlights the lack of consensus among regulators on the value of imputation credits. Given the lack of consensus among experts, this is perhaps not surprising. Our final decision value of imputation credits of 0.4 sits within the range adopted by regulators.</w:t>
      </w:r>
    </w:p>
    <w:p w14:paraId="3CF3DEE6" w14:textId="77777777" w:rsidR="008B661B" w:rsidRPr="008B661B" w:rsidRDefault="008B661B" w:rsidP="008B661B">
      <w:pPr>
        <w:pStyle w:val="Heading8"/>
      </w:pPr>
      <w:bookmarkStart w:id="47" w:name="_Toc433449214"/>
      <w:r w:rsidRPr="008B661B">
        <w:t>Previous Australian Competition Tribunal considerations</w:t>
      </w:r>
      <w:bookmarkEnd w:id="47"/>
    </w:p>
    <w:p w14:paraId="72BAFECF" w14:textId="77777777" w:rsidR="008B661B" w:rsidRDefault="008B661B" w:rsidP="008B661B">
      <w:pPr>
        <w:numPr>
          <w:ilvl w:val="0"/>
          <w:numId w:val="25"/>
        </w:numPr>
      </w:pPr>
      <w:r>
        <w:t>The Australian Competition Tribunal has considered in detail the value of imputation credits (gamma) in three proceedings since 2010, relating to applications by:</w:t>
      </w:r>
    </w:p>
    <w:p w14:paraId="0ACE4290" w14:textId="77777777" w:rsidR="008B661B" w:rsidRPr="008B661B" w:rsidRDefault="008B661B" w:rsidP="008B661B">
      <w:pPr>
        <w:pStyle w:val="AERbulletlistfirststyle"/>
      </w:pPr>
      <w:r>
        <w:t>Energex Limited</w:t>
      </w:r>
    </w:p>
    <w:p w14:paraId="25DC4F6D" w14:textId="77777777" w:rsidR="008B661B" w:rsidRPr="008B661B" w:rsidRDefault="008B661B" w:rsidP="008B661B">
      <w:pPr>
        <w:pStyle w:val="AERbulletlistfirststyle"/>
      </w:pPr>
      <w:r>
        <w:t>DBNGP (WA) Transmission Pty Ltd, and</w:t>
      </w:r>
    </w:p>
    <w:p w14:paraId="0FDFDC85" w14:textId="77777777" w:rsidR="008B661B" w:rsidRPr="008B661B" w:rsidRDefault="008B661B" w:rsidP="008B661B">
      <w:pPr>
        <w:pStyle w:val="AERbulletlistfirststyle"/>
      </w:pPr>
      <w:r>
        <w:t>WA Gas Networks Pty Ltd.</w:t>
      </w:r>
    </w:p>
    <w:p w14:paraId="1A1B9E94" w14:textId="1C501AED" w:rsidR="008B661B" w:rsidRDefault="00EC3159" w:rsidP="008B661B">
      <w:pPr>
        <w:numPr>
          <w:ilvl w:val="0"/>
          <w:numId w:val="25"/>
        </w:numPr>
      </w:pPr>
      <w:r>
        <w:t>T</w:t>
      </w:r>
      <w:r w:rsidR="008B661B">
        <w:t>he Tribunal's comments in each case referred to the lack of expert consensus regarding the value of imputation credits and the scope that existed for future assessments of the evidence. We discuss these comments further in the sections below.</w:t>
      </w:r>
      <w:r w:rsidR="00DB5519">
        <w:rPr>
          <w:rStyle w:val="FootnoteReference"/>
        </w:rPr>
        <w:footnoteReference w:id="139"/>
      </w:r>
    </w:p>
    <w:p w14:paraId="309F5973" w14:textId="77777777" w:rsidR="008B661B" w:rsidRDefault="008B661B" w:rsidP="008B661B">
      <w:pPr>
        <w:pStyle w:val="Heading9"/>
      </w:pPr>
      <w:r>
        <w:lastRenderedPageBreak/>
        <w:t>Energex</w:t>
      </w:r>
    </w:p>
    <w:p w14:paraId="6C3767C4" w14:textId="77777777" w:rsidR="008B661B" w:rsidRPr="00F275F8" w:rsidRDefault="008B661B" w:rsidP="008B661B">
      <w:pPr>
        <w:numPr>
          <w:ilvl w:val="0"/>
          <w:numId w:val="25"/>
        </w:numPr>
      </w:pPr>
      <w:r>
        <w:t>In our 2009 industry wide review of rate of return parameters (the 2009 WACC review), we adopted a gamma of 0.65.</w:t>
      </w:r>
      <w:r>
        <w:rPr>
          <w:rStyle w:val="FootnoteReference"/>
        </w:rPr>
        <w:footnoteReference w:id="140"/>
      </w:r>
      <w:r>
        <w:t xml:space="preserve"> In 2009,</w:t>
      </w:r>
      <w:r w:rsidRPr="00F275F8">
        <w:t xml:space="preserve"> </w:t>
      </w:r>
      <w:r>
        <w:t>we</w:t>
      </w:r>
      <w:r w:rsidRPr="00F275F8">
        <w:t xml:space="preserve"> applied </w:t>
      </w:r>
      <w:r>
        <w:t xml:space="preserve">this value </w:t>
      </w:r>
      <w:r w:rsidRPr="00F275F8">
        <w:t>in the Queensland and South Australian electricity distribution determinations. Energex and Ergon successfully sought review of this decision</w:t>
      </w:r>
      <w:r>
        <w:t xml:space="preserve"> by the Australian Competition Tribunal</w:t>
      </w:r>
      <w:r w:rsidRPr="00F275F8">
        <w:t xml:space="preserve">. The Tribunal set the </w:t>
      </w:r>
      <w:r>
        <w:t>distribution rate</w:t>
      </w:r>
      <w:r w:rsidRPr="00F275F8">
        <w:t xml:space="preserve"> to 0.7 and </w:t>
      </w:r>
      <w:r>
        <w:t>initiated</w:t>
      </w:r>
      <w:r w:rsidRPr="00F275F8">
        <w:t xml:space="preserve"> a div</w:t>
      </w:r>
      <w:r>
        <w:t xml:space="preserve">idend drop off study from SFG to estimate the utilisation rate. </w:t>
      </w:r>
      <w:r w:rsidRPr="00F275F8">
        <w:t xml:space="preserve">The Tribunal adopted SFG's recommendation that the utilisation rate be set at 0.35. This resulted in a gamma of 0.25. </w:t>
      </w:r>
    </w:p>
    <w:p w14:paraId="2494C5FD" w14:textId="3366B640" w:rsidR="008B661B" w:rsidRDefault="008B661B" w:rsidP="00051598">
      <w:r w:rsidRPr="00F275F8">
        <w:t xml:space="preserve">In reaching its position, the Tribunal expressed views on the important factors in its decisions. </w:t>
      </w:r>
      <w:r w:rsidRPr="00FC06FD">
        <w:t>This included areas where the Tribunal felt its understanding was incomplete</w:t>
      </w:r>
      <w:r>
        <w:t xml:space="preserve">, as summarised in </w:t>
      </w:r>
      <w:r>
        <w:fldChar w:fldCharType="begin"/>
      </w:r>
      <w:r>
        <w:instrText xml:space="preserve"> REF  _Ref400609646 \* Lower \h </w:instrText>
      </w:r>
      <w:r w:rsidR="00051598">
        <w:instrText xml:space="preserve"> \* MERGEFORMAT </w:instrText>
      </w:r>
      <w:r>
        <w:fldChar w:fldCharType="separate"/>
      </w:r>
      <w:r w:rsidR="001E2164" w:rsidRPr="000E711B">
        <w:t>table</w:t>
      </w:r>
      <w:r w:rsidR="001E2164" w:rsidRPr="000E711B">
        <w:rPr>
          <w:noProof/>
        </w:rPr>
        <w:t xml:space="preserve"> </w:t>
      </w:r>
      <w:r w:rsidR="001E2164">
        <w:rPr>
          <w:noProof/>
        </w:rPr>
        <w:t>4</w:t>
      </w:r>
      <w:r w:rsidR="001E2164">
        <w:rPr>
          <w:noProof/>
        </w:rPr>
        <w:noBreakHyphen/>
        <w:t>5</w:t>
      </w:r>
      <w:r>
        <w:fldChar w:fldCharType="end"/>
      </w:r>
      <w:r>
        <w:t xml:space="preserve"> below</w:t>
      </w:r>
      <w:r w:rsidRPr="00FC06FD">
        <w:t>.</w:t>
      </w:r>
      <w:r>
        <w:t xml:space="preserve"> </w:t>
      </w:r>
      <w:r w:rsidRPr="00F275F8">
        <w:t xml:space="preserve">We </w:t>
      </w:r>
      <w:r>
        <w:t xml:space="preserve">have </w:t>
      </w:r>
      <w:r w:rsidRPr="00F275F8">
        <w:t>carefully considered these views.</w:t>
      </w:r>
    </w:p>
    <w:p w14:paraId="7A7C3114" w14:textId="77777777" w:rsidR="002B2C56" w:rsidRDefault="002B2C56" w:rsidP="00051598">
      <w:pPr>
        <w:sectPr w:rsidR="002B2C56" w:rsidSect="00103C71">
          <w:footerReference w:type="even" r:id="rId15"/>
          <w:footerReference w:type="default" r:id="rId16"/>
          <w:pgSz w:w="11906" w:h="16838"/>
          <w:pgMar w:top="1440" w:right="1440" w:bottom="1440" w:left="1440" w:header="708" w:footer="708" w:gutter="0"/>
          <w:pgNumType w:chapStyle="1"/>
          <w:cols w:space="708"/>
          <w:docGrid w:linePitch="360"/>
        </w:sectPr>
      </w:pPr>
    </w:p>
    <w:p w14:paraId="0973D8FC" w14:textId="77777777" w:rsidR="002B2C56" w:rsidRDefault="002B2C56" w:rsidP="00051598"/>
    <w:p w14:paraId="3C57F3D2" w14:textId="77777777" w:rsidR="008B661B" w:rsidRPr="000E711B" w:rsidRDefault="008B661B" w:rsidP="008B661B">
      <w:pPr>
        <w:pStyle w:val="Caption"/>
      </w:pPr>
      <w:bookmarkStart w:id="48" w:name="_Ref400609646"/>
      <w:bookmarkStart w:id="49" w:name="_Ref401260171"/>
      <w:r w:rsidRPr="000E711B">
        <w:t xml:space="preserve">Table </w:t>
      </w:r>
      <w:r w:rsidR="00D70292">
        <w:fldChar w:fldCharType="begin"/>
      </w:r>
      <w:r w:rsidR="00D70292">
        <w:instrText xml:space="preserve"> STYLEREF 1 \s </w:instrText>
      </w:r>
      <w:r w:rsidR="00D70292">
        <w:fldChar w:fldCharType="separate"/>
      </w:r>
      <w:r w:rsidR="001E2164">
        <w:rPr>
          <w:noProof/>
        </w:rPr>
        <w:t>4</w:t>
      </w:r>
      <w:r w:rsidR="00D70292">
        <w:rPr>
          <w:noProof/>
        </w:rPr>
        <w:fldChar w:fldCharType="end"/>
      </w:r>
      <w:r w:rsidR="00257FBE">
        <w:noBreakHyphen/>
      </w:r>
      <w:r w:rsidR="00D70292">
        <w:fldChar w:fldCharType="begin"/>
      </w:r>
      <w:r w:rsidR="00D70292">
        <w:instrText xml:space="preserve"> SEQ Table \* ARABIC \s 1 </w:instrText>
      </w:r>
      <w:r w:rsidR="00D70292">
        <w:fldChar w:fldCharType="separate"/>
      </w:r>
      <w:r w:rsidR="001E2164">
        <w:rPr>
          <w:noProof/>
        </w:rPr>
        <w:t>5</w:t>
      </w:r>
      <w:r w:rsidR="00D70292">
        <w:rPr>
          <w:noProof/>
        </w:rPr>
        <w:fldChar w:fldCharType="end"/>
      </w:r>
      <w:bookmarkEnd w:id="48"/>
      <w:r w:rsidRPr="000E711B">
        <w:tab/>
        <w:t>Australian Competition Tribunal's observations on imputation credits</w:t>
      </w:r>
      <w:bookmarkEnd w:id="49"/>
      <w:r>
        <w:t xml:space="preserve"> in Energex matter</w:t>
      </w:r>
    </w:p>
    <w:tbl>
      <w:tblPr>
        <w:tblStyle w:val="AERtable-numbers"/>
        <w:tblW w:w="5000" w:type="pct"/>
        <w:tblLook w:val="04A0" w:firstRow="1" w:lastRow="0" w:firstColumn="1" w:lastColumn="0" w:noHBand="0" w:noVBand="1"/>
      </w:tblPr>
      <w:tblGrid>
        <w:gridCol w:w="2222"/>
        <w:gridCol w:w="6438"/>
        <w:gridCol w:w="5514"/>
      </w:tblGrid>
      <w:tr w:rsidR="008B661B" w14:paraId="613FB436"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84" w:type="pct"/>
          </w:tcPr>
          <w:p w14:paraId="15318294" w14:textId="77777777" w:rsidR="008B661B" w:rsidRPr="000E711B" w:rsidRDefault="008B661B" w:rsidP="00062AC8">
            <w:r w:rsidRPr="000E711B">
              <w:t>Issue</w:t>
            </w:r>
          </w:p>
        </w:tc>
        <w:tc>
          <w:tcPr>
            <w:tcW w:w="2271" w:type="pct"/>
          </w:tcPr>
          <w:p w14:paraId="276B1F97" w14:textId="77777777" w:rsidR="008B661B" w:rsidRPr="000E711B" w:rsidRDefault="008B661B" w:rsidP="001F1D40">
            <w:pPr>
              <w:jc w:val="left"/>
              <w:cnfStyle w:val="100000000000" w:firstRow="1" w:lastRow="0" w:firstColumn="0" w:lastColumn="0" w:oddVBand="0" w:evenVBand="0" w:oddHBand="0" w:evenHBand="0" w:firstRowFirstColumn="0" w:firstRowLastColumn="0" w:lastRowFirstColumn="0" w:lastRowLastColumn="0"/>
            </w:pPr>
            <w:r w:rsidRPr="000E711B">
              <w:t>Tribunal comment</w:t>
            </w:r>
            <w:r>
              <w:t>s</w:t>
            </w:r>
          </w:p>
        </w:tc>
        <w:tc>
          <w:tcPr>
            <w:tcW w:w="1945" w:type="pct"/>
          </w:tcPr>
          <w:p w14:paraId="53A7A3B2" w14:textId="77777777" w:rsidR="008B661B" w:rsidRPr="000E711B" w:rsidRDefault="008B661B" w:rsidP="001F1D40">
            <w:pPr>
              <w:jc w:val="left"/>
              <w:cnfStyle w:val="100000000000" w:firstRow="1" w:lastRow="0" w:firstColumn="0" w:lastColumn="0" w:oddVBand="0" w:evenVBand="0" w:oddHBand="0" w:evenHBand="0" w:firstRowFirstColumn="0" w:firstRowLastColumn="0" w:lastRowFirstColumn="0" w:lastRowLastColumn="0"/>
            </w:pPr>
            <w:r>
              <w:t>AER comments</w:t>
            </w:r>
          </w:p>
        </w:tc>
      </w:tr>
      <w:tr w:rsidR="008B661B" w14:paraId="0D938545"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63F15F92" w14:textId="77777777" w:rsidR="008B661B" w:rsidRPr="008B661B" w:rsidRDefault="008B661B" w:rsidP="00062AC8">
            <w:r w:rsidRPr="000E711B">
              <w:t>The conceptual framework for gamma</w:t>
            </w:r>
          </w:p>
        </w:tc>
        <w:tc>
          <w:tcPr>
            <w:tcW w:w="2271" w:type="pct"/>
          </w:tcPr>
          <w:p w14:paraId="3DEC49B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"The Tribunal has found some deficiencies in its understanding of the foundations of the task facing it, and the AER, in determining the appropriate value of gamma. These issues have not been explored so far because they have not arisen between the parties, who appear to be in agreement about how the Rules should be interpreted regarding the treatment of corporate income tax. They may be matters that the Tribunal will take up in its further decision in these matters; or they may best be left until the next WACC review. Indeed, they may go to the basis for the Rules themselves. </w:t>
            </w:r>
          </w:p>
          <w:p w14:paraId="2CD4DDFA"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The Tribunal would be assisted in its consideration of the issues before it if the AER were to provide relevant extrinsic material explaining:</w:t>
            </w:r>
          </w:p>
          <w:p w14:paraId="7D549A41"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(a) the rationale for including the gamma component in the formula for calculating the estimated cost of corporate income tax; and</w:t>
            </w:r>
          </w:p>
          <w:p w14:paraId="31AEB90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(b) </w:t>
            </w:r>
            <w:proofErr w:type="gramStart"/>
            <w:r w:rsidRPr="000E711B">
              <w:t>how</w:t>
            </w:r>
            <w:proofErr w:type="gramEnd"/>
            <w:r w:rsidRPr="000E711B">
              <w:t xml:space="preserve"> it relates to the rest of the building blocks, especially the rate of return (cl 6.4.3(a) and cl 6.5.2(b) of the Rules)."</w:t>
            </w:r>
            <w:r w:rsidRPr="000E711B">
              <w:rPr>
                <w:rStyle w:val="FootnoteReference"/>
              </w:rPr>
              <w:footnoteReference w:id="141"/>
            </w:r>
          </w:p>
        </w:tc>
        <w:tc>
          <w:tcPr>
            <w:tcW w:w="1945" w:type="pct"/>
          </w:tcPr>
          <w:p w14:paraId="16FD46D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In developing the Guideline, we re-evaluated the conceptual framework for the value of imputation credits. In making this </w:t>
            </w:r>
            <w:r w:rsidR="000957E9">
              <w:t>final</w:t>
            </w:r>
            <w:r>
              <w:t xml:space="preserve"> decision, we have built on this re-evaluation and received further advice from Handley. We discuss the role of the value of imputation credits and the underlying conceptual framework in sections </w:t>
            </w:r>
            <w:r w:rsidR="00A15048">
              <w:fldChar w:fldCharType="begin"/>
            </w:r>
            <w:r w:rsidR="00A15048">
              <w:instrText xml:space="preserve"> REF _Ref415144114 \r \h </w:instrText>
            </w:r>
            <w:r w:rsidR="001F1D40">
              <w:instrText xml:space="preserve"> \* MERGEFORMAT </w:instrText>
            </w:r>
            <w:r w:rsidR="00A15048">
              <w:fldChar w:fldCharType="separate"/>
            </w:r>
            <w:r w:rsidR="001E2164">
              <w:t>A.5</w:t>
            </w:r>
            <w:r w:rsidR="00A15048">
              <w:fldChar w:fldCharType="end"/>
            </w:r>
            <w:r w:rsidR="00A15048">
              <w:t xml:space="preserve"> </w:t>
            </w:r>
            <w:r>
              <w:t xml:space="preserve">and </w:t>
            </w:r>
            <w:r>
              <w:fldChar w:fldCharType="begin"/>
            </w:r>
            <w:r>
              <w:instrText xml:space="preserve"> REF _Ref400965182 \r \h </w:instrText>
            </w:r>
            <w:r w:rsidR="000957E9">
              <w:instrText xml:space="preserve"> \* MERGEFORMAT </w:instrText>
            </w:r>
            <w:r>
              <w:fldChar w:fldCharType="separate"/>
            </w:r>
            <w:r w:rsidR="001E2164">
              <w:t>A.6</w:t>
            </w:r>
            <w:r>
              <w:fldChar w:fldCharType="end"/>
            </w:r>
            <w:r>
              <w:t>.</w:t>
            </w:r>
          </w:p>
        </w:tc>
      </w:tr>
      <w:tr w:rsidR="008B661B" w14:paraId="0C15DC78"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6F6C4F67" w14:textId="77777777" w:rsidR="008B661B" w:rsidRPr="008B661B" w:rsidRDefault="008B661B" w:rsidP="00062AC8">
            <w:r w:rsidRPr="000E711B">
              <w:t xml:space="preserve">The </w:t>
            </w:r>
            <w:r w:rsidRPr="008B661B">
              <w:t>distribution rate (payout ratio)</w:t>
            </w:r>
          </w:p>
        </w:tc>
        <w:tc>
          <w:tcPr>
            <w:tcW w:w="2271" w:type="pct"/>
          </w:tcPr>
          <w:p w14:paraId="292F0A1F"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"…there is [was]</w:t>
            </w:r>
            <w:r w:rsidRPr="000E711B">
              <w:t xml:space="preserve"> no empirical evidence currently available su</w:t>
            </w:r>
            <w:r>
              <w:t>pporting a distribution</w:t>
            </w:r>
            <w:r w:rsidRPr="000E711B">
              <w:t xml:space="preserve"> ratio higher than 0.70."</w:t>
            </w:r>
            <w:r w:rsidRPr="000E711B">
              <w:rPr>
                <w:rStyle w:val="FootnoteReference"/>
              </w:rPr>
              <w:footnoteReference w:id="142"/>
            </w:r>
          </w:p>
        </w:tc>
        <w:tc>
          <w:tcPr>
            <w:tcW w:w="1945" w:type="pct"/>
          </w:tcPr>
          <w:p w14:paraId="0CA409BA"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 xml:space="preserve">As discussed in section </w:t>
            </w:r>
            <w:r w:rsidR="003C2C75">
              <w:fldChar w:fldCharType="begin"/>
            </w:r>
            <w:r w:rsidR="003C2C75">
              <w:instrText xml:space="preserve"> REF _Ref403482746 \r \h </w:instrText>
            </w:r>
            <w:r w:rsidR="00062AC8">
              <w:instrText xml:space="preserve"> \* MERGEFORMAT </w:instrText>
            </w:r>
            <w:r w:rsidR="003C2C75">
              <w:fldChar w:fldCharType="separate"/>
            </w:r>
            <w:r w:rsidR="001E2164">
              <w:t>4.4.1</w:t>
            </w:r>
            <w:r w:rsidR="003C2C75">
              <w:fldChar w:fldCharType="end"/>
            </w:r>
            <w:r>
              <w:t xml:space="preserve"> of attachment 4 and section </w:t>
            </w:r>
            <w:r>
              <w:fldChar w:fldCharType="begin"/>
            </w:r>
            <w:r>
              <w:instrText xml:space="preserve"> REF _Ref401133206 \r \h </w:instrText>
            </w:r>
            <w:r w:rsidR="000957E9">
              <w:instrText xml:space="preserve"> \* MERGEFORMAT </w:instrText>
            </w:r>
            <w:r>
              <w:fldChar w:fldCharType="separate"/>
            </w:r>
            <w:r w:rsidR="001E2164">
              <w:t>A.10</w:t>
            </w:r>
            <w:r>
              <w:fldChar w:fldCharType="end"/>
            </w:r>
            <w:r>
              <w:t xml:space="preserve"> of this appendix, we consider that the approach used to estimate a distribution rate of 0.7 across all equity can be applied to </w:t>
            </w:r>
            <w:r w:rsidR="001C274C">
              <w:t>only listed equity</w:t>
            </w:r>
            <w:r>
              <w:t xml:space="preserve"> to produce a distribution rate of 0.</w:t>
            </w:r>
            <w:r w:rsidR="00604706">
              <w:t>7</w:t>
            </w:r>
            <w:r w:rsidR="00E92E9F">
              <w:t>7</w:t>
            </w:r>
            <w:r>
              <w:t>. Lally also finds a distribution rate of 0.84 over the largest 20 ASX-listed companies.</w:t>
            </w:r>
          </w:p>
        </w:tc>
      </w:tr>
      <w:tr w:rsidR="008B661B" w:rsidRPr="00B45BDD" w14:paraId="7842A67D"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3DB7AE67" w14:textId="77777777" w:rsidR="008B661B" w:rsidRPr="008B661B" w:rsidRDefault="008B661B" w:rsidP="00062AC8">
            <w:r w:rsidRPr="000E711B">
              <w:lastRenderedPageBreak/>
              <w:t xml:space="preserve">Tax </w:t>
            </w:r>
            <w:r w:rsidRPr="008B661B">
              <w:t>statistic estimates</w:t>
            </w:r>
          </w:p>
        </w:tc>
        <w:tc>
          <w:tcPr>
            <w:tcW w:w="2271" w:type="pct"/>
          </w:tcPr>
          <w:p w14:paraId="4AAA71D8" w14:textId="77777777" w:rsidR="008B661B" w:rsidRDefault="008B661B" w:rsidP="001F1D40">
            <w:pPr>
              <w:jc w:val="left"/>
              <w:cnfStyle w:val="000000000000" w:firstRow="0" w:lastRow="0" w:firstColumn="0" w:lastColumn="0" w:oddVBand="0" w:evenVBand="0" w:oddHBand="0" w:evenHBand="0" w:firstRowFirstColumn="0" w:firstRowLastColumn="0" w:lastRowFirstColumn="0" w:lastRowLastColumn="0"/>
            </w:pPr>
            <w:r>
              <w:t>"</w:t>
            </w:r>
            <w:r w:rsidRPr="0077656B">
              <w:t>The AER accepted that utilisation rates derived from tax statistics provide an upper bound on possible values of theta. Setting aside the manner in which the AER derived a value from the tax statistics study, it correctly considered that information from a tax statistics study was relevant. However, its relevance could only be related to the fact that it was an upper bound. No estimate that exceeded a genuine upper bound could be correct. Thus the appropriate way to use the tax statistics figure was as a check</w:t>
            </w:r>
            <w:r>
              <w:t>."</w:t>
            </w:r>
            <w:r>
              <w:rPr>
                <w:rStyle w:val="FootnoteReference"/>
              </w:rPr>
              <w:footnoteReference w:id="143"/>
            </w:r>
          </w:p>
          <w:p w14:paraId="07DE4FCD"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"SIRCA’s March 2011 report provided responses to a number of specific questions asked by the AER. Some of these responses raise serious issues regarding the use of dividend drop-off studies and the Tribunal’s earlier reasons. For example, SIRCA’s March 2011 report suggests that:</w:t>
            </w:r>
          </w:p>
          <w:p w14:paraId="76A82743"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 estimates from dividend drop-off studies are very imprecise and of questionable reliability; </w:t>
            </w:r>
          </w:p>
          <w:p w14:paraId="2BF7339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 such studies are likely to produce downwardly-biased estimates of theta; and </w:t>
            </w:r>
          </w:p>
          <w:p w14:paraId="45832A9B"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 </w:t>
            </w:r>
            <w:proofErr w:type="gramStart"/>
            <w:r w:rsidRPr="000E711B">
              <w:t>taxation</w:t>
            </w:r>
            <w:proofErr w:type="gramEnd"/>
            <w:r w:rsidRPr="000E711B">
              <w:t xml:space="preserve"> studies do not give an upper bound to theta.</w:t>
            </w:r>
          </w:p>
          <w:p w14:paraId="540654B9"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By way of background, the Tribunal in earlier reasons noted that the AER accepted that tax statistics studies provide an upper bound on possible values of theta. The AER in its report, while being less unequivocal than SIRCA, adopts SIRCA’s suggestion that the results of tax statistics studies (now called the redemption rate) could be discounted for factors such as the time between the distribution and the redemption of imputation credits. These adjustments “would need to be made on an economically justifiable basis”. The AER referred to a 2004 study by Hathaway and Officer as being an example of such a use of an estimate of the utilisation rate.</w:t>
            </w:r>
          </w:p>
          <w:p w14:paraId="11ED23F0"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Beyond these observations, the AER does not seek to adduce material from SIRCA’s March 2011 report to advance its submissions. On the material before it, the Tribunal is unable to reach any conclusions about the further use of tax statistics studies in estimating the utilisation ratio, theta. No doubt the AER will in the future have opportunity, and perhaps cause, to investigate further. It has not sought to do so in these proceedings."</w:t>
            </w:r>
            <w:r w:rsidRPr="000E711B">
              <w:rPr>
                <w:rStyle w:val="FootnoteReference"/>
              </w:rPr>
              <w:footnoteReference w:id="144"/>
            </w:r>
          </w:p>
        </w:tc>
        <w:tc>
          <w:tcPr>
            <w:tcW w:w="1945" w:type="pct"/>
          </w:tcPr>
          <w:p w14:paraId="518862C9"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Handley advised that his previous comments regarding the use of tax statistics being an 'upper bound' were misinterpreted in these proceedings. Handley confirmed that tax statistics can be used to produce a point estimate of the utilisation rate. </w:t>
            </w:r>
            <w:r w:rsidR="00B41DD9">
              <w:t>We discussed Handley's views in section A.6.1 of the draft decisions, and he has reiterated them in his latest report</w:t>
            </w:r>
            <w:r>
              <w:t xml:space="preserve">. We discuss the use of tax statistics more broadly in section </w:t>
            </w:r>
            <w:r w:rsidR="003C2C75">
              <w:fldChar w:fldCharType="begin"/>
            </w:r>
            <w:r w:rsidR="003C2C75">
              <w:instrText xml:space="preserve"> REF _Ref414289593 \r \h </w:instrText>
            </w:r>
            <w:r w:rsidR="00062AC8">
              <w:instrText xml:space="preserve"> \* MERGEFORMAT </w:instrText>
            </w:r>
            <w:r w:rsidR="003C2C75">
              <w:fldChar w:fldCharType="separate"/>
            </w:r>
            <w:r w:rsidR="001E2164">
              <w:t>4.4.2</w:t>
            </w:r>
            <w:r w:rsidR="003C2C75">
              <w:fldChar w:fldCharType="end"/>
            </w:r>
            <w:r w:rsidR="003C2C75">
              <w:t xml:space="preserve"> </w:t>
            </w:r>
            <w:r>
              <w:t xml:space="preserve">of attachment 4 and section </w:t>
            </w:r>
            <w:r w:rsidR="003C2C75">
              <w:fldChar w:fldCharType="begin"/>
            </w:r>
            <w:r w:rsidR="003C2C75">
              <w:instrText xml:space="preserve"> REF _Ref402179420 \r \h </w:instrText>
            </w:r>
            <w:r w:rsidR="00062AC8">
              <w:instrText xml:space="preserve"> \* MERGEFORMAT </w:instrText>
            </w:r>
            <w:r w:rsidR="003C2C75">
              <w:fldChar w:fldCharType="separate"/>
            </w:r>
            <w:r w:rsidR="001E2164">
              <w:t>A.13</w:t>
            </w:r>
            <w:r w:rsidR="003C2C75">
              <w:fldChar w:fldCharType="end"/>
            </w:r>
            <w:r w:rsidR="003C2C75">
              <w:t xml:space="preserve"> </w:t>
            </w:r>
            <w:r>
              <w:t>of this appendix.</w:t>
            </w:r>
          </w:p>
        </w:tc>
      </w:tr>
      <w:tr w:rsidR="008B661B" w:rsidRPr="00B45BDD" w14:paraId="5D07F43D"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2FF9F1B6" w14:textId="77777777" w:rsidR="008B661B" w:rsidRPr="008B661B" w:rsidRDefault="008B661B" w:rsidP="00062AC8">
            <w:r w:rsidRPr="000E711B">
              <w:lastRenderedPageBreak/>
              <w:t>The conceptual basis for dividend drop off studies</w:t>
            </w:r>
          </w:p>
        </w:tc>
        <w:tc>
          <w:tcPr>
            <w:tcW w:w="2271" w:type="pct"/>
          </w:tcPr>
          <w:p w14:paraId="22BAA6F7"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rsidRPr="000E711B">
              <w:t>"The AER has tendered, largely without comment, material that casts some doubt on the use of dividend drop-off studies in estimating gamma for regulatory purposes. In responding to questions from the AER, SIRCA's March 2011 report raises questions about the theoretical basis for dividend drop-off studies. In doing so, it touches on issues raised in the Tribunal's earlier reasons regarding the arbitrage model underlying dividend drop-off studies.</w:t>
            </w:r>
          </w:p>
          <w:p w14:paraId="6DA40F05"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rsidRPr="000E711B">
              <w:t>However, SIRCA's March 2011 report does not resolve these issues and the AER has provided no conclusions of its own."</w:t>
            </w:r>
            <w:r w:rsidRPr="000E711B">
              <w:rPr>
                <w:rStyle w:val="FootnoteReference"/>
              </w:rPr>
              <w:footnoteReference w:id="145"/>
            </w:r>
          </w:p>
        </w:tc>
        <w:tc>
          <w:tcPr>
            <w:tcW w:w="1945" w:type="pct"/>
          </w:tcPr>
          <w:p w14:paraId="49E122FC"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The limitations of dividend drop off studies have been widely identified since these proceedings—we provide a selection of comments from academics and regulators in section</w:t>
            </w:r>
            <w:r w:rsidR="001B1D7E">
              <w:t xml:space="preserve"> </w:t>
            </w:r>
            <w:r w:rsidR="001B1D7E">
              <w:fldChar w:fldCharType="begin"/>
            </w:r>
            <w:r w:rsidR="001B1D7E">
              <w:instrText xml:space="preserve"> REF _Ref414619467 \r \h </w:instrText>
            </w:r>
            <w:r w:rsidR="00062AC8">
              <w:instrText xml:space="preserve"> \* MERGEFORMAT </w:instrText>
            </w:r>
            <w:r w:rsidR="001B1D7E">
              <w:fldChar w:fldCharType="separate"/>
            </w:r>
            <w:r w:rsidR="001E2164">
              <w:t>A.14.6</w:t>
            </w:r>
            <w:r w:rsidR="001B1D7E">
              <w:fldChar w:fldCharType="end"/>
            </w:r>
            <w:r>
              <w:t xml:space="preserve">. Moreover, both Handley and Lally advised that other approaches to estimating the utilisation rate should be preferred (see section </w:t>
            </w:r>
            <w:r w:rsidR="001B1D7E">
              <w:fldChar w:fldCharType="begin"/>
            </w:r>
            <w:r w:rsidR="001B1D7E">
              <w:instrText xml:space="preserve"> REF _Ref414289593 \r \h </w:instrText>
            </w:r>
            <w:r w:rsidR="00062AC8">
              <w:instrText xml:space="preserve"> \* MERGEFORMAT </w:instrText>
            </w:r>
            <w:r w:rsidR="001B1D7E">
              <w:fldChar w:fldCharType="separate"/>
            </w:r>
            <w:r w:rsidR="001E2164">
              <w:t>4.4.2</w:t>
            </w:r>
            <w:r w:rsidR="001B1D7E">
              <w:fldChar w:fldCharType="end"/>
            </w:r>
            <w:r w:rsidR="001B1D7E">
              <w:t xml:space="preserve"> </w:t>
            </w:r>
            <w:r>
              <w:t>of attachment 4). Handley and Lally also advised that, without adjustment, dividend drop off studies produce downwards-biased estimates of the utilisation rate.</w:t>
            </w:r>
          </w:p>
        </w:tc>
      </w:tr>
      <w:tr w:rsidR="008B661B" w14:paraId="17DAC607"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1531A812" w14:textId="77777777" w:rsidR="008B661B" w:rsidRPr="008B661B" w:rsidRDefault="008B661B" w:rsidP="00062AC8">
            <w:r w:rsidRPr="000E711B">
              <w:t>The need to re-evaluate gamma</w:t>
            </w:r>
          </w:p>
        </w:tc>
        <w:tc>
          <w:tcPr>
            <w:tcW w:w="2271" w:type="pct"/>
          </w:tcPr>
          <w:p w14:paraId="2D098133"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w:t>
            </w:r>
            <w:r w:rsidRPr="00C60DA6">
              <w:t xml:space="preserve">Further, the Tribunal notes that </w:t>
            </w:r>
            <w:r>
              <w:t>e</w:t>
            </w:r>
            <w:r w:rsidRPr="000E711B">
              <w:t>stimation of a parameter such as gamma is necessarily, and desirably, an ongoing intellectual and empirical endeavour. Its decision in these proceedings is based on the material before it.”</w:t>
            </w:r>
            <w:r w:rsidRPr="000E711B">
              <w:rPr>
                <w:rStyle w:val="FootnoteReference"/>
              </w:rPr>
              <w:footnoteReference w:id="146"/>
            </w:r>
          </w:p>
        </w:tc>
        <w:tc>
          <w:tcPr>
            <w:tcW w:w="1945" w:type="pct"/>
          </w:tcPr>
          <w:p w14:paraId="60AE4004"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Consistent with this comment, we have not sought to apply the Tribunal's previous considerations in this </w:t>
            </w:r>
            <w:r w:rsidR="000957E9">
              <w:t>final</w:t>
            </w:r>
            <w:r>
              <w:t xml:space="preserve"> decision. Instead, we adopt a value of imputation credits that is based on our assessment of the merits of the evidence before us</w:t>
            </w:r>
            <w:r w:rsidR="00652A46">
              <w:t>, which includes a large amount of material that was not before the Tribunal in these proceedings</w:t>
            </w:r>
            <w:r>
              <w:t xml:space="preserve">. </w:t>
            </w:r>
          </w:p>
        </w:tc>
      </w:tr>
    </w:tbl>
    <w:p w14:paraId="3EEBB596" w14:textId="77777777" w:rsidR="008B661B" w:rsidRPr="000E711B" w:rsidRDefault="008B661B" w:rsidP="008B661B">
      <w:pPr>
        <w:pStyle w:val="AERtablesource"/>
      </w:pPr>
      <w:r>
        <w:t xml:space="preserve">Source: </w:t>
      </w:r>
      <w:r>
        <w:tab/>
        <w:t>As specified in table.</w:t>
      </w:r>
    </w:p>
    <w:p w14:paraId="73A21A6C" w14:textId="77777777" w:rsidR="002B2C56" w:rsidRDefault="002B2C56" w:rsidP="00A22AC1">
      <w:pPr>
        <w:numPr>
          <w:ilvl w:val="0"/>
          <w:numId w:val="25"/>
        </w:numPr>
        <w:sectPr w:rsidR="002B2C56" w:rsidSect="002B2C56">
          <w:pgSz w:w="16838" w:h="11906" w:orient="landscape"/>
          <w:pgMar w:top="1440" w:right="1440" w:bottom="1440" w:left="1440" w:header="708" w:footer="708" w:gutter="0"/>
          <w:pgNumType w:chapStyle="1"/>
          <w:cols w:space="708"/>
          <w:docGrid w:linePitch="360"/>
        </w:sectPr>
      </w:pPr>
    </w:p>
    <w:p w14:paraId="2CDCA6C2" w14:textId="77777777" w:rsidR="00A22AC1" w:rsidRDefault="00A22AC1" w:rsidP="00A22AC1">
      <w:pPr>
        <w:numPr>
          <w:ilvl w:val="0"/>
          <w:numId w:val="25"/>
        </w:numPr>
      </w:pPr>
      <w:r>
        <w:lastRenderedPageBreak/>
        <w:t>During the Guideline process, service providers frequently proposed a value of imputation credits of 0.25 and referenced the Tribunal decision in support of this.</w:t>
      </w:r>
      <w:r w:rsidR="006E3A04">
        <w:rPr>
          <w:rStyle w:val="FootnoteReference"/>
        </w:rPr>
        <w:footnoteReference w:id="147"/>
      </w:r>
      <w:r>
        <w:t xml:space="preserve"> However, the last quote from the Tribunal demonstrates that it did not intend for its decision to be determinative</w:t>
      </w:r>
      <w:r w:rsidR="0089793A">
        <w:t xml:space="preserve"> of the appropriate estimation technique for gamma</w:t>
      </w:r>
      <w:r w:rsidR="00430293">
        <w:t>, and certainly not on a permanent basis</w:t>
      </w:r>
      <w:r>
        <w:t>. In the Guideline, we also made this point. Service providers with current proposals no longer refer to the Tribunal's decision as if it were precedent</w:t>
      </w:r>
      <w:r w:rsidR="00430293">
        <w:t>. Rather, they</w:t>
      </w:r>
      <w:r>
        <w:t xml:space="preserve"> propose a value of imputation credits, and reasons for that value, which are consistent with the Tribunal decision.</w:t>
      </w:r>
    </w:p>
    <w:p w14:paraId="27F62E54" w14:textId="77777777" w:rsidR="00A22AC1" w:rsidRDefault="00A22AC1" w:rsidP="00A22AC1">
      <w:pPr>
        <w:numPr>
          <w:ilvl w:val="0"/>
          <w:numId w:val="25"/>
        </w:numPr>
      </w:pPr>
      <w:r>
        <w:t xml:space="preserve">Both during the Guideline development process and this determination process, we have considered the previous Tribunal decision carefully in forming our view on the value of imputation credits. </w:t>
      </w:r>
      <w:r w:rsidR="00430293">
        <w:t>F</w:t>
      </w:r>
      <w:r>
        <w:t>or the reasons expressed in this appendix and attachment 4 we have come to a different position. This is consistent with the Tribunal's expectation that the value of imputation credits is 'necessarily, and desirably, an ongoing intellectual and empirical endeavour'.</w:t>
      </w:r>
    </w:p>
    <w:p w14:paraId="2A5C1BCB" w14:textId="77777777" w:rsidR="00055B09" w:rsidRDefault="00055B09" w:rsidP="00615CE6">
      <w:pPr>
        <w:pStyle w:val="Heading9"/>
      </w:pPr>
      <w:r>
        <w:t>DBNGP and WA Gas Networks</w:t>
      </w:r>
    </w:p>
    <w:p w14:paraId="2AA2F4F8" w14:textId="77777777" w:rsidR="00055B09" w:rsidRDefault="00055B09" w:rsidP="00055B09">
      <w:pPr>
        <w:numPr>
          <w:ilvl w:val="0"/>
          <w:numId w:val="25"/>
        </w:numPr>
      </w:pPr>
      <w:r>
        <w:t>In 2012, Dampier to Bunbury Natural Gas Pipeline (DBNGP) sought Tribunal review of the ERA's decision to adopt a value of imputation credits of 0.25. In upholding the ERA's value, the Tribunal again emphasised the lack of consensus on an appropriate value</w:t>
      </w:r>
      <w:r w:rsidR="0089793A">
        <w:t xml:space="preserve"> and the fact that determining a value for gamma is continually being refined</w:t>
      </w:r>
      <w:r>
        <w:t>:</w:t>
      </w:r>
      <w:r>
        <w:rPr>
          <w:rStyle w:val="FootnoteReference"/>
        </w:rPr>
        <w:footnoteReference w:id="148"/>
      </w:r>
    </w:p>
    <w:p w14:paraId="489C86BD" w14:textId="77777777" w:rsidR="00055B09" w:rsidRDefault="00055B09" w:rsidP="00055B09">
      <w:pPr>
        <w:pStyle w:val="AERquote"/>
      </w:pPr>
      <w:r>
        <w:t xml:space="preserve">171 </w:t>
      </w:r>
      <w:r>
        <w:tab/>
      </w:r>
      <w:r w:rsidRPr="00883DBE">
        <w:t xml:space="preserve">Determining the appropriate values of F </w:t>
      </w:r>
      <w:r>
        <w:t xml:space="preserve">[the distribution rate] </w:t>
      </w:r>
      <w:r w:rsidRPr="00883DBE">
        <w:t>and theta has been a fiercely contested issue in Australia’s regulatory history. There is no unique pair of values of F and theta that are regarded as universally correct. Therefore there is no value of gamma that is regarded as universally correct. The academic models, empirical research methods, data and relevant time periods all need to be carefully investigated. Debate is inevitable, and ultimately, which value is most relevant for the matter at hand must be decided on a case-by-case basis.</w:t>
      </w:r>
    </w:p>
    <w:p w14:paraId="37E9E6CA" w14:textId="77777777" w:rsidR="00055B09" w:rsidRPr="00883DBE" w:rsidRDefault="00055B09" w:rsidP="00055B09">
      <w:pPr>
        <w:pStyle w:val="AERquote"/>
      </w:pPr>
      <w:r>
        <w:t>…</w:t>
      </w:r>
    </w:p>
    <w:p w14:paraId="23479CF7" w14:textId="77777777" w:rsidR="00055B09" w:rsidRDefault="00055B09" w:rsidP="00055B09">
      <w:pPr>
        <w:pStyle w:val="AERquote"/>
      </w:pPr>
      <w:r>
        <w:t xml:space="preserve">210 </w:t>
      </w:r>
      <w:r>
        <w:tab/>
      </w:r>
      <w:r w:rsidRPr="00883DBE">
        <w:t>The material (and conclusions drawn from it) that were relied on by the ERA were objectively produced by respected academic researchers. Professor Gray advanced alternative interpretations. This whole area of discourse about inputs into the CAPM and the correct approach to estimating the relevant parameters of the CAPM, including gamma, is a continuing area of sophisticated debate involving competing opinions. An agreed position appears to be a distant outcome. In reaching its decision the ERA relied on expert opinions that were contrary to those of Professor Gray, who had been engaged by DBP. Such a difference of opinion is common amongst academics in this as in other similar areas. Thus, so long as the ERA acted reasonably in preferring one expert to another, it will not have committed error.</w:t>
      </w:r>
    </w:p>
    <w:p w14:paraId="0D5D7172" w14:textId="77777777" w:rsidR="00055B09" w:rsidRDefault="00055B09" w:rsidP="00055B09">
      <w:pPr>
        <w:pStyle w:val="AERquote"/>
      </w:pPr>
      <w:r>
        <w:lastRenderedPageBreak/>
        <w:t xml:space="preserve">211 </w:t>
      </w:r>
      <w:r>
        <w:tab/>
      </w:r>
      <w:r w:rsidRPr="00883DBE">
        <w:t>The Tribunal reiterates that there is no single agreed-upon correct value of gamma. While the value of F is relatively settled in Australia, great controversy has surrounded the relevant value of theta. Many papers on the measurement of theta, and thus gamma, were produced for the ERA’s consideration, from its own and from DBP’s experts. The gap between their estimating models, and their ensuing calculations, was wide.</w:t>
      </w:r>
    </w:p>
    <w:p w14:paraId="54D5E15A" w14:textId="77777777" w:rsidR="00055B09" w:rsidRPr="00883DBE" w:rsidRDefault="00055B09" w:rsidP="00055B09">
      <w:pPr>
        <w:pStyle w:val="AERquote"/>
      </w:pPr>
      <w:r>
        <w:t>…</w:t>
      </w:r>
    </w:p>
    <w:p w14:paraId="2C3329B7" w14:textId="77777777" w:rsidR="00055B09" w:rsidRPr="007C139E" w:rsidRDefault="00055B09" w:rsidP="00055B09">
      <w:pPr>
        <w:pStyle w:val="AERquote"/>
      </w:pPr>
      <w:r>
        <w:t xml:space="preserve">214 </w:t>
      </w:r>
      <w:r>
        <w:tab/>
      </w:r>
      <w:r w:rsidRPr="007C139E">
        <w:t>The Tribunal observes that this is not to say, however, that a gamma value of 0.25 is the only possible value for this parameter. It is simply the best estimate currently available for use in this matter now before it. As with the estimation of many economic and financial parameters, finding the “right” value is a process of continual refinement as new models and paradigms emerge and as better data and estimating techniques become available.</w:t>
      </w:r>
    </w:p>
    <w:p w14:paraId="41D41A29" w14:textId="77777777" w:rsidR="00055B09" w:rsidRDefault="00055B09" w:rsidP="00055B09">
      <w:r>
        <w:t xml:space="preserve">The Tribunal made similar comments in the earlier </w:t>
      </w:r>
      <w:r w:rsidRPr="00C247C6">
        <w:t>WA Gas Networks</w:t>
      </w:r>
      <w:r>
        <w:t xml:space="preserve"> matter.</w:t>
      </w:r>
      <w:r>
        <w:rPr>
          <w:rStyle w:val="FootnoteReference"/>
        </w:rPr>
        <w:footnoteReference w:id="149"/>
      </w:r>
    </w:p>
    <w:p w14:paraId="00FC7815" w14:textId="77777777" w:rsidR="00ED6A81" w:rsidRDefault="0046390C" w:rsidP="00615CE6">
      <w:pPr>
        <w:pStyle w:val="Heading8"/>
      </w:pPr>
      <w:bookmarkStart w:id="50" w:name="_Ref415070393"/>
      <w:bookmarkStart w:id="51" w:name="_Toc433449215"/>
      <w:bookmarkStart w:id="52" w:name="_Ref400961862"/>
      <w:r>
        <w:t>Key concerns of</w:t>
      </w:r>
      <w:r w:rsidR="002630C5">
        <w:t xml:space="preserve"> the service providers</w:t>
      </w:r>
      <w:bookmarkEnd w:id="50"/>
      <w:bookmarkEnd w:id="51"/>
    </w:p>
    <w:p w14:paraId="7097614B" w14:textId="5B6AAEFB" w:rsidR="00615BED" w:rsidRDefault="0046390C" w:rsidP="002630C5">
      <w:r>
        <w:t xml:space="preserve">In their revised proposals, </w:t>
      </w:r>
      <w:r w:rsidR="00DB5519">
        <w:t xml:space="preserve">Ausgrid, Endeavour Energy, Essential Energy, ActewAGL, </w:t>
      </w:r>
      <w:r w:rsidR="00EF4770">
        <w:t>TransGrid</w:t>
      </w:r>
      <w:r w:rsidR="00DB5519">
        <w:t>, Directlink, and Jemena Gas</w:t>
      </w:r>
      <w:r w:rsidR="002630C5">
        <w:t xml:space="preserve"> </w:t>
      </w:r>
      <w:r w:rsidR="00DB5519">
        <w:t xml:space="preserve">Networks </w:t>
      </w:r>
      <w:r w:rsidR="001568FE">
        <w:t xml:space="preserve">directly </w:t>
      </w:r>
      <w:r>
        <w:t>raise</w:t>
      </w:r>
      <w:r w:rsidR="00481511">
        <w:t>d</w:t>
      </w:r>
      <w:r>
        <w:t xml:space="preserve"> eight key concerns</w:t>
      </w:r>
      <w:r w:rsidR="002630C5">
        <w:t xml:space="preserve"> </w:t>
      </w:r>
      <w:r>
        <w:t>with</w:t>
      </w:r>
      <w:r w:rsidR="002630C5">
        <w:t xml:space="preserve"> our draft decisions</w:t>
      </w:r>
      <w:r w:rsidR="008A59DC">
        <w:t xml:space="preserve"> released in 2014</w:t>
      </w:r>
      <w:r>
        <w:t>, which they characterise</w:t>
      </w:r>
      <w:r w:rsidR="00481511">
        <w:t>d</w:t>
      </w:r>
      <w:r>
        <w:t xml:space="preserve"> as errors</w:t>
      </w:r>
      <w:r w:rsidR="002630C5">
        <w:t>.</w:t>
      </w:r>
      <w:r w:rsidR="00615BED">
        <w:rPr>
          <w:rStyle w:val="FootnoteReference"/>
        </w:rPr>
        <w:footnoteReference w:id="150"/>
      </w:r>
      <w:r w:rsidR="002630C5">
        <w:t xml:space="preserve"> </w:t>
      </w:r>
      <w:r w:rsidR="00C82B86">
        <w:t>A</w:t>
      </w:r>
      <w:r w:rsidR="008A59DC">
        <w:t xml:space="preserve"> number of these concerns were also implicitly or </w:t>
      </w:r>
      <w:r w:rsidR="00EF4770">
        <w:t>explicitly raised</w:t>
      </w:r>
      <w:r w:rsidR="008A59DC">
        <w:t xml:space="preserve"> </w:t>
      </w:r>
      <w:r w:rsidR="001568FE">
        <w:t xml:space="preserve">in the </w:t>
      </w:r>
      <w:r w:rsidR="00B539CD">
        <w:t xml:space="preserve">revised or initial </w:t>
      </w:r>
      <w:r w:rsidR="001568FE">
        <w:t xml:space="preserve">regulatory proposals </w:t>
      </w:r>
      <w:r w:rsidR="00B539CD">
        <w:t>and supporting</w:t>
      </w:r>
      <w:r w:rsidR="001568FE">
        <w:t xml:space="preserve"> </w:t>
      </w:r>
      <w:r w:rsidR="002C1CFB">
        <w:t>expert's</w:t>
      </w:r>
      <w:r w:rsidR="001568FE">
        <w:t xml:space="preserve"> reports submitted </w:t>
      </w:r>
      <w:r w:rsidR="002C1CFB">
        <w:t>by a</w:t>
      </w:r>
      <w:r w:rsidR="00576550">
        <w:t xml:space="preserve"> number </w:t>
      </w:r>
      <w:proofErr w:type="gramStart"/>
      <w:r w:rsidR="00576550">
        <w:t xml:space="preserve">of </w:t>
      </w:r>
      <w:r w:rsidR="00407BEB">
        <w:t xml:space="preserve"> other</w:t>
      </w:r>
      <w:proofErr w:type="gramEnd"/>
      <w:r w:rsidR="00407BEB">
        <w:t xml:space="preserve"> service providers</w:t>
      </w:r>
      <w:r w:rsidR="00DB5519">
        <w:t>.</w:t>
      </w:r>
      <w:r w:rsidR="008A59DC">
        <w:t xml:space="preserve"> </w:t>
      </w:r>
      <w:r w:rsidR="009B202B">
        <w:t>Below w</w:t>
      </w:r>
      <w:r w:rsidR="002630C5">
        <w:t xml:space="preserve">e </w:t>
      </w:r>
      <w:r w:rsidR="00615BED">
        <w:t>set out each of these and identify where we have responded to each</w:t>
      </w:r>
      <w:r w:rsidR="00B539CD">
        <w:t xml:space="preserve"> of these eight key concerns</w:t>
      </w:r>
      <w:r w:rsidR="00615BED">
        <w:t xml:space="preserve"> in this final decision.</w:t>
      </w:r>
    </w:p>
    <w:p w14:paraId="7A7C65C4" w14:textId="77777777" w:rsidR="00D23317" w:rsidRDefault="00826B31" w:rsidP="005668B8">
      <w:pPr>
        <w:pStyle w:val="AERbulletlistfirststyle"/>
      </w:pPr>
      <w:r w:rsidRPr="005668B8">
        <w:rPr>
          <w:rStyle w:val="AERtextitalic"/>
          <w:i w:val="0"/>
        </w:rPr>
        <w:t>Our definition of the utilisation rate is conceptually incorrect and inconsistent with the requirements of the NER/NGR</w:t>
      </w:r>
      <w:r w:rsidR="005668B8">
        <w:rPr>
          <w:rFonts w:cs="Arial"/>
        </w:rPr>
        <w:t>—</w:t>
      </w:r>
      <w:r w:rsidR="00D23317">
        <w:t xml:space="preserve">our </w:t>
      </w:r>
      <w:r w:rsidR="0046390C">
        <w:t xml:space="preserve">understanding </w:t>
      </w:r>
      <w:r w:rsidR="00D23317">
        <w:t>of the utilisation rate (and the value of imputation credits more broadly) is discussed in sections</w:t>
      </w:r>
      <w:r w:rsidR="00481511">
        <w:t xml:space="preserve"> </w:t>
      </w:r>
      <w:r w:rsidR="00481511">
        <w:fldChar w:fldCharType="begin"/>
      </w:r>
      <w:r w:rsidR="00481511">
        <w:instrText xml:space="preserve"> REF _Ref416802459 \r \h </w:instrText>
      </w:r>
      <w:r w:rsidR="00481511">
        <w:fldChar w:fldCharType="separate"/>
      </w:r>
      <w:r w:rsidR="001E2164">
        <w:t>4.3.1</w:t>
      </w:r>
      <w:r w:rsidR="00481511">
        <w:fldChar w:fldCharType="end"/>
      </w:r>
      <w:r w:rsidR="00481511">
        <w:t>,</w:t>
      </w:r>
      <w:r w:rsidR="00D23317">
        <w:t xml:space="preserve"> </w:t>
      </w:r>
      <w:r w:rsidR="00D23317">
        <w:fldChar w:fldCharType="begin"/>
      </w:r>
      <w:r w:rsidR="00D23317">
        <w:instrText xml:space="preserve"> REF _Ref415048973 \r \h </w:instrText>
      </w:r>
      <w:r w:rsidR="00D23317">
        <w:fldChar w:fldCharType="separate"/>
      </w:r>
      <w:r w:rsidR="001E2164">
        <w:t>4.3.6</w:t>
      </w:r>
      <w:r w:rsidR="00D23317">
        <w:fldChar w:fldCharType="end"/>
      </w:r>
      <w:r w:rsidR="00D23317">
        <w:t xml:space="preserve">, </w:t>
      </w:r>
      <w:r w:rsidR="00D23317">
        <w:fldChar w:fldCharType="begin"/>
      </w:r>
      <w:r w:rsidR="00D23317">
        <w:instrText xml:space="preserve"> REF _Ref414289593 \r \h </w:instrText>
      </w:r>
      <w:r w:rsidR="00D23317">
        <w:fldChar w:fldCharType="separate"/>
      </w:r>
      <w:r w:rsidR="001E2164">
        <w:t>4.4.2</w:t>
      </w:r>
      <w:r w:rsidR="00D23317">
        <w:fldChar w:fldCharType="end"/>
      </w:r>
      <w:r w:rsidR="00D23317">
        <w:t xml:space="preserve">, </w:t>
      </w:r>
      <w:r w:rsidR="00D23317">
        <w:fldChar w:fldCharType="begin"/>
      </w:r>
      <w:r w:rsidR="00D23317">
        <w:instrText xml:space="preserve"> REF _Ref400965182 \r \h </w:instrText>
      </w:r>
      <w:r w:rsidR="00D23317">
        <w:fldChar w:fldCharType="separate"/>
      </w:r>
      <w:r w:rsidR="001E2164">
        <w:t>A.6</w:t>
      </w:r>
      <w:r w:rsidR="00D23317">
        <w:fldChar w:fldCharType="end"/>
      </w:r>
      <w:r w:rsidR="00D23317">
        <w:t xml:space="preserve">, </w:t>
      </w:r>
      <w:r w:rsidR="00D23317">
        <w:fldChar w:fldCharType="begin"/>
      </w:r>
      <w:r w:rsidR="00D23317">
        <w:instrText xml:space="preserve"> REF _Ref414282622 \r \h </w:instrText>
      </w:r>
      <w:r w:rsidR="00D23317">
        <w:fldChar w:fldCharType="separate"/>
      </w:r>
      <w:r w:rsidR="001E2164">
        <w:t>A.7</w:t>
      </w:r>
      <w:r w:rsidR="00D23317">
        <w:fldChar w:fldCharType="end"/>
      </w:r>
      <w:r w:rsidR="00D23317">
        <w:t xml:space="preserve"> and </w:t>
      </w:r>
      <w:r w:rsidR="00D23317">
        <w:fldChar w:fldCharType="begin"/>
      </w:r>
      <w:r w:rsidR="00D23317">
        <w:instrText xml:space="preserve"> REF _Ref414623120 \r \h </w:instrText>
      </w:r>
      <w:r w:rsidR="00D23317">
        <w:fldChar w:fldCharType="separate"/>
      </w:r>
      <w:r w:rsidR="001E2164">
        <w:t>A.8</w:t>
      </w:r>
      <w:r w:rsidR="00D23317">
        <w:fldChar w:fldCharType="end"/>
      </w:r>
      <w:r w:rsidR="00D23317">
        <w:t xml:space="preserve">. As shown there, our </w:t>
      </w:r>
      <w:r w:rsidR="0046390C">
        <w:t xml:space="preserve">understanding </w:t>
      </w:r>
      <w:r w:rsidR="00D23317">
        <w:t>is</w:t>
      </w:r>
      <w:r w:rsidR="004F290A">
        <w:t xml:space="preserve"> consistent with the theoretical</w:t>
      </w:r>
      <w:r w:rsidR="00D23317">
        <w:t xml:space="preserve"> </w:t>
      </w:r>
      <w:r w:rsidR="004F290A">
        <w:t xml:space="preserve">framework that underpins the NER/NGR and is </w:t>
      </w:r>
      <w:r w:rsidR="00D23317">
        <w:t>supported by expert advice from Handley.</w:t>
      </w:r>
    </w:p>
    <w:p w14:paraId="11590EC3" w14:textId="77777777" w:rsidR="004B6775" w:rsidRDefault="00D23317" w:rsidP="005668B8">
      <w:pPr>
        <w:pStyle w:val="AERbulletlistfirststyle"/>
      </w:pPr>
      <w:r>
        <w:t>We incorrectly use equity ownership rates as direct evidence of the value of distributed imputation credits</w:t>
      </w:r>
      <w:r>
        <w:rPr>
          <w:rFonts w:cs="Arial"/>
        </w:rPr>
        <w:t>—</w:t>
      </w:r>
      <w:r w:rsidR="004B6775">
        <w:t xml:space="preserve">given our </w:t>
      </w:r>
      <w:r w:rsidR="0046390C">
        <w:t xml:space="preserve">understanding </w:t>
      </w:r>
      <w:r w:rsidR="004B6775">
        <w:t>of the utilisation rate, we set out in section</w:t>
      </w:r>
      <w:r w:rsidR="003914B5" w:rsidRPr="005668B8">
        <w:t xml:space="preserve"> </w:t>
      </w:r>
      <w:r w:rsidR="004B6775">
        <w:fldChar w:fldCharType="begin"/>
      </w:r>
      <w:r w:rsidR="004B6775">
        <w:instrText xml:space="preserve"> REF _Ref414289593 \r \h </w:instrText>
      </w:r>
      <w:r w:rsidR="004B6775">
        <w:fldChar w:fldCharType="separate"/>
      </w:r>
      <w:r w:rsidR="001E2164">
        <w:t>4.4.2</w:t>
      </w:r>
      <w:r w:rsidR="004B6775">
        <w:fldChar w:fldCharType="end"/>
      </w:r>
      <w:r w:rsidR="004B6775">
        <w:t xml:space="preserve"> why the equity ownership approach provides a reasonable estimate.</w:t>
      </w:r>
    </w:p>
    <w:p w14:paraId="2097FA60" w14:textId="6959C492" w:rsidR="00DD7B9A" w:rsidRDefault="0033258C" w:rsidP="005668B8">
      <w:pPr>
        <w:pStyle w:val="AERbulletlistfirststyle"/>
      </w:pPr>
      <w:r>
        <w:t>The ranges we used for the equity ownership rate were not supported by the</w:t>
      </w:r>
      <w:r w:rsidR="00481511">
        <w:t xml:space="preserve"> evidence in the draft decisions</w:t>
      </w:r>
      <w:r>
        <w:rPr>
          <w:rFonts w:cs="Arial"/>
        </w:rPr>
        <w:t>—</w:t>
      </w:r>
      <w:r>
        <w:t xml:space="preserve">as discussed in section </w:t>
      </w:r>
      <w:r>
        <w:fldChar w:fldCharType="begin"/>
      </w:r>
      <w:r>
        <w:instrText xml:space="preserve"> REF _Ref415049811 \r \h </w:instrText>
      </w:r>
      <w:r>
        <w:fldChar w:fldCharType="separate"/>
      </w:r>
      <w:r w:rsidR="001E2164">
        <w:t>A.12</w:t>
      </w:r>
      <w:r>
        <w:fldChar w:fldCharType="end"/>
      </w:r>
      <w:r w:rsidR="00DD7B9A">
        <w:t xml:space="preserve">, the service providers </w:t>
      </w:r>
      <w:r w:rsidR="00C71C38">
        <w:t xml:space="preserve">who raised this </w:t>
      </w:r>
      <w:r w:rsidR="00DD7B9A">
        <w:t xml:space="preserve">did not recognise that our ranges were based on the evidence from two alternative </w:t>
      </w:r>
      <w:r w:rsidR="00DD7B9A">
        <w:lastRenderedPageBreak/>
        <w:t>applications of the equity ownership approach. In this final decision, our ranges are based on the application that was deemed more relevant by Handley in his recent advice.</w:t>
      </w:r>
    </w:p>
    <w:p w14:paraId="016CFCCF" w14:textId="77777777" w:rsidR="000D1E3A" w:rsidRDefault="000D1E3A" w:rsidP="005668B8">
      <w:pPr>
        <w:pStyle w:val="AERbulletlistfirststyle"/>
      </w:pPr>
      <w:r>
        <w:t>We incorrectly use tax statistics as direct evidence of the value of distributed imputation credits</w:t>
      </w:r>
      <w:r>
        <w:rPr>
          <w:rFonts w:cs="Arial"/>
        </w:rPr>
        <w:t>—</w:t>
      </w:r>
      <w:r>
        <w:t xml:space="preserve">given our </w:t>
      </w:r>
      <w:r w:rsidR="0046390C">
        <w:t xml:space="preserve">understanding </w:t>
      </w:r>
      <w:r>
        <w:t>of the utilisation rate, we set out in section</w:t>
      </w:r>
      <w:r w:rsidRPr="005668B8">
        <w:t xml:space="preserve"> </w:t>
      </w:r>
      <w:r>
        <w:fldChar w:fldCharType="begin"/>
      </w:r>
      <w:r>
        <w:instrText xml:space="preserve"> REF _Ref414289593 \r \h </w:instrText>
      </w:r>
      <w:r>
        <w:fldChar w:fldCharType="separate"/>
      </w:r>
      <w:r w:rsidR="001E2164">
        <w:t>4.4.2</w:t>
      </w:r>
      <w:r>
        <w:fldChar w:fldCharType="end"/>
      </w:r>
      <w:r>
        <w:t xml:space="preserve"> why tax statistics provide a reasonable estimate.</w:t>
      </w:r>
    </w:p>
    <w:p w14:paraId="4D2B5310" w14:textId="77777777" w:rsidR="00335E54" w:rsidRDefault="0044181C" w:rsidP="005668B8">
      <w:pPr>
        <w:pStyle w:val="AERbulletlistfirststyle"/>
      </w:pPr>
      <w:r>
        <w:t>We incorrectly conclude that implied market value studies</w:t>
      </w:r>
      <w:r w:rsidR="00F9593C">
        <w:t xml:space="preserve"> reflect factors that are not relevant to estimating the utilisation rate</w:t>
      </w:r>
      <w:r w:rsidR="00F9593C">
        <w:rPr>
          <w:rFonts w:cs="Arial"/>
        </w:rPr>
        <w:t>—</w:t>
      </w:r>
      <w:r w:rsidR="00F9593C">
        <w:t xml:space="preserve">given our </w:t>
      </w:r>
      <w:r w:rsidR="0046390C">
        <w:t xml:space="preserve">understanding </w:t>
      </w:r>
      <w:r w:rsidR="00F9593C">
        <w:t>of the utilisation rate, we set out in sections</w:t>
      </w:r>
      <w:r w:rsidR="00F9593C" w:rsidRPr="005668B8">
        <w:t xml:space="preserve"> </w:t>
      </w:r>
      <w:r w:rsidR="00756D5F">
        <w:fldChar w:fldCharType="begin"/>
      </w:r>
      <w:r w:rsidR="00756D5F">
        <w:instrText xml:space="preserve"> REF _Ref414289593 \r \h </w:instrText>
      </w:r>
      <w:r w:rsidR="00756D5F">
        <w:fldChar w:fldCharType="separate"/>
      </w:r>
      <w:r w:rsidR="001E2164">
        <w:t>4.4.2</w:t>
      </w:r>
      <w:r w:rsidR="00756D5F">
        <w:fldChar w:fldCharType="end"/>
      </w:r>
      <w:r w:rsidR="00756D5F">
        <w:t xml:space="preserve">, </w:t>
      </w:r>
      <w:r w:rsidR="00756D5F">
        <w:fldChar w:fldCharType="begin"/>
      </w:r>
      <w:r w:rsidR="00756D5F">
        <w:instrText xml:space="preserve"> REF _Ref415065117 \r \h </w:instrText>
      </w:r>
      <w:r w:rsidR="00756D5F">
        <w:fldChar w:fldCharType="separate"/>
      </w:r>
      <w:r w:rsidR="001E2164">
        <w:t>A.14.4</w:t>
      </w:r>
      <w:r w:rsidR="00756D5F">
        <w:fldChar w:fldCharType="end"/>
      </w:r>
      <w:r w:rsidR="00756D5F">
        <w:t xml:space="preserve"> and </w:t>
      </w:r>
      <w:r w:rsidR="00756D5F">
        <w:fldChar w:fldCharType="begin"/>
      </w:r>
      <w:r w:rsidR="00756D5F">
        <w:instrText xml:space="preserve"> REF _Ref414624721 \r \h </w:instrText>
      </w:r>
      <w:r w:rsidR="00756D5F">
        <w:fldChar w:fldCharType="separate"/>
      </w:r>
      <w:r w:rsidR="001E2164">
        <w:t>A.14.5</w:t>
      </w:r>
      <w:r w:rsidR="00756D5F">
        <w:fldChar w:fldCharType="end"/>
      </w:r>
      <w:r w:rsidR="00756D5F">
        <w:t xml:space="preserve"> </w:t>
      </w:r>
      <w:r w:rsidR="00F9593C">
        <w:t>why the results of implied market value studies can reflect factors that are not relevant to the utilisation rate.</w:t>
      </w:r>
    </w:p>
    <w:p w14:paraId="121E59B1" w14:textId="77777777" w:rsidR="002630C5" w:rsidRDefault="00335E54" w:rsidP="00A12A0E">
      <w:pPr>
        <w:pStyle w:val="AERbulletlistfirststyle"/>
      </w:pPr>
      <w:r>
        <w:t>We erred by considering implied market value studies in a general manner rather than considering the merits of SFG's dividend drop off study</w:t>
      </w:r>
      <w:r>
        <w:rPr>
          <w:rFonts w:cs="Arial"/>
        </w:rPr>
        <w:t>—</w:t>
      </w:r>
      <w:r w:rsidR="00BF256A">
        <w:t xml:space="preserve">in section </w:t>
      </w:r>
      <w:r w:rsidR="00BF256A">
        <w:fldChar w:fldCharType="begin"/>
      </w:r>
      <w:r w:rsidR="00BF256A">
        <w:instrText xml:space="preserve"> REF _Ref414289593 \r \h </w:instrText>
      </w:r>
      <w:r w:rsidR="00BF256A">
        <w:fldChar w:fldCharType="separate"/>
      </w:r>
      <w:r w:rsidR="001E2164">
        <w:t>4.4.2</w:t>
      </w:r>
      <w:r w:rsidR="00BF256A">
        <w:fldChar w:fldCharType="end"/>
      </w:r>
      <w:r w:rsidR="00BF256A">
        <w:t xml:space="preserve"> we set out a list of limitations that can apply to implied market value studies, and in section </w:t>
      </w:r>
      <w:r w:rsidR="00847F09">
        <w:fldChar w:fldCharType="begin"/>
      </w:r>
      <w:r w:rsidR="00847F09">
        <w:instrText xml:space="preserve"> REF _Ref414624721 \r \h </w:instrText>
      </w:r>
      <w:r w:rsidR="00847F09">
        <w:fldChar w:fldCharType="separate"/>
      </w:r>
      <w:r w:rsidR="001E2164">
        <w:t>A.14.5</w:t>
      </w:r>
      <w:r w:rsidR="00847F09">
        <w:fldChar w:fldCharType="end"/>
      </w:r>
      <w:r w:rsidR="00847F09">
        <w:t xml:space="preserve"> we </w:t>
      </w:r>
      <w:r w:rsidR="008A369B">
        <w:t>conclude that that there is reasonable evidence to suggest that several of these limitations apply to SFG's dividend drop off</w:t>
      </w:r>
      <w:r w:rsidR="00BF3B92">
        <w:t xml:space="preserve"> study</w:t>
      </w:r>
      <w:r w:rsidR="00847F09">
        <w:t xml:space="preserve">. </w:t>
      </w:r>
      <w:r w:rsidR="00915740">
        <w:t xml:space="preserve">In section </w:t>
      </w:r>
      <w:r w:rsidR="00915740">
        <w:fldChar w:fldCharType="begin"/>
      </w:r>
      <w:r w:rsidR="00915740">
        <w:instrText xml:space="preserve"> REF _Ref414289593 \r \h </w:instrText>
      </w:r>
      <w:r w:rsidR="00915740">
        <w:fldChar w:fldCharType="separate"/>
      </w:r>
      <w:r w:rsidR="001E2164">
        <w:t>4.4.2</w:t>
      </w:r>
      <w:r w:rsidR="00915740">
        <w:fldChar w:fldCharType="end"/>
      </w:r>
      <w:r w:rsidR="00915740">
        <w:t xml:space="preserve"> we also refer to the issues raised by Lally in relation to SFG's dividend drop off study, and McKenzie and Partington's view that </w:t>
      </w:r>
      <w:r w:rsidR="00915740" w:rsidRPr="008D1665">
        <w:t xml:space="preserve">there is no obvious manner in which to weigh the results from various </w:t>
      </w:r>
      <w:r w:rsidR="00915740">
        <w:t xml:space="preserve">implied market value </w:t>
      </w:r>
      <w:r w:rsidR="00915740" w:rsidRPr="008D1665">
        <w:t>studies based on their characteristics</w:t>
      </w:r>
      <w:r w:rsidR="00915740">
        <w:t>.</w:t>
      </w:r>
      <w:r w:rsidR="002630C5" w:rsidRPr="005668B8">
        <w:t xml:space="preserve"> </w:t>
      </w:r>
      <w:r w:rsidR="00915740">
        <w:t>In se</w:t>
      </w:r>
      <w:r w:rsidR="0058252B">
        <w:t xml:space="preserve">ction </w:t>
      </w:r>
      <w:r w:rsidR="0058252B">
        <w:fldChar w:fldCharType="begin"/>
      </w:r>
      <w:r w:rsidR="0058252B">
        <w:instrText xml:space="preserve"> REF _Ref414619467 \r \h </w:instrText>
      </w:r>
      <w:r w:rsidR="0058252B">
        <w:fldChar w:fldCharType="separate"/>
      </w:r>
      <w:r w:rsidR="001E2164">
        <w:t>A.14.6</w:t>
      </w:r>
      <w:r w:rsidR="0058252B">
        <w:fldChar w:fldCharType="end"/>
      </w:r>
      <w:r w:rsidR="0058252B">
        <w:t xml:space="preserve"> we </w:t>
      </w:r>
      <w:r w:rsidR="0046390C">
        <w:t xml:space="preserve">set out statements </w:t>
      </w:r>
      <w:r w:rsidR="0058252B">
        <w:t>from experts and other regulators on the limitations of dividend drop off studies</w:t>
      </w:r>
      <w:r w:rsidR="0046390C">
        <w:t xml:space="preserve">. All </w:t>
      </w:r>
      <w:r w:rsidR="0058252B">
        <w:t xml:space="preserve">but one of </w:t>
      </w:r>
      <w:r w:rsidR="0046390C">
        <w:t xml:space="preserve">these statements occurred </w:t>
      </w:r>
      <w:r w:rsidR="0058252B">
        <w:t xml:space="preserve">after the development of SFG's dividend drop off study. </w:t>
      </w:r>
    </w:p>
    <w:p w14:paraId="3163A82E" w14:textId="77777777" w:rsidR="00F07264" w:rsidRDefault="0086055D" w:rsidP="005668B8">
      <w:pPr>
        <w:pStyle w:val="AERbulletlistfirststyle"/>
      </w:pPr>
      <w:r>
        <w:t>It was neither necessary nor appropriate for us to identify a distribution rate for only listed equity</w:t>
      </w:r>
      <w:r>
        <w:rPr>
          <w:rFonts w:cs="Arial"/>
        </w:rPr>
        <w:t>—</w:t>
      </w:r>
      <w:r w:rsidR="00680EF4">
        <w:t xml:space="preserve">in sections </w:t>
      </w:r>
      <w:r w:rsidR="00680EF4">
        <w:fldChar w:fldCharType="begin"/>
      </w:r>
      <w:r w:rsidR="00680EF4">
        <w:instrText xml:space="preserve"> REF _Ref415068711 \r \h </w:instrText>
      </w:r>
      <w:r w:rsidR="00680EF4">
        <w:fldChar w:fldCharType="separate"/>
      </w:r>
      <w:r w:rsidR="001E2164">
        <w:t>A.9</w:t>
      </w:r>
      <w:r w:rsidR="00680EF4">
        <w:fldChar w:fldCharType="end"/>
      </w:r>
      <w:r w:rsidR="00680EF4">
        <w:t xml:space="preserve"> and </w:t>
      </w:r>
      <w:r w:rsidR="00680EF4">
        <w:fldChar w:fldCharType="begin"/>
      </w:r>
      <w:r w:rsidR="00680EF4">
        <w:instrText xml:space="preserve"> REF _Ref414289334 \r \h </w:instrText>
      </w:r>
      <w:r w:rsidR="00680EF4">
        <w:fldChar w:fldCharType="separate"/>
      </w:r>
      <w:r w:rsidR="001E2164">
        <w:t>A.10.1</w:t>
      </w:r>
      <w:r w:rsidR="00680EF4">
        <w:fldChar w:fldCharType="end"/>
      </w:r>
      <w:r w:rsidR="00680EF4">
        <w:t xml:space="preserve"> we explain why we </w:t>
      </w:r>
      <w:r w:rsidR="0046390C">
        <w:t>disagree</w:t>
      </w:r>
      <w:r w:rsidR="00680EF4">
        <w:t>.</w:t>
      </w:r>
    </w:p>
    <w:p w14:paraId="38873E45" w14:textId="0DCB0026" w:rsidR="00F17452" w:rsidRDefault="00680EF4" w:rsidP="00F17452">
      <w:pPr>
        <w:pStyle w:val="AERbulletlistfirststyle"/>
      </w:pPr>
      <w:r>
        <w:t>Our ultimate conclusion as to the value of imputation credits was inconsistent with the evidence presented in the draft decision</w:t>
      </w:r>
      <w:r w:rsidR="00895E9C">
        <w:t>s</w:t>
      </w:r>
      <w:r>
        <w:rPr>
          <w:rFonts w:cs="Arial"/>
        </w:rPr>
        <w:t>—</w:t>
      </w:r>
      <w:r>
        <w:t>the evid</w:t>
      </w:r>
      <w:r w:rsidR="00AF3603">
        <w:t xml:space="preserve">ence presented in both the </w:t>
      </w:r>
      <w:r w:rsidR="00E851A6">
        <w:t>draft</w:t>
      </w:r>
      <w:r>
        <w:t xml:space="preserve"> decision</w:t>
      </w:r>
      <w:r w:rsidR="00895E9C">
        <w:t>s</w:t>
      </w:r>
      <w:r>
        <w:t xml:space="preserve"> and this final decision suggests that a reasonable estimate for the value of imputation credits is within the range 0.3 to 0.5. </w:t>
      </w:r>
      <w:r w:rsidR="001E1424">
        <w:t>Our estimate of 0.4 is within this range.</w:t>
      </w:r>
    </w:p>
    <w:p w14:paraId="79D2BB6D" w14:textId="1BDF98D5" w:rsidR="00DD289E" w:rsidRPr="0060266A" w:rsidRDefault="00F17452" w:rsidP="00F17452">
      <w:pPr>
        <w:rPr>
          <w:rStyle w:val="AERbody"/>
        </w:rPr>
      </w:pPr>
      <w:r w:rsidRPr="0060266A">
        <w:rPr>
          <w:rStyle w:val="AERbody"/>
        </w:rPr>
        <w:t xml:space="preserve">In the </w:t>
      </w:r>
      <w:r w:rsidR="00DD289E" w:rsidRPr="0060266A">
        <w:rPr>
          <w:rStyle w:val="AERbody"/>
        </w:rPr>
        <w:t>revised regulatory proposals of SA Power Networks, Ergon, and</w:t>
      </w:r>
      <w:r w:rsidR="000A331E" w:rsidRPr="0060266A">
        <w:rPr>
          <w:rStyle w:val="AERbody"/>
        </w:rPr>
        <w:t xml:space="preserve"> </w:t>
      </w:r>
      <w:r w:rsidR="00792BF5" w:rsidRPr="0060266A">
        <w:rPr>
          <w:rStyle w:val="AERbody"/>
        </w:rPr>
        <w:t>Australian Gas Networks</w:t>
      </w:r>
      <w:r w:rsidR="00DD289E" w:rsidRPr="0060266A">
        <w:rPr>
          <w:rStyle w:val="AERbody"/>
        </w:rPr>
        <w:t xml:space="preserve">, </w:t>
      </w:r>
      <w:r w:rsidR="00FA47B8" w:rsidRPr="0060266A">
        <w:rPr>
          <w:rStyle w:val="AERbody"/>
        </w:rPr>
        <w:t>two issues were</w:t>
      </w:r>
      <w:r w:rsidR="005D5D6D" w:rsidRPr="0060266A">
        <w:rPr>
          <w:rStyle w:val="AERbody"/>
        </w:rPr>
        <w:t xml:space="preserve"> </w:t>
      </w:r>
      <w:r w:rsidR="00FA47B8" w:rsidRPr="0060266A">
        <w:rPr>
          <w:rStyle w:val="AERbody"/>
        </w:rPr>
        <w:t>raised</w:t>
      </w:r>
      <w:r w:rsidR="001F3615" w:rsidRPr="0060266A">
        <w:rPr>
          <w:rStyle w:val="AERbody"/>
        </w:rPr>
        <w:t xml:space="preserve"> as the key issues in dispute. These </w:t>
      </w:r>
      <w:r w:rsidR="00792BF5" w:rsidRPr="0060266A">
        <w:rPr>
          <w:rStyle w:val="AERbody"/>
        </w:rPr>
        <w:t xml:space="preserve">issues </w:t>
      </w:r>
      <w:r w:rsidR="001F3615" w:rsidRPr="0060266A">
        <w:rPr>
          <w:rStyle w:val="AERbody"/>
        </w:rPr>
        <w:t xml:space="preserve">were also raised in </w:t>
      </w:r>
      <w:r w:rsidR="00672505" w:rsidRPr="0060266A">
        <w:rPr>
          <w:rStyle w:val="AERbody"/>
        </w:rPr>
        <w:t>Gray</w:t>
      </w:r>
      <w:r w:rsidR="001F3615" w:rsidRPr="0060266A">
        <w:rPr>
          <w:rStyle w:val="AERbody"/>
        </w:rPr>
        <w:t xml:space="preserve">'s June 2015 report </w:t>
      </w:r>
      <w:r w:rsidR="00672505" w:rsidRPr="0060266A">
        <w:rPr>
          <w:rStyle w:val="AERbody"/>
        </w:rPr>
        <w:t xml:space="preserve">(for Frontier) </w:t>
      </w:r>
      <w:r w:rsidR="001F3615" w:rsidRPr="0060266A">
        <w:rPr>
          <w:rStyle w:val="AERbody"/>
        </w:rPr>
        <w:t xml:space="preserve">relied on by </w:t>
      </w:r>
      <w:r w:rsidR="00DE66B5" w:rsidRPr="0060266A">
        <w:rPr>
          <w:rStyle w:val="AERbody"/>
        </w:rPr>
        <w:t>the majority of</w:t>
      </w:r>
      <w:r w:rsidR="001F3615" w:rsidRPr="0060266A">
        <w:rPr>
          <w:rStyle w:val="AERbody"/>
        </w:rPr>
        <w:t xml:space="preserve"> service providers</w:t>
      </w:r>
      <w:r w:rsidR="00DE66B5" w:rsidRPr="0060266A">
        <w:rPr>
          <w:rStyle w:val="AERbody"/>
        </w:rPr>
        <w:t xml:space="preserve"> with proposals currently before the AER</w:t>
      </w:r>
      <w:r w:rsidR="00DD289E" w:rsidRPr="0060266A">
        <w:rPr>
          <w:rStyle w:val="AERbody"/>
        </w:rPr>
        <w:t>:</w:t>
      </w:r>
      <w:r w:rsidR="0060266A">
        <w:rPr>
          <w:rStyle w:val="FootnoteReference"/>
        </w:rPr>
        <w:footnoteReference w:id="151"/>
      </w:r>
    </w:p>
    <w:p w14:paraId="1A6D819B" w14:textId="4A872B83" w:rsidR="00DD289E" w:rsidRPr="0060266A" w:rsidRDefault="00DD289E" w:rsidP="0060266A">
      <w:pPr>
        <w:pStyle w:val="AERbulletlistfirststyle"/>
        <w:rPr>
          <w:rStyle w:val="AERtexthighlight"/>
          <w:shd w:val="clear" w:color="auto" w:fill="auto"/>
        </w:rPr>
      </w:pPr>
      <w:r w:rsidRPr="0060266A">
        <w:rPr>
          <w:rStyle w:val="AERtexthighlight"/>
          <w:shd w:val="clear" w:color="auto" w:fill="auto"/>
        </w:rPr>
        <w:t>The</w:t>
      </w:r>
      <w:r w:rsidR="00EF7CEA" w:rsidRPr="0060266A">
        <w:rPr>
          <w:rStyle w:val="AERtexthighlight"/>
          <w:shd w:val="clear" w:color="auto" w:fill="auto"/>
        </w:rPr>
        <w:t xml:space="preserve"> first</w:t>
      </w:r>
      <w:r w:rsidRPr="0060266A">
        <w:rPr>
          <w:rStyle w:val="AERtexthighlight"/>
          <w:shd w:val="clear" w:color="auto" w:fill="auto"/>
        </w:rPr>
        <w:t xml:space="preserve"> key point of difference between the position of the AER and the service providers is conceptually whether theta should be interpreted as the value of distributed credits, or the redemption proportion. The service providers consider that if their value interpretation is adopted then you must use estimates that measure the value of </w:t>
      </w:r>
      <w:r w:rsidRPr="0060266A">
        <w:rPr>
          <w:rStyle w:val="AERtexthighlight"/>
          <w:shd w:val="clear" w:color="auto" w:fill="auto"/>
        </w:rPr>
        <w:lastRenderedPageBreak/>
        <w:t>distributed credits (such as dividend drop-off studies)</w:t>
      </w:r>
      <w:r w:rsidR="00FA47B8" w:rsidRPr="0060266A">
        <w:rPr>
          <w:rStyle w:val="AERtexthighlight"/>
          <w:shd w:val="clear" w:color="auto" w:fill="auto"/>
        </w:rPr>
        <w:t>.</w:t>
      </w:r>
      <w:r w:rsidR="0060266A">
        <w:rPr>
          <w:rStyle w:val="FootnoteReference"/>
        </w:rPr>
        <w:footnoteReference w:id="152"/>
      </w:r>
      <w:r w:rsidR="00FA47B8" w:rsidRPr="0060266A">
        <w:rPr>
          <w:rStyle w:val="AERtexthighlight"/>
          <w:shd w:val="clear" w:color="auto" w:fill="auto"/>
        </w:rPr>
        <w:t xml:space="preserve"> In section </w:t>
      </w:r>
      <w:r w:rsidR="00EE3FE0" w:rsidRPr="0060266A">
        <w:rPr>
          <w:rStyle w:val="AERtexthighlight"/>
          <w:shd w:val="clear" w:color="auto" w:fill="auto"/>
        </w:rPr>
        <w:t>A 8.1</w:t>
      </w:r>
      <w:r w:rsidR="009F3339" w:rsidRPr="0060266A">
        <w:rPr>
          <w:rStyle w:val="AERtexthighlight"/>
          <w:shd w:val="clear" w:color="auto" w:fill="auto"/>
        </w:rPr>
        <w:t xml:space="preserve"> </w:t>
      </w:r>
      <w:r w:rsidR="00FA47B8" w:rsidRPr="0060266A">
        <w:rPr>
          <w:rStyle w:val="AERtexthighlight"/>
          <w:shd w:val="clear" w:color="auto" w:fill="auto"/>
        </w:rPr>
        <w:t>we explain why we consider the proportion of</w:t>
      </w:r>
      <w:r w:rsidR="001A2498" w:rsidRPr="0060266A">
        <w:rPr>
          <w:rStyle w:val="AERtexthighlight"/>
          <w:shd w:val="clear" w:color="auto" w:fill="auto"/>
        </w:rPr>
        <w:t xml:space="preserve"> imputation</w:t>
      </w:r>
      <w:r w:rsidR="00FA47B8" w:rsidRPr="0060266A">
        <w:rPr>
          <w:rStyle w:val="AERtexthighlight"/>
          <w:shd w:val="clear" w:color="auto" w:fill="auto"/>
        </w:rPr>
        <w:t xml:space="preserve"> credits distributed </w:t>
      </w:r>
      <w:r w:rsidR="001A2498" w:rsidRPr="0060266A">
        <w:rPr>
          <w:rStyle w:val="AERtexthighlight"/>
          <w:shd w:val="clear" w:color="auto" w:fill="auto"/>
        </w:rPr>
        <w:t xml:space="preserve">to shareholders eligible to utilise them </w:t>
      </w:r>
      <w:r w:rsidR="00FA47B8" w:rsidRPr="0060266A">
        <w:rPr>
          <w:rStyle w:val="AERtexthighlight"/>
          <w:shd w:val="clear" w:color="auto" w:fill="auto"/>
        </w:rPr>
        <w:t>is an appropriate measure of the value of imputation credits before personal taxes and transaction costs.</w:t>
      </w:r>
      <w:r w:rsidR="00E07815" w:rsidRPr="0060266A" w:rsidDel="00E07815">
        <w:rPr>
          <w:rStyle w:val="FootnoteReference"/>
          <w:vertAlign w:val="baseline"/>
        </w:rPr>
        <w:t xml:space="preserve"> </w:t>
      </w:r>
    </w:p>
    <w:p w14:paraId="4E116C44" w14:textId="5A8FEEC2" w:rsidR="00DD289E" w:rsidRPr="0060266A" w:rsidRDefault="00FA47B8" w:rsidP="0060266A">
      <w:pPr>
        <w:pStyle w:val="AERbulletlistfirststyle"/>
        <w:rPr>
          <w:rStyle w:val="AERtexthighlight"/>
          <w:shd w:val="clear" w:color="auto" w:fill="auto"/>
        </w:rPr>
      </w:pPr>
      <w:r w:rsidRPr="0060266A">
        <w:rPr>
          <w:rStyle w:val="AERtexthighlight"/>
          <w:shd w:val="clear" w:color="auto" w:fill="auto"/>
        </w:rPr>
        <w:t>The</w:t>
      </w:r>
      <w:r w:rsidR="00EF7CEA" w:rsidRPr="0060266A">
        <w:rPr>
          <w:rStyle w:val="AERtexthighlight"/>
          <w:shd w:val="clear" w:color="auto" w:fill="auto"/>
        </w:rPr>
        <w:t xml:space="preserve"> second key point of difference </w:t>
      </w:r>
      <w:r w:rsidR="00E777A9" w:rsidRPr="0060266A">
        <w:rPr>
          <w:rStyle w:val="AERtexthighlight"/>
          <w:shd w:val="clear" w:color="auto" w:fill="auto"/>
        </w:rPr>
        <w:t xml:space="preserve">concerns the set of comparator businesses that should be used when estimating </w:t>
      </w:r>
      <w:r w:rsidR="00E11A4B" w:rsidRPr="0060266A">
        <w:rPr>
          <w:rStyle w:val="AERtexthighlight"/>
          <w:shd w:val="clear" w:color="auto" w:fill="auto"/>
        </w:rPr>
        <w:t>a</w:t>
      </w:r>
      <w:r w:rsidR="00E777A9" w:rsidRPr="0060266A">
        <w:rPr>
          <w:rStyle w:val="AERtexthighlight"/>
          <w:shd w:val="clear" w:color="auto" w:fill="auto"/>
        </w:rPr>
        <w:t xml:space="preserve"> benchmark distribution rate.</w:t>
      </w:r>
      <w:r w:rsidR="0060266A">
        <w:rPr>
          <w:rStyle w:val="FootnoteReference"/>
        </w:rPr>
        <w:footnoteReference w:id="153"/>
      </w:r>
      <w:r w:rsidR="00DC013A" w:rsidRPr="0060266A">
        <w:rPr>
          <w:rStyle w:val="FootnoteReference"/>
          <w:vertAlign w:val="baseline"/>
        </w:rPr>
        <w:t xml:space="preserve"> </w:t>
      </w:r>
      <w:r w:rsidR="00E777A9" w:rsidRPr="0060266A">
        <w:rPr>
          <w:rStyle w:val="AERtexthighlight"/>
          <w:shd w:val="clear" w:color="auto" w:fill="auto"/>
        </w:rPr>
        <w:t>T</w:t>
      </w:r>
      <w:r w:rsidR="00EF7CEA" w:rsidRPr="0060266A">
        <w:rPr>
          <w:rStyle w:val="AERtexthighlight"/>
          <w:shd w:val="clear" w:color="auto" w:fill="auto"/>
        </w:rPr>
        <w:t>he service providers consider</w:t>
      </w:r>
      <w:r w:rsidR="00E777A9" w:rsidRPr="0060266A">
        <w:rPr>
          <w:rStyle w:val="AERtexthighlight"/>
          <w:shd w:val="clear" w:color="auto" w:fill="auto"/>
        </w:rPr>
        <w:t>: firstly,</w:t>
      </w:r>
      <w:r w:rsidR="00EF7CEA" w:rsidRPr="0060266A">
        <w:rPr>
          <w:rStyle w:val="AERtexthighlight"/>
          <w:shd w:val="clear" w:color="auto" w:fill="auto"/>
        </w:rPr>
        <w:t xml:space="preserve"> that</w:t>
      </w:r>
      <w:r w:rsidRPr="0060266A">
        <w:rPr>
          <w:rStyle w:val="AERtexthighlight"/>
          <w:shd w:val="clear" w:color="auto" w:fill="auto"/>
        </w:rPr>
        <w:t xml:space="preserve"> </w:t>
      </w:r>
      <w:r w:rsidR="00E777A9" w:rsidRPr="0060266A">
        <w:rPr>
          <w:rStyle w:val="AERtexthighlight"/>
          <w:shd w:val="clear" w:color="auto" w:fill="auto"/>
        </w:rPr>
        <w:t xml:space="preserve">the </w:t>
      </w:r>
      <w:r w:rsidRPr="0060266A">
        <w:rPr>
          <w:rStyle w:val="AERtexthighlight"/>
          <w:shd w:val="clear" w:color="auto" w:fill="auto"/>
        </w:rPr>
        <w:t xml:space="preserve">AER is incorrect to consider </w:t>
      </w:r>
      <w:r w:rsidR="00E777A9" w:rsidRPr="0060266A">
        <w:rPr>
          <w:rStyle w:val="AERtexthighlight"/>
          <w:shd w:val="clear" w:color="auto" w:fill="auto"/>
        </w:rPr>
        <w:t xml:space="preserve">that the same set of firms need to be used to estimate the distribution rate and to estimate the value of imputation credits and secondly, </w:t>
      </w:r>
      <w:r w:rsidR="001F5837" w:rsidRPr="0060266A">
        <w:rPr>
          <w:rStyle w:val="AERtexthighlight"/>
          <w:shd w:val="clear" w:color="auto" w:fill="auto"/>
        </w:rPr>
        <w:t xml:space="preserve">the </w:t>
      </w:r>
      <w:r w:rsidR="00E777A9" w:rsidRPr="0060266A">
        <w:rPr>
          <w:rStyle w:val="AERtexthighlight"/>
          <w:shd w:val="clear" w:color="auto" w:fill="auto"/>
        </w:rPr>
        <w:t xml:space="preserve">AER is incorrect to use a </w:t>
      </w:r>
      <w:r w:rsidR="001F5837" w:rsidRPr="0060266A">
        <w:rPr>
          <w:rStyle w:val="AERtexthighlight"/>
          <w:shd w:val="clear" w:color="auto" w:fill="auto"/>
        </w:rPr>
        <w:t xml:space="preserve">distribution rate from </w:t>
      </w:r>
      <w:r w:rsidR="00E777A9" w:rsidRPr="0060266A">
        <w:rPr>
          <w:rStyle w:val="AERtexthighlight"/>
          <w:shd w:val="clear" w:color="auto" w:fill="auto"/>
        </w:rPr>
        <w:t xml:space="preserve">all </w:t>
      </w:r>
      <w:r w:rsidR="00C07F0C" w:rsidRPr="0060266A">
        <w:rPr>
          <w:rStyle w:val="AERtexthighlight"/>
          <w:shd w:val="clear" w:color="auto" w:fill="auto"/>
        </w:rPr>
        <w:t>listed</w:t>
      </w:r>
      <w:r w:rsidRPr="0060266A">
        <w:rPr>
          <w:rStyle w:val="AERtexthighlight"/>
          <w:shd w:val="clear" w:color="auto" w:fill="auto"/>
        </w:rPr>
        <w:t xml:space="preserve"> equity</w:t>
      </w:r>
      <w:r w:rsidR="001F5837" w:rsidRPr="0060266A">
        <w:rPr>
          <w:rStyle w:val="AERtexthighlight"/>
          <w:shd w:val="clear" w:color="auto" w:fill="auto"/>
        </w:rPr>
        <w:t xml:space="preserve"> </w:t>
      </w:r>
      <w:r w:rsidR="00E777A9" w:rsidRPr="0060266A">
        <w:rPr>
          <w:rStyle w:val="AERtexthighlight"/>
          <w:shd w:val="clear" w:color="auto" w:fill="auto"/>
        </w:rPr>
        <w:t>of around 0.8</w:t>
      </w:r>
      <w:r w:rsidR="0060266A">
        <w:rPr>
          <w:rStyle w:val="FootnoteReference"/>
        </w:rPr>
        <w:footnoteReference w:id="154"/>
      </w:r>
      <w:r w:rsidR="00E777A9" w:rsidRPr="0060266A">
        <w:rPr>
          <w:rStyle w:val="AERtexthighlight"/>
          <w:shd w:val="clear" w:color="auto" w:fill="auto"/>
        </w:rPr>
        <w:t xml:space="preserve"> </w:t>
      </w:r>
      <w:r w:rsidR="001F5837" w:rsidRPr="0060266A">
        <w:rPr>
          <w:rStyle w:val="AERtexthighlight"/>
          <w:shd w:val="clear" w:color="auto" w:fill="auto"/>
        </w:rPr>
        <w:t>given our benchmark efficient network operator is a pure play wholly domestic business that is not necessarily stock market listed.</w:t>
      </w:r>
      <w:r w:rsidRPr="0060266A">
        <w:rPr>
          <w:rStyle w:val="AERtexthighlight"/>
          <w:shd w:val="clear" w:color="auto" w:fill="auto"/>
        </w:rPr>
        <w:t xml:space="preserve"> </w:t>
      </w:r>
      <w:r w:rsidR="001F5837" w:rsidRPr="0060266A">
        <w:rPr>
          <w:rStyle w:val="AERtexthighlight"/>
          <w:shd w:val="clear" w:color="auto" w:fill="auto"/>
        </w:rPr>
        <w:t xml:space="preserve">In section </w:t>
      </w:r>
      <w:r w:rsidR="007845BA" w:rsidRPr="0060266A">
        <w:rPr>
          <w:rStyle w:val="AERtexthighlight"/>
          <w:shd w:val="clear" w:color="auto" w:fill="auto"/>
        </w:rPr>
        <w:t>A.</w:t>
      </w:r>
      <w:r w:rsidR="00E27AAF" w:rsidRPr="0060266A">
        <w:rPr>
          <w:rStyle w:val="AERtexthighlight"/>
          <w:shd w:val="clear" w:color="auto" w:fill="auto"/>
        </w:rPr>
        <w:t>9</w:t>
      </w:r>
      <w:r w:rsidR="007845BA" w:rsidRPr="0060266A">
        <w:rPr>
          <w:rStyle w:val="AERtexthighlight"/>
          <w:shd w:val="clear" w:color="auto" w:fill="auto"/>
        </w:rPr>
        <w:t xml:space="preserve"> and A.10.1</w:t>
      </w:r>
      <w:r w:rsidR="001F5837" w:rsidRPr="0060266A">
        <w:rPr>
          <w:rStyle w:val="AERtexthighlight"/>
          <w:shd w:val="clear" w:color="auto" w:fill="auto"/>
        </w:rPr>
        <w:t xml:space="preserve"> we explain why we consider our approach is appropriate</w:t>
      </w:r>
      <w:r w:rsidR="00EE3FE0" w:rsidRPr="0060266A">
        <w:rPr>
          <w:rStyle w:val="AERtexthighlight"/>
          <w:shd w:val="clear" w:color="auto" w:fill="auto"/>
        </w:rPr>
        <w:t>.</w:t>
      </w:r>
      <w:r w:rsidR="001F5837" w:rsidRPr="0060266A">
        <w:rPr>
          <w:rStyle w:val="AERtexthighlight"/>
          <w:shd w:val="clear" w:color="auto" w:fill="auto"/>
        </w:rPr>
        <w:t xml:space="preserve">  </w:t>
      </w:r>
      <w:r w:rsidR="00EE3FE0" w:rsidRPr="0060266A">
        <w:rPr>
          <w:rStyle w:val="AERtexthighlight"/>
          <w:shd w:val="clear" w:color="auto" w:fill="auto"/>
        </w:rPr>
        <w:t xml:space="preserve">Our position on this was </w:t>
      </w:r>
      <w:r w:rsidR="009F3339" w:rsidRPr="0060266A">
        <w:rPr>
          <w:rStyle w:val="AERtexthighlight"/>
          <w:shd w:val="clear" w:color="auto" w:fill="auto"/>
        </w:rPr>
        <w:t xml:space="preserve">also </w:t>
      </w:r>
      <w:r w:rsidR="00EE3FE0" w:rsidRPr="0060266A">
        <w:rPr>
          <w:rStyle w:val="AERtexthighlight"/>
          <w:shd w:val="clear" w:color="auto" w:fill="auto"/>
        </w:rPr>
        <w:t>considered in our JGN decision and we do not consider new evidence has been presented to warrant a change of approach. We consider our approach will lead to an overall post tax return on equity for the benchmark efficient entity (inclusive of dividends, capital gains and imputation credits) that is appropriate</w:t>
      </w:r>
      <w:r w:rsidR="00AF6196" w:rsidRPr="0060266A">
        <w:rPr>
          <w:rStyle w:val="AERtexthighlight"/>
          <w:shd w:val="clear" w:color="auto" w:fill="auto"/>
        </w:rPr>
        <w:t xml:space="preserve"> and meets the rate of return objective.</w:t>
      </w:r>
    </w:p>
    <w:p w14:paraId="0063886A" w14:textId="5C890995" w:rsidR="00E07815" w:rsidRPr="0060266A" w:rsidRDefault="00E07815" w:rsidP="00F17452">
      <w:pPr>
        <w:rPr>
          <w:rStyle w:val="AERbody"/>
        </w:rPr>
      </w:pPr>
      <w:r w:rsidRPr="0060266A">
        <w:rPr>
          <w:rStyle w:val="AERbody"/>
        </w:rPr>
        <w:t>We note that both of these points of difference were considered in our decisions relea</w:t>
      </w:r>
      <w:r w:rsidR="00F11F67" w:rsidRPr="0060266A">
        <w:rPr>
          <w:rStyle w:val="AERbody"/>
        </w:rPr>
        <w:t>s</w:t>
      </w:r>
      <w:r w:rsidRPr="0060266A">
        <w:rPr>
          <w:rStyle w:val="AERbody"/>
        </w:rPr>
        <w:t>e</w:t>
      </w:r>
      <w:r w:rsidR="00F11F67" w:rsidRPr="0060266A">
        <w:rPr>
          <w:rStyle w:val="AERbody"/>
        </w:rPr>
        <w:t>d</w:t>
      </w:r>
      <w:r w:rsidRPr="0060266A">
        <w:rPr>
          <w:rStyle w:val="AERbody"/>
        </w:rPr>
        <w:t xml:space="preserve"> in April and June 2015 and also considered by Handley who supported our approach. </w:t>
      </w:r>
    </w:p>
    <w:p w14:paraId="4D3E5022" w14:textId="61EA4368" w:rsidR="00BE5ACA" w:rsidRPr="0060266A" w:rsidRDefault="00BE5ACA" w:rsidP="00F17452">
      <w:pPr>
        <w:rPr>
          <w:rStyle w:val="AERbody"/>
        </w:rPr>
      </w:pPr>
      <w:r w:rsidRPr="0060266A">
        <w:rPr>
          <w:rStyle w:val="AERbody"/>
        </w:rPr>
        <w:t xml:space="preserve">In addition, </w:t>
      </w:r>
      <w:r w:rsidR="00702609" w:rsidRPr="0060266A">
        <w:rPr>
          <w:rStyle w:val="AERbody"/>
        </w:rPr>
        <w:t xml:space="preserve">a number of </w:t>
      </w:r>
      <w:r w:rsidR="000D24AE" w:rsidRPr="0060266A">
        <w:rPr>
          <w:rStyle w:val="AERbody"/>
        </w:rPr>
        <w:t xml:space="preserve">key </w:t>
      </w:r>
      <w:r w:rsidR="00DB3BB0" w:rsidRPr="0060266A">
        <w:rPr>
          <w:rStyle w:val="AERbody"/>
        </w:rPr>
        <w:t>'</w:t>
      </w:r>
      <w:r w:rsidR="00702609" w:rsidRPr="0060266A">
        <w:rPr>
          <w:rStyle w:val="AERbody"/>
        </w:rPr>
        <w:t>second order</w:t>
      </w:r>
      <w:r w:rsidR="00DB3BB0" w:rsidRPr="0060266A">
        <w:rPr>
          <w:rStyle w:val="AERbody"/>
        </w:rPr>
        <w:t>'</w:t>
      </w:r>
      <w:r w:rsidR="00702609" w:rsidRPr="0060266A">
        <w:rPr>
          <w:rStyle w:val="AERbody"/>
        </w:rPr>
        <w:t xml:space="preserve"> differences </w:t>
      </w:r>
      <w:r w:rsidR="00DB3BB0" w:rsidRPr="0060266A">
        <w:rPr>
          <w:rStyle w:val="AERbody"/>
        </w:rPr>
        <w:t xml:space="preserve">of view between the AER and the service providers </w:t>
      </w:r>
      <w:r w:rsidR="00702609" w:rsidRPr="0060266A">
        <w:rPr>
          <w:rStyle w:val="AERbody"/>
        </w:rPr>
        <w:t xml:space="preserve">have been </w:t>
      </w:r>
      <w:r w:rsidR="000D24AE" w:rsidRPr="0060266A">
        <w:rPr>
          <w:rStyle w:val="AERbody"/>
        </w:rPr>
        <w:t xml:space="preserve">identified </w:t>
      </w:r>
      <w:r w:rsidR="00702609" w:rsidRPr="0060266A">
        <w:rPr>
          <w:rStyle w:val="AERbody"/>
        </w:rPr>
        <w:t xml:space="preserve"> </w:t>
      </w:r>
      <w:r w:rsidRPr="0060266A">
        <w:rPr>
          <w:rStyle w:val="AERbody"/>
        </w:rPr>
        <w:t xml:space="preserve">in </w:t>
      </w:r>
      <w:r w:rsidR="00702609" w:rsidRPr="0060266A">
        <w:rPr>
          <w:rStyle w:val="AERbody"/>
        </w:rPr>
        <w:t xml:space="preserve">the </w:t>
      </w:r>
      <w:r w:rsidRPr="0060266A">
        <w:rPr>
          <w:rStyle w:val="AERbody"/>
        </w:rPr>
        <w:t xml:space="preserve">revised </w:t>
      </w:r>
      <w:r w:rsidR="00702609" w:rsidRPr="0060266A">
        <w:rPr>
          <w:rStyle w:val="AERbody"/>
        </w:rPr>
        <w:t xml:space="preserve">or initial </w:t>
      </w:r>
      <w:r w:rsidRPr="0060266A">
        <w:rPr>
          <w:rStyle w:val="AERbody"/>
        </w:rPr>
        <w:t xml:space="preserve">regulatory proposals </w:t>
      </w:r>
      <w:r w:rsidR="00702609" w:rsidRPr="0060266A">
        <w:rPr>
          <w:rStyle w:val="AERbody"/>
        </w:rPr>
        <w:t xml:space="preserve">of the service providers, or in the new expert's reports by NERA or </w:t>
      </w:r>
      <w:r w:rsidR="00E34483" w:rsidRPr="0060266A">
        <w:rPr>
          <w:rStyle w:val="AERbody"/>
        </w:rPr>
        <w:t xml:space="preserve">Gray (for </w:t>
      </w:r>
      <w:r w:rsidR="00702609" w:rsidRPr="0060266A">
        <w:rPr>
          <w:rStyle w:val="AERbody"/>
        </w:rPr>
        <w:t>Frontier</w:t>
      </w:r>
      <w:r w:rsidR="00E34483" w:rsidRPr="0060266A">
        <w:rPr>
          <w:rStyle w:val="AERbody"/>
        </w:rPr>
        <w:t>)</w:t>
      </w:r>
      <w:r w:rsidRPr="0060266A">
        <w:rPr>
          <w:rStyle w:val="AERbody"/>
        </w:rPr>
        <w:t>:</w:t>
      </w:r>
    </w:p>
    <w:p w14:paraId="590394D6" w14:textId="12C92723" w:rsidR="00BE5ACA" w:rsidRPr="0060266A" w:rsidRDefault="00702609" w:rsidP="0060266A">
      <w:pPr>
        <w:pStyle w:val="AERbulletlistfirststyle"/>
        <w:rPr>
          <w:rStyle w:val="AERtexthighlight"/>
          <w:shd w:val="clear" w:color="auto" w:fill="auto"/>
        </w:rPr>
      </w:pPr>
      <w:r w:rsidRPr="0060266A">
        <w:rPr>
          <w:rStyle w:val="AERtexthighlight"/>
          <w:shd w:val="clear" w:color="auto" w:fill="auto"/>
        </w:rPr>
        <w:t>A redemptio</w:t>
      </w:r>
      <w:r w:rsidR="00DB3BB0" w:rsidRPr="0060266A">
        <w:rPr>
          <w:rStyle w:val="AERtexthighlight"/>
          <w:shd w:val="clear" w:color="auto" w:fill="auto"/>
        </w:rPr>
        <w:t>n rate study can only provide an upper bound for estimating theta.</w:t>
      </w:r>
      <w:r w:rsidR="0060266A">
        <w:rPr>
          <w:rStyle w:val="FootnoteReference"/>
        </w:rPr>
        <w:footnoteReference w:id="155"/>
      </w:r>
      <w:r w:rsidR="00897CEC" w:rsidRPr="0060266A">
        <w:rPr>
          <w:rStyle w:val="AERtexthighlight"/>
          <w:shd w:val="clear" w:color="auto" w:fill="auto"/>
        </w:rPr>
        <w:t xml:space="preserve"> </w:t>
      </w:r>
      <w:r w:rsidR="00DB3BB0" w:rsidRPr="0060266A">
        <w:rPr>
          <w:rStyle w:val="AERtexthighlight"/>
          <w:shd w:val="clear" w:color="auto" w:fill="auto"/>
        </w:rPr>
        <w:t xml:space="preserve">In section </w:t>
      </w:r>
      <w:r w:rsidR="007845BA" w:rsidRPr="0060266A">
        <w:rPr>
          <w:rStyle w:val="AERtexthighlight"/>
          <w:shd w:val="clear" w:color="auto" w:fill="auto"/>
        </w:rPr>
        <w:t>A.8.2</w:t>
      </w:r>
      <w:r w:rsidR="00DB3BB0" w:rsidRPr="0060266A">
        <w:rPr>
          <w:rStyle w:val="AERtexthighlight"/>
          <w:shd w:val="clear" w:color="auto" w:fill="auto"/>
        </w:rPr>
        <w:t xml:space="preserve"> we explain why we consider redemption rates can be used as point estimates of theta.</w:t>
      </w:r>
    </w:p>
    <w:p w14:paraId="4C69EFA1" w14:textId="122F6202" w:rsidR="00DB3BB0" w:rsidRPr="00EE762A" w:rsidRDefault="00DB3BB0" w:rsidP="00EE762A">
      <w:pPr>
        <w:pStyle w:val="AERbulletlistfirststyle"/>
        <w:rPr>
          <w:rStyle w:val="AERtexthighlight"/>
          <w:shd w:val="clear" w:color="auto" w:fill="auto"/>
        </w:rPr>
      </w:pPr>
      <w:r w:rsidRPr="00EE762A">
        <w:rPr>
          <w:rStyle w:val="AERtexthighlight"/>
          <w:shd w:val="clear" w:color="auto" w:fill="auto"/>
        </w:rPr>
        <w:t>The AER's implementation of the redemption rate is incorrect.</w:t>
      </w:r>
      <w:r w:rsidR="00EE762A">
        <w:rPr>
          <w:rStyle w:val="FootnoteReference"/>
        </w:rPr>
        <w:footnoteReference w:id="156"/>
      </w:r>
      <w:r w:rsidRPr="00EE762A">
        <w:rPr>
          <w:rStyle w:val="AERtexthighlight"/>
          <w:shd w:val="clear" w:color="auto" w:fill="auto"/>
        </w:rPr>
        <w:t xml:space="preserve"> In section </w:t>
      </w:r>
      <w:r w:rsidR="00E27AAF" w:rsidRPr="00EE762A">
        <w:rPr>
          <w:rStyle w:val="AERtexthighlight"/>
          <w:shd w:val="clear" w:color="auto" w:fill="auto"/>
        </w:rPr>
        <w:t>A.12</w:t>
      </w:r>
      <w:r w:rsidRPr="00EE762A">
        <w:rPr>
          <w:rStyle w:val="AERtexthighlight"/>
          <w:shd w:val="clear" w:color="auto" w:fill="auto"/>
        </w:rPr>
        <w:t xml:space="preserve"> we e</w:t>
      </w:r>
      <w:r w:rsidR="00E14D49" w:rsidRPr="00EE762A">
        <w:rPr>
          <w:rStyle w:val="AERtexthighlight"/>
          <w:shd w:val="clear" w:color="auto" w:fill="auto"/>
        </w:rPr>
        <w:t xml:space="preserve">xplain why we consider our </w:t>
      </w:r>
      <w:r w:rsidR="00EF4770" w:rsidRPr="00EE762A">
        <w:rPr>
          <w:rStyle w:val="AERtexthighlight"/>
          <w:shd w:val="clear" w:color="auto" w:fill="auto"/>
        </w:rPr>
        <w:t>implantation</w:t>
      </w:r>
      <w:r w:rsidR="00E14D49" w:rsidRPr="00EE762A">
        <w:rPr>
          <w:rStyle w:val="AERtexthighlight"/>
          <w:shd w:val="clear" w:color="auto" w:fill="auto"/>
        </w:rPr>
        <w:t xml:space="preserve"> is reasonable.</w:t>
      </w:r>
    </w:p>
    <w:p w14:paraId="096A93C9" w14:textId="483E5275" w:rsidR="00C82B86" w:rsidRPr="00EE762A" w:rsidRDefault="00DB3BB0" w:rsidP="00EE762A">
      <w:pPr>
        <w:pStyle w:val="AERbulletlistfirststyle"/>
        <w:rPr>
          <w:rStyle w:val="AERtexthighlight"/>
          <w:shd w:val="clear" w:color="auto" w:fill="auto"/>
        </w:rPr>
      </w:pPr>
      <w:r w:rsidRPr="00EE762A">
        <w:rPr>
          <w:rStyle w:val="AERtexthighlight"/>
          <w:shd w:val="clear" w:color="auto" w:fill="auto"/>
        </w:rPr>
        <w:lastRenderedPageBreak/>
        <w:t xml:space="preserve">The </w:t>
      </w:r>
      <w:proofErr w:type="gramStart"/>
      <w:r w:rsidRPr="00EE762A">
        <w:rPr>
          <w:rStyle w:val="AERtexthighlight"/>
          <w:shd w:val="clear" w:color="auto" w:fill="auto"/>
        </w:rPr>
        <w:t>criticisms of Gray and Hall's dividend drop-off work is</w:t>
      </w:r>
      <w:proofErr w:type="gramEnd"/>
      <w:r w:rsidRPr="00EE762A">
        <w:rPr>
          <w:rStyle w:val="AERtexthighlight"/>
          <w:shd w:val="clear" w:color="auto" w:fill="auto"/>
        </w:rPr>
        <w:t xml:space="preserve"> not reasonable.</w:t>
      </w:r>
      <w:r w:rsidR="00EE762A">
        <w:rPr>
          <w:rStyle w:val="FootnoteReference"/>
        </w:rPr>
        <w:footnoteReference w:id="157"/>
      </w:r>
      <w:r w:rsidR="00C52F4D" w:rsidRPr="00EE762A">
        <w:rPr>
          <w:rStyle w:val="AERtexthighlight"/>
          <w:shd w:val="clear" w:color="auto" w:fill="auto"/>
        </w:rPr>
        <w:t xml:space="preserve"> We discuss the</w:t>
      </w:r>
      <w:r w:rsidR="00691112" w:rsidRPr="00EE762A">
        <w:rPr>
          <w:rStyle w:val="AERtexthighlight"/>
          <w:shd w:val="clear" w:color="auto" w:fill="auto"/>
        </w:rPr>
        <w:t xml:space="preserve"> limitations of dividend drop off studies and which of these apply to the SFG dividend drop off study </w:t>
      </w:r>
      <w:r w:rsidR="00C52F4D" w:rsidRPr="00EE762A">
        <w:rPr>
          <w:rStyle w:val="AERtexthighlight"/>
          <w:shd w:val="clear" w:color="auto" w:fill="auto"/>
        </w:rPr>
        <w:t xml:space="preserve">in section </w:t>
      </w:r>
      <w:r w:rsidR="00691112" w:rsidRPr="00EE762A">
        <w:rPr>
          <w:rStyle w:val="AERtexthighlight"/>
          <w:shd w:val="clear" w:color="auto" w:fill="auto"/>
        </w:rPr>
        <w:t>A.14.5</w:t>
      </w:r>
    </w:p>
    <w:p w14:paraId="66B06B38" w14:textId="4C86D022" w:rsidR="00C52F4D" w:rsidRPr="00EE762A" w:rsidRDefault="00C52F4D" w:rsidP="00F17452">
      <w:pPr>
        <w:rPr>
          <w:rStyle w:val="AERbody"/>
        </w:rPr>
      </w:pPr>
      <w:r w:rsidRPr="00EE762A">
        <w:rPr>
          <w:rStyle w:val="AERbody"/>
        </w:rPr>
        <w:t xml:space="preserve">We note that the primary and second order differences of view </w:t>
      </w:r>
      <w:r w:rsidR="000D24AE" w:rsidRPr="00EE762A">
        <w:rPr>
          <w:rStyle w:val="AERbody"/>
        </w:rPr>
        <w:t xml:space="preserve">identified above </w:t>
      </w:r>
      <w:r w:rsidR="005E7F5E" w:rsidRPr="00EE762A">
        <w:rPr>
          <w:rStyle w:val="AERbody"/>
        </w:rPr>
        <w:t>do not appear to be</w:t>
      </w:r>
      <w:r w:rsidRPr="00EE762A">
        <w:rPr>
          <w:rStyle w:val="AERbody"/>
        </w:rPr>
        <w:t xml:space="preserve"> new</w:t>
      </w:r>
      <w:r w:rsidR="005E7F5E" w:rsidRPr="00EE762A">
        <w:rPr>
          <w:rStyle w:val="AERbody"/>
        </w:rPr>
        <w:t xml:space="preserve"> issues and</w:t>
      </w:r>
      <w:r w:rsidR="000D24AE" w:rsidRPr="00EE762A">
        <w:rPr>
          <w:rStyle w:val="AERbody"/>
        </w:rPr>
        <w:t xml:space="preserve"> </w:t>
      </w:r>
      <w:r w:rsidR="005E7F5E" w:rsidRPr="00EE762A">
        <w:rPr>
          <w:rStyle w:val="AERbody"/>
        </w:rPr>
        <w:t>largely</w:t>
      </w:r>
      <w:r w:rsidR="00E3221A" w:rsidRPr="00EE762A">
        <w:rPr>
          <w:rStyle w:val="AERbody"/>
        </w:rPr>
        <w:t xml:space="preserve"> </w:t>
      </w:r>
      <w:r w:rsidR="000D24AE" w:rsidRPr="00EE762A">
        <w:rPr>
          <w:rStyle w:val="AERbody"/>
        </w:rPr>
        <w:t>overlap</w:t>
      </w:r>
      <w:r w:rsidR="00E470C3">
        <w:rPr>
          <w:rStyle w:val="AERbody"/>
        </w:rPr>
        <w:t xml:space="preserve"> with the 8 key concerns of </w:t>
      </w:r>
      <w:r w:rsidR="000D24AE" w:rsidRPr="00EE762A">
        <w:rPr>
          <w:rStyle w:val="AERbody"/>
        </w:rPr>
        <w:t>service providers raised previousl</w:t>
      </w:r>
      <w:r w:rsidR="005E7F5E" w:rsidRPr="00EE762A">
        <w:rPr>
          <w:rStyle w:val="AERbody"/>
        </w:rPr>
        <w:t>y</w:t>
      </w:r>
      <w:r w:rsidR="000D24AE" w:rsidRPr="00EE762A">
        <w:rPr>
          <w:rStyle w:val="AERbody"/>
        </w:rPr>
        <w:t xml:space="preserve">. </w:t>
      </w:r>
      <w:r w:rsidRPr="00EE762A">
        <w:rPr>
          <w:rStyle w:val="AERbody"/>
        </w:rPr>
        <w:t xml:space="preserve">Having considered the new </w:t>
      </w:r>
      <w:r w:rsidR="009F76C4" w:rsidRPr="00EE762A">
        <w:rPr>
          <w:rStyle w:val="AERbody"/>
        </w:rPr>
        <w:t xml:space="preserve">and revised regulatory </w:t>
      </w:r>
      <w:r w:rsidRPr="00EE762A">
        <w:rPr>
          <w:rStyle w:val="AERbody"/>
        </w:rPr>
        <w:t>proposals</w:t>
      </w:r>
      <w:r w:rsidR="009F76C4" w:rsidRPr="00EE762A">
        <w:rPr>
          <w:rStyle w:val="AERbody"/>
        </w:rPr>
        <w:t>,</w:t>
      </w:r>
      <w:r w:rsidRPr="00EE762A">
        <w:rPr>
          <w:rStyle w:val="AERbody"/>
        </w:rPr>
        <w:t xml:space="preserve"> and </w:t>
      </w:r>
      <w:r w:rsidR="009F76C4" w:rsidRPr="00EE762A">
        <w:rPr>
          <w:rStyle w:val="AERbody"/>
        </w:rPr>
        <w:t xml:space="preserve">the </w:t>
      </w:r>
      <w:r w:rsidRPr="00EE762A">
        <w:rPr>
          <w:rStyle w:val="AERbody"/>
        </w:rPr>
        <w:t xml:space="preserve">new </w:t>
      </w:r>
      <w:r w:rsidR="00EF4770" w:rsidRPr="00EE762A">
        <w:rPr>
          <w:rStyle w:val="AERbody"/>
        </w:rPr>
        <w:t>experts'</w:t>
      </w:r>
      <w:r w:rsidRPr="00EE762A">
        <w:rPr>
          <w:rStyle w:val="AERbody"/>
        </w:rPr>
        <w:t xml:space="preserve"> reports </w:t>
      </w:r>
      <w:r w:rsidR="009F76C4" w:rsidRPr="00EE762A">
        <w:rPr>
          <w:rStyle w:val="AERbody"/>
        </w:rPr>
        <w:t xml:space="preserve">not considered by us in making our </w:t>
      </w:r>
      <w:r w:rsidRPr="00EE762A">
        <w:rPr>
          <w:rStyle w:val="AERbody"/>
        </w:rPr>
        <w:t xml:space="preserve">JGN decision, we remain of the view that a gamma value of 0.4 is appropriate.  </w:t>
      </w:r>
    </w:p>
    <w:p w14:paraId="0E1FCB0F" w14:textId="77777777" w:rsidR="00615CE6" w:rsidRDefault="00615CE6" w:rsidP="00615CE6">
      <w:pPr>
        <w:pStyle w:val="Heading8"/>
      </w:pPr>
      <w:bookmarkStart w:id="53" w:name="_Ref415144114"/>
      <w:bookmarkStart w:id="54" w:name="_Toc433449216"/>
      <w:r>
        <w:t xml:space="preserve">The role </w:t>
      </w:r>
      <w:r w:rsidRPr="00615CE6">
        <w:t>of</w:t>
      </w:r>
      <w:r>
        <w:t xml:space="preserve"> the value of imputation credits in the regulatory framework</w:t>
      </w:r>
      <w:bookmarkEnd w:id="52"/>
      <w:bookmarkEnd w:id="53"/>
      <w:bookmarkEnd w:id="54"/>
    </w:p>
    <w:p w14:paraId="74BDB239" w14:textId="77777777" w:rsidR="00615CE6" w:rsidRDefault="00615CE6" w:rsidP="00615CE6">
      <w:pPr>
        <w:numPr>
          <w:ilvl w:val="0"/>
          <w:numId w:val="25"/>
        </w:numPr>
      </w:pPr>
      <w:r>
        <w:t xml:space="preserve">To explain the role of the value of imputation credits in the </w:t>
      </w:r>
      <w:r w:rsidR="004569D9">
        <w:t>NER/NGR</w:t>
      </w:r>
      <w:r>
        <w:t>, we must consider:</w:t>
      </w:r>
    </w:p>
    <w:p w14:paraId="2C6B2241" w14:textId="77777777" w:rsidR="00615CE6" w:rsidRPr="00615CE6" w:rsidRDefault="00615CE6" w:rsidP="00615CE6">
      <w:pPr>
        <w:pStyle w:val="AERbulletlistfirststyle"/>
      </w:pPr>
      <w:r>
        <w:t xml:space="preserve">the 'building block' revenue framework in the </w:t>
      </w:r>
      <w:r w:rsidR="004569D9">
        <w:t>NER/NGR</w:t>
      </w:r>
      <w:r>
        <w:t>, and</w:t>
      </w:r>
    </w:p>
    <w:p w14:paraId="250DE0AC" w14:textId="77777777" w:rsidR="00615CE6" w:rsidRPr="00615CE6" w:rsidRDefault="00615CE6" w:rsidP="00615CE6">
      <w:pPr>
        <w:pStyle w:val="AERbulletlistfirststyle"/>
      </w:pPr>
      <w:proofErr w:type="gramStart"/>
      <w:r>
        <w:t>the</w:t>
      </w:r>
      <w:proofErr w:type="gramEnd"/>
      <w:r>
        <w:t xml:space="preserve"> </w:t>
      </w:r>
      <w:r w:rsidRPr="00615CE6">
        <w:t>construction of the tax building block.</w:t>
      </w:r>
    </w:p>
    <w:p w14:paraId="2070DDC9" w14:textId="77777777" w:rsidR="00615CE6" w:rsidRDefault="00615CE6" w:rsidP="00615CE6">
      <w:pPr>
        <w:pStyle w:val="Heading9"/>
      </w:pPr>
      <w:r>
        <w:t xml:space="preserve">The </w:t>
      </w:r>
      <w:r w:rsidRPr="00615CE6">
        <w:t>building</w:t>
      </w:r>
      <w:r>
        <w:t xml:space="preserve"> block framework</w:t>
      </w:r>
    </w:p>
    <w:p w14:paraId="24F91D72" w14:textId="77777777" w:rsidR="00615CE6" w:rsidRPr="009D12C3" w:rsidRDefault="00615CE6" w:rsidP="00615CE6">
      <w:pPr>
        <w:numPr>
          <w:ilvl w:val="0"/>
          <w:numId w:val="25"/>
        </w:numPr>
      </w:pPr>
      <w:r w:rsidRPr="009D12C3">
        <w:t xml:space="preserve">Under the </w:t>
      </w:r>
      <w:r w:rsidR="004569D9">
        <w:t>NER/NGR</w:t>
      </w:r>
      <w:r w:rsidRPr="009D12C3">
        <w:t xml:space="preserve">, we </w:t>
      </w:r>
      <w:r w:rsidR="00A513C2">
        <w:t>employ</w:t>
      </w:r>
      <w:r w:rsidRPr="009D12C3">
        <w:t xml:space="preserve"> a building block framework to estimate revenue for service providers. The building block framework sets out how to estimate the various</w:t>
      </w:r>
      <w:r w:rsidR="00FE1E1F">
        <w:t xml:space="preserve"> components</w:t>
      </w:r>
      <w:r w:rsidRPr="009D12C3">
        <w:t xml:space="preserve"> </w:t>
      </w:r>
      <w:r>
        <w:t>(that is, 'building blocks')</w:t>
      </w:r>
      <w:r w:rsidRPr="009D12C3">
        <w:t xml:space="preserve"> that make up a total revenue allowance.</w:t>
      </w:r>
      <w:r>
        <w:rPr>
          <w:rStyle w:val="FootnoteReference"/>
        </w:rPr>
        <w:footnoteReference w:id="158"/>
      </w:r>
      <w:r w:rsidRPr="009D12C3">
        <w:t xml:space="preserve">  The function of this building block revenue estimate is to determine the revenue that a service provider requires to:</w:t>
      </w:r>
    </w:p>
    <w:p w14:paraId="03EB6573" w14:textId="77777777" w:rsidR="00615CE6" w:rsidRPr="00615CE6" w:rsidRDefault="0084249F" w:rsidP="00615CE6">
      <w:pPr>
        <w:pStyle w:val="AERbulletlistfirststyle"/>
      </w:pPr>
      <w:proofErr w:type="gramStart"/>
      <w:r>
        <w:t>f</w:t>
      </w:r>
      <w:r w:rsidR="00615CE6" w:rsidRPr="009D12C3">
        <w:t>und</w:t>
      </w:r>
      <w:proofErr w:type="gramEnd"/>
      <w:r w:rsidR="00615CE6" w:rsidRPr="009D12C3">
        <w:t xml:space="preserve"> its operating expenses.</w:t>
      </w:r>
    </w:p>
    <w:p w14:paraId="789FA7BE" w14:textId="77777777" w:rsidR="00615CE6" w:rsidRPr="00615CE6" w:rsidRDefault="0084249F" w:rsidP="00615CE6">
      <w:pPr>
        <w:pStyle w:val="AERbulletlistfirststyle"/>
      </w:pPr>
      <w:proofErr w:type="gramStart"/>
      <w:r>
        <w:t>a</w:t>
      </w:r>
      <w:r w:rsidR="00615CE6" w:rsidRPr="009D12C3">
        <w:t>chieve</w:t>
      </w:r>
      <w:proofErr w:type="gramEnd"/>
      <w:r w:rsidR="00615CE6" w:rsidRPr="009D12C3">
        <w:t xml:space="preserve"> adequate returns to raise debt and equity in order to finance its capital investments. This is made up</w:t>
      </w:r>
      <w:r w:rsidR="00615CE6" w:rsidRPr="00615CE6">
        <w:t xml:space="preserve"> of a rate of return on capital to compensate investors for the risks of investment. It also includes a return of capital (depreciation), which gradually returns the initial principal of the investment, and subsequent investments, back to investors.</w:t>
      </w:r>
    </w:p>
    <w:p w14:paraId="1FF3225B" w14:textId="77777777" w:rsidR="00615CE6" w:rsidRPr="00615CE6" w:rsidRDefault="0084249F" w:rsidP="00615CE6">
      <w:pPr>
        <w:pStyle w:val="AERbulletlistfirststyle"/>
      </w:pPr>
      <w:proofErr w:type="gramStart"/>
      <w:r>
        <w:t>p</w:t>
      </w:r>
      <w:r w:rsidR="00615CE6" w:rsidRPr="009D12C3">
        <w:t>ay</w:t>
      </w:r>
      <w:proofErr w:type="gramEnd"/>
      <w:r w:rsidR="00615CE6" w:rsidRPr="009D12C3">
        <w:t xml:space="preserve"> its tax liability.</w:t>
      </w:r>
    </w:p>
    <w:p w14:paraId="4D79BA20" w14:textId="77777777" w:rsidR="00615CE6" w:rsidRPr="00615CE6" w:rsidRDefault="0084249F" w:rsidP="00615CE6">
      <w:pPr>
        <w:pStyle w:val="AERbulletlistfirststyle"/>
      </w:pPr>
      <w:proofErr w:type="gramStart"/>
      <w:r>
        <w:t>r</w:t>
      </w:r>
      <w:r w:rsidR="00615CE6" w:rsidRPr="009D12C3">
        <w:t>eflect</w:t>
      </w:r>
      <w:proofErr w:type="gramEnd"/>
      <w:r w:rsidR="00615CE6" w:rsidRPr="009D12C3">
        <w:t xml:space="preserve"> any </w:t>
      </w:r>
      <w:r w:rsidR="00615CE6" w:rsidRPr="00615CE6">
        <w:t>revenue increments or decrements from incentive mechanisms in the design of the regulatory regime.</w:t>
      </w:r>
    </w:p>
    <w:p w14:paraId="51E638E3" w14:textId="77777777" w:rsidR="00615CE6" w:rsidRDefault="00615CE6" w:rsidP="00615CE6">
      <w:pPr>
        <w:numPr>
          <w:ilvl w:val="0"/>
          <w:numId w:val="25"/>
        </w:numPr>
      </w:pPr>
      <w:r>
        <w:lastRenderedPageBreak/>
        <w:t>Importantly, the building block framework is intended to compensate the service provider (and its investors) only for costs incurred by the service provider and not by its investors</w:t>
      </w:r>
      <w:r w:rsidR="00650984">
        <w:t>; that is, the framework is on a before-personal-tax and before-personal-costs basis.</w:t>
      </w:r>
      <w:r>
        <w:t xml:space="preserve"> Handley described this consideration as follows:</w:t>
      </w:r>
      <w:r>
        <w:rPr>
          <w:rStyle w:val="FootnoteReference"/>
        </w:rPr>
        <w:footnoteReference w:id="159"/>
      </w:r>
    </w:p>
    <w:p w14:paraId="08213F73" w14:textId="77777777" w:rsidR="00615CE6" w:rsidRDefault="00615CE6" w:rsidP="00615CE6">
      <w:pPr>
        <w:pStyle w:val="AERquote"/>
      </w:pPr>
      <w:r w:rsidRPr="008860F2">
        <w:t>The post-tax basis of the regulatory framework can be more fully described as an after</w:t>
      </w:r>
      <w:r>
        <w:t>-company-</w:t>
      </w:r>
      <w:r w:rsidRPr="008860F2">
        <w:t>before-personal-tax framework. In other words</w:t>
      </w:r>
      <w:r>
        <w:t xml:space="preserve">, cash flows and returns are to </w:t>
      </w:r>
      <w:r w:rsidRPr="008860F2">
        <w:t>be measured after company taxes but before personal t</w:t>
      </w:r>
      <w:r>
        <w:t xml:space="preserve">axes. By definition, this means </w:t>
      </w:r>
      <w:r w:rsidRPr="008860F2">
        <w:t>that allowed revenues should include compensation for corporate taxes incurred by the</w:t>
      </w:r>
      <w:r>
        <w:t xml:space="preserve"> </w:t>
      </w:r>
      <w:r w:rsidRPr="008860F2">
        <w:t xml:space="preserve">regulated firm but not for personal taxes incurred by the </w:t>
      </w:r>
      <w:r>
        <w:t xml:space="preserve">firm’s shareholders. Similarly, </w:t>
      </w:r>
      <w:r w:rsidRPr="008860F2">
        <w:t>allowed revenues should include compensation for prude</w:t>
      </w:r>
      <w:r>
        <w:t xml:space="preserve">nt, efficient costs incurred by </w:t>
      </w:r>
      <w:r w:rsidRPr="008860F2">
        <w:t xml:space="preserve">the regulated firm but not for costs (including personal </w:t>
      </w:r>
      <w:r>
        <w:t xml:space="preserve">transactions costs) incurred at </w:t>
      </w:r>
      <w:r w:rsidRPr="008860F2">
        <w:t>the shareholder level. Note, this does not mean that per</w:t>
      </w:r>
      <w:r>
        <w:t xml:space="preserve">sonal taxes and costs are being </w:t>
      </w:r>
      <w:r w:rsidRPr="008860F2">
        <w:t>ignored or assumed not to exist – rather there is no need to</w:t>
      </w:r>
      <w:r>
        <w:t xml:space="preserve"> explicitly include them in the </w:t>
      </w:r>
      <w:r w:rsidRPr="008860F2">
        <w:t>modelling framework.</w:t>
      </w:r>
    </w:p>
    <w:p w14:paraId="7E8BD03A" w14:textId="77777777" w:rsidR="00520C80" w:rsidRDefault="00520C80" w:rsidP="00520C80">
      <w:pPr>
        <w:pStyle w:val="AERquote"/>
      </w:pPr>
      <w:r>
        <w:t>…</w:t>
      </w:r>
    </w:p>
    <w:p w14:paraId="54C03CC7" w14:textId="77777777" w:rsidR="00520C80" w:rsidRDefault="00520C80" w:rsidP="00520C80">
      <w:pPr>
        <w:pStyle w:val="AERquote"/>
      </w:pPr>
      <w:r w:rsidRPr="00520C80">
        <w:t>The regulatory WACC framework is an after-company-before-person</w:t>
      </w:r>
      <w:r>
        <w:t xml:space="preserve">al-tax framework which requires </w:t>
      </w:r>
      <w:r w:rsidRPr="00520C80">
        <w:t>explicit modelling of cash flows and returns after allowing for company tax but avoids most of the</w:t>
      </w:r>
      <w:r>
        <w:t xml:space="preserve"> </w:t>
      </w:r>
      <w:r w:rsidRPr="00520C80">
        <w:t>complications associated with having to model personal taxes - one complication which remains of</w:t>
      </w:r>
      <w:r>
        <w:t xml:space="preserve"> </w:t>
      </w:r>
      <w:r w:rsidRPr="00520C80">
        <w:t>course, is gamma. If one wanted to explicitly model personal taxes then an after-company-after-personal</w:t>
      </w:r>
      <w:r>
        <w:t>-</w:t>
      </w:r>
      <w:r w:rsidRPr="00520C80">
        <w:t>tax</w:t>
      </w:r>
      <w:r>
        <w:t xml:space="preserve"> </w:t>
      </w:r>
      <w:r w:rsidRPr="00520C80">
        <w:t>WACC framework could be used instead.</w:t>
      </w:r>
    </w:p>
    <w:p w14:paraId="6DE873EF" w14:textId="77777777" w:rsidR="00225435" w:rsidRDefault="00225435" w:rsidP="00C2621C">
      <w:r>
        <w:t>In particular, Handley advised that the Officer framework provides the basis for the building block framework</w:t>
      </w:r>
      <w:r w:rsidR="0028481C">
        <w:t xml:space="preserve"> in the NER</w:t>
      </w:r>
      <w:r w:rsidR="007263E1">
        <w:t>/NGR</w:t>
      </w:r>
      <w:r>
        <w:t xml:space="preserve">, and that the before-personal-tax and before-personal-costs interpretation is consistent with Officer. Handley's advice on these matters is discussed in more detail in sections </w:t>
      </w:r>
      <w:r>
        <w:fldChar w:fldCharType="begin"/>
      </w:r>
      <w:r>
        <w:instrText xml:space="preserve"> REF _Ref400965182 \r \h </w:instrText>
      </w:r>
      <w:r>
        <w:fldChar w:fldCharType="separate"/>
      </w:r>
      <w:r w:rsidR="001E2164">
        <w:t>A.6</w:t>
      </w:r>
      <w:r>
        <w:fldChar w:fldCharType="end"/>
      </w:r>
      <w:r>
        <w:t xml:space="preserve">, </w:t>
      </w:r>
      <w:r>
        <w:fldChar w:fldCharType="begin"/>
      </w:r>
      <w:r>
        <w:instrText xml:space="preserve"> REF _Ref414028398 \r \h </w:instrText>
      </w:r>
      <w:r>
        <w:fldChar w:fldCharType="separate"/>
      </w:r>
      <w:r w:rsidR="001E2164">
        <w:t>A.7.3</w:t>
      </w:r>
      <w:r>
        <w:fldChar w:fldCharType="end"/>
      </w:r>
      <w:r>
        <w:t xml:space="preserve"> and </w:t>
      </w:r>
      <w:r>
        <w:fldChar w:fldCharType="begin"/>
      </w:r>
      <w:r>
        <w:instrText xml:space="preserve"> REF _Ref401748758 \r \h </w:instrText>
      </w:r>
      <w:r>
        <w:fldChar w:fldCharType="separate"/>
      </w:r>
      <w:r w:rsidR="001E2164">
        <w:t>A.8.1</w:t>
      </w:r>
      <w:r>
        <w:fldChar w:fldCharType="end"/>
      </w:r>
      <w:r>
        <w:t>.</w:t>
      </w:r>
    </w:p>
    <w:p w14:paraId="45BE1E1C" w14:textId="43CA0444" w:rsidR="004F3A30" w:rsidRPr="00B535FE" w:rsidRDefault="00FB731E" w:rsidP="00C2621C">
      <w:pPr>
        <w:rPr>
          <w:rStyle w:val="AERbody"/>
        </w:rPr>
      </w:pPr>
      <w:r w:rsidRPr="00B535FE">
        <w:rPr>
          <w:rStyle w:val="AERbody"/>
        </w:rPr>
        <w:t xml:space="preserve">In response to the position put </w:t>
      </w:r>
      <w:r w:rsidR="00550F32" w:rsidRPr="00B535FE">
        <w:rPr>
          <w:rStyle w:val="AERbody"/>
        </w:rPr>
        <w:t xml:space="preserve">by </w:t>
      </w:r>
      <w:r w:rsidR="0031160A" w:rsidRPr="00B535FE">
        <w:rPr>
          <w:rStyle w:val="AERbody"/>
        </w:rPr>
        <w:t xml:space="preserve">a number of </w:t>
      </w:r>
      <w:r w:rsidR="00550F32" w:rsidRPr="00B535FE">
        <w:rPr>
          <w:rStyle w:val="AERbody"/>
        </w:rPr>
        <w:t xml:space="preserve">service providers </w:t>
      </w:r>
      <w:r w:rsidRPr="00B535FE">
        <w:rPr>
          <w:rStyle w:val="AERbody"/>
        </w:rPr>
        <w:t xml:space="preserve">that the AER prefers its conceptual valuation relative to </w:t>
      </w:r>
      <w:r w:rsidR="004F3A30" w:rsidRPr="00B535FE">
        <w:rPr>
          <w:rStyle w:val="AERbody"/>
        </w:rPr>
        <w:t>a market mechanism derived value</w:t>
      </w:r>
      <w:r w:rsidR="0031160A" w:rsidRPr="00B535FE">
        <w:rPr>
          <w:rStyle w:val="AERbody"/>
        </w:rPr>
        <w:t>,</w:t>
      </w:r>
      <w:r w:rsidR="004F3A30" w:rsidRPr="00B535FE">
        <w:rPr>
          <w:rStyle w:val="AERbody"/>
        </w:rPr>
        <w:t xml:space="preserve"> and concerns around</w:t>
      </w:r>
      <w:r w:rsidR="00252549" w:rsidRPr="00B535FE">
        <w:rPr>
          <w:rStyle w:val="AERbody"/>
        </w:rPr>
        <w:t xml:space="preserve"> the AER's definition of gamma</w:t>
      </w:r>
      <w:r w:rsidR="004F3A30" w:rsidRPr="00B535FE">
        <w:rPr>
          <w:rStyle w:val="AERbody"/>
        </w:rPr>
        <w:t>, we note:</w:t>
      </w:r>
    </w:p>
    <w:p w14:paraId="5F2C5D2B" w14:textId="5E108B3C" w:rsidR="004F3A30" w:rsidRPr="00B535FE" w:rsidRDefault="004F3A30" w:rsidP="00B535FE">
      <w:pPr>
        <w:pStyle w:val="AERbulletlistfirststyle"/>
        <w:rPr>
          <w:rStyle w:val="AERtexthighlight"/>
          <w:shd w:val="clear" w:color="auto" w:fill="auto"/>
        </w:rPr>
      </w:pPr>
      <w:r w:rsidRPr="00B535FE">
        <w:rPr>
          <w:rStyle w:val="AERtexthighlight"/>
          <w:shd w:val="clear" w:color="auto" w:fill="auto"/>
        </w:rPr>
        <w:t>There is no market for imputation credits and therefore there is no directly observable market price</w:t>
      </w:r>
      <w:r w:rsidR="00252549" w:rsidRPr="00B535FE">
        <w:rPr>
          <w:rStyle w:val="AERtexthighlight"/>
          <w:shd w:val="clear" w:color="auto" w:fill="auto"/>
        </w:rPr>
        <w:t xml:space="preserve">. This is also discussed below in section </w:t>
      </w:r>
      <w:r w:rsidR="00F163CD" w:rsidRPr="00B535FE">
        <w:rPr>
          <w:rStyle w:val="AERtexthighlight"/>
          <w:shd w:val="clear" w:color="auto" w:fill="auto"/>
        </w:rPr>
        <w:t>A.14.3</w:t>
      </w:r>
      <w:r w:rsidR="00252549" w:rsidRPr="00B535FE">
        <w:rPr>
          <w:rStyle w:val="AERtexthighlight"/>
          <w:shd w:val="clear" w:color="auto" w:fill="auto"/>
        </w:rPr>
        <w:t>.</w:t>
      </w:r>
      <w:r w:rsidRPr="00B535FE">
        <w:rPr>
          <w:rStyle w:val="AERtexthighlight"/>
          <w:shd w:val="clear" w:color="auto" w:fill="auto"/>
        </w:rPr>
        <w:t xml:space="preserve"> </w:t>
      </w:r>
    </w:p>
    <w:p w14:paraId="7CA55F50" w14:textId="4AE148BD" w:rsidR="00092473" w:rsidRPr="00B535FE" w:rsidRDefault="004F3A30" w:rsidP="00B535FE">
      <w:pPr>
        <w:pStyle w:val="AERbulletlistfirststyle"/>
        <w:rPr>
          <w:rStyle w:val="AERtexthighlight"/>
          <w:shd w:val="clear" w:color="auto" w:fill="auto"/>
        </w:rPr>
      </w:pPr>
      <w:r w:rsidRPr="00B535FE">
        <w:rPr>
          <w:rStyle w:val="AERtexthighlight"/>
          <w:shd w:val="clear" w:color="auto" w:fill="auto"/>
        </w:rPr>
        <w:t>The</w:t>
      </w:r>
      <w:r w:rsidR="00FE3450" w:rsidRPr="00B535FE">
        <w:rPr>
          <w:rStyle w:val="AERtexthighlight"/>
          <w:shd w:val="clear" w:color="auto" w:fill="auto"/>
        </w:rPr>
        <w:t xml:space="preserve"> v</w:t>
      </w:r>
      <w:r w:rsidRPr="00B535FE">
        <w:rPr>
          <w:rStyle w:val="AERtexthighlight"/>
          <w:shd w:val="clear" w:color="auto" w:fill="auto"/>
        </w:rPr>
        <w:t xml:space="preserve">alue </w:t>
      </w:r>
      <w:r w:rsidR="00FE3450" w:rsidRPr="00B535FE">
        <w:rPr>
          <w:rStyle w:val="AERtexthighlight"/>
          <w:shd w:val="clear" w:color="auto" w:fill="auto"/>
        </w:rPr>
        <w:t xml:space="preserve">of imputation credits as </w:t>
      </w:r>
      <w:r w:rsidRPr="00B535FE">
        <w:rPr>
          <w:rStyle w:val="AERtexthighlight"/>
          <w:shd w:val="clear" w:color="auto" w:fill="auto"/>
        </w:rPr>
        <w:t xml:space="preserve">estimated through </w:t>
      </w:r>
      <w:r w:rsidR="0031160A" w:rsidRPr="00B535FE">
        <w:rPr>
          <w:rStyle w:val="AERtexthighlight"/>
          <w:shd w:val="clear" w:color="auto" w:fill="auto"/>
        </w:rPr>
        <w:t xml:space="preserve">a </w:t>
      </w:r>
      <w:r w:rsidRPr="00B535FE">
        <w:rPr>
          <w:rStyle w:val="AERtexthighlight"/>
          <w:shd w:val="clear" w:color="auto" w:fill="auto"/>
        </w:rPr>
        <w:t>dividend drop off stud</w:t>
      </w:r>
      <w:r w:rsidR="0031160A" w:rsidRPr="00B535FE">
        <w:rPr>
          <w:rStyle w:val="AERtexthighlight"/>
          <w:shd w:val="clear" w:color="auto" w:fill="auto"/>
        </w:rPr>
        <w:t>y:</w:t>
      </w:r>
      <w:r w:rsidRPr="00B535FE">
        <w:rPr>
          <w:rStyle w:val="AERtexthighlight"/>
          <w:shd w:val="clear" w:color="auto" w:fill="auto"/>
        </w:rPr>
        <w:t xml:space="preserve"> </w:t>
      </w:r>
    </w:p>
    <w:p w14:paraId="55257207" w14:textId="15B9F327" w:rsidR="00092473" w:rsidRPr="00B535FE" w:rsidRDefault="004F3A30" w:rsidP="00B535FE">
      <w:pPr>
        <w:pStyle w:val="AERbulletlistthirdstyle"/>
        <w:rPr>
          <w:rStyle w:val="AERtexthighlight"/>
          <w:shd w:val="clear" w:color="auto" w:fill="auto"/>
        </w:rPr>
      </w:pPr>
      <w:r w:rsidRPr="00B535FE">
        <w:rPr>
          <w:rStyle w:val="AERtexthighlight"/>
          <w:shd w:val="clear" w:color="auto" w:fill="auto"/>
        </w:rPr>
        <w:t xml:space="preserve">is not </w:t>
      </w:r>
      <w:r w:rsidR="00C60B6F" w:rsidRPr="00B535FE">
        <w:rPr>
          <w:rStyle w:val="AERtexthighlight"/>
          <w:shd w:val="clear" w:color="auto" w:fill="auto"/>
        </w:rPr>
        <w:t xml:space="preserve">necessarily </w:t>
      </w:r>
      <w:r w:rsidRPr="00B535FE">
        <w:rPr>
          <w:rStyle w:val="AERtexthighlight"/>
          <w:shd w:val="clear" w:color="auto" w:fill="auto"/>
        </w:rPr>
        <w:t xml:space="preserve">a </w:t>
      </w:r>
      <w:r w:rsidR="00F163CD" w:rsidRPr="00B535FE">
        <w:rPr>
          <w:rStyle w:val="AERtexthighlight"/>
          <w:shd w:val="clear" w:color="auto" w:fill="auto"/>
        </w:rPr>
        <w:t xml:space="preserve">correct </w:t>
      </w:r>
      <w:r w:rsidR="00FE3450" w:rsidRPr="00B535FE">
        <w:rPr>
          <w:rStyle w:val="AERtexthighlight"/>
          <w:shd w:val="clear" w:color="auto" w:fill="auto"/>
        </w:rPr>
        <w:t xml:space="preserve">post company tax value </w:t>
      </w:r>
      <w:r w:rsidRPr="00B535FE">
        <w:rPr>
          <w:rStyle w:val="AERtexthighlight"/>
          <w:shd w:val="clear" w:color="auto" w:fill="auto"/>
        </w:rPr>
        <w:t xml:space="preserve">before personal taxes and </w:t>
      </w:r>
      <w:r w:rsidR="0031160A" w:rsidRPr="00B535FE">
        <w:rPr>
          <w:rStyle w:val="AERtexthighlight"/>
          <w:shd w:val="clear" w:color="auto" w:fill="auto"/>
        </w:rPr>
        <w:t xml:space="preserve">personal </w:t>
      </w:r>
      <w:r w:rsidRPr="00B535FE">
        <w:rPr>
          <w:rStyle w:val="AERtexthighlight"/>
          <w:shd w:val="clear" w:color="auto" w:fill="auto"/>
        </w:rPr>
        <w:t>transaction costs</w:t>
      </w:r>
      <w:r w:rsidR="0031160A" w:rsidRPr="00B535FE">
        <w:rPr>
          <w:rStyle w:val="AERtexthighlight"/>
          <w:shd w:val="clear" w:color="auto" w:fill="auto"/>
        </w:rPr>
        <w:t xml:space="preserve"> </w:t>
      </w:r>
      <w:r w:rsidR="00C60B6F" w:rsidRPr="00B535FE">
        <w:rPr>
          <w:rStyle w:val="AERtexthighlight"/>
          <w:shd w:val="clear" w:color="auto" w:fill="auto"/>
        </w:rPr>
        <w:t xml:space="preserve">(particularly </w:t>
      </w:r>
      <w:r w:rsidR="00576550" w:rsidRPr="00B535FE">
        <w:rPr>
          <w:rStyle w:val="AERtexthighlight"/>
          <w:shd w:val="clear" w:color="auto" w:fill="auto"/>
        </w:rPr>
        <w:t xml:space="preserve">demonstrated </w:t>
      </w:r>
      <w:r w:rsidR="00C60B6F" w:rsidRPr="00B535FE">
        <w:rPr>
          <w:rStyle w:val="AERtexthighlight"/>
          <w:shd w:val="clear" w:color="auto" w:fill="auto"/>
        </w:rPr>
        <w:t>where the</w:t>
      </w:r>
      <w:r w:rsidR="0031160A" w:rsidRPr="00B535FE">
        <w:rPr>
          <w:rStyle w:val="AERtexthighlight"/>
          <w:shd w:val="clear" w:color="auto" w:fill="auto"/>
        </w:rPr>
        <w:t xml:space="preserve"> study</w:t>
      </w:r>
      <w:r w:rsidR="00C60B6F" w:rsidRPr="00B535FE">
        <w:rPr>
          <w:rStyle w:val="AERtexthighlight"/>
          <w:shd w:val="clear" w:color="auto" w:fill="auto"/>
        </w:rPr>
        <w:t xml:space="preserve"> estimate</w:t>
      </w:r>
      <w:r w:rsidR="0031160A" w:rsidRPr="00B535FE">
        <w:rPr>
          <w:rStyle w:val="AERtexthighlight"/>
          <w:shd w:val="clear" w:color="auto" w:fill="auto"/>
        </w:rPr>
        <w:t>s</w:t>
      </w:r>
      <w:r w:rsidR="00C60B6F" w:rsidRPr="00B535FE">
        <w:rPr>
          <w:rStyle w:val="AERtexthighlight"/>
          <w:shd w:val="clear" w:color="auto" w:fill="auto"/>
        </w:rPr>
        <w:t xml:space="preserve"> a value for cash dividends materially below their face value as </w:t>
      </w:r>
      <w:r w:rsidR="0031160A" w:rsidRPr="00B535FE">
        <w:rPr>
          <w:rStyle w:val="AERtexthighlight"/>
          <w:shd w:val="clear" w:color="auto" w:fill="auto"/>
        </w:rPr>
        <w:t xml:space="preserve">the </w:t>
      </w:r>
      <w:r w:rsidR="00C60B6F" w:rsidRPr="00B535FE">
        <w:rPr>
          <w:rStyle w:val="AERtexthighlight"/>
          <w:shd w:val="clear" w:color="auto" w:fill="auto"/>
        </w:rPr>
        <w:t>SFG</w:t>
      </w:r>
      <w:r w:rsidR="0031160A" w:rsidRPr="00B535FE">
        <w:rPr>
          <w:rStyle w:val="AERtexthighlight"/>
          <w:shd w:val="clear" w:color="auto" w:fill="auto"/>
        </w:rPr>
        <w:t xml:space="preserve"> </w:t>
      </w:r>
      <w:r w:rsidR="00C60B6F" w:rsidRPr="00B535FE">
        <w:rPr>
          <w:rStyle w:val="AERtexthighlight"/>
          <w:shd w:val="clear" w:color="auto" w:fill="auto"/>
        </w:rPr>
        <w:t>study does)</w:t>
      </w:r>
      <w:r w:rsidRPr="00B535FE">
        <w:rPr>
          <w:rStyle w:val="AERtexthighlight"/>
          <w:shd w:val="clear" w:color="auto" w:fill="auto"/>
        </w:rPr>
        <w:t xml:space="preserve"> </w:t>
      </w:r>
    </w:p>
    <w:p w14:paraId="0C49F7DF" w14:textId="6D69A1EB" w:rsidR="00092473" w:rsidRPr="00B535FE" w:rsidRDefault="004F3A30" w:rsidP="00B535FE">
      <w:pPr>
        <w:pStyle w:val="AERbulletlistthirdstyle"/>
        <w:rPr>
          <w:rStyle w:val="AERtexthighlight"/>
          <w:shd w:val="clear" w:color="auto" w:fill="auto"/>
        </w:rPr>
      </w:pPr>
      <w:r w:rsidRPr="00B535FE">
        <w:rPr>
          <w:rStyle w:val="AERtexthighlight"/>
          <w:shd w:val="clear" w:color="auto" w:fill="auto"/>
        </w:rPr>
        <w:t xml:space="preserve">is not </w:t>
      </w:r>
      <w:r w:rsidR="0031160A" w:rsidRPr="00B535FE">
        <w:rPr>
          <w:rStyle w:val="AERtexthighlight"/>
          <w:shd w:val="clear" w:color="auto" w:fill="auto"/>
        </w:rPr>
        <w:t xml:space="preserve">necessarily </w:t>
      </w:r>
      <w:r w:rsidRPr="00B535FE">
        <w:rPr>
          <w:rStyle w:val="AERtexthighlight"/>
          <w:shd w:val="clear" w:color="auto" w:fill="auto"/>
        </w:rPr>
        <w:t xml:space="preserve">consistent with the estimate of the return on </w:t>
      </w:r>
      <w:r w:rsidR="00EF4770" w:rsidRPr="00B535FE">
        <w:rPr>
          <w:rStyle w:val="AERtexthighlight"/>
          <w:shd w:val="clear" w:color="auto" w:fill="auto"/>
        </w:rPr>
        <w:t>equity</w:t>
      </w:r>
      <w:r w:rsidRPr="00B535FE">
        <w:rPr>
          <w:rStyle w:val="AERtexthighlight"/>
          <w:shd w:val="clear" w:color="auto" w:fill="auto"/>
        </w:rPr>
        <w:t xml:space="preserve"> and return on debt which are estimated</w:t>
      </w:r>
      <w:r w:rsidR="0031160A" w:rsidRPr="00B535FE">
        <w:rPr>
          <w:rStyle w:val="AERtexthighlight"/>
          <w:shd w:val="clear" w:color="auto" w:fill="auto"/>
        </w:rPr>
        <w:t xml:space="preserve"> </w:t>
      </w:r>
      <w:r w:rsidRPr="00B535FE">
        <w:rPr>
          <w:rStyle w:val="AERtexthighlight"/>
          <w:shd w:val="clear" w:color="auto" w:fill="auto"/>
        </w:rPr>
        <w:t xml:space="preserve">required returns before personal taxes and </w:t>
      </w:r>
      <w:r w:rsidR="00FE3450" w:rsidRPr="00B535FE">
        <w:rPr>
          <w:rStyle w:val="AERtexthighlight"/>
          <w:shd w:val="clear" w:color="auto" w:fill="auto"/>
        </w:rPr>
        <w:lastRenderedPageBreak/>
        <w:t xml:space="preserve">personal </w:t>
      </w:r>
      <w:r w:rsidRPr="00B535FE">
        <w:rPr>
          <w:rStyle w:val="AERtexthighlight"/>
          <w:shd w:val="clear" w:color="auto" w:fill="auto"/>
        </w:rPr>
        <w:t>transaction costs</w:t>
      </w:r>
      <w:r w:rsidR="0031160A" w:rsidRPr="00B535FE">
        <w:rPr>
          <w:rStyle w:val="AERtexthighlight"/>
          <w:shd w:val="clear" w:color="auto" w:fill="auto"/>
        </w:rPr>
        <w:t xml:space="preserve"> (particularly </w:t>
      </w:r>
      <w:r w:rsidR="00092473" w:rsidRPr="00B535FE">
        <w:rPr>
          <w:rStyle w:val="AERtexthighlight"/>
          <w:shd w:val="clear" w:color="auto" w:fill="auto"/>
        </w:rPr>
        <w:t xml:space="preserve">demonstrated </w:t>
      </w:r>
      <w:r w:rsidR="0031160A" w:rsidRPr="00B535FE">
        <w:rPr>
          <w:rStyle w:val="AERtexthighlight"/>
          <w:shd w:val="clear" w:color="auto" w:fill="auto"/>
        </w:rPr>
        <w:t>where the study estimates a value for cash dividends materially below their face value as the SFG study does)</w:t>
      </w:r>
      <w:r w:rsidRPr="00B535FE">
        <w:rPr>
          <w:rStyle w:val="AERtexthighlight"/>
          <w:shd w:val="clear" w:color="auto" w:fill="auto"/>
        </w:rPr>
        <w:t xml:space="preserve">, and </w:t>
      </w:r>
    </w:p>
    <w:p w14:paraId="6071632C" w14:textId="77777777" w:rsidR="00092473" w:rsidRPr="00B535FE" w:rsidRDefault="004F3A30" w:rsidP="00B535FE">
      <w:pPr>
        <w:pStyle w:val="AERbulletlistthirdstyle"/>
        <w:rPr>
          <w:rStyle w:val="AERtexthighlight"/>
          <w:shd w:val="clear" w:color="auto" w:fill="auto"/>
        </w:rPr>
      </w:pPr>
      <w:proofErr w:type="gramStart"/>
      <w:r w:rsidRPr="00B535FE">
        <w:rPr>
          <w:rStyle w:val="AERtexthighlight"/>
          <w:shd w:val="clear" w:color="auto" w:fill="auto"/>
        </w:rPr>
        <w:t>is</w:t>
      </w:r>
      <w:proofErr w:type="gramEnd"/>
      <w:r w:rsidRPr="00B535FE">
        <w:rPr>
          <w:rStyle w:val="AERtexthighlight"/>
          <w:shd w:val="clear" w:color="auto" w:fill="auto"/>
        </w:rPr>
        <w:t xml:space="preserve"> subject to </w:t>
      </w:r>
      <w:r w:rsidR="00EF4770" w:rsidRPr="00B535FE">
        <w:rPr>
          <w:rStyle w:val="AERtexthighlight"/>
          <w:shd w:val="clear" w:color="auto" w:fill="auto"/>
        </w:rPr>
        <w:t>significant</w:t>
      </w:r>
      <w:r w:rsidRPr="00B535FE">
        <w:rPr>
          <w:rStyle w:val="AERtexthighlight"/>
          <w:shd w:val="clear" w:color="auto" w:fill="auto"/>
        </w:rPr>
        <w:t xml:space="preserve"> uncertainty</w:t>
      </w:r>
      <w:r w:rsidR="00252549" w:rsidRPr="00B535FE">
        <w:rPr>
          <w:rStyle w:val="AERtexthighlight"/>
          <w:shd w:val="clear" w:color="auto" w:fill="auto"/>
        </w:rPr>
        <w:t xml:space="preserve">. </w:t>
      </w:r>
    </w:p>
    <w:p w14:paraId="3A654124" w14:textId="6C23893A" w:rsidR="004F3A30" w:rsidRPr="00B535FE" w:rsidRDefault="00C12621" w:rsidP="00913061">
      <w:pPr>
        <w:pStyle w:val="AERbulletlistfirststyle"/>
        <w:numPr>
          <w:ilvl w:val="0"/>
          <w:numId w:val="0"/>
        </w:numPr>
        <w:ind w:left="357"/>
        <w:rPr>
          <w:rStyle w:val="AERbody"/>
        </w:rPr>
      </w:pPr>
      <w:r w:rsidRPr="00B535FE">
        <w:rPr>
          <w:rStyle w:val="AERbody"/>
        </w:rPr>
        <w:t>A number of</w:t>
      </w:r>
      <w:r w:rsidR="00252549" w:rsidRPr="00B535FE">
        <w:rPr>
          <w:rStyle w:val="AERbody"/>
        </w:rPr>
        <w:t xml:space="preserve"> limitations of these studies are discussed further in </w:t>
      </w:r>
      <w:r w:rsidR="002C1CFB" w:rsidRPr="00B535FE">
        <w:rPr>
          <w:rStyle w:val="AERbody"/>
        </w:rPr>
        <w:t>sections A14.4</w:t>
      </w:r>
      <w:r w:rsidRPr="00B535FE">
        <w:rPr>
          <w:rStyle w:val="AERbody"/>
        </w:rPr>
        <w:t xml:space="preserve"> and A14.5</w:t>
      </w:r>
      <w:r w:rsidR="00252549" w:rsidRPr="00B535FE">
        <w:rPr>
          <w:rStyle w:val="AERbody"/>
        </w:rPr>
        <w:t>.</w:t>
      </w:r>
    </w:p>
    <w:p w14:paraId="06B1ABEC" w14:textId="432DF526" w:rsidR="008A70BF" w:rsidRPr="00B535FE" w:rsidRDefault="00252549" w:rsidP="00B535FE">
      <w:pPr>
        <w:pStyle w:val="AERbulletlistfirststyle"/>
        <w:rPr>
          <w:rStyle w:val="AERtexthighlight"/>
          <w:shd w:val="clear" w:color="auto" w:fill="auto"/>
        </w:rPr>
      </w:pPr>
      <w:r w:rsidRPr="00B535FE">
        <w:rPr>
          <w:rStyle w:val="AERtexthighlight"/>
          <w:shd w:val="clear" w:color="auto" w:fill="auto"/>
        </w:rPr>
        <w:t xml:space="preserve">The AER's definition of the utilisation value is consistent with Officer Framework underpinning the rules that uses a </w:t>
      </w:r>
      <w:r w:rsidR="00EF4770" w:rsidRPr="00B535FE">
        <w:rPr>
          <w:rStyle w:val="AERtexthighlight"/>
          <w:shd w:val="clear" w:color="auto" w:fill="auto"/>
        </w:rPr>
        <w:t>post-tax</w:t>
      </w:r>
      <w:r w:rsidRPr="00B535FE">
        <w:rPr>
          <w:rStyle w:val="AERtexthighlight"/>
          <w:shd w:val="clear" w:color="auto" w:fill="auto"/>
        </w:rPr>
        <w:t xml:space="preserve"> Vanilla WACC, is consistent with the way the AER estimates the required return on equity, and is supported by Handley. The explicit recognition that this is a pre personal taxes and pre personal </w:t>
      </w:r>
      <w:r w:rsidR="00EF4770" w:rsidRPr="00B535FE">
        <w:rPr>
          <w:rStyle w:val="AERtexthighlight"/>
          <w:shd w:val="clear" w:color="auto" w:fill="auto"/>
        </w:rPr>
        <w:t>transaction</w:t>
      </w:r>
      <w:r w:rsidRPr="00B535FE">
        <w:rPr>
          <w:rStyle w:val="AERtexthighlight"/>
          <w:shd w:val="clear" w:color="auto" w:fill="auto"/>
        </w:rPr>
        <w:t xml:space="preserve"> costs value is simply explicit recognition of something implicit in the Officer Vanilla WACC framework</w:t>
      </w:r>
      <w:r w:rsidR="009D7B99" w:rsidRPr="00B535FE">
        <w:rPr>
          <w:rStyle w:val="AERtexthighlight"/>
          <w:shd w:val="clear" w:color="auto" w:fill="auto"/>
        </w:rPr>
        <w:t>. This framework</w:t>
      </w:r>
      <w:r w:rsidRPr="00B535FE">
        <w:rPr>
          <w:rStyle w:val="AERtexthighlight"/>
          <w:shd w:val="clear" w:color="auto" w:fill="auto"/>
        </w:rPr>
        <w:t xml:space="preserve"> </w:t>
      </w:r>
      <w:r w:rsidR="002C1CFB" w:rsidRPr="00B535FE">
        <w:rPr>
          <w:rStyle w:val="AERtexthighlight"/>
          <w:shd w:val="clear" w:color="auto" w:fill="auto"/>
        </w:rPr>
        <w:t>determines</w:t>
      </w:r>
      <w:r w:rsidR="00092473" w:rsidRPr="00B535FE">
        <w:rPr>
          <w:rStyle w:val="AERtexthighlight"/>
          <w:shd w:val="clear" w:color="auto" w:fill="auto"/>
        </w:rPr>
        <w:t xml:space="preserve"> the</w:t>
      </w:r>
      <w:r w:rsidRPr="00B535FE">
        <w:rPr>
          <w:rStyle w:val="AERtexthighlight"/>
          <w:shd w:val="clear" w:color="auto" w:fill="auto"/>
        </w:rPr>
        <w:t xml:space="preserve"> </w:t>
      </w:r>
      <w:r w:rsidR="001208C3" w:rsidRPr="00B535FE">
        <w:rPr>
          <w:rStyle w:val="AERtexthighlight"/>
          <w:shd w:val="clear" w:color="auto" w:fill="auto"/>
        </w:rPr>
        <w:t xml:space="preserve">required </w:t>
      </w:r>
      <w:r w:rsidRPr="00B535FE">
        <w:rPr>
          <w:rStyle w:val="AERtexthighlight"/>
          <w:shd w:val="clear" w:color="auto" w:fill="auto"/>
        </w:rPr>
        <w:t>return to the company (i.e. before personal taxes and personal transaction costs are incurred)</w:t>
      </w:r>
      <w:r w:rsidR="00092473" w:rsidRPr="00B535FE">
        <w:rPr>
          <w:rStyle w:val="AERtexthighlight"/>
          <w:shd w:val="clear" w:color="auto" w:fill="auto"/>
        </w:rPr>
        <w:t xml:space="preserve"> </w:t>
      </w:r>
      <w:r w:rsidR="009D7B99" w:rsidRPr="00B535FE">
        <w:rPr>
          <w:rStyle w:val="AERtexthighlight"/>
          <w:shd w:val="clear" w:color="auto" w:fill="auto"/>
        </w:rPr>
        <w:t>consistent with the definition of the after-tax net cash flows set out in Officer.</w:t>
      </w:r>
      <w:r w:rsidR="00B535FE">
        <w:rPr>
          <w:rStyle w:val="FootnoteReference"/>
        </w:rPr>
        <w:footnoteReference w:id="160"/>
      </w:r>
      <w:r w:rsidR="009D7B99" w:rsidRPr="00B535FE">
        <w:rPr>
          <w:rStyle w:val="AERtexthighlight"/>
          <w:shd w:val="clear" w:color="auto" w:fill="auto"/>
        </w:rPr>
        <w:t xml:space="preserve"> </w:t>
      </w:r>
    </w:p>
    <w:p w14:paraId="4340E27D" w14:textId="63EBC9D6" w:rsidR="00CB2128" w:rsidRPr="007B0943" w:rsidRDefault="008A70BF" w:rsidP="007B0943">
      <w:pPr>
        <w:pStyle w:val="AERbulletlistfirststyle"/>
        <w:rPr>
          <w:rStyle w:val="AERtexthighlight"/>
          <w:shd w:val="clear" w:color="auto" w:fill="auto"/>
        </w:rPr>
      </w:pPr>
      <w:r w:rsidRPr="007B0943">
        <w:rPr>
          <w:rStyle w:val="AERtexthighlight"/>
          <w:shd w:val="clear" w:color="auto" w:fill="auto"/>
        </w:rPr>
        <w:t xml:space="preserve">The AER's definition is consistent with the 'value' concept in the rules given the rules are requiring the AER to estimate a post-tax nominal Vanilla WACC consistent with Officer formula (12) in his 1994 paper, </w:t>
      </w:r>
      <w:r w:rsidR="00070475" w:rsidRPr="007B0943">
        <w:rPr>
          <w:rStyle w:val="AERtexthighlight"/>
          <w:shd w:val="clear" w:color="auto" w:fill="auto"/>
        </w:rPr>
        <w:t>which as stated by Officer is one particular definition of "</w:t>
      </w:r>
      <w:r w:rsidRPr="007B0943">
        <w:rPr>
          <w:rStyle w:val="AERtexthighlight"/>
          <w:shd w:val="clear" w:color="auto" w:fill="auto"/>
        </w:rPr>
        <w:t xml:space="preserve">a </w:t>
      </w:r>
      <w:r w:rsidR="00070475" w:rsidRPr="007B0943">
        <w:rPr>
          <w:rStyle w:val="AERtexthighlight"/>
          <w:shd w:val="clear" w:color="auto" w:fill="auto"/>
        </w:rPr>
        <w:t>company's after</w:t>
      </w:r>
      <w:r w:rsidRPr="007B0943">
        <w:rPr>
          <w:rStyle w:val="AERtexthighlight"/>
          <w:shd w:val="clear" w:color="auto" w:fill="auto"/>
        </w:rPr>
        <w:t xml:space="preserve">-tax </w:t>
      </w:r>
      <w:r w:rsidR="00070475" w:rsidRPr="007B0943">
        <w:rPr>
          <w:rStyle w:val="AERtexthighlight"/>
          <w:shd w:val="clear" w:color="auto" w:fill="auto"/>
        </w:rPr>
        <w:t xml:space="preserve">cost of </w:t>
      </w:r>
      <w:proofErr w:type="gramStart"/>
      <w:r w:rsidR="00070475" w:rsidRPr="007B0943">
        <w:rPr>
          <w:rStyle w:val="AERtexthighlight"/>
          <w:shd w:val="clear" w:color="auto" w:fill="auto"/>
        </w:rPr>
        <w:t xml:space="preserve">capital </w:t>
      </w:r>
      <w:r w:rsidRPr="007B0943">
        <w:rPr>
          <w:rStyle w:val="AERtexthighlight"/>
          <w:shd w:val="clear" w:color="auto" w:fill="auto"/>
        </w:rPr>
        <w:t xml:space="preserve"> </w:t>
      </w:r>
      <w:r w:rsidR="00070475" w:rsidRPr="007B0943">
        <w:rPr>
          <w:rStyle w:val="AERtexthighlight"/>
          <w:shd w:val="clear" w:color="auto" w:fill="auto"/>
        </w:rPr>
        <w:t>(</w:t>
      </w:r>
      <w:proofErr w:type="gramEnd"/>
      <w:r w:rsidRPr="007B0943">
        <w:rPr>
          <w:rStyle w:val="AERtexthighlight"/>
          <w:shd w:val="clear" w:color="auto" w:fill="auto"/>
        </w:rPr>
        <w:t>WACC</w:t>
      </w:r>
      <w:r w:rsidR="00070475" w:rsidRPr="007B0943">
        <w:rPr>
          <w:rStyle w:val="AERtexthighlight"/>
          <w:shd w:val="clear" w:color="auto" w:fill="auto"/>
        </w:rPr>
        <w:t>)" and "is determined by the definition used of after-tax operating income or really after-tax net cash flows".</w:t>
      </w:r>
      <w:r w:rsidR="007B0943">
        <w:rPr>
          <w:rStyle w:val="FootnoteReference"/>
        </w:rPr>
        <w:footnoteReference w:id="161"/>
      </w:r>
      <w:r w:rsidR="00070475" w:rsidRPr="007B0943">
        <w:rPr>
          <w:rStyle w:val="AERtexthighlight"/>
          <w:shd w:val="clear" w:color="auto" w:fill="auto"/>
        </w:rPr>
        <w:t xml:space="preserve"> As these after-tax </w:t>
      </w:r>
      <w:r w:rsidR="00402335" w:rsidRPr="007B0943">
        <w:rPr>
          <w:rStyle w:val="AERtexthighlight"/>
          <w:shd w:val="clear" w:color="auto" w:fill="auto"/>
        </w:rPr>
        <w:t xml:space="preserve">net </w:t>
      </w:r>
      <w:r w:rsidR="00070475" w:rsidRPr="007B0943">
        <w:rPr>
          <w:rStyle w:val="AERtexthighlight"/>
          <w:shd w:val="clear" w:color="auto" w:fill="auto"/>
        </w:rPr>
        <w:t xml:space="preserve">cash flows are at the company level they </w:t>
      </w:r>
      <w:proofErr w:type="gramStart"/>
      <w:r w:rsidR="00070475" w:rsidRPr="007B0943">
        <w:rPr>
          <w:rStyle w:val="AERtexthighlight"/>
          <w:shd w:val="clear" w:color="auto" w:fill="auto"/>
        </w:rPr>
        <w:t xml:space="preserve">are </w:t>
      </w:r>
      <w:r w:rsidR="00402335" w:rsidRPr="007B0943">
        <w:rPr>
          <w:rStyle w:val="AERtexthighlight"/>
          <w:shd w:val="clear" w:color="auto" w:fill="auto"/>
        </w:rPr>
        <w:t xml:space="preserve"> </w:t>
      </w:r>
      <w:r w:rsidRPr="007B0943">
        <w:rPr>
          <w:rStyle w:val="AERtexthighlight"/>
          <w:shd w:val="clear" w:color="auto" w:fill="auto"/>
        </w:rPr>
        <w:t>before</w:t>
      </w:r>
      <w:proofErr w:type="gramEnd"/>
      <w:r w:rsidRPr="007B0943">
        <w:rPr>
          <w:rStyle w:val="AERtexthighlight"/>
          <w:shd w:val="clear" w:color="auto" w:fill="auto"/>
        </w:rPr>
        <w:t xml:space="preserve"> personal taxes and personal transaction costs</w:t>
      </w:r>
      <w:r w:rsidR="001208C3" w:rsidRPr="007B0943">
        <w:rPr>
          <w:rStyle w:val="AERtexthighlight"/>
          <w:shd w:val="clear" w:color="auto" w:fill="auto"/>
        </w:rPr>
        <w:t xml:space="preserve">. This is supported by </w:t>
      </w:r>
      <w:r w:rsidR="00070475" w:rsidRPr="007B0943">
        <w:rPr>
          <w:rStyle w:val="AERtexthighlight"/>
          <w:shd w:val="clear" w:color="auto" w:fill="auto"/>
        </w:rPr>
        <w:t xml:space="preserve">the advice of </w:t>
      </w:r>
      <w:r w:rsidR="00C60B6F" w:rsidRPr="007B0943">
        <w:rPr>
          <w:rStyle w:val="AERtexthighlight"/>
          <w:shd w:val="clear" w:color="auto" w:fill="auto"/>
        </w:rPr>
        <w:t>Handley.</w:t>
      </w:r>
      <w:r w:rsidR="007B0943">
        <w:rPr>
          <w:rStyle w:val="FootnoteReference"/>
        </w:rPr>
        <w:footnoteReference w:id="162"/>
      </w:r>
      <w:r w:rsidR="00E21D11" w:rsidRPr="007B0943" w:rsidDel="00E21D11">
        <w:rPr>
          <w:rStyle w:val="FootnoteReference"/>
          <w:vertAlign w:val="baseline"/>
        </w:rPr>
        <w:t xml:space="preserve"> </w:t>
      </w:r>
    </w:p>
    <w:p w14:paraId="09B48945" w14:textId="5589DF52" w:rsidR="00615CE6" w:rsidRPr="00A35AE7" w:rsidRDefault="008A70BF" w:rsidP="00A35AE7">
      <w:pPr>
        <w:pStyle w:val="Heading9"/>
      </w:pPr>
      <w:r w:rsidRPr="00A35AE7">
        <w:t xml:space="preserve">  </w:t>
      </w:r>
      <w:r w:rsidR="00252549" w:rsidRPr="00A35AE7">
        <w:t xml:space="preserve">   </w:t>
      </w:r>
      <w:r w:rsidR="004F3A30" w:rsidRPr="00A35AE7">
        <w:t xml:space="preserve"> </w:t>
      </w:r>
      <w:bookmarkStart w:id="55" w:name="_Ref400962032"/>
      <w:r w:rsidR="00615CE6" w:rsidRPr="00A35AE7">
        <w:t>The tax building block</w:t>
      </w:r>
      <w:bookmarkEnd w:id="55"/>
    </w:p>
    <w:p w14:paraId="6E02CFD7" w14:textId="77777777" w:rsidR="00615CE6" w:rsidRDefault="00615CE6" w:rsidP="00615CE6">
      <w:pPr>
        <w:numPr>
          <w:ilvl w:val="0"/>
          <w:numId w:val="25"/>
        </w:numPr>
      </w:pPr>
      <w:r>
        <w:t>O</w:t>
      </w:r>
      <w:r w:rsidRPr="00721B11">
        <w:t xml:space="preserve">ne expense that a service provider faces is taxation. An allowance for taxation can be estimated as a separate building block allowance, or through the rate of return. Either way, the service provider and its investors are compensated for its tax liability. The difference is only how this return is presented. The </w:t>
      </w:r>
      <w:r w:rsidR="004569D9">
        <w:t>NER/NGR</w:t>
      </w:r>
      <w:r w:rsidRPr="00721B11">
        <w:t xml:space="preserve"> </w:t>
      </w:r>
      <w:proofErr w:type="gramStart"/>
      <w:r w:rsidRPr="00721B11">
        <w:t>specify</w:t>
      </w:r>
      <w:proofErr w:type="gramEnd"/>
      <w:r w:rsidRPr="00721B11">
        <w:t xml:space="preserve"> that we must estimate a nominal vanilla rate of return.</w:t>
      </w:r>
      <w:r w:rsidRPr="00721B11">
        <w:rPr>
          <w:rStyle w:val="FootnoteReference"/>
        </w:rPr>
        <w:footnoteReference w:id="163"/>
      </w:r>
      <w:r w:rsidRPr="00721B11">
        <w:t xml:space="preserve">  </w:t>
      </w:r>
      <w:r>
        <w:t>A nominal vanilla rate of return combines a post-tax return on equity with a pre-tax return on debt. More specifically, as described by Handley above, the return on equity is a post-company-tax-pre-personal-tax return on equity.</w:t>
      </w:r>
    </w:p>
    <w:p w14:paraId="7CEC58A6" w14:textId="77777777" w:rsidR="00615CE6" w:rsidRPr="00721B11" w:rsidRDefault="00615CE6" w:rsidP="00615CE6">
      <w:pPr>
        <w:numPr>
          <w:ilvl w:val="0"/>
          <w:numId w:val="25"/>
        </w:numPr>
      </w:pPr>
      <w:r w:rsidRPr="00721B11">
        <w:t>Amongst other things, this means the return on capital does not include an allowance for the cost of taxation.</w:t>
      </w:r>
      <w:r>
        <w:t xml:space="preserve"> </w:t>
      </w:r>
      <w:r w:rsidRPr="00721B11">
        <w:t xml:space="preserve">As a result, the building block framework includes an estimate of the cost of corporate income tax as a separate revenue item. </w:t>
      </w:r>
    </w:p>
    <w:p w14:paraId="1211C7BA" w14:textId="77777777" w:rsidR="00615CE6" w:rsidRDefault="00615CE6" w:rsidP="00615CE6">
      <w:pPr>
        <w:numPr>
          <w:ilvl w:val="0"/>
          <w:numId w:val="25"/>
        </w:numPr>
      </w:pPr>
      <w:r>
        <w:t>The cost of corporate income tax building block takes the following form:</w:t>
      </w:r>
    </w:p>
    <w:p w14:paraId="4F27E1F1" w14:textId="77777777" w:rsidR="00615CE6" w:rsidRDefault="00D70292" w:rsidP="00615CE6">
      <w:pPr>
        <w:numPr>
          <w:ilvl w:val="0"/>
          <w:numId w:val="25"/>
        </w:numPr>
      </w:pPr>
      <m:oMath>
        <m:sSub>
          <m:sSubPr>
            <m:ctrlPr>
              <w:rPr>
                <w:rFonts w:ascii="Cambria Math" w:hAnsi="Cambria Math"/>
              </w:rPr>
            </m:ctrlPr>
          </m:sSubPr>
          <m:e>
            <m:r>
              <w:rPr>
                <w:rFonts w:ascii="Cambria Math" w:hAnsi="Cambria Math"/>
              </w:rPr>
              <m:t>ETC</m:t>
            </m:r>
          </m:e>
          <m:sub>
            <m:r>
              <w:rPr>
                <w:rFonts w:ascii="Cambria Math" w:hAnsi="Cambria Math"/>
              </w:rPr>
              <m:t>t</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d>
          <m:dPr>
            <m:ctrlPr>
              <w:rPr>
                <w:rFonts w:ascii="Cambria Math" w:hAnsi="Cambria Math"/>
              </w:rPr>
            </m:ctrlPr>
          </m:dPr>
          <m:e>
            <m:r>
              <w:rPr>
                <w:rFonts w:ascii="Cambria Math" w:hAnsi="Cambria Math"/>
              </w:rPr>
              <m:t>1-γ</m:t>
            </m:r>
          </m:e>
        </m:d>
      </m:oMath>
    </w:p>
    <w:p w14:paraId="4813BD4E" w14:textId="77777777" w:rsidR="00615CE6" w:rsidRDefault="00615CE6" w:rsidP="00615CE6">
      <w:pPr>
        <w:numPr>
          <w:ilvl w:val="0"/>
          <w:numId w:val="25"/>
        </w:numPr>
      </w:pPr>
      <w:r>
        <w:t>where:</w:t>
      </w:r>
    </w:p>
    <w:p w14:paraId="3852429C" w14:textId="77777777" w:rsidR="00615CE6" w:rsidRPr="00615CE6" w:rsidRDefault="00D70292" w:rsidP="00615CE6">
      <w:pPr>
        <w:pStyle w:val="AERbulletlistfirststyle"/>
      </w:pPr>
      <m:oMath>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oMath>
      <w:r w:rsidR="00615CE6" w:rsidRPr="00615CE6" w:rsidDel="00CE0EED">
        <w:t xml:space="preserve"> </w:t>
      </w:r>
      <w:proofErr w:type="gramStart"/>
      <w:r w:rsidR="00615CE6" w:rsidRPr="00615CE6">
        <w:t>is</w:t>
      </w:r>
      <w:proofErr w:type="gramEnd"/>
      <w:r w:rsidR="00615CE6" w:rsidRPr="00615CE6">
        <w:t xml:space="preserve"> an estimate of the benchmark efficient entity's tax liability.</w:t>
      </w:r>
    </w:p>
    <w:p w14:paraId="46D23C61" w14:textId="77777777" w:rsidR="00615CE6" w:rsidRPr="00615CE6" w:rsidRDefault="00615CE6" w:rsidP="00615CE6">
      <w:pPr>
        <w:pStyle w:val="AERbulletlistfirststyle"/>
      </w:pPr>
      <m:oMath>
        <m:r>
          <w:rPr>
            <w:rFonts w:ascii="Cambria Math" w:hAnsi="Cambria Math"/>
          </w:rPr>
          <m:t>γ</m:t>
        </m:r>
      </m:oMath>
      <w:r w:rsidRPr="00615CE6">
        <w:t xml:space="preserve"> </w:t>
      </w:r>
      <w:proofErr w:type="gramStart"/>
      <w:r w:rsidRPr="00615CE6">
        <w:t>is</w:t>
      </w:r>
      <w:proofErr w:type="gramEnd"/>
      <w:r w:rsidRPr="00615CE6">
        <w:t xml:space="preserve"> the value of imputation credits.</w:t>
      </w:r>
    </w:p>
    <w:p w14:paraId="0A6329B0" w14:textId="77777777" w:rsidR="00615CE6" w:rsidRDefault="00615CE6" w:rsidP="00615CE6">
      <w:pPr>
        <w:numPr>
          <w:ilvl w:val="0"/>
          <w:numId w:val="25"/>
        </w:numPr>
      </w:pPr>
      <w:r>
        <w:t xml:space="preserve">Therefore, the effect of the value of imputation credits is to reduce a service provider's allowed revenue by </w:t>
      </w:r>
      <m:oMath>
        <m:r>
          <w:rPr>
            <w:rFonts w:ascii="Cambria Math" w:hAnsi="Cambria Math"/>
          </w:rPr>
          <m:t>γ</m:t>
        </m:r>
      </m:oMath>
      <w:r w:rsidRPr="009D12C3" w:rsidDel="00EC30CC">
        <w:rPr>
          <w:rFonts w:hint="eastAsia"/>
        </w:rPr>
        <w:t xml:space="preserve"> </w:t>
      </w:r>
      <w:r>
        <w:t xml:space="preserve">(gamma) dollars for each dollar of expected company tax payable by the benchmark efficient entity. Given it is the tax paid by the benchmark efficient entity that gives rise to the imputation credits, </w:t>
      </w:r>
      <w:r w:rsidR="002C6AF7">
        <w:t xml:space="preserve">we consider that </w:t>
      </w:r>
      <w:r>
        <w:t>it is the (pre-personal tax) value of imputation credits to investors in the benchmark efficient entity that is relevant.</w:t>
      </w:r>
      <w:r w:rsidR="002C6AF7">
        <w:rPr>
          <w:rStyle w:val="FootnoteReference"/>
        </w:rPr>
        <w:footnoteReference w:id="164"/>
      </w:r>
    </w:p>
    <w:p w14:paraId="1942ED40" w14:textId="77777777" w:rsidR="00A3557D" w:rsidRDefault="00A3557D" w:rsidP="00A3557D">
      <w:pPr>
        <w:pStyle w:val="Heading8"/>
      </w:pPr>
      <w:bookmarkStart w:id="56" w:name="_Ref400965182"/>
      <w:bookmarkStart w:id="57" w:name="_Toc433449217"/>
      <w:r w:rsidRPr="00A3557D">
        <w:t>The</w:t>
      </w:r>
      <w:r>
        <w:t xml:space="preserve"> conceptual framework for the value of imputation credits</w:t>
      </w:r>
      <w:bookmarkEnd w:id="56"/>
      <w:bookmarkEnd w:id="57"/>
    </w:p>
    <w:p w14:paraId="37947F73" w14:textId="77777777" w:rsidR="00A3557D" w:rsidRDefault="00A3557D" w:rsidP="00A3557D">
      <w:pPr>
        <w:numPr>
          <w:ilvl w:val="0"/>
          <w:numId w:val="25"/>
        </w:numPr>
      </w:pPr>
      <w:r>
        <w:t xml:space="preserve">With regard to the discussion of the tax building block in section </w:t>
      </w:r>
      <w:r>
        <w:fldChar w:fldCharType="begin"/>
      </w:r>
      <w:r>
        <w:instrText xml:space="preserve"> REF _Ref400962032 \r \h </w:instrText>
      </w:r>
      <w:r>
        <w:fldChar w:fldCharType="separate"/>
      </w:r>
      <w:r w:rsidR="001E2164">
        <w:t>A.5.2</w:t>
      </w:r>
      <w:r>
        <w:fldChar w:fldCharType="end"/>
      </w:r>
      <w:r>
        <w:t xml:space="preserve">, we consider the 'value of imputation credits' to be the value of imputation credits to investors in the benchmark efficient entity. Moreover, as noted above, it is the pre-personal tax value of imputation credits to those investors that we seek to estimate. The </w:t>
      </w:r>
      <w:r w:rsidR="005C5BA5">
        <w:t>issue</w:t>
      </w:r>
      <w:r>
        <w:t xml:space="preserve"> is then how to interpret and estimate the value of imputation credits. Our approach to interpreting and estimating the value of imputation credits is guided in the first instance by the conceptual framework developed by Officer.</w:t>
      </w:r>
      <w:r>
        <w:rPr>
          <w:rStyle w:val="FootnoteReference"/>
        </w:rPr>
        <w:footnoteReference w:id="165"/>
      </w:r>
      <w:r>
        <w:t xml:space="preserve"> This is because:</w:t>
      </w:r>
    </w:p>
    <w:p w14:paraId="56EA3864" w14:textId="77777777" w:rsidR="00A3557D" w:rsidRPr="00A3557D" w:rsidRDefault="00A3557D" w:rsidP="00A3557D">
      <w:pPr>
        <w:pStyle w:val="AERbulletlistfirststyle"/>
      </w:pPr>
      <w:r>
        <w:t>The construction of the tax building block mirrors the treatment of imputation credits in the framework developed by Officer, including through use of the parameter denoted by the Greek letter 'gamma'.</w:t>
      </w:r>
      <w:r w:rsidRPr="00A3557D">
        <w:rPr>
          <w:rStyle w:val="FootnoteReference"/>
        </w:rPr>
        <w:footnoteReference w:id="166"/>
      </w:r>
    </w:p>
    <w:p w14:paraId="72823775" w14:textId="77777777" w:rsidR="00A3557D" w:rsidRPr="00A3557D" w:rsidRDefault="00A3557D" w:rsidP="00A3557D">
      <w:pPr>
        <w:pStyle w:val="AERbulletlistfirststyle"/>
      </w:pPr>
      <w:r>
        <w:t xml:space="preserve">Handley advised that Officer's definition of the nominal vanilla rate of return provides the basis for the rate of return framework in the </w:t>
      </w:r>
      <w:r w:rsidR="004569D9">
        <w:t>NER/NGR</w:t>
      </w:r>
      <w:r>
        <w:t>.</w:t>
      </w:r>
      <w:r w:rsidRPr="00A3557D">
        <w:rPr>
          <w:rStyle w:val="FootnoteReference"/>
        </w:rPr>
        <w:footnoteReference w:id="167"/>
      </w:r>
    </w:p>
    <w:p w14:paraId="08966943" w14:textId="77777777" w:rsidR="00A3557D" w:rsidRPr="00A3557D" w:rsidRDefault="00A3557D" w:rsidP="00A3557D">
      <w:pPr>
        <w:pStyle w:val="AERbulletlistfirststyle"/>
      </w:pPr>
      <w:r>
        <w:t xml:space="preserve">The </w:t>
      </w:r>
      <w:r w:rsidR="004569D9">
        <w:t>NER/NGR</w:t>
      </w:r>
      <w:r>
        <w:t xml:space="preserve"> </w:t>
      </w:r>
      <w:proofErr w:type="gramStart"/>
      <w:r>
        <w:t>require</w:t>
      </w:r>
      <w:proofErr w:type="gramEnd"/>
      <w:r>
        <w:t xml:space="preserve"> that we determine the rate of return </w:t>
      </w:r>
      <w:r w:rsidRPr="00A3557D">
        <w:t>on a nominal vanilla basis that is consistent with our estimate of the value of imputation credits.</w:t>
      </w:r>
      <w:r w:rsidRPr="00A3557D">
        <w:rPr>
          <w:rStyle w:val="FootnoteReference"/>
        </w:rPr>
        <w:footnoteReference w:id="168"/>
      </w:r>
    </w:p>
    <w:p w14:paraId="0D50D63B" w14:textId="77777777" w:rsidR="00A3557D" w:rsidRDefault="00A3557D" w:rsidP="00A3557D">
      <w:pPr>
        <w:numPr>
          <w:ilvl w:val="0"/>
          <w:numId w:val="25"/>
        </w:numPr>
      </w:pPr>
      <w:r>
        <w:t xml:space="preserve">Officer describes gamma in different ways, and this is a potential source of ambiguity regarding what the parameter represents and therefore how one might estimate it in practice. Whilst Handley acknowledged that Officer describes gamma in seemingly different </w:t>
      </w:r>
      <w:r>
        <w:lastRenderedPageBreak/>
        <w:t>ways, he advised that, when examined closely, there is no ambiguity in the meaning of Officer. Handley advised:</w:t>
      </w:r>
      <w:r>
        <w:rPr>
          <w:rStyle w:val="FootnoteReference"/>
        </w:rPr>
        <w:footnoteReference w:id="169"/>
      </w:r>
    </w:p>
    <w:p w14:paraId="71375352" w14:textId="77777777" w:rsidR="00A3557D" w:rsidRPr="00EB15F4" w:rsidRDefault="00A3557D" w:rsidP="00A3557D">
      <w:pPr>
        <w:pStyle w:val="AERquote"/>
      </w:pPr>
      <w:r w:rsidRPr="00EB15F4">
        <w:t>Similarly,</w:t>
      </w:r>
      <w:r>
        <w:t xml:space="preserve"> Officer has described gamma in </w:t>
      </w:r>
      <w:r w:rsidRPr="00EB15F4">
        <w:t>seemingly different ways. For example he refers to:</w:t>
      </w:r>
    </w:p>
    <w:p w14:paraId="72847256" w14:textId="77777777" w:rsidR="00A3557D" w:rsidRPr="00EB15F4" w:rsidRDefault="00A3557D" w:rsidP="00A3557D">
      <w:pPr>
        <w:pStyle w:val="AERquote"/>
        <w:rPr>
          <w:rStyle w:val="AERtextitalic"/>
        </w:rPr>
      </w:pPr>
      <w:r w:rsidRPr="00EB15F4">
        <w:rPr>
          <w:rStyle w:val="AERtextitalic"/>
        </w:rPr>
        <w:t>“A proportion (</w:t>
      </w:r>
      <w:r w:rsidRPr="00EB15F4">
        <w:rPr>
          <w:rStyle w:val="AERtextitalic"/>
          <w:rFonts w:hint="eastAsia"/>
        </w:rPr>
        <w:t>γ</w:t>
      </w:r>
      <w:r w:rsidRPr="00EB15F4">
        <w:rPr>
          <w:rStyle w:val="AERtextitalic"/>
        </w:rPr>
        <w:t>) of the tax collected from the company will be rebated against personal tax.”</w:t>
      </w:r>
    </w:p>
    <w:p w14:paraId="5E234FB1" w14:textId="77777777" w:rsidR="00A3557D" w:rsidRPr="00EB15F4" w:rsidRDefault="00A3557D" w:rsidP="00A3557D">
      <w:pPr>
        <w:pStyle w:val="AERquote"/>
      </w:pPr>
      <w:proofErr w:type="gramStart"/>
      <w:r w:rsidRPr="00EB15F4">
        <w:t>and</w:t>
      </w:r>
      <w:proofErr w:type="gramEnd"/>
      <w:r w:rsidRPr="00EB15F4">
        <w:t xml:space="preserve"> shortly thereafter:</w:t>
      </w:r>
    </w:p>
    <w:p w14:paraId="0BB51C49" w14:textId="77777777" w:rsidR="00A3557D" w:rsidRPr="00EB15F4" w:rsidRDefault="00A3557D" w:rsidP="00A3557D">
      <w:pPr>
        <w:pStyle w:val="AERquote"/>
        <w:rPr>
          <w:rStyle w:val="AERtextitalic"/>
        </w:rPr>
      </w:pPr>
      <w:r w:rsidRPr="00EB15F4">
        <w:rPr>
          <w:rStyle w:val="AERtextitalic"/>
          <w:rFonts w:hint="eastAsia"/>
        </w:rPr>
        <w:t>“</w:t>
      </w:r>
      <w:proofErr w:type="gramStart"/>
      <w:r w:rsidRPr="00EB15F4">
        <w:rPr>
          <w:rStyle w:val="AERtextitalic"/>
          <w:rFonts w:hint="eastAsia"/>
        </w:rPr>
        <w:t>γ</w:t>
      </w:r>
      <w:proofErr w:type="gramEnd"/>
      <w:r w:rsidRPr="00EB15F4">
        <w:rPr>
          <w:rStyle w:val="AERtextitalic"/>
        </w:rPr>
        <w:t xml:space="preserve"> can be interpreted as the value of a dollar of tax credit to the shareholder.” </w:t>
      </w:r>
    </w:p>
    <w:p w14:paraId="3E0ACDF9" w14:textId="77777777" w:rsidR="00A3557D" w:rsidRDefault="00A3557D" w:rsidP="00A3557D">
      <w:pPr>
        <w:pStyle w:val="AERquote"/>
      </w:pPr>
      <w:r w:rsidRPr="00EB15F4">
        <w:t>But again, there is no ambiguity. These terms can and</w:t>
      </w:r>
      <w:r>
        <w:t xml:space="preserve"> have been used interchangeably </w:t>
      </w:r>
      <w:r w:rsidRPr="00EB15F4">
        <w:t>because the underlying source of value of an imputation credit</w:t>
      </w:r>
      <w:r>
        <w:t xml:space="preserve"> to shareholders is the </w:t>
      </w:r>
      <w:r w:rsidRPr="00EB15F4">
        <w:t xml:space="preserve">consequent reduction in personal taxes in recognition of </w:t>
      </w:r>
      <w:r>
        <w:t xml:space="preserve">taxes that were previously paid </w:t>
      </w:r>
      <w:r w:rsidRPr="00EB15F4">
        <w:t>at the corporate level. In other words, within the Offi</w:t>
      </w:r>
      <w:r>
        <w:t xml:space="preserve">cer framework, it is clear that </w:t>
      </w:r>
      <w:r w:rsidRPr="00EB15F4">
        <w:t xml:space="preserve">gamma represents the utilisation or redemption value of </w:t>
      </w:r>
      <w:r>
        <w:t xml:space="preserve">imputation credits and this </w:t>
      </w:r>
      <w:r w:rsidRPr="00EB15F4">
        <w:t>value corresponds to the proportion of company tax whi</w:t>
      </w:r>
      <w:r>
        <w:t xml:space="preserve">ch is in effect a prepayment of </w:t>
      </w:r>
      <w:r w:rsidRPr="00EB15F4">
        <w:t>personal tax by the company on behalf of its shareholders</w:t>
      </w:r>
      <w:r>
        <w:t xml:space="preserve">. It is this identification of </w:t>
      </w:r>
      <w:r w:rsidRPr="00EB15F4">
        <w:t>the personal tax component of the company tax paid w</w:t>
      </w:r>
      <w:r>
        <w:t xml:space="preserve">hich is the central idea of the </w:t>
      </w:r>
      <w:r w:rsidRPr="00EB15F4">
        <w:t>paper.</w:t>
      </w:r>
    </w:p>
    <w:p w14:paraId="3F8C9ECD" w14:textId="77777777" w:rsidR="00A3557D" w:rsidRDefault="00A3557D" w:rsidP="00A3557D">
      <w:pPr>
        <w:numPr>
          <w:ilvl w:val="0"/>
          <w:numId w:val="25"/>
        </w:numPr>
      </w:pPr>
      <w:r>
        <w:t xml:space="preserve">In other words, gamma in the Officer framework represents the proportion of company tax that is returned to investors through the utilisation of imputation credits and this is the value of imputation credits to investors. This is the interpretation of the value of imputation credits we adopted in the Guideline and continue to adopt in this decision. </w:t>
      </w:r>
      <w:r w:rsidR="003B6A25">
        <w:t>T</w:t>
      </w:r>
      <w:r>
        <w:t xml:space="preserve">his interpretation is consistent with the Officer framework and is supported by advice from Handley. </w:t>
      </w:r>
    </w:p>
    <w:p w14:paraId="10B4F40B" w14:textId="77777777" w:rsidR="00A3557D" w:rsidRDefault="00A3557D" w:rsidP="00A3557D">
      <w:pPr>
        <w:numPr>
          <w:ilvl w:val="0"/>
          <w:numId w:val="25"/>
        </w:numPr>
      </w:pPr>
      <w:r>
        <w:t>The Officer framework assumes that all free cash flows (including imputation credits) are fully paid out each period. That is, the Officer framework is a 'perpetuity' framework. However, in reality not all imputation credits are necessarily paid out each period, nor are all other free cash flows necessarily paid out.</w:t>
      </w:r>
      <w:r>
        <w:rPr>
          <w:rStyle w:val="FootnoteReference"/>
        </w:rPr>
        <w:footnoteReference w:id="170"/>
      </w:r>
      <w:r>
        <w:t xml:space="preserve"> For example, it is typical for a company to retain some earnings from a previous year to fund part of its future investment, rather than pay out all earnings as dividends and fully </w:t>
      </w:r>
      <w:proofErr w:type="gramStart"/>
      <w:r>
        <w:t>raise</w:t>
      </w:r>
      <w:proofErr w:type="gramEnd"/>
      <w:r>
        <w:t xml:space="preserve"> the funding of future investment from external sources. Work by Monkhouse (and others) extends the Officer framework by allowing for less than a full payout of cash flows and imputation credits each period. Handley advised that Monkhouse effectively shows that:</w:t>
      </w:r>
      <w:r>
        <w:rPr>
          <w:rStyle w:val="FootnoteReference"/>
        </w:rPr>
        <w:footnoteReference w:id="171"/>
      </w:r>
    </w:p>
    <w:p w14:paraId="09030E1C" w14:textId="77777777" w:rsidR="00A3557D" w:rsidRDefault="00A3557D" w:rsidP="00A3557D">
      <w:pPr>
        <w:numPr>
          <w:ilvl w:val="0"/>
          <w:numId w:val="25"/>
        </w:numPr>
      </w:pPr>
      <m:oMath>
        <m:r>
          <w:rPr>
            <w:rFonts w:ascii="Cambria Math" w:hAnsi="Cambria Math"/>
          </w:rPr>
          <m:t>γ=Fθ+</m:t>
        </m:r>
        <m:d>
          <m:dPr>
            <m:ctrlPr>
              <w:rPr>
                <w:rFonts w:ascii="Cambria Math" w:hAnsi="Cambria Math"/>
              </w:rPr>
            </m:ctrlPr>
          </m:dPr>
          <m:e>
            <m:r>
              <w:rPr>
                <w:rFonts w:ascii="Cambria Math" w:hAnsi="Cambria Math"/>
              </w:rPr>
              <m:t>1-F</m:t>
            </m:r>
          </m:e>
        </m:d>
        <m:r>
          <w:rPr>
            <w:rFonts w:ascii="Cambria Math" w:hAnsi="Cambria Math"/>
          </w:rPr>
          <m:t>ψ</m:t>
        </m:r>
      </m:oMath>
    </w:p>
    <w:p w14:paraId="5540FFEB" w14:textId="77777777" w:rsidR="00A3557D" w:rsidRDefault="00A3557D" w:rsidP="00A3557D">
      <w:pPr>
        <w:numPr>
          <w:ilvl w:val="0"/>
          <w:numId w:val="25"/>
        </w:numPr>
      </w:pPr>
      <w:r>
        <w:t>where:</w:t>
      </w:r>
    </w:p>
    <w:p w14:paraId="39A6B99B" w14:textId="77777777" w:rsidR="00A3557D" w:rsidRPr="00A3557D" w:rsidRDefault="00A3557D" w:rsidP="00A3557D">
      <w:pPr>
        <w:pStyle w:val="AERbulletlistfirststyle"/>
      </w:pPr>
      <m:oMath>
        <m:r>
          <w:rPr>
            <w:rFonts w:ascii="Cambria Math" w:hAnsi="Cambria Math"/>
          </w:rPr>
          <w:lastRenderedPageBreak/>
          <m:t>F</m:t>
        </m:r>
      </m:oMath>
      <w:r w:rsidRPr="00A3557D">
        <w:t xml:space="preserve"> </w:t>
      </w:r>
      <w:proofErr w:type="gramStart"/>
      <w:r w:rsidRPr="00A3557D">
        <w:t>is</w:t>
      </w:r>
      <w:proofErr w:type="gramEnd"/>
      <w:r w:rsidRPr="00A3557D">
        <w:t xml:space="preserve"> the proportion of imputation credits generated that are distributed in a period (the 'distribution rate').</w:t>
      </w:r>
    </w:p>
    <w:p w14:paraId="4C2B43FA" w14:textId="77777777" w:rsidR="00A3557D" w:rsidRPr="00A3557D" w:rsidRDefault="00A3557D" w:rsidP="00A3557D">
      <w:pPr>
        <w:pStyle w:val="AERbulletlistfirststyle"/>
      </w:pPr>
      <m:oMath>
        <m:r>
          <w:rPr>
            <w:rFonts w:ascii="Cambria Math" w:hAnsi="Cambria Math"/>
          </w:rPr>
          <m:t>θ</m:t>
        </m:r>
      </m:oMath>
      <w:r w:rsidRPr="00A3557D">
        <w:t xml:space="preserve"> (</w:t>
      </w:r>
      <w:proofErr w:type="gramStart"/>
      <w:r w:rsidRPr="00A3557D">
        <w:t>theta</w:t>
      </w:r>
      <w:proofErr w:type="gramEnd"/>
      <w:r w:rsidRPr="00A3557D">
        <w:t>) is the utilisation value to investors in the market per dollar of imputation credits distributed (the 'utilisation rate').</w:t>
      </w:r>
    </w:p>
    <w:p w14:paraId="32DBB167" w14:textId="77777777" w:rsidR="00A3557D" w:rsidRPr="00A3557D" w:rsidRDefault="00A3557D" w:rsidP="00A3557D">
      <w:pPr>
        <w:pStyle w:val="AERbulletlistfirststyle"/>
      </w:pPr>
      <m:oMath>
        <m:r>
          <w:rPr>
            <w:rFonts w:ascii="Cambria Math" w:hAnsi="Cambria Math"/>
          </w:rPr>
          <m:t>ψ</m:t>
        </m:r>
      </m:oMath>
      <w:r w:rsidRPr="00A3557D" w:rsidDel="008647A1">
        <w:t xml:space="preserve"> </w:t>
      </w:r>
      <w:r w:rsidRPr="00A3557D">
        <w:t>(</w:t>
      </w:r>
      <w:proofErr w:type="gramStart"/>
      <w:r w:rsidRPr="00A3557D">
        <w:t>psi</w:t>
      </w:r>
      <w:proofErr w:type="gramEnd"/>
      <w:r w:rsidRPr="00A3557D">
        <w:t>) is the utilisation value of a retained credit to investors in the market.</w:t>
      </w:r>
    </w:p>
    <w:p w14:paraId="31317F41" w14:textId="77777777" w:rsidR="00A3557D" w:rsidRDefault="00A3557D" w:rsidP="00A3557D">
      <w:pPr>
        <w:numPr>
          <w:ilvl w:val="0"/>
          <w:numId w:val="25"/>
        </w:numPr>
      </w:pPr>
      <w:r>
        <w:t>Handley</w:t>
      </w:r>
      <w:r w:rsidR="00992DFE">
        <w:t xml:space="preserve"> also</w:t>
      </w:r>
      <w:r>
        <w:t xml:space="preserve"> advised that</w:t>
      </w:r>
      <w:r w:rsidR="00992DFE">
        <w:t xml:space="preserve"> in frameworks such as Monkhouse's the utilisation rate in equilibrium is equal to the weighted average, by wealth and risk aversion, of the individual utilisation rates of investors in the market</w:t>
      </w:r>
      <w:r>
        <w:t>:</w:t>
      </w:r>
      <w:r>
        <w:rPr>
          <w:rStyle w:val="FootnoteReference"/>
        </w:rPr>
        <w:footnoteReference w:id="172"/>
      </w:r>
    </w:p>
    <w:p w14:paraId="52EBBB5A" w14:textId="77777777" w:rsidR="00A3557D" w:rsidRDefault="00A3557D" w:rsidP="00A3557D">
      <w:pPr>
        <w:pStyle w:val="AERquote"/>
      </w:pPr>
      <w:r>
        <w:t>This interpretation of theta as a complex weighted average of investor utilisation rates is consistent with that appearing in Monkhouse (1993) and Lally and van Zijl (2003)…</w:t>
      </w:r>
    </w:p>
    <w:p w14:paraId="387F4443" w14:textId="77777777" w:rsidR="00A3557D" w:rsidRDefault="00A3557D" w:rsidP="00A3557D">
      <w:pPr>
        <w:numPr>
          <w:ilvl w:val="0"/>
          <w:numId w:val="25"/>
        </w:numPr>
      </w:pPr>
      <w:r>
        <w:t>This is also supported by Lally's remarks on the work of Lally and van Zijl:</w:t>
      </w:r>
      <w:r>
        <w:rPr>
          <w:rStyle w:val="FootnoteReference"/>
        </w:rPr>
        <w:footnoteReference w:id="173"/>
      </w:r>
    </w:p>
    <w:p w14:paraId="056A8CA5" w14:textId="77777777" w:rsidR="00A3557D" w:rsidRPr="00194D4D" w:rsidRDefault="00A3557D" w:rsidP="00A3557D">
      <w:pPr>
        <w:pStyle w:val="AERquote"/>
      </w:pPr>
      <w:r w:rsidRPr="00C17EEC">
        <w:t>Although Officer (1994) provides no clarification on this matter, because his derivation of the model is intuitive rather than formal, Lally and van Zijl (2003, section 3) provide a formal derivation of a generalisation of Officer’s model (with the Officer model being a special case), in which variation of utilisation rates across investors is recognised.  In t</w:t>
      </w:r>
      <w:r>
        <w:t>his derivation, they show that [the utilisation rate]</w:t>
      </w:r>
      <w:r w:rsidRPr="00C17EEC">
        <w:t xml:space="preserve"> is a complex weighted average over all investors holding risky assets, where the weights involve each investor’s investment in risky assets and their risk aversion.</w:t>
      </w:r>
    </w:p>
    <w:p w14:paraId="63A2424C" w14:textId="77777777" w:rsidR="00A3557D" w:rsidRDefault="00A3557D" w:rsidP="00157B48">
      <w:pPr>
        <w:numPr>
          <w:ilvl w:val="0"/>
          <w:numId w:val="25"/>
        </w:numPr>
      </w:pPr>
      <w:r>
        <w:t xml:space="preserve">Consistent with the advice we received from Lally, in the Guideline we recognised that the utilisation rate is equal to the weighted average, by wealth and risk aversion, of the individual utilisation rates of investors in the market. In the Guideline, we also defined the utilisation rate as the extent to which investors can use the imputation credits they receive to reduce their tax (or receive a refund). In this decision, consistent with Handley's advice, we </w:t>
      </w:r>
      <w:r w:rsidR="00E92D10">
        <w:t>consider</w:t>
      </w:r>
      <w:r>
        <w:t xml:space="preserve"> the utilisation rate </w:t>
      </w:r>
      <w:r w:rsidR="00E92D10">
        <w:t>is</w:t>
      </w:r>
      <w:r>
        <w:t xml:space="preserve"> the utilisation value to investors in the market per dollar of imputation credits distributed. However, we consider that </w:t>
      </w:r>
      <w:r w:rsidR="00E92D10">
        <w:t>our views</w:t>
      </w:r>
      <w:r>
        <w:t xml:space="preserve"> in the Guideline and in this decision are </w:t>
      </w:r>
      <w:r w:rsidR="00123C40">
        <w:t xml:space="preserve">broadly </w:t>
      </w:r>
      <w:r>
        <w:t>equivalent</w:t>
      </w:r>
      <w:r w:rsidR="003F1C59">
        <w:t>; that is, our definition of the utilisation rate in this final decision still reflects the extent to which investors in the market can use the imputation credits they receive</w:t>
      </w:r>
      <w:r w:rsidR="0006055D">
        <w:t>.</w:t>
      </w:r>
      <w:r>
        <w:t xml:space="preserve"> This is because, </w:t>
      </w:r>
      <w:r w:rsidR="00A94D97">
        <w:t xml:space="preserve">as discussed </w:t>
      </w:r>
      <w:r w:rsidR="007A6C22">
        <w:t xml:space="preserve">above and </w:t>
      </w:r>
      <w:r w:rsidR="00A94D97">
        <w:t xml:space="preserve">in sections </w:t>
      </w:r>
      <w:r w:rsidR="00A94D97">
        <w:fldChar w:fldCharType="begin"/>
      </w:r>
      <w:r w:rsidR="00A94D97">
        <w:instrText xml:space="preserve"> REF _Ref415144114 \r \h </w:instrText>
      </w:r>
      <w:r w:rsidR="00A94D97">
        <w:fldChar w:fldCharType="separate"/>
      </w:r>
      <w:r w:rsidR="001E2164">
        <w:t>A.5</w:t>
      </w:r>
      <w:r w:rsidR="00A94D97">
        <w:fldChar w:fldCharType="end"/>
      </w:r>
      <w:r w:rsidR="00A94D97">
        <w:t xml:space="preserve">, </w:t>
      </w:r>
      <w:r w:rsidR="00A94D97">
        <w:fldChar w:fldCharType="begin"/>
      </w:r>
      <w:r w:rsidR="00A94D97">
        <w:instrText xml:space="preserve"> REF _Ref414282622 \r \h </w:instrText>
      </w:r>
      <w:r w:rsidR="00A94D97">
        <w:fldChar w:fldCharType="separate"/>
      </w:r>
      <w:r w:rsidR="001E2164">
        <w:t>A.7</w:t>
      </w:r>
      <w:r w:rsidR="00A94D97">
        <w:fldChar w:fldCharType="end"/>
      </w:r>
      <w:r w:rsidR="00A94D97">
        <w:t xml:space="preserve"> and </w:t>
      </w:r>
      <w:r w:rsidR="00A94D97">
        <w:fldChar w:fldCharType="begin"/>
      </w:r>
      <w:r w:rsidR="00A94D97">
        <w:instrText xml:space="preserve"> REF _Ref401748758 \r \h </w:instrText>
      </w:r>
      <w:r w:rsidR="00A94D97">
        <w:fldChar w:fldCharType="separate"/>
      </w:r>
      <w:r w:rsidR="001E2164">
        <w:t>A.8.1</w:t>
      </w:r>
      <w:r w:rsidR="00A94D97">
        <w:fldChar w:fldCharType="end"/>
      </w:r>
      <w:r w:rsidR="00A94D97">
        <w:t xml:space="preserve">, </w:t>
      </w:r>
      <w:r>
        <w:t xml:space="preserve">to be consistent with the </w:t>
      </w:r>
      <w:r w:rsidR="007A6C22">
        <w:t xml:space="preserve">Officer framework (and therefore the </w:t>
      </w:r>
      <w:r>
        <w:t>building block framework</w:t>
      </w:r>
      <w:r w:rsidR="0028481C">
        <w:t xml:space="preserve"> in the NER</w:t>
      </w:r>
      <w:r w:rsidR="00157B48">
        <w:t>/NGR</w:t>
      </w:r>
      <w:r w:rsidR="007A6C22">
        <w:t>)</w:t>
      </w:r>
      <w:r>
        <w:t xml:space="preserve"> the utilisation rate should reflect the before-personal-tax and before-personal-costs value of imputation credits to investors. </w:t>
      </w:r>
      <w:r w:rsidR="0006055D">
        <w:t>On a before-personal-tax and before-personal-costs basis</w:t>
      </w:r>
      <w:r>
        <w:t xml:space="preserve">, an investor that is eligible to fully utilise imputation credits should value each dollar of imputation credits received at one dollar (that is, have a utilisation rate of 1). Therefore, the utilisation value to investors in the market will reflect the weighted average, by wealth and risk aversion, of the utilisation rates of investors—some of whom will have </w:t>
      </w:r>
      <w:proofErr w:type="gramStart"/>
      <w:r>
        <w:t>a</w:t>
      </w:r>
      <w:proofErr w:type="gramEnd"/>
      <w:r>
        <w:t xml:space="preserve"> </w:t>
      </w:r>
      <w:r>
        <w:lastRenderedPageBreak/>
        <w:t>utilisation rate of 1 and others who will have a utilisation rate of 0.</w:t>
      </w:r>
      <w:r>
        <w:rPr>
          <w:rStyle w:val="FootnoteReference"/>
        </w:rPr>
        <w:footnoteReference w:id="174"/>
      </w:r>
      <w:r>
        <w:t xml:space="preserve"> We discuss Handley's advice on this matter further in section </w:t>
      </w:r>
      <w:r>
        <w:fldChar w:fldCharType="begin"/>
      </w:r>
      <w:r>
        <w:instrText xml:space="preserve"> REF _Ref401748758 \r \h </w:instrText>
      </w:r>
      <w:r>
        <w:fldChar w:fldCharType="separate"/>
      </w:r>
      <w:r w:rsidR="001E2164">
        <w:t>A.8.1</w:t>
      </w:r>
      <w:r>
        <w:fldChar w:fldCharType="end"/>
      </w:r>
      <w:r>
        <w:t>.</w:t>
      </w:r>
    </w:p>
    <w:p w14:paraId="62D64BD4" w14:textId="77777777" w:rsidR="00A3557D" w:rsidRDefault="00BC2F08" w:rsidP="00BC2F08">
      <w:pPr>
        <w:numPr>
          <w:ilvl w:val="0"/>
          <w:numId w:val="25"/>
        </w:numPr>
      </w:pPr>
      <w:r>
        <w:t xml:space="preserve">Returning to the expression for </w:t>
      </w:r>
      <m:oMath>
        <m:r>
          <w:rPr>
            <w:rFonts w:ascii="Cambria Math" w:hAnsi="Cambria Math"/>
          </w:rPr>
          <m:t>γ</m:t>
        </m:r>
      </m:oMath>
      <w:r>
        <w:t xml:space="preserve"> above, w</w:t>
      </w:r>
      <w:r w:rsidR="00A3557D">
        <w:t xml:space="preserve">e </w:t>
      </w:r>
      <w:r w:rsidR="006B7D63">
        <w:t>have</w:t>
      </w:r>
      <w:r w:rsidR="00A3557D">
        <w:t xml:space="preserve"> not </w:t>
      </w:r>
      <w:r w:rsidR="006B7D63">
        <w:t xml:space="preserve">explicitly </w:t>
      </w:r>
      <w:r w:rsidR="00A3557D">
        <w:t>include</w:t>
      </w:r>
      <w:r w:rsidR="006B7D63">
        <w:t>d</w:t>
      </w:r>
      <w:r w:rsidR="00A3557D">
        <w:t xml:space="preserve"> the value of retained credits</w:t>
      </w:r>
      <w:proofErr w:type="gramStart"/>
      <w:r>
        <w:t>,</w:t>
      </w:r>
      <w:r w:rsidR="00A3557D">
        <w:t xml:space="preserve"> </w:t>
      </w:r>
      <w:proofErr w:type="gramEnd"/>
      <m:oMath>
        <m:r>
          <w:rPr>
            <w:rFonts w:ascii="Cambria Math" w:hAnsi="Cambria Math"/>
          </w:rPr>
          <m:t>ψ</m:t>
        </m:r>
      </m:oMath>
      <w:r>
        <w:t xml:space="preserve">, </w:t>
      </w:r>
      <w:r w:rsidR="00A3557D">
        <w:t xml:space="preserve">when determining the value of imputation credits. This is </w:t>
      </w:r>
      <w:r w:rsidR="0016706E">
        <w:t xml:space="preserve">mainly </w:t>
      </w:r>
      <w:r w:rsidR="00A3557D">
        <w:t>because we recognise that investors can only use imputation credits to reduce tax or receive a refund once the credits have been distributed.</w:t>
      </w:r>
      <w:r w:rsidR="0016706E">
        <w:t xml:space="preserve"> There is also the practical problem of how to quantify the value of retained credits.</w:t>
      </w:r>
      <w:r w:rsidR="00A3557D">
        <w:t xml:space="preserve"> </w:t>
      </w:r>
      <w:r w:rsidR="008061F1">
        <w:t>Handley acknowledged the potential for retained credits to have value, but also the difficulty in quantifying it:</w:t>
      </w:r>
      <w:r w:rsidR="008061F1">
        <w:rPr>
          <w:rStyle w:val="FootnoteReference"/>
        </w:rPr>
        <w:footnoteReference w:id="175"/>
      </w:r>
    </w:p>
    <w:p w14:paraId="5227E546" w14:textId="77777777" w:rsidR="009B01C0" w:rsidRDefault="009B01C0" w:rsidP="009B01C0">
      <w:pPr>
        <w:pStyle w:val="AERquote"/>
      </w:pPr>
      <w:r w:rsidRPr="009B01C0">
        <w:t>Retained imputation credits can be worth no less than</w:t>
      </w:r>
      <w:r>
        <w:t xml:space="preserve"> </w:t>
      </w:r>
      <w:r w:rsidRPr="009B01C0">
        <w:t>zero but may be worth more than zero. Estimates of gamma using the traditional</w:t>
      </w:r>
      <w:r>
        <w:t xml:space="preserve"> </w:t>
      </w:r>
      <w:r w:rsidRPr="009B01C0">
        <w:t>approach will therefore be downward biased to the extent that retained imputation</w:t>
      </w:r>
      <w:r>
        <w:t xml:space="preserve"> credits have value.</w:t>
      </w:r>
      <w:r w:rsidRPr="009B01C0">
        <w:t xml:space="preserve"> Although it is not possible to reasonably estimate the magnitude of</w:t>
      </w:r>
      <w:r>
        <w:t xml:space="preserve"> </w:t>
      </w:r>
      <w:r w:rsidRPr="009B01C0">
        <w:t>the bias, its direction is clear.</w:t>
      </w:r>
    </w:p>
    <w:p w14:paraId="5F937F6D" w14:textId="28FD6CD1" w:rsidR="00977EFF" w:rsidRPr="00547513" w:rsidRDefault="00FB3802" w:rsidP="00977EFF">
      <w:pPr>
        <w:pStyle w:val="Heading8"/>
      </w:pPr>
      <w:bookmarkStart w:id="58" w:name="_Ref414282622"/>
      <w:bookmarkStart w:id="59" w:name="_Toc433449218"/>
      <w:r>
        <w:t>Gray</w:t>
      </w:r>
      <w:r w:rsidR="007D4339">
        <w:t xml:space="preserve">'s </w:t>
      </w:r>
      <w:r w:rsidR="00977EFF">
        <w:t>comments on the conceptual framework</w:t>
      </w:r>
      <w:bookmarkEnd w:id="58"/>
      <w:r w:rsidR="007D4339">
        <w:rPr>
          <w:rStyle w:val="FootnoteReference"/>
        </w:rPr>
        <w:footnoteReference w:id="176"/>
      </w:r>
      <w:bookmarkEnd w:id="59"/>
    </w:p>
    <w:p w14:paraId="388C6000" w14:textId="1267BAF0" w:rsidR="00977EFF" w:rsidRDefault="00977EFF" w:rsidP="00977EFF">
      <w:pPr>
        <w:numPr>
          <w:ilvl w:val="0"/>
          <w:numId w:val="25"/>
        </w:numPr>
      </w:pPr>
      <w:r>
        <w:t>In the previous section, we set out our position on the appropriate conceptual framework for the estimation of the value of imputation credits. In this section, we respond to</w:t>
      </w:r>
      <w:r w:rsidR="00881A31">
        <w:t xml:space="preserve"> </w:t>
      </w:r>
      <w:r w:rsidR="001568FE">
        <w:t>Gray</w:t>
      </w:r>
      <w:r>
        <w:t xml:space="preserve">'s view. </w:t>
      </w:r>
      <w:r w:rsidR="001568FE">
        <w:t>Gray</w:t>
      </w:r>
      <w:r>
        <w:t xml:space="preserve">'s </w:t>
      </w:r>
      <w:r w:rsidR="00241DFB">
        <w:t>view</w:t>
      </w:r>
      <w:r>
        <w:t xml:space="preserve"> on the conceptual framework was largely adopted by the service providers in their proposals.</w:t>
      </w:r>
    </w:p>
    <w:p w14:paraId="7C4BACF3" w14:textId="2CAAA459" w:rsidR="00977EFF" w:rsidRDefault="001568FE" w:rsidP="00977EFF">
      <w:pPr>
        <w:numPr>
          <w:ilvl w:val="0"/>
          <w:numId w:val="25"/>
        </w:numPr>
      </w:pPr>
      <w:r>
        <w:t>Gray</w:t>
      </w:r>
      <w:r w:rsidR="00977EFF">
        <w:t xml:space="preserve">'s May 2014 report </w:t>
      </w:r>
      <w:r w:rsidR="00C82B86">
        <w:t xml:space="preserve">(for SFG) </w:t>
      </w:r>
      <w:r w:rsidR="00977EFF">
        <w:t xml:space="preserve">for the service providers </w:t>
      </w:r>
      <w:r w:rsidR="00241DFB">
        <w:t>submitted</w:t>
      </w:r>
      <w:r w:rsidR="00977EFF">
        <w:t xml:space="preserve"> that:</w:t>
      </w:r>
    </w:p>
    <w:p w14:paraId="7E36D505" w14:textId="77777777" w:rsidR="00977EFF" w:rsidRPr="00977EFF" w:rsidRDefault="00977EFF" w:rsidP="00977EFF">
      <w:pPr>
        <w:pStyle w:val="AERbulletlistfirststyle"/>
      </w:pPr>
      <w:r>
        <w:t xml:space="preserve">The advice and evidence cited in the </w:t>
      </w:r>
      <w:r w:rsidRPr="00977EFF">
        <w:t xml:space="preserve">Guideline does not support the interpretation of the utilisation rate in the Guideline. </w:t>
      </w:r>
    </w:p>
    <w:p w14:paraId="18970CA4" w14:textId="77777777" w:rsidR="00977EFF" w:rsidRPr="00977EFF" w:rsidRDefault="00977EFF" w:rsidP="00977EFF">
      <w:pPr>
        <w:pStyle w:val="AERbulletlistfirststyle"/>
      </w:pPr>
      <w:r w:rsidRPr="00E8774C">
        <w:t>Officer shows that the value of imputation credits</w:t>
      </w:r>
      <w:r w:rsidRPr="00977EFF">
        <w:t xml:space="preserve"> (gamma) represents the extent to which imputation credits are capitalised into the stock price.</w:t>
      </w:r>
    </w:p>
    <w:p w14:paraId="75CCB1BD" w14:textId="77777777" w:rsidR="00977EFF" w:rsidRPr="00977EFF" w:rsidRDefault="00977EFF" w:rsidP="00977EFF">
      <w:pPr>
        <w:pStyle w:val="AERbulletlistfirststyle"/>
      </w:pPr>
      <w:r>
        <w:t>The utilisation rate in the framework provided by Monkhouse (and Lally and van Zijl) should not be used to estimate the value of imputation credits.</w:t>
      </w:r>
    </w:p>
    <w:p w14:paraId="433CFB96" w14:textId="434AA5E8" w:rsidR="00977EFF" w:rsidRDefault="00776237" w:rsidP="00977EFF">
      <w:pPr>
        <w:numPr>
          <w:ilvl w:val="0"/>
          <w:numId w:val="25"/>
        </w:numPr>
      </w:pPr>
      <w:r>
        <w:t xml:space="preserve">The submissions from </w:t>
      </w:r>
      <w:r w:rsidR="00655F54">
        <w:t>Gray</w:t>
      </w:r>
      <w:r w:rsidR="000D7365">
        <w:t>, including comments in his February 2015 report (for SFG) and his June 2015 report (for Frontier),</w:t>
      </w:r>
      <w:r>
        <w:t xml:space="preserve"> do not change our view on the conceptual framework for the estimation of the value of imputation credits</w:t>
      </w:r>
      <w:r w:rsidR="00830471">
        <w:t>. We do not consider his work</w:t>
      </w:r>
      <w:r w:rsidR="00655F54">
        <w:t xml:space="preserve"> support</w:t>
      </w:r>
      <w:r w:rsidR="00830471">
        <w:t>s</w:t>
      </w:r>
      <w:r w:rsidR="00655F54">
        <w:t xml:space="preserve"> the </w:t>
      </w:r>
      <w:r w:rsidR="00830471">
        <w:t xml:space="preserve">position </w:t>
      </w:r>
      <w:r w:rsidR="00655F54">
        <w:t xml:space="preserve">that the AER's conceptual framework is </w:t>
      </w:r>
      <w:r w:rsidR="006806DF">
        <w:t xml:space="preserve">not </w:t>
      </w:r>
      <w:r w:rsidR="00655F54">
        <w:t>a</w:t>
      </w:r>
      <w:r w:rsidR="006806DF">
        <w:t xml:space="preserve">n appropriate </w:t>
      </w:r>
      <w:r w:rsidR="00655F54">
        <w:t xml:space="preserve">basis </w:t>
      </w:r>
      <w:r w:rsidR="006806DF">
        <w:t xml:space="preserve">on which </w:t>
      </w:r>
      <w:r w:rsidR="00655F54">
        <w:t>to estimate the value of imputation credits</w:t>
      </w:r>
      <w:r w:rsidR="00977EFF">
        <w:t>.</w:t>
      </w:r>
      <w:r w:rsidR="00655F54">
        <w:rPr>
          <w:rStyle w:val="FootnoteReference"/>
        </w:rPr>
        <w:footnoteReference w:id="177"/>
      </w:r>
      <w:r>
        <w:t xml:space="preserve"> We set out our reasoning below.</w:t>
      </w:r>
    </w:p>
    <w:p w14:paraId="158C825C" w14:textId="21CB95B7" w:rsidR="006178F5" w:rsidRDefault="00655F54" w:rsidP="00776237">
      <w:pPr>
        <w:pStyle w:val="Heading9"/>
      </w:pPr>
      <w:bookmarkStart w:id="60" w:name="_Ref402179374"/>
      <w:r>
        <w:lastRenderedPageBreak/>
        <w:t>Gray</w:t>
      </w:r>
      <w:r w:rsidR="006178F5">
        <w:t>'s comments on the AER's position</w:t>
      </w:r>
    </w:p>
    <w:p w14:paraId="4A71C73B" w14:textId="13BFD10D" w:rsidR="005A4862" w:rsidRDefault="001568FE" w:rsidP="00C2621C">
      <w:r>
        <w:t>Gray</w:t>
      </w:r>
      <w:r w:rsidR="006178F5">
        <w:t xml:space="preserve"> </w:t>
      </w:r>
      <w:r w:rsidR="00C82B86">
        <w:t xml:space="preserve">(for SFG) </w:t>
      </w:r>
      <w:r w:rsidR="006178F5">
        <w:t>submitted that '</w:t>
      </w:r>
      <w:r w:rsidR="00157B48">
        <w:t>…t</w:t>
      </w:r>
      <w:r w:rsidR="006178F5">
        <w:t>he AER's position is that theta (and consequently gamma) no longer represents the value (as in "worth" or "market value to investors</w:t>
      </w:r>
      <w:r w:rsidR="00764017">
        <w:t>"</w:t>
      </w:r>
      <w:r w:rsidR="006178F5">
        <w:t>)</w:t>
      </w:r>
      <w:r w:rsidR="00755206">
        <w:t>…</w:t>
      </w:r>
      <w:proofErr w:type="gramStart"/>
      <w:r w:rsidR="006178F5">
        <w:t>'.</w:t>
      </w:r>
      <w:proofErr w:type="gramEnd"/>
      <w:r w:rsidR="006178F5">
        <w:rPr>
          <w:rStyle w:val="FootnoteReference"/>
        </w:rPr>
        <w:footnoteReference w:id="178"/>
      </w:r>
      <w:r w:rsidR="006178F5">
        <w:t xml:space="preserve"> This is incorrect. Our definition of the utilisation rate in this final decision and</w:t>
      </w:r>
      <w:r w:rsidR="00207CDF">
        <w:t xml:space="preserve"> </w:t>
      </w:r>
      <w:r w:rsidR="00615E45">
        <w:t xml:space="preserve">our </w:t>
      </w:r>
      <w:r w:rsidR="002C1CFB">
        <w:t>prior decisions</w:t>
      </w:r>
      <w:r w:rsidR="00755206">
        <w:t xml:space="preserve"> </w:t>
      </w:r>
      <w:r w:rsidR="00615E45">
        <w:t xml:space="preserve">released in 2014 and 2015 (our prior decisions) </w:t>
      </w:r>
      <w:r w:rsidR="00755206">
        <w:t>is the utilisation value to investors in the market per dollar of imputation credits distributed.</w:t>
      </w:r>
      <w:r w:rsidR="005A4862">
        <w:t xml:space="preserve"> Thus</w:t>
      </w:r>
      <w:r w:rsidR="00203B96">
        <w:t>,</w:t>
      </w:r>
      <w:r w:rsidR="005A4862">
        <w:t xml:space="preserve"> we do consider that the utilisation rate represents the value to investors</w:t>
      </w:r>
      <w:r w:rsidR="00203B96">
        <w:t xml:space="preserve"> in the market</w:t>
      </w:r>
      <w:r w:rsidR="005A4862">
        <w:t xml:space="preserve">. However, the key difference between our position and </w:t>
      </w:r>
      <w:r w:rsidR="00655F54">
        <w:t>Gray</w:t>
      </w:r>
      <w:r w:rsidR="005A4862">
        <w:t xml:space="preserve">'s is we consider that, to be consistent with the underlying conceptual framework provided by Officer, we need to estimate the before-personal-tax and before-personal-cost value. This is discussed further in section </w:t>
      </w:r>
      <w:r w:rsidR="005A4862">
        <w:fldChar w:fldCharType="begin"/>
      </w:r>
      <w:r w:rsidR="005A4862">
        <w:instrText xml:space="preserve"> REF _Ref414028398 \r \h </w:instrText>
      </w:r>
      <w:r w:rsidR="005A4862">
        <w:fldChar w:fldCharType="separate"/>
      </w:r>
      <w:r w:rsidR="001E2164">
        <w:t>A.7.3</w:t>
      </w:r>
      <w:r w:rsidR="005A4862">
        <w:fldChar w:fldCharType="end"/>
      </w:r>
      <w:r w:rsidR="005A4862">
        <w:t>.</w:t>
      </w:r>
    </w:p>
    <w:p w14:paraId="09F50B0A" w14:textId="2B460415" w:rsidR="006178F5" w:rsidRDefault="00655F54" w:rsidP="00C2621C">
      <w:r>
        <w:t>Gray</w:t>
      </w:r>
      <w:r w:rsidR="00207CDF">
        <w:t xml:space="preserve"> also submitted that '[t]he AER then estimates the redemption rate, which it interprets as being consistent with the specific reference to "value" in the Rules in that it is "the number that is adopted" for imputation credits</w:t>
      </w:r>
      <w:r w:rsidR="00611E02">
        <w:t>'</w:t>
      </w:r>
      <w:r w:rsidR="00207CDF">
        <w:t>.</w:t>
      </w:r>
      <w:r w:rsidR="00F97A9B">
        <w:rPr>
          <w:rStyle w:val="FootnoteReference"/>
        </w:rPr>
        <w:footnoteReference w:id="179"/>
      </w:r>
      <w:r w:rsidR="00207CDF">
        <w:t xml:space="preserve"> This is also incorrect. In this final decision and </w:t>
      </w:r>
      <w:r w:rsidR="00615E45">
        <w:t>our prior</w:t>
      </w:r>
      <w:r w:rsidR="00207CDF">
        <w:t xml:space="preserve"> decision</w:t>
      </w:r>
      <w:r w:rsidR="00895E9C">
        <w:t>s</w:t>
      </w:r>
      <w:r w:rsidR="00207CDF">
        <w:t xml:space="preserve"> we estimate the utilisation rate. </w:t>
      </w:r>
      <w:r w:rsidR="00F97A9B">
        <w:t>Further</w:t>
      </w:r>
      <w:r w:rsidR="00207CDF">
        <w:t xml:space="preserve">, </w:t>
      </w:r>
      <w:r w:rsidR="00EE4E88">
        <w:t>nowhere</w:t>
      </w:r>
      <w:r w:rsidR="00207CDF">
        <w:t xml:space="preserve"> in this final decision or </w:t>
      </w:r>
      <w:r w:rsidR="00C600C4">
        <w:t>in our prior</w:t>
      </w:r>
      <w:r w:rsidR="00207CDF">
        <w:t xml:space="preserve"> decision</w:t>
      </w:r>
      <w:r w:rsidR="00895E9C">
        <w:t>s</w:t>
      </w:r>
      <w:r w:rsidR="00EE4E88">
        <w:t xml:space="preserve"> do we seek to support any aspect of our position with 'specific reference to "value" in the Rules in that it is "the number that is adopted" for imputation credits'.</w:t>
      </w:r>
    </w:p>
    <w:p w14:paraId="18B521A1" w14:textId="381768E7" w:rsidR="00207CDF" w:rsidRDefault="00207CDF" w:rsidP="00C2621C">
      <w:r>
        <w:t xml:space="preserve">We also disagree with </w:t>
      </w:r>
      <w:r w:rsidR="00655F54">
        <w:t>Gray</w:t>
      </w:r>
      <w:r>
        <w:t>'s view that</w:t>
      </w:r>
      <w:r w:rsidR="00F97A9B">
        <w:t>:</w:t>
      </w:r>
      <w:r w:rsidR="00F97A9B">
        <w:rPr>
          <w:rStyle w:val="FootnoteReference"/>
        </w:rPr>
        <w:footnoteReference w:id="180"/>
      </w:r>
    </w:p>
    <w:p w14:paraId="77D7CA4B" w14:textId="77777777" w:rsidR="00F97A9B" w:rsidRDefault="00F97A9B" w:rsidP="00C2621C">
      <w:pPr>
        <w:pStyle w:val="AERquote"/>
      </w:pPr>
      <w:r>
        <w:t>The AER is not saying that it has identified a number of approaches for estimating the value (as in "worth to investors in the market") of imputation credits. Rather, the AER considers:</w:t>
      </w:r>
    </w:p>
    <w:p w14:paraId="2C7890EA" w14:textId="77777777" w:rsidR="00F97A9B" w:rsidRDefault="00F97A9B" w:rsidP="00C2621C">
      <w:pPr>
        <w:pStyle w:val="AERquote"/>
      </w:pPr>
      <w:r>
        <w:t xml:space="preserve">a) Some approaches for estimating the value (as in "worth to investors in the market") of imputation credits </w:t>
      </w:r>
      <w:r>
        <w:rPr>
          <w:rFonts w:cs="Arial"/>
        </w:rPr>
        <w:t>–</w:t>
      </w:r>
      <w:r>
        <w:t xml:space="preserve"> the market value studies; and</w:t>
      </w:r>
    </w:p>
    <w:p w14:paraId="285C299D" w14:textId="77777777" w:rsidR="00F97A9B" w:rsidRDefault="00F97A9B" w:rsidP="00C2621C">
      <w:pPr>
        <w:pStyle w:val="AERquote"/>
      </w:pPr>
      <w:r>
        <w:t xml:space="preserve">b) Some approaches for estimating the redemption rate </w:t>
      </w:r>
      <w:r w:rsidRPr="00F97A9B">
        <w:t>–</w:t>
      </w:r>
      <w:r>
        <w:t xml:space="preserve"> the equity ownership and ATO tax statistic approaches.</w:t>
      </w:r>
    </w:p>
    <w:p w14:paraId="72B5463F" w14:textId="77777777" w:rsidR="005A4862" w:rsidRPr="003160FF" w:rsidRDefault="005A4862" w:rsidP="00C2621C">
      <w:r>
        <w:t>By contrast, the approaches on which</w:t>
      </w:r>
      <w:r w:rsidR="00192A3E">
        <w:t xml:space="preserve"> we</w:t>
      </w:r>
      <w:r>
        <w:t xml:space="preserve"> rely in this decision </w:t>
      </w:r>
      <w:r w:rsidR="00192A3E">
        <w:t xml:space="preserve">to estimate the utilisation rate </w:t>
      </w:r>
      <w:r>
        <w:t xml:space="preserve">are all relevant </w:t>
      </w:r>
      <w:r w:rsidR="00192A3E">
        <w:t xml:space="preserve">for the reasons discussed in section </w:t>
      </w:r>
      <w:r w:rsidR="00192A3E">
        <w:fldChar w:fldCharType="begin"/>
      </w:r>
      <w:r w:rsidR="00192A3E">
        <w:instrText xml:space="preserve"> REF _Ref414289593 \r \h </w:instrText>
      </w:r>
      <w:r w:rsidR="00192A3E">
        <w:fldChar w:fldCharType="separate"/>
      </w:r>
      <w:r w:rsidR="001E2164">
        <w:t>4.4.2</w:t>
      </w:r>
      <w:r w:rsidR="00192A3E">
        <w:fldChar w:fldCharType="end"/>
      </w:r>
      <w:r w:rsidR="00192A3E">
        <w:t xml:space="preserve"> of attachment 4</w:t>
      </w:r>
      <w:r>
        <w:t>.</w:t>
      </w:r>
    </w:p>
    <w:p w14:paraId="2F54D367" w14:textId="40C3A87A" w:rsidR="00776237" w:rsidRDefault="000D7365" w:rsidP="00776237">
      <w:pPr>
        <w:pStyle w:val="Heading9"/>
      </w:pPr>
      <w:r>
        <w:t>Gray</w:t>
      </w:r>
      <w:r w:rsidR="00776237">
        <w:t xml:space="preserve">'s comments on </w:t>
      </w:r>
      <w:r w:rsidR="004A2B49">
        <w:t>certain</w:t>
      </w:r>
      <w:r w:rsidR="00776237">
        <w:t xml:space="preserve"> evidence and advice cited in the Guideline</w:t>
      </w:r>
      <w:bookmarkEnd w:id="60"/>
    </w:p>
    <w:p w14:paraId="643EDB46" w14:textId="2D233879" w:rsidR="00776237" w:rsidRDefault="00776237" w:rsidP="00776237">
      <w:pPr>
        <w:numPr>
          <w:ilvl w:val="0"/>
          <w:numId w:val="25"/>
        </w:numPr>
      </w:pPr>
      <w:r>
        <w:t xml:space="preserve">In </w:t>
      </w:r>
      <w:r w:rsidR="000D7365">
        <w:t>his</w:t>
      </w:r>
      <w:r>
        <w:t xml:space="preserve"> May 2014 report, </w:t>
      </w:r>
      <w:r w:rsidR="000D7365">
        <w:t xml:space="preserve">Gray (for </w:t>
      </w:r>
      <w:r>
        <w:t>SFG</w:t>
      </w:r>
      <w:r w:rsidR="000D7365">
        <w:t>)</w:t>
      </w:r>
      <w:r>
        <w:t xml:space="preserve"> set out why it considered that certain evidence cited in the Guideline did not support the position in the Guideline.</w:t>
      </w:r>
      <w:r>
        <w:rPr>
          <w:rStyle w:val="FootnoteReference"/>
        </w:rPr>
        <w:footnoteReference w:id="181"/>
      </w:r>
      <w:r>
        <w:t xml:space="preserve"> This evidence included:</w:t>
      </w:r>
    </w:p>
    <w:p w14:paraId="5A6F09DC" w14:textId="77777777" w:rsidR="00776237" w:rsidRDefault="00776237" w:rsidP="00776237">
      <w:pPr>
        <w:pStyle w:val="AERbulletlistfirststyle"/>
      </w:pPr>
      <w:r>
        <w:t>The AEMC's 2012 rule change</w:t>
      </w:r>
    </w:p>
    <w:p w14:paraId="70DA194E" w14:textId="77777777" w:rsidR="00776237" w:rsidRDefault="00776237" w:rsidP="00776237">
      <w:pPr>
        <w:pStyle w:val="AERbulletlistfirststyle"/>
      </w:pPr>
      <w:r>
        <w:t>McKenzie and Parting</w:t>
      </w:r>
      <w:r w:rsidR="00992993">
        <w:t>t</w:t>
      </w:r>
      <w:r>
        <w:t>on (2013)</w:t>
      </w:r>
    </w:p>
    <w:p w14:paraId="7A09C41D" w14:textId="77777777" w:rsidR="00776237" w:rsidRDefault="00776237" w:rsidP="00776237">
      <w:pPr>
        <w:pStyle w:val="AERbulletlistfirststyle"/>
      </w:pPr>
      <w:r>
        <w:lastRenderedPageBreak/>
        <w:t>Handley (2008)</w:t>
      </w:r>
      <w:r w:rsidR="004A2B49">
        <w:t>, and</w:t>
      </w:r>
    </w:p>
    <w:p w14:paraId="63B57343" w14:textId="77777777" w:rsidR="00776237" w:rsidRDefault="00776237" w:rsidP="00776237">
      <w:pPr>
        <w:pStyle w:val="AERbulletlistfirststyle"/>
      </w:pPr>
      <w:r>
        <w:t>Hathaway and Officer (2004)</w:t>
      </w:r>
      <w:r w:rsidR="004A2B49">
        <w:t>.</w:t>
      </w:r>
    </w:p>
    <w:p w14:paraId="4313AC61" w14:textId="0E4BD3C1" w:rsidR="00776237" w:rsidRDefault="004A2B49" w:rsidP="00776237">
      <w:pPr>
        <w:numPr>
          <w:ilvl w:val="0"/>
          <w:numId w:val="25"/>
        </w:numPr>
      </w:pPr>
      <w:r>
        <w:t>In our decision</w:t>
      </w:r>
      <w:r w:rsidR="00895E9C">
        <w:t>s</w:t>
      </w:r>
      <w:r w:rsidR="00DC15A2">
        <w:t xml:space="preserve"> released in 2014</w:t>
      </w:r>
      <w:r>
        <w:t xml:space="preserve">, we set out why we disagreed with </w:t>
      </w:r>
      <w:r w:rsidR="000D7365">
        <w:t>Gray</w:t>
      </w:r>
      <w:r>
        <w:t>'s view on each piece of evidence.</w:t>
      </w:r>
      <w:r>
        <w:rPr>
          <w:rStyle w:val="FootnoteReference"/>
        </w:rPr>
        <w:footnoteReference w:id="182"/>
      </w:r>
      <w:r w:rsidR="00232176">
        <w:t xml:space="preserve"> </w:t>
      </w:r>
      <w:r w:rsidR="00FD2399">
        <w:t xml:space="preserve">In </w:t>
      </w:r>
      <w:r w:rsidR="00A62897">
        <w:t>his</w:t>
      </w:r>
      <w:r w:rsidR="00FD2399">
        <w:t xml:space="preserve"> February 2015</w:t>
      </w:r>
      <w:r w:rsidR="00AE5BF4">
        <w:t xml:space="preserve"> report</w:t>
      </w:r>
      <w:r w:rsidR="00A62897">
        <w:t xml:space="preserve"> (for SFG)</w:t>
      </w:r>
      <w:r w:rsidR="00FD2399">
        <w:t xml:space="preserve">, </w:t>
      </w:r>
      <w:r w:rsidR="00A62897">
        <w:t>Gray</w:t>
      </w:r>
      <w:r w:rsidR="00FD2399">
        <w:t xml:space="preserve"> set out why </w:t>
      </w:r>
      <w:r w:rsidR="00A62897">
        <w:t>his</w:t>
      </w:r>
      <w:r w:rsidR="00FD2399">
        <w:t xml:space="preserve"> view on this evidence has not changed.</w:t>
      </w:r>
      <w:r w:rsidR="00FD2399">
        <w:rPr>
          <w:rStyle w:val="FootnoteReference"/>
        </w:rPr>
        <w:footnoteReference w:id="183"/>
      </w:r>
      <w:r w:rsidR="00FD2399">
        <w:t xml:space="preserve"> </w:t>
      </w:r>
      <w:r w:rsidR="000D7365">
        <w:t>Gray</w:t>
      </w:r>
      <w:r w:rsidR="00FD2399">
        <w:t xml:space="preserve">'s February 2015 report </w:t>
      </w:r>
      <w:r w:rsidR="000D7365">
        <w:t>(for SFG)</w:t>
      </w:r>
      <w:r w:rsidR="00A62897">
        <w:t xml:space="preserve"> and June 2015 report (for Frontier)</w:t>
      </w:r>
      <w:r w:rsidR="000D7365">
        <w:t xml:space="preserve"> </w:t>
      </w:r>
      <w:r w:rsidR="00FD2399">
        <w:t>does not change our view</w:t>
      </w:r>
      <w:r w:rsidR="00AE5BF4">
        <w:t xml:space="preserve"> as set out in </w:t>
      </w:r>
      <w:r w:rsidR="00DC15A2">
        <w:t>our</w:t>
      </w:r>
      <w:r w:rsidR="00AE5BF4">
        <w:t xml:space="preserve"> </w:t>
      </w:r>
      <w:r w:rsidR="00DC15A2">
        <w:t>earlier</w:t>
      </w:r>
      <w:r w:rsidR="00AE5BF4">
        <w:t xml:space="preserve"> decision</w:t>
      </w:r>
      <w:r w:rsidR="00895E9C">
        <w:t>s</w:t>
      </w:r>
      <w:r w:rsidR="00FD2399">
        <w:t xml:space="preserve">. </w:t>
      </w:r>
      <w:r w:rsidR="00241DFB">
        <w:t>It seems</w:t>
      </w:r>
      <w:r w:rsidR="00FD2399">
        <w:t xml:space="preserve"> that the disagreement between </w:t>
      </w:r>
      <w:r w:rsidR="00BE4EF1">
        <w:t>us</w:t>
      </w:r>
      <w:r w:rsidR="00FD2399">
        <w:t xml:space="preserve"> and </w:t>
      </w:r>
      <w:r w:rsidR="000D7365">
        <w:t>Gray</w:t>
      </w:r>
      <w:r w:rsidR="00FD2399">
        <w:t xml:space="preserve"> regarding this evidence is unli</w:t>
      </w:r>
      <w:r w:rsidR="00BA3CD6">
        <w:t>kely to be resolved</w:t>
      </w:r>
      <w:r w:rsidR="00FD2399">
        <w:t>.</w:t>
      </w:r>
      <w:r w:rsidR="00FB3802">
        <w:t xml:space="preserve"> </w:t>
      </w:r>
    </w:p>
    <w:p w14:paraId="64C8D350" w14:textId="0E074E16" w:rsidR="00FD2399" w:rsidRDefault="00452573" w:rsidP="00082AC5">
      <w:pPr>
        <w:pStyle w:val="Heading9"/>
      </w:pPr>
      <w:bookmarkStart w:id="61" w:name="_Ref414028398"/>
      <w:r>
        <w:t>Gray</w:t>
      </w:r>
      <w:r w:rsidR="00082AC5">
        <w:t>'s comments on Offi</w:t>
      </w:r>
      <w:r w:rsidR="00F650D2">
        <w:t>cer (1994)</w:t>
      </w:r>
      <w:bookmarkEnd w:id="61"/>
      <w:r w:rsidR="00F650D2">
        <w:t xml:space="preserve"> </w:t>
      </w:r>
    </w:p>
    <w:p w14:paraId="075F883F" w14:textId="227E9B0A" w:rsidR="00F650D2" w:rsidRDefault="00452573" w:rsidP="00F650D2">
      <w:r>
        <w:t>Gray</w:t>
      </w:r>
      <w:r w:rsidR="00F650D2">
        <w:t xml:space="preserve"> set out </w:t>
      </w:r>
      <w:r>
        <w:t>his</w:t>
      </w:r>
      <w:r w:rsidR="00F650D2">
        <w:t xml:space="preserve"> views on Officer's 1994 paper in </w:t>
      </w:r>
      <w:r>
        <w:t>his</w:t>
      </w:r>
      <w:r w:rsidR="00F650D2">
        <w:t xml:space="preserve"> May 2014 and February 2015 reports</w:t>
      </w:r>
      <w:r>
        <w:t xml:space="preserve"> for </w:t>
      </w:r>
      <w:proofErr w:type="gramStart"/>
      <w:r>
        <w:t>SFG,</w:t>
      </w:r>
      <w:proofErr w:type="gramEnd"/>
      <w:r>
        <w:t xml:space="preserve"> and </w:t>
      </w:r>
      <w:r w:rsidR="00830471">
        <w:t xml:space="preserve">in </w:t>
      </w:r>
      <w:r>
        <w:t>his June 2015 report for Frontier</w:t>
      </w:r>
      <w:r w:rsidR="00F650D2">
        <w:t>. These views do not change our own view, consistent with the advice of Handley, that the value of imputation credits should be estimated on a before-personal-tax and before-persona</w:t>
      </w:r>
      <w:r>
        <w:t>l-costs basis. We respond to Gray</w:t>
      </w:r>
      <w:r w:rsidR="00F650D2">
        <w:t>'s comments on Officer below.</w:t>
      </w:r>
    </w:p>
    <w:p w14:paraId="76FA86BD" w14:textId="77777777" w:rsidR="00082AC5" w:rsidRDefault="005265FB" w:rsidP="005265FB">
      <w:pPr>
        <w:pStyle w:val="HeadingBoldBlue"/>
      </w:pPr>
      <w:r>
        <w:t>The text in Officer (1994)</w:t>
      </w:r>
    </w:p>
    <w:p w14:paraId="04100729" w14:textId="185FD1D0" w:rsidR="005265FB" w:rsidRDefault="00452573" w:rsidP="005265FB">
      <w:r>
        <w:t>Gray</w:t>
      </w:r>
      <w:r w:rsidR="005265FB">
        <w:t xml:space="preserve"> </w:t>
      </w:r>
      <w:r w:rsidR="005B201F">
        <w:t xml:space="preserve">(for SFG) </w:t>
      </w:r>
      <w:r w:rsidR="005265FB">
        <w:t>submitted that</w:t>
      </w:r>
      <w:r w:rsidR="00F650D2">
        <w:t xml:space="preserve"> Officer's paper suggests that</w:t>
      </w:r>
      <w:r w:rsidR="005265FB">
        <w:t xml:space="preserve"> there are two possible interpretations of gamma:</w:t>
      </w:r>
      <w:r w:rsidR="005265FB">
        <w:rPr>
          <w:rStyle w:val="FootnoteReference"/>
        </w:rPr>
        <w:footnoteReference w:id="184"/>
      </w:r>
    </w:p>
    <w:p w14:paraId="75EF652A" w14:textId="77777777" w:rsidR="005265FB" w:rsidRDefault="00062777" w:rsidP="00062777">
      <w:pPr>
        <w:pStyle w:val="AERquote"/>
      </w:pPr>
      <w:r>
        <w:t xml:space="preserve">(a) Officer means gamma to have a </w:t>
      </w:r>
      <w:r w:rsidRPr="00062777">
        <w:rPr>
          <w:rStyle w:val="AERtextitalic"/>
        </w:rPr>
        <w:t>value</w:t>
      </w:r>
      <w:r>
        <w:t xml:space="preserve"> interpretation and that words suggesting a </w:t>
      </w:r>
      <w:r w:rsidRPr="00062777">
        <w:rPr>
          <w:rStyle w:val="AERtextitalic"/>
        </w:rPr>
        <w:t>utilisation</w:t>
      </w:r>
      <w:r>
        <w:t xml:space="preserve"> interpretation were poorly drafted (i.e., the reference to utilisation should be read as simply identifying the source of value); or</w:t>
      </w:r>
    </w:p>
    <w:p w14:paraId="7C090214" w14:textId="77777777" w:rsidR="00062777" w:rsidRDefault="00062777" w:rsidP="00062777">
      <w:pPr>
        <w:pStyle w:val="AERquote"/>
      </w:pPr>
      <w:r>
        <w:t xml:space="preserve">(b) Officer means gamma to have </w:t>
      </w:r>
      <w:proofErr w:type="gramStart"/>
      <w:r>
        <w:t>a</w:t>
      </w:r>
      <w:proofErr w:type="gramEnd"/>
      <w:r>
        <w:t xml:space="preserve"> </w:t>
      </w:r>
      <w:r w:rsidRPr="00062777">
        <w:rPr>
          <w:rStyle w:val="AERtextitalic"/>
        </w:rPr>
        <w:t>utilisation</w:t>
      </w:r>
      <w:r>
        <w:t xml:space="preserve"> interpretation and that words suggesting a </w:t>
      </w:r>
      <w:r w:rsidRPr="00062777">
        <w:rPr>
          <w:rStyle w:val="AERtextitalic"/>
        </w:rPr>
        <w:t>value</w:t>
      </w:r>
      <w:r>
        <w:t xml:space="preserve"> interpretation were poorly drafted (i.e., the reference to value should be read as "the number used for" rather than "worth.</w:t>
      </w:r>
    </w:p>
    <w:p w14:paraId="00A1A2FE" w14:textId="77777777" w:rsidR="00062777" w:rsidRPr="00062777" w:rsidRDefault="00062777" w:rsidP="00062777">
      <w:pPr>
        <w:pStyle w:val="AERquote"/>
      </w:pPr>
      <w:r>
        <w:t>I concluded that the value interpretation was plausible and the utilisation/redemption interpretation was not, and set out my reasons for doing so. Nothing in the AER's recent draft decisions lead me to change my conclusion on this point.</w:t>
      </w:r>
    </w:p>
    <w:p w14:paraId="53F6A923" w14:textId="4E9F9A24" w:rsidR="00615CE6" w:rsidRDefault="007D27DC" w:rsidP="00055B09">
      <w:r>
        <w:t>We do not agree with Gray</w:t>
      </w:r>
      <w:r w:rsidR="004A56A1">
        <w:t xml:space="preserve">'s </w:t>
      </w:r>
      <w:r w:rsidR="00241DFB">
        <w:t>opinion</w:t>
      </w:r>
      <w:r w:rsidR="004A56A1">
        <w:t>. As explained by Handley in his September 2014 report</w:t>
      </w:r>
      <w:r w:rsidR="008201BC">
        <w:t>,</w:t>
      </w:r>
      <w:r w:rsidR="004A56A1">
        <w:t xml:space="preserve"> interpretation of gamma on a before-personal-tax and before-personal-costs basis reconciles this apparent inconsistency in Offic</w:t>
      </w:r>
      <w:r w:rsidR="00C7355B">
        <w:t>er</w:t>
      </w:r>
      <w:r w:rsidR="008C744F">
        <w:t>;</w:t>
      </w:r>
      <w:r w:rsidR="008201BC">
        <w:rPr>
          <w:rStyle w:val="FootnoteReference"/>
        </w:rPr>
        <w:footnoteReference w:id="185"/>
      </w:r>
      <w:r w:rsidR="008C744F">
        <w:t xml:space="preserve"> that is, </w:t>
      </w:r>
      <w:r w:rsidR="00146FCD">
        <w:t xml:space="preserve">on this basis </w:t>
      </w:r>
      <w:r w:rsidR="008C744F">
        <w:t>the 'value' and 'utilisation' interpretations are consistent.</w:t>
      </w:r>
      <w:r w:rsidR="008201BC">
        <w:t xml:space="preserve"> Handley reiterates this in his </w:t>
      </w:r>
      <w:r w:rsidR="003E38A3">
        <w:t>April</w:t>
      </w:r>
      <w:r w:rsidR="008201BC">
        <w:t xml:space="preserve"> 2015 report</w:t>
      </w:r>
      <w:r w:rsidR="00C7355B">
        <w:t>:</w:t>
      </w:r>
      <w:r w:rsidR="00C7355B">
        <w:rPr>
          <w:rStyle w:val="FootnoteReference"/>
        </w:rPr>
        <w:footnoteReference w:id="186"/>
      </w:r>
    </w:p>
    <w:p w14:paraId="38C38CC4" w14:textId="77777777" w:rsidR="00C7355B" w:rsidRDefault="00E97C81" w:rsidP="00E97C81">
      <w:pPr>
        <w:pStyle w:val="AERquote"/>
      </w:pPr>
      <w:r>
        <w:lastRenderedPageBreak/>
        <w:t>This is precisely the reason why Officer refers to gamma as the value of franking credits in some parts of the paper, and as the proportion of tax collected from the company which will be rebated against personal tax, in other parts of the paper. These two descriptions are equivalent when one interprets value to mean the value of imputation credits before personal tax and before personal costs.</w:t>
      </w:r>
    </w:p>
    <w:p w14:paraId="40FC1378" w14:textId="77777777" w:rsidR="007D27DC" w:rsidRDefault="007D27DC" w:rsidP="00C7355B">
      <w:r>
        <w:t>There would appear to be further support for Handley's view in the first line of footnote 5 of Officer's paper, which seemingly equates the ideas of 'utilisation' and 'value':</w:t>
      </w:r>
      <w:r>
        <w:rPr>
          <w:rStyle w:val="FootnoteReference"/>
        </w:rPr>
        <w:footnoteReference w:id="187"/>
      </w:r>
    </w:p>
    <w:p w14:paraId="2183BB63" w14:textId="77777777" w:rsidR="007D27DC" w:rsidRDefault="007D27DC" w:rsidP="007D27DC">
      <w:pPr>
        <w:pStyle w:val="AERquote"/>
      </w:pPr>
      <w:r>
        <w:t xml:space="preserve">For example, if the shareholder can fully utilize the imputation tax credits then ("value") </w:t>
      </w:r>
      <m:oMath>
        <m:r>
          <w:rPr>
            <w:rFonts w:ascii="Cambria Math" w:hAnsi="Cambria Math"/>
          </w:rPr>
          <m:t>γ</m:t>
        </m:r>
      </m:oMath>
      <w:r w:rsidR="005358A4">
        <w:t xml:space="preserve"> = 1, e.g. a superfund or an Australian resident taxpayer.</w:t>
      </w:r>
    </w:p>
    <w:p w14:paraId="55B881CE" w14:textId="77777777" w:rsidR="00FF6182" w:rsidRDefault="00FF6182" w:rsidP="00C7355B">
      <w:r>
        <w:t>Handley also noted:</w:t>
      </w:r>
      <w:r>
        <w:rPr>
          <w:rStyle w:val="FootnoteReference"/>
        </w:rPr>
        <w:footnoteReference w:id="188"/>
      </w:r>
    </w:p>
    <w:p w14:paraId="2258A88F" w14:textId="77777777" w:rsidR="00FF6182" w:rsidRDefault="00FF6182" w:rsidP="00C2621C">
      <w:pPr>
        <w:pStyle w:val="AERquote"/>
      </w:pPr>
      <w:r w:rsidRPr="00FF6182">
        <w:t>It is clear that the Officer WACC valuation fra</w:t>
      </w:r>
      <w:r>
        <w:t xml:space="preserve">mework is a before-personal-tax </w:t>
      </w:r>
      <w:r w:rsidRPr="00FF6182">
        <w:t xml:space="preserve">framework. It is also a before-personal-cost framework in the </w:t>
      </w:r>
      <w:r w:rsidR="00E97C81">
        <w:t xml:space="preserve">limited </w:t>
      </w:r>
      <w:r w:rsidRPr="00FF6182">
        <w:t>sense that, there is no</w:t>
      </w:r>
      <w:r>
        <w:t xml:space="preserve"> </w:t>
      </w:r>
      <w:r w:rsidRPr="00FF6182">
        <w:t>explicit adjustment (deduction) made to the cash flows or the discount rate for either</w:t>
      </w:r>
      <w:r>
        <w:t xml:space="preserve"> </w:t>
      </w:r>
      <w:r w:rsidRPr="00FF6182">
        <w:t>personal taxes or personal costs.</w:t>
      </w:r>
    </w:p>
    <w:p w14:paraId="3E473EEE" w14:textId="5BE94958" w:rsidR="00C7355B" w:rsidRDefault="00C7355B" w:rsidP="00C7355B">
      <w:r>
        <w:t>On the other hand, if gamma was intended to reflect investors' personal taxes and costs, then the proportion of company tax returned to investors would never be equivalent to the value to investors per dollar of imputation credits</w:t>
      </w:r>
      <w:r w:rsidR="006508E8">
        <w:t>. This is</w:t>
      </w:r>
      <w:r>
        <w:t xml:space="preserve"> </w:t>
      </w:r>
      <w:r w:rsidR="00135513">
        <w:t>because</w:t>
      </w:r>
      <w:r w:rsidR="002A6968">
        <w:t>, on an after-personal-tax and after-personal-costs basis where such taxes and costs were non-negligible,</w:t>
      </w:r>
      <w:r w:rsidR="00135513">
        <w:t xml:space="preserve"> investors </w:t>
      </w:r>
      <w:r w:rsidR="002A6968">
        <w:t>would likely</w:t>
      </w:r>
      <w:r w:rsidR="00135513">
        <w:t xml:space="preserve"> value credits at less than their face value</w:t>
      </w:r>
      <w:r>
        <w:t>. Therefore, there would be no justification for defining gamma</w:t>
      </w:r>
      <w:r w:rsidR="00135513">
        <w:t>, as Officer does,</w:t>
      </w:r>
      <w:r>
        <w:t xml:space="preserve"> </w:t>
      </w:r>
      <w:r w:rsidR="0052084F">
        <w:t>in terms of</w:t>
      </w:r>
      <w:r>
        <w:t xml:space="preserve"> the proportion of company tax returned to investors. </w:t>
      </w:r>
      <w:r w:rsidR="006508E8">
        <w:t>A</w:t>
      </w:r>
      <w:r>
        <w:t xml:space="preserve">s shown in the earlier quote, </w:t>
      </w:r>
      <w:r w:rsidR="00A31A88">
        <w:t>Gray</w:t>
      </w:r>
      <w:r>
        <w:t xml:space="preserve"> attributes such a definition to 'poor drafting'. </w:t>
      </w:r>
      <w:r w:rsidR="006508E8">
        <w:t>However,</w:t>
      </w:r>
      <w:r w:rsidR="002A6968">
        <w:t xml:space="preserve"> </w:t>
      </w:r>
      <w:r w:rsidR="006508E8">
        <w:t xml:space="preserve">this </w:t>
      </w:r>
      <w:r w:rsidR="008201BC">
        <w:t>is unconvincing to us</w:t>
      </w:r>
      <w:r>
        <w:t xml:space="preserve">. </w:t>
      </w:r>
    </w:p>
    <w:p w14:paraId="4E460727" w14:textId="1FAF8EE3" w:rsidR="00C7355B" w:rsidRDefault="00C7355B" w:rsidP="00C7355B">
      <w:r>
        <w:t xml:space="preserve">Further, if the intended interpretation of gamma is on an after-personal-tax and </w:t>
      </w:r>
      <w:r w:rsidR="0052084F">
        <w:t>after-personal-</w:t>
      </w:r>
      <w:r>
        <w:t>costs basis</w:t>
      </w:r>
      <w:r w:rsidR="0052084F">
        <w:t>,</w:t>
      </w:r>
      <w:r w:rsidR="002A6968">
        <w:t xml:space="preserve"> </w:t>
      </w:r>
      <w:r>
        <w:t xml:space="preserve">then </w:t>
      </w:r>
      <w:r w:rsidR="0075677D">
        <w:t xml:space="preserve">it </w:t>
      </w:r>
      <w:r w:rsidR="007240A6">
        <w:t xml:space="preserve">would seem to </w:t>
      </w:r>
      <w:r w:rsidR="0075677D">
        <w:t>make little sense</w:t>
      </w:r>
      <w:r>
        <w:t xml:space="preserve"> </w:t>
      </w:r>
      <w:r w:rsidR="0075677D">
        <w:t>to</w:t>
      </w:r>
      <w:r>
        <w:t xml:space="preserve"> contemplate</w:t>
      </w:r>
      <w:r w:rsidR="0075677D">
        <w:t>, as Officer does in footnote 5 of his paper,</w:t>
      </w:r>
      <w:r>
        <w:t xml:space="preserve"> an investor having an individual utilisation rate of 1.</w:t>
      </w:r>
      <w:r>
        <w:rPr>
          <w:rStyle w:val="FootnoteReference"/>
        </w:rPr>
        <w:footnoteReference w:id="189"/>
      </w:r>
      <w:r>
        <w:t xml:space="preserve"> </w:t>
      </w:r>
      <w:r w:rsidR="002A6968">
        <w:t>Again, this is because, on an after-personal-tax and after-personal-costs basis where such taxes and costs were non-negligible, investors would likely value credits at less than their face value.</w:t>
      </w:r>
      <w:r w:rsidR="0075677D">
        <w:t xml:space="preserve"> </w:t>
      </w:r>
      <w:r w:rsidR="00766333">
        <w:t xml:space="preserve">Conversely, </w:t>
      </w:r>
      <w:r w:rsidR="007D27DC">
        <w:t>Gray</w:t>
      </w:r>
      <w:r>
        <w:t xml:space="preserve"> has previously argued that it is difficult to understand why Officer would contemplate in the same footnote the estimation of gamma via dividend drop off studies if the correct interpretation of gamma was </w:t>
      </w:r>
      <w:r w:rsidR="00766333">
        <w:t>as the proportion</w:t>
      </w:r>
      <w:r>
        <w:t xml:space="preserve"> </w:t>
      </w:r>
      <w:r w:rsidR="00766333">
        <w:t>of company tax returned to investors</w:t>
      </w:r>
      <w:r>
        <w:t>.</w:t>
      </w:r>
      <w:r w:rsidR="00344F8E">
        <w:rPr>
          <w:rStyle w:val="FootnoteReference"/>
        </w:rPr>
        <w:footnoteReference w:id="190"/>
      </w:r>
      <w:r>
        <w:t xml:space="preserve"> </w:t>
      </w:r>
      <w:r w:rsidR="00AB4B7B">
        <w:t>However, a</w:t>
      </w:r>
      <w:r>
        <w:t>s we have maintained throughout the Guideline and current determination process, implied market value studies remain a relevant estimation method</w:t>
      </w:r>
      <w:r w:rsidR="00AB4B7B">
        <w:t xml:space="preserve"> for gamma</w:t>
      </w:r>
      <w:r>
        <w:t xml:space="preserve">. This is because any value attributed to credits which can be inferred from market prices is ultimately derived from the </w:t>
      </w:r>
      <w:r w:rsidR="00746FBC">
        <w:t>utilisation</w:t>
      </w:r>
      <w:r w:rsidR="005C5BA5">
        <w:t xml:space="preserve"> of those credits.</w:t>
      </w:r>
    </w:p>
    <w:p w14:paraId="6F8D4313" w14:textId="77777777" w:rsidR="00DF258F" w:rsidRDefault="00DF258F" w:rsidP="00C7355B">
      <w:r>
        <w:lastRenderedPageBreak/>
        <w:t xml:space="preserve">Finally, our view is supported by Officer's treatment of gamma in the numerical example in the appendix to his paper. Officer </w:t>
      </w:r>
      <w:r w:rsidRPr="00DF258F">
        <w:t>describes this numerical example as ‘…designed to help the reader through some of the obstacles to</w:t>
      </w:r>
      <w:r>
        <w:t xml:space="preserve"> going from theory to practice’:</w:t>
      </w:r>
      <w:r>
        <w:rPr>
          <w:rStyle w:val="FootnoteReference"/>
        </w:rPr>
        <w:footnoteReference w:id="191"/>
      </w:r>
    </w:p>
    <w:p w14:paraId="19531CED" w14:textId="77777777" w:rsidR="00DF258F" w:rsidRDefault="00DF258F" w:rsidP="00DF258F">
      <w:pPr>
        <w:pStyle w:val="AERquote"/>
      </w:pPr>
      <w:r>
        <w:t xml:space="preserve">Assume that 50 percent of the tax collected at the company level represents personal tax, i.e. 50 percent of tax credits can be utilized against personal tax liabilities so that </w:t>
      </w:r>
      <m:oMath>
        <m:r>
          <w:rPr>
            <w:rFonts w:ascii="Cambria Math" w:hAnsi="Cambria Math"/>
          </w:rPr>
          <m:t>γ</m:t>
        </m:r>
      </m:oMath>
      <w:r>
        <w:t xml:space="preserve"> = 0.5.</w:t>
      </w:r>
    </w:p>
    <w:p w14:paraId="24896EAA" w14:textId="77777777" w:rsidR="00F650D2" w:rsidRDefault="00F650D2" w:rsidP="00F650D2">
      <w:pPr>
        <w:pStyle w:val="HeadingBoldBlue"/>
      </w:pPr>
      <w:r>
        <w:t>The formulas in Officer (1994)</w:t>
      </w:r>
    </w:p>
    <w:p w14:paraId="47673CEF" w14:textId="494B5398" w:rsidR="00DE138E" w:rsidRDefault="00A31A88" w:rsidP="00C7355B">
      <w:r>
        <w:t>Gray</w:t>
      </w:r>
      <w:r w:rsidR="005B201F">
        <w:t xml:space="preserve"> (for SFG)</w:t>
      </w:r>
      <w:r w:rsidR="00DE138E">
        <w:t xml:space="preserve"> submitted that the formulas in Officer (1994) support </w:t>
      </w:r>
      <w:r w:rsidR="005B201F">
        <w:t>his</w:t>
      </w:r>
      <w:r w:rsidR="00DE138E">
        <w:t xml:space="preserve"> interpretation of the value of imputation credits:</w:t>
      </w:r>
      <w:r w:rsidR="00DE138E">
        <w:rPr>
          <w:rStyle w:val="FootnoteReference"/>
        </w:rPr>
        <w:footnoteReference w:id="192"/>
      </w:r>
    </w:p>
    <w:p w14:paraId="5E997A1C" w14:textId="77777777" w:rsidR="00DE138E" w:rsidRDefault="00DE138E" w:rsidP="00DE138E">
      <w:pPr>
        <w:pStyle w:val="AERquote"/>
      </w:pPr>
      <w:r>
        <w:t>…</w:t>
      </w:r>
      <w:r w:rsidRPr="00DE138E">
        <w:t>gamma represents the extent to which imputation c</w:t>
      </w:r>
      <w:r>
        <w:t xml:space="preserve">redits are capitalised into the </w:t>
      </w:r>
      <w:r w:rsidRPr="00DE138E">
        <w:t>market value of equity. I note that this is precisely what is estimated by dividend drop-off analysis</w:t>
      </w:r>
      <w:r>
        <w:t xml:space="preserve"> </w:t>
      </w:r>
      <w:r w:rsidRPr="00DE138E">
        <w:t>and other market value studies. The formula shows that one takes the present face value of</w:t>
      </w:r>
      <w:r>
        <w:t xml:space="preserve"> imputation credits (</w:t>
      </w:r>
      <m:oMath>
        <m:f>
          <m:fPr>
            <m:type m:val="lin"/>
            <m:ctrlPr>
              <w:rPr>
                <w:rFonts w:ascii="Cambria Math" w:eastAsiaTheme="minorHAnsi" w:hAnsi="Cambria Math" w:cstheme="minorBidi"/>
                <w:i/>
                <w:color w:val="auto"/>
                <w:sz w:val="22"/>
                <w:szCs w:val="22"/>
              </w:rPr>
            </m:ctrlPr>
          </m:fPr>
          <m:num>
            <m:r>
              <w:rPr>
                <w:rFonts w:ascii="Cambria Math" w:hAnsi="Cambria Math"/>
              </w:rPr>
              <m:t>IC</m:t>
            </m:r>
          </m:num>
          <m:den>
            <m:sSub>
              <m:sSubPr>
                <m:ctrlPr>
                  <w:rPr>
                    <w:rFonts w:ascii="Cambria Math" w:eastAsiaTheme="minorHAnsi" w:hAnsi="Cambria Math" w:cstheme="minorBidi"/>
                    <w:i/>
                    <w:color w:val="auto"/>
                    <w:sz w:val="22"/>
                    <w:szCs w:val="22"/>
                  </w:rPr>
                </m:ctrlPr>
              </m:sSubPr>
              <m:e>
                <m:r>
                  <w:rPr>
                    <w:rFonts w:ascii="Cambria Math" w:hAnsi="Cambria Math"/>
                  </w:rPr>
                  <m:t>r</m:t>
                </m:r>
              </m:e>
              <m:sub>
                <m:r>
                  <w:rPr>
                    <w:rFonts w:ascii="Cambria Math" w:hAnsi="Cambria Math"/>
                  </w:rPr>
                  <m:t>e</m:t>
                </m:r>
              </m:sub>
            </m:sSub>
          </m:den>
        </m:f>
      </m:oMath>
      <w:r w:rsidRPr="00DE138E">
        <w:t>) and then multiplies by gamma and the result makes up part of the market</w:t>
      </w:r>
      <w:r>
        <w:t xml:space="preserve"> </w:t>
      </w:r>
      <w:r w:rsidRPr="00DE138E">
        <w:t>value of equity.</w:t>
      </w:r>
    </w:p>
    <w:p w14:paraId="40EE637B" w14:textId="77777777" w:rsidR="00DE138E" w:rsidRPr="00DE138E" w:rsidRDefault="00DE138E" w:rsidP="00DE138E">
      <w:pPr>
        <w:pStyle w:val="AERquote"/>
      </w:pPr>
      <w:r w:rsidRPr="00DE138E">
        <w:t>Another way to see this is to rearrange the formula to isolate gamma as follows:</w:t>
      </w:r>
    </w:p>
    <w:p w14:paraId="146B4153" w14:textId="77777777" w:rsidR="00DE138E" w:rsidRDefault="00D70292" w:rsidP="00DE138E">
      <w:pPr>
        <w:pStyle w:val="AERquote"/>
      </w:pPr>
      <m:oMathPara>
        <m:oMath>
          <m:sSub>
            <m:sSubPr>
              <m:ctrlPr>
                <w:rPr>
                  <w:rFonts w:ascii="Cambria Math" w:eastAsiaTheme="minorHAnsi" w:hAnsi="Cambria Math"/>
                </w:rPr>
              </m:ctrlPr>
            </m:sSubPr>
            <m:e>
              <m:r>
                <w:rPr>
                  <w:rFonts w:ascii="Cambria Math" w:hAnsi="Cambria Math"/>
                </w:rPr>
                <m:t>E</m:t>
              </m:r>
            </m:e>
            <m:sub>
              <m:r>
                <w:rPr>
                  <w:rFonts w:ascii="Cambria Math" w:hAnsi="Cambria Math"/>
                </w:rPr>
                <m:t>with</m:t>
              </m:r>
              <m:r>
                <m:rPr>
                  <m:sty m:val="p"/>
                </m:rPr>
                <w:rPr>
                  <w:rFonts w:ascii="Cambria Math" w:hAnsi="Cambria Math"/>
                </w:rPr>
                <m:t>-</m:t>
              </m:r>
              <m:r>
                <w:rPr>
                  <w:rFonts w:ascii="Cambria Math" w:hAnsi="Cambria Math"/>
                </w:rPr>
                <m:t>IC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ex</m:t>
              </m:r>
              <m:r>
                <m:rPr>
                  <m:sty m:val="p"/>
                </m:rPr>
                <w:rPr>
                  <w:rFonts w:ascii="Cambria Math" w:hAnsi="Cambria Math"/>
                </w:rPr>
                <m:t>-</m:t>
              </m:r>
              <m:r>
                <w:rPr>
                  <w:rFonts w:ascii="Cambria Math" w:hAnsi="Cambria Math"/>
                </w:rPr>
                <m:t>IC</m:t>
              </m:r>
            </m:sub>
          </m:sSub>
          <m:r>
            <m:rPr>
              <m:sty m:val="p"/>
            </m:rPr>
            <w:rPr>
              <w:rFonts w:ascii="Cambria Math" w:hAnsi="Cambria Math"/>
            </w:rPr>
            <m:t>+</m:t>
          </m:r>
          <m:r>
            <w:rPr>
              <w:rFonts w:ascii="Cambria Math" w:hAnsi="Cambria Math"/>
            </w:rPr>
            <m:t>γ</m:t>
          </m:r>
          <m:f>
            <m:fPr>
              <m:ctrlPr>
                <w:rPr>
                  <w:rFonts w:ascii="Cambria Math" w:eastAsiaTheme="minorHAnsi" w:hAnsi="Cambria Math"/>
                </w:rPr>
              </m:ctrlPr>
            </m:fPr>
            <m:num>
              <m:r>
                <w:rPr>
                  <w:rFonts w:ascii="Cambria Math" w:hAnsi="Cambria Math"/>
                </w:rPr>
                <m:t>IC</m:t>
              </m:r>
            </m:num>
            <m:den>
              <m:sSub>
                <m:sSubPr>
                  <m:ctrlPr>
                    <w:rPr>
                      <w:rFonts w:ascii="Cambria Math" w:eastAsiaTheme="minorHAnsi" w:hAnsi="Cambria Math"/>
                    </w:rPr>
                  </m:ctrlPr>
                </m:sSubPr>
                <m:e>
                  <m:r>
                    <w:rPr>
                      <w:rFonts w:ascii="Cambria Math" w:hAnsi="Cambria Math"/>
                    </w:rPr>
                    <m:t>r</m:t>
                  </m:r>
                </m:e>
                <m:sub>
                  <m:r>
                    <w:rPr>
                      <w:rFonts w:ascii="Cambria Math" w:hAnsi="Cambria Math"/>
                    </w:rPr>
                    <m:t>e</m:t>
                  </m:r>
                </m:sub>
              </m:sSub>
            </m:den>
          </m:f>
        </m:oMath>
      </m:oMathPara>
    </w:p>
    <w:p w14:paraId="71B5C63F" w14:textId="77777777" w:rsidR="00DE138E" w:rsidRDefault="002C25CF" w:rsidP="002C25CF">
      <w:pPr>
        <w:pStyle w:val="AERquote"/>
      </w:pPr>
      <w:proofErr w:type="gramStart"/>
      <w:r>
        <w:t>where</w:t>
      </w:r>
      <w:proofErr w:type="gramEnd"/>
      <w:r>
        <w:t xml:space="preserve"> </w:t>
      </w:r>
      <m:oMath>
        <m:sSub>
          <m:sSubPr>
            <m:ctrlPr>
              <w:rPr>
                <w:rFonts w:ascii="Cambria Math" w:eastAsiaTheme="minorHAnsi" w:hAnsi="Cambria Math"/>
              </w:rPr>
            </m:ctrlPr>
          </m:sSubPr>
          <m:e>
            <m:r>
              <w:rPr>
                <w:rFonts w:ascii="Cambria Math" w:hAnsi="Cambria Math"/>
              </w:rPr>
              <m:t>E</m:t>
            </m:r>
          </m:e>
          <m:sub>
            <m:r>
              <w:rPr>
                <w:rFonts w:ascii="Cambria Math" w:hAnsi="Cambria Math"/>
              </w:rPr>
              <m:t>with</m:t>
            </m:r>
            <m:r>
              <m:rPr>
                <m:sty m:val="p"/>
              </m:rPr>
              <w:rPr>
                <w:rFonts w:ascii="Cambria Math" w:hAnsi="Cambria Math"/>
              </w:rPr>
              <m:t>-</m:t>
            </m:r>
            <m:r>
              <w:rPr>
                <w:rFonts w:ascii="Cambria Math" w:hAnsi="Cambria Math"/>
              </w:rPr>
              <m:t>IC</m:t>
            </m:r>
          </m:sub>
        </m:sSub>
      </m:oMath>
      <w:r w:rsidR="00DE138E" w:rsidRPr="00DE138E">
        <w:t xml:space="preserve"> represents the market value of equity includi</w:t>
      </w:r>
      <w:r>
        <w:t xml:space="preserve">ng imputation credits, </w:t>
      </w:r>
      <m:oMath>
        <m:sSub>
          <m:sSubPr>
            <m:ctrlPr>
              <w:rPr>
                <w:rFonts w:ascii="Cambria Math" w:hAnsi="Cambria Math"/>
              </w:rPr>
            </m:ctrlPr>
          </m:sSubPr>
          <m:e>
            <m:r>
              <w:rPr>
                <w:rFonts w:ascii="Cambria Math" w:hAnsi="Cambria Math"/>
              </w:rPr>
              <m:t>E</m:t>
            </m:r>
          </m:e>
          <m:sub>
            <m:r>
              <w:rPr>
                <w:rFonts w:ascii="Cambria Math" w:hAnsi="Cambria Math"/>
              </w:rPr>
              <m:t>ex</m:t>
            </m:r>
            <m:r>
              <m:rPr>
                <m:sty m:val="p"/>
              </m:rPr>
              <w:rPr>
                <w:rFonts w:ascii="Cambria Math" w:hAnsi="Cambria Math"/>
              </w:rPr>
              <m:t>-</m:t>
            </m:r>
            <m:r>
              <w:rPr>
                <w:rFonts w:ascii="Cambria Math" w:hAnsi="Cambria Math"/>
              </w:rPr>
              <m:t>IC</m:t>
            </m:r>
          </m:sub>
        </m:sSub>
      </m:oMath>
      <w:r w:rsidR="00DE138E" w:rsidRPr="00DE138E">
        <w:t xml:space="preserve"> represents the</w:t>
      </w:r>
      <w:r w:rsidR="00DE138E">
        <w:t xml:space="preserve"> </w:t>
      </w:r>
      <w:r w:rsidR="00DE138E" w:rsidRPr="00DE138E">
        <w:t>market value of equity excluding</w:t>
      </w:r>
      <w:r>
        <w:t xml:space="preserve"> imputation credits and </w:t>
      </w:r>
      <m:oMath>
        <m:f>
          <m:fPr>
            <m:type m:val="lin"/>
            <m:ctrlPr>
              <w:rPr>
                <w:rFonts w:ascii="Cambria Math" w:eastAsiaTheme="minorHAnsi" w:hAnsi="Cambria Math"/>
                <w:i/>
              </w:rPr>
            </m:ctrlPr>
          </m:fPr>
          <m:num>
            <m:r>
              <w:rPr>
                <w:rFonts w:ascii="Cambria Math" w:hAnsi="Cambria Math"/>
              </w:rPr>
              <m:t>IC</m:t>
            </m:r>
          </m:num>
          <m:den>
            <m:sSub>
              <m:sSubPr>
                <m:ctrlPr>
                  <w:rPr>
                    <w:rFonts w:ascii="Cambria Math" w:eastAsiaTheme="minorHAnsi" w:hAnsi="Cambria Math"/>
                    <w:i/>
                  </w:rPr>
                </m:ctrlPr>
              </m:sSubPr>
              <m:e>
                <m:r>
                  <w:rPr>
                    <w:rFonts w:ascii="Cambria Math" w:hAnsi="Cambria Math"/>
                  </w:rPr>
                  <m:t>r</m:t>
                </m:r>
              </m:e>
              <m:sub>
                <m:r>
                  <w:rPr>
                    <w:rFonts w:ascii="Cambria Math" w:hAnsi="Cambria Math"/>
                  </w:rPr>
                  <m:t>e</m:t>
                </m:r>
              </m:sub>
            </m:sSub>
          </m:den>
        </m:f>
      </m:oMath>
      <w:r w:rsidR="00DE138E" w:rsidRPr="00DE138E">
        <w:t xml:space="preserve"> represents the present face value of</w:t>
      </w:r>
      <w:r w:rsidR="00DE138E">
        <w:t xml:space="preserve"> </w:t>
      </w:r>
      <w:r w:rsidR="00DE138E" w:rsidRPr="00DE138E">
        <w:t>imputation credits. It is clear in this formula that gamma does not represent the proportion of imputation</w:t>
      </w:r>
      <w:r w:rsidR="00DE138E">
        <w:t xml:space="preserve"> </w:t>
      </w:r>
      <w:r w:rsidR="00DE138E" w:rsidRPr="00DE138E">
        <w:t xml:space="preserve">credits that might be redeemed, but the extent to which imputation credits </w:t>
      </w:r>
      <w:proofErr w:type="gramStart"/>
      <w:r w:rsidR="00DE138E" w:rsidRPr="00DE138E">
        <w:t>increase</w:t>
      </w:r>
      <w:proofErr w:type="gramEnd"/>
      <w:r w:rsidR="00DE138E" w:rsidRPr="00DE138E">
        <w:t xml:space="preserve"> the market value of</w:t>
      </w:r>
      <w:r w:rsidR="00DE138E">
        <w:t xml:space="preserve"> </w:t>
      </w:r>
      <w:r w:rsidR="00DE138E" w:rsidRPr="00DE138E">
        <w:t>equity.</w:t>
      </w:r>
    </w:p>
    <w:p w14:paraId="65834875" w14:textId="58D1EA4A" w:rsidR="00DE138E" w:rsidRDefault="00CA32AF" w:rsidP="00C7355B">
      <w:r>
        <w:t xml:space="preserve">Handley reviewed </w:t>
      </w:r>
      <w:r w:rsidR="00A31A88">
        <w:t>Gray's</w:t>
      </w:r>
      <w:r>
        <w:t xml:space="preserve"> submission and considered:</w:t>
      </w:r>
      <w:r w:rsidR="00521D96">
        <w:rPr>
          <w:rStyle w:val="FootnoteReference"/>
        </w:rPr>
        <w:footnoteReference w:id="193"/>
      </w:r>
    </w:p>
    <w:p w14:paraId="787FAE28" w14:textId="77777777" w:rsidR="00CA32AF" w:rsidRDefault="00CA32AF" w:rsidP="00CA32AF">
      <w:pPr>
        <w:pStyle w:val="AERquote"/>
      </w:pPr>
      <w:r w:rsidRPr="00CA32AF">
        <w:t>SFG (2015 para. 124-135) also suggests that the mathematical formu</w:t>
      </w:r>
      <w:r>
        <w:t xml:space="preserve">lae in Officer (1994) support a </w:t>
      </w:r>
      <w:r w:rsidRPr="00CA32AF">
        <w:t xml:space="preserve">value interpretation of gamma but not a redemption value interpretation since: </w:t>
      </w:r>
      <w:r w:rsidRPr="004152B3">
        <w:rPr>
          <w:rStyle w:val="AERtextitalic"/>
        </w:rPr>
        <w:t>“It is clear in this formula [para.127] that gamma represents … the extent to which imputation credits increase the market value of equity”</w:t>
      </w:r>
      <w:r w:rsidRPr="00CA32AF">
        <w:t>. There is no dispute that the (market) value of credits are capitalised into stock prices – this is</w:t>
      </w:r>
      <w:r>
        <w:t xml:space="preserve"> </w:t>
      </w:r>
      <w:r w:rsidRPr="00CA32AF">
        <w:t xml:space="preserve">clear from equation (2) </w:t>
      </w:r>
      <w:r>
        <w:t>[in Handley's report]</w:t>
      </w:r>
      <w:r w:rsidRPr="00CA32AF">
        <w:t>. However, SFG fails to see that within Officer’s framework it is the before</w:t>
      </w:r>
      <w:r>
        <w:t xml:space="preserve"> </w:t>
      </w:r>
      <w:r w:rsidRPr="00CA32AF">
        <w:t>personal tax and before personal costs value of a credit – the redemption value – which is the item being</w:t>
      </w:r>
      <w:r>
        <w:t xml:space="preserve"> </w:t>
      </w:r>
      <w:r w:rsidRPr="00CA32AF">
        <w:t>capitalised.</w:t>
      </w:r>
    </w:p>
    <w:p w14:paraId="554925D2" w14:textId="511E0610" w:rsidR="00DF258F" w:rsidRDefault="00CA32AF" w:rsidP="00DE138E">
      <w:r>
        <w:lastRenderedPageBreak/>
        <w:t xml:space="preserve">Thus, Handley </w:t>
      </w:r>
      <w:r w:rsidR="009D300F">
        <w:t xml:space="preserve">appeared to agree with </w:t>
      </w:r>
      <w:r w:rsidR="00A31A88">
        <w:t>Gray</w:t>
      </w:r>
      <w:r w:rsidR="009D300F">
        <w:t xml:space="preserve"> that the formulas in Officer indicated that the value of imputation credits is capitalised into stock prices. However, Handley</w:t>
      </w:r>
      <w:r w:rsidR="006508E8">
        <w:t xml:space="preserve"> considers</w:t>
      </w:r>
      <w:r w:rsidR="009D300F">
        <w:t xml:space="preserve"> (for the reasons set out in the previous sub-section) that it is the before-personal-tax and before-personal-costs value which is capitalised</w:t>
      </w:r>
      <w:r w:rsidR="002A6968">
        <w:t xml:space="preserve"> into the stock price in Officer's framework</w:t>
      </w:r>
      <w:r w:rsidR="009D300F">
        <w:t>. As also set out in the previous sub-section, we agree with Handley's interpretation of the Officer framework.</w:t>
      </w:r>
    </w:p>
    <w:p w14:paraId="723CDBB4" w14:textId="07DB718D" w:rsidR="00DF258F" w:rsidRDefault="00DF258F" w:rsidP="00DF258F">
      <w:pPr>
        <w:pStyle w:val="HeadingBoldBlue"/>
      </w:pPr>
      <w:r>
        <w:t>Interpretation of gamma in textbooks</w:t>
      </w:r>
    </w:p>
    <w:p w14:paraId="23C5703E" w14:textId="1CD702E8" w:rsidR="00691305" w:rsidRDefault="00691305" w:rsidP="00DF258F">
      <w:r>
        <w:t>In his June 2015 report</w:t>
      </w:r>
      <w:r w:rsidR="00B740D8">
        <w:t xml:space="preserve"> </w:t>
      </w:r>
      <w:r w:rsidR="00573623">
        <w:t>(</w:t>
      </w:r>
      <w:r w:rsidR="00B740D8">
        <w:t>for Frontier</w:t>
      </w:r>
      <w:r w:rsidR="00573623">
        <w:t>)</w:t>
      </w:r>
      <w:r>
        <w:t>, Gray stated:</w:t>
      </w:r>
      <w:r>
        <w:rPr>
          <w:rStyle w:val="FootnoteReference"/>
        </w:rPr>
        <w:footnoteReference w:id="194"/>
      </w:r>
    </w:p>
    <w:p w14:paraId="686FCB12" w14:textId="77777777" w:rsidR="00EE5D10" w:rsidRDefault="00691305" w:rsidP="00691305">
      <w:pPr>
        <w:pStyle w:val="AERquote"/>
      </w:pPr>
      <w:r>
        <w:t xml:space="preserve">I am </w:t>
      </w:r>
      <w:r w:rsidRPr="00691305">
        <w:t>unaware of any published work that interprets gamma in terms of the</w:t>
      </w:r>
      <w:r>
        <w:t xml:space="preserve"> </w:t>
      </w:r>
      <w:r w:rsidRPr="00691305">
        <w:t>redemption rate.</w:t>
      </w:r>
    </w:p>
    <w:p w14:paraId="23CE557F" w14:textId="77777777" w:rsidR="000A26C4" w:rsidRDefault="00B27E42" w:rsidP="000A26C4">
      <w:r>
        <w:t>However</w:t>
      </w:r>
      <w:r w:rsidR="00BB7352">
        <w:t>, there are several textbooks that describe gamma in a manner consistent with our understanding</w:t>
      </w:r>
      <w:r w:rsidR="000A26C4">
        <w:t>. For example, Peirson et al</w:t>
      </w:r>
      <w:r w:rsidR="004A70E0">
        <w:t xml:space="preserve"> (2009)</w:t>
      </w:r>
      <w:r w:rsidR="000A26C4">
        <w:t>:</w:t>
      </w:r>
      <w:r w:rsidR="00E5367E">
        <w:rPr>
          <w:rStyle w:val="FootnoteReference"/>
        </w:rPr>
        <w:footnoteReference w:id="195"/>
      </w:r>
    </w:p>
    <w:p w14:paraId="3DB2A874" w14:textId="77777777" w:rsidR="00DE138E" w:rsidRDefault="000A26C4" w:rsidP="000A26C4">
      <w:pPr>
        <w:pStyle w:val="AERquote"/>
      </w:pPr>
      <w:r>
        <w:t xml:space="preserve">Officer (1994) discussed several alternative ways of defining net cash flows and the cost of capital under imputation. One way to define the after-tax cash flows is that they are equal to the before-tax cash flows multiplied </w:t>
      </w:r>
      <w:proofErr w:type="gramStart"/>
      <w:r>
        <w:t xml:space="preserve">by </w:t>
      </w:r>
      <w:proofErr w:type="gramEnd"/>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e</m:t>
                </m:r>
              </m:sub>
            </m:sSub>
          </m:e>
        </m:d>
      </m:oMath>
      <w:r>
        <w:t xml:space="preserve">, where </w:t>
      </w:r>
      <m:oMath>
        <m:sSub>
          <m:sSubPr>
            <m:ctrlPr>
              <w:rPr>
                <w:rFonts w:ascii="Cambria Math" w:hAnsi="Cambria Math"/>
              </w:rPr>
            </m:ctrlPr>
          </m:sSubPr>
          <m:e>
            <m:r>
              <w:rPr>
                <w:rFonts w:ascii="Cambria Math" w:hAnsi="Cambria Math"/>
              </w:rPr>
              <m:t>t</m:t>
            </m:r>
          </m:e>
          <m:sub>
            <m:r>
              <w:rPr>
                <w:rFonts w:ascii="Cambria Math" w:hAnsi="Cambria Math"/>
              </w:rPr>
              <m:t>e</m:t>
            </m:r>
          </m:sub>
        </m:sSub>
      </m:oMath>
      <w:r>
        <w:t xml:space="preserve"> is the </w:t>
      </w:r>
      <w:r w:rsidRPr="000A26C4">
        <w:rPr>
          <w:rStyle w:val="AERtextitalic"/>
        </w:rPr>
        <w:t>effective</w:t>
      </w:r>
      <w:r>
        <w:t xml:space="preserve"> company income tax rate.</w:t>
      </w:r>
      <w:r w:rsidR="009D300F">
        <w:t xml:space="preserve"> </w:t>
      </w:r>
      <w:r>
        <w:t xml:space="preserve">The effective company tax rate </w:t>
      </w:r>
      <w:proofErr w:type="gramStart"/>
      <w:r>
        <w:t xml:space="preserve">is </w:t>
      </w:r>
      <w:proofErr w:type="gramEnd"/>
      <m:oMath>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d>
          <m:dPr>
            <m:ctrlPr>
              <w:rPr>
                <w:rFonts w:ascii="Cambria Math" w:hAnsi="Cambria Math"/>
                <w:i/>
              </w:rPr>
            </m:ctrlPr>
          </m:dPr>
          <m:e>
            <m:r>
              <w:rPr>
                <w:rFonts w:ascii="Cambria Math" w:hAnsi="Cambria Math"/>
              </w:rPr>
              <m:t>1-γ</m:t>
            </m:r>
          </m:e>
        </m:d>
      </m:oMath>
      <w:r w:rsidR="00F3154C">
        <w:t xml:space="preserve">, where </w:t>
      </w:r>
      <m:oMath>
        <m:sSub>
          <m:sSubPr>
            <m:ctrlPr>
              <w:rPr>
                <w:rFonts w:ascii="Cambria Math" w:hAnsi="Cambria Math"/>
              </w:rPr>
            </m:ctrlPr>
          </m:sSubPr>
          <m:e>
            <m:r>
              <w:rPr>
                <w:rFonts w:ascii="Cambria Math" w:hAnsi="Cambria Math"/>
              </w:rPr>
              <m:t>t</m:t>
            </m:r>
          </m:e>
          <m:sub>
            <m:r>
              <w:rPr>
                <w:rFonts w:ascii="Cambria Math" w:hAnsi="Cambria Math"/>
              </w:rPr>
              <m:t>c</m:t>
            </m:r>
          </m:sub>
        </m:sSub>
      </m:oMath>
      <w:r w:rsidR="00F3154C">
        <w:t xml:space="preserve"> is the statutory company tax rate and </w:t>
      </w:r>
      <m:oMath>
        <m:r>
          <w:rPr>
            <w:rFonts w:ascii="Cambria Math" w:hAnsi="Cambria Math"/>
          </w:rPr>
          <m:t>γ</m:t>
        </m:r>
      </m:oMath>
      <w:r w:rsidR="00F3154C">
        <w:t xml:space="preserve"> represents the proportion of the tax collected from a company that is paid out to shareholders and recovered through tax credits associated with franked dividends.</w:t>
      </w:r>
    </w:p>
    <w:p w14:paraId="09F53047" w14:textId="77777777" w:rsidR="00F3154C" w:rsidRDefault="00F3154C" w:rsidP="00F3154C">
      <w:pPr>
        <w:pStyle w:val="AERquote"/>
      </w:pPr>
      <w:r>
        <w:t>…</w:t>
      </w:r>
    </w:p>
    <w:p w14:paraId="1E49C7DF" w14:textId="77777777" w:rsidR="00F3154C" w:rsidRDefault="00F3154C" w:rsidP="00F3154C">
      <w:pPr>
        <w:pStyle w:val="AERquote"/>
      </w:pPr>
      <w:r>
        <w:t>For example, if</w:t>
      </w:r>
      <w:r w:rsidR="00E5367E">
        <w:t>…</w:t>
      </w:r>
      <w:r>
        <w:t xml:space="preserve">the company income tax rate is 30 cents in the dollar, and 60 per cent of the tax collected from the company is claimed as a credit by shareholders, then the effective company tax rate </w:t>
      </w:r>
      <w:proofErr w:type="gramStart"/>
      <w:r>
        <w:t xml:space="preserve">is </w:t>
      </w:r>
      <w:proofErr w:type="gramEnd"/>
      <m:oMath>
        <m:r>
          <w:rPr>
            <w:rFonts w:ascii="Cambria Math" w:hAnsi="Cambria Math"/>
          </w:rPr>
          <m:t>0.30</m:t>
        </m:r>
        <m:d>
          <m:dPr>
            <m:ctrlPr>
              <w:rPr>
                <w:rFonts w:ascii="Cambria Math" w:hAnsi="Cambria Math"/>
                <w:i/>
              </w:rPr>
            </m:ctrlPr>
          </m:dPr>
          <m:e>
            <m:r>
              <w:rPr>
                <w:rFonts w:ascii="Cambria Math" w:hAnsi="Cambria Math"/>
              </w:rPr>
              <m:t>1-0.6</m:t>
            </m:r>
          </m:e>
        </m:d>
        <m:r>
          <w:rPr>
            <w:rFonts w:ascii="Cambria Math" w:hAnsi="Cambria Math"/>
          </w:rPr>
          <m:t>=0.12</m:t>
        </m:r>
      </m:oMath>
      <w:r w:rsidR="00E5367E">
        <w:t>...</w:t>
      </w:r>
    </w:p>
    <w:p w14:paraId="0F8572B5" w14:textId="77777777" w:rsidR="00E5367E" w:rsidRDefault="009E5663" w:rsidP="00E5367E">
      <w:r>
        <w:t>Berk et al</w:t>
      </w:r>
      <w:r w:rsidR="004A70E0">
        <w:t xml:space="preserve"> (2014)</w:t>
      </w:r>
      <w:r>
        <w:t>:</w:t>
      </w:r>
      <w:r w:rsidR="00B27E42">
        <w:rPr>
          <w:rStyle w:val="FootnoteReference"/>
        </w:rPr>
        <w:footnoteReference w:id="196"/>
      </w:r>
    </w:p>
    <w:p w14:paraId="0D8E422E" w14:textId="77777777" w:rsidR="009E5663" w:rsidRDefault="00B4676D" w:rsidP="009E5663">
      <w:pPr>
        <w:pStyle w:val="AERquote"/>
      </w:pPr>
      <w:r>
        <w:t>In a 1994 study, Officer shows that for valuation purposes the cost of equity under an imputation system should be adjusted by a factor equal to</w:t>
      </w:r>
      <w:r w:rsidR="00682BBC">
        <w:t>:</w:t>
      </w:r>
    </w:p>
    <w:p w14:paraId="258D8992" w14:textId="77777777" w:rsidR="00682BBC" w:rsidRPr="00682BBC" w:rsidRDefault="00D70292" w:rsidP="00682BBC">
      <w:pPr>
        <w:pStyle w:val="AERquote"/>
      </w:pPr>
      <m:oMathPara>
        <m:oMath>
          <m:f>
            <m:fPr>
              <m:ctrlPr>
                <w:rPr>
                  <w:rFonts w:ascii="Cambria Math" w:hAnsi="Cambria Math"/>
                  <w:i/>
                </w:rPr>
              </m:ctrlPr>
            </m:fPr>
            <m:num>
              <m:r>
                <w:rPr>
                  <w:rFonts w:ascii="Cambria Math" w:hAnsi="Cambria Math"/>
                </w:rPr>
                <m:t>1-T</m:t>
              </m:r>
            </m:num>
            <m:den>
              <m:r>
                <w:rPr>
                  <w:rFonts w:ascii="Cambria Math" w:hAnsi="Cambria Math"/>
                </w:rPr>
                <m:t>1-T</m:t>
              </m:r>
              <m:d>
                <m:dPr>
                  <m:ctrlPr>
                    <w:rPr>
                      <w:rFonts w:ascii="Cambria Math" w:hAnsi="Cambria Math"/>
                      <w:i/>
                    </w:rPr>
                  </m:ctrlPr>
                </m:dPr>
                <m:e>
                  <m:r>
                    <w:rPr>
                      <w:rFonts w:ascii="Cambria Math" w:hAnsi="Cambria Math"/>
                    </w:rPr>
                    <m:t>1-γ</m:t>
                  </m:r>
                </m:e>
              </m:d>
            </m:den>
          </m:f>
        </m:oMath>
      </m:oMathPara>
    </w:p>
    <w:p w14:paraId="41E37BFB" w14:textId="77777777" w:rsidR="00E75754" w:rsidRDefault="00D1409A" w:rsidP="00D1409A">
      <w:pPr>
        <w:pStyle w:val="AERquote"/>
      </w:pPr>
      <w:proofErr w:type="gramStart"/>
      <w:r>
        <w:t>where</w:t>
      </w:r>
      <w:proofErr w:type="gramEnd"/>
      <w:r>
        <w:t xml:space="preserve"> </w:t>
      </w:r>
      <m:oMath>
        <m:r>
          <w:rPr>
            <w:rFonts w:ascii="Cambria Math" w:hAnsi="Cambria Math"/>
          </w:rPr>
          <m:t>T</m:t>
        </m:r>
      </m:oMath>
      <w:r>
        <w:t xml:space="preserve"> represents the effective corporate tax rate and </w:t>
      </w:r>
      <m:oMath>
        <m:d>
          <m:dPr>
            <m:ctrlPr>
              <w:rPr>
                <w:rFonts w:ascii="Cambria Math" w:hAnsi="Cambria Math"/>
                <w:i/>
              </w:rPr>
            </m:ctrlPr>
          </m:dPr>
          <m:e>
            <m:r>
              <w:rPr>
                <w:rFonts w:ascii="Cambria Math" w:hAnsi="Cambria Math"/>
              </w:rPr>
              <m:t>γ</m:t>
            </m:r>
          </m:e>
        </m:d>
      </m:oMath>
      <w:r w:rsidR="007D06B6">
        <w:t xml:space="preserve"> represents the proportion of </w:t>
      </w:r>
      <w:r>
        <w:t>tax collected from the firm that will be rebated against personal tax in the hands of shareholders</w:t>
      </w:r>
      <w:r w:rsidR="00B27E42">
        <w:t>.</w:t>
      </w:r>
    </w:p>
    <w:p w14:paraId="4F183322" w14:textId="77777777" w:rsidR="00B27E42" w:rsidRDefault="007D06B6" w:rsidP="00B4676D">
      <w:r>
        <w:t>Gitman et al</w:t>
      </w:r>
      <w:r w:rsidR="004A70E0">
        <w:t xml:space="preserve"> (2011)</w:t>
      </w:r>
      <w:r>
        <w:t>:</w:t>
      </w:r>
      <w:r w:rsidR="004179E8">
        <w:rPr>
          <w:rStyle w:val="FootnoteReference"/>
        </w:rPr>
        <w:footnoteReference w:id="197"/>
      </w:r>
    </w:p>
    <w:p w14:paraId="6E6E8F38" w14:textId="77777777" w:rsidR="007D06B6" w:rsidRDefault="000228A2" w:rsidP="000228A2">
      <w:pPr>
        <w:pStyle w:val="AERquote"/>
      </w:pPr>
      <w:r>
        <w:lastRenderedPageBreak/>
        <w:t xml:space="preserve">If we let </w:t>
      </w:r>
      <m:oMath>
        <m:r>
          <w:rPr>
            <w:rFonts w:ascii="Cambria Math" w:hAnsi="Cambria Math"/>
          </w:rPr>
          <m:t>γ</m:t>
        </m:r>
      </m:oMath>
      <w:r>
        <w:t xml:space="preserve"> be the proportion of company income tax that can be used by shareholders to offset their personal income tax liabilities…</w:t>
      </w:r>
    </w:p>
    <w:p w14:paraId="22793874" w14:textId="77777777" w:rsidR="000228A2" w:rsidRDefault="000228A2" w:rsidP="000228A2">
      <w:pPr>
        <w:pStyle w:val="AERquote"/>
      </w:pPr>
      <w:r>
        <w:t>…</w:t>
      </w:r>
    </w:p>
    <w:p w14:paraId="1F777D34" w14:textId="77777777" w:rsidR="000228A2" w:rsidRPr="000228A2" w:rsidRDefault="000228A2" w:rsidP="000228A2">
      <w:pPr>
        <w:pStyle w:val="AERquote"/>
      </w:pPr>
      <w:r>
        <w:t xml:space="preserve">With dividend imputation, the calculation of the weighted average cost of capital depends heavily on the estimate </w:t>
      </w:r>
      <w:proofErr w:type="gramStart"/>
      <w:r>
        <w:t xml:space="preserve">of </w:t>
      </w:r>
      <w:proofErr w:type="gramEnd"/>
      <m:oMath>
        <m:r>
          <w:rPr>
            <w:rFonts w:ascii="Cambria Math" w:hAnsi="Cambria Math"/>
          </w:rPr>
          <m:t>γ</m:t>
        </m:r>
      </m:oMath>
      <w:r>
        <w:t xml:space="preserve">. For a good estimate of </w:t>
      </w:r>
      <m:oMath>
        <m:r>
          <w:rPr>
            <w:rFonts w:ascii="Cambria Math" w:hAnsi="Cambria Math"/>
          </w:rPr>
          <m:t>γ</m:t>
        </m:r>
      </m:oMath>
      <w:r>
        <w:t xml:space="preserve"> we would need to know the proportion of company income that has borne Australian income tax, and the proportion of the company's shareholders who were Australian residents who could benefit from dividend imputation.</w:t>
      </w:r>
    </w:p>
    <w:p w14:paraId="460AFD2C" w14:textId="77777777" w:rsidR="00650D22" w:rsidRDefault="00650D22" w:rsidP="00B4676D">
      <w:r>
        <w:t>Gray quoted approvingly from a textbook co-authored by Partington</w:t>
      </w:r>
      <w:r w:rsidR="004A70E0">
        <w:t xml:space="preserve"> in 2000</w:t>
      </w:r>
      <w:r>
        <w:t xml:space="preserve">, but </w:t>
      </w:r>
      <w:r w:rsidR="00FF3A60">
        <w:t xml:space="preserve">none of the statements quoted contradict </w:t>
      </w:r>
      <w:r>
        <w:t>our understanding of gamma. For instance</w:t>
      </w:r>
      <w:r w:rsidR="00800C8B">
        <w:t>, Gray quoted</w:t>
      </w:r>
      <w:r>
        <w:t>:</w:t>
      </w:r>
      <w:r w:rsidR="00800C8B">
        <w:rPr>
          <w:rStyle w:val="FootnoteReference"/>
        </w:rPr>
        <w:footnoteReference w:id="198"/>
      </w:r>
    </w:p>
    <w:p w14:paraId="2E9F4D30" w14:textId="77777777" w:rsidR="00650D22" w:rsidRDefault="00650D22" w:rsidP="00650D22">
      <w:pPr>
        <w:pStyle w:val="AERquote"/>
      </w:pPr>
      <m:oMath>
        <m:r>
          <w:rPr>
            <w:rFonts w:ascii="Cambria Math" w:hAnsi="Cambria Math"/>
          </w:rPr>
          <m:t>γ</m:t>
        </m:r>
      </m:oMath>
      <w:r w:rsidRPr="00650D22">
        <w:t xml:space="preserve"> =</w:t>
      </w:r>
      <w:r>
        <w:t xml:space="preserve"> </w:t>
      </w:r>
      <w:r w:rsidRPr="00650D22">
        <w:t>the market value of franking credits as a percentage of face value.</w:t>
      </w:r>
    </w:p>
    <w:p w14:paraId="3060F9DD" w14:textId="77777777" w:rsidR="00650D22" w:rsidRDefault="00650D22" w:rsidP="00B4676D">
      <w:r>
        <w:t>However,</w:t>
      </w:r>
      <w:r w:rsidR="00800C8B">
        <w:t xml:space="preserve"> there is no dispute here. A</w:t>
      </w:r>
      <w:r>
        <w:t>s Handley explained:</w:t>
      </w:r>
      <w:r w:rsidR="0057454B">
        <w:rPr>
          <w:rStyle w:val="FootnoteReference"/>
        </w:rPr>
        <w:footnoteReference w:id="199"/>
      </w:r>
    </w:p>
    <w:p w14:paraId="135E5B72" w14:textId="69D2D17F" w:rsidR="00650D22" w:rsidRDefault="0057454B" w:rsidP="0057454B">
      <w:pPr>
        <w:pStyle w:val="AERquote"/>
      </w:pPr>
      <w:r>
        <w:t>Implicit in Officer's WACC framework (and the standard classical tax WACC framework) is the notion of market value and so the relevant measure of ut</w:t>
      </w:r>
      <w:r w:rsidR="002C1CFB">
        <w:t>i</w:t>
      </w:r>
      <w:r>
        <w:t>lisation value is that value as determined by the market – in other words it is not the utilisation value of a credit to any single investor or the utilisation value to any single class of investors that we want but rather the utilisation value to the market as a whole. In contrast, much of the current debate appears to incorre</w:t>
      </w:r>
      <w:r w:rsidR="00800C8B">
        <w:t>c</w:t>
      </w:r>
      <w:r>
        <w:t>tly suggest that market value and utilisation value are alternative concepts for this purpose.</w:t>
      </w:r>
    </w:p>
    <w:p w14:paraId="25E6D4D2" w14:textId="77777777" w:rsidR="00BF03FB" w:rsidRDefault="005A7C5B" w:rsidP="00B4676D">
      <w:r>
        <w:t>Moreover, t</w:t>
      </w:r>
      <w:r w:rsidR="00BF03FB">
        <w:t>here are other references to gamma in Partington's textbook tha</w:t>
      </w:r>
      <w:r w:rsidR="0078255A">
        <w:t>t accord more closely with the characterisation in Officer's paper:</w:t>
      </w:r>
    </w:p>
    <w:p w14:paraId="237F3CCE" w14:textId="77777777" w:rsidR="0078255A" w:rsidRDefault="0078255A" w:rsidP="0078255A">
      <w:pPr>
        <w:pStyle w:val="AERquote"/>
      </w:pPr>
      <m:oMath>
        <m:r>
          <w:rPr>
            <w:rFonts w:ascii="Cambria Math" w:hAnsi="Cambria Math"/>
          </w:rPr>
          <m:t>γ</m:t>
        </m:r>
      </m:oMath>
      <w:r w:rsidRPr="00650D22">
        <w:t xml:space="preserve"> =</w:t>
      </w:r>
      <w:r>
        <w:t xml:space="preserve"> the proportion of corporate tax recovered by investors through imputation tax credits</w:t>
      </w:r>
      <w:r w:rsidRPr="00650D22">
        <w:t>.</w:t>
      </w:r>
      <w:r>
        <w:rPr>
          <w:rStyle w:val="FootnoteReference"/>
        </w:rPr>
        <w:footnoteReference w:id="200"/>
      </w:r>
    </w:p>
    <w:p w14:paraId="634C6D5F" w14:textId="77777777" w:rsidR="0078255A" w:rsidRDefault="00CD6F28" w:rsidP="0078255A">
      <w:pPr>
        <w:pStyle w:val="AERquote"/>
      </w:pPr>
      <w:r>
        <w:t>…</w:t>
      </w:r>
    </w:p>
    <w:p w14:paraId="060CBABE" w14:textId="77777777" w:rsidR="00CD6F28" w:rsidRPr="00CD6F28" w:rsidRDefault="00CD6F28" w:rsidP="00CD6F28">
      <w:pPr>
        <w:pStyle w:val="AERquote"/>
      </w:pPr>
      <w:r>
        <w:t xml:space="preserve">We assume a 100 per cent dividend payout and full use of imputation credits </w:t>
      </w:r>
      <m:oMath>
        <m:d>
          <m:dPr>
            <m:ctrlPr>
              <w:rPr>
                <w:rFonts w:ascii="Cambria Math" w:hAnsi="Cambria Math"/>
                <w:i/>
              </w:rPr>
            </m:ctrlPr>
          </m:dPr>
          <m:e>
            <m:r>
              <w:rPr>
                <w:rFonts w:ascii="Cambria Math" w:hAnsi="Cambria Math"/>
              </w:rPr>
              <m:t>γ=1</m:t>
            </m:r>
          </m:e>
        </m:d>
      </m:oMath>
      <w:r>
        <w:t>…However, 100 per cent payout and full use of imputation credits are unrealistic assumptions. It is more realistic to assume that about 50 to 60 per cent of profits are paid out as dividends. Of the imputation credits attached to those dividends only about 50 to 60 per cent will be claimed by investors to offset their tax liabilities.</w:t>
      </w:r>
      <w:r>
        <w:rPr>
          <w:rStyle w:val="FootnoteReference"/>
        </w:rPr>
        <w:footnoteReference w:id="201"/>
      </w:r>
    </w:p>
    <w:p w14:paraId="3164CDB6" w14:textId="77777777" w:rsidR="00800C8B" w:rsidRDefault="00800C8B" w:rsidP="00B4676D">
      <w:r>
        <w:t>Gray also quoted:</w:t>
      </w:r>
      <w:r>
        <w:rPr>
          <w:rStyle w:val="FootnoteReference"/>
        </w:rPr>
        <w:footnoteReference w:id="202"/>
      </w:r>
    </w:p>
    <w:p w14:paraId="03348BEC" w14:textId="77777777" w:rsidR="00800C8B" w:rsidRPr="00800C8B" w:rsidRDefault="00800C8B" w:rsidP="00800C8B">
      <w:pPr>
        <w:pStyle w:val="AERquote"/>
      </w:pPr>
      <w:r w:rsidRPr="00800C8B">
        <w:lastRenderedPageBreak/>
        <w:t>The results have been mixed, but they s</w:t>
      </w:r>
      <w:r>
        <w:t xml:space="preserve">uggest that the market value of </w:t>
      </w:r>
      <w:r w:rsidRPr="00800C8B">
        <w:t>franking credits is positive, but significantly less</w:t>
      </w:r>
      <w:r>
        <w:t xml:space="preserve"> than the credit’s face value.</w:t>
      </w:r>
    </w:p>
    <w:p w14:paraId="11E8972E" w14:textId="77777777" w:rsidR="00800C8B" w:rsidRPr="00800C8B" w:rsidRDefault="00800C8B" w:rsidP="00800C8B">
      <w:pPr>
        <w:pStyle w:val="AERquote"/>
      </w:pPr>
      <w:r>
        <w:t>…</w:t>
      </w:r>
    </w:p>
    <w:p w14:paraId="22FC8D44" w14:textId="77777777" w:rsidR="00800C8B" w:rsidRDefault="00800C8B" w:rsidP="00800C8B">
      <w:pPr>
        <w:pStyle w:val="AERquote"/>
      </w:pPr>
      <w:r w:rsidRPr="00800C8B">
        <w:t>…the market value of the franking credit is likely to differ from its face value.</w:t>
      </w:r>
      <w:r>
        <w:t xml:space="preserve"> </w:t>
      </w:r>
      <w:r w:rsidRPr="00800C8B">
        <w:t>We do not know exactly what the market value is, but the evidence suggests</w:t>
      </w:r>
      <w:r>
        <w:t xml:space="preserve"> </w:t>
      </w:r>
      <w:r w:rsidRPr="00800C8B">
        <w:t>that franking credits are valued at a significant discount to their face value.</w:t>
      </w:r>
    </w:p>
    <w:p w14:paraId="4DC4341B" w14:textId="5EDFD1E0" w:rsidR="00D229CE" w:rsidRDefault="00D229CE" w:rsidP="00B4676D">
      <w:r>
        <w:t xml:space="preserve">Again, there is no dispute. The estimates of the utilisation rate on which we rely are all </w:t>
      </w:r>
      <w:r w:rsidR="002C1CFB">
        <w:t>significantly</w:t>
      </w:r>
      <w:r>
        <w:t xml:space="preserve"> less than one, and our estimate of gamma is significantly less than one.</w:t>
      </w:r>
    </w:p>
    <w:p w14:paraId="7B0FD7CE" w14:textId="77777777" w:rsidR="007A3ED8" w:rsidRDefault="007A3ED8" w:rsidP="00FE64B7">
      <w:r>
        <w:t>Finally, Gray quoted an e</w:t>
      </w:r>
      <w:r w:rsidR="00FE64B7">
        <w:t>xplanation, with which he agreed</w:t>
      </w:r>
      <w:r>
        <w:t xml:space="preserve">, as to why </w:t>
      </w:r>
      <w:r w:rsidRPr="007A3ED8">
        <w:t>imputation may have had an immaterial effect on the corporate cost of equity</w:t>
      </w:r>
      <w:r>
        <w:t xml:space="preserve"> </w:t>
      </w:r>
      <w:r w:rsidRPr="007A3ED8">
        <w:t>capital</w:t>
      </w:r>
      <w:r w:rsidR="00FE64B7">
        <w:t>:</w:t>
      </w:r>
      <w:r w:rsidR="00FE64B7">
        <w:rPr>
          <w:rStyle w:val="FootnoteReference"/>
        </w:rPr>
        <w:footnoteReference w:id="203"/>
      </w:r>
    </w:p>
    <w:p w14:paraId="29D6FE89" w14:textId="77777777" w:rsidR="00FE64B7" w:rsidRDefault="00FE64B7" w:rsidP="00FE64B7">
      <w:pPr>
        <w:pStyle w:val="AERquote"/>
      </w:pPr>
      <w:r w:rsidRPr="00FE64B7">
        <w:t>The impact of imputation may not have b</w:t>
      </w:r>
      <w:r>
        <w:t xml:space="preserve">een that big. There are several </w:t>
      </w:r>
      <w:r w:rsidRPr="00FE64B7">
        <w:t>reasons for this. As suggested by Bob Officer, in a small open economy like</w:t>
      </w:r>
      <w:r>
        <w:t xml:space="preserve"> </w:t>
      </w:r>
      <w:r w:rsidRPr="00FE64B7">
        <w:t>Australia, equilibrium rates of return are likely to be determined by capital flows</w:t>
      </w:r>
      <w:r>
        <w:t xml:space="preserve"> </w:t>
      </w:r>
      <w:r w:rsidRPr="00FE64B7">
        <w:t>from international investors. If so, domestic tax changes are likely to have a</w:t>
      </w:r>
      <w:r>
        <w:t xml:space="preserve"> </w:t>
      </w:r>
      <w:r w:rsidRPr="00FE64B7">
        <w:t xml:space="preserve">reduced </w:t>
      </w:r>
      <w:proofErr w:type="gramStart"/>
      <w:r w:rsidRPr="00FE64B7">
        <w:t>effect,</w:t>
      </w:r>
      <w:proofErr w:type="gramEnd"/>
      <w:r w:rsidRPr="00FE64B7">
        <w:t xml:space="preserve"> or no effect at all, on equilibrium rates of return.</w:t>
      </w:r>
    </w:p>
    <w:p w14:paraId="37EF9B9F" w14:textId="77777777" w:rsidR="00580B7E" w:rsidRDefault="00FE64B7" w:rsidP="00B4676D">
      <w:r>
        <w:t xml:space="preserve">The implications of this quote </w:t>
      </w:r>
      <w:r w:rsidR="00580B7E">
        <w:t>for understanding or determining gamma are unclear to us. For instance:</w:t>
      </w:r>
    </w:p>
    <w:p w14:paraId="7E31F208" w14:textId="77777777" w:rsidR="00FE64B7" w:rsidRDefault="00FE64B7" w:rsidP="00580B7E">
      <w:pPr>
        <w:pStyle w:val="AERbulletlistfirststyle"/>
      </w:pPr>
      <w:r>
        <w:t xml:space="preserve">Gray </w:t>
      </w:r>
      <w:r w:rsidR="004A70E0">
        <w:t>appear</w:t>
      </w:r>
      <w:r w:rsidR="00580B7E">
        <w:t>ed elsewhere</w:t>
      </w:r>
      <w:r w:rsidR="004A70E0">
        <w:t xml:space="preserve"> to be of the view that imputation </w:t>
      </w:r>
      <w:r w:rsidR="004A70E0" w:rsidRPr="00580B7E">
        <w:rPr>
          <w:rStyle w:val="AERtextitalic"/>
        </w:rPr>
        <w:t>is</w:t>
      </w:r>
      <w:r w:rsidR="004A70E0">
        <w:t xml:space="preserve"> having a material effect on the cost of capital</w:t>
      </w:r>
      <w:r w:rsidR="00580B7E">
        <w:t>. This is</w:t>
      </w:r>
      <w:r w:rsidR="004A70E0">
        <w:t xml:space="preserve"> because he submitted that, in his view, the best estimate of the extent to which imputation credits are capitalised into stock prices per dollar of credit distributed is 0.35</w:t>
      </w:r>
      <w:r w:rsidR="00580B7E">
        <w:t>, and this is not immaterial.</w:t>
      </w:r>
      <w:r w:rsidR="0085051F">
        <w:rPr>
          <w:rStyle w:val="FootnoteReference"/>
        </w:rPr>
        <w:footnoteReference w:id="204"/>
      </w:r>
    </w:p>
    <w:p w14:paraId="5D1F23DA" w14:textId="77777777" w:rsidR="00580B7E" w:rsidRDefault="00FF3A60" w:rsidP="00580B7E">
      <w:pPr>
        <w:pStyle w:val="AERbulletlistfirststyle"/>
      </w:pPr>
      <w:r>
        <w:t xml:space="preserve">The view in a recent paper co-authored by Partington </w:t>
      </w:r>
      <w:r w:rsidR="003A381F">
        <w:t>did</w:t>
      </w:r>
      <w:r>
        <w:t xml:space="preserve"> not appear to align with that in the quote:</w:t>
      </w:r>
      <w:r w:rsidR="00814197">
        <w:rPr>
          <w:rStyle w:val="FootnoteReference"/>
        </w:rPr>
        <w:footnoteReference w:id="205"/>
      </w:r>
    </w:p>
    <w:p w14:paraId="0EAF4148" w14:textId="77777777" w:rsidR="00FF3A60" w:rsidRDefault="00FF3A60" w:rsidP="00FF3A60">
      <w:pPr>
        <w:pStyle w:val="AERquote"/>
      </w:pPr>
      <w:r>
        <w:t>Indeed, whether prices are set by a marginal investor, or by aggregation across investors, is an open question… It is our contention, therefo</w:t>
      </w:r>
      <w:r w:rsidR="005A7C5B">
        <w:t>re, that a policy decision shou</w:t>
      </w:r>
      <w:r>
        <w:t>ld not be based on the assertion that the marginal investor setting prices in the Australian market is an overseas in</w:t>
      </w:r>
      <w:r w:rsidR="001F6270">
        <w:t>vestor. To do so would base poli</w:t>
      </w:r>
      <w:r>
        <w:t>cy on an insecure foundation, and risks serious error.</w:t>
      </w:r>
    </w:p>
    <w:p w14:paraId="56758159" w14:textId="4D75844A" w:rsidR="00D26DA8" w:rsidRDefault="00D26DA8" w:rsidP="00144D81">
      <w:pPr>
        <w:pStyle w:val="HeadingBoldBlue"/>
      </w:pPr>
      <w:r>
        <w:t>Recent academic work</w:t>
      </w:r>
    </w:p>
    <w:p w14:paraId="58854A05" w14:textId="3BF6552C" w:rsidR="008A3558" w:rsidRDefault="00D26DA8" w:rsidP="00B027E1">
      <w:r>
        <w:t>T</w:t>
      </w:r>
      <w:r w:rsidR="0022220C">
        <w:t>he</w:t>
      </w:r>
      <w:r w:rsidR="006950D4">
        <w:t xml:space="preserve"> recent</w:t>
      </w:r>
      <w:r w:rsidR="0022220C">
        <w:t xml:space="preserve"> paper co-authored by Partington has been raised </w:t>
      </w:r>
      <w:r w:rsidR="00B56748">
        <w:t xml:space="preserve">in </w:t>
      </w:r>
      <w:r w:rsidR="006950D4">
        <w:t xml:space="preserve">direct </w:t>
      </w:r>
      <w:r w:rsidR="00B56748">
        <w:t>support of the position that the equity ownership approach is not an appropriate way to estimate the value of distributed imputation credits</w:t>
      </w:r>
      <w:r w:rsidR="00391493">
        <w:t>.</w:t>
      </w:r>
      <w:r w:rsidR="0022220C">
        <w:rPr>
          <w:rStyle w:val="FootnoteReference"/>
        </w:rPr>
        <w:footnoteReference w:id="206"/>
      </w:r>
      <w:r w:rsidR="00391493">
        <w:t xml:space="preserve"> Th</w:t>
      </w:r>
      <w:r w:rsidR="006950D4">
        <w:t>is</w:t>
      </w:r>
      <w:r w:rsidR="00391493">
        <w:t xml:space="preserve"> paper large</w:t>
      </w:r>
      <w:r w:rsidR="008008F6">
        <w:t>l</w:t>
      </w:r>
      <w:r w:rsidR="00391493">
        <w:t>y draws on the existi</w:t>
      </w:r>
      <w:r w:rsidR="008008F6">
        <w:t>ng</w:t>
      </w:r>
      <w:r w:rsidR="00391493">
        <w:t xml:space="preserve"> literature and </w:t>
      </w:r>
      <w:r w:rsidR="00391493">
        <w:lastRenderedPageBreak/>
        <w:t>available evidence with the intention of contributing to the policy debate around the efficacy of dividend imputation.</w:t>
      </w:r>
      <w:r w:rsidR="00391493">
        <w:rPr>
          <w:rStyle w:val="FootnoteReference"/>
        </w:rPr>
        <w:footnoteReference w:id="207"/>
      </w:r>
      <w:r w:rsidR="00391493">
        <w:t xml:space="preserve">While the paper does consider relevant matters, </w:t>
      </w:r>
      <w:r w:rsidR="004E172F">
        <w:t xml:space="preserve">we consider that the paper </w:t>
      </w:r>
      <w:r w:rsidR="00EC069E">
        <w:t>raises</w:t>
      </w:r>
      <w:r w:rsidR="008008F6">
        <w:t xml:space="preserve"> a</w:t>
      </w:r>
      <w:r w:rsidR="009A3916">
        <w:t xml:space="preserve"> </w:t>
      </w:r>
      <w:r w:rsidR="008008F6">
        <w:t xml:space="preserve">number </w:t>
      </w:r>
      <w:r w:rsidR="002C1CFB">
        <w:t>of issues</w:t>
      </w:r>
      <w:r w:rsidR="00EC069E">
        <w:t xml:space="preserve"> without making strong</w:t>
      </w:r>
      <w:r w:rsidR="00391493">
        <w:t xml:space="preserve"> recommendations. </w:t>
      </w:r>
      <w:r w:rsidR="006950D4">
        <w:t>Consistent with the above quote</w:t>
      </w:r>
      <w:r w:rsidR="00391493">
        <w:t xml:space="preserve"> it notes</w:t>
      </w:r>
      <w:r w:rsidR="009346EA">
        <w:t>:</w:t>
      </w:r>
      <w:r w:rsidR="009346EA">
        <w:rPr>
          <w:rStyle w:val="FootnoteReference"/>
        </w:rPr>
        <w:footnoteReference w:id="208"/>
      </w:r>
    </w:p>
    <w:p w14:paraId="76E39023" w14:textId="742E53F2" w:rsidR="008A3558" w:rsidRDefault="008A3558" w:rsidP="00144D81">
      <w:pPr>
        <w:pStyle w:val="AERquote"/>
      </w:pPr>
      <w:r w:rsidRPr="008A3558">
        <w:t>Whether the marginal investor or aggregation approach better describes how imputation credits become priced in equilibrium is a point of debate. The marginal investor approach might be seen as more in keeping with the ‘Economics 101’ notions of price determination, and more consistent with general equilibrium analysis under which investor demand for (and supply of) imputation credits is jointly determined with the market clearing price. As a consequence, the marginal investor approach may assist in analysing the potential effect of changes in the demand curve. By contrast, aggregating observed demands assumes that investors have found their equilibriu</w:t>
      </w:r>
      <w:r w:rsidR="009346EA">
        <w:t>m position given market prices [footnote 6: Monkhouse (1993) explici</w:t>
      </w:r>
      <w:r w:rsidR="002C1CFB">
        <w:t>tl</w:t>
      </w:r>
      <w:r w:rsidR="009346EA">
        <w:t>y states this assumption].</w:t>
      </w:r>
      <w:r w:rsidRPr="008A3558">
        <w:t xml:space="preserve"> It thus does not directly address how the market equilibrium emerges in the first place. Nevertheless, the aggregation approach may still provide a useful description of an existing equilibrium. In any event, the key point is that there is no clear consensus on the appropriate approach, adding another layer of uncertainty to the issue of whether imputation credits are priced.</w:t>
      </w:r>
    </w:p>
    <w:p w14:paraId="3F055C89" w14:textId="21E68FFB" w:rsidR="00B56748" w:rsidRDefault="00315256" w:rsidP="00B027E1">
      <w:r>
        <w:t xml:space="preserve">As such, while the paper raises a number of points highlighted by </w:t>
      </w:r>
      <w:r w:rsidR="005B201F">
        <w:t xml:space="preserve">Gray (for </w:t>
      </w:r>
      <w:r w:rsidR="009A3916">
        <w:t>Frontier</w:t>
      </w:r>
      <w:r w:rsidR="005B201F">
        <w:t>)</w:t>
      </w:r>
      <w:r>
        <w:t>, w</w:t>
      </w:r>
      <w:r w:rsidR="009346EA">
        <w:t xml:space="preserve">e </w:t>
      </w:r>
      <w:r>
        <w:t xml:space="preserve">do not </w:t>
      </w:r>
      <w:r w:rsidR="009346EA">
        <w:t xml:space="preserve">consider the paper </w:t>
      </w:r>
      <w:r>
        <w:t xml:space="preserve">provides </w:t>
      </w:r>
      <w:r w:rsidR="009346EA">
        <w:t>evidence that</w:t>
      </w:r>
      <w:r>
        <w:t xml:space="preserve"> our equity ownership approach that  uses the aggregation approach to estimate the value of theta </w:t>
      </w:r>
      <w:r w:rsidR="006950D4">
        <w:t>is not reasonable</w:t>
      </w:r>
      <w:r>
        <w:t xml:space="preserve">. </w:t>
      </w:r>
      <w:r w:rsidR="009A3916">
        <w:t>Frontier</w:t>
      </w:r>
      <w:r>
        <w:t xml:space="preserve"> has taken a number of statements from the paper </w:t>
      </w:r>
      <w:r w:rsidR="006950D4">
        <w:t xml:space="preserve">that should not be read </w:t>
      </w:r>
      <w:r>
        <w:t xml:space="preserve">in isolation </w:t>
      </w:r>
      <w:r w:rsidR="00045C83">
        <w:t>of the remainder of the paper</w:t>
      </w:r>
      <w:r>
        <w:t xml:space="preserve">. </w:t>
      </w:r>
      <w:r w:rsidR="00B56748">
        <w:t>For example, i</w:t>
      </w:r>
      <w:r>
        <w:t xml:space="preserve">n response to </w:t>
      </w:r>
      <w:r w:rsidR="005B201F">
        <w:t>Gray</w:t>
      </w:r>
      <w:r>
        <w:t xml:space="preserve">'s point at paragraph 189 where </w:t>
      </w:r>
      <w:r w:rsidR="005B201F">
        <w:t>he</w:t>
      </w:r>
      <w:r>
        <w:t xml:space="preserve"> states "Ainsworth, Partington and Warren (2015) note that the evidence generally suggests that the two companies do sell for the same price"</w:t>
      </w:r>
      <w:r w:rsidR="00B56748">
        <w:t>,</w:t>
      </w:r>
      <w:r>
        <w:rPr>
          <w:rStyle w:val="FootnoteReference"/>
        </w:rPr>
        <w:footnoteReference w:id="209"/>
      </w:r>
      <w:r w:rsidR="00B56748">
        <w:t xml:space="preserve"> the paper makes clear this evidence needs to be treated with caution stating:</w:t>
      </w:r>
      <w:r w:rsidR="00B56748">
        <w:rPr>
          <w:rStyle w:val="FootnoteReference"/>
        </w:rPr>
        <w:footnoteReference w:id="210"/>
      </w:r>
    </w:p>
    <w:p w14:paraId="6486452A" w14:textId="1E26351F" w:rsidR="00B56748" w:rsidRDefault="00B56748" w:rsidP="00144D81">
      <w:pPr>
        <w:pStyle w:val="AERquote"/>
      </w:pPr>
      <w:r w:rsidRPr="00B56748">
        <w:t xml:space="preserve">In contrast, examination of returns and price levels reveals little evidence that imputation credits are priced. Lajbcygier and Wheatley (2012) find that the presence of imputation credits is not associated with lower realised returns. Further, they find a positive relation between realised returns and imputation credits, which is significant under some specifications. This implies an (implausible) negative value on imputation credits. While the sign on the coefficient probably flags issues with the empirical method (see Section 4.2), it is nevertheless the case that no hint emerges that imputation credits have lowered the distribution of realised returns. Saiu, Sault and Warren (2015) find that imputation might be reflected in share prices under discounted cash flow models, at perhaps about $0.30 in the dollar. However, the imputation variable adds little explanatory power. Meanwhile, the results under the </w:t>
      </w:r>
      <w:r w:rsidRPr="00B56748">
        <w:lastRenderedPageBreak/>
        <w:t>earnings yield model and portfolio sorts suggest that imputation credits are not priced, and in fact may be associated with higher earnings yields as well as lower prices relative to other valuation measures.10 The fact that the earnings yield results have the wrong sign suggests that caution needs to be applied in interpreting these findings (similar to Lajbcygier and Wheatley, 2012).</w:t>
      </w:r>
    </w:p>
    <w:p w14:paraId="3AD0A653" w14:textId="75DF7B8C" w:rsidR="00B56748" w:rsidRPr="00B56748" w:rsidRDefault="00045C83">
      <w:r>
        <w:t>On the same page t</w:t>
      </w:r>
      <w:r w:rsidR="00B56748">
        <w:t xml:space="preserve">he paper also states in relation to </w:t>
      </w:r>
      <w:r w:rsidR="005B201F">
        <w:t xml:space="preserve">some </w:t>
      </w:r>
      <w:r w:rsidR="00B56748">
        <w:t>empirical evidenc</w:t>
      </w:r>
      <w:r>
        <w:t>e</w:t>
      </w:r>
      <w:r w:rsidR="00B56748">
        <w:t xml:space="preserve"> more generally:</w:t>
      </w:r>
      <w:r w:rsidR="006950D4">
        <w:rPr>
          <w:rStyle w:val="FootnoteReference"/>
        </w:rPr>
        <w:footnoteReference w:id="211"/>
      </w:r>
    </w:p>
    <w:p w14:paraId="2B657682" w14:textId="6323FD81" w:rsidR="00B56748" w:rsidRDefault="00B56748" w:rsidP="00144D81">
      <w:pPr>
        <w:pStyle w:val="AERquote"/>
      </w:pPr>
      <w:r w:rsidRPr="00B56748">
        <w:t>A very mixed set of results emerges from this body of research. Figure 4 (over) summarises the findings from the majority of dividend drop-off and comparative pricing studies. While a wide range of estimates emerges, these studies on balance indicate that imputation credits are partially priced. The data points in Figure 4 average 0.38, which would suggest that imputation credits are priced at about $0.38 in the dollar.</w:t>
      </w:r>
    </w:p>
    <w:p w14:paraId="74682DE3" w14:textId="1517E584" w:rsidR="00995370" w:rsidRDefault="00013714" w:rsidP="00960F6E">
      <w:pPr>
        <w:pStyle w:val="Heading9"/>
      </w:pPr>
      <w:r>
        <w:t>Gray</w:t>
      </w:r>
      <w:r w:rsidR="00960F6E">
        <w:t>'s comments on the Monkhouse framework</w:t>
      </w:r>
    </w:p>
    <w:p w14:paraId="5BB54949" w14:textId="77777777" w:rsidR="004D16B8" w:rsidRDefault="004D16B8" w:rsidP="004D16B8">
      <w:pPr>
        <w:numPr>
          <w:ilvl w:val="0"/>
          <w:numId w:val="25"/>
        </w:numPr>
      </w:pPr>
      <w:r>
        <w:t xml:space="preserve">As discussed in section </w:t>
      </w:r>
      <w:r>
        <w:fldChar w:fldCharType="begin"/>
      </w:r>
      <w:r>
        <w:instrText xml:space="preserve"> REF _Ref400965182 \r \h </w:instrText>
      </w:r>
      <w:r>
        <w:fldChar w:fldCharType="separate"/>
      </w:r>
      <w:r w:rsidR="001E2164">
        <w:t>A.6</w:t>
      </w:r>
      <w:r>
        <w:fldChar w:fldCharType="end"/>
      </w:r>
      <w:r>
        <w:t>, we consider that:</w:t>
      </w:r>
    </w:p>
    <w:p w14:paraId="54C95E0B" w14:textId="77777777" w:rsidR="004D16B8" w:rsidRPr="004D16B8" w:rsidRDefault="004D16B8" w:rsidP="004D16B8">
      <w:pPr>
        <w:pStyle w:val="AERbulletlistfirststyle"/>
      </w:pPr>
      <w:r>
        <w:t xml:space="preserve">The Officer framework provides the basis for the value of imputation credits adjustment in the </w:t>
      </w:r>
      <w:r w:rsidR="004569D9">
        <w:t>NER/NGR</w:t>
      </w:r>
      <w:r>
        <w:t>.</w:t>
      </w:r>
    </w:p>
    <w:p w14:paraId="4C29B4BF" w14:textId="77777777" w:rsidR="004D16B8" w:rsidRDefault="004D16B8" w:rsidP="004D16B8">
      <w:pPr>
        <w:pStyle w:val="AERbulletlistfirststyle"/>
      </w:pPr>
      <w:r>
        <w:t>Monkhouse extends the Officer framework to a non-perpetuity setting, and shows that—assuming retained credits have no value—gamma from the Officer framework effectively equals the product of:</w:t>
      </w:r>
    </w:p>
    <w:p w14:paraId="7707DAAD" w14:textId="77777777" w:rsidR="004D16B8" w:rsidRDefault="004D16B8" w:rsidP="004D16B8">
      <w:pPr>
        <w:pStyle w:val="AERbulletlistsecondstyle"/>
      </w:pPr>
      <w:r>
        <w:t>the distribution rate, and</w:t>
      </w:r>
    </w:p>
    <w:p w14:paraId="035D1025" w14:textId="77777777" w:rsidR="004D16B8" w:rsidRPr="00A3557D" w:rsidRDefault="004D16B8" w:rsidP="004D16B8">
      <w:pPr>
        <w:pStyle w:val="AERbulletlistsecondstyle"/>
      </w:pPr>
      <m:oMath>
        <m:r>
          <w:rPr>
            <w:rFonts w:ascii="Cambria Math" w:hAnsi="Cambria Math"/>
          </w:rPr>
          <m:t>θ</m:t>
        </m:r>
      </m:oMath>
      <w:r w:rsidRPr="00A3557D">
        <w:t xml:space="preserve"> (</w:t>
      </w:r>
      <w:proofErr w:type="gramStart"/>
      <w:r w:rsidRPr="00A3557D">
        <w:t>theta</w:t>
      </w:r>
      <w:proofErr w:type="gramEnd"/>
      <w:r w:rsidRPr="00A3557D">
        <w:t>)</w:t>
      </w:r>
      <w:r>
        <w:t>, which</w:t>
      </w:r>
      <w:r w:rsidRPr="00A3557D">
        <w:t xml:space="preserve"> is the utilisation value to investors in the market per dollar of imputation credits distributed (the 'utilisation rate'), which in equilibrium is equal to the weighted average, by wealth and risk aversion, of the individual utilisation rates of investors in the market.</w:t>
      </w:r>
    </w:p>
    <w:p w14:paraId="24410122" w14:textId="101BA88A" w:rsidR="00BE1FD8" w:rsidRDefault="004D16B8" w:rsidP="004D16B8">
      <w:r>
        <w:t xml:space="preserve">In </w:t>
      </w:r>
      <w:r w:rsidR="00B740D8">
        <w:t>his</w:t>
      </w:r>
      <w:r>
        <w:t xml:space="preserve"> May 2014 and February 2015 reports, </w:t>
      </w:r>
      <w:r w:rsidR="00B740D8">
        <w:t xml:space="preserve">Gray (for </w:t>
      </w:r>
      <w:r>
        <w:t>SFG</w:t>
      </w:r>
      <w:r w:rsidR="00B740D8">
        <w:t>)</w:t>
      </w:r>
      <w:r>
        <w:t xml:space="preserve"> provided a discussion of the class of CAPM employed by Monkhouse (and related literature).</w:t>
      </w:r>
      <w:r>
        <w:rPr>
          <w:rStyle w:val="FootnoteReference"/>
        </w:rPr>
        <w:footnoteReference w:id="212"/>
      </w:r>
      <w:r>
        <w:t xml:space="preserve"> </w:t>
      </w:r>
      <w:r w:rsidR="00B740D8">
        <w:t>Gray</w:t>
      </w:r>
      <w:r w:rsidR="00B34D36">
        <w:t xml:space="preserve"> concluded that our recognition of foreign investors breaches the assumptions of this class of CAPM, and therefore we cannot estimate the value of imputation credits using the definition of theta in equilibrium from the Monkhouse framework.</w:t>
      </w:r>
      <w:r w:rsidR="009F6A0B">
        <w:t xml:space="preserve"> </w:t>
      </w:r>
      <w:r w:rsidR="00B740D8">
        <w:t>Gray's</w:t>
      </w:r>
      <w:r w:rsidR="009F6A0B">
        <w:t xml:space="preserve"> June 2015 report</w:t>
      </w:r>
      <w:r w:rsidR="00B740D8">
        <w:t xml:space="preserve"> (for Frontier)</w:t>
      </w:r>
      <w:r w:rsidR="009F6A0B">
        <w:t>, upon which a number of service providers rely, holds the same view</w:t>
      </w:r>
      <w:r w:rsidR="00FE339F">
        <w:t xml:space="preserve"> and notes the inconsistency between Lally and Handley's advice on this point</w:t>
      </w:r>
      <w:r w:rsidR="009F6A0B">
        <w:rPr>
          <w:rStyle w:val="FootnoteReference"/>
        </w:rPr>
        <w:footnoteReference w:id="213"/>
      </w:r>
    </w:p>
    <w:p w14:paraId="6CD536D6" w14:textId="55F01A3F" w:rsidR="00B34D36" w:rsidRDefault="00B34D36" w:rsidP="004D16B8">
      <w:r>
        <w:lastRenderedPageBreak/>
        <w:t xml:space="preserve">Handley responded to </w:t>
      </w:r>
      <w:r w:rsidR="00B740D8">
        <w:t>Gray</w:t>
      </w:r>
      <w:r>
        <w:t xml:space="preserve">'s view in his September 2014 and </w:t>
      </w:r>
      <w:r w:rsidR="003E38A3">
        <w:t>April</w:t>
      </w:r>
      <w:r>
        <w:t xml:space="preserve"> 2015 reports</w:t>
      </w:r>
      <w:r w:rsidR="006F283D">
        <w:t xml:space="preserve"> and his response is equally applicable to the June 2015 report by </w:t>
      </w:r>
      <w:r w:rsidR="00B740D8">
        <w:t xml:space="preserve">Gray (for </w:t>
      </w:r>
      <w:r w:rsidR="006F283D">
        <w:t>Frontier</w:t>
      </w:r>
      <w:r w:rsidR="00B740D8">
        <w:t>)</w:t>
      </w:r>
      <w:r>
        <w:t xml:space="preserve">. He disagrees with </w:t>
      </w:r>
      <w:r w:rsidR="006F283D">
        <w:t>Gray</w:t>
      </w:r>
      <w:r>
        <w:t>'s view, and considers reasonable our use of:</w:t>
      </w:r>
      <w:r w:rsidR="002424BE">
        <w:rPr>
          <w:rStyle w:val="FootnoteReference"/>
        </w:rPr>
        <w:footnoteReference w:id="214"/>
      </w:r>
    </w:p>
    <w:p w14:paraId="4AA5A681" w14:textId="77777777" w:rsidR="00B34D36" w:rsidRDefault="00B34D36" w:rsidP="00B34D36">
      <w:pPr>
        <w:pStyle w:val="AERbulletlistfirststyle"/>
      </w:pPr>
      <w:r>
        <w:t>the definition of theta from the Monkhouse framework, and</w:t>
      </w:r>
    </w:p>
    <w:p w14:paraId="4FF178F5" w14:textId="77777777" w:rsidR="00B34D36" w:rsidRDefault="00B34D36" w:rsidP="00B34D36">
      <w:pPr>
        <w:pStyle w:val="AERbulletlistfirststyle"/>
      </w:pPr>
      <w:proofErr w:type="gramStart"/>
      <w:r>
        <w:t>the</w:t>
      </w:r>
      <w:proofErr w:type="gramEnd"/>
      <w:r>
        <w:t xml:space="preserve"> equity ownership </w:t>
      </w:r>
      <w:r w:rsidR="000F2352">
        <w:t xml:space="preserve">approach </w:t>
      </w:r>
      <w:r>
        <w:t>to estimate theta.</w:t>
      </w:r>
    </w:p>
    <w:p w14:paraId="7DBA1D86" w14:textId="77777777" w:rsidR="00B34D36" w:rsidRDefault="007A4EF0" w:rsidP="007A4EF0">
      <w:r>
        <w:t xml:space="preserve">In the remainder of this section we identify </w:t>
      </w:r>
      <w:r w:rsidR="00D96C92">
        <w:t>what we consider to be the key point</w:t>
      </w:r>
      <w:r w:rsidR="00A507B8">
        <w:t>s</w:t>
      </w:r>
      <w:r w:rsidR="00D96C92">
        <w:t xml:space="preserve"> of this debate, and </w:t>
      </w:r>
      <w:r w:rsidR="00A507B8">
        <w:t>their</w:t>
      </w:r>
      <w:r>
        <w:t xml:space="preserve"> implications</w:t>
      </w:r>
      <w:r w:rsidR="00D96C92">
        <w:t xml:space="preserve"> for our estimation of the value of imputation credits</w:t>
      </w:r>
      <w:r>
        <w:t>.</w:t>
      </w:r>
    </w:p>
    <w:p w14:paraId="680BABAB" w14:textId="4B462268" w:rsidR="00BE1E99" w:rsidRDefault="006F283D" w:rsidP="007A4EF0">
      <w:r>
        <w:t>Gray</w:t>
      </w:r>
      <w:r w:rsidR="00AB755D">
        <w:t>'s key point appears to be</w:t>
      </w:r>
      <w:r w:rsidR="00E30CA5">
        <w:t xml:space="preserve"> that</w:t>
      </w:r>
      <w:r w:rsidR="00BE1E99">
        <w:t>:</w:t>
      </w:r>
      <w:r w:rsidR="00BE1E99">
        <w:rPr>
          <w:rStyle w:val="FootnoteReference"/>
        </w:rPr>
        <w:footnoteReference w:id="215"/>
      </w:r>
    </w:p>
    <w:p w14:paraId="22C5A10E" w14:textId="77777777" w:rsidR="00BE1E99" w:rsidRDefault="00BE1E99" w:rsidP="00BE1E99">
      <w:pPr>
        <w:pStyle w:val="AERquote"/>
      </w:pPr>
      <w:r>
        <w:t xml:space="preserve">[The relevant class of CAPM models] derive </w:t>
      </w:r>
      <w:proofErr w:type="gramStart"/>
      <w:r>
        <w:t>an equilibrium</w:t>
      </w:r>
      <w:proofErr w:type="gramEnd"/>
      <w:r>
        <w:t xml:space="preserve"> by solving a market clearing condition. This involves noting that:</w:t>
      </w:r>
    </w:p>
    <w:p w14:paraId="12C05913" w14:textId="77777777" w:rsidR="00BE1E99" w:rsidRDefault="00BE1E99" w:rsidP="00BE1E99">
      <w:pPr>
        <w:pStyle w:val="AERquote"/>
      </w:pPr>
      <w:r>
        <w:t xml:space="preserve">(a) All of the </w:t>
      </w:r>
      <w:r w:rsidRPr="00BE1E99">
        <w:rPr>
          <w:rStyle w:val="AERtextitalic"/>
        </w:rPr>
        <w:t>m</w:t>
      </w:r>
      <w:r>
        <w:t xml:space="preserve"> investors must invest all of their wealth across the </w:t>
      </w:r>
      <w:r w:rsidRPr="00BE1E99">
        <w:rPr>
          <w:rStyle w:val="AERtextitalic"/>
        </w:rPr>
        <w:t>n</w:t>
      </w:r>
      <w:r>
        <w:t xml:space="preserve"> assets and nothing else; and</w:t>
      </w:r>
    </w:p>
    <w:p w14:paraId="7825F036" w14:textId="77777777" w:rsidR="00BE1E99" w:rsidRDefault="00BE1E99" w:rsidP="00BE1E99">
      <w:pPr>
        <w:pStyle w:val="AERquote"/>
      </w:pPr>
      <w:r>
        <w:t xml:space="preserve">(b) All of the </w:t>
      </w:r>
      <w:r w:rsidRPr="00BE1E99">
        <w:rPr>
          <w:rStyle w:val="AERtextitalic"/>
        </w:rPr>
        <w:t>n</w:t>
      </w:r>
      <w:r>
        <w:t xml:space="preserve"> assets must be owned entirely by the </w:t>
      </w:r>
      <w:r w:rsidRPr="004D1A69">
        <w:rPr>
          <w:rStyle w:val="AERtextitalic"/>
        </w:rPr>
        <w:t>m</w:t>
      </w:r>
      <w:r>
        <w:t xml:space="preserve"> investors and no one else.</w:t>
      </w:r>
      <w:r w:rsidR="00E30CA5">
        <w:t xml:space="preserve"> </w:t>
      </w:r>
    </w:p>
    <w:p w14:paraId="627D3E4D" w14:textId="77777777" w:rsidR="00057160" w:rsidRDefault="00B300C6" w:rsidP="004D16B8">
      <w:r>
        <w:t>T</w:t>
      </w:r>
      <w:r w:rsidR="00057160">
        <w:t xml:space="preserve">his suggests that the only legitimate </w:t>
      </w:r>
      <w:r w:rsidR="002C2D1A">
        <w:t>application</w:t>
      </w:r>
      <w:r w:rsidR="00057160">
        <w:t xml:space="preserve"> of </w:t>
      </w:r>
      <w:r w:rsidR="002C2D1A">
        <w:t xml:space="preserve">the </w:t>
      </w:r>
      <w:r w:rsidR="00057160">
        <w:t xml:space="preserve">CAPM is one which recognises all investors and assets in the world (that is, an international CAPM). </w:t>
      </w:r>
      <w:r w:rsidR="001D659B">
        <w:t xml:space="preserve">However, CAPMs have been employed in contexts </w:t>
      </w:r>
      <w:r w:rsidR="00567904">
        <w:t>other than the international one.</w:t>
      </w:r>
      <w:r w:rsidR="00134C81">
        <w:t xml:space="preserve"> </w:t>
      </w:r>
      <w:r w:rsidR="00814EEE">
        <w:t xml:space="preserve">Handley </w:t>
      </w:r>
      <w:r w:rsidR="000C3E94">
        <w:t>suggested that the key consideration is whether assets and investors that are outside the model are relevant to the determination of the prices of assets inside the model:</w:t>
      </w:r>
      <w:r w:rsidR="00220FF2">
        <w:rPr>
          <w:rStyle w:val="FootnoteReference"/>
        </w:rPr>
        <w:footnoteReference w:id="216"/>
      </w:r>
    </w:p>
    <w:p w14:paraId="79CC0562" w14:textId="77777777" w:rsidR="00EC0B07" w:rsidRDefault="00E5555B" w:rsidP="00EC0B07">
      <w:pPr>
        <w:pStyle w:val="AERquote"/>
      </w:pPr>
      <w:r>
        <w:t xml:space="preserve">[SFG’s claim that </w:t>
      </w:r>
      <w:proofErr w:type="gramStart"/>
      <w:r>
        <w:t>a representative</w:t>
      </w:r>
      <w:proofErr w:type="gramEnd"/>
      <w:r>
        <w:t xml:space="preserve"> investor equilibrium does not apply in the AER’s framework]</w:t>
      </w:r>
      <w:r w:rsidR="00EC0B07">
        <w:t xml:space="preserve"> – which appears to be SFG’s major criticism of this approach – is not correct since it is based on SFG’s incorrect assertion that the market clearing condition invoked in the CAPM class of equilibrium asset pricing models is </w:t>
      </w:r>
      <w:r>
        <w:t xml:space="preserve">based on an assumption that the </w:t>
      </w:r>
      <w:r w:rsidRPr="00E5555B">
        <w:rPr>
          <w:rStyle w:val="AERtextitalic"/>
        </w:rPr>
        <w:t>m</w:t>
      </w:r>
      <w:r w:rsidR="00EC0B07">
        <w:t xml:space="preserve"> investors in the model invest all their wealth across the </w:t>
      </w:r>
      <w:r w:rsidRPr="00E5555B">
        <w:rPr>
          <w:rStyle w:val="AERtextitalic"/>
        </w:rPr>
        <w:t>n</w:t>
      </w:r>
      <w:r w:rsidR="00EC0B07">
        <w:t xml:space="preserve"> assets </w:t>
      </w:r>
      <w:r>
        <w:t>in the model and nothing else.</w:t>
      </w:r>
    </w:p>
    <w:p w14:paraId="22F772A5" w14:textId="77777777" w:rsidR="00EC0B07" w:rsidRDefault="00EC0B07" w:rsidP="00EC0B07">
      <w:pPr>
        <w:pStyle w:val="AERquote"/>
      </w:pPr>
      <w:r>
        <w:t>But the CAPM makes no such assumption – it is SFG who does.</w:t>
      </w:r>
    </w:p>
    <w:p w14:paraId="09F5E91B" w14:textId="77777777" w:rsidR="000C3E94" w:rsidRDefault="00EC0B07" w:rsidP="00EC0B07">
      <w:pPr>
        <w:pStyle w:val="AERquote"/>
      </w:pPr>
      <w:r>
        <w:t>An implication of SFG’s assertion is that one could validly use a “domestic” version of the CAPM say to price U.S. stocks only if you assume that investors in the U.S. stock market hold no other assets except U.S. stocks. Such an assumption would be clearly implausible.</w:t>
      </w:r>
    </w:p>
    <w:p w14:paraId="39FC5706" w14:textId="77777777" w:rsidR="00EC0B07" w:rsidRPr="00EC0B07" w:rsidRDefault="00EC0B07" w:rsidP="00EC0B07">
      <w:pPr>
        <w:pStyle w:val="AERquote"/>
      </w:pPr>
      <w:r>
        <w:t xml:space="preserve">An alternative and less extreme assumption which is implicit in the use of a “domestic” version of the CAPM is that any assets outside the model and any investors outside the model are not relevant for determining the prices of the assets </w:t>
      </w:r>
      <w:r>
        <w:lastRenderedPageBreak/>
        <w:t>inside the model. This is equivalent to saying that the system is “closed” by definition – everything that matters is inside the model and anything outside the model does not matter – which means a standard market clearing condition can indeed be invoked and a va</w:t>
      </w:r>
      <w:r w:rsidR="00E5555B">
        <w:t>lid equilibrium can be found.</w:t>
      </w:r>
      <w:r>
        <w:t xml:space="preserve"> There is nothing in the Copeland and Rosenberg statements quoted in SFG (2015) which is inconsistent with this approach.</w:t>
      </w:r>
    </w:p>
    <w:p w14:paraId="20A34D16" w14:textId="77777777" w:rsidR="00814EEE" w:rsidRDefault="00300299" w:rsidP="00814EEE">
      <w:r>
        <w:t>T</w:t>
      </w:r>
      <w:r w:rsidR="008563E4">
        <w:t xml:space="preserve">herefore, </w:t>
      </w:r>
      <w:r w:rsidR="00FA68C2">
        <w:t xml:space="preserve">it would seem that </w:t>
      </w:r>
      <w:r w:rsidR="008563E4">
        <w:t xml:space="preserve">the criticisms of our use of the </w:t>
      </w:r>
      <w:r w:rsidR="006402DC">
        <w:t>definition of theta from the Monkhouse framework</w:t>
      </w:r>
      <w:r w:rsidR="0072581E">
        <w:t xml:space="preserve">, and our responses to those criticisms, </w:t>
      </w:r>
      <w:r w:rsidR="006402DC">
        <w:t>might be</w:t>
      </w:r>
      <w:r>
        <w:t xml:space="preserve"> summarised as follows:</w:t>
      </w:r>
    </w:p>
    <w:p w14:paraId="33D0F88B" w14:textId="77777777" w:rsidR="00300299" w:rsidRDefault="00300299" w:rsidP="00300299">
      <w:pPr>
        <w:pStyle w:val="AERbulletlistfirststyle"/>
      </w:pPr>
      <w:r>
        <w:t xml:space="preserve">By not </w:t>
      </w:r>
      <w:r w:rsidR="00FE3C8D">
        <w:t>using</w:t>
      </w:r>
      <w:r>
        <w:t xml:space="preserve"> all assets and investors in the world, we are breaching </w:t>
      </w:r>
      <w:r w:rsidR="006B1012">
        <w:t>a</w:t>
      </w:r>
      <w:r>
        <w:t xml:space="preserve"> fundamental condition required</w:t>
      </w:r>
      <w:r w:rsidR="00A507B8">
        <w:t xml:space="preserve"> by CAPMs to derive an equilibrium </w:t>
      </w:r>
      <w:r w:rsidR="00FB6FD6">
        <w:t>value</w:t>
      </w:r>
      <w:r w:rsidR="00A507B8">
        <w:t>. However, CAPMs have been used in contexts other than the international one, and there</w:t>
      </w:r>
      <w:r w:rsidR="00FB6FD6">
        <w:t>fore we are not convinced that this criticism presents grounds to disre</w:t>
      </w:r>
      <w:r w:rsidR="00EA086D">
        <w:t>gard these models</w:t>
      </w:r>
      <w:r w:rsidR="00FB6FD6">
        <w:t>.</w:t>
      </w:r>
    </w:p>
    <w:p w14:paraId="72DBC522" w14:textId="0604471C" w:rsidR="00FA68C2" w:rsidRPr="00D64449" w:rsidRDefault="00FB6FD6" w:rsidP="004807E2">
      <w:pPr>
        <w:pStyle w:val="AERbulletlistfirststyle"/>
        <w:rPr>
          <w:rStyle w:val="AERtexthighlight"/>
        </w:rPr>
      </w:pPr>
      <w:r>
        <w:t>Th</w:t>
      </w:r>
      <w:r w:rsidR="009B30D4">
        <w:t>e following implicit assumption</w:t>
      </w:r>
      <w:r>
        <w:t xml:space="preserve"> in our approach </w:t>
      </w:r>
      <w:r w:rsidR="009B30D4">
        <w:t>is</w:t>
      </w:r>
      <w:r>
        <w:t xml:space="preserve"> unreasonable:</w:t>
      </w:r>
      <w:r w:rsidR="001F2C5D">
        <w:t xml:space="preserve"> that</w:t>
      </w:r>
      <w:r w:rsidR="009B30D4">
        <w:t xml:space="preserve"> </w:t>
      </w:r>
      <w:r w:rsidR="001F2C5D">
        <w:t>t</w:t>
      </w:r>
      <w:r w:rsidR="009B30D4" w:rsidRPr="009B30D4">
        <w:t xml:space="preserve">he foreign asset holdings of </w:t>
      </w:r>
      <w:r w:rsidR="001F2C5D">
        <w:t xml:space="preserve">(both Australian and foreign) </w:t>
      </w:r>
      <w:r w:rsidR="009B30D4" w:rsidRPr="009B30D4">
        <w:t>inve</w:t>
      </w:r>
      <w:r w:rsidR="001F2C5D">
        <w:t xml:space="preserve">stors in Australian assets are </w:t>
      </w:r>
      <w:r w:rsidR="009B30D4" w:rsidRPr="009B30D4">
        <w:t>not relevant to those investors' valuation of Australian assets.</w:t>
      </w:r>
      <w:r w:rsidR="004807E2">
        <w:t xml:space="preserve"> </w:t>
      </w:r>
      <w:r w:rsidR="006F283D">
        <w:t>Gray</w:t>
      </w:r>
      <w:r w:rsidR="004807E2">
        <w:t>'s view is that the assumption</w:t>
      </w:r>
      <w:r w:rsidR="00290879">
        <w:t xml:space="preserve"> is</w:t>
      </w:r>
      <w:r w:rsidR="004807E2">
        <w:t xml:space="preserve"> unreasonable</w:t>
      </w:r>
      <w:r w:rsidR="00290879">
        <w:t>.</w:t>
      </w:r>
      <w:r w:rsidR="00290879">
        <w:rPr>
          <w:rStyle w:val="FootnoteReference"/>
        </w:rPr>
        <w:footnoteReference w:id="217"/>
      </w:r>
      <w:r w:rsidR="00290879">
        <w:t xml:space="preserve"> Handley</w:t>
      </w:r>
      <w:r w:rsidR="004807E2">
        <w:t>'s view is, if the assumption is considered unreasonable, '</w:t>
      </w:r>
      <w:r w:rsidR="004807E2" w:rsidRPr="004807E2">
        <w:t>then one should bring the outside assets and outside</w:t>
      </w:r>
      <w:r w:rsidR="004807E2">
        <w:t xml:space="preserve"> </w:t>
      </w:r>
      <w:r w:rsidR="004807E2" w:rsidRPr="004807E2">
        <w:t>investors into the model, for example, by using an international CAPM</w:t>
      </w:r>
      <w:r w:rsidR="004807E2">
        <w:t>'</w:t>
      </w:r>
      <w:r w:rsidR="004807E2" w:rsidRPr="004807E2">
        <w:t>.</w:t>
      </w:r>
      <w:r w:rsidR="00C02961">
        <w:rPr>
          <w:rStyle w:val="FootnoteReference"/>
        </w:rPr>
        <w:footnoteReference w:id="218"/>
      </w:r>
      <w:r w:rsidR="004807E2">
        <w:t xml:space="preserve"> However, neither </w:t>
      </w:r>
      <w:r w:rsidR="006F283D">
        <w:t>Gray</w:t>
      </w:r>
      <w:r w:rsidR="004807E2">
        <w:t xml:space="preserve"> nor Handley suggested that we employ an international CAPM.</w:t>
      </w:r>
      <w:r w:rsidR="00845DE5">
        <w:t xml:space="preserve"> </w:t>
      </w:r>
      <w:r w:rsidR="004807E2">
        <w:t xml:space="preserve">Moreover, Handley </w:t>
      </w:r>
      <w:r w:rsidR="00845DE5">
        <w:t>clearly set out his view that our use of the definition of theta from the Monkhouse framework is reasonable.</w:t>
      </w:r>
      <w:r w:rsidR="004807E2">
        <w:rPr>
          <w:rStyle w:val="FootnoteReference"/>
        </w:rPr>
        <w:footnoteReference w:id="219"/>
      </w:r>
      <w:r w:rsidR="00FE339F">
        <w:t xml:space="preserve"> </w:t>
      </w:r>
    </w:p>
    <w:p w14:paraId="7426A4FB" w14:textId="77777777" w:rsidR="00FB6FD6" w:rsidRDefault="00E30C68" w:rsidP="00FA68C2">
      <w:r>
        <w:t>In conclusion</w:t>
      </w:r>
      <w:r w:rsidR="00FA68C2">
        <w:t xml:space="preserve">, we are not convinced that we should disregard the definition of theta from the Monkhouse framework when estimating </w:t>
      </w:r>
      <w:r w:rsidR="008A0008">
        <w:t>the value of imputation credits.</w:t>
      </w:r>
      <w:r w:rsidR="00290879">
        <w:t xml:space="preserve"> </w:t>
      </w:r>
    </w:p>
    <w:p w14:paraId="0994264D" w14:textId="77777777" w:rsidR="00600543" w:rsidRDefault="00600543" w:rsidP="00600543">
      <w:pPr>
        <w:pStyle w:val="Heading8"/>
      </w:pPr>
      <w:bookmarkStart w:id="62" w:name="_Ref414623120"/>
      <w:bookmarkStart w:id="63" w:name="_Toc433449219"/>
      <w:r>
        <w:t>Further issues relating to the utilisation rate</w:t>
      </w:r>
      <w:bookmarkEnd w:id="62"/>
      <w:bookmarkEnd w:id="63"/>
    </w:p>
    <w:p w14:paraId="138E07DB" w14:textId="77777777" w:rsidR="00600543" w:rsidRDefault="00600543" w:rsidP="00600543">
      <w:pPr>
        <w:numPr>
          <w:ilvl w:val="0"/>
          <w:numId w:val="25"/>
        </w:numPr>
      </w:pPr>
      <w:r>
        <w:t xml:space="preserve">As discussed in section </w:t>
      </w:r>
      <w:r>
        <w:fldChar w:fldCharType="begin"/>
      </w:r>
      <w:r>
        <w:instrText xml:space="preserve"> REF _Ref400965182 \r \h </w:instrText>
      </w:r>
      <w:r>
        <w:fldChar w:fldCharType="separate"/>
      </w:r>
      <w:r w:rsidR="001E2164">
        <w:t>A.6</w:t>
      </w:r>
      <w:r>
        <w:fldChar w:fldCharType="end"/>
      </w:r>
      <w:r>
        <w:t xml:space="preserve">, and in section </w:t>
      </w:r>
      <w:r w:rsidR="0003311D">
        <w:fldChar w:fldCharType="begin"/>
      </w:r>
      <w:r w:rsidR="0003311D">
        <w:instrText xml:space="preserve"> REF _Ref414289593 \r \h </w:instrText>
      </w:r>
      <w:r w:rsidR="0003311D">
        <w:fldChar w:fldCharType="separate"/>
      </w:r>
      <w:r w:rsidR="001E2164">
        <w:t>4.4.2</w:t>
      </w:r>
      <w:r w:rsidR="0003311D">
        <w:fldChar w:fldCharType="end"/>
      </w:r>
      <w:r w:rsidR="0003311D">
        <w:t xml:space="preserve"> </w:t>
      </w:r>
      <w:r>
        <w:t xml:space="preserve">of attachment 4, we define the utilisation rate as the utilisation value to investors in the market per dollar of imputation credits distributed. As also discussed in section </w:t>
      </w:r>
      <w:r>
        <w:fldChar w:fldCharType="begin"/>
      </w:r>
      <w:r>
        <w:instrText xml:space="preserve"> REF _Ref400965182 \r \h </w:instrText>
      </w:r>
      <w:r>
        <w:fldChar w:fldCharType="separate"/>
      </w:r>
      <w:r w:rsidR="001E2164">
        <w:t>A.6</w:t>
      </w:r>
      <w:r>
        <w:fldChar w:fldCharType="end"/>
      </w:r>
      <w:r>
        <w:t xml:space="preserve">, the utilisation rate is equal to the weighted average, by wealth and risk aversion, of the utilisation rates of individual investors. </w:t>
      </w:r>
      <w:r w:rsidRPr="00EB5361">
        <w:t xml:space="preserve">For an ‘eligible’ investor, each dollar of imputation credit received can be fully </w:t>
      </w:r>
      <w:r>
        <w:t>returned to the investor</w:t>
      </w:r>
      <w:r w:rsidRPr="00EB5361">
        <w:t xml:space="preserve"> </w:t>
      </w:r>
      <w:r>
        <w:t xml:space="preserve">in </w:t>
      </w:r>
      <w:r w:rsidRPr="00EB5361">
        <w:t>the form of a reducti</w:t>
      </w:r>
      <w:r>
        <w:t xml:space="preserve">on in tax payable or a refund. </w:t>
      </w:r>
      <w:r w:rsidRPr="00EB5361">
        <w:t xml:space="preserve">Therefore, we consider that eligible investors have </w:t>
      </w:r>
      <w:proofErr w:type="gramStart"/>
      <w:r w:rsidRPr="00EB5361">
        <w:t>a</w:t>
      </w:r>
      <w:proofErr w:type="gramEnd"/>
      <w:r w:rsidRPr="00EB5361">
        <w:t xml:space="preserve"> utilisation rate of 1</w:t>
      </w:r>
      <w:r w:rsidR="003D6A3C">
        <w:t xml:space="preserve"> (on a before-personal-tax and before-personal-costs basis)</w:t>
      </w:r>
      <w:r w:rsidRPr="00EB5361">
        <w:t xml:space="preserve">. Conversely, ‘ineligible’ investors cannot </w:t>
      </w:r>
      <w:r>
        <w:t>utilise</w:t>
      </w:r>
      <w:r w:rsidRPr="00EB5361">
        <w:t xml:space="preserve"> imputation credits and have </w:t>
      </w:r>
      <w:proofErr w:type="gramStart"/>
      <w:r w:rsidRPr="00EB5361">
        <w:t>a</w:t>
      </w:r>
      <w:proofErr w:type="gramEnd"/>
      <w:r w:rsidRPr="00EB5361">
        <w:t xml:space="preserve"> utilisation rate of 0.</w:t>
      </w:r>
      <w:r>
        <w:t xml:space="preserve"> It follows that the utilisation rate reflects the extent to which investors can utilise the imputation credits they receive to reduce their tax or get a refund.</w:t>
      </w:r>
    </w:p>
    <w:p w14:paraId="4AD012A8" w14:textId="77777777" w:rsidR="00600543" w:rsidRDefault="00600543" w:rsidP="00600543">
      <w:pPr>
        <w:numPr>
          <w:ilvl w:val="0"/>
          <w:numId w:val="25"/>
        </w:numPr>
      </w:pPr>
      <w:r>
        <w:lastRenderedPageBreak/>
        <w:t>In this section we provide further support for our position on the utilisation rate. In particular, we:</w:t>
      </w:r>
    </w:p>
    <w:p w14:paraId="2B68966B" w14:textId="77777777" w:rsidR="00600543" w:rsidRPr="00600543" w:rsidRDefault="00600543" w:rsidP="00600543">
      <w:pPr>
        <w:pStyle w:val="AERbulletlistfirststyle"/>
      </w:pPr>
      <w:r>
        <w:t xml:space="preserve">explain how our position is consistent with the basis of the building block framework </w:t>
      </w:r>
    </w:p>
    <w:p w14:paraId="665F431D" w14:textId="77777777" w:rsidR="001A0AD5" w:rsidRDefault="00600543" w:rsidP="00600543">
      <w:pPr>
        <w:pStyle w:val="AERbulletlistfirststyle"/>
      </w:pPr>
      <w:r>
        <w:t>contrast our position with that of the service providers, including with reference to factors they considered should be reflected in the utilisation rate</w:t>
      </w:r>
      <w:r w:rsidR="001A0AD5">
        <w:t>, and</w:t>
      </w:r>
    </w:p>
    <w:p w14:paraId="6F9E8ADF" w14:textId="77777777" w:rsidR="00600543" w:rsidRPr="00600543" w:rsidRDefault="001A0AD5" w:rsidP="00600543">
      <w:pPr>
        <w:pStyle w:val="AERbulletlistfirststyle"/>
      </w:pPr>
      <w:proofErr w:type="gramStart"/>
      <w:r>
        <w:t>respond</w:t>
      </w:r>
      <w:proofErr w:type="gramEnd"/>
      <w:r>
        <w:t xml:space="preserve"> to NERA's view.</w:t>
      </w:r>
    </w:p>
    <w:p w14:paraId="304276F6" w14:textId="77777777" w:rsidR="00600543" w:rsidRDefault="00600543" w:rsidP="00600543">
      <w:pPr>
        <w:pStyle w:val="Heading9"/>
      </w:pPr>
      <w:bookmarkStart w:id="64" w:name="_Ref401748758"/>
      <w:r w:rsidRPr="00600543">
        <w:t>Consistency</w:t>
      </w:r>
      <w:r>
        <w:t xml:space="preserve"> with the building block framework</w:t>
      </w:r>
      <w:bookmarkEnd w:id="64"/>
    </w:p>
    <w:p w14:paraId="00DA8F37" w14:textId="77777777" w:rsidR="00600543" w:rsidRDefault="00600543" w:rsidP="000515FE">
      <w:pPr>
        <w:numPr>
          <w:ilvl w:val="0"/>
          <w:numId w:val="25"/>
        </w:numPr>
      </w:pPr>
      <w:r>
        <w:t xml:space="preserve">To be consistent with the building block framework, the utilisation rate should reflect the before-personal-tax and before-personal-costs value of imputation credits to investors. </w:t>
      </w:r>
      <w:r w:rsidR="006B1012">
        <w:t>In a before-personal-tax and before-personal-costs framework</w:t>
      </w:r>
      <w:r>
        <w:t>, an investor that is eligible to fully utilise imputation credits should value each dollar of imputation credits received at one dollar (that is, have a utilisation rate of 1).</w:t>
      </w:r>
    </w:p>
    <w:p w14:paraId="5BB4EE45" w14:textId="77777777" w:rsidR="00600543" w:rsidRDefault="00600543" w:rsidP="00600543">
      <w:pPr>
        <w:numPr>
          <w:ilvl w:val="0"/>
          <w:numId w:val="25"/>
        </w:numPr>
      </w:pPr>
      <w:r>
        <w:t>This consideration is supported by Handley's advice on the basis of the regulatory (building block) framework:</w:t>
      </w:r>
      <w:r>
        <w:rPr>
          <w:rStyle w:val="FootnoteReference"/>
        </w:rPr>
        <w:footnoteReference w:id="220"/>
      </w:r>
      <w:r>
        <w:t xml:space="preserve"> </w:t>
      </w:r>
    </w:p>
    <w:p w14:paraId="4725BD3C" w14:textId="77777777" w:rsidR="00600543" w:rsidRPr="000F6886" w:rsidRDefault="00600543" w:rsidP="00600543">
      <w:pPr>
        <w:pStyle w:val="AERquote"/>
      </w:pPr>
      <w:r w:rsidRPr="000F6886">
        <w:t>The post-tax basis of the regulatory framework can be more fully described as an after-company-before-personal-tax framework. In other words, cash flows and returns are to be measured after company taxes but before personal taxes. By definition, this means that allowed revenues should include compensation for corporate taxes incurred by the regulated firm but not for personal taxes incurred by the firm’s shareholders. Similarly, allowed revenues should include compensation for prudent, efficient costs incurred by the regulated firm but not for costs (including personal transactions costs) incurred at the shareholder level. Note, this does not mean that personal taxes and costs are being ignored or assumed not to exist – rather there is no need to explicitly include them in the modelling framework.</w:t>
      </w:r>
    </w:p>
    <w:p w14:paraId="0DD988E2" w14:textId="77777777" w:rsidR="00600543" w:rsidRDefault="00600543" w:rsidP="00600543">
      <w:pPr>
        <w:numPr>
          <w:ilvl w:val="0"/>
          <w:numId w:val="25"/>
        </w:numPr>
      </w:pPr>
      <w:r>
        <w:t>Handley also referred specifically to the basis on which the utilisation rate should be estimated:</w:t>
      </w:r>
      <w:r>
        <w:rPr>
          <w:rStyle w:val="FootnoteReference"/>
        </w:rPr>
        <w:footnoteReference w:id="221"/>
      </w:r>
    </w:p>
    <w:p w14:paraId="6D64F0A9" w14:textId="77777777" w:rsidR="00600543" w:rsidRDefault="00600543" w:rsidP="00600543">
      <w:pPr>
        <w:pStyle w:val="AERquote"/>
      </w:pPr>
      <w:r>
        <w:t xml:space="preserve">Since </w:t>
      </w:r>
      <w:r w:rsidRPr="00FB6C1B">
        <w:t>the objective is to estimate the after-company-before-pers</w:t>
      </w:r>
      <w:r>
        <w:t xml:space="preserve">onal-tax value of a distributed </w:t>
      </w:r>
      <w:r w:rsidRPr="00FB6C1B">
        <w:t xml:space="preserve">imputation credit and also to avoid compensating the </w:t>
      </w:r>
      <w:r>
        <w:t xml:space="preserve">regulated firm for transactions </w:t>
      </w:r>
      <w:r w:rsidRPr="00FB6C1B">
        <w:t>costs incurred at the shareholder level then the pa</w:t>
      </w:r>
      <w:r>
        <w:t xml:space="preserve">rticular estimation methodology </w:t>
      </w:r>
      <w:r w:rsidRPr="00FB6C1B">
        <w:t>should allow for these factors – in other words, ideal</w:t>
      </w:r>
      <w:r>
        <w:t xml:space="preserve">ly we want the value of credits </w:t>
      </w:r>
      <w:r w:rsidRPr="00FB6C1B">
        <w:t>before administrative costs, personal taxes and diversification costs.</w:t>
      </w:r>
    </w:p>
    <w:p w14:paraId="547163D4" w14:textId="212B393C" w:rsidR="00DD577F" w:rsidRDefault="002D637F" w:rsidP="00600543">
      <w:r>
        <w:t xml:space="preserve">The service providers </w:t>
      </w:r>
      <w:r w:rsidR="009673FC">
        <w:t>consider</w:t>
      </w:r>
      <w:r>
        <w:t xml:space="preserve"> our interpretation of the utilisation rate conceptually incorrect and inconsistent with the requirements of the NER/NGR.</w:t>
      </w:r>
      <w:r>
        <w:rPr>
          <w:rStyle w:val="FootnoteReference"/>
        </w:rPr>
        <w:footnoteReference w:id="222"/>
      </w:r>
      <w:r w:rsidR="007017ED">
        <w:t xml:space="preserve"> Specifically, </w:t>
      </w:r>
      <w:r w:rsidR="008E6820">
        <w:t>a number of</w:t>
      </w:r>
      <w:r w:rsidR="007017ED">
        <w:t xml:space="preserve"> service providers </w:t>
      </w:r>
      <w:r w:rsidR="004A726F">
        <w:t>submitted</w:t>
      </w:r>
      <w:r w:rsidR="007017ED">
        <w:t>:</w:t>
      </w:r>
      <w:r w:rsidR="007017ED">
        <w:rPr>
          <w:rStyle w:val="FootnoteReference"/>
        </w:rPr>
        <w:footnoteReference w:id="223"/>
      </w:r>
    </w:p>
    <w:p w14:paraId="1D0F8D2A" w14:textId="77777777" w:rsidR="007017ED" w:rsidRDefault="004A726F" w:rsidP="004A726F">
      <w:pPr>
        <w:pStyle w:val="AERquote"/>
      </w:pPr>
      <w:r w:rsidRPr="004A726F">
        <w:lastRenderedPageBreak/>
        <w:t>It is certainly true that theta must reflect the value of imputation credits to investors. However</w:t>
      </w:r>
      <w:r>
        <w:t xml:space="preserve"> it is </w:t>
      </w:r>
      <w:r w:rsidRPr="004A726F">
        <w:t>unusual for theta to be defined in a way that excludes the effect of certain factors that may impact on</w:t>
      </w:r>
      <w:r>
        <w:t xml:space="preserve"> </w:t>
      </w:r>
      <w:r w:rsidRPr="004A726F">
        <w:t>value (and which will be reflected in market value measures), such as personal costs.</w:t>
      </w:r>
    </w:p>
    <w:p w14:paraId="78A7533B" w14:textId="0BC8AA5C" w:rsidR="00E86394" w:rsidRDefault="00E86394" w:rsidP="00600543">
      <w:r>
        <w:t>We</w:t>
      </w:r>
      <w:r w:rsidR="004A726F">
        <w:t xml:space="preserve"> disagree. We consider that our approach is consistent with the NER/NGR. We</w:t>
      </w:r>
      <w:r>
        <w:t xml:space="preserve"> have </w:t>
      </w:r>
      <w:r w:rsidR="00CF7CCA">
        <w:t xml:space="preserve">previously </w:t>
      </w:r>
      <w:r w:rsidR="001379E9">
        <w:t>noted</w:t>
      </w:r>
      <w:r>
        <w:t xml:space="preserve"> </w:t>
      </w:r>
      <w:r w:rsidR="00CF7CCA">
        <w:t>in</w:t>
      </w:r>
      <w:r>
        <w:t xml:space="preserve"> the Gu</w:t>
      </w:r>
      <w:r w:rsidR="00CF7CCA">
        <w:t>ideline</w:t>
      </w:r>
      <w:r w:rsidR="00D05C2A">
        <w:t xml:space="preserve"> and </w:t>
      </w:r>
      <w:r w:rsidR="00C600C4">
        <w:t>in our prior</w:t>
      </w:r>
      <w:r w:rsidR="00D05C2A">
        <w:t xml:space="preserve"> decision</w:t>
      </w:r>
      <w:r w:rsidR="00895E9C">
        <w:t>s</w:t>
      </w:r>
      <w:r w:rsidR="002339AE">
        <w:t>, and maintain in this final decision,</w:t>
      </w:r>
      <w:r w:rsidR="00CF7CCA">
        <w:t xml:space="preserve"> that the Officer framework provides the basis for the rate of return framework in the NER/NGR.</w:t>
      </w:r>
      <w:r w:rsidR="00CF7CCA">
        <w:rPr>
          <w:rStyle w:val="FootnoteReference"/>
        </w:rPr>
        <w:footnoteReference w:id="224"/>
      </w:r>
      <w:r w:rsidR="00CF7CCA">
        <w:t xml:space="preserve"> This</w:t>
      </w:r>
      <w:r w:rsidR="00C34462">
        <w:t xml:space="preserve"> point</w:t>
      </w:r>
      <w:r w:rsidR="00CF7CCA">
        <w:t xml:space="preserve"> has not been contested by the service providers or their consultants.</w:t>
      </w:r>
      <w:r w:rsidR="00364352">
        <w:t xml:space="preserve"> </w:t>
      </w:r>
      <w:r w:rsidR="007017ED">
        <w:t>If the Officer framework provides the basis for the rate of return fr</w:t>
      </w:r>
      <w:r w:rsidR="00B07419">
        <w:t>amework</w:t>
      </w:r>
      <w:r w:rsidR="00C34462">
        <w:t xml:space="preserve"> in the NER/NGR</w:t>
      </w:r>
      <w:r w:rsidR="00B07419">
        <w:t>, then it is reasonable</w:t>
      </w:r>
      <w:r w:rsidR="00B07419">
        <w:rPr>
          <w:rFonts w:cs="Arial"/>
        </w:rPr>
        <w:t>—</w:t>
      </w:r>
      <w:r w:rsidR="00B07419">
        <w:t>if not necessary</w:t>
      </w:r>
      <w:r w:rsidR="00B07419">
        <w:rPr>
          <w:rFonts w:cs="Arial"/>
        </w:rPr>
        <w:t>—</w:t>
      </w:r>
      <w:r w:rsidR="007017ED">
        <w:t xml:space="preserve">to estimate gamma in a manner consistent with Officer. </w:t>
      </w:r>
      <w:r w:rsidR="004A726F">
        <w:t>Therefore</w:t>
      </w:r>
      <w:r w:rsidR="00B07419">
        <w:t xml:space="preserve">, </w:t>
      </w:r>
      <w:r w:rsidR="00925205">
        <w:t xml:space="preserve">we have considered whether </w:t>
      </w:r>
      <w:r w:rsidR="00B07419">
        <w:t>Officer's framework</w:t>
      </w:r>
      <w:r w:rsidR="00D05C2A">
        <w:t xml:space="preserve"> is</w:t>
      </w:r>
      <w:r w:rsidR="00B07419">
        <w:t xml:space="preserve"> </w:t>
      </w:r>
      <w:r w:rsidR="00F77A67">
        <w:t xml:space="preserve">intended to reflect </w:t>
      </w:r>
      <w:r w:rsidR="00D05C2A">
        <w:t>factors</w:t>
      </w:r>
      <w:r w:rsidR="00925205">
        <w:t xml:space="preserve"> such as personal taxes and personal costs</w:t>
      </w:r>
      <w:r w:rsidR="00F77A67">
        <w:t xml:space="preserve"> when determining the rate of return. Handley's advice is that it is not. </w:t>
      </w:r>
      <w:r w:rsidR="00F00DD2">
        <w:t>Gray (for both SFG and Frontier)</w:t>
      </w:r>
      <w:r w:rsidR="00646595">
        <w:t xml:space="preserve"> disagrees, but as discussed in section </w:t>
      </w:r>
      <w:r w:rsidR="00646595">
        <w:fldChar w:fldCharType="begin"/>
      </w:r>
      <w:r w:rsidR="00646595">
        <w:instrText xml:space="preserve"> REF _Ref414028398 \r \h </w:instrText>
      </w:r>
      <w:r w:rsidR="00646595">
        <w:fldChar w:fldCharType="separate"/>
      </w:r>
      <w:r w:rsidR="001E2164">
        <w:t>A.7.3</w:t>
      </w:r>
      <w:r w:rsidR="00646595">
        <w:fldChar w:fldCharType="end"/>
      </w:r>
      <w:r w:rsidR="00646595">
        <w:t xml:space="preserve">, </w:t>
      </w:r>
      <w:r w:rsidR="00F00DD2">
        <w:t>Gray</w:t>
      </w:r>
      <w:r w:rsidR="00646595">
        <w:t>'s interpretation</w:t>
      </w:r>
      <w:r w:rsidR="00F04FB9">
        <w:t xml:space="preserve"> is unconvincing to us</w:t>
      </w:r>
      <w:r w:rsidR="00646595">
        <w:t>.</w:t>
      </w:r>
    </w:p>
    <w:p w14:paraId="160E4BB4" w14:textId="77777777" w:rsidR="00507DED" w:rsidRDefault="00B07419" w:rsidP="00F11DE9">
      <w:r>
        <w:t>Put another way, our approach to estimating the value of imputation credits recognises that this parameter does not exist in iso</w:t>
      </w:r>
      <w:r w:rsidR="00446B6C">
        <w:t xml:space="preserve">lation. That is, the NER/NGR </w:t>
      </w:r>
      <w:proofErr w:type="gramStart"/>
      <w:r w:rsidR="00446B6C">
        <w:t>employ</w:t>
      </w:r>
      <w:proofErr w:type="gramEnd"/>
      <w:r w:rsidR="00446B6C">
        <w:t xml:space="preserve"> the building block framework to determine </w:t>
      </w:r>
      <w:r w:rsidR="0011669D">
        <w:t>a</w:t>
      </w:r>
      <w:r w:rsidR="00D712D1">
        <w:t xml:space="preserve"> revenue allowance</w:t>
      </w:r>
      <w:r w:rsidR="0011669D">
        <w:t xml:space="preserve"> </w:t>
      </w:r>
      <w:r w:rsidR="0062492D">
        <w:t>that</w:t>
      </w:r>
      <w:r w:rsidR="0011669D">
        <w:t xml:space="preserve"> </w:t>
      </w:r>
      <w:r w:rsidR="006508E8">
        <w:t>contributes to the achievement of</w:t>
      </w:r>
      <w:r w:rsidR="0011669D">
        <w:t xml:space="preserve"> the NEO/NGO</w:t>
      </w:r>
      <w:r w:rsidR="00D712D1">
        <w:t>. T</w:t>
      </w:r>
      <w:r w:rsidR="00446B6C">
        <w:t>he building block framework employs the Officer framework to determine a</w:t>
      </w:r>
      <w:r w:rsidR="006508E8">
        <w:t xml:space="preserve"> </w:t>
      </w:r>
      <w:r w:rsidR="00446B6C">
        <w:t>rate of return</w:t>
      </w:r>
      <w:r w:rsidR="0011669D">
        <w:t xml:space="preserve"> that contributes to meeting the NEO/NGO</w:t>
      </w:r>
      <w:r w:rsidR="00D05C2A">
        <w:t>, and gamma forms part of the Officer framework</w:t>
      </w:r>
      <w:r w:rsidR="00446B6C">
        <w:t xml:space="preserve">. </w:t>
      </w:r>
      <w:r w:rsidR="00E21F6C">
        <w:t>We consider that proper regard to the NER/NGR</w:t>
      </w:r>
      <w:r w:rsidR="001D62E9">
        <w:t xml:space="preserve">'s use of the Officer </w:t>
      </w:r>
      <w:proofErr w:type="gramStart"/>
      <w:r w:rsidR="001D62E9">
        <w:t>framework</w:t>
      </w:r>
      <w:proofErr w:type="gramEnd"/>
      <w:r w:rsidR="00E21F6C">
        <w:t xml:space="preserve"> best promotes the </w:t>
      </w:r>
      <w:r w:rsidR="0011669D">
        <w:t xml:space="preserve">objectives and </w:t>
      </w:r>
      <w:r w:rsidR="00E21F6C">
        <w:t>requirements of the NER/NGR.</w:t>
      </w:r>
      <w:r w:rsidR="00507DED">
        <w:t xml:space="preserve"> </w:t>
      </w:r>
    </w:p>
    <w:p w14:paraId="32AB7700" w14:textId="666B0F78" w:rsidR="00507DED" w:rsidRPr="00DC6340" w:rsidRDefault="00507DED" w:rsidP="00F11DE9">
      <w:pPr>
        <w:rPr>
          <w:rStyle w:val="AERbody"/>
        </w:rPr>
      </w:pPr>
      <w:r w:rsidRPr="00DC6340">
        <w:rPr>
          <w:rStyle w:val="AERbody"/>
        </w:rPr>
        <w:lastRenderedPageBreak/>
        <w:t xml:space="preserve">Handley supports our approach and has explicitly stated that the AER's </w:t>
      </w:r>
      <w:r w:rsidR="00044F9D" w:rsidRPr="00DC6340">
        <w:rPr>
          <w:rStyle w:val="AERbody"/>
        </w:rPr>
        <w:t>definition</w:t>
      </w:r>
      <w:r w:rsidRPr="00DC6340">
        <w:rPr>
          <w:rStyle w:val="AERbody"/>
        </w:rPr>
        <w:t xml:space="preserve"> of theta does correspond to a "market value" </w:t>
      </w:r>
      <w:r w:rsidR="005B201F" w:rsidRPr="00DC6340">
        <w:rPr>
          <w:rStyle w:val="AERbody"/>
        </w:rPr>
        <w:t xml:space="preserve">on a </w:t>
      </w:r>
      <w:r w:rsidRPr="00DC6340">
        <w:rPr>
          <w:rStyle w:val="AERbody"/>
        </w:rPr>
        <w:t>before personal taxes and before personal costs basis:</w:t>
      </w:r>
      <w:r w:rsidR="00DC6340">
        <w:rPr>
          <w:rStyle w:val="FootnoteReference"/>
        </w:rPr>
        <w:footnoteReference w:id="225"/>
      </w:r>
    </w:p>
    <w:p w14:paraId="15277A42" w14:textId="6249FF2C" w:rsidR="00507DED" w:rsidRPr="00DC6340" w:rsidRDefault="00507DED" w:rsidP="00DC6340">
      <w:pPr>
        <w:pStyle w:val="AERquote"/>
        <w:rPr>
          <w:rStyle w:val="AERtexthighlight"/>
          <w:shd w:val="clear" w:color="auto" w:fill="auto"/>
        </w:rPr>
      </w:pPr>
      <w:r w:rsidRPr="00DC6340">
        <w:rPr>
          <w:rStyle w:val="AERtexthighlight"/>
          <w:shd w:val="clear" w:color="auto" w:fill="auto"/>
        </w:rPr>
        <w:t>When used in everyday language, the meaning of the term “value” is generally well understood. However, in a cost of capital context, the term value is potentially ambiguous. Value can be used to refer to a value before taxes or a value after taxes. It can refer to a value before costs or a value after costs. The term “rate of return” (or discount rate) is similarly potentially ambiguous. A return can be measured or defined before taxes or after taxes. A return can also be measured or defined before costs or after costs.</w:t>
      </w:r>
    </w:p>
    <w:p w14:paraId="2A01DA13" w14:textId="68CA6257" w:rsidR="00507DED" w:rsidRPr="00DC6340" w:rsidRDefault="00507DED" w:rsidP="00DC6340">
      <w:pPr>
        <w:pStyle w:val="AERquote"/>
        <w:rPr>
          <w:rStyle w:val="AERtexthighlight"/>
          <w:shd w:val="clear" w:color="auto" w:fill="auto"/>
        </w:rPr>
      </w:pPr>
      <w:r w:rsidRPr="00DC6340">
        <w:rPr>
          <w:rStyle w:val="AERtexthighlight"/>
          <w:shd w:val="clear" w:color="auto" w:fill="auto"/>
        </w:rPr>
        <w:t>This is why it is very important to be absolutely precise about how the key inputs of a WACC analysis – cash flow and discount rate – are defined and to ensure that they are defined on the same basis.</w:t>
      </w:r>
    </w:p>
    <w:p w14:paraId="3F5CF722" w14:textId="5B36F38D" w:rsidR="00507DED" w:rsidRPr="00DC6340" w:rsidRDefault="00507DED" w:rsidP="00DC6340">
      <w:pPr>
        <w:pStyle w:val="AERquote"/>
        <w:rPr>
          <w:rStyle w:val="AERtexthighlight"/>
          <w:shd w:val="clear" w:color="auto" w:fill="auto"/>
        </w:rPr>
      </w:pPr>
      <w:r w:rsidRPr="00DC6340">
        <w:rPr>
          <w:rStyle w:val="AERtexthighlight"/>
          <w:shd w:val="clear" w:color="auto" w:fill="auto"/>
        </w:rPr>
        <w:t>The AER definition of theta does indeed correspond to a market value (as in “worth to</w:t>
      </w:r>
      <w:r w:rsidR="00144841" w:rsidRPr="00DC6340">
        <w:rPr>
          <w:rStyle w:val="AERtexthighlight"/>
          <w:shd w:val="clear" w:color="auto" w:fill="auto"/>
        </w:rPr>
        <w:t xml:space="preserve"> </w:t>
      </w:r>
      <w:r w:rsidRPr="00DC6340">
        <w:rPr>
          <w:rStyle w:val="AERtexthighlight"/>
          <w:shd w:val="clear" w:color="auto" w:fill="auto"/>
        </w:rPr>
        <w:t>investors”) interpretation of theta if value is taken here to mean the value of imputation</w:t>
      </w:r>
      <w:r w:rsidR="00144841" w:rsidRPr="00DC6340">
        <w:rPr>
          <w:rStyle w:val="AERtexthighlight"/>
          <w:shd w:val="clear" w:color="auto" w:fill="auto"/>
        </w:rPr>
        <w:t xml:space="preserve"> </w:t>
      </w:r>
      <w:r w:rsidRPr="00DC6340">
        <w:rPr>
          <w:rStyle w:val="AERtexthighlight"/>
          <w:shd w:val="clear" w:color="auto" w:fill="auto"/>
        </w:rPr>
        <w:t>credits before personal taxes and before personal costs. This interpretation is neither</w:t>
      </w:r>
      <w:r w:rsidR="00144841" w:rsidRPr="00DC6340">
        <w:rPr>
          <w:rStyle w:val="AERtexthighlight"/>
          <w:shd w:val="clear" w:color="auto" w:fill="auto"/>
        </w:rPr>
        <w:t xml:space="preserve"> </w:t>
      </w:r>
      <w:r w:rsidRPr="00DC6340">
        <w:rPr>
          <w:rStyle w:val="AERtexthighlight"/>
          <w:shd w:val="clear" w:color="auto" w:fill="auto"/>
        </w:rPr>
        <w:t>novel nor new. It comes directly from the seminal 1994 paper by Officer.</w:t>
      </w:r>
    </w:p>
    <w:p w14:paraId="4630E982" w14:textId="2D90DEB2" w:rsidR="00F11DE9" w:rsidRPr="00DC6340" w:rsidRDefault="00184B67" w:rsidP="0084784F">
      <w:pPr>
        <w:rPr>
          <w:rStyle w:val="AERbody"/>
        </w:rPr>
      </w:pPr>
      <w:r w:rsidRPr="00DC6340">
        <w:rPr>
          <w:rStyle w:val="AERbody"/>
        </w:rPr>
        <w:t>Finally, give</w:t>
      </w:r>
      <w:r w:rsidR="004373C4" w:rsidRPr="00DC6340">
        <w:rPr>
          <w:rStyle w:val="AERbody"/>
        </w:rPr>
        <w:t>n the</w:t>
      </w:r>
      <w:r w:rsidRPr="00DC6340">
        <w:rPr>
          <w:rStyle w:val="AERbody"/>
        </w:rPr>
        <w:t xml:space="preserve"> discussion above that indicates why </w:t>
      </w:r>
      <w:r w:rsidR="004373C4" w:rsidRPr="00DC6340">
        <w:rPr>
          <w:rStyle w:val="AERbody"/>
        </w:rPr>
        <w:t>we co</w:t>
      </w:r>
      <w:r w:rsidR="00CA7B5B" w:rsidRPr="00DC6340">
        <w:rPr>
          <w:rStyle w:val="AERbody"/>
        </w:rPr>
        <w:t>ns</w:t>
      </w:r>
      <w:r w:rsidR="004373C4" w:rsidRPr="00DC6340">
        <w:rPr>
          <w:rStyle w:val="AERbody"/>
        </w:rPr>
        <w:t xml:space="preserve">ider </w:t>
      </w:r>
      <w:r w:rsidRPr="00DC6340">
        <w:rPr>
          <w:rStyle w:val="AERbody"/>
        </w:rPr>
        <w:t xml:space="preserve">our definition of theta is an estimate of the </w:t>
      </w:r>
      <w:r w:rsidR="005B201F" w:rsidRPr="00DC6340">
        <w:rPr>
          <w:rStyle w:val="AERbody"/>
        </w:rPr>
        <w:t>v</w:t>
      </w:r>
      <w:r w:rsidRPr="00DC6340">
        <w:rPr>
          <w:rStyle w:val="AERbody"/>
        </w:rPr>
        <w:t xml:space="preserve">alue of imputation credits </w:t>
      </w:r>
      <w:r w:rsidR="00535167" w:rsidRPr="00DC6340">
        <w:rPr>
          <w:rStyle w:val="AERbody"/>
        </w:rPr>
        <w:t xml:space="preserve">to investors in the market </w:t>
      </w:r>
      <w:r w:rsidRPr="00DC6340">
        <w:rPr>
          <w:rStyle w:val="AERbody"/>
        </w:rPr>
        <w:t xml:space="preserve">before personal taxes and personal transactions costs, </w:t>
      </w:r>
      <w:r w:rsidR="004373C4" w:rsidRPr="00DC6340">
        <w:rPr>
          <w:rStyle w:val="AERbody"/>
        </w:rPr>
        <w:t xml:space="preserve">we consider </w:t>
      </w:r>
      <w:r w:rsidRPr="00DC6340">
        <w:rPr>
          <w:rStyle w:val="AERbody"/>
        </w:rPr>
        <w:t xml:space="preserve">there is little in the service providers position that </w:t>
      </w:r>
      <w:r w:rsidR="004373C4" w:rsidRPr="00DC6340">
        <w:rPr>
          <w:rStyle w:val="AERbody"/>
        </w:rPr>
        <w:t xml:space="preserve">imputation credits </w:t>
      </w:r>
      <w:r w:rsidR="0084784F" w:rsidRPr="00DC6340">
        <w:rPr>
          <w:rStyle w:val="AERbody"/>
        </w:rPr>
        <w:t xml:space="preserve">should </w:t>
      </w:r>
      <w:r w:rsidRPr="00DC6340">
        <w:rPr>
          <w:rStyle w:val="AERbody"/>
        </w:rPr>
        <w:t xml:space="preserve">either </w:t>
      </w:r>
      <w:r w:rsidR="0084784F" w:rsidRPr="00DC6340">
        <w:rPr>
          <w:rStyle w:val="AERbody"/>
        </w:rPr>
        <w:t>be interpreted as the value of distributed credits, or the</w:t>
      </w:r>
      <w:r w:rsidR="00FD5CB6" w:rsidRPr="00DC6340">
        <w:rPr>
          <w:rStyle w:val="AERbody"/>
        </w:rPr>
        <w:t xml:space="preserve"> proportion of distributed credits likely to be redeemed by investors</w:t>
      </w:r>
      <w:r w:rsidRPr="00DC6340">
        <w:rPr>
          <w:rStyle w:val="AERbody"/>
        </w:rPr>
        <w:t xml:space="preserve">. Handley also </w:t>
      </w:r>
      <w:r w:rsidR="00FD5CB6" w:rsidRPr="00DC6340">
        <w:rPr>
          <w:rStyle w:val="AERbody"/>
        </w:rPr>
        <w:t>states with respect to the</w:t>
      </w:r>
      <w:r w:rsidR="004373C4" w:rsidRPr="00DC6340">
        <w:rPr>
          <w:rStyle w:val="AERbody"/>
        </w:rPr>
        <w:t xml:space="preserve"> alleged difference between the value of imputation credits and the redemption value</w:t>
      </w:r>
      <w:r w:rsidR="0084784F" w:rsidRPr="00DC6340">
        <w:rPr>
          <w:rStyle w:val="AERbody"/>
        </w:rPr>
        <w:t>:</w:t>
      </w:r>
      <w:r w:rsidR="00DC6340">
        <w:rPr>
          <w:rStyle w:val="FootnoteReference"/>
        </w:rPr>
        <w:footnoteReference w:id="226"/>
      </w:r>
    </w:p>
    <w:p w14:paraId="57220F10" w14:textId="517878B0" w:rsidR="00FD5CB6" w:rsidRPr="00DC6340" w:rsidRDefault="00FD5CB6" w:rsidP="00DC6340">
      <w:pPr>
        <w:pStyle w:val="AERquote"/>
        <w:rPr>
          <w:rStyle w:val="AERtexthighlight"/>
          <w:shd w:val="clear" w:color="auto" w:fill="auto"/>
        </w:rPr>
      </w:pPr>
      <w:r w:rsidRPr="00DC6340">
        <w:rPr>
          <w:rStyle w:val="AERtexthighlight"/>
          <w:shd w:val="clear" w:color="auto" w:fill="auto"/>
        </w:rPr>
        <w:t>There is no either-or decision to be made here. The value of distributed credits and the pr</w:t>
      </w:r>
      <w:r w:rsidR="004373C4" w:rsidRPr="00DC6340">
        <w:rPr>
          <w:rStyle w:val="AERtexthighlight"/>
          <w:shd w:val="clear" w:color="auto" w:fill="auto"/>
        </w:rPr>
        <w:t xml:space="preserve">oportion of credits redeemed </w:t>
      </w:r>
      <w:r w:rsidRPr="00DC6340">
        <w:rPr>
          <w:rStyle w:val="AERtexthighlight"/>
          <w:shd w:val="clear" w:color="auto" w:fill="auto"/>
        </w:rPr>
        <w:t xml:space="preserve">are the same thing when one uses the proper definition of “value” in relation to theta (and gamma). Specifically, theta is the value of a dollar of distributed credits before personal taxes and before personal costs. In this case, the value of the credits and the proportion of the credits redeemed are one and the same thing. This is why Officer (1994) uses both descriptions interchangeably when referring to gamma in his seminal paper. </w:t>
      </w:r>
    </w:p>
    <w:p w14:paraId="5A25E2C1" w14:textId="28C640E2" w:rsidR="00184B67" w:rsidRPr="00DC6340" w:rsidRDefault="00EE3FE0" w:rsidP="00FD5CB6">
      <w:pPr>
        <w:rPr>
          <w:rStyle w:val="AERbody"/>
        </w:rPr>
      </w:pPr>
      <w:r w:rsidRPr="00DC6340">
        <w:rPr>
          <w:rStyle w:val="AERbody"/>
        </w:rPr>
        <w:t>Handley</w:t>
      </w:r>
      <w:r w:rsidR="00FD5CB6" w:rsidRPr="00DC6340">
        <w:rPr>
          <w:rStyle w:val="AERbody"/>
        </w:rPr>
        <w:t xml:space="preserve"> also</w:t>
      </w:r>
      <w:r w:rsidRPr="00DC6340">
        <w:rPr>
          <w:rStyle w:val="AERbody"/>
        </w:rPr>
        <w:t xml:space="preserve"> state</w:t>
      </w:r>
      <w:r w:rsidR="00FD5CB6" w:rsidRPr="00DC6340">
        <w:rPr>
          <w:rStyle w:val="AERbody"/>
        </w:rPr>
        <w:t>s</w:t>
      </w:r>
      <w:r w:rsidRPr="00DC6340">
        <w:rPr>
          <w:rStyle w:val="AERbody"/>
        </w:rPr>
        <w:t>:</w:t>
      </w:r>
      <w:r w:rsidR="00DC6340">
        <w:rPr>
          <w:rStyle w:val="FootnoteReference"/>
        </w:rPr>
        <w:footnoteReference w:id="227"/>
      </w:r>
    </w:p>
    <w:p w14:paraId="26054303" w14:textId="3FA2E0F5" w:rsidR="00EE3FE0" w:rsidRPr="00DC6340" w:rsidRDefault="00EE3FE0" w:rsidP="00DC6340">
      <w:pPr>
        <w:pStyle w:val="AERquote"/>
        <w:rPr>
          <w:rStyle w:val="AERtexthighlight"/>
          <w:shd w:val="clear" w:color="auto" w:fill="auto"/>
        </w:rPr>
      </w:pPr>
      <w:r w:rsidRPr="00DC6340">
        <w:rPr>
          <w:rStyle w:val="AERtexthighlight"/>
          <w:shd w:val="clear" w:color="auto" w:fill="auto"/>
        </w:rPr>
        <w:t xml:space="preserve">SFG (2015 para. 124-135) also suggests that the mathematical formulae in Officer (1994) support a value interpretation of gamma but not a redemption value </w:t>
      </w:r>
      <w:r w:rsidRPr="00DC6340">
        <w:rPr>
          <w:rStyle w:val="AERtexthighlight"/>
          <w:shd w:val="clear" w:color="auto" w:fill="auto"/>
        </w:rPr>
        <w:lastRenderedPageBreak/>
        <w:t>interpretation since: “It is clear in this formula [para.127] that gamma represents … the extent to which imputation credits increase the market value of equity”. There is no dispute that the (market) value of credits are capitalised into stock prices – this is clear from equation (2) above. However, SFG fails to see that within Officer’s framework it is the before personal tax and before personal costs value of a credit – the redemption value – which is the item being capitalised.</w:t>
      </w:r>
    </w:p>
    <w:p w14:paraId="5D7AE96E" w14:textId="77777777" w:rsidR="00091B15" w:rsidRDefault="00F56EED" w:rsidP="00091B15">
      <w:pPr>
        <w:pStyle w:val="Heading9"/>
      </w:pPr>
      <w:bookmarkStart w:id="65" w:name="_Ref414099389"/>
      <w:r>
        <w:t>Factors affecting investors' valuation of imputation credits</w:t>
      </w:r>
      <w:bookmarkEnd w:id="65"/>
    </w:p>
    <w:p w14:paraId="4F5A0C8F" w14:textId="20DDD15B" w:rsidR="00EB1D7C" w:rsidRDefault="00E57E05" w:rsidP="003C23B4">
      <w:r>
        <w:t>A number of</w:t>
      </w:r>
      <w:r w:rsidR="000515FE">
        <w:t xml:space="preserve"> service providers submitted that estimates of the utilisation rate from the equity ownership approach and tax statistics do not reflect a number of factors which affect investors' valuation of imputation credits.</w:t>
      </w:r>
      <w:r w:rsidR="000515FE">
        <w:rPr>
          <w:rStyle w:val="FootnoteReference"/>
        </w:rPr>
        <w:footnoteReference w:id="228"/>
      </w:r>
      <w:r w:rsidR="000515FE">
        <w:t xml:space="preserve"> We addressed each of these factors in our </w:t>
      </w:r>
      <w:r w:rsidR="00C600C4">
        <w:t>prior</w:t>
      </w:r>
      <w:r w:rsidR="000515FE">
        <w:t xml:space="preserve"> decision</w:t>
      </w:r>
      <w:r w:rsidR="00895E9C">
        <w:t>s</w:t>
      </w:r>
      <w:r w:rsidR="000515FE">
        <w:t xml:space="preserve">, and concluded that they are either immaterial or should not be accounted for when estimating the properly defined utilisation rate. Nothing in the service providers' revised </w:t>
      </w:r>
      <w:r>
        <w:t xml:space="preserve">or new </w:t>
      </w:r>
      <w:r w:rsidR="000515FE">
        <w:t>proposals give us cause to change this conclusion.</w:t>
      </w:r>
    </w:p>
    <w:p w14:paraId="4CA09D7E" w14:textId="77777777" w:rsidR="00D52BA6" w:rsidRDefault="00D52BA6" w:rsidP="00D52BA6">
      <w:pPr>
        <w:pStyle w:val="HeadingBoldBlue"/>
        <w:numPr>
          <w:ilvl w:val="0"/>
          <w:numId w:val="25"/>
        </w:numPr>
      </w:pPr>
      <w:r>
        <w:t>The 45-day holding rule</w:t>
      </w:r>
    </w:p>
    <w:p w14:paraId="48C6D8EB" w14:textId="77777777" w:rsidR="00D52BA6" w:rsidRDefault="00D52BA6" w:rsidP="00D52BA6">
      <w:pPr>
        <w:numPr>
          <w:ilvl w:val="0"/>
          <w:numId w:val="25"/>
        </w:numPr>
      </w:pPr>
      <w:r>
        <w:t>To be eligible to utilise imputation credits, an otherwise-eligible investor must have held the</w:t>
      </w:r>
      <w:r w:rsidRPr="0026243E">
        <w:t xml:space="preserve"> shares</w:t>
      </w:r>
      <w:r>
        <w:t xml:space="preserve"> that distributed the credits</w:t>
      </w:r>
      <w:r w:rsidRPr="0026243E">
        <w:t xml:space="preserve"> ‘at risk’ for at least 45 days (90 days for certain preference shares)</w:t>
      </w:r>
      <w:r>
        <w:t>.</w:t>
      </w:r>
      <w:r>
        <w:rPr>
          <w:rStyle w:val="FootnoteReference"/>
        </w:rPr>
        <w:footnoteReference w:id="229"/>
      </w:r>
      <w:r>
        <w:t xml:space="preserve"> However, this rule does not apply </w:t>
      </w:r>
      <w:r w:rsidRPr="00FD3209">
        <w:t xml:space="preserve">if </w:t>
      </w:r>
      <w:r>
        <w:t>the investor's</w:t>
      </w:r>
      <w:r w:rsidRPr="00FD3209">
        <w:t xml:space="preserve"> total credit entitlement is below $5,000</w:t>
      </w:r>
      <w:r>
        <w:t xml:space="preserve">. </w:t>
      </w:r>
    </w:p>
    <w:p w14:paraId="0F7C89AA" w14:textId="78B54A33" w:rsidR="00D52BA6" w:rsidRDefault="00E57E05" w:rsidP="00D52BA6">
      <w:pPr>
        <w:numPr>
          <w:ilvl w:val="0"/>
          <w:numId w:val="25"/>
        </w:numPr>
      </w:pPr>
      <w:r>
        <w:t>A number of</w:t>
      </w:r>
      <w:r w:rsidR="00D52BA6">
        <w:t xml:space="preserve"> service providers stated:</w:t>
      </w:r>
      <w:r w:rsidR="00D52BA6">
        <w:rPr>
          <w:rStyle w:val="FootnoteReference"/>
        </w:rPr>
        <w:footnoteReference w:id="230"/>
      </w:r>
    </w:p>
    <w:p w14:paraId="37B9ED84" w14:textId="77777777" w:rsidR="00D52BA6" w:rsidRDefault="00D52BA6" w:rsidP="00D52BA6">
      <w:pPr>
        <w:pStyle w:val="AERquote"/>
      </w:pPr>
      <w:r>
        <w:t>It has been estimated that the 45-day rule has about a 5-10% impact on the redemption rate.</w:t>
      </w:r>
    </w:p>
    <w:p w14:paraId="72D9A19D" w14:textId="77777777" w:rsidR="00D52BA6" w:rsidRDefault="00D52BA6" w:rsidP="00D52BA6">
      <w:pPr>
        <w:numPr>
          <w:ilvl w:val="0"/>
          <w:numId w:val="25"/>
        </w:numPr>
      </w:pPr>
      <w:r>
        <w:t>The source of this estimate is a 2010 paper by Handley. The relevant passage from this paper is:</w:t>
      </w:r>
      <w:r>
        <w:rPr>
          <w:rStyle w:val="FootnoteReference"/>
        </w:rPr>
        <w:footnoteReference w:id="231"/>
      </w:r>
    </w:p>
    <w:p w14:paraId="2219FAE0" w14:textId="77777777" w:rsidR="00D52BA6" w:rsidRDefault="00D52BA6" w:rsidP="00D52BA6">
      <w:pPr>
        <w:pStyle w:val="AERquote"/>
      </w:pPr>
      <w:r w:rsidRPr="00E23E1D">
        <w:t>Post 1 July 2000, [Handley and Mahesw</w:t>
      </w:r>
      <w:r>
        <w:t>aran in their 2008 paper</w:t>
      </w:r>
      <w:r w:rsidRPr="00E23E1D">
        <w:t xml:space="preserve">] assume full utilization of credits by resident individuals since excess credits were refundable from that time. It is of course likely that the actual utilization rate would be somewhat lower due to for example, “investor irrationality” and the impact of the 45 day rule but any difference is likely to be small. (The effect of the 45 day rule is that the franking credit </w:t>
      </w:r>
      <w:r w:rsidRPr="00E23E1D">
        <w:lastRenderedPageBreak/>
        <w:t xml:space="preserve">is denied i.e. the credit is worthless unless certain conditions are satisfied. I am not aware of any data on the extent to which credits have been denied pursuant to this rule, but one would expect that it continues to have some operation each year. As a guide, in their table 4, </w:t>
      </w:r>
      <w:r>
        <w:t>[Handley and Maheswaran]</w:t>
      </w:r>
      <w:r w:rsidRPr="00E23E1D">
        <w:t xml:space="preserve"> report that the estimated credit utilization rate for resident individuals was 94% in 1998, 89% in 1999 and 90% in 2000. Since the rule was operating at this time and assuming the less than 100% utilization is fully attributable to the impact of the 45 day rule (which would not be the case since credits were not refundable at that time), then the rule would have had about a</w:t>
      </w:r>
      <w:r>
        <w:t xml:space="preserve"> </w:t>
      </w:r>
      <w:r w:rsidRPr="00E23E1D">
        <w:t>5-10% impact on the utilisation rate.</w:t>
      </w:r>
      <w:r w:rsidR="005E5FA5">
        <w:t>)</w:t>
      </w:r>
    </w:p>
    <w:p w14:paraId="59BA1A25" w14:textId="77777777" w:rsidR="00D52BA6" w:rsidRDefault="00D52BA6" w:rsidP="00D52BA6">
      <w:pPr>
        <w:numPr>
          <w:ilvl w:val="0"/>
          <w:numId w:val="25"/>
        </w:numPr>
      </w:pPr>
      <w:r>
        <w:t>Thus,</w:t>
      </w:r>
      <w:r w:rsidR="00D712D1">
        <w:t xml:space="preserve"> it seems the service providers' submission </w:t>
      </w:r>
      <w:r w:rsidR="00F70E61">
        <w:t xml:space="preserve">as to the impact of the 45-day holding rule misinterprets the source data upon which it relies, being </w:t>
      </w:r>
      <w:r>
        <w:t xml:space="preserve">Handley and Maheswaran's 2008 paper. </w:t>
      </w:r>
      <w:r w:rsidR="00F70E61">
        <w:t>I</w:t>
      </w:r>
      <w:r>
        <w:t xml:space="preserve">t does not appear </w:t>
      </w:r>
      <w:r w:rsidRPr="00E23E1D">
        <w:t>that Handley ever intended the 5 to 10 per cent figure to be considered a point estimate of the effect of the 45</w:t>
      </w:r>
      <w:r>
        <w:t>-</w:t>
      </w:r>
      <w:r w:rsidRPr="00E23E1D">
        <w:t xml:space="preserve">day holding rule. Rather, we consider that it </w:t>
      </w:r>
      <w:r>
        <w:t>was</w:t>
      </w:r>
      <w:r w:rsidRPr="00E23E1D">
        <w:t xml:space="preserve"> presented as a ‘guide’ to the maximum theoretical effect of the rule’s operation as indicated by the analysis conducted in Handley and Maheswaran. Our interpretation of Handley’s intention is supported by the fact that in their paper Handley and Ma</w:t>
      </w:r>
      <w:r>
        <w:t>heswaran consider the post-</w:t>
      </w:r>
      <w:r w:rsidRPr="00E23E1D">
        <w:t xml:space="preserve">2000 utilisation rate to be </w:t>
      </w:r>
      <w:r>
        <w:t>1.</w:t>
      </w:r>
      <w:r w:rsidRPr="00E23E1D">
        <w:t xml:space="preserve"> </w:t>
      </w:r>
      <w:r>
        <w:t>That</w:t>
      </w:r>
      <w:r w:rsidRPr="00E23E1D">
        <w:t xml:space="preserve"> is, we consider that if Handley and Maheswaran had available to them </w:t>
      </w:r>
      <w:proofErr w:type="gramStart"/>
      <w:r w:rsidRPr="00E23E1D">
        <w:t>a reliable estimate of the effect of the 45</w:t>
      </w:r>
      <w:r>
        <w:t>-</w:t>
      </w:r>
      <w:r w:rsidRPr="00E23E1D">
        <w:t>day holding rule</w:t>
      </w:r>
      <w:proofErr w:type="gramEnd"/>
      <w:r w:rsidRPr="00E23E1D">
        <w:t xml:space="preserve">, then they would have used it. </w:t>
      </w:r>
      <w:r>
        <w:t>As Handley stated in his 2010 paper, he 'is not aware of any data on the extent to which credits have been denied pursuant to this rule'.</w:t>
      </w:r>
      <w:r>
        <w:rPr>
          <w:rStyle w:val="FootnoteReference"/>
        </w:rPr>
        <w:footnoteReference w:id="232"/>
      </w:r>
      <w:r w:rsidR="00106C16">
        <w:t xml:space="preserve"> Handley maintained this view in his April 2015 report.</w:t>
      </w:r>
      <w:r w:rsidR="00106C16">
        <w:rPr>
          <w:rStyle w:val="FootnoteReference"/>
        </w:rPr>
        <w:footnoteReference w:id="233"/>
      </w:r>
    </w:p>
    <w:p w14:paraId="5389F52D" w14:textId="77777777" w:rsidR="00D52BA6" w:rsidRDefault="00D52BA6" w:rsidP="00D52BA6">
      <w:pPr>
        <w:numPr>
          <w:ilvl w:val="0"/>
          <w:numId w:val="25"/>
        </w:numPr>
      </w:pPr>
      <w:r>
        <w:t>It is also appears from the above quote that Handley and Maheswaran considered that, if anything, the 5 to 10 per cent estimate would be an overestimate of the impact of the 45 day rule. This is because they attribute the full underutilisation of credits in 1998, 1999 and 2000 to the 45 day rule. However, they also note that, in reality, part of this underutilisation would reflect that credits for eligible investors that did not have a tax liability were not refundable in those years (whereas they are now refundable for cash).</w:t>
      </w:r>
    </w:p>
    <w:p w14:paraId="6E8FA339" w14:textId="77777777" w:rsidR="00D52BA6" w:rsidRDefault="00D52BA6" w:rsidP="003D495E">
      <w:pPr>
        <w:numPr>
          <w:ilvl w:val="0"/>
          <w:numId w:val="25"/>
        </w:numPr>
      </w:pPr>
      <w:r>
        <w:t>One source of evidence on the effect of the rule is Hathaway's analysis of ATO data. This analysis indicates the reported amounts of fully franked dividends received and imputation credits utilised by taxpayers. Taxpayers are required to report in their tax returns all franked dividends received, but only those imputation credits that they are eligible to utilise (bearing in mind the 45-day holding rule and other criteria).</w:t>
      </w:r>
      <w:r>
        <w:rPr>
          <w:rStyle w:val="FootnoteReference"/>
        </w:rPr>
        <w:footnoteReference w:id="234"/>
      </w:r>
      <w:r>
        <w:t xml:space="preserve"> We know that the amount of imputation credits attached to a dollar of fully franked dividends is $0.43 ($1 x 0.3</w:t>
      </w:r>
      <w:proofErr w:type="gramStart"/>
      <w:r>
        <w:t>/(</w:t>
      </w:r>
      <w:proofErr w:type="gramEnd"/>
      <w:r>
        <w:t>1–0.3)).</w:t>
      </w:r>
      <w:r w:rsidR="00D712D1">
        <w:rPr>
          <w:rStyle w:val="FootnoteReference"/>
        </w:rPr>
        <w:footnoteReference w:id="235"/>
      </w:r>
      <w:r>
        <w:t xml:space="preserve"> Accordingly, we can compare the amount of imputation credits utilised by taxpayers with the amount of imputation credits received by those taxpayers as implied by the amount of fully </w:t>
      </w:r>
      <w:r>
        <w:lastRenderedPageBreak/>
        <w:t xml:space="preserve">franked dividends received. If the 45-day holding rule is having a material effect, then we would expect to see that the amount of credits utilised is materially lower than the amount of credits implied to have been received. </w:t>
      </w:r>
      <w:r>
        <w:fldChar w:fldCharType="begin"/>
      </w:r>
      <w:r>
        <w:instrText xml:space="preserve"> REF _Ref401848641 \h </w:instrText>
      </w:r>
      <w:r>
        <w:fldChar w:fldCharType="separate"/>
      </w:r>
      <w:r w:rsidR="001E2164">
        <w:t xml:space="preserve">Table </w:t>
      </w:r>
      <w:r w:rsidR="001E2164">
        <w:rPr>
          <w:noProof/>
        </w:rPr>
        <w:t>4</w:t>
      </w:r>
      <w:r w:rsidR="001E2164">
        <w:noBreakHyphen/>
      </w:r>
      <w:r w:rsidR="001E2164">
        <w:rPr>
          <w:noProof/>
        </w:rPr>
        <w:t>6</w:t>
      </w:r>
      <w:r>
        <w:fldChar w:fldCharType="end"/>
      </w:r>
      <w:r>
        <w:t xml:space="preserve"> shows the relevant data for the two major classes of investor eligible to utilise imputation credits: individuals and superannuation funds. It shows that the amount of credits utilised is effectively the same as the amount of credits that are implied to have been received.</w:t>
      </w:r>
      <w:r>
        <w:rPr>
          <w:rStyle w:val="FootnoteReference"/>
        </w:rPr>
        <w:footnoteReference w:id="236"/>
      </w:r>
      <w:r>
        <w:t xml:space="preserve"> This suggests that the 45-day holding rule is not having a material effect.</w:t>
      </w:r>
    </w:p>
    <w:p w14:paraId="1775C6C8" w14:textId="77777777" w:rsidR="00D52BA6" w:rsidRDefault="00D52BA6" w:rsidP="00D52BA6">
      <w:pPr>
        <w:pStyle w:val="Caption"/>
      </w:pPr>
      <w:bookmarkStart w:id="66" w:name="_Ref401848641"/>
      <w:r>
        <w:t xml:space="preserve">Table </w:t>
      </w:r>
      <w:r w:rsidR="00D70292">
        <w:fldChar w:fldCharType="begin"/>
      </w:r>
      <w:r w:rsidR="00D70292">
        <w:instrText xml:space="preserve"> STYLEREF 1 \s </w:instrText>
      </w:r>
      <w:r w:rsidR="00D70292">
        <w:fldChar w:fldCharType="separate"/>
      </w:r>
      <w:r w:rsidR="001E2164">
        <w:rPr>
          <w:noProof/>
        </w:rPr>
        <w:t>4</w:t>
      </w:r>
      <w:r w:rsidR="00D70292">
        <w:rPr>
          <w:noProof/>
        </w:rPr>
        <w:fldChar w:fldCharType="end"/>
      </w:r>
      <w:r w:rsidR="00257FBE">
        <w:noBreakHyphen/>
      </w:r>
      <w:r w:rsidR="00D70292">
        <w:fldChar w:fldCharType="begin"/>
      </w:r>
      <w:r w:rsidR="00D70292">
        <w:instrText xml:space="preserve"> SEQ Table \* ARABIC \s 1 </w:instrText>
      </w:r>
      <w:r w:rsidR="00D70292">
        <w:fldChar w:fldCharType="separate"/>
      </w:r>
      <w:r w:rsidR="001E2164">
        <w:rPr>
          <w:noProof/>
        </w:rPr>
        <w:t>6</w:t>
      </w:r>
      <w:r w:rsidR="00D70292">
        <w:rPr>
          <w:noProof/>
        </w:rPr>
        <w:fldChar w:fldCharType="end"/>
      </w:r>
      <w:bookmarkEnd w:id="66"/>
      <w:r>
        <w:tab/>
        <w:t>Imputation credits received and utilised, 2004–2011 – $ billions</w:t>
      </w:r>
    </w:p>
    <w:tbl>
      <w:tblPr>
        <w:tblStyle w:val="AERtable-numbers"/>
        <w:tblW w:w="0" w:type="auto"/>
        <w:tblLook w:val="04A0" w:firstRow="1" w:lastRow="0" w:firstColumn="1" w:lastColumn="0" w:noHBand="0" w:noVBand="1"/>
      </w:tblPr>
      <w:tblGrid>
        <w:gridCol w:w="3817"/>
        <w:gridCol w:w="2712"/>
        <w:gridCol w:w="2713"/>
      </w:tblGrid>
      <w:tr w:rsidR="00D52BA6" w14:paraId="60F30BFA" w14:textId="77777777" w:rsidTr="00144D8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14:paraId="1C57B0EA" w14:textId="77777777" w:rsidR="00D52BA6" w:rsidRDefault="00D52BA6" w:rsidP="00242C5C">
            <w:pPr>
              <w:keepNext/>
              <w:numPr>
                <w:ilvl w:val="0"/>
                <w:numId w:val="25"/>
              </w:numPr>
            </w:pPr>
          </w:p>
        </w:tc>
        <w:tc>
          <w:tcPr>
            <w:tcW w:w="2712" w:type="dxa"/>
          </w:tcPr>
          <w:p w14:paraId="6B2AB4B5" w14:textId="77777777" w:rsidR="00D52BA6" w:rsidRDefault="00D52BA6" w:rsidP="00242C5C">
            <w:pPr>
              <w:keepNext/>
              <w:numPr>
                <w:ilvl w:val="0"/>
                <w:numId w:val="25"/>
              </w:numPr>
              <w:cnfStyle w:val="100000000000" w:firstRow="1" w:lastRow="0" w:firstColumn="0" w:lastColumn="0" w:oddVBand="0" w:evenVBand="0" w:oddHBand="0" w:evenHBand="0" w:firstRowFirstColumn="0" w:firstRowLastColumn="0" w:lastRowFirstColumn="0" w:lastRowLastColumn="0"/>
            </w:pPr>
            <w:r>
              <w:t>Individuals</w:t>
            </w:r>
          </w:p>
        </w:tc>
        <w:tc>
          <w:tcPr>
            <w:tcW w:w="2713" w:type="dxa"/>
          </w:tcPr>
          <w:p w14:paraId="60636A54" w14:textId="77777777" w:rsidR="00D52BA6" w:rsidRDefault="00D52BA6" w:rsidP="00242C5C">
            <w:pPr>
              <w:keepNext/>
              <w:numPr>
                <w:ilvl w:val="0"/>
                <w:numId w:val="25"/>
              </w:numPr>
              <w:cnfStyle w:val="100000000000" w:firstRow="1" w:lastRow="0" w:firstColumn="0" w:lastColumn="0" w:oddVBand="0" w:evenVBand="0" w:oddHBand="0" w:evenHBand="0" w:firstRowFirstColumn="0" w:firstRowLastColumn="0" w:lastRowFirstColumn="0" w:lastRowLastColumn="0"/>
            </w:pPr>
            <w:r>
              <w:t>Superannuation funds</w:t>
            </w:r>
          </w:p>
        </w:tc>
      </w:tr>
      <w:tr w:rsidR="00D52BA6" w14:paraId="61EE8030"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3817" w:type="dxa"/>
          </w:tcPr>
          <w:p w14:paraId="671F7280" w14:textId="77777777" w:rsidR="00D52BA6" w:rsidRDefault="00D52BA6" w:rsidP="00242C5C">
            <w:pPr>
              <w:keepNext/>
              <w:numPr>
                <w:ilvl w:val="0"/>
                <w:numId w:val="25"/>
              </w:numPr>
            </w:pPr>
            <w:r>
              <w:t>Fully franked dividends received</w:t>
            </w:r>
          </w:p>
        </w:tc>
        <w:tc>
          <w:tcPr>
            <w:tcW w:w="2712" w:type="dxa"/>
          </w:tcPr>
          <w:p w14:paraId="3C787BEE"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188.1</w:t>
            </w:r>
          </w:p>
        </w:tc>
        <w:tc>
          <w:tcPr>
            <w:tcW w:w="2713" w:type="dxa"/>
          </w:tcPr>
          <w:p w14:paraId="753734B8"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84.8</w:t>
            </w:r>
          </w:p>
        </w:tc>
      </w:tr>
      <w:tr w:rsidR="00D52BA6" w14:paraId="395C46B7"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14:paraId="15B88955" w14:textId="77777777" w:rsidR="00D52BA6" w:rsidRPr="005646B3" w:rsidRDefault="00D52BA6" w:rsidP="00242C5C">
            <w:pPr>
              <w:keepNext/>
              <w:numPr>
                <w:ilvl w:val="0"/>
                <w:numId w:val="25"/>
              </w:numPr>
              <w:rPr>
                <w:rStyle w:val="AERtextitalic"/>
              </w:rPr>
            </w:pPr>
            <w:r w:rsidRPr="005646B3">
              <w:rPr>
                <w:rStyle w:val="AERtextitalic"/>
              </w:rPr>
              <w:t>Implied imputation credits received</w:t>
            </w:r>
          </w:p>
        </w:tc>
        <w:tc>
          <w:tcPr>
            <w:tcW w:w="2712" w:type="dxa"/>
          </w:tcPr>
          <w:p w14:paraId="637937D3" w14:textId="77777777" w:rsidR="00D52BA6" w:rsidRPr="005646B3" w:rsidRDefault="00D52BA6" w:rsidP="00242C5C">
            <w:pPr>
              <w:keepNext/>
              <w:numPr>
                <w:ilvl w:val="0"/>
                <w:numId w:val="25"/>
              </w:numPr>
              <w:cnfStyle w:val="000000010000" w:firstRow="0" w:lastRow="0" w:firstColumn="0" w:lastColumn="0" w:oddVBand="0" w:evenVBand="0" w:oddHBand="0" w:evenHBand="1" w:firstRowFirstColumn="0" w:firstRowLastColumn="0" w:lastRowFirstColumn="0" w:lastRowLastColumn="0"/>
              <w:rPr>
                <w:rStyle w:val="AERtextitalic"/>
              </w:rPr>
            </w:pPr>
            <w:r w:rsidRPr="005646B3">
              <w:rPr>
                <w:rStyle w:val="AERtextitalic"/>
              </w:rPr>
              <w:t>80.6</w:t>
            </w:r>
          </w:p>
        </w:tc>
        <w:tc>
          <w:tcPr>
            <w:tcW w:w="2713" w:type="dxa"/>
          </w:tcPr>
          <w:p w14:paraId="3C5F9177" w14:textId="77777777" w:rsidR="00D52BA6" w:rsidRPr="005646B3" w:rsidRDefault="00D52BA6" w:rsidP="00242C5C">
            <w:pPr>
              <w:keepNext/>
              <w:numPr>
                <w:ilvl w:val="0"/>
                <w:numId w:val="25"/>
              </w:numPr>
              <w:cnfStyle w:val="000000010000" w:firstRow="0" w:lastRow="0" w:firstColumn="0" w:lastColumn="0" w:oddVBand="0" w:evenVBand="0" w:oddHBand="0" w:evenHBand="1" w:firstRowFirstColumn="0" w:firstRowLastColumn="0" w:lastRowFirstColumn="0" w:lastRowLastColumn="0"/>
              <w:rPr>
                <w:rStyle w:val="AERtextitalic"/>
              </w:rPr>
            </w:pPr>
            <w:r w:rsidRPr="005646B3">
              <w:rPr>
                <w:rStyle w:val="AERtextitalic"/>
              </w:rPr>
              <w:t>36.3</w:t>
            </w:r>
          </w:p>
        </w:tc>
      </w:tr>
      <w:tr w:rsidR="00D52BA6" w14:paraId="77F6F33A"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3817" w:type="dxa"/>
          </w:tcPr>
          <w:p w14:paraId="2411B512" w14:textId="77777777" w:rsidR="00D52BA6" w:rsidRDefault="00D52BA6" w:rsidP="00242C5C">
            <w:pPr>
              <w:keepNext/>
              <w:numPr>
                <w:ilvl w:val="0"/>
                <w:numId w:val="25"/>
              </w:numPr>
            </w:pPr>
            <w:r>
              <w:t>Imputation credits utilised</w:t>
            </w:r>
          </w:p>
        </w:tc>
        <w:tc>
          <w:tcPr>
            <w:tcW w:w="2712" w:type="dxa"/>
          </w:tcPr>
          <w:p w14:paraId="565C3E2B"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81.2</w:t>
            </w:r>
          </w:p>
        </w:tc>
        <w:tc>
          <w:tcPr>
            <w:tcW w:w="2713" w:type="dxa"/>
          </w:tcPr>
          <w:p w14:paraId="2BC9CE2A"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36.2</w:t>
            </w:r>
          </w:p>
        </w:tc>
      </w:tr>
    </w:tbl>
    <w:p w14:paraId="57DDED55" w14:textId="77777777" w:rsidR="00D52BA6" w:rsidRDefault="00D52BA6" w:rsidP="00D52BA6">
      <w:pPr>
        <w:pStyle w:val="AERtablesource"/>
      </w:pPr>
      <w:r>
        <w:t xml:space="preserve">Source: </w:t>
      </w:r>
      <w:r>
        <w:tab/>
      </w:r>
      <w:r w:rsidRPr="000757ED">
        <w:t xml:space="preserve">N. Hathaway, </w:t>
      </w:r>
      <w:r w:rsidRPr="000757ED">
        <w:rPr>
          <w:rStyle w:val="AERtextitalic"/>
        </w:rPr>
        <w:t>Imputation credit redemption ATO data 1988–2011: Where have all the credits gone</w:t>
      </w:r>
      <w:proofErr w:type="gramStart"/>
      <w:r w:rsidRPr="000757ED">
        <w:rPr>
          <w:rStyle w:val="AERtextitalic"/>
        </w:rPr>
        <w:t>?</w:t>
      </w:r>
      <w:r w:rsidRPr="000757ED">
        <w:t>,</w:t>
      </w:r>
      <w:proofErr w:type="gramEnd"/>
      <w:r w:rsidRPr="000757ED">
        <w:t xml:space="preserve"> September 2013</w:t>
      </w:r>
      <w:r>
        <w:t>; AER analysis.</w:t>
      </w:r>
    </w:p>
    <w:p w14:paraId="77E6BA0E" w14:textId="19941F37" w:rsidR="005E65FB" w:rsidRDefault="00D52BA6" w:rsidP="00D52BA6">
      <w:r>
        <w:t xml:space="preserve">Based on these considerations, </w:t>
      </w:r>
      <w:r w:rsidR="0033341B">
        <w:t>it seems</w:t>
      </w:r>
      <w:r>
        <w:t xml:space="preserve"> that the 45-day holding rule does not appear to have a material effect on the utilisation rate.</w:t>
      </w:r>
      <w:r w:rsidR="00631904">
        <w:t xml:space="preserve"> The analysis above was presented in our draft decisions</w:t>
      </w:r>
      <w:r w:rsidR="00DC15A2">
        <w:t xml:space="preserve"> released in 2014</w:t>
      </w:r>
      <w:r w:rsidR="00631904">
        <w:t xml:space="preserve">, but the service providers </w:t>
      </w:r>
      <w:r w:rsidR="00DC15A2">
        <w:t xml:space="preserve">the subject of those proposals </w:t>
      </w:r>
      <w:r w:rsidR="00631904">
        <w:t xml:space="preserve">did not comment on it in their revised proposals. Instead, </w:t>
      </w:r>
      <w:r w:rsidR="007D3EF5">
        <w:t>they</w:t>
      </w:r>
      <w:r w:rsidR="008F5443">
        <w:t xml:space="preserve"> submitted:</w:t>
      </w:r>
      <w:r w:rsidR="003E4445">
        <w:rPr>
          <w:rStyle w:val="FootnoteReference"/>
        </w:rPr>
        <w:footnoteReference w:id="237"/>
      </w:r>
    </w:p>
    <w:p w14:paraId="697CA5AB" w14:textId="77777777" w:rsidR="008F5443" w:rsidRDefault="008F5443" w:rsidP="008F5443">
      <w:pPr>
        <w:pStyle w:val="AERquote"/>
      </w:pPr>
      <w:r>
        <w:t>The AER seeks to dismiss the impact of tax rules affecting eligibility of domestic investors to redeem imputation credits by saying that:</w:t>
      </w:r>
    </w:p>
    <w:p w14:paraId="6DEC7140" w14:textId="77777777" w:rsidR="008F5443" w:rsidRDefault="00755AD8" w:rsidP="008F5443">
      <w:pPr>
        <w:pStyle w:val="AERquoteindent2"/>
      </w:pPr>
      <w:r>
        <w:t>“</w:t>
      </w:r>
      <w:r w:rsidR="008F5443">
        <w:t>…we do not consider that there is clear evidence as to effect that these rules have or should be expected to have.</w:t>
      </w:r>
      <w:r>
        <w:t>”</w:t>
      </w:r>
    </w:p>
    <w:p w14:paraId="22C1A62E" w14:textId="77777777" w:rsidR="008F5443" w:rsidRDefault="00BE5924" w:rsidP="008F5443">
      <w:pPr>
        <w:pStyle w:val="AERquote"/>
      </w:pPr>
      <w:r>
        <w:t>…</w:t>
      </w:r>
      <w:r w:rsidR="0005367F">
        <w:t>[we do]</w:t>
      </w:r>
      <w:r w:rsidR="008F5443">
        <w:t xml:space="preserve"> not consider that there must be "clear evidence" as to the effect of particular tax rules in order for these to be taken into account. The fact is that these rules exist and that they will affect the eligibility of certain domestic investors to redeem imputation credits.</w:t>
      </w:r>
    </w:p>
    <w:p w14:paraId="7A10E4FC" w14:textId="77777777" w:rsidR="0024692C" w:rsidRPr="0024692C" w:rsidRDefault="003D173A" w:rsidP="003D173A">
      <w:pPr>
        <w:pStyle w:val="AERquote"/>
      </w:pPr>
      <w:r>
        <w:t xml:space="preserve">In any event, the fact that the redemption rate indicated by tax statistics is significantly below the domestic equity ownership rate does indicate that these tax rules (and possibly other factors as discussed below) are affecting domestic investors' ability to redeem imputation credits. As the AER observes, the redemption rate indicated by </w:t>
      </w:r>
      <w:r>
        <w:lastRenderedPageBreak/>
        <w:t>tax statistics is approximately</w:t>
      </w:r>
      <w:r w:rsidR="000B7BB5">
        <w:t xml:space="preserve"> 0.43, which is well below the domestic equity ownership rate for all equity.</w:t>
      </w:r>
    </w:p>
    <w:p w14:paraId="752D932D" w14:textId="64A2EF76" w:rsidR="00150117" w:rsidRDefault="00E05D4A" w:rsidP="0005367F">
      <w:r>
        <w:t xml:space="preserve">We do not consider that this represents clear evidence as to the effect of the 45-day rule and other tax rules. </w:t>
      </w:r>
      <w:r w:rsidR="00C56D48">
        <w:t xml:space="preserve">Firstly, the service providers' approach </w:t>
      </w:r>
      <w:r>
        <w:t>does not contemplate error or inaccuracy in th</w:t>
      </w:r>
      <w:r w:rsidR="003E2CFF">
        <w:t xml:space="preserve">e tax statistics. In section </w:t>
      </w:r>
      <w:r w:rsidR="003E2CFF">
        <w:fldChar w:fldCharType="begin"/>
      </w:r>
      <w:r w:rsidR="003E2CFF">
        <w:instrText xml:space="preserve"> REF _Ref414289593 \r \h </w:instrText>
      </w:r>
      <w:r w:rsidR="003E2CFF">
        <w:fldChar w:fldCharType="separate"/>
      </w:r>
      <w:r w:rsidR="001E2164">
        <w:t>4.4.2</w:t>
      </w:r>
      <w:r w:rsidR="003E2CFF">
        <w:fldChar w:fldCharType="end"/>
      </w:r>
      <w:r>
        <w:t>, we set out data concerns that exist regarding the tax statistics. Further, the service providers in their initial proposals submitted that no weight be placed on estimates of the utilisation rate from tax statistics because of significant unresolved problems with the data.</w:t>
      </w:r>
      <w:r>
        <w:rPr>
          <w:rStyle w:val="FootnoteReference"/>
        </w:rPr>
        <w:footnoteReference w:id="238"/>
      </w:r>
      <w:r>
        <w:t xml:space="preserve"> </w:t>
      </w:r>
      <w:r w:rsidR="00D21B03">
        <w:t xml:space="preserve">While it does now appear </w:t>
      </w:r>
      <w:r w:rsidR="00D14616">
        <w:t>some</w:t>
      </w:r>
      <w:r w:rsidR="00D21B03">
        <w:t xml:space="preserve"> service provide</w:t>
      </w:r>
      <w:r w:rsidR="004F0A01">
        <w:t>r</w:t>
      </w:r>
      <w:r w:rsidR="00D21B03">
        <w:t xml:space="preserve">s </w:t>
      </w:r>
      <w:r w:rsidR="00D14616">
        <w:t xml:space="preserve">may </w:t>
      </w:r>
      <w:r w:rsidR="00D21B03">
        <w:t xml:space="preserve">consider tax statistics can be used to estimate an upper bound for </w:t>
      </w:r>
      <w:r w:rsidR="00D14616">
        <w:t>theta</w:t>
      </w:r>
      <w:r w:rsidR="000C7128">
        <w:t>,</w:t>
      </w:r>
      <w:r w:rsidR="00D14616">
        <w:rPr>
          <w:rStyle w:val="FootnoteReference"/>
        </w:rPr>
        <w:footnoteReference w:id="239"/>
      </w:r>
      <w:r w:rsidR="00D21B03">
        <w:t xml:space="preserve"> we do not consider the above analysis provides compelling evidence that the 45 day rule is having a material impact given residual concerns with the data.</w:t>
      </w:r>
    </w:p>
    <w:p w14:paraId="70741A75" w14:textId="2C7EEA08" w:rsidR="0005367F" w:rsidRPr="00DC6340" w:rsidRDefault="00150117" w:rsidP="0005367F">
      <w:pPr>
        <w:rPr>
          <w:rStyle w:val="AERbody"/>
        </w:rPr>
      </w:pPr>
      <w:r>
        <w:t xml:space="preserve">Secondly, </w:t>
      </w:r>
      <w:r w:rsidR="00B545D7">
        <w:t xml:space="preserve">the service providers' conclusion is contradicted by the analysis of tax statistics we presented in </w:t>
      </w:r>
      <w:r w:rsidR="00C600C4">
        <w:t>our prior</w:t>
      </w:r>
      <w:r w:rsidR="00160C27">
        <w:t xml:space="preserve"> </w:t>
      </w:r>
      <w:r w:rsidR="00B545D7">
        <w:t>decisions and which we repeat above</w:t>
      </w:r>
      <w:r w:rsidR="002C1CFB" w:rsidRPr="00DC6340">
        <w:rPr>
          <w:rStyle w:val="AERbody"/>
        </w:rPr>
        <w:t>.</w:t>
      </w:r>
      <w:r w:rsidR="00B545D7" w:rsidRPr="00DC6340">
        <w:rPr>
          <w:rStyle w:val="AERbody"/>
        </w:rPr>
        <w:t xml:space="preserve"> </w:t>
      </w:r>
      <w:r w:rsidR="00CA7B5B" w:rsidRPr="00DC6340">
        <w:rPr>
          <w:rStyle w:val="AERbody"/>
        </w:rPr>
        <w:t xml:space="preserve"> While we acknowledge the limitations of the tax data used for this analysis</w:t>
      </w:r>
      <w:r w:rsidR="00160C27" w:rsidRPr="00DC6340">
        <w:rPr>
          <w:rStyle w:val="AERbody"/>
        </w:rPr>
        <w:t xml:space="preserve">, </w:t>
      </w:r>
      <w:r w:rsidR="00CA7B5B" w:rsidRPr="00DC6340">
        <w:rPr>
          <w:rStyle w:val="AERbody"/>
        </w:rPr>
        <w:t>the</w:t>
      </w:r>
      <w:r w:rsidR="00160C27" w:rsidRPr="00DC6340">
        <w:rPr>
          <w:rStyle w:val="AERbody"/>
        </w:rPr>
        <w:t xml:space="preserve"> service providers themselves have not</w:t>
      </w:r>
      <w:r w:rsidR="00D21B03" w:rsidRPr="00DC6340">
        <w:rPr>
          <w:rStyle w:val="AERbody"/>
        </w:rPr>
        <w:t xml:space="preserve"> </w:t>
      </w:r>
      <w:r w:rsidR="00160C27" w:rsidRPr="00DC6340">
        <w:rPr>
          <w:rStyle w:val="AERbody"/>
        </w:rPr>
        <w:t>demonstrated the rule is having a material impact, and we do not consider the rule would be expected to have a material impact</w:t>
      </w:r>
      <w:r w:rsidR="00CA7B5B" w:rsidRPr="00DC6340">
        <w:rPr>
          <w:rStyle w:val="AERbody"/>
        </w:rPr>
        <w:t>.</w:t>
      </w:r>
    </w:p>
    <w:p w14:paraId="38FC242C" w14:textId="4722E7A4" w:rsidR="009329B8" w:rsidRPr="00DC6340" w:rsidRDefault="009329B8" w:rsidP="0005367F">
      <w:pPr>
        <w:rPr>
          <w:rStyle w:val="AERbody"/>
        </w:rPr>
      </w:pPr>
      <w:r w:rsidRPr="00DC6340">
        <w:rPr>
          <w:rStyle w:val="AERbody"/>
        </w:rPr>
        <w:t xml:space="preserve">In </w:t>
      </w:r>
      <w:r w:rsidR="00824677" w:rsidRPr="00DC6340">
        <w:rPr>
          <w:rStyle w:val="AERbody"/>
        </w:rPr>
        <w:t>his</w:t>
      </w:r>
      <w:r w:rsidRPr="00DC6340">
        <w:rPr>
          <w:rStyle w:val="AERbody"/>
        </w:rPr>
        <w:t xml:space="preserve"> </w:t>
      </w:r>
      <w:r w:rsidR="00824677" w:rsidRPr="00DC6340">
        <w:rPr>
          <w:rStyle w:val="AERbody"/>
        </w:rPr>
        <w:t xml:space="preserve">June </w:t>
      </w:r>
      <w:r w:rsidRPr="00DC6340">
        <w:rPr>
          <w:rStyle w:val="AERbody"/>
        </w:rPr>
        <w:t xml:space="preserve">2015 </w:t>
      </w:r>
      <w:r w:rsidR="00824677" w:rsidRPr="00DC6340">
        <w:rPr>
          <w:rStyle w:val="AERbody"/>
        </w:rPr>
        <w:t xml:space="preserve">report for a number of service providers </w:t>
      </w:r>
      <w:r w:rsidRPr="00DC6340">
        <w:rPr>
          <w:rStyle w:val="AERbody"/>
        </w:rPr>
        <w:t xml:space="preserve">Gray assert that "[o]ne cannot assume that the effect of the 45-day rule is </w:t>
      </w:r>
      <w:r w:rsidR="00044F9D" w:rsidRPr="00DC6340">
        <w:rPr>
          <w:rStyle w:val="AERbody"/>
        </w:rPr>
        <w:t>negligible</w:t>
      </w:r>
      <w:r w:rsidRPr="00DC6340">
        <w:rPr>
          <w:rStyle w:val="AERbody"/>
        </w:rPr>
        <w:t xml:space="preserve"> in the absence of any data about it</w:t>
      </w:r>
      <w:r w:rsidR="00CA7B5B" w:rsidRPr="00DC6340">
        <w:rPr>
          <w:rStyle w:val="AERbody"/>
        </w:rPr>
        <w:t>.</w:t>
      </w:r>
      <w:r w:rsidRPr="00DC6340">
        <w:rPr>
          <w:rStyle w:val="AERbody"/>
        </w:rPr>
        <w:t>"</w:t>
      </w:r>
      <w:r w:rsidR="00DC6340">
        <w:rPr>
          <w:rStyle w:val="FootnoteReference"/>
        </w:rPr>
        <w:footnoteReference w:id="240"/>
      </w:r>
      <w:r w:rsidRPr="00DC6340">
        <w:rPr>
          <w:rStyle w:val="AERbody"/>
        </w:rPr>
        <w:t xml:space="preserve"> The new report by </w:t>
      </w:r>
      <w:r w:rsidR="00F00DD2" w:rsidRPr="00DC6340">
        <w:rPr>
          <w:rStyle w:val="AERbody"/>
        </w:rPr>
        <w:t xml:space="preserve">Gray (for </w:t>
      </w:r>
      <w:r w:rsidRPr="00DC6340">
        <w:rPr>
          <w:rStyle w:val="AERbody"/>
        </w:rPr>
        <w:t>Frontier</w:t>
      </w:r>
      <w:r w:rsidR="00F00DD2" w:rsidRPr="00DC6340">
        <w:rPr>
          <w:rStyle w:val="AERbody"/>
        </w:rPr>
        <w:t>)</w:t>
      </w:r>
      <w:r w:rsidRPr="00DC6340">
        <w:rPr>
          <w:rStyle w:val="AERbody"/>
        </w:rPr>
        <w:t xml:space="preserve"> do</w:t>
      </w:r>
      <w:r w:rsidR="00CA7B5B" w:rsidRPr="00DC6340">
        <w:rPr>
          <w:rStyle w:val="AERbody"/>
        </w:rPr>
        <w:t>es</w:t>
      </w:r>
      <w:r w:rsidRPr="00DC6340">
        <w:rPr>
          <w:rStyle w:val="AERbody"/>
        </w:rPr>
        <w:t xml:space="preserve"> not change our view </w:t>
      </w:r>
      <w:r w:rsidR="00CA7B5B" w:rsidRPr="00DC6340">
        <w:rPr>
          <w:rStyle w:val="AERbody"/>
        </w:rPr>
        <w:t xml:space="preserve">that the 45 day rule </w:t>
      </w:r>
      <w:r w:rsidRPr="00DC6340">
        <w:rPr>
          <w:rStyle w:val="AERbody"/>
        </w:rPr>
        <w:t xml:space="preserve">is </w:t>
      </w:r>
      <w:r w:rsidR="00044F9D" w:rsidRPr="00DC6340">
        <w:rPr>
          <w:rStyle w:val="AERbody"/>
        </w:rPr>
        <w:t>unlikely</w:t>
      </w:r>
      <w:r w:rsidRPr="00DC6340">
        <w:rPr>
          <w:rStyle w:val="AERbody"/>
        </w:rPr>
        <w:t xml:space="preserve"> to be having a material impact on the utilisation rate.</w:t>
      </w:r>
    </w:p>
    <w:p w14:paraId="3127F71C" w14:textId="77777777" w:rsidR="00A24531" w:rsidRDefault="00A24531" w:rsidP="00A24531">
      <w:pPr>
        <w:pStyle w:val="HeadingBoldBlue"/>
        <w:numPr>
          <w:ilvl w:val="0"/>
          <w:numId w:val="25"/>
        </w:numPr>
      </w:pPr>
      <w:bookmarkStart w:id="67" w:name="_Ref400540858"/>
      <w:r>
        <w:t>Transactions costs</w:t>
      </w:r>
      <w:bookmarkEnd w:id="67"/>
    </w:p>
    <w:p w14:paraId="653FC9B5" w14:textId="19BBA9B7" w:rsidR="00A24531" w:rsidRDefault="006841DC" w:rsidP="00A24531">
      <w:pPr>
        <w:numPr>
          <w:ilvl w:val="0"/>
          <w:numId w:val="25"/>
        </w:numPr>
      </w:pPr>
      <w:r>
        <w:t>S</w:t>
      </w:r>
      <w:r w:rsidR="00A24531">
        <w:t>ervice providers submitted that the redemption of imputation credits may involve transactions costs, such as requirements to keep records and follow administrative processes.</w:t>
      </w:r>
      <w:r w:rsidR="00A24531">
        <w:rPr>
          <w:rStyle w:val="FootnoteReference"/>
        </w:rPr>
        <w:footnoteReference w:id="241"/>
      </w:r>
      <w:r w:rsidR="00A24531">
        <w:t xml:space="preserve"> </w:t>
      </w:r>
      <w:r>
        <w:t>S</w:t>
      </w:r>
      <w:r w:rsidR="00A24531">
        <w:t>ervice providers also submitted that these transactions costs may dissuade some investors from redeeming (utilising) imputation credits.</w:t>
      </w:r>
      <w:r>
        <w:t xml:space="preserve"> </w:t>
      </w:r>
    </w:p>
    <w:p w14:paraId="5B2A0B1B" w14:textId="77777777" w:rsidR="00A24531" w:rsidRDefault="00FD09CE" w:rsidP="00B749E0">
      <w:pPr>
        <w:numPr>
          <w:ilvl w:val="0"/>
          <w:numId w:val="25"/>
        </w:numPr>
      </w:pPr>
      <w:r>
        <w:lastRenderedPageBreak/>
        <w:t xml:space="preserve">Firstly, we note that </w:t>
      </w:r>
      <w:r w:rsidR="00A24531">
        <w:t>Handley advised that we specifically not take account of these costs:</w:t>
      </w:r>
      <w:r w:rsidR="00A24531">
        <w:rPr>
          <w:rStyle w:val="FootnoteReference"/>
        </w:rPr>
        <w:footnoteReference w:id="242"/>
      </w:r>
    </w:p>
    <w:p w14:paraId="76F8E94A" w14:textId="77777777" w:rsidR="00A24531" w:rsidRDefault="00A24531" w:rsidP="00A24531">
      <w:pPr>
        <w:pStyle w:val="AERquote"/>
      </w:pPr>
      <w:r>
        <w:t xml:space="preserve">Since </w:t>
      </w:r>
      <w:r w:rsidRPr="004F0391">
        <w:t>the objective is to estimate the after-company-before-pers</w:t>
      </w:r>
      <w:r>
        <w:t xml:space="preserve">onal-tax value of a distributed </w:t>
      </w:r>
      <w:r w:rsidRPr="004F0391">
        <w:t xml:space="preserve">imputation credit and also to avoid compensating the </w:t>
      </w:r>
      <w:r>
        <w:t xml:space="preserve">regulated firm for transactions </w:t>
      </w:r>
      <w:r w:rsidRPr="004F0391">
        <w:t>costs incurred at the shareholder level then the pa</w:t>
      </w:r>
      <w:r>
        <w:t xml:space="preserve">rticular estimation methodology </w:t>
      </w:r>
      <w:r w:rsidRPr="004F0391">
        <w:t>should allow for these factors – in other words, ideal</w:t>
      </w:r>
      <w:r>
        <w:t xml:space="preserve">ly we want the value of credits </w:t>
      </w:r>
      <w:r w:rsidRPr="004F0391">
        <w:t>before administrative costs, personal taxes and diversification costs.</w:t>
      </w:r>
    </w:p>
    <w:p w14:paraId="461ABDF5" w14:textId="77777777" w:rsidR="00A24531" w:rsidRDefault="00FD09CE" w:rsidP="00A24531">
      <w:pPr>
        <w:numPr>
          <w:ilvl w:val="0"/>
          <w:numId w:val="25"/>
        </w:numPr>
      </w:pPr>
      <w:r>
        <w:t>Secondly</w:t>
      </w:r>
      <w:r w:rsidR="00A24531">
        <w:t xml:space="preserve">, </w:t>
      </w:r>
      <w:r>
        <w:t>we are not convinced that</w:t>
      </w:r>
      <w:r w:rsidR="00A24531">
        <w:t xml:space="preserve"> transactions costs are likely to dissuade a material number of investors from redeeming imputation credits. Our considerations on this are as follows:</w:t>
      </w:r>
    </w:p>
    <w:p w14:paraId="0AF6466F" w14:textId="77777777" w:rsidR="00A24531" w:rsidRPr="00A24531" w:rsidRDefault="00A24531" w:rsidP="00A24531">
      <w:pPr>
        <w:pStyle w:val="AERbulletlistfirststyle"/>
      </w:pPr>
      <w:r>
        <w:t xml:space="preserve">When filling out a tax return, one is </w:t>
      </w:r>
      <w:r w:rsidRPr="00B85A95">
        <w:rPr>
          <w:rStyle w:val="AERtextitalic"/>
        </w:rPr>
        <w:t>required</w:t>
      </w:r>
      <w:r>
        <w:t xml:space="preserve"> to report the franked dividends received and the imputation credits that are eligible to be utilised.</w:t>
      </w:r>
      <w:r w:rsidRPr="00A24531">
        <w:rPr>
          <w:rStyle w:val="FootnoteReference"/>
        </w:rPr>
        <w:footnoteReference w:id="243"/>
      </w:r>
    </w:p>
    <w:p w14:paraId="24F8CF6A" w14:textId="77777777" w:rsidR="00A24531" w:rsidRPr="00A24531" w:rsidRDefault="00A24531" w:rsidP="00A24531">
      <w:pPr>
        <w:pStyle w:val="AERbulletlistfirststyle"/>
      </w:pPr>
      <w:r>
        <w:t xml:space="preserve">Investors are already incurring the transactions costs associated with shareholding, and most would also be already incurring the transactions costs associated with completing a tax return. </w:t>
      </w:r>
      <w:r w:rsidRPr="00A24531">
        <w:t>This applies particularly to professional organisations, such as charities and superannuation funds, which we expect would utilise all imputation credits as a matter of proper accounting. But we consider it true also of individual investors, particularly when innovations such as 'e-tax' and automatic pre-filling of tax returns would reduce any incremental costs if they exist.</w:t>
      </w:r>
      <w:r w:rsidRPr="00A24531">
        <w:rPr>
          <w:rStyle w:val="FootnoteReference"/>
        </w:rPr>
        <w:footnoteReference w:id="244"/>
      </w:r>
    </w:p>
    <w:p w14:paraId="370A916D" w14:textId="4A75250F" w:rsidR="00A427FF" w:rsidRDefault="0023068C" w:rsidP="00A24531">
      <w:r>
        <w:t xml:space="preserve">Thirdly, we consider that we are estimating </w:t>
      </w:r>
      <w:r w:rsidR="004136CE">
        <w:t>the value of imputation credits</w:t>
      </w:r>
      <w:r>
        <w:t xml:space="preserve"> consistently with the other WACC parameters on a post company tax basis before personal taxes and personal costs.</w:t>
      </w:r>
    </w:p>
    <w:p w14:paraId="5AAA8ACF" w14:textId="77777777" w:rsidR="002D2DE1" w:rsidRDefault="00A24531" w:rsidP="00913061">
      <w:pPr>
        <w:rPr>
          <w:rStyle w:val="AERbody"/>
        </w:rPr>
      </w:pPr>
      <w:r w:rsidRPr="00913061">
        <w:rPr>
          <w:rStyle w:val="AERbody"/>
        </w:rPr>
        <w:t xml:space="preserve">Based on these considerations, we </w:t>
      </w:r>
      <w:r w:rsidR="00852D20" w:rsidRPr="00913061">
        <w:rPr>
          <w:rStyle w:val="AERbody"/>
        </w:rPr>
        <w:t>consider</w:t>
      </w:r>
      <w:r w:rsidRPr="00913061">
        <w:rPr>
          <w:rStyle w:val="AERbody"/>
        </w:rPr>
        <w:t xml:space="preserve"> that in estimating the utilisation rate</w:t>
      </w:r>
      <w:r w:rsidR="00230165" w:rsidRPr="00913061">
        <w:rPr>
          <w:rStyle w:val="AERbody"/>
        </w:rPr>
        <w:t xml:space="preserve"> adjustments should not be made for transactions costs</w:t>
      </w:r>
      <w:r w:rsidRPr="00913061">
        <w:rPr>
          <w:rStyle w:val="AERbody"/>
        </w:rPr>
        <w:t>. And even if an adjustment were to be made, it would</w:t>
      </w:r>
      <w:r w:rsidR="00852D20" w:rsidRPr="00913061">
        <w:rPr>
          <w:rStyle w:val="AERbody"/>
        </w:rPr>
        <w:t xml:space="preserve"> likely</w:t>
      </w:r>
      <w:r w:rsidRPr="00913061">
        <w:rPr>
          <w:rStyle w:val="AERbody"/>
        </w:rPr>
        <w:t xml:space="preserve"> have an immaterial effect on the utilisation rate.</w:t>
      </w:r>
      <w:r w:rsidR="009A3578" w:rsidRPr="00913061">
        <w:rPr>
          <w:rStyle w:val="AERbody"/>
        </w:rPr>
        <w:t xml:space="preserve"> </w:t>
      </w:r>
    </w:p>
    <w:p w14:paraId="6149BEE2" w14:textId="5B9BFBB8" w:rsidR="005A184F" w:rsidRPr="00913061" w:rsidRDefault="005A184F" w:rsidP="00913061">
      <w:pPr>
        <w:pStyle w:val="HeadingBoldBlue"/>
        <w:rPr>
          <w:rStyle w:val="AERbody"/>
          <w:color w:val="70635A" w:themeColor="text2"/>
          <w:sz w:val="28"/>
        </w:rPr>
      </w:pPr>
      <w:r w:rsidRPr="00913061">
        <w:rPr>
          <w:rStyle w:val="AERbody"/>
          <w:color w:val="70635A" w:themeColor="text2"/>
          <w:sz w:val="28"/>
        </w:rPr>
        <w:t>Time value of money</w:t>
      </w:r>
    </w:p>
    <w:p w14:paraId="652CC608" w14:textId="0B1B94A2" w:rsidR="005A184F" w:rsidRDefault="006841DC" w:rsidP="005A184F">
      <w:pPr>
        <w:numPr>
          <w:ilvl w:val="0"/>
          <w:numId w:val="25"/>
        </w:numPr>
      </w:pPr>
      <w:r>
        <w:t>S</w:t>
      </w:r>
      <w:r w:rsidR="005A184F">
        <w:t>ervice providers submitted that the delay between the distribution of an imputation credit and the time at which it is redeemed may be expected to reduce an investor's valuation of the credit.</w:t>
      </w:r>
      <w:r w:rsidR="005A184F">
        <w:rPr>
          <w:rStyle w:val="FootnoteReference"/>
        </w:rPr>
        <w:footnoteReference w:id="245"/>
      </w:r>
      <w:r w:rsidR="005A184F">
        <w:t xml:space="preserve"> In response, we note that:</w:t>
      </w:r>
    </w:p>
    <w:p w14:paraId="01B60A42" w14:textId="77777777" w:rsidR="005A184F" w:rsidRPr="005A184F" w:rsidRDefault="005A184F" w:rsidP="005A184F">
      <w:pPr>
        <w:pStyle w:val="AERbulletlistfirststyle"/>
      </w:pPr>
      <w:r>
        <w:lastRenderedPageBreak/>
        <w:t>We are unaware of any evidence that indicates the average size of this time delay across all investors.</w:t>
      </w:r>
    </w:p>
    <w:p w14:paraId="3FB4484A" w14:textId="77777777" w:rsidR="005A184F" w:rsidRDefault="005A184F" w:rsidP="00212CFB">
      <w:pPr>
        <w:pStyle w:val="AERbulletlistfirststyle"/>
      </w:pPr>
      <w:r>
        <w:t xml:space="preserve">Even if there were a material time delay that should be accounted for when estimating the utilisation rate, we consider that the appropriate discount rate to apply to such delay would be a short-term risk free rate. This is because an imputation credit represents a promise from the Australian Government to reduce an investor's tax liability by the size of the credit or to refund the credit. </w:t>
      </w:r>
      <w:r w:rsidR="00212CFB">
        <w:t>Current i</w:t>
      </w:r>
      <w:r>
        <w:t xml:space="preserve">nterest rates on two year Commonwealth Government bonds suggest that the appropriate discount </w:t>
      </w:r>
      <w:r w:rsidR="00212CFB">
        <w:t>rate would be likely less than 2</w:t>
      </w:r>
      <w:r>
        <w:t xml:space="preserve"> per cent. Therefore, the magnitude of the adjustment would be quite small.</w:t>
      </w:r>
      <w:r w:rsidR="00212CFB">
        <w:t xml:space="preserve"> </w:t>
      </w:r>
      <w:r>
        <w:t>Handley agreed with the immateriality of any required adjustment for time delay</w:t>
      </w:r>
      <w:r w:rsidR="002356A3">
        <w:t>.</w:t>
      </w:r>
      <w:r>
        <w:rPr>
          <w:rStyle w:val="FootnoteReference"/>
        </w:rPr>
        <w:footnoteReference w:id="246"/>
      </w:r>
    </w:p>
    <w:p w14:paraId="02460F36" w14:textId="77777777" w:rsidR="005A184F" w:rsidRDefault="005A184F" w:rsidP="005A184F">
      <w:pPr>
        <w:numPr>
          <w:ilvl w:val="0"/>
          <w:numId w:val="25"/>
        </w:numPr>
      </w:pPr>
      <w:r>
        <w:t>Based on these considerations, we conclude that it is reasonable to not adjust any of our estimates of the utilisation rate for the time value of money where this effect is not already accounted for.</w:t>
      </w:r>
    </w:p>
    <w:p w14:paraId="54C24A4E" w14:textId="77777777" w:rsidR="005A184F" w:rsidRDefault="005A184F" w:rsidP="005A184F">
      <w:pPr>
        <w:pStyle w:val="HeadingBoldBlue"/>
        <w:numPr>
          <w:ilvl w:val="0"/>
          <w:numId w:val="25"/>
        </w:numPr>
      </w:pPr>
      <w:r>
        <w:t>Portfolio effects</w:t>
      </w:r>
    </w:p>
    <w:p w14:paraId="3CA97B50" w14:textId="4BE1FB07" w:rsidR="0094112A" w:rsidRDefault="005A184F" w:rsidP="005A184F">
      <w:r>
        <w:t xml:space="preserve">The service providers </w:t>
      </w:r>
      <w:r w:rsidR="00025DC4">
        <w:t xml:space="preserve">for which we released final decision in April and </w:t>
      </w:r>
      <w:r w:rsidR="00ED0B08">
        <w:t>June</w:t>
      </w:r>
      <w:r w:rsidR="00025DC4">
        <w:t xml:space="preserve"> 2015 </w:t>
      </w:r>
      <w:r>
        <w:t>submitted that, to the extent that an investor reduces the value of their overall portfolio simply to increase the extent to which they can redeem imputation credits, this lost value will be reflected in a lower valuation of the credits</w:t>
      </w:r>
      <w:r w:rsidR="00F14F00">
        <w:t>.</w:t>
      </w:r>
      <w:r>
        <w:rPr>
          <w:rStyle w:val="FootnoteReference"/>
        </w:rPr>
        <w:footnoteReference w:id="247"/>
      </w:r>
      <w:r>
        <w:t xml:space="preserve"> </w:t>
      </w:r>
      <w:r w:rsidR="00F00DD2">
        <w:t>Gray</w:t>
      </w:r>
      <w:r>
        <w:t xml:space="preserve">'s </w:t>
      </w:r>
      <w:r w:rsidR="00603831">
        <w:t>report</w:t>
      </w:r>
      <w:r>
        <w:t xml:space="preserve"> </w:t>
      </w:r>
      <w:r w:rsidR="00F00DD2">
        <w:t xml:space="preserve">(for SFG) </w:t>
      </w:r>
      <w:r>
        <w:t>to the service providers on this topic referred to the 'cost of losing diversification'.</w:t>
      </w:r>
      <w:r>
        <w:rPr>
          <w:rStyle w:val="FootnoteReference"/>
        </w:rPr>
        <w:footnoteReference w:id="248"/>
      </w:r>
      <w:r>
        <w:t xml:space="preserve"> However, as discussed in section</w:t>
      </w:r>
      <w:r w:rsidR="00DE4B9F">
        <w:t xml:space="preserve"> </w:t>
      </w:r>
      <w:r w:rsidR="00DE4B9F">
        <w:fldChar w:fldCharType="begin"/>
      </w:r>
      <w:r w:rsidR="00DE4B9F">
        <w:instrText xml:space="preserve"> REF _Ref401748758 \r \h </w:instrText>
      </w:r>
      <w:r w:rsidR="00DE4B9F">
        <w:fldChar w:fldCharType="separate"/>
      </w:r>
      <w:r w:rsidR="001E2164">
        <w:t>A.8.1</w:t>
      </w:r>
      <w:r w:rsidR="00DE4B9F">
        <w:fldChar w:fldCharType="end"/>
      </w:r>
      <w:r>
        <w:t xml:space="preserve">, Handley advised that our estimate of the utilisation rate should exclude 'diversification costs'. More specifically, we do not agree that portfolio effects would mean that a dollar of imputation credits in the hands of an eligible investor would be worth less than one dollar to that investor on a pre-personal-tax and pre-personal-costs basis. </w:t>
      </w:r>
      <w:r w:rsidR="00B81EAE">
        <w:t xml:space="preserve">We made this point in our </w:t>
      </w:r>
      <w:r w:rsidR="00720F9C">
        <w:t>prior</w:t>
      </w:r>
      <w:r w:rsidR="00B81EAE">
        <w:t xml:space="preserve"> decisions </w:t>
      </w:r>
      <w:r w:rsidR="00720F9C">
        <w:t>and</w:t>
      </w:r>
      <w:r w:rsidR="00B81EAE">
        <w:t xml:space="preserve"> the service providers </w:t>
      </w:r>
      <w:r w:rsidR="00720F9C">
        <w:t>and their consultants have</w:t>
      </w:r>
      <w:r w:rsidR="00B81EAE">
        <w:t xml:space="preserve"> not comment</w:t>
      </w:r>
      <w:r w:rsidR="00720F9C">
        <w:t>ed</w:t>
      </w:r>
      <w:r w:rsidR="00B81EAE">
        <w:t xml:space="preserve"> on it.</w:t>
      </w:r>
      <w:r w:rsidR="00F14F00">
        <w:t xml:space="preserve"> </w:t>
      </w:r>
      <w:r w:rsidR="00B81EAE">
        <w:t>W</w:t>
      </w:r>
      <w:r>
        <w:t xml:space="preserve">e </w:t>
      </w:r>
      <w:r w:rsidR="00603831">
        <w:t>consider</w:t>
      </w:r>
      <w:r>
        <w:t xml:space="preserve"> that it is reasonable to not adjust any of our estimates of the utilisation rate for portfolio effects.</w:t>
      </w:r>
    </w:p>
    <w:p w14:paraId="4CEC88E6" w14:textId="77777777" w:rsidR="004510FE" w:rsidRDefault="000D2DBF" w:rsidP="000D2DBF">
      <w:pPr>
        <w:pStyle w:val="HeadingBoldBlue"/>
      </w:pPr>
      <w:r>
        <w:t>The 'illustrative impact' of these factors</w:t>
      </w:r>
    </w:p>
    <w:p w14:paraId="294CBB6B" w14:textId="20AE11EB" w:rsidR="00545B75" w:rsidRDefault="006841DC" w:rsidP="003C23B4">
      <w:r>
        <w:t>S</w:t>
      </w:r>
      <w:r w:rsidR="00F56EED">
        <w:t xml:space="preserve">ervice providers submitted </w:t>
      </w:r>
      <w:r w:rsidR="00545E09">
        <w:t>that</w:t>
      </w:r>
      <w:r w:rsidR="000D2DBF">
        <w:t>, because of the factors set out above,</w:t>
      </w:r>
      <w:r w:rsidR="00545E09">
        <w:t xml:space="preserve"> our implied point estimates of the utilisation rate are 'well </w:t>
      </w:r>
      <w:r w:rsidR="00545E09" w:rsidRPr="003C23B4">
        <w:t>above</w:t>
      </w:r>
      <w:r w:rsidR="00545E09">
        <w:t xml:space="preserve"> any possible measure of the value of </w:t>
      </w:r>
      <w:r w:rsidR="00545E09">
        <w:lastRenderedPageBreak/>
        <w:t>distributed imputation credits'.</w:t>
      </w:r>
      <w:r w:rsidR="00545E09">
        <w:rPr>
          <w:rStyle w:val="FootnoteReference"/>
        </w:rPr>
        <w:footnoteReference w:id="249"/>
      </w:r>
      <w:r w:rsidR="00545E09">
        <w:t xml:space="preserve"> In support of this, </w:t>
      </w:r>
      <w:r w:rsidR="004136CE">
        <w:t>a number of</w:t>
      </w:r>
      <w:r w:rsidR="00545E09">
        <w:t xml:space="preserve"> service</w:t>
      </w:r>
      <w:r w:rsidR="00FB6971">
        <w:t xml:space="preserve"> providers presented </w:t>
      </w:r>
      <w:r w:rsidR="00FB6971">
        <w:fldChar w:fldCharType="begin"/>
      </w:r>
      <w:r w:rsidR="00FB6971">
        <w:instrText xml:space="preserve"> REF  _Ref415078600 \* Lower \h </w:instrText>
      </w:r>
      <w:r w:rsidR="00FB6971">
        <w:fldChar w:fldCharType="separate"/>
      </w:r>
      <w:r w:rsidR="001E2164">
        <w:t xml:space="preserve">figure </w:t>
      </w:r>
      <w:r w:rsidR="001E2164">
        <w:rPr>
          <w:noProof/>
        </w:rPr>
        <w:t>4</w:t>
      </w:r>
      <w:r w:rsidR="001E2164">
        <w:noBreakHyphen/>
      </w:r>
      <w:r w:rsidR="001E2164">
        <w:rPr>
          <w:noProof/>
        </w:rPr>
        <w:t>1</w:t>
      </w:r>
      <w:r w:rsidR="00FB6971">
        <w:fldChar w:fldCharType="end"/>
      </w:r>
      <w:r w:rsidR="00FB6971">
        <w:t xml:space="preserve"> and </w:t>
      </w:r>
      <w:r w:rsidR="00FB6971">
        <w:fldChar w:fldCharType="begin"/>
      </w:r>
      <w:r w:rsidR="00FB6971">
        <w:instrText xml:space="preserve"> REF  _Ref415078618 \* Lower \h </w:instrText>
      </w:r>
      <w:r w:rsidR="00FB6971">
        <w:fldChar w:fldCharType="separate"/>
      </w:r>
      <w:r w:rsidR="001E2164">
        <w:t xml:space="preserve">figure </w:t>
      </w:r>
      <w:r w:rsidR="001E2164">
        <w:rPr>
          <w:noProof/>
        </w:rPr>
        <w:t>4</w:t>
      </w:r>
      <w:r w:rsidR="001E2164">
        <w:noBreakHyphen/>
      </w:r>
      <w:r w:rsidR="001E2164">
        <w:rPr>
          <w:noProof/>
        </w:rPr>
        <w:t>2</w:t>
      </w:r>
      <w:r w:rsidR="00FB6971">
        <w:fldChar w:fldCharType="end"/>
      </w:r>
      <w:r w:rsidR="00545E09">
        <w:t xml:space="preserve">. </w:t>
      </w:r>
    </w:p>
    <w:p w14:paraId="7FBEC5DE" w14:textId="77777777" w:rsidR="00545B75" w:rsidRDefault="00A7103E" w:rsidP="00A7103E">
      <w:pPr>
        <w:pStyle w:val="Caption"/>
      </w:pPr>
      <w:bookmarkStart w:id="68" w:name="_Ref415078600"/>
      <w:r>
        <w:t xml:space="preserve">Figure </w:t>
      </w:r>
      <w:r w:rsidR="00D70292">
        <w:fldChar w:fldCharType="begin"/>
      </w:r>
      <w:r w:rsidR="00D70292">
        <w:instrText xml:space="preserve"> STYLEREF 1 \s </w:instrText>
      </w:r>
      <w:r w:rsidR="00D70292">
        <w:fldChar w:fldCharType="separate"/>
      </w:r>
      <w:r w:rsidR="001E2164">
        <w:rPr>
          <w:noProof/>
        </w:rPr>
        <w:t>4</w:t>
      </w:r>
      <w:r w:rsidR="00D70292">
        <w:rPr>
          <w:noProof/>
        </w:rPr>
        <w:fldChar w:fldCharType="end"/>
      </w:r>
      <w:r>
        <w:noBreakHyphen/>
      </w:r>
      <w:r w:rsidR="00D70292">
        <w:fldChar w:fldCharType="begin"/>
      </w:r>
      <w:r w:rsidR="00D70292">
        <w:instrText xml:space="preserve"> SEQ Figure \* ARABIC \s 1 </w:instrText>
      </w:r>
      <w:r w:rsidR="00D70292">
        <w:fldChar w:fldCharType="separate"/>
      </w:r>
      <w:r w:rsidR="001E2164">
        <w:rPr>
          <w:noProof/>
        </w:rPr>
        <w:t>1</w:t>
      </w:r>
      <w:r w:rsidR="00D70292">
        <w:rPr>
          <w:noProof/>
        </w:rPr>
        <w:fldChar w:fldCharType="end"/>
      </w:r>
      <w:bookmarkEnd w:id="68"/>
      <w:r>
        <w:tab/>
      </w:r>
      <w:r w:rsidRPr="00A7103E">
        <w:t>Illustrative impact on value of imputation credits – listed equity</w:t>
      </w:r>
    </w:p>
    <w:p w14:paraId="54B9D939" w14:textId="77777777" w:rsidR="00A7103E" w:rsidRPr="00A7103E" w:rsidRDefault="00A7103E" w:rsidP="00A7103E">
      <w:r w:rsidRPr="00A7103E">
        <w:rPr>
          <w:noProof/>
          <w:lang w:eastAsia="en-AU"/>
        </w:rPr>
        <w:drawing>
          <wp:inline distT="0" distB="0" distL="0" distR="0" wp14:anchorId="729F7390" wp14:editId="6A214855">
            <wp:extent cx="5328000" cy="3474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8000" cy="3474000"/>
                    </a:xfrm>
                    <a:prstGeom prst="rect">
                      <a:avLst/>
                    </a:prstGeom>
                    <a:noFill/>
                    <a:ln>
                      <a:noFill/>
                    </a:ln>
                  </pic:spPr>
                </pic:pic>
              </a:graphicData>
            </a:graphic>
          </wp:inline>
        </w:drawing>
      </w:r>
    </w:p>
    <w:p w14:paraId="78CF380B" w14:textId="77777777" w:rsidR="00A7103E" w:rsidRDefault="00A7103E" w:rsidP="00A7103E">
      <w:pPr>
        <w:pStyle w:val="AERtablesource"/>
      </w:pPr>
      <w:r>
        <w:t>Source:</w:t>
      </w:r>
      <w:r>
        <w:tab/>
        <w:t>Service providers' revised proposals.</w:t>
      </w:r>
    </w:p>
    <w:p w14:paraId="40A6041E" w14:textId="77777777" w:rsidR="006B28F5" w:rsidRDefault="006B28F5" w:rsidP="006B28F5">
      <w:pPr>
        <w:pStyle w:val="Caption"/>
      </w:pPr>
      <w:bookmarkStart w:id="69" w:name="_Ref415078618"/>
      <w:r>
        <w:lastRenderedPageBreak/>
        <w:t xml:space="preserve">Figure </w:t>
      </w:r>
      <w:r w:rsidR="00D70292">
        <w:fldChar w:fldCharType="begin"/>
      </w:r>
      <w:r w:rsidR="00D70292">
        <w:instrText xml:space="preserve"> STYLEREF 1 \s </w:instrText>
      </w:r>
      <w:r w:rsidR="00D70292">
        <w:fldChar w:fldCharType="separate"/>
      </w:r>
      <w:r w:rsidR="001E2164">
        <w:rPr>
          <w:noProof/>
        </w:rPr>
        <w:t>4</w:t>
      </w:r>
      <w:r w:rsidR="00D70292">
        <w:rPr>
          <w:noProof/>
        </w:rPr>
        <w:fldChar w:fldCharType="end"/>
      </w:r>
      <w:r>
        <w:noBreakHyphen/>
      </w:r>
      <w:r w:rsidR="00D70292">
        <w:fldChar w:fldCharType="begin"/>
      </w:r>
      <w:r w:rsidR="00D70292">
        <w:instrText xml:space="preserve"> SEQ Figure \* ARABIC </w:instrText>
      </w:r>
      <w:r w:rsidR="00D70292">
        <w:instrText xml:space="preserve">\s 1 </w:instrText>
      </w:r>
      <w:r w:rsidR="00D70292">
        <w:fldChar w:fldCharType="separate"/>
      </w:r>
      <w:r w:rsidR="001E2164">
        <w:rPr>
          <w:noProof/>
        </w:rPr>
        <w:t>2</w:t>
      </w:r>
      <w:r w:rsidR="00D70292">
        <w:rPr>
          <w:noProof/>
        </w:rPr>
        <w:fldChar w:fldCharType="end"/>
      </w:r>
      <w:bookmarkEnd w:id="69"/>
      <w:r>
        <w:tab/>
      </w:r>
      <w:r w:rsidRPr="00A7103E">
        <w:t xml:space="preserve">Illustrative impact on value of imputation credits – </w:t>
      </w:r>
      <w:r>
        <w:t>all</w:t>
      </w:r>
      <w:r w:rsidRPr="00A7103E">
        <w:t xml:space="preserve"> equity</w:t>
      </w:r>
    </w:p>
    <w:p w14:paraId="3BF8D222" w14:textId="77777777" w:rsidR="006B28F5" w:rsidRDefault="006B28F5" w:rsidP="003C23B4">
      <w:r w:rsidRPr="006B28F5">
        <w:rPr>
          <w:noProof/>
          <w:lang w:eastAsia="en-AU"/>
        </w:rPr>
        <w:drawing>
          <wp:inline distT="0" distB="0" distL="0" distR="0" wp14:anchorId="19E0C9CF" wp14:editId="5FAAD760">
            <wp:extent cx="5328000" cy="3470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8000" cy="3470400"/>
                    </a:xfrm>
                    <a:prstGeom prst="rect">
                      <a:avLst/>
                    </a:prstGeom>
                    <a:noFill/>
                    <a:ln>
                      <a:noFill/>
                    </a:ln>
                  </pic:spPr>
                </pic:pic>
              </a:graphicData>
            </a:graphic>
          </wp:inline>
        </w:drawing>
      </w:r>
    </w:p>
    <w:p w14:paraId="53A23705" w14:textId="77777777" w:rsidR="00071CD2" w:rsidRDefault="00071CD2" w:rsidP="00071CD2">
      <w:pPr>
        <w:pStyle w:val="AERtablesource"/>
      </w:pPr>
      <w:r>
        <w:t>Source:</w:t>
      </w:r>
      <w:r>
        <w:tab/>
        <w:t>Service providers' revised proposals.</w:t>
      </w:r>
    </w:p>
    <w:p w14:paraId="11259E66" w14:textId="77777777" w:rsidR="00545E09" w:rsidRDefault="00545E09" w:rsidP="003C23B4">
      <w:r>
        <w:t>As already discussed, there is disagreement between the service providers and us on whether the utilisation rate (and therefore the value of imputation credits) should be</w:t>
      </w:r>
      <w:r w:rsidR="00A24B51">
        <w:t xml:space="preserve"> estimated on a basis that is</w:t>
      </w:r>
      <w:r>
        <w:t xml:space="preserve"> 'before' or 'after' the taxes and costs incurred by investors. The service providers consider that the value of imputation credits should be estimated 'after' these factors. </w:t>
      </w:r>
      <w:r w:rsidR="000D2DBF">
        <w:t>Given that these factors can only result in the diminution of the value of credits,</w:t>
      </w:r>
      <w:r>
        <w:t xml:space="preserve"> it follows that the service providers' preferred </w:t>
      </w:r>
      <w:r w:rsidR="00FB6971">
        <w:t>estimate of the value of imputation credits</w:t>
      </w:r>
      <w:r>
        <w:t xml:space="preserve"> will be no higher than that estimated on a before-personal-tax and before-personal-costs basis.</w:t>
      </w:r>
    </w:p>
    <w:p w14:paraId="6B3A71E3" w14:textId="38B42455" w:rsidR="00A067BD" w:rsidRDefault="00545E09" w:rsidP="00F56EED">
      <w:r>
        <w:t xml:space="preserve">This notwithstanding, we consider that there are a number of problems with </w:t>
      </w:r>
      <w:r w:rsidR="00FB6971">
        <w:fldChar w:fldCharType="begin"/>
      </w:r>
      <w:r w:rsidR="00FB6971">
        <w:instrText xml:space="preserve"> REF  _Ref415078600 \* Lower \h </w:instrText>
      </w:r>
      <w:r w:rsidR="00FB6971">
        <w:fldChar w:fldCharType="separate"/>
      </w:r>
      <w:r w:rsidR="001E2164">
        <w:t xml:space="preserve">figure </w:t>
      </w:r>
      <w:r w:rsidR="001E2164">
        <w:rPr>
          <w:noProof/>
        </w:rPr>
        <w:t>4</w:t>
      </w:r>
      <w:r w:rsidR="001E2164">
        <w:noBreakHyphen/>
      </w:r>
      <w:r w:rsidR="001E2164">
        <w:rPr>
          <w:noProof/>
        </w:rPr>
        <w:t>1</w:t>
      </w:r>
      <w:r w:rsidR="00FB6971">
        <w:fldChar w:fldCharType="end"/>
      </w:r>
      <w:r w:rsidR="00FB6971">
        <w:t xml:space="preserve"> and </w:t>
      </w:r>
      <w:r w:rsidR="00FB6971">
        <w:fldChar w:fldCharType="begin"/>
      </w:r>
      <w:r w:rsidR="00FB6971">
        <w:instrText xml:space="preserve"> REF  _Ref415078618 \* Lower \h </w:instrText>
      </w:r>
      <w:r w:rsidR="00FB6971">
        <w:fldChar w:fldCharType="separate"/>
      </w:r>
      <w:r w:rsidR="001E2164">
        <w:t xml:space="preserve">figure </w:t>
      </w:r>
      <w:r w:rsidR="001E2164">
        <w:rPr>
          <w:noProof/>
        </w:rPr>
        <w:t>4</w:t>
      </w:r>
      <w:r w:rsidR="001E2164">
        <w:noBreakHyphen/>
      </w:r>
      <w:r w:rsidR="001E2164">
        <w:rPr>
          <w:noProof/>
        </w:rPr>
        <w:t>2</w:t>
      </w:r>
      <w:r w:rsidR="00FB6971">
        <w:fldChar w:fldCharType="end"/>
      </w:r>
      <w:r>
        <w:t xml:space="preserve">. Moreover, </w:t>
      </w:r>
      <w:r w:rsidR="00AA1441">
        <w:t>the figures suggest that the value of distributed credits on which the service providers rely</w:t>
      </w:r>
      <w:r w:rsidR="0005360D">
        <w:t xml:space="preserve"> </w:t>
      </w:r>
      <w:r w:rsidR="000D2DBF">
        <w:t>is likely</w:t>
      </w:r>
      <w:r w:rsidR="0005360D">
        <w:t xml:space="preserve"> understated relative to the (after-personal-tax and after-personal-costs) value to investors in all equity.</w:t>
      </w:r>
    </w:p>
    <w:p w14:paraId="3C301291" w14:textId="77777777" w:rsidR="00605B17" w:rsidRDefault="00605B17" w:rsidP="000D2DBF">
      <w:pPr>
        <w:pStyle w:val="HeadingBoldItalic"/>
      </w:pPr>
      <w:r>
        <w:t>The relevant equity ownership share</w:t>
      </w:r>
    </w:p>
    <w:p w14:paraId="1B451D52" w14:textId="3E93D659" w:rsidR="00605B17" w:rsidRDefault="002C3021" w:rsidP="00F56EED">
      <w:r>
        <w:t xml:space="preserve">The key difference between the figures is that in </w:t>
      </w:r>
      <w:r w:rsidR="00FB6971">
        <w:fldChar w:fldCharType="begin"/>
      </w:r>
      <w:r w:rsidR="00FB6971">
        <w:instrText xml:space="preserve"> REF  _Ref415078600 \* Lower \h </w:instrText>
      </w:r>
      <w:r w:rsidR="00FB6971">
        <w:fldChar w:fldCharType="separate"/>
      </w:r>
      <w:r w:rsidR="001E2164">
        <w:t xml:space="preserve">figure </w:t>
      </w:r>
      <w:r w:rsidR="001E2164">
        <w:rPr>
          <w:noProof/>
        </w:rPr>
        <w:t>4</w:t>
      </w:r>
      <w:r w:rsidR="001E2164">
        <w:noBreakHyphen/>
      </w:r>
      <w:r w:rsidR="001E2164">
        <w:rPr>
          <w:noProof/>
        </w:rPr>
        <w:t>1</w:t>
      </w:r>
      <w:r w:rsidR="00FB6971">
        <w:fldChar w:fldCharType="end"/>
      </w:r>
      <w:r w:rsidR="00E83279">
        <w:t xml:space="preserve"> the SFG estimate of the value of distributed credits is ultimately compared to the refined share of foreign ownership of listed equity, and in </w:t>
      </w:r>
      <w:r w:rsidR="00FB6971">
        <w:fldChar w:fldCharType="begin"/>
      </w:r>
      <w:r w:rsidR="00FB6971">
        <w:instrText xml:space="preserve"> REF  _Ref415078618 \* Lower \h </w:instrText>
      </w:r>
      <w:r w:rsidR="00FB6971">
        <w:fldChar w:fldCharType="separate"/>
      </w:r>
      <w:r w:rsidR="001E2164">
        <w:t xml:space="preserve">figure </w:t>
      </w:r>
      <w:r w:rsidR="001E2164">
        <w:rPr>
          <w:noProof/>
        </w:rPr>
        <w:t>4</w:t>
      </w:r>
      <w:r w:rsidR="001E2164">
        <w:noBreakHyphen/>
      </w:r>
      <w:r w:rsidR="001E2164">
        <w:rPr>
          <w:noProof/>
        </w:rPr>
        <w:t>2</w:t>
      </w:r>
      <w:r w:rsidR="00FB6971">
        <w:fldChar w:fldCharType="end"/>
      </w:r>
      <w:r w:rsidR="00FB6971">
        <w:t xml:space="preserve"> </w:t>
      </w:r>
      <w:r w:rsidR="00E83279">
        <w:t>the comparison is made with the refined share of foreign</w:t>
      </w:r>
      <w:r w:rsidR="00545E09">
        <w:t xml:space="preserve"> </w:t>
      </w:r>
      <w:r w:rsidR="00E83279">
        <w:t>ownership in all equity.</w:t>
      </w:r>
      <w:r w:rsidR="00545E09">
        <w:t xml:space="preserve"> </w:t>
      </w:r>
      <w:r w:rsidR="004D44E4">
        <w:t xml:space="preserve">However, </w:t>
      </w:r>
      <w:r w:rsidR="00F00DD2">
        <w:t xml:space="preserve">Gray (for </w:t>
      </w:r>
      <w:r w:rsidR="004D44E4">
        <w:t>SFG</w:t>
      </w:r>
      <w:r w:rsidR="00F00DD2">
        <w:t>)</w:t>
      </w:r>
      <w:r w:rsidR="004D44E4">
        <w:t xml:space="preserve"> indicated</w:t>
      </w:r>
      <w:r w:rsidR="00246058">
        <w:t xml:space="preserve"> that </w:t>
      </w:r>
      <w:r w:rsidR="004D44E4">
        <w:t>if the value of distributed credits is estimated via a</w:t>
      </w:r>
      <w:r w:rsidR="00246058">
        <w:t xml:space="preserve"> 'market value</w:t>
      </w:r>
      <w:r w:rsidR="004D44E4">
        <w:t xml:space="preserve"> approach</w:t>
      </w:r>
      <w:r w:rsidR="00246058">
        <w:t>'</w:t>
      </w:r>
      <w:r w:rsidR="004D44E4">
        <w:t xml:space="preserve"> (such as SFG's dividend drop off study), then the </w:t>
      </w:r>
      <w:r w:rsidR="004D44E4">
        <w:lastRenderedPageBreak/>
        <w:t xml:space="preserve">estimate will represent </w:t>
      </w:r>
      <w:r w:rsidR="00246058">
        <w:t>'an average across all listed firms'.</w:t>
      </w:r>
      <w:r w:rsidR="00246058">
        <w:rPr>
          <w:rStyle w:val="FootnoteReference"/>
        </w:rPr>
        <w:footnoteReference w:id="250"/>
      </w:r>
      <w:r w:rsidR="00246058">
        <w:t xml:space="preserve"> Accordingly, the relevant foreign ownership share is that of listed equity, and it would be internally inconsistent to compare the </w:t>
      </w:r>
      <w:r w:rsidR="006A7BBB">
        <w:t>SFG estimate of the value of distributed credits with the foreign ownership share of all equity</w:t>
      </w:r>
      <w:r w:rsidR="00A24B51">
        <w:t xml:space="preserve"> (as the service providers have done in </w:t>
      </w:r>
      <w:r w:rsidR="00A24B51">
        <w:fldChar w:fldCharType="begin"/>
      </w:r>
      <w:r w:rsidR="00A24B51">
        <w:instrText xml:space="preserve"> REF  _Ref415078618 \* Lower \h </w:instrText>
      </w:r>
      <w:r w:rsidR="00A24B51">
        <w:fldChar w:fldCharType="separate"/>
      </w:r>
      <w:r w:rsidR="001E2164">
        <w:t xml:space="preserve">figure </w:t>
      </w:r>
      <w:r w:rsidR="001E2164">
        <w:rPr>
          <w:noProof/>
        </w:rPr>
        <w:t>4</w:t>
      </w:r>
      <w:r w:rsidR="001E2164">
        <w:noBreakHyphen/>
      </w:r>
      <w:r w:rsidR="001E2164">
        <w:rPr>
          <w:noProof/>
        </w:rPr>
        <w:t>2</w:t>
      </w:r>
      <w:r w:rsidR="00A24B51">
        <w:fldChar w:fldCharType="end"/>
      </w:r>
      <w:r w:rsidR="00A22B66">
        <w:t>)</w:t>
      </w:r>
      <w:r w:rsidR="006A7BBB">
        <w:t>.</w:t>
      </w:r>
    </w:p>
    <w:p w14:paraId="458281B2" w14:textId="77777777" w:rsidR="00880298" w:rsidRDefault="00415DA8" w:rsidP="00F56EED">
      <w:r>
        <w:t>I</w:t>
      </w:r>
      <w:r w:rsidR="00603831">
        <w:t xml:space="preserve">t </w:t>
      </w:r>
      <w:r>
        <w:t xml:space="preserve">also </w:t>
      </w:r>
      <w:r w:rsidR="00603831">
        <w:t>seems</w:t>
      </w:r>
      <w:r w:rsidR="00FA5E9C">
        <w:t xml:space="preserve"> that </w:t>
      </w:r>
      <w:r w:rsidR="00806F4F">
        <w:t xml:space="preserve">the SFG estimate of the value of distributed credits reflects </w:t>
      </w:r>
      <w:r w:rsidR="00FA5E9C">
        <w:t>the</w:t>
      </w:r>
      <w:r w:rsidR="00806F4F">
        <w:t xml:space="preserve"> average value </w:t>
      </w:r>
      <w:r w:rsidR="00FA5E9C">
        <w:t>over the sample period of the data used by S</w:t>
      </w:r>
      <w:r w:rsidR="00603831">
        <w:t>FG: July 2001 to October 2012. If so</w:t>
      </w:r>
      <w:r w:rsidR="00FA5E9C">
        <w:t>, this estimate should be compared with the average</w:t>
      </w:r>
      <w:r>
        <w:t>, refined</w:t>
      </w:r>
      <w:r w:rsidR="00FA5E9C">
        <w:t xml:space="preserve"> foreign ownership share </w:t>
      </w:r>
      <w:r w:rsidR="00B16D33">
        <w:t xml:space="preserve">of listed equity </w:t>
      </w:r>
      <w:r w:rsidR="00FA5E9C">
        <w:t>over a similar period (June 2001 to Dece</w:t>
      </w:r>
      <w:r>
        <w:t>mber 2012). This is equal to 0.5</w:t>
      </w:r>
      <w:r w:rsidR="00FA5E9C">
        <w:t>1.</w:t>
      </w:r>
    </w:p>
    <w:p w14:paraId="3AB65844" w14:textId="77777777" w:rsidR="00880298" w:rsidRDefault="00880298" w:rsidP="000D2DBF">
      <w:pPr>
        <w:pStyle w:val="HeadingBoldItalic"/>
      </w:pPr>
      <w:r>
        <w:t xml:space="preserve">Implications for </w:t>
      </w:r>
      <w:r w:rsidR="00AF7793">
        <w:t>the value of distributed credits across investors in</w:t>
      </w:r>
      <w:r>
        <w:t xml:space="preserve"> all equity</w:t>
      </w:r>
    </w:p>
    <w:p w14:paraId="0064F0F0" w14:textId="52C853B7" w:rsidR="00880298" w:rsidRDefault="00B16D33" w:rsidP="00F56EED">
      <w:r>
        <w:t xml:space="preserve">Although we have above </w:t>
      </w:r>
      <w:r w:rsidR="0006280F">
        <w:t>identified the inconsistency in comparing SFG</w:t>
      </w:r>
      <w:r w:rsidR="00DC3E3C">
        <w:t>'s dividend drop off</w:t>
      </w:r>
      <w:r w:rsidR="0006280F">
        <w:t xml:space="preserve"> estimate of the value of distributed credits to the foreign ownership share of all equity, </w:t>
      </w:r>
      <w:r w:rsidR="003E2CFF">
        <w:fldChar w:fldCharType="begin"/>
      </w:r>
      <w:r w:rsidR="003E2CFF">
        <w:instrText xml:space="preserve"> REF  _Ref415078600 \* Lower \h </w:instrText>
      </w:r>
      <w:r w:rsidR="003E2CFF">
        <w:fldChar w:fldCharType="separate"/>
      </w:r>
      <w:r w:rsidR="001E2164">
        <w:t xml:space="preserve">figure </w:t>
      </w:r>
      <w:r w:rsidR="001E2164">
        <w:rPr>
          <w:noProof/>
        </w:rPr>
        <w:t>4</w:t>
      </w:r>
      <w:r w:rsidR="001E2164">
        <w:noBreakHyphen/>
      </w:r>
      <w:r w:rsidR="001E2164">
        <w:rPr>
          <w:noProof/>
        </w:rPr>
        <w:t>1</w:t>
      </w:r>
      <w:r w:rsidR="003E2CFF">
        <w:fldChar w:fldCharType="end"/>
      </w:r>
      <w:r w:rsidR="003E2CFF">
        <w:t xml:space="preserve"> and </w:t>
      </w:r>
      <w:r w:rsidR="003E2CFF">
        <w:fldChar w:fldCharType="begin"/>
      </w:r>
      <w:r w:rsidR="003E2CFF">
        <w:instrText xml:space="preserve"> REF  _Ref415078618 \* Lower \h </w:instrText>
      </w:r>
      <w:r w:rsidR="003E2CFF">
        <w:fldChar w:fldCharType="separate"/>
      </w:r>
      <w:r w:rsidR="001E2164">
        <w:t xml:space="preserve">figure </w:t>
      </w:r>
      <w:r w:rsidR="001E2164">
        <w:rPr>
          <w:noProof/>
        </w:rPr>
        <w:t>4</w:t>
      </w:r>
      <w:r w:rsidR="001E2164">
        <w:noBreakHyphen/>
      </w:r>
      <w:r w:rsidR="001E2164">
        <w:rPr>
          <w:noProof/>
        </w:rPr>
        <w:t>2</w:t>
      </w:r>
      <w:r w:rsidR="003E2CFF">
        <w:fldChar w:fldCharType="end"/>
      </w:r>
      <w:r w:rsidR="003E2CFF">
        <w:t xml:space="preserve"> </w:t>
      </w:r>
      <w:r w:rsidR="0006280F">
        <w:t xml:space="preserve">appear to be intended to </w:t>
      </w:r>
      <w:r w:rsidR="00880298">
        <w:t xml:space="preserve">indicate </w:t>
      </w:r>
      <w:r w:rsidR="0006280F">
        <w:t xml:space="preserve">that the presence of foreign investors is a relevant source of the diminution of the market-wide value of distributed credits. This suggests that, all else held equal, an implied market value study conducted over </w:t>
      </w:r>
      <w:r w:rsidR="00603831">
        <w:t>all equity</w:t>
      </w:r>
      <w:r w:rsidR="00671C74">
        <w:t xml:space="preserve"> </w:t>
      </w:r>
      <w:r w:rsidR="00415DA8">
        <w:t>might</w:t>
      </w:r>
      <w:r w:rsidR="00671C74">
        <w:t xml:space="preserve"> produce a higher estimate</w:t>
      </w:r>
      <w:r w:rsidR="00612C68">
        <w:t xml:space="preserve"> of the value of distributed credits</w:t>
      </w:r>
      <w:r w:rsidR="00603831">
        <w:t>. This would be</w:t>
      </w:r>
      <w:r w:rsidR="00671C74">
        <w:t xml:space="preserve"> because the foreign ownership share of all equity is lower.</w:t>
      </w:r>
      <w:r w:rsidR="00880298">
        <w:t xml:space="preserve"> </w:t>
      </w:r>
    </w:p>
    <w:p w14:paraId="3B7BDE8F" w14:textId="23905A81" w:rsidR="00E77E30" w:rsidRDefault="00880298" w:rsidP="00F56EED">
      <w:r>
        <w:t>Using the relevant estimate of the foreign equity ownership share</w:t>
      </w:r>
      <w:r w:rsidR="00AF7793">
        <w:t xml:space="preserve"> discussed above</w:t>
      </w:r>
      <w:r>
        <w:t xml:space="preserve">, the logic of </w:t>
      </w:r>
      <w:r w:rsidR="00602CA1">
        <w:fldChar w:fldCharType="begin"/>
      </w:r>
      <w:r w:rsidR="00602CA1">
        <w:instrText xml:space="preserve"> REF  _Ref415078600 \* Lower \h </w:instrText>
      </w:r>
      <w:r w:rsidR="00602CA1">
        <w:fldChar w:fldCharType="separate"/>
      </w:r>
      <w:r w:rsidR="001E2164">
        <w:t xml:space="preserve">figure </w:t>
      </w:r>
      <w:r w:rsidR="001E2164">
        <w:rPr>
          <w:noProof/>
        </w:rPr>
        <w:t>4</w:t>
      </w:r>
      <w:r w:rsidR="001E2164">
        <w:noBreakHyphen/>
      </w:r>
      <w:r w:rsidR="001E2164">
        <w:rPr>
          <w:noProof/>
        </w:rPr>
        <w:t>1</w:t>
      </w:r>
      <w:r w:rsidR="00602CA1">
        <w:fldChar w:fldCharType="end"/>
      </w:r>
      <w:r w:rsidR="00602CA1">
        <w:t xml:space="preserve"> and </w:t>
      </w:r>
      <w:r w:rsidR="00602CA1">
        <w:fldChar w:fldCharType="begin"/>
      </w:r>
      <w:r w:rsidR="00602CA1">
        <w:instrText xml:space="preserve"> REF  _Ref415078618 \* Lower \h </w:instrText>
      </w:r>
      <w:r w:rsidR="00602CA1">
        <w:fldChar w:fldCharType="separate"/>
      </w:r>
      <w:r w:rsidR="001E2164">
        <w:t xml:space="preserve">figure </w:t>
      </w:r>
      <w:r w:rsidR="001E2164">
        <w:rPr>
          <w:noProof/>
        </w:rPr>
        <w:t>4</w:t>
      </w:r>
      <w:r w:rsidR="001E2164">
        <w:noBreakHyphen/>
      </w:r>
      <w:r w:rsidR="001E2164">
        <w:rPr>
          <w:noProof/>
        </w:rPr>
        <w:t>2</w:t>
      </w:r>
      <w:r w:rsidR="00602CA1">
        <w:fldChar w:fldCharType="end"/>
      </w:r>
      <w:r>
        <w:t xml:space="preserve"> indicates that SFG's estimate of the value of distributed credits (0.35) represents </w:t>
      </w:r>
      <w:r w:rsidR="00AF7793">
        <w:t>the</w:t>
      </w:r>
      <w:r>
        <w:t xml:space="preserve"> diminution of the face v</w:t>
      </w:r>
      <w:r w:rsidR="002B1173">
        <w:t>alue of distributed credits by 5</w:t>
      </w:r>
      <w:r>
        <w:t xml:space="preserve">1 per cent due to the presence of foreign investors and </w:t>
      </w:r>
      <w:r w:rsidR="00612C68">
        <w:t xml:space="preserve">by </w:t>
      </w:r>
      <w:r w:rsidR="002B1173">
        <w:t>(1 - 0.35 - 0.5</w:t>
      </w:r>
      <w:r w:rsidR="00602CA1">
        <w:t>1</w:t>
      </w:r>
      <w:r>
        <w:t xml:space="preserve"> =</w:t>
      </w:r>
      <w:r w:rsidR="003E6B35">
        <w:t>)</w:t>
      </w:r>
      <w:r w:rsidR="002B1173">
        <w:t xml:space="preserve"> 1</w:t>
      </w:r>
      <w:r>
        <w:t>4 per cent due to other factors</w:t>
      </w:r>
      <w:r w:rsidR="00DF43F9">
        <w:t xml:space="preserve"> (including differential personal taxes and risk)</w:t>
      </w:r>
      <w:r>
        <w:t>.</w:t>
      </w:r>
      <w:r w:rsidR="00AF7793">
        <w:t xml:space="preserve"> If the combined diminution due to these other factors is the same for investors in all equity, then the logic of the figures indicates that the value of distributed credits across investors in</w:t>
      </w:r>
      <w:r w:rsidR="002B1173">
        <w:t xml:space="preserve"> all equity might be (1 - 0.14 - 0.39</w:t>
      </w:r>
      <w:r w:rsidR="00AF7793">
        <w:t xml:space="preserve"> =</w:t>
      </w:r>
      <w:r w:rsidR="003E6B35">
        <w:t>)</w:t>
      </w:r>
      <w:r w:rsidR="002B1173">
        <w:t xml:space="preserve"> 0.47</w:t>
      </w:r>
      <w:r w:rsidR="00AF7793">
        <w:t>.</w:t>
      </w:r>
      <w:r w:rsidR="00612C68">
        <w:rPr>
          <w:rStyle w:val="FootnoteReference"/>
        </w:rPr>
        <w:footnoteReference w:id="251"/>
      </w:r>
      <w:r w:rsidR="00AF7793">
        <w:t xml:space="preserve"> </w:t>
      </w:r>
      <w:r w:rsidR="00FA5E9C">
        <w:t xml:space="preserve"> </w:t>
      </w:r>
      <w:r w:rsidR="00806F4F">
        <w:t xml:space="preserve"> </w:t>
      </w:r>
      <w:r w:rsidR="00C04CC4">
        <w:t xml:space="preserve"> </w:t>
      </w:r>
    </w:p>
    <w:p w14:paraId="1A15F6B5" w14:textId="77777777" w:rsidR="00605B17" w:rsidRDefault="00605B17" w:rsidP="00DF17E4">
      <w:pPr>
        <w:pStyle w:val="HeadingBoldItalic"/>
      </w:pPr>
      <w:r>
        <w:t>Comparison to the redemption rate from tax statistics</w:t>
      </w:r>
    </w:p>
    <w:p w14:paraId="57A64F0D" w14:textId="77777777" w:rsidR="00605B17" w:rsidRDefault="00605B17" w:rsidP="00605B17">
      <w:r>
        <w:t xml:space="preserve">The figures suggest that the difference between the foreign ownership share and the redemption rate from tax statistics </w:t>
      </w:r>
      <w:r w:rsidR="004379A0">
        <w:t>is an estimate of</w:t>
      </w:r>
      <w:r>
        <w:t xml:space="preserve"> the credits distributed to domestic investors who do not redeem</w:t>
      </w:r>
      <w:r w:rsidR="00E64F30">
        <w:t xml:space="preserve"> them. The figures suggest that this might be because of the 45-day holding rule and/or transactions costs. We consider that there are a number of problems with this</w:t>
      </w:r>
      <w:r w:rsidR="001F5AF0">
        <w:t xml:space="preserve"> estimate</w:t>
      </w:r>
      <w:r w:rsidR="00E64F30">
        <w:t>.</w:t>
      </w:r>
    </w:p>
    <w:p w14:paraId="223382A3" w14:textId="77777777" w:rsidR="00E64F30" w:rsidRDefault="00E64F30" w:rsidP="00605B17">
      <w:r>
        <w:t>Firstly, t</w:t>
      </w:r>
      <w:r w:rsidR="00605B17">
        <w:t>he redemption rate from tax statistics reflects all equity, and therefore it is inconsistent to compare it to the foreign ownership share of listed equity.</w:t>
      </w:r>
    </w:p>
    <w:p w14:paraId="2D2763AF" w14:textId="5FE617FF" w:rsidR="00A067BD" w:rsidRPr="00DC6340" w:rsidRDefault="00E64F30" w:rsidP="00605B17">
      <w:pPr>
        <w:rPr>
          <w:rStyle w:val="AERbody"/>
        </w:rPr>
      </w:pPr>
      <w:r>
        <w:t xml:space="preserve">Secondly, this </w:t>
      </w:r>
      <w:r w:rsidR="001F5AF0">
        <w:t>estimate</w:t>
      </w:r>
      <w:r>
        <w:t xml:space="preserve"> does not contemplate error or inaccuracy in th</w:t>
      </w:r>
      <w:r w:rsidR="003E2CFF">
        <w:t xml:space="preserve">e tax statistics. In section </w:t>
      </w:r>
      <w:r w:rsidR="003E2CFF">
        <w:fldChar w:fldCharType="begin"/>
      </w:r>
      <w:r w:rsidR="003E2CFF">
        <w:instrText xml:space="preserve"> REF _Ref414289593 \r \h </w:instrText>
      </w:r>
      <w:r w:rsidR="003E2CFF">
        <w:fldChar w:fldCharType="separate"/>
      </w:r>
      <w:r w:rsidR="001E2164">
        <w:t>4.4.2</w:t>
      </w:r>
      <w:r w:rsidR="003E2CFF">
        <w:fldChar w:fldCharType="end"/>
      </w:r>
      <w:r>
        <w:t xml:space="preserve">, we set out the data concerns that exist regarding the tax statistics. </w:t>
      </w:r>
      <w:r w:rsidR="0023004F">
        <w:t>T</w:t>
      </w:r>
      <w:r>
        <w:t>he</w:t>
      </w:r>
      <w:r w:rsidR="0023004F">
        <w:t xml:space="preserve"> </w:t>
      </w:r>
      <w:r>
        <w:t xml:space="preserve">service providers </w:t>
      </w:r>
      <w:r w:rsidR="002C1CFB">
        <w:t>that</w:t>
      </w:r>
      <w:r w:rsidR="001D4E56">
        <w:t xml:space="preserve"> we released draft decisions </w:t>
      </w:r>
      <w:r w:rsidR="002C1CFB">
        <w:t xml:space="preserve">for </w:t>
      </w:r>
      <w:r w:rsidR="001D4E56">
        <w:t>in 2014</w:t>
      </w:r>
      <w:r>
        <w:t xml:space="preserve"> </w:t>
      </w:r>
      <w:r w:rsidR="00041485">
        <w:t xml:space="preserve">submitted </w:t>
      </w:r>
      <w:r w:rsidR="001D4E56">
        <w:t xml:space="preserve">in their initial proposals </w:t>
      </w:r>
      <w:r>
        <w:t>that no weight be placed on estimates of the utilisation rate from tax statistics</w:t>
      </w:r>
      <w:r w:rsidR="001F5AF0">
        <w:t xml:space="preserve"> because of </w:t>
      </w:r>
      <w:r w:rsidR="001F5AF0">
        <w:lastRenderedPageBreak/>
        <w:t>significant unresolved problems with the data</w:t>
      </w:r>
      <w:r>
        <w:t>.</w:t>
      </w:r>
      <w:r w:rsidR="001F5AF0">
        <w:rPr>
          <w:rStyle w:val="FootnoteReference"/>
        </w:rPr>
        <w:footnoteReference w:id="252"/>
      </w:r>
      <w:r w:rsidR="001F5AF0">
        <w:t xml:space="preserve"> </w:t>
      </w:r>
      <w:r w:rsidR="009E33FF" w:rsidRPr="00DC6340">
        <w:rPr>
          <w:rStyle w:val="AERbody"/>
        </w:rPr>
        <w:t xml:space="preserve">NERA has </w:t>
      </w:r>
      <w:r w:rsidR="00F5141D" w:rsidRPr="00DC6340">
        <w:rPr>
          <w:rStyle w:val="AERbody"/>
        </w:rPr>
        <w:t xml:space="preserve">subsequently </w:t>
      </w:r>
      <w:r w:rsidR="0023004F" w:rsidRPr="00DC6340">
        <w:rPr>
          <w:rStyle w:val="AERbody"/>
        </w:rPr>
        <w:t>submitt</w:t>
      </w:r>
      <w:r w:rsidR="009E33FF" w:rsidRPr="00DC6340">
        <w:rPr>
          <w:rStyle w:val="AERbody"/>
        </w:rPr>
        <w:t>ed</w:t>
      </w:r>
      <w:r w:rsidR="0023004F" w:rsidRPr="00DC6340">
        <w:rPr>
          <w:rStyle w:val="AERbody"/>
        </w:rPr>
        <w:t xml:space="preserve"> that tax statistics </w:t>
      </w:r>
      <w:r w:rsidR="009E33FF" w:rsidRPr="00DC6340">
        <w:rPr>
          <w:rStyle w:val="AERbody"/>
        </w:rPr>
        <w:t xml:space="preserve">can be used to estimate a value for theta consistent with a 70% distribution rate, and </w:t>
      </w:r>
      <w:r w:rsidR="0023004F" w:rsidRPr="00DC6340">
        <w:rPr>
          <w:rStyle w:val="AERbody"/>
        </w:rPr>
        <w:t xml:space="preserve">can </w:t>
      </w:r>
      <w:r w:rsidR="009E33FF" w:rsidRPr="00DC6340">
        <w:rPr>
          <w:rStyle w:val="AERbody"/>
        </w:rPr>
        <w:t xml:space="preserve">also </w:t>
      </w:r>
      <w:r w:rsidR="0023004F" w:rsidRPr="00DC6340">
        <w:rPr>
          <w:rStyle w:val="AERbody"/>
        </w:rPr>
        <w:t>be used to estimate an upper bound value for gamma.</w:t>
      </w:r>
      <w:r w:rsidR="00DC6340">
        <w:rPr>
          <w:rStyle w:val="FootnoteReference"/>
        </w:rPr>
        <w:footnoteReference w:id="253"/>
      </w:r>
      <w:r w:rsidR="006D4F26" w:rsidRPr="00DC6340">
        <w:rPr>
          <w:rStyle w:val="AERbody"/>
        </w:rPr>
        <w:t xml:space="preserve"> </w:t>
      </w:r>
      <w:r w:rsidR="009E33FF" w:rsidRPr="00DC6340">
        <w:rPr>
          <w:rStyle w:val="AERbody"/>
        </w:rPr>
        <w:t>Gray (for Frontier) appears to support this.</w:t>
      </w:r>
      <w:r w:rsidR="00DC6340">
        <w:rPr>
          <w:rStyle w:val="FootnoteReference"/>
        </w:rPr>
        <w:footnoteReference w:id="254"/>
      </w:r>
      <w:r w:rsidR="009E33FF" w:rsidRPr="00DC6340">
        <w:rPr>
          <w:rStyle w:val="AERbody"/>
        </w:rPr>
        <w:t xml:space="preserve"> However, g</w:t>
      </w:r>
      <w:r w:rsidR="006D4F26" w:rsidRPr="00DC6340">
        <w:rPr>
          <w:rStyle w:val="AERbody"/>
        </w:rPr>
        <w:t xml:space="preserve">iven the </w:t>
      </w:r>
      <w:r w:rsidR="00740D27" w:rsidRPr="00DC6340">
        <w:rPr>
          <w:rStyle w:val="AERbody"/>
        </w:rPr>
        <w:t>issue</w:t>
      </w:r>
      <w:r w:rsidR="006D4F26" w:rsidRPr="00DC6340">
        <w:rPr>
          <w:rStyle w:val="AERbody"/>
        </w:rPr>
        <w:t>s with the tax data and Hathaway's caveated comments regarding the data where he says "[t]he conclusion is that I accept the tax payments and FAB data as given post-2003, and assume that the problem is more likely to have arisen within the franked dividend payments data"</w:t>
      </w:r>
      <w:r w:rsidR="00DC6340">
        <w:rPr>
          <w:rStyle w:val="FootnoteReference"/>
        </w:rPr>
        <w:footnoteReference w:id="255"/>
      </w:r>
      <w:r w:rsidR="006D4F26" w:rsidRPr="00DC6340">
        <w:rPr>
          <w:rStyle w:val="AERbody"/>
        </w:rPr>
        <w:t>, we remain of the view we should treat estimates of theta based on tax data with caution.</w:t>
      </w:r>
      <w:r w:rsidR="006D771F" w:rsidRPr="00DC6340">
        <w:rPr>
          <w:rStyle w:val="AERbody"/>
        </w:rPr>
        <w:t xml:space="preserve"> Hathaway's draft 2014 report gives us no cause to change our view.</w:t>
      </w:r>
      <w:r w:rsidR="00DC6340">
        <w:rPr>
          <w:rStyle w:val="FootnoteReference"/>
        </w:rPr>
        <w:footnoteReference w:id="256"/>
      </w:r>
    </w:p>
    <w:p w14:paraId="5B27FA74" w14:textId="77777777" w:rsidR="004C7CD9" w:rsidRDefault="00A067BD" w:rsidP="004C7CD9">
      <w:r>
        <w:t xml:space="preserve">Thirdly, </w:t>
      </w:r>
      <w:r w:rsidR="004C7CD9">
        <w:t>we are not convinced that the 45-day holding rule and transaction costs are contributing to a material amount of credits</w:t>
      </w:r>
      <w:r w:rsidR="004379A0">
        <w:t xml:space="preserve"> not being redeemed</w:t>
      </w:r>
      <w:r w:rsidR="004C7CD9">
        <w:t>. As discussed above, this is because:</w:t>
      </w:r>
    </w:p>
    <w:p w14:paraId="27C011BA" w14:textId="34577C12" w:rsidR="00F56EED" w:rsidRDefault="004C7CD9" w:rsidP="004C7CD9">
      <w:pPr>
        <w:pStyle w:val="AERbulletlistfirststyle"/>
      </w:pPr>
      <w:r>
        <w:t>Our analysis of the 45-day</w:t>
      </w:r>
      <w:r w:rsidR="00E64F30">
        <w:t xml:space="preserve"> </w:t>
      </w:r>
      <w:r>
        <w:t xml:space="preserve">rule suggests that it is not having a material effect. Although </w:t>
      </w:r>
      <w:r w:rsidR="00C600C4">
        <w:t xml:space="preserve">we acknowledge </w:t>
      </w:r>
      <w:r>
        <w:t>this analysis is subject to any data quality issues with the tax statistics.</w:t>
      </w:r>
    </w:p>
    <w:p w14:paraId="75847E30" w14:textId="77777777" w:rsidR="00D104AA" w:rsidRPr="00913061" w:rsidRDefault="003C23B4" w:rsidP="002E3FBF">
      <w:pPr>
        <w:pStyle w:val="AERbulletlistfirststyle"/>
        <w:rPr>
          <w:shd w:val="clear" w:color="auto" w:fill="FFFF00"/>
        </w:rPr>
      </w:pPr>
      <w:r>
        <w:t xml:space="preserve">We do not </w:t>
      </w:r>
      <w:r w:rsidR="00071CD2">
        <w:t>consider</w:t>
      </w:r>
      <w:r>
        <w:t xml:space="preserve"> that transactions costs are likely to dissuade a material number of investors from redeeming imputation credits. </w:t>
      </w:r>
    </w:p>
    <w:p w14:paraId="378A0EF5" w14:textId="3C794F68" w:rsidR="00AC2D5B" w:rsidRPr="00DC6340" w:rsidRDefault="00AA374A" w:rsidP="00913061">
      <w:pPr>
        <w:rPr>
          <w:rStyle w:val="AERbody"/>
        </w:rPr>
      </w:pPr>
      <w:r w:rsidRPr="00DC6340">
        <w:rPr>
          <w:rStyle w:val="AERbody"/>
        </w:rPr>
        <w:t>In response to the service providers,</w:t>
      </w:r>
      <w:r w:rsidR="00DC6340" w:rsidRPr="00DC6340">
        <w:rPr>
          <w:rStyle w:val="FootnoteReference"/>
        </w:rPr>
        <w:t xml:space="preserve"> </w:t>
      </w:r>
      <w:r w:rsidR="00DC6340">
        <w:rPr>
          <w:rStyle w:val="FootnoteReference"/>
        </w:rPr>
        <w:footnoteReference w:id="257"/>
      </w:r>
      <w:r w:rsidRPr="00DC6340">
        <w:rPr>
          <w:rStyle w:val="AERbody"/>
        </w:rPr>
        <w:t xml:space="preserve"> w</w:t>
      </w:r>
      <w:r w:rsidR="00AC2D5B" w:rsidRPr="00DC6340">
        <w:rPr>
          <w:rStyle w:val="AERbody"/>
        </w:rPr>
        <w:t xml:space="preserve">e </w:t>
      </w:r>
      <w:r w:rsidR="00A275B2" w:rsidRPr="00DC6340">
        <w:rPr>
          <w:rStyle w:val="AERbody"/>
        </w:rPr>
        <w:t xml:space="preserve">do not consider there is any inconsistency between Handley's earlier work and subsequent work indicating taxation statistics can be used as a point estimate of </w:t>
      </w:r>
      <w:r w:rsidR="00B45876">
        <w:rPr>
          <w:rStyle w:val="AERbody"/>
        </w:rPr>
        <w:t>theta</w:t>
      </w:r>
      <w:r w:rsidR="004136CE" w:rsidRPr="00DC6340">
        <w:rPr>
          <w:rStyle w:val="AERbody"/>
        </w:rPr>
        <w:t>.</w:t>
      </w:r>
      <w:r w:rsidR="00A275B2" w:rsidRPr="00DC6340">
        <w:rPr>
          <w:rStyle w:val="AERbody"/>
        </w:rPr>
        <w:t xml:space="preserve"> Handley has clea</w:t>
      </w:r>
      <w:r w:rsidR="0022220C" w:rsidRPr="00DC6340">
        <w:rPr>
          <w:rStyle w:val="AERbody"/>
        </w:rPr>
        <w:t>rl</w:t>
      </w:r>
      <w:r w:rsidR="00A275B2" w:rsidRPr="00DC6340">
        <w:rPr>
          <w:rStyle w:val="AERbody"/>
        </w:rPr>
        <w:t xml:space="preserve">y explained why tax statistics can be used as a point estimate for </w:t>
      </w:r>
      <w:r w:rsidR="00B45876">
        <w:rPr>
          <w:rStyle w:val="AERbody"/>
        </w:rPr>
        <w:t>theta</w:t>
      </w:r>
      <w:r w:rsidR="00A275B2" w:rsidRPr="00DC6340">
        <w:rPr>
          <w:rStyle w:val="AERbody"/>
        </w:rPr>
        <w:t>, a position we agree with.</w:t>
      </w:r>
      <w:r w:rsidR="00DC6340">
        <w:rPr>
          <w:rStyle w:val="FootnoteReference"/>
        </w:rPr>
        <w:footnoteReference w:id="258"/>
      </w:r>
      <w:r w:rsidR="009B7E6E" w:rsidRPr="00DC6340">
        <w:rPr>
          <w:rStyle w:val="AERbody"/>
        </w:rPr>
        <w:t xml:space="preserve"> </w:t>
      </w:r>
      <w:r w:rsidR="00FB232A" w:rsidRPr="00DC6340">
        <w:rPr>
          <w:rStyle w:val="AERbody"/>
        </w:rPr>
        <w:t>While we acknowledge that the ultimat</w:t>
      </w:r>
      <w:bookmarkStart w:id="70" w:name="_GoBack"/>
      <w:r w:rsidR="00FB232A" w:rsidRPr="00DC6340">
        <w:rPr>
          <w:rStyle w:val="AERbody"/>
        </w:rPr>
        <w:t>e</w:t>
      </w:r>
      <w:bookmarkEnd w:id="70"/>
      <w:r w:rsidR="00FB232A" w:rsidRPr="00DC6340">
        <w:rPr>
          <w:rStyle w:val="AERbody"/>
        </w:rPr>
        <w:t xml:space="preserve"> source of </w:t>
      </w:r>
      <w:r w:rsidR="0098437A" w:rsidRPr="00DC6340">
        <w:rPr>
          <w:rStyle w:val="AERbody"/>
        </w:rPr>
        <w:t xml:space="preserve">the </w:t>
      </w:r>
      <w:r w:rsidR="00FB232A" w:rsidRPr="00DC6340">
        <w:rPr>
          <w:rStyle w:val="AERbody"/>
        </w:rPr>
        <w:t xml:space="preserve">value for imputation credits is </w:t>
      </w:r>
      <w:r w:rsidR="0098437A" w:rsidRPr="00DC6340">
        <w:rPr>
          <w:rStyle w:val="AERbody"/>
        </w:rPr>
        <w:t xml:space="preserve">from </w:t>
      </w:r>
      <w:r w:rsidR="00FB232A" w:rsidRPr="00DC6340">
        <w:rPr>
          <w:rStyle w:val="AERbody"/>
        </w:rPr>
        <w:t>redemption</w:t>
      </w:r>
      <w:r w:rsidR="0098437A" w:rsidRPr="00DC6340">
        <w:rPr>
          <w:rStyle w:val="AERbody"/>
        </w:rPr>
        <w:t xml:space="preserve">, this does not prevent </w:t>
      </w:r>
      <w:r w:rsidR="00044F9D" w:rsidRPr="00DC6340">
        <w:rPr>
          <w:rStyle w:val="AERbody"/>
        </w:rPr>
        <w:t>an</w:t>
      </w:r>
      <w:r w:rsidR="0098437A" w:rsidRPr="00DC6340">
        <w:rPr>
          <w:rStyle w:val="AERbody"/>
        </w:rPr>
        <w:t xml:space="preserve"> estimate of the redemption value </w:t>
      </w:r>
      <w:r w:rsidR="000F79D6" w:rsidRPr="00DC6340">
        <w:rPr>
          <w:rStyle w:val="AERbody"/>
        </w:rPr>
        <w:t xml:space="preserve">from taxation statistics </w:t>
      </w:r>
      <w:r w:rsidR="0098437A" w:rsidRPr="00DC6340">
        <w:rPr>
          <w:rStyle w:val="AERbody"/>
        </w:rPr>
        <w:t>being a point estimate</w:t>
      </w:r>
      <w:r w:rsidR="000F79D6" w:rsidRPr="00DC6340">
        <w:rPr>
          <w:rStyle w:val="AERbody"/>
        </w:rPr>
        <w:t xml:space="preserve"> -</w:t>
      </w:r>
      <w:r w:rsidR="003A769D" w:rsidRPr="00DC6340">
        <w:rPr>
          <w:rStyle w:val="AERbody"/>
        </w:rPr>
        <w:t xml:space="preserve"> we note,</w:t>
      </w:r>
      <w:r w:rsidR="00F118F5" w:rsidRPr="00DC6340">
        <w:rPr>
          <w:rStyle w:val="AERbody"/>
        </w:rPr>
        <w:t xml:space="preserve"> </w:t>
      </w:r>
      <w:r w:rsidR="000F79D6" w:rsidRPr="00DC6340">
        <w:rPr>
          <w:rStyle w:val="AERbody"/>
        </w:rPr>
        <w:t xml:space="preserve">given the uncertainty with estimates based on the tax data, the true (unobservable) redemption value could be above or below the estimate. </w:t>
      </w:r>
    </w:p>
    <w:p w14:paraId="34F7847B" w14:textId="77777777" w:rsidR="001A0AD5" w:rsidRDefault="001A0AD5" w:rsidP="00647E2E">
      <w:pPr>
        <w:pStyle w:val="Heading9"/>
      </w:pPr>
      <w:r>
        <w:t>NERA's comments on the utilisation rate</w:t>
      </w:r>
    </w:p>
    <w:p w14:paraId="16A243A5" w14:textId="77777777" w:rsidR="001A0AD5" w:rsidRDefault="001A0AD5" w:rsidP="00647E2E">
      <w:r>
        <w:t>NERA submitted that theta is the value that a representative investor places on a dollar of distributed imputation credits.</w:t>
      </w:r>
      <w:r w:rsidR="00F6529E">
        <w:rPr>
          <w:rStyle w:val="FootnoteReference"/>
        </w:rPr>
        <w:footnoteReference w:id="259"/>
      </w:r>
      <w:r w:rsidR="00F6529E">
        <w:t xml:space="preserve"> NERA also </w:t>
      </w:r>
      <w:r w:rsidR="00693FAB">
        <w:t>presented</w:t>
      </w:r>
      <w:r w:rsidR="005E32FB">
        <w:t xml:space="preserve"> a simple derivation</w:t>
      </w:r>
      <w:r w:rsidR="00473E0B">
        <w:t xml:space="preserve"> of the</w:t>
      </w:r>
      <w:r w:rsidR="002671BD">
        <w:t>ta</w:t>
      </w:r>
      <w:r w:rsidR="00490C29">
        <w:t xml:space="preserve">. </w:t>
      </w:r>
      <w:r w:rsidR="002671BD">
        <w:t>The</w:t>
      </w:r>
      <w:r w:rsidR="00693FAB">
        <w:t xml:space="preserve"> </w:t>
      </w:r>
      <w:r w:rsidR="00693FAB">
        <w:lastRenderedPageBreak/>
        <w:t xml:space="preserve">simple model </w:t>
      </w:r>
      <w:r w:rsidR="002671BD">
        <w:t xml:space="preserve">employed by NERA </w:t>
      </w:r>
      <w:r w:rsidR="004F5973">
        <w:t>consisted of, among other things:</w:t>
      </w:r>
      <w:r w:rsidR="00693FAB">
        <w:t xml:space="preserve"> </w:t>
      </w:r>
      <w:r w:rsidR="004F5973">
        <w:t>a set of domestic and foreign investors; a domestic asset that distributes imputation credits; and a foreign asset that does not distribute imputation credits.</w:t>
      </w:r>
      <w:r w:rsidR="00693FAB">
        <w:t xml:space="preserve"> </w:t>
      </w:r>
      <w:r w:rsidR="004F5973">
        <w:t>NERA</w:t>
      </w:r>
      <w:r w:rsidR="00693FAB">
        <w:t xml:space="preserve"> </w:t>
      </w:r>
      <w:r w:rsidR="00473E0B">
        <w:t>showed</w:t>
      </w:r>
      <w:r w:rsidR="004F5973">
        <w:t xml:space="preserve"> that in this model</w:t>
      </w:r>
      <w:r w:rsidR="00473E0B">
        <w:t>:</w:t>
      </w:r>
    </w:p>
    <w:p w14:paraId="6A09C610" w14:textId="77777777" w:rsidR="00473E0B" w:rsidRPr="00473E0B" w:rsidRDefault="00473E0B" w:rsidP="00647E2E">
      <m:oMathPara>
        <m:oMath>
          <m:r>
            <w:rPr>
              <w:rFonts w:ascii="Cambria Math" w:hAnsi="Cambria Math"/>
            </w:rPr>
            <m:t>θ=</m:t>
          </m:r>
          <m:f>
            <m:fPr>
              <m:ctrlPr>
                <w:rPr>
                  <w:rFonts w:ascii="Cambria Math" w:hAnsi="Cambria Math"/>
                  <w:i/>
                </w:rPr>
              </m:ctrlPr>
            </m:fPr>
            <m:num>
              <m:r>
                <w:rPr>
                  <w:rFonts w:ascii="Cambria Math" w:hAnsi="Cambria Math"/>
                </w:rPr>
                <m:t>D</m:t>
              </m:r>
            </m:num>
            <m:den>
              <m:r>
                <w:rPr>
                  <w:rFonts w:ascii="Cambria Math" w:hAnsi="Cambria Math"/>
                </w:rPr>
                <m:t>D+F</m:t>
              </m:r>
            </m:den>
          </m:f>
        </m:oMath>
      </m:oMathPara>
    </w:p>
    <w:p w14:paraId="14004BB3" w14:textId="77777777" w:rsidR="00473E0B" w:rsidRDefault="00473E0B" w:rsidP="00647E2E">
      <w:proofErr w:type="gramStart"/>
      <w:r>
        <w:t>where</w:t>
      </w:r>
      <w:proofErr w:type="gramEnd"/>
      <w:r>
        <w:t xml:space="preserve"> </w:t>
      </w:r>
      <m:oMath>
        <m:r>
          <w:rPr>
            <w:rFonts w:ascii="Cambria Math" w:hAnsi="Cambria Math"/>
          </w:rPr>
          <m:t>D</m:t>
        </m:r>
      </m:oMath>
      <w:r>
        <w:t xml:space="preserve"> is the wealth of domestic investors and </w:t>
      </w:r>
      <m:oMath>
        <m:r>
          <w:rPr>
            <w:rFonts w:ascii="Cambria Math" w:hAnsi="Cambria Math"/>
          </w:rPr>
          <m:t>F</m:t>
        </m:r>
      </m:oMath>
      <w:r>
        <w:t xml:space="preserve"> is the wealth of foreign investors.</w:t>
      </w:r>
      <w:r>
        <w:rPr>
          <w:rStyle w:val="FootnoteReference"/>
        </w:rPr>
        <w:footnoteReference w:id="260"/>
      </w:r>
      <w:r>
        <w:t xml:space="preserve"> NERA also showed that </w:t>
      </w:r>
      <w:r w:rsidR="0011590A">
        <w:t>the redemption rate of imputation credits</w:t>
      </w:r>
      <w:r w:rsidR="00B71ABF">
        <w:t xml:space="preserve"> does not equal theta in this model, and</w:t>
      </w:r>
      <w:r w:rsidR="0011590A">
        <w:t xml:space="preserve"> is </w:t>
      </w:r>
      <w:r w:rsidR="00B71ABF">
        <w:t xml:space="preserve">instead </w:t>
      </w:r>
      <w:r w:rsidR="0011590A">
        <w:t xml:space="preserve">given by the ratio of domestic holdings of </w:t>
      </w:r>
      <w:r w:rsidR="004F5973">
        <w:t>the domestic asset to the sum of domestic and foreign holdings of the asset. NERA concluded:</w:t>
      </w:r>
      <w:r w:rsidR="007C7663">
        <w:rPr>
          <w:rStyle w:val="FootnoteReference"/>
        </w:rPr>
        <w:footnoteReference w:id="261"/>
      </w:r>
    </w:p>
    <w:p w14:paraId="6A64DD7A" w14:textId="77777777" w:rsidR="007C7663" w:rsidRDefault="007C7663" w:rsidP="00647E2E">
      <w:pPr>
        <w:pStyle w:val="AERquote"/>
      </w:pPr>
      <w:r>
        <w:t xml:space="preserve">In a small open economy </w:t>
      </w:r>
      <w:r>
        <w:rPr>
          <w:rFonts w:cs="Arial"/>
        </w:rPr>
        <w:t>–</w:t>
      </w:r>
      <w:r>
        <w:t xml:space="preserve"> like Australia </w:t>
      </w:r>
      <w:r w:rsidRPr="007C7663">
        <w:t>–</w:t>
      </w:r>
      <w:r>
        <w:t xml:space="preserve"> the proportion of credits created that are redeemed is likely to exceed by a substantial margin the value of a dollar of tax credits created to a representative shareholder.</w:t>
      </w:r>
    </w:p>
    <w:p w14:paraId="3A918E27" w14:textId="77777777" w:rsidR="00D720A3" w:rsidRDefault="00B8664E" w:rsidP="00647E2E">
      <w:r>
        <w:t xml:space="preserve">That is, </w:t>
      </w:r>
      <w:r w:rsidR="00C05785">
        <w:t>if</w:t>
      </w:r>
      <w:r>
        <w:t xml:space="preserve"> domestic investors make up </w:t>
      </w:r>
      <w:r w:rsidR="006F4EB9">
        <w:t xml:space="preserve">only </w:t>
      </w:r>
      <w:r>
        <w:t>a small proportion of all investors, then</w:t>
      </w:r>
      <w:r w:rsidR="007C7663">
        <w:t xml:space="preserve"> </w:t>
      </w:r>
      <w:r>
        <w:t xml:space="preserve">theta will be small. </w:t>
      </w:r>
      <w:r w:rsidR="00C05785">
        <w:t xml:space="preserve">However, this conclusion </w:t>
      </w:r>
      <w:r w:rsidR="007D78F2">
        <w:t>appears to rely</w:t>
      </w:r>
      <w:r w:rsidR="00C05785">
        <w:t xml:space="preserve"> on determining theta </w:t>
      </w:r>
      <w:r w:rsidR="007D78F2">
        <w:t>in</w:t>
      </w:r>
      <w:r w:rsidR="00C05785">
        <w:t xml:space="preserve"> an international </w:t>
      </w:r>
      <w:r w:rsidR="004F40A2">
        <w:t>CAPM</w:t>
      </w:r>
      <w:r w:rsidR="00B71ABF">
        <w:t xml:space="preserve"> context</w:t>
      </w:r>
      <w:r w:rsidR="00D92251">
        <w:rPr>
          <w:rFonts w:cs="Arial"/>
        </w:rPr>
        <w:t>—</w:t>
      </w:r>
      <w:r w:rsidR="003B771F">
        <w:t>domestic and foreign investors can invest in both domestic and foreign assets</w:t>
      </w:r>
      <w:r w:rsidR="00C05785">
        <w:t>. By contrast, we determine the value of imputation credits (and other rate of return parameters)</w:t>
      </w:r>
      <w:r w:rsidR="004F40A2">
        <w:t xml:space="preserve"> using a domestic CAPM</w:t>
      </w:r>
      <w:r w:rsidR="007D78F2">
        <w:t xml:space="preserve">. In the domestic CAPM context, domestic investors that are eligible to redeem credits make up a </w:t>
      </w:r>
      <w:r w:rsidR="00D0138E">
        <w:t>significant</w:t>
      </w:r>
      <w:r w:rsidR="007D78F2">
        <w:t xml:space="preserve"> proportion of all investors that invest in domestic assets.</w:t>
      </w:r>
      <w:r w:rsidR="00B71ABF">
        <w:t xml:space="preserve"> F</w:t>
      </w:r>
      <w:r w:rsidR="000950EE">
        <w:t>urther, the scope for a material 'wedge' to arise between the redemption rate and theta in the domestic CAPM context is not clear</w:t>
      </w:r>
      <w:r w:rsidR="00D0138E">
        <w:t xml:space="preserve"> </w:t>
      </w:r>
      <w:r w:rsidR="00B135C0">
        <w:t>from</w:t>
      </w:r>
      <w:r w:rsidR="00D0138E">
        <w:t xml:space="preserve"> NERA's analysis </w:t>
      </w:r>
      <w:r w:rsidR="00B135C0">
        <w:t xml:space="preserve">because it only </w:t>
      </w:r>
      <w:r w:rsidR="00D0138E">
        <w:t>considers the international CAPM context</w:t>
      </w:r>
      <w:r w:rsidR="000950EE">
        <w:t>.</w:t>
      </w:r>
    </w:p>
    <w:p w14:paraId="7D07392B" w14:textId="77777777" w:rsidR="00D720A3" w:rsidRDefault="00D720A3" w:rsidP="00647E2E">
      <w:r>
        <w:t>Our view is supported by Handley's review of NERA's submission. Handley concluded:</w:t>
      </w:r>
      <w:r w:rsidR="002435BC">
        <w:rPr>
          <w:rStyle w:val="FootnoteReference"/>
        </w:rPr>
        <w:footnoteReference w:id="262"/>
      </w:r>
    </w:p>
    <w:p w14:paraId="19292002" w14:textId="77777777" w:rsidR="00D720A3" w:rsidRDefault="00D720A3" w:rsidP="00647E2E">
      <w:pPr>
        <w:pStyle w:val="AERquote"/>
      </w:pPr>
      <w:r w:rsidRPr="00D720A3">
        <w:t>The problem with the NERA model is that it is</w:t>
      </w:r>
      <w:r>
        <w:t xml:space="preserve"> an international asset pricing </w:t>
      </w:r>
      <w:r w:rsidRPr="00D720A3">
        <w:t>model – along the lines of the Black (1974) International CAPM – whereas the</w:t>
      </w:r>
      <w:r>
        <w:t xml:space="preserve"> </w:t>
      </w:r>
      <w:r w:rsidRPr="00D720A3">
        <w:t>current framework is based within a domestic market setting. This means that</w:t>
      </w:r>
      <w:r>
        <w:t xml:space="preserve"> </w:t>
      </w:r>
      <w:r w:rsidRPr="00D720A3">
        <w:t>domestic investors have only a small market weighting by definition. Clearly,</w:t>
      </w:r>
      <w:r>
        <w:t xml:space="preserve"> </w:t>
      </w:r>
      <w:r w:rsidRPr="00D720A3">
        <w:t>the value of imputation credits in an international asset pricing model will be</w:t>
      </w:r>
      <w:r>
        <w:t xml:space="preserve"> </w:t>
      </w:r>
      <w:r w:rsidRPr="00D720A3">
        <w:t>substantially different from the value of imputation credits in a domestic asset</w:t>
      </w:r>
      <w:r>
        <w:t xml:space="preserve"> </w:t>
      </w:r>
      <w:r w:rsidRPr="00D720A3">
        <w:t>pricing model.</w:t>
      </w:r>
    </w:p>
    <w:p w14:paraId="59BDAA17" w14:textId="77777777" w:rsidR="00D720A3" w:rsidRDefault="00D720A3" w:rsidP="00647E2E">
      <w:pPr>
        <w:pStyle w:val="AERquote"/>
      </w:pPr>
      <w:r>
        <w:t>…</w:t>
      </w:r>
    </w:p>
    <w:p w14:paraId="5C332B7D" w14:textId="77777777" w:rsidR="00B71ABF" w:rsidRDefault="00D720A3" w:rsidP="00647E2E">
      <w:pPr>
        <w:pStyle w:val="AERquote"/>
      </w:pPr>
      <w:r w:rsidRPr="00D720A3">
        <w:t>In my opinion, NERA’s analysis does not es</w:t>
      </w:r>
      <w:r>
        <w:t xml:space="preserve">tablish the presence of a wedge </w:t>
      </w:r>
      <w:r w:rsidRPr="00D720A3">
        <w:t>between theta and the redemption rate and so does not invalidate the use of tax</w:t>
      </w:r>
      <w:r>
        <w:t xml:space="preserve"> </w:t>
      </w:r>
      <w:r w:rsidRPr="00D720A3">
        <w:t>statistics to estimate theta.</w:t>
      </w:r>
      <w:r w:rsidR="00B71ABF">
        <w:t xml:space="preserve"> </w:t>
      </w:r>
    </w:p>
    <w:p w14:paraId="397FEDD2" w14:textId="10F6A5E2" w:rsidR="0033300F" w:rsidRPr="00DC6340" w:rsidRDefault="0033300F" w:rsidP="00B027E1">
      <w:pPr>
        <w:rPr>
          <w:rStyle w:val="AERbody"/>
        </w:rPr>
      </w:pPr>
      <w:r w:rsidRPr="00DC6340">
        <w:rPr>
          <w:rStyle w:val="AERbody"/>
        </w:rPr>
        <w:t>NERA responded to the AER position in the JGN decision in its June 2015 report.</w:t>
      </w:r>
      <w:r w:rsidR="00DC6340">
        <w:rPr>
          <w:rStyle w:val="FootnoteReference"/>
        </w:rPr>
        <w:footnoteReference w:id="263"/>
      </w:r>
      <w:r w:rsidRPr="00DC6340">
        <w:rPr>
          <w:rStyle w:val="AERbody"/>
        </w:rPr>
        <w:t xml:space="preserve"> In this report</w:t>
      </w:r>
      <w:r w:rsidR="00EB6C91" w:rsidRPr="00DC6340">
        <w:rPr>
          <w:rStyle w:val="AERbody"/>
        </w:rPr>
        <w:t xml:space="preserve"> NERA put forward several propositions</w:t>
      </w:r>
      <w:r w:rsidRPr="00DC6340">
        <w:rPr>
          <w:rStyle w:val="AERbody"/>
        </w:rPr>
        <w:t>:</w:t>
      </w:r>
    </w:p>
    <w:p w14:paraId="630E651C" w14:textId="59D0B63D" w:rsidR="0033300F" w:rsidRPr="00DC6340" w:rsidRDefault="0033300F" w:rsidP="00DC6340">
      <w:pPr>
        <w:pStyle w:val="AERbulletlistfirststyle"/>
        <w:rPr>
          <w:rStyle w:val="AERtexthighlight"/>
          <w:shd w:val="clear" w:color="auto" w:fill="auto"/>
        </w:rPr>
      </w:pPr>
      <w:r w:rsidRPr="00DC6340">
        <w:rPr>
          <w:rStyle w:val="AERtexthighlight"/>
          <w:shd w:val="clear" w:color="auto" w:fill="auto"/>
        </w:rPr>
        <w:lastRenderedPageBreak/>
        <w:t>It would</w:t>
      </w:r>
      <w:r w:rsidR="00EB6C91" w:rsidRPr="00DC6340">
        <w:rPr>
          <w:rStyle w:val="AERtexthighlight"/>
          <w:shd w:val="clear" w:color="auto" w:fill="auto"/>
        </w:rPr>
        <w:t xml:space="preserve"> be expected that the proportions of </w:t>
      </w:r>
      <w:r w:rsidR="00044F9D" w:rsidRPr="00DC6340">
        <w:rPr>
          <w:rStyle w:val="AERtexthighlight"/>
          <w:shd w:val="clear" w:color="auto" w:fill="auto"/>
        </w:rPr>
        <w:t>credits</w:t>
      </w:r>
      <w:r w:rsidR="00EB6C91" w:rsidRPr="00DC6340">
        <w:rPr>
          <w:rStyle w:val="AERtexthighlight"/>
          <w:shd w:val="clear" w:color="auto" w:fill="auto"/>
        </w:rPr>
        <w:t xml:space="preserve"> that are redeemed would significantly exceed the value of a dollar of credits to a </w:t>
      </w:r>
      <w:r w:rsidR="00044F9D" w:rsidRPr="00DC6340">
        <w:rPr>
          <w:rStyle w:val="AERtexthighlight"/>
          <w:shd w:val="clear" w:color="auto" w:fill="auto"/>
        </w:rPr>
        <w:t>representative</w:t>
      </w:r>
      <w:r w:rsidR="00EB6C91" w:rsidRPr="00DC6340">
        <w:rPr>
          <w:rStyle w:val="AERtexthighlight"/>
          <w:shd w:val="clear" w:color="auto" w:fill="auto"/>
        </w:rPr>
        <w:t xml:space="preserve"> shareholder in a small open economy like Australia. </w:t>
      </w:r>
    </w:p>
    <w:p w14:paraId="4FA166A9" w14:textId="1F91624E" w:rsidR="0033300F" w:rsidRPr="00DC6340" w:rsidRDefault="00EB6C91" w:rsidP="00DC6340">
      <w:pPr>
        <w:pStyle w:val="AERbulletlistfirststyle"/>
        <w:rPr>
          <w:rStyle w:val="AERtexthighlight"/>
          <w:shd w:val="clear" w:color="auto" w:fill="auto"/>
        </w:rPr>
      </w:pPr>
      <w:r w:rsidRPr="00DC6340">
        <w:rPr>
          <w:rStyle w:val="AERtexthighlight"/>
          <w:shd w:val="clear" w:color="auto" w:fill="auto"/>
        </w:rPr>
        <w:t>The AER's use of a domestic Australian CAPM does not justify any presumption that theta take a non-</w:t>
      </w:r>
      <w:r w:rsidR="00044F9D" w:rsidRPr="00DC6340">
        <w:rPr>
          <w:rStyle w:val="AERtexthighlight"/>
          <w:shd w:val="clear" w:color="auto" w:fill="auto"/>
        </w:rPr>
        <w:t>negligible</w:t>
      </w:r>
      <w:r w:rsidRPr="00DC6340">
        <w:rPr>
          <w:rStyle w:val="AERtexthighlight"/>
          <w:shd w:val="clear" w:color="auto" w:fill="auto"/>
        </w:rPr>
        <w:t xml:space="preserve"> value</w:t>
      </w:r>
    </w:p>
    <w:p w14:paraId="3ED5A71F" w14:textId="502E0FBB" w:rsidR="00EB6C91" w:rsidRPr="00DC6340" w:rsidRDefault="00EB6C91" w:rsidP="00DC6340">
      <w:pPr>
        <w:pStyle w:val="AERbulletlistfirststyle"/>
        <w:rPr>
          <w:rStyle w:val="AERtexthighlight"/>
          <w:shd w:val="clear" w:color="auto" w:fill="auto"/>
        </w:rPr>
      </w:pPr>
      <w:r w:rsidRPr="00DC6340">
        <w:rPr>
          <w:rStyle w:val="AERtexthighlight"/>
          <w:shd w:val="clear" w:color="auto" w:fill="auto"/>
        </w:rPr>
        <w:t xml:space="preserve">The estimated cost of capital from a domestic CAPM will equal the cost of capital from </w:t>
      </w:r>
      <w:r w:rsidR="00044F9D" w:rsidRPr="00DC6340">
        <w:rPr>
          <w:rStyle w:val="AERtexthighlight"/>
          <w:shd w:val="clear" w:color="auto" w:fill="auto"/>
        </w:rPr>
        <w:t>an</w:t>
      </w:r>
      <w:r w:rsidRPr="00DC6340">
        <w:rPr>
          <w:rStyle w:val="AERtexthighlight"/>
          <w:shd w:val="clear" w:color="auto" w:fill="auto"/>
        </w:rPr>
        <w:t xml:space="preserve"> </w:t>
      </w:r>
      <w:r w:rsidR="00044F9D" w:rsidRPr="00DC6340">
        <w:rPr>
          <w:rStyle w:val="AERtexthighlight"/>
          <w:shd w:val="clear" w:color="auto" w:fill="auto"/>
        </w:rPr>
        <w:t>international</w:t>
      </w:r>
      <w:r w:rsidRPr="00DC6340">
        <w:rPr>
          <w:rStyle w:val="AERtexthighlight"/>
          <w:shd w:val="clear" w:color="auto" w:fill="auto"/>
        </w:rPr>
        <w:t xml:space="preserve"> CAPM under certain assumptions. </w:t>
      </w:r>
    </w:p>
    <w:p w14:paraId="2D0097E7" w14:textId="4803B9E2" w:rsidR="00EB6C91" w:rsidRPr="00DC6340" w:rsidRDefault="00EB6C91" w:rsidP="00B027E1">
      <w:pPr>
        <w:rPr>
          <w:rStyle w:val="AERbody"/>
        </w:rPr>
      </w:pPr>
      <w:r w:rsidRPr="00DC6340">
        <w:rPr>
          <w:rStyle w:val="AERbody"/>
        </w:rPr>
        <w:t>In response</w:t>
      </w:r>
      <w:r w:rsidR="00DB4ED4" w:rsidRPr="00DC6340">
        <w:rPr>
          <w:rStyle w:val="AERbody"/>
        </w:rPr>
        <w:t>, we note that w</w:t>
      </w:r>
      <w:r w:rsidR="00EE0E91" w:rsidRPr="00DC6340">
        <w:rPr>
          <w:rStyle w:val="AERbody"/>
        </w:rPr>
        <w:t xml:space="preserve">e </w:t>
      </w:r>
      <w:r w:rsidR="006357E0" w:rsidRPr="00DC6340">
        <w:rPr>
          <w:rStyle w:val="AERbody"/>
        </w:rPr>
        <w:t>consider</w:t>
      </w:r>
      <w:r w:rsidR="008D729A" w:rsidRPr="00DC6340">
        <w:rPr>
          <w:rStyle w:val="AERbody"/>
        </w:rPr>
        <w:t xml:space="preserve"> our approach is consistent with our defin</w:t>
      </w:r>
      <w:r w:rsidR="00512BEA" w:rsidRPr="00DC6340">
        <w:rPr>
          <w:rStyle w:val="AERbody"/>
        </w:rPr>
        <w:t>i</w:t>
      </w:r>
      <w:r w:rsidR="008D729A" w:rsidRPr="00DC6340">
        <w:rPr>
          <w:rStyle w:val="AERbody"/>
        </w:rPr>
        <w:t>tion of the Australian domestic market in the presence of foreign investors.</w:t>
      </w:r>
    </w:p>
    <w:p w14:paraId="463BC2E2" w14:textId="70B0630F" w:rsidR="00A97748" w:rsidRPr="00DC6340" w:rsidRDefault="00AD2B57" w:rsidP="00B027E1">
      <w:pPr>
        <w:rPr>
          <w:rStyle w:val="AERbody"/>
        </w:rPr>
      </w:pPr>
      <w:r w:rsidRPr="00DC6340">
        <w:rPr>
          <w:rStyle w:val="AERbody"/>
        </w:rPr>
        <w:t xml:space="preserve">While NERA does show a model consistent with the redemption of credits exceeding the value for </w:t>
      </w:r>
      <w:r w:rsidR="00EB6C91" w:rsidRPr="00DC6340">
        <w:rPr>
          <w:rStyle w:val="AERbody"/>
        </w:rPr>
        <w:t>theta</w:t>
      </w:r>
      <w:r w:rsidR="00F5429B" w:rsidRPr="00DC6340">
        <w:rPr>
          <w:rStyle w:val="AERbody"/>
        </w:rPr>
        <w:t xml:space="preserve">, you may only get theta falling </w:t>
      </w:r>
      <w:r w:rsidR="00044F9D" w:rsidRPr="00DC6340">
        <w:rPr>
          <w:rStyle w:val="AERbody"/>
        </w:rPr>
        <w:t>significantly</w:t>
      </w:r>
      <w:r w:rsidR="00F5429B" w:rsidRPr="00DC6340">
        <w:rPr>
          <w:rStyle w:val="AERbody"/>
        </w:rPr>
        <w:t xml:space="preserve"> below the redemption rate</w:t>
      </w:r>
      <w:r w:rsidR="00512BEA" w:rsidRPr="00DC6340">
        <w:rPr>
          <w:rStyle w:val="AERbody"/>
        </w:rPr>
        <w:t xml:space="preserve"> under specific assumptions</w:t>
      </w:r>
      <w:r w:rsidR="00740D27" w:rsidRPr="00DC6340">
        <w:rPr>
          <w:rStyle w:val="AERbody"/>
        </w:rPr>
        <w:t>.</w:t>
      </w:r>
      <w:r w:rsidR="00DC6340">
        <w:rPr>
          <w:rStyle w:val="FootnoteReference"/>
        </w:rPr>
        <w:footnoteReference w:id="264"/>
      </w:r>
      <w:r w:rsidR="00512BEA" w:rsidRPr="00DC6340">
        <w:rPr>
          <w:rStyle w:val="AERbody"/>
        </w:rPr>
        <w:t xml:space="preserve"> </w:t>
      </w:r>
      <w:r w:rsidR="00740D27" w:rsidRPr="00DC6340">
        <w:rPr>
          <w:rStyle w:val="AERbody"/>
        </w:rPr>
        <w:t>W</w:t>
      </w:r>
      <w:r w:rsidRPr="00DC6340">
        <w:rPr>
          <w:rStyle w:val="AERbody"/>
        </w:rPr>
        <w:t xml:space="preserve">e </w:t>
      </w:r>
      <w:r w:rsidR="00740D27" w:rsidRPr="00DC6340">
        <w:rPr>
          <w:rStyle w:val="AERbody"/>
        </w:rPr>
        <w:t xml:space="preserve">also </w:t>
      </w:r>
      <w:r w:rsidRPr="00DC6340">
        <w:rPr>
          <w:rStyle w:val="AERbody"/>
        </w:rPr>
        <w:t xml:space="preserve">note that </w:t>
      </w:r>
      <w:r w:rsidR="00847E2B" w:rsidRPr="00DC6340">
        <w:rPr>
          <w:rStyle w:val="AERbody"/>
        </w:rPr>
        <w:t>NERA's</w:t>
      </w:r>
      <w:r w:rsidRPr="00DC6340">
        <w:rPr>
          <w:rStyle w:val="AERbody"/>
        </w:rPr>
        <w:t xml:space="preserve"> </w:t>
      </w:r>
      <w:r w:rsidR="008D729A" w:rsidRPr="00DC6340">
        <w:rPr>
          <w:rStyle w:val="AERbody"/>
        </w:rPr>
        <w:t>model</w:t>
      </w:r>
      <w:r w:rsidR="00847E2B" w:rsidRPr="00DC6340">
        <w:rPr>
          <w:rStyle w:val="AERbody"/>
        </w:rPr>
        <w:t xml:space="preserve"> is</w:t>
      </w:r>
      <w:r w:rsidR="00EB6C91" w:rsidRPr="00DC6340">
        <w:rPr>
          <w:rStyle w:val="AERbody"/>
        </w:rPr>
        <w:t xml:space="preserve"> an</w:t>
      </w:r>
      <w:r w:rsidRPr="00DC6340">
        <w:rPr>
          <w:rStyle w:val="AERbody"/>
        </w:rPr>
        <w:t xml:space="preserve"> international </w:t>
      </w:r>
      <w:r w:rsidR="00847E2B" w:rsidRPr="00DC6340">
        <w:rPr>
          <w:rStyle w:val="AERbody"/>
        </w:rPr>
        <w:t>asset pricing model</w:t>
      </w:r>
      <w:r w:rsidR="00740D27" w:rsidRPr="00DC6340">
        <w:rPr>
          <w:rStyle w:val="AERbody"/>
        </w:rPr>
        <w:t>.</w:t>
      </w:r>
      <w:r w:rsidR="00DC6340">
        <w:rPr>
          <w:rStyle w:val="FootnoteReference"/>
        </w:rPr>
        <w:footnoteReference w:id="265"/>
      </w:r>
      <w:r w:rsidR="008D729A" w:rsidRPr="00DC6340">
        <w:rPr>
          <w:rStyle w:val="AERbody"/>
        </w:rPr>
        <w:t xml:space="preserve"> </w:t>
      </w:r>
      <w:r w:rsidR="00847E2B" w:rsidRPr="00DC6340">
        <w:rPr>
          <w:rStyle w:val="AERbody"/>
        </w:rPr>
        <w:t xml:space="preserve">This model is inconsistent with our definition of the </w:t>
      </w:r>
      <w:r w:rsidR="00512BEA" w:rsidRPr="00DC6340">
        <w:rPr>
          <w:rStyle w:val="AERbody"/>
        </w:rPr>
        <w:t xml:space="preserve">domestic </w:t>
      </w:r>
      <w:r w:rsidR="00847E2B" w:rsidRPr="00DC6340">
        <w:rPr>
          <w:rStyle w:val="AERbody"/>
        </w:rPr>
        <w:t>market</w:t>
      </w:r>
      <w:r w:rsidR="00FA6E24" w:rsidRPr="00DC6340">
        <w:rPr>
          <w:rStyle w:val="AERbody"/>
        </w:rPr>
        <w:t xml:space="preserve">. </w:t>
      </w:r>
      <w:r w:rsidR="008D729A" w:rsidRPr="00DC6340">
        <w:rPr>
          <w:rStyle w:val="AERbody"/>
        </w:rPr>
        <w:t xml:space="preserve">We </w:t>
      </w:r>
      <w:r w:rsidR="00FA6E24" w:rsidRPr="00DC6340">
        <w:rPr>
          <w:rStyle w:val="AERbody"/>
        </w:rPr>
        <w:t xml:space="preserve">also </w:t>
      </w:r>
      <w:r w:rsidR="008D729A" w:rsidRPr="00DC6340">
        <w:rPr>
          <w:rStyle w:val="AERbody"/>
        </w:rPr>
        <w:t xml:space="preserve">consider the use of the </w:t>
      </w:r>
      <w:r w:rsidR="00044F9D" w:rsidRPr="00DC6340">
        <w:rPr>
          <w:rStyle w:val="AERbody"/>
        </w:rPr>
        <w:t>international</w:t>
      </w:r>
      <w:r w:rsidR="008D729A" w:rsidRPr="00DC6340">
        <w:rPr>
          <w:rStyle w:val="AERbody"/>
        </w:rPr>
        <w:t xml:space="preserve"> CAPM</w:t>
      </w:r>
      <w:r w:rsidR="00F5429B" w:rsidRPr="00DC6340">
        <w:rPr>
          <w:rStyle w:val="AERbody"/>
        </w:rPr>
        <w:t xml:space="preserve">, with a high proportion of </w:t>
      </w:r>
      <w:r w:rsidR="00AD1275" w:rsidRPr="00DC6340">
        <w:rPr>
          <w:rStyle w:val="AERbody"/>
        </w:rPr>
        <w:t xml:space="preserve">wealth held by </w:t>
      </w:r>
      <w:r w:rsidR="00F5429B" w:rsidRPr="00DC6340">
        <w:rPr>
          <w:rStyle w:val="AERbody"/>
        </w:rPr>
        <w:t>foreign investors (NERA using 98% in its primary example)</w:t>
      </w:r>
      <w:r w:rsidRPr="00DC6340">
        <w:rPr>
          <w:rStyle w:val="AERbody"/>
        </w:rPr>
        <w:t xml:space="preserve"> is </w:t>
      </w:r>
      <w:r w:rsidR="008D729A" w:rsidRPr="00DC6340">
        <w:rPr>
          <w:rStyle w:val="AERbody"/>
        </w:rPr>
        <w:t xml:space="preserve">prima facie </w:t>
      </w:r>
      <w:r w:rsidRPr="00DC6340">
        <w:rPr>
          <w:rStyle w:val="AERbody"/>
        </w:rPr>
        <w:t>inconsistent with the way in which the service providers estimat</w:t>
      </w:r>
      <w:r w:rsidR="00937536" w:rsidRPr="00DC6340">
        <w:rPr>
          <w:rStyle w:val="AERbody"/>
        </w:rPr>
        <w:t>e the return on equity</w:t>
      </w:r>
      <w:r w:rsidR="00986CC3" w:rsidRPr="00DC6340">
        <w:rPr>
          <w:rStyle w:val="AERbody"/>
        </w:rPr>
        <w:t xml:space="preserve"> usi</w:t>
      </w:r>
      <w:r w:rsidR="00FA6E24" w:rsidRPr="00DC6340">
        <w:rPr>
          <w:rStyle w:val="AERbody"/>
        </w:rPr>
        <w:t>ng</w:t>
      </w:r>
      <w:r w:rsidR="00986CC3" w:rsidRPr="00DC6340">
        <w:rPr>
          <w:rStyle w:val="AERbody"/>
        </w:rPr>
        <w:t xml:space="preserve"> an Australian Domestic CAPM</w:t>
      </w:r>
      <w:r w:rsidR="00937536" w:rsidRPr="00DC6340">
        <w:rPr>
          <w:rStyle w:val="AERbody"/>
        </w:rPr>
        <w:t xml:space="preserve">. </w:t>
      </w:r>
      <w:r w:rsidR="00621744" w:rsidRPr="00DC6340">
        <w:rPr>
          <w:rStyle w:val="AERbody"/>
        </w:rPr>
        <w:t xml:space="preserve">Handley shows that NERA's claimed "wedge" between the redemption rate and theta can be either small, if input assumptions are made consistent with our </w:t>
      </w:r>
      <w:r w:rsidR="00044F9D" w:rsidRPr="00DC6340">
        <w:rPr>
          <w:rStyle w:val="AERbody"/>
        </w:rPr>
        <w:t>definition</w:t>
      </w:r>
      <w:r w:rsidR="00621744" w:rsidRPr="00DC6340">
        <w:rPr>
          <w:rStyle w:val="AERbody"/>
        </w:rPr>
        <w:t xml:space="preserve"> of the market (domestic in the presence of foreign investors), or zero or even negative depending on your assumption about a number of largely unobservable factors.</w:t>
      </w:r>
      <w:r w:rsidR="00DC6340">
        <w:rPr>
          <w:rStyle w:val="FootnoteReference"/>
        </w:rPr>
        <w:footnoteReference w:id="266"/>
      </w:r>
      <w:r w:rsidR="00621744" w:rsidRPr="00DC6340">
        <w:rPr>
          <w:rStyle w:val="AERbody"/>
        </w:rPr>
        <w:t xml:space="preserve"> </w:t>
      </w:r>
      <w:r w:rsidR="00A97748" w:rsidRPr="00DC6340">
        <w:rPr>
          <w:rStyle w:val="AERbody"/>
        </w:rPr>
        <w:t xml:space="preserve">NERA response to one of Handley's examples that shows the wedge may be small makes clear they are using an International CAPM to argue Handley's </w:t>
      </w:r>
      <w:r w:rsidR="00044F9D" w:rsidRPr="00DC6340">
        <w:rPr>
          <w:rStyle w:val="AERbody"/>
        </w:rPr>
        <w:t>response</w:t>
      </w:r>
      <w:r w:rsidR="00A97748" w:rsidRPr="00DC6340">
        <w:rPr>
          <w:rStyle w:val="AERbody"/>
        </w:rPr>
        <w:t xml:space="preserve"> is invalid stating:</w:t>
      </w:r>
      <w:r w:rsidR="00DC6340">
        <w:rPr>
          <w:rStyle w:val="FootnoteReference"/>
        </w:rPr>
        <w:footnoteReference w:id="267"/>
      </w:r>
    </w:p>
    <w:p w14:paraId="6C13F53D" w14:textId="7C612A30" w:rsidR="00A97748" w:rsidRPr="00740380" w:rsidRDefault="00A97748" w:rsidP="00740380">
      <w:pPr>
        <w:pStyle w:val="AERquote"/>
        <w:rPr>
          <w:rStyle w:val="AERtexthighlight"/>
          <w:shd w:val="clear" w:color="auto" w:fill="auto"/>
        </w:rPr>
      </w:pPr>
      <w:r w:rsidRPr="00740380">
        <w:rPr>
          <w:rStyle w:val="AERtexthighlight"/>
          <w:shd w:val="clear" w:color="auto" w:fill="auto"/>
        </w:rPr>
        <w:t>"The assumption that Australian aggregated wealth makes up 60 percent of the world wealth is also very clearly at odds with the evidence and so we conclude that Handley's</w:t>
      </w:r>
      <w:r w:rsidR="00A87E3B" w:rsidRPr="00740380">
        <w:rPr>
          <w:rStyle w:val="AERtexthighlight"/>
          <w:shd w:val="clear" w:color="auto" w:fill="auto"/>
        </w:rPr>
        <w:t xml:space="preserve"> second example is similarly of no practical relevance."</w:t>
      </w:r>
      <w:r w:rsidRPr="00740380">
        <w:rPr>
          <w:rStyle w:val="AERtexthighlight"/>
          <w:shd w:val="clear" w:color="auto" w:fill="auto"/>
        </w:rPr>
        <w:t xml:space="preserve"> </w:t>
      </w:r>
    </w:p>
    <w:p w14:paraId="1E7F1466" w14:textId="71F60C22" w:rsidR="00A97748" w:rsidRPr="00740380" w:rsidRDefault="00A97748" w:rsidP="00B027E1">
      <w:pPr>
        <w:rPr>
          <w:rStyle w:val="AERbody"/>
        </w:rPr>
      </w:pPr>
      <w:r w:rsidRPr="00740380">
        <w:rPr>
          <w:rStyle w:val="AERbody"/>
        </w:rPr>
        <w:t xml:space="preserve">We consider this response </w:t>
      </w:r>
      <w:r w:rsidR="00AD1275" w:rsidRPr="00740380">
        <w:rPr>
          <w:rStyle w:val="AERbody"/>
        </w:rPr>
        <w:t xml:space="preserve">by NERA </w:t>
      </w:r>
      <w:r w:rsidRPr="00740380">
        <w:rPr>
          <w:rStyle w:val="AERbody"/>
        </w:rPr>
        <w:t>of limited relevance given our defi</w:t>
      </w:r>
      <w:r w:rsidR="00044F9D" w:rsidRPr="00740380">
        <w:rPr>
          <w:rStyle w:val="AERbody"/>
        </w:rPr>
        <w:t>ni</w:t>
      </w:r>
      <w:r w:rsidRPr="00740380">
        <w:rPr>
          <w:rStyle w:val="AERbody"/>
        </w:rPr>
        <w:t>tion of the relevant market</w:t>
      </w:r>
      <w:r w:rsidR="00BE6F6E" w:rsidRPr="00740380">
        <w:rPr>
          <w:rStyle w:val="AERbody"/>
        </w:rPr>
        <w:t xml:space="preserve"> is a domestic market in the presence of foreign investors, a market</w:t>
      </w:r>
      <w:r w:rsidRPr="00740380">
        <w:rPr>
          <w:rStyle w:val="AERbody"/>
        </w:rPr>
        <w:t xml:space="preserve"> which </w:t>
      </w:r>
      <w:r w:rsidR="00BE6F6E" w:rsidRPr="00740380">
        <w:rPr>
          <w:rStyle w:val="AERbody"/>
        </w:rPr>
        <w:t>we have used to estima</w:t>
      </w:r>
      <w:r w:rsidRPr="00740380">
        <w:rPr>
          <w:rStyle w:val="AERbody"/>
        </w:rPr>
        <w:t xml:space="preserve">te both the return on equity and </w:t>
      </w:r>
      <w:r w:rsidR="00DB2DDA" w:rsidRPr="00740380">
        <w:rPr>
          <w:rStyle w:val="AERbody"/>
        </w:rPr>
        <w:t>the value for imputation credits</w:t>
      </w:r>
      <w:r w:rsidRPr="00740380">
        <w:rPr>
          <w:rStyle w:val="AERbody"/>
        </w:rPr>
        <w:t>.</w:t>
      </w:r>
      <w:r w:rsidR="00BE6F6E" w:rsidRPr="00740380">
        <w:rPr>
          <w:rStyle w:val="AERbody"/>
        </w:rPr>
        <w:t xml:space="preserve"> Handley's example is appropriate given this definition.</w:t>
      </w:r>
    </w:p>
    <w:p w14:paraId="6AEB35A7" w14:textId="726FD72C" w:rsidR="00EB6C91" w:rsidRPr="00507D00" w:rsidRDefault="00F453ED" w:rsidP="00B027E1">
      <w:pPr>
        <w:rPr>
          <w:rStyle w:val="AERbody"/>
        </w:rPr>
      </w:pPr>
      <w:r w:rsidRPr="00507D00">
        <w:rPr>
          <w:rStyle w:val="AERbody"/>
        </w:rPr>
        <w:t xml:space="preserve">While NERA responded to the position that theta could exceed the redemption rate arguing the market will not clear, </w:t>
      </w:r>
      <w:r w:rsidR="00DB2DDA" w:rsidRPr="00507D00">
        <w:rPr>
          <w:rStyle w:val="AERbody"/>
        </w:rPr>
        <w:t xml:space="preserve">irrespective of this </w:t>
      </w:r>
      <w:r w:rsidR="00FA6E24" w:rsidRPr="00507D00">
        <w:rPr>
          <w:rStyle w:val="AERbody"/>
        </w:rPr>
        <w:t>we consider the</w:t>
      </w:r>
      <w:r w:rsidR="00A87E3B" w:rsidRPr="00507D00">
        <w:rPr>
          <w:rStyle w:val="AERbody"/>
        </w:rPr>
        <w:t xml:space="preserve"> wedge </w:t>
      </w:r>
      <w:r w:rsidR="00FA6E24" w:rsidRPr="00507D00">
        <w:rPr>
          <w:rStyle w:val="AERbody"/>
        </w:rPr>
        <w:t xml:space="preserve">is not clearly material </w:t>
      </w:r>
      <w:r w:rsidR="00FA6E24" w:rsidRPr="00507D00">
        <w:rPr>
          <w:rStyle w:val="AERbody"/>
        </w:rPr>
        <w:lastRenderedPageBreak/>
        <w:t>under our definition of the market and as Handley notes</w:t>
      </w:r>
      <w:r w:rsidR="00EB16EF" w:rsidRPr="00507D00">
        <w:rPr>
          <w:rStyle w:val="AERbody"/>
        </w:rPr>
        <w:t>,</w:t>
      </w:r>
      <w:r w:rsidR="00FA6E24" w:rsidRPr="00507D00">
        <w:rPr>
          <w:rStyle w:val="AERbody"/>
        </w:rPr>
        <w:t xml:space="preserve"> the current framework is based </w:t>
      </w:r>
      <w:r w:rsidR="00044F9D" w:rsidRPr="00507D00">
        <w:rPr>
          <w:rStyle w:val="AERbody"/>
        </w:rPr>
        <w:t>within</w:t>
      </w:r>
      <w:r w:rsidR="00FA6E24" w:rsidRPr="00507D00">
        <w:rPr>
          <w:rStyle w:val="AERbody"/>
        </w:rPr>
        <w:t xml:space="preserve"> a domestic market setting.</w:t>
      </w:r>
      <w:r w:rsidR="00507D00">
        <w:rPr>
          <w:rStyle w:val="FootnoteReference"/>
        </w:rPr>
        <w:footnoteReference w:id="268"/>
      </w:r>
      <w:r w:rsidR="00FA6E24" w:rsidRPr="00507D00">
        <w:rPr>
          <w:rStyle w:val="AERbody"/>
        </w:rPr>
        <w:t xml:space="preserve"> </w:t>
      </w:r>
      <w:r w:rsidR="009C3AC6" w:rsidRPr="00507D00">
        <w:rPr>
          <w:rStyle w:val="AERbody"/>
        </w:rPr>
        <w:t xml:space="preserve">NERA's comment </w:t>
      </w:r>
      <w:r w:rsidR="007801A5" w:rsidRPr="00507D00">
        <w:rPr>
          <w:rStyle w:val="AERbody"/>
        </w:rPr>
        <w:t xml:space="preserve">in a separate report </w:t>
      </w:r>
      <w:r w:rsidR="009C3AC6" w:rsidRPr="00507D00">
        <w:rPr>
          <w:rStyle w:val="AERbody"/>
        </w:rPr>
        <w:t>that it does not recommend the use of an International CAPM</w:t>
      </w:r>
      <w:r w:rsidR="00971F3A" w:rsidRPr="00507D00">
        <w:rPr>
          <w:rStyle w:val="AERbody"/>
        </w:rPr>
        <w:t xml:space="preserve"> </w:t>
      </w:r>
      <w:r w:rsidR="007801A5" w:rsidRPr="00507D00">
        <w:rPr>
          <w:rStyle w:val="AERbody"/>
        </w:rPr>
        <w:t>does not resolve th</w:t>
      </w:r>
      <w:r w:rsidR="004614D0" w:rsidRPr="00507D00">
        <w:rPr>
          <w:rStyle w:val="AERbody"/>
        </w:rPr>
        <w:t xml:space="preserve">is </w:t>
      </w:r>
      <w:r w:rsidR="00971F3A" w:rsidRPr="00507D00">
        <w:rPr>
          <w:rStyle w:val="AERbody"/>
        </w:rPr>
        <w:t xml:space="preserve">inconsistency </w:t>
      </w:r>
      <w:r w:rsidR="004614D0" w:rsidRPr="00507D00">
        <w:rPr>
          <w:rStyle w:val="AERbody"/>
        </w:rPr>
        <w:t>issue</w:t>
      </w:r>
      <w:r w:rsidR="007801A5" w:rsidRPr="00507D00">
        <w:rPr>
          <w:rStyle w:val="AERbody"/>
        </w:rPr>
        <w:t>.</w:t>
      </w:r>
      <w:r w:rsidR="00507D00">
        <w:rPr>
          <w:rStyle w:val="FootnoteReference"/>
        </w:rPr>
        <w:footnoteReference w:id="269"/>
      </w:r>
      <w:r w:rsidR="00971F3A" w:rsidRPr="00507D00">
        <w:rPr>
          <w:rStyle w:val="AERbody"/>
        </w:rPr>
        <w:t xml:space="preserve"> </w:t>
      </w:r>
      <w:r w:rsidR="007801A5" w:rsidRPr="00507D00">
        <w:rPr>
          <w:rStyle w:val="AERbody"/>
        </w:rPr>
        <w:t xml:space="preserve"> </w:t>
      </w:r>
    </w:p>
    <w:p w14:paraId="007A08FD" w14:textId="7B6BFA63" w:rsidR="00CC16CF" w:rsidRPr="00507D00" w:rsidRDefault="00F453ED" w:rsidP="00B027E1">
      <w:pPr>
        <w:rPr>
          <w:rStyle w:val="AERbody"/>
        </w:rPr>
      </w:pPr>
      <w:r w:rsidRPr="00507D00">
        <w:rPr>
          <w:rStyle w:val="AERbody"/>
        </w:rPr>
        <w:t>In addition, w</w:t>
      </w:r>
      <w:r w:rsidR="0058150D" w:rsidRPr="00507D00">
        <w:rPr>
          <w:rStyle w:val="AERbody"/>
        </w:rPr>
        <w:t>hile NERA ha</w:t>
      </w:r>
      <w:r w:rsidR="002E1251" w:rsidRPr="00507D00">
        <w:rPr>
          <w:rStyle w:val="AERbody"/>
        </w:rPr>
        <w:t>s</w:t>
      </w:r>
      <w:r w:rsidR="0058150D" w:rsidRPr="00507D00">
        <w:rPr>
          <w:rStyle w:val="AERbody"/>
        </w:rPr>
        <w:t xml:space="preserve"> </w:t>
      </w:r>
      <w:r w:rsidR="00044F9D" w:rsidRPr="00507D00">
        <w:rPr>
          <w:rStyle w:val="AERbody"/>
        </w:rPr>
        <w:t>effectively</w:t>
      </w:r>
      <w:r w:rsidR="0058150D" w:rsidRPr="00507D00">
        <w:rPr>
          <w:rStyle w:val="AERbody"/>
        </w:rPr>
        <w:t xml:space="preserve"> put forward the position that the use of a domestic CAPM to set the return on equ</w:t>
      </w:r>
      <w:r w:rsidR="008D729A" w:rsidRPr="00507D00">
        <w:rPr>
          <w:rStyle w:val="AERbody"/>
        </w:rPr>
        <w:t>it</w:t>
      </w:r>
      <w:r w:rsidR="0058150D" w:rsidRPr="00507D00">
        <w:rPr>
          <w:rStyle w:val="AERbody"/>
        </w:rPr>
        <w:t xml:space="preserve">y and the use of an international CAPM to determine theta are not inconsistent because </w:t>
      </w:r>
      <w:r w:rsidR="00512BEA" w:rsidRPr="00507D00">
        <w:rPr>
          <w:rStyle w:val="AERbody"/>
        </w:rPr>
        <w:t>both models</w:t>
      </w:r>
      <w:r w:rsidR="0058150D" w:rsidRPr="00507D00">
        <w:rPr>
          <w:rStyle w:val="AERbody"/>
        </w:rPr>
        <w:t xml:space="preserve"> may generate the same return on e</w:t>
      </w:r>
      <w:r w:rsidR="005E1F91" w:rsidRPr="00507D00">
        <w:rPr>
          <w:rStyle w:val="AERbody"/>
        </w:rPr>
        <w:t>quity estimate under certain</w:t>
      </w:r>
      <w:r w:rsidR="0058150D" w:rsidRPr="00507D00">
        <w:rPr>
          <w:rStyle w:val="AERbody"/>
        </w:rPr>
        <w:t xml:space="preserve"> assumptions, </w:t>
      </w:r>
      <w:r w:rsidR="00FA6E24" w:rsidRPr="00507D00">
        <w:rPr>
          <w:rStyle w:val="AERbody"/>
        </w:rPr>
        <w:t xml:space="preserve">we consider </w:t>
      </w:r>
      <w:r w:rsidR="0058150D" w:rsidRPr="00507D00">
        <w:rPr>
          <w:rStyle w:val="AERbody"/>
        </w:rPr>
        <w:t>NERA's position is not adequately supported.  An International CAPM may give a materially different required return on equity</w:t>
      </w:r>
      <w:r w:rsidR="00FA6E24" w:rsidRPr="00507D00">
        <w:rPr>
          <w:rStyle w:val="AERbody"/>
        </w:rPr>
        <w:t xml:space="preserve"> estimate</w:t>
      </w:r>
      <w:r w:rsidR="0058150D" w:rsidRPr="00507D00">
        <w:rPr>
          <w:rStyle w:val="AERbody"/>
        </w:rPr>
        <w:t>. This may be lower or higher depending on whether local (domestic) systematic risk can be diversified away in the global market</w:t>
      </w:r>
      <w:r w:rsidR="00167469" w:rsidRPr="00507D00">
        <w:rPr>
          <w:rStyle w:val="AERbody"/>
        </w:rPr>
        <w:t>,</w:t>
      </w:r>
      <w:r w:rsidR="0058150D" w:rsidRPr="00507D00">
        <w:rPr>
          <w:rStyle w:val="AERbody"/>
        </w:rPr>
        <w:t xml:space="preserve"> or if specific risk in the domestic market contains global </w:t>
      </w:r>
      <w:r w:rsidR="00044F9D" w:rsidRPr="00507D00">
        <w:rPr>
          <w:rStyle w:val="AERbody"/>
        </w:rPr>
        <w:t>systematic</w:t>
      </w:r>
      <w:r w:rsidR="0058150D" w:rsidRPr="00507D00">
        <w:rPr>
          <w:rStyle w:val="AERbody"/>
        </w:rPr>
        <w:t xml:space="preserve"> risk.</w:t>
      </w:r>
      <w:r w:rsidR="00507D00">
        <w:rPr>
          <w:rStyle w:val="FootnoteReference"/>
        </w:rPr>
        <w:footnoteReference w:id="270"/>
      </w:r>
      <w:r w:rsidR="0058150D" w:rsidRPr="00507D00">
        <w:rPr>
          <w:rStyle w:val="AERbody"/>
        </w:rPr>
        <w:t xml:space="preserve"> </w:t>
      </w:r>
      <w:r w:rsidR="005E1F91" w:rsidRPr="00507D00">
        <w:rPr>
          <w:rStyle w:val="AERbody"/>
        </w:rPr>
        <w:t xml:space="preserve">While NERA </w:t>
      </w:r>
      <w:r w:rsidR="00512BEA" w:rsidRPr="00507D00">
        <w:rPr>
          <w:rStyle w:val="AERbody"/>
        </w:rPr>
        <w:t xml:space="preserve">appear to </w:t>
      </w:r>
      <w:r w:rsidR="005E1F91" w:rsidRPr="00507D00">
        <w:rPr>
          <w:rStyle w:val="AERbody"/>
        </w:rPr>
        <w:t xml:space="preserve">have </w:t>
      </w:r>
      <w:r w:rsidR="00333F6F" w:rsidRPr="00507D00">
        <w:rPr>
          <w:rStyle w:val="AERbody"/>
        </w:rPr>
        <w:t xml:space="preserve">made a number of </w:t>
      </w:r>
      <w:r w:rsidR="005E1F91" w:rsidRPr="00507D00">
        <w:rPr>
          <w:rStyle w:val="AERbody"/>
        </w:rPr>
        <w:t>assum</w:t>
      </w:r>
      <w:r w:rsidR="00333F6F" w:rsidRPr="00507D00">
        <w:rPr>
          <w:rStyle w:val="AERbody"/>
        </w:rPr>
        <w:t xml:space="preserve">ptions to show both a domestic version of the SLCPAM and international version of the </w:t>
      </w:r>
      <w:r w:rsidR="00177F0B">
        <w:rPr>
          <w:rStyle w:val="AERbody"/>
        </w:rPr>
        <w:t>SL</w:t>
      </w:r>
      <w:r w:rsidR="00333F6F" w:rsidRPr="00507D00">
        <w:rPr>
          <w:rStyle w:val="AERbody"/>
        </w:rPr>
        <w:t xml:space="preserve">CAPM can hold </w:t>
      </w:r>
      <w:r w:rsidR="002C1CFB" w:rsidRPr="00507D00">
        <w:rPr>
          <w:rStyle w:val="AERbody"/>
        </w:rPr>
        <w:t>simultaneously</w:t>
      </w:r>
      <w:r w:rsidR="00507D00">
        <w:rPr>
          <w:rStyle w:val="FootnoteReference"/>
        </w:rPr>
        <w:footnoteReference w:id="271"/>
      </w:r>
      <w:r w:rsidR="005E1F91" w:rsidRPr="00507D00">
        <w:rPr>
          <w:rStyle w:val="AERbody"/>
        </w:rPr>
        <w:t>, th</w:t>
      </w:r>
      <w:r w:rsidR="00786C2B" w:rsidRPr="00507D00">
        <w:rPr>
          <w:rStyle w:val="AERbody"/>
        </w:rPr>
        <w:t>ese</w:t>
      </w:r>
      <w:r w:rsidR="005E1F91" w:rsidRPr="00507D00">
        <w:rPr>
          <w:rStyle w:val="AERbody"/>
        </w:rPr>
        <w:t xml:space="preserve"> </w:t>
      </w:r>
      <w:r w:rsidR="00786C2B" w:rsidRPr="00507D00">
        <w:rPr>
          <w:rStyle w:val="AERbody"/>
        </w:rPr>
        <w:t>are</w:t>
      </w:r>
      <w:r w:rsidR="005E1F91" w:rsidRPr="00507D00">
        <w:rPr>
          <w:rStyle w:val="AERbody"/>
        </w:rPr>
        <w:t xml:space="preserve"> assumption</w:t>
      </w:r>
      <w:r w:rsidR="00786C2B" w:rsidRPr="00507D00">
        <w:rPr>
          <w:rStyle w:val="AERbody"/>
        </w:rPr>
        <w:t>s</w:t>
      </w:r>
      <w:r w:rsidR="005E1F91" w:rsidRPr="00507D00">
        <w:rPr>
          <w:rStyle w:val="AERbody"/>
        </w:rPr>
        <w:t xml:space="preserve"> that can only be tested </w:t>
      </w:r>
      <w:r w:rsidR="00044F9D" w:rsidRPr="00507D00">
        <w:rPr>
          <w:rStyle w:val="AERbody"/>
        </w:rPr>
        <w:t>empirically</w:t>
      </w:r>
      <w:r w:rsidR="00CC16CF" w:rsidRPr="00507D00">
        <w:rPr>
          <w:rStyle w:val="AERbody"/>
        </w:rPr>
        <w:t>. A</w:t>
      </w:r>
      <w:r w:rsidR="002E1251" w:rsidRPr="00507D00">
        <w:rPr>
          <w:rStyle w:val="AERbody"/>
        </w:rPr>
        <w:t xml:space="preserve">n academic article by Koedijk, Mathiijs and van Dijk </w:t>
      </w:r>
      <w:r w:rsidR="00D279FE" w:rsidRPr="00507D00">
        <w:rPr>
          <w:rStyle w:val="AERbody"/>
        </w:rPr>
        <w:t>explains the underlying premise of such a test stating</w:t>
      </w:r>
      <w:r w:rsidR="00CC16CF" w:rsidRPr="00507D00">
        <w:rPr>
          <w:rStyle w:val="AERbody"/>
        </w:rPr>
        <w:t>:</w:t>
      </w:r>
      <w:r w:rsidR="00507D00">
        <w:rPr>
          <w:rStyle w:val="FootnoteReference"/>
        </w:rPr>
        <w:footnoteReference w:id="272"/>
      </w:r>
    </w:p>
    <w:p w14:paraId="14A6D1E3" w14:textId="1F80B8A2" w:rsidR="00CC16CF" w:rsidRPr="00507D00" w:rsidRDefault="00CC16CF" w:rsidP="00507D00">
      <w:pPr>
        <w:pStyle w:val="AERquote"/>
        <w:rPr>
          <w:rStyle w:val="AERtexthighlight"/>
          <w:shd w:val="clear" w:color="auto" w:fill="auto"/>
        </w:rPr>
      </w:pPr>
      <w:r w:rsidRPr="00507D00">
        <w:rPr>
          <w:rStyle w:val="AERtexthighlight"/>
          <w:shd w:val="clear" w:color="auto" w:fill="auto"/>
        </w:rPr>
        <w:t>The testing methodology boils down to assessing whether the exposure of an individual company to the global risk factors is effectively captured in the international pricing of the domest</w:t>
      </w:r>
      <w:r w:rsidR="002C1CFB" w:rsidRPr="00507D00">
        <w:rPr>
          <w:rStyle w:val="AERtexthighlight"/>
          <w:shd w:val="clear" w:color="auto" w:fill="auto"/>
        </w:rPr>
        <w:t>i</w:t>
      </w:r>
      <w:r w:rsidRPr="00507D00">
        <w:rPr>
          <w:rStyle w:val="AERtexthighlight"/>
          <w:shd w:val="clear" w:color="auto" w:fill="auto"/>
        </w:rPr>
        <w:t>c market index. If not, a sign</w:t>
      </w:r>
      <w:r w:rsidR="002C1CFB" w:rsidRPr="00507D00">
        <w:rPr>
          <w:rStyle w:val="AERtexthighlight"/>
          <w:shd w:val="clear" w:color="auto" w:fill="auto"/>
        </w:rPr>
        <w:t>i</w:t>
      </w:r>
      <w:r w:rsidRPr="00507D00">
        <w:rPr>
          <w:rStyle w:val="AERtexthighlight"/>
          <w:shd w:val="clear" w:color="auto" w:fill="auto"/>
        </w:rPr>
        <w:t>ficant pricing error will exist, which implies that global factors do have a substantial impact on the cost of capital. In effect, the domestic CAPM will underestim</w:t>
      </w:r>
      <w:r w:rsidR="002C1CFB" w:rsidRPr="00507D00">
        <w:rPr>
          <w:rStyle w:val="AERtexthighlight"/>
          <w:shd w:val="clear" w:color="auto" w:fill="auto"/>
        </w:rPr>
        <w:t>a</w:t>
      </w:r>
      <w:r w:rsidRPr="00507D00">
        <w:rPr>
          <w:rStyle w:val="AERtexthighlight"/>
          <w:shd w:val="clear" w:color="auto" w:fill="auto"/>
        </w:rPr>
        <w:t>te the cost of equity capital of a company if the spe</w:t>
      </w:r>
      <w:r w:rsidR="002C1CFB" w:rsidRPr="00507D00">
        <w:rPr>
          <w:rStyle w:val="AERtexthighlight"/>
          <w:shd w:val="clear" w:color="auto" w:fill="auto"/>
        </w:rPr>
        <w:t>c</w:t>
      </w:r>
      <w:r w:rsidRPr="00507D00">
        <w:rPr>
          <w:rStyle w:val="AERtexthighlight"/>
          <w:shd w:val="clear" w:color="auto" w:fill="auto"/>
        </w:rPr>
        <w:t>ific risk according to the domestic CAPM contains additional system</w:t>
      </w:r>
      <w:r w:rsidR="002C1CFB" w:rsidRPr="00507D00">
        <w:rPr>
          <w:rStyle w:val="AERtexthighlight"/>
          <w:shd w:val="clear" w:color="auto" w:fill="auto"/>
        </w:rPr>
        <w:t>a</w:t>
      </w:r>
      <w:r w:rsidRPr="00507D00">
        <w:rPr>
          <w:rStyle w:val="AERtexthighlight"/>
          <w:shd w:val="clear" w:color="auto" w:fill="auto"/>
        </w:rPr>
        <w:t>tic risk related to the priced global factors. The domestic CAPM will lead to an overestimation of the cost of capital if part of the systematic risk indicated by the CAPM can be diversified away in the global market.</w:t>
      </w:r>
    </w:p>
    <w:p w14:paraId="73AA644B" w14:textId="3BF79BAF" w:rsidR="00530BB8" w:rsidRPr="00507D00" w:rsidRDefault="00530BB8" w:rsidP="00530BB8">
      <w:pPr>
        <w:rPr>
          <w:rStyle w:val="AERbody"/>
        </w:rPr>
      </w:pPr>
      <w:r w:rsidRPr="00507D00">
        <w:rPr>
          <w:rStyle w:val="AERbody"/>
        </w:rPr>
        <w:t>NERA appear to agree this is an empirical question as it states earlier in its report "</w:t>
      </w:r>
      <w:proofErr w:type="gramStart"/>
      <w:r w:rsidRPr="00507D00">
        <w:rPr>
          <w:rStyle w:val="AERbody"/>
        </w:rPr>
        <w:t>]w</w:t>
      </w:r>
      <w:proofErr w:type="gramEnd"/>
      <w:r w:rsidRPr="00507D00">
        <w:rPr>
          <w:rStyle w:val="AERbody"/>
        </w:rPr>
        <w:t>]hether equ</w:t>
      </w:r>
      <w:r w:rsidR="00DB2DDA" w:rsidRPr="00507D00">
        <w:rPr>
          <w:rStyle w:val="AERbody"/>
        </w:rPr>
        <w:t>it</w:t>
      </w:r>
      <w:r w:rsidRPr="00507D00">
        <w:rPr>
          <w:rStyle w:val="AERbody"/>
        </w:rPr>
        <w:t xml:space="preserve">y markets are </w:t>
      </w:r>
      <w:r w:rsidR="002C1CFB" w:rsidRPr="00507D00">
        <w:rPr>
          <w:rStyle w:val="AERbody"/>
        </w:rPr>
        <w:t>integrated</w:t>
      </w:r>
      <w:r w:rsidRPr="00507D00">
        <w:rPr>
          <w:rStyle w:val="AERbody"/>
        </w:rPr>
        <w:t xml:space="preserve"> or segmented is an empirical issue."</w:t>
      </w:r>
      <w:r w:rsidR="00507D00">
        <w:rPr>
          <w:rStyle w:val="FootnoteReference"/>
        </w:rPr>
        <w:footnoteReference w:id="273"/>
      </w:r>
      <w:r w:rsidRPr="00507D00">
        <w:rPr>
          <w:rStyle w:val="AERbody"/>
        </w:rPr>
        <w:t xml:space="preserve">  </w:t>
      </w:r>
    </w:p>
    <w:p w14:paraId="4D66D612" w14:textId="0B9969F3" w:rsidR="0058150D" w:rsidRPr="00507D00" w:rsidRDefault="00AF31D2" w:rsidP="00B027E1">
      <w:pPr>
        <w:rPr>
          <w:rStyle w:val="AERbody"/>
        </w:rPr>
      </w:pPr>
      <w:r w:rsidRPr="00507D00">
        <w:rPr>
          <w:rStyle w:val="AERbody"/>
        </w:rPr>
        <w:t xml:space="preserve">We also note that </w:t>
      </w:r>
      <w:r w:rsidR="008D729A" w:rsidRPr="00507D00">
        <w:rPr>
          <w:rStyle w:val="AERbody"/>
        </w:rPr>
        <w:t xml:space="preserve">some work by </w:t>
      </w:r>
      <w:r w:rsidR="00167469" w:rsidRPr="00507D00">
        <w:rPr>
          <w:rStyle w:val="AERbody"/>
        </w:rPr>
        <w:t xml:space="preserve">Associate Professor </w:t>
      </w:r>
      <w:r w:rsidRPr="00507D00">
        <w:rPr>
          <w:rStyle w:val="AERbody"/>
        </w:rPr>
        <w:t xml:space="preserve">Lally </w:t>
      </w:r>
      <w:r w:rsidR="00167469" w:rsidRPr="00507D00">
        <w:rPr>
          <w:rStyle w:val="AERbody"/>
        </w:rPr>
        <w:t xml:space="preserve">at the </w:t>
      </w:r>
      <w:r w:rsidR="008D729A" w:rsidRPr="00507D00">
        <w:rPr>
          <w:rStyle w:val="AERbody"/>
        </w:rPr>
        <w:t xml:space="preserve">time of the </w:t>
      </w:r>
      <w:r w:rsidR="00AC6EFD" w:rsidRPr="00507D00">
        <w:rPr>
          <w:rStyle w:val="AERbody"/>
        </w:rPr>
        <w:t>development of the Rate of return g</w:t>
      </w:r>
      <w:r w:rsidR="008D729A" w:rsidRPr="00507D00">
        <w:rPr>
          <w:rStyle w:val="AERbody"/>
        </w:rPr>
        <w:t xml:space="preserve">uideline </w:t>
      </w:r>
      <w:r w:rsidR="00167469" w:rsidRPr="00507D00">
        <w:rPr>
          <w:rStyle w:val="AERbody"/>
        </w:rPr>
        <w:t xml:space="preserve">indicated that the required return on equity for Australian firms </w:t>
      </w:r>
      <w:r w:rsidR="00AC6EFD" w:rsidRPr="00507D00">
        <w:rPr>
          <w:rStyle w:val="AERbody"/>
        </w:rPr>
        <w:t>could</w:t>
      </w:r>
      <w:r w:rsidR="00167469" w:rsidRPr="00507D00">
        <w:rPr>
          <w:rStyle w:val="AERbody"/>
        </w:rPr>
        <w:t xml:space="preserve"> be materially lower under full integration.</w:t>
      </w:r>
      <w:r w:rsidR="00507D00">
        <w:rPr>
          <w:rStyle w:val="FootnoteReference"/>
        </w:rPr>
        <w:footnoteReference w:id="274"/>
      </w:r>
      <w:r w:rsidR="008D729A" w:rsidRPr="00507D00">
        <w:rPr>
          <w:rStyle w:val="AERbody"/>
        </w:rPr>
        <w:t xml:space="preserve"> </w:t>
      </w:r>
      <w:r w:rsidR="005E1F91" w:rsidRPr="00507D00">
        <w:rPr>
          <w:rStyle w:val="AERbody"/>
        </w:rPr>
        <w:t xml:space="preserve">   </w:t>
      </w:r>
    </w:p>
    <w:p w14:paraId="32185345" w14:textId="77777777" w:rsidR="00063611" w:rsidRDefault="00063611" w:rsidP="00B71ABF">
      <w:pPr>
        <w:pStyle w:val="Heading8"/>
      </w:pPr>
      <w:bookmarkStart w:id="71" w:name="_Ref415068711"/>
      <w:bookmarkStart w:id="72" w:name="_Toc433449220"/>
      <w:r w:rsidRPr="00063611">
        <w:lastRenderedPageBreak/>
        <w:t>Estimation</w:t>
      </w:r>
      <w:r>
        <w:t xml:space="preserve"> approach considerations</w:t>
      </w:r>
      <w:bookmarkEnd w:id="71"/>
      <w:bookmarkEnd w:id="72"/>
    </w:p>
    <w:p w14:paraId="6A3F5761" w14:textId="02D9F7AE" w:rsidR="00063611" w:rsidRDefault="00063611" w:rsidP="00063611">
      <w:pPr>
        <w:numPr>
          <w:ilvl w:val="0"/>
          <w:numId w:val="25"/>
        </w:numPr>
      </w:pPr>
      <w:r>
        <w:t>Our approach to determining the value of imputation credits involves two considerations that were not proposed in the Guideline. We discuss each below.</w:t>
      </w:r>
    </w:p>
    <w:p w14:paraId="1B0811DC" w14:textId="77777777" w:rsidR="00063611" w:rsidRDefault="00063611" w:rsidP="00063611">
      <w:pPr>
        <w:pStyle w:val="Heading9"/>
      </w:pPr>
      <w:bookmarkStart w:id="73" w:name="_Ref401048631"/>
      <w:r>
        <w:t xml:space="preserve">Evidence from all equity or </w:t>
      </w:r>
      <w:r w:rsidR="001C274C">
        <w:t>only listed equity</w:t>
      </w:r>
      <w:bookmarkEnd w:id="73"/>
    </w:p>
    <w:p w14:paraId="1FA1F4CC" w14:textId="77777777" w:rsidR="00063611" w:rsidRDefault="00063611" w:rsidP="00063611">
      <w:pPr>
        <w:numPr>
          <w:ilvl w:val="0"/>
          <w:numId w:val="25"/>
        </w:numPr>
      </w:pPr>
      <w:r>
        <w:t>When determining the value of imputation credits, we have regard to evidence from all companies and their investors (all equity) and just listed companies and their investors (</w:t>
      </w:r>
      <w:r w:rsidR="001C274C">
        <w:t>only listed equity</w:t>
      </w:r>
      <w:r>
        <w:t>). There is no consensus on which should be the preferred approach.</w:t>
      </w:r>
    </w:p>
    <w:p w14:paraId="233901B7" w14:textId="77777777" w:rsidR="00063611" w:rsidRDefault="00063611" w:rsidP="00063611">
      <w:pPr>
        <w:numPr>
          <w:ilvl w:val="0"/>
          <w:numId w:val="25"/>
        </w:numPr>
      </w:pPr>
      <w:r>
        <w:t>We have had regard to experts' comments on the issue. Lally made some comments in support of considering all equity:</w:t>
      </w:r>
      <w:r>
        <w:rPr>
          <w:rStyle w:val="FootnoteReference"/>
        </w:rPr>
        <w:footnoteReference w:id="275"/>
      </w:r>
    </w:p>
    <w:p w14:paraId="5D038785" w14:textId="77777777" w:rsidR="00063611" w:rsidRDefault="00063611" w:rsidP="00063611">
      <w:pPr>
        <w:pStyle w:val="AERquote"/>
      </w:pPr>
      <w:r w:rsidRPr="00D40BD7">
        <w:t>The more important point here is whether</w:t>
      </w:r>
      <w:r>
        <w:t xml:space="preserve"> </w:t>
      </w:r>
      <w:r w:rsidRPr="00D40BD7">
        <w:t>unlisted equity should be included, in principle. Arguably, the fact that only lis</w:t>
      </w:r>
      <w:r>
        <w:t xml:space="preserve">ted equity is </w:t>
      </w:r>
      <w:r w:rsidRPr="00D40BD7">
        <w:t>used to estimate the MRP and beta suggests that the same limit</w:t>
      </w:r>
      <w:r>
        <w:t xml:space="preserve">ation be applied to the present </w:t>
      </w:r>
      <w:r w:rsidRPr="00D40BD7">
        <w:t>issue. However, the limitation is only imposed for the</w:t>
      </w:r>
      <w:r>
        <w:t xml:space="preserve"> MRP and beta because data from </w:t>
      </w:r>
      <w:r w:rsidRPr="00D40BD7">
        <w:t xml:space="preserve">unlisted firms is entirely inadequate for estimating returns. </w:t>
      </w:r>
      <w:r>
        <w:t xml:space="preserve">Furthermore, MRP estimates are </w:t>
      </w:r>
      <w:r w:rsidRPr="00D40BD7">
        <w:t>generally based on a subset of listed equity (such as the ASX</w:t>
      </w:r>
      <w:r>
        <w:t xml:space="preserve">200), the subsets used may vary </w:t>
      </w:r>
      <w:r w:rsidRPr="00D40BD7">
        <w:t>and are sometimes never specified (in surveys), and bet</w:t>
      </w:r>
      <w:r>
        <w:t xml:space="preserve">as are typically estimated from </w:t>
      </w:r>
      <w:r w:rsidRPr="00D40BD7">
        <w:t>foreign returns data. All of these results could reasonably be vi</w:t>
      </w:r>
      <w:r>
        <w:t xml:space="preserve">ewed as proxies for the results </w:t>
      </w:r>
      <w:r w:rsidRPr="00D40BD7">
        <w:t>that would arise from using Australian data on all equities. In</w:t>
      </w:r>
      <w:r>
        <w:t xml:space="preserve"> addition, treating the CAPM as </w:t>
      </w:r>
      <w:r w:rsidRPr="00D40BD7">
        <w:t>a model that applies to only listed equities would rule out u</w:t>
      </w:r>
      <w:r>
        <w:t xml:space="preserve">sing it to estimate the cost of </w:t>
      </w:r>
      <w:r w:rsidRPr="00D40BD7">
        <w:t>equity for an unlisted company (and some regulated bus</w:t>
      </w:r>
      <w:r>
        <w:t xml:space="preserve">inesses are unlisted). Thus, in </w:t>
      </w:r>
      <w:r w:rsidRPr="00D40BD7">
        <w:t>principle, I favour inclusion of unlisted equity for estimati</w:t>
      </w:r>
      <w:r>
        <w:t xml:space="preserve">ng the proportion of Australian </w:t>
      </w:r>
      <w:r w:rsidRPr="00D40BD7">
        <w:t>equities held locally.</w:t>
      </w:r>
    </w:p>
    <w:p w14:paraId="6B72E270" w14:textId="77777777" w:rsidR="00063611" w:rsidRDefault="00063611" w:rsidP="00063611">
      <w:pPr>
        <w:numPr>
          <w:ilvl w:val="0"/>
          <w:numId w:val="25"/>
        </w:numPr>
      </w:pPr>
      <w:r>
        <w:t>However, Handley suggested that evidence from listed equ</w:t>
      </w:r>
      <w:r w:rsidR="00133DB9">
        <w:t>ity is more relevant</w:t>
      </w:r>
      <w:r>
        <w:t>:</w:t>
      </w:r>
      <w:r w:rsidR="00B67C84">
        <w:rPr>
          <w:rStyle w:val="FootnoteReference"/>
        </w:rPr>
        <w:footnoteReference w:id="276"/>
      </w:r>
    </w:p>
    <w:p w14:paraId="3165DCD2" w14:textId="77777777" w:rsidR="00063611" w:rsidRDefault="00063611" w:rsidP="00063611">
      <w:pPr>
        <w:pStyle w:val="AERquote"/>
      </w:pPr>
      <w:r w:rsidRPr="00D3139D">
        <w:t xml:space="preserve">Specifically, the NERA estimate </w:t>
      </w:r>
      <w:r>
        <w:t xml:space="preserve">[of the distribution rate] </w:t>
      </w:r>
      <w:r w:rsidRPr="00D3139D">
        <w:t>is base</w:t>
      </w:r>
      <w:r>
        <w:t xml:space="preserve">d on aggregate [franking account balance] data for all </w:t>
      </w:r>
      <w:r w:rsidRPr="00D3139D">
        <w:t>companies – including public companies and private compan</w:t>
      </w:r>
      <w:r>
        <w:t xml:space="preserve">ies. In contrast, one can </w:t>
      </w:r>
      <w:r w:rsidRPr="00D3139D">
        <w:t>reasonably argue that the estimate should be based on p</w:t>
      </w:r>
      <w:r>
        <w:t xml:space="preserve">ublic companies only since this </w:t>
      </w:r>
      <w:r w:rsidRPr="00D3139D">
        <w:t>is more likely to reflect the composition of the Austra</w:t>
      </w:r>
      <w:r>
        <w:t xml:space="preserve">lian domestic market for equity </w:t>
      </w:r>
      <w:r w:rsidRPr="00D3139D">
        <w:t>funds – private companies by definition are financed in e</w:t>
      </w:r>
      <w:r>
        <w:t xml:space="preserve">ntirely different ways – and so </w:t>
      </w:r>
      <w:r w:rsidRPr="00D3139D">
        <w:t>be a more relevant proxy for a benchmark efficient entity.</w:t>
      </w:r>
    </w:p>
    <w:p w14:paraId="2BD54120" w14:textId="0ED35EED" w:rsidR="00B67C84" w:rsidRDefault="00FC1C7C" w:rsidP="00B67C84">
      <w:r>
        <w:t>Gray</w:t>
      </w:r>
      <w:r w:rsidR="00B67C84">
        <w:t xml:space="preserve">'s view </w:t>
      </w:r>
      <w:r>
        <w:t xml:space="preserve">(for SFG) </w:t>
      </w:r>
      <w:r w:rsidR="00B67C84">
        <w:t xml:space="preserve">is not clear to us. In </w:t>
      </w:r>
      <w:r>
        <w:t>his</w:t>
      </w:r>
      <w:r w:rsidR="00B67C84">
        <w:t xml:space="preserve"> May 2014 report, </w:t>
      </w:r>
      <w:r>
        <w:t>Gray</w:t>
      </w:r>
      <w:r w:rsidR="00B67C84">
        <w:t xml:space="preserve"> stated:</w:t>
      </w:r>
      <w:r w:rsidR="00B67C84">
        <w:rPr>
          <w:rStyle w:val="FootnoteReference"/>
        </w:rPr>
        <w:footnoteReference w:id="277"/>
      </w:r>
    </w:p>
    <w:p w14:paraId="2F30447D" w14:textId="77777777" w:rsidR="00B67C84" w:rsidRDefault="00B67C84" w:rsidP="00B67C84">
      <w:pPr>
        <w:pStyle w:val="AERquote"/>
      </w:pPr>
      <w:r w:rsidRPr="00F32772">
        <w:t>The 45% foreign ownership figure in Figure 9 above is based on listed e</w:t>
      </w:r>
      <w:r>
        <w:t xml:space="preserve">quity. In our view, this is the </w:t>
      </w:r>
      <w:r w:rsidRPr="00F32772">
        <w:t xml:space="preserve">appropriate calculation given that all other WACC parameters </w:t>
      </w:r>
      <w:r>
        <w:t xml:space="preserve">are </w:t>
      </w:r>
      <w:r>
        <w:lastRenderedPageBreak/>
        <w:t xml:space="preserve">estimated with reference to </w:t>
      </w:r>
      <w:r w:rsidRPr="00F32772">
        <w:t>exchange-listed businesses because they are more reflective of the efficient benchmark entity.</w:t>
      </w:r>
    </w:p>
    <w:p w14:paraId="69C03D69" w14:textId="5DED68E3" w:rsidR="00B67C84" w:rsidRDefault="00B67C84" w:rsidP="00B67C84">
      <w:r>
        <w:t xml:space="preserve">And in </w:t>
      </w:r>
      <w:r w:rsidR="00FC1C7C">
        <w:t>his</w:t>
      </w:r>
      <w:r>
        <w:t xml:space="preserve"> February 2015 report </w:t>
      </w:r>
      <w:r w:rsidR="00FC1C7C">
        <w:t xml:space="preserve">(for </w:t>
      </w:r>
      <w:r>
        <w:t>SFG</w:t>
      </w:r>
      <w:r w:rsidR="00FC1C7C">
        <w:t>) Gray</w:t>
      </w:r>
      <w:r>
        <w:t xml:space="preserve"> stated:</w:t>
      </w:r>
      <w:r>
        <w:rPr>
          <w:rStyle w:val="FootnoteReference"/>
        </w:rPr>
        <w:footnoteReference w:id="278"/>
      </w:r>
    </w:p>
    <w:p w14:paraId="0F00C25C" w14:textId="77777777" w:rsidR="00B67C84" w:rsidRDefault="00B67C84" w:rsidP="00B67C84">
      <w:pPr>
        <w:pStyle w:val="AERquote"/>
      </w:pPr>
      <w:r w:rsidRPr="00B67C84">
        <w:t>There is also a question about whether data should be restricted to li</w:t>
      </w:r>
      <w:r>
        <w:t xml:space="preserve">sted firms or whether it should </w:t>
      </w:r>
      <w:r w:rsidRPr="00B67C84">
        <w:t>be expanded to include private firms as well. Since the benchmark efficient entity is not necessarily</w:t>
      </w:r>
      <w:r>
        <w:t xml:space="preserve"> </w:t>
      </w:r>
      <w:r w:rsidRPr="00B67C84">
        <w:t>listed, this would imply that private firms are also relevant.</w:t>
      </w:r>
    </w:p>
    <w:p w14:paraId="2B2CF567" w14:textId="0E7E01C9" w:rsidR="000C07D1" w:rsidRDefault="00C74B98" w:rsidP="000C07D1">
      <w:r>
        <w:t>A number of</w:t>
      </w:r>
      <w:r w:rsidR="002C1CFB">
        <w:t xml:space="preserve"> t</w:t>
      </w:r>
      <w:r w:rsidR="000C07D1">
        <w:t xml:space="preserve">he service providers indicated clearly in their </w:t>
      </w:r>
      <w:r>
        <w:t xml:space="preserve">initial or </w:t>
      </w:r>
      <w:r w:rsidR="000C07D1">
        <w:t>revised proposals</w:t>
      </w:r>
      <w:r w:rsidR="00446098">
        <w:t>, or in a submission on their proposal,</w:t>
      </w:r>
      <w:r w:rsidR="000C07D1">
        <w:t xml:space="preserve"> their view that the value of imputation credits should be estimated with regard to evidence from all equity:</w:t>
      </w:r>
      <w:r w:rsidR="000C07D1">
        <w:rPr>
          <w:rStyle w:val="FootnoteReference"/>
        </w:rPr>
        <w:footnoteReference w:id="279"/>
      </w:r>
    </w:p>
    <w:p w14:paraId="76CF29CF" w14:textId="77777777" w:rsidR="000C07D1" w:rsidRDefault="000C07D1" w:rsidP="000C07D1">
      <w:pPr>
        <w:pStyle w:val="AERquote"/>
      </w:pPr>
      <w:r>
        <w:t>Gamma is conventionally estimated as a market-wide parameter and therefore there is no reason to measure the distribution rate based on data for listed equity only, in circumstances where data is available for both listed and unlisted firms</w:t>
      </w:r>
      <w:r w:rsidR="005D4939">
        <w:t>.</w:t>
      </w:r>
    </w:p>
    <w:p w14:paraId="0483EFA7" w14:textId="7C82E16D" w:rsidR="005D4939" w:rsidRPr="005D4939" w:rsidRDefault="002E321B" w:rsidP="005D4939">
      <w:r>
        <w:t>D</w:t>
      </w:r>
      <w:r w:rsidR="005D4939">
        <w:t>espite th</w:t>
      </w:r>
      <w:r w:rsidR="00E04C49">
        <w:t>is</w:t>
      </w:r>
      <w:r w:rsidR="005D4939">
        <w:t xml:space="preserve"> view, the service providers propose to rely on </w:t>
      </w:r>
      <w:r w:rsidR="00CD0AF9">
        <w:t xml:space="preserve">the </w:t>
      </w:r>
      <w:r w:rsidR="003A079E">
        <w:t>'</w:t>
      </w:r>
      <w:r w:rsidR="00CD0AF9">
        <w:t xml:space="preserve">best </w:t>
      </w:r>
      <w:r w:rsidR="005D4939">
        <w:t>estimate</w:t>
      </w:r>
      <w:r w:rsidR="003A079E">
        <w:t>'</w:t>
      </w:r>
      <w:r w:rsidR="005D4939">
        <w:t xml:space="preserve"> of the utilisation rate from </w:t>
      </w:r>
      <w:r w:rsidR="00CD0AF9">
        <w:t>implied market value studies</w:t>
      </w:r>
      <w:r w:rsidR="003A079E">
        <w:t>,</w:t>
      </w:r>
      <w:r w:rsidR="00CD0AF9">
        <w:t xml:space="preserve"> which by definition relate to </w:t>
      </w:r>
      <w:r w:rsidR="001C274C">
        <w:t>only listed equity</w:t>
      </w:r>
      <w:r w:rsidR="005D4939">
        <w:t>.</w:t>
      </w:r>
      <w:r w:rsidR="00CD0AF9">
        <w:rPr>
          <w:rStyle w:val="FootnoteReference"/>
        </w:rPr>
        <w:footnoteReference w:id="280"/>
      </w:r>
      <w:r w:rsidR="005D4939">
        <w:t xml:space="preserve"> The service providers do not acknowledge the inconsistency (outlined in </w:t>
      </w:r>
      <w:r w:rsidR="00C600C4">
        <w:t>our prior</w:t>
      </w:r>
      <w:r w:rsidR="005D4939">
        <w:t xml:space="preserve"> decisions and repeated below) that arises from combining an estimate of the utilisation rate from </w:t>
      </w:r>
      <w:r w:rsidR="001C274C">
        <w:t>only listed equity</w:t>
      </w:r>
      <w:r w:rsidR="005D4939">
        <w:t xml:space="preserve"> with </w:t>
      </w:r>
      <w:r w:rsidR="00042A44">
        <w:t xml:space="preserve">an estimate of the distribution rate from all equity. The service providers also do not </w:t>
      </w:r>
      <w:r w:rsidR="00FB4F6C">
        <w:t xml:space="preserve">recognise that the evidence they have presented on their preferred estimate of the utilisation rate implies that it likely understates the value of distributed credits to investors across all equity (see our discussion in section </w:t>
      </w:r>
      <w:r w:rsidR="00FB4F6C">
        <w:fldChar w:fldCharType="begin"/>
      </w:r>
      <w:r w:rsidR="00FB4F6C">
        <w:instrText xml:space="preserve"> REF _Ref414099389 \r \h </w:instrText>
      </w:r>
      <w:r w:rsidR="00FB4F6C">
        <w:fldChar w:fldCharType="separate"/>
      </w:r>
      <w:r w:rsidR="001E2164">
        <w:t>A.8.2</w:t>
      </w:r>
      <w:r w:rsidR="00FB4F6C">
        <w:fldChar w:fldCharType="end"/>
      </w:r>
      <w:r w:rsidR="00FB4F6C">
        <w:t>).</w:t>
      </w:r>
    </w:p>
    <w:p w14:paraId="548D7A1C" w14:textId="77777777" w:rsidR="00063611" w:rsidRDefault="00063611" w:rsidP="00063611">
      <w:pPr>
        <w:pStyle w:val="Heading9"/>
      </w:pPr>
      <w:bookmarkStart w:id="74" w:name="_Ref403481194"/>
      <w:r>
        <w:t xml:space="preserve">Relationship between the distribution rate and </w:t>
      </w:r>
      <w:r w:rsidRPr="00063611">
        <w:t>the</w:t>
      </w:r>
      <w:r>
        <w:t xml:space="preserve"> utilisation rate</w:t>
      </w:r>
      <w:bookmarkEnd w:id="74"/>
    </w:p>
    <w:p w14:paraId="529276F6" w14:textId="77777777" w:rsidR="00063611" w:rsidRPr="007467FD" w:rsidRDefault="00063611" w:rsidP="00063611">
      <w:pPr>
        <w:numPr>
          <w:ilvl w:val="0"/>
          <w:numId w:val="25"/>
        </w:numPr>
      </w:pPr>
      <w:r w:rsidRPr="007467FD">
        <w:t xml:space="preserve">In </w:t>
      </w:r>
      <w:r w:rsidR="003F5B81">
        <w:t xml:space="preserve">developing </w:t>
      </w:r>
      <w:r w:rsidRPr="007467FD">
        <w:t xml:space="preserve">the </w:t>
      </w:r>
      <w:r>
        <w:t>Guideline</w:t>
      </w:r>
      <w:r w:rsidRPr="007467FD">
        <w:t xml:space="preserve">, we did not recognise the relationship between definitions and estimates of the distribution rate and the utilisation rate. </w:t>
      </w:r>
      <w:r w:rsidR="003F5B81">
        <w:t>This relationship is that a</w:t>
      </w:r>
      <w:r w:rsidRPr="007467FD">
        <w:t xml:space="preserve"> given estimate of the distribution rate represents the proportion of credits distributed by a given set of companies to the set of investors in those companies. For consistency in estimating the </w:t>
      </w:r>
      <w:r w:rsidRPr="007467FD">
        <w:lastRenderedPageBreak/>
        <w:t xml:space="preserve">value of imputation credits, it follows that a corresponding estimate of the utilisation rate should reflect the utilisation of that same set of investors. </w:t>
      </w:r>
    </w:p>
    <w:p w14:paraId="57EA9FB2" w14:textId="77777777" w:rsidR="00063611" w:rsidRDefault="00063611" w:rsidP="00063611">
      <w:pPr>
        <w:numPr>
          <w:ilvl w:val="0"/>
          <w:numId w:val="25"/>
        </w:numPr>
      </w:pPr>
      <w:r w:rsidRPr="007467FD">
        <w:t xml:space="preserve">We consider that this relationship should be recognised when determining estimates of the value of imputation credits. We therefore consider that estimates of the utilisation rate determined with regard to investors in </w:t>
      </w:r>
      <w:r w:rsidR="001C274C">
        <w:t>only listed equity</w:t>
      </w:r>
      <w:r w:rsidRPr="007467FD">
        <w:t xml:space="preserve"> should be paired with estimates of the distribution rate that are also determined with regard to </w:t>
      </w:r>
      <w:r w:rsidR="001C274C">
        <w:t>only listed equity</w:t>
      </w:r>
      <w:r w:rsidRPr="007467FD">
        <w:t xml:space="preserve">. Similarly, estimates of the utilisation rate determined with regard to all equity should be paired with estimates of the distribution rate that are also determined with </w:t>
      </w:r>
      <w:r w:rsidR="009A4376">
        <w:t xml:space="preserve">regard to </w:t>
      </w:r>
      <w:r w:rsidRPr="007467FD">
        <w:t>all equity.</w:t>
      </w:r>
    </w:p>
    <w:p w14:paraId="0BAB55E1" w14:textId="695B97CF" w:rsidR="00AB3E6D" w:rsidRPr="00507D00" w:rsidRDefault="00AB3E6D" w:rsidP="00063611">
      <w:pPr>
        <w:numPr>
          <w:ilvl w:val="0"/>
          <w:numId w:val="25"/>
        </w:numPr>
        <w:rPr>
          <w:rStyle w:val="AERbody"/>
        </w:rPr>
      </w:pPr>
      <w:r w:rsidRPr="00507D00">
        <w:rPr>
          <w:rStyle w:val="AERbody"/>
        </w:rPr>
        <w:t xml:space="preserve">Both Stephen Gray </w:t>
      </w:r>
      <w:r w:rsidR="00D279FE" w:rsidRPr="00507D00">
        <w:rPr>
          <w:rStyle w:val="AERbody"/>
        </w:rPr>
        <w:t>(</w:t>
      </w:r>
      <w:r w:rsidRPr="00507D00">
        <w:rPr>
          <w:rStyle w:val="AERbody"/>
        </w:rPr>
        <w:t>for Frontier</w:t>
      </w:r>
      <w:r w:rsidR="00D279FE" w:rsidRPr="00507D00">
        <w:rPr>
          <w:rStyle w:val="AERbody"/>
        </w:rPr>
        <w:t>)</w:t>
      </w:r>
      <w:r w:rsidRPr="00507D00">
        <w:rPr>
          <w:rStyle w:val="AERbody"/>
        </w:rPr>
        <w:t xml:space="preserve"> and NERA submitted that there is no </w:t>
      </w:r>
      <w:r w:rsidR="00044F9D" w:rsidRPr="00507D00">
        <w:rPr>
          <w:rStyle w:val="AERbody"/>
        </w:rPr>
        <w:t>inconsistency</w:t>
      </w:r>
      <w:r w:rsidRPr="00507D00">
        <w:rPr>
          <w:rStyle w:val="AERbody"/>
        </w:rPr>
        <w:t xml:space="preserve"> with paring the distribution rate for all equity with a theta value for listed equity as the distribution rate is firm </w:t>
      </w:r>
      <w:r w:rsidR="00044F9D" w:rsidRPr="00507D00">
        <w:rPr>
          <w:rStyle w:val="AERbody"/>
        </w:rPr>
        <w:t>specific</w:t>
      </w:r>
      <w:r w:rsidR="005650DB" w:rsidRPr="00507D00">
        <w:rPr>
          <w:rStyle w:val="AERbody"/>
        </w:rPr>
        <w:t xml:space="preserve"> within the </w:t>
      </w:r>
      <w:r w:rsidR="00D279FE" w:rsidRPr="00507D00">
        <w:rPr>
          <w:rStyle w:val="AERbody"/>
        </w:rPr>
        <w:t>O</w:t>
      </w:r>
      <w:r w:rsidR="005650DB" w:rsidRPr="00507D00">
        <w:rPr>
          <w:rStyle w:val="AERbody"/>
        </w:rPr>
        <w:t>fficer model</w:t>
      </w:r>
      <w:r w:rsidR="004373C4" w:rsidRPr="00507D00">
        <w:rPr>
          <w:rStyle w:val="AERbody"/>
        </w:rPr>
        <w:t>.</w:t>
      </w:r>
      <w:r w:rsidR="00507D00">
        <w:rPr>
          <w:rStyle w:val="FootnoteReference"/>
        </w:rPr>
        <w:footnoteReference w:id="281"/>
      </w:r>
      <w:r w:rsidR="004373C4" w:rsidRPr="00507D00">
        <w:rPr>
          <w:rStyle w:val="AERbody"/>
        </w:rPr>
        <w:t xml:space="preserve"> As a result they </w:t>
      </w:r>
      <w:r w:rsidR="00AC6EFD" w:rsidRPr="00507D00">
        <w:rPr>
          <w:rStyle w:val="AERbody"/>
        </w:rPr>
        <w:t xml:space="preserve">appear to </w:t>
      </w:r>
      <w:r w:rsidR="004373C4" w:rsidRPr="00507D00">
        <w:rPr>
          <w:rStyle w:val="AERbody"/>
        </w:rPr>
        <w:t xml:space="preserve">consider we should use </w:t>
      </w:r>
      <w:r w:rsidR="005650DB" w:rsidRPr="00507D00">
        <w:rPr>
          <w:rStyle w:val="AERbody"/>
        </w:rPr>
        <w:t xml:space="preserve">either </w:t>
      </w:r>
      <w:r w:rsidR="004373C4" w:rsidRPr="00507D00">
        <w:rPr>
          <w:rStyle w:val="AERbody"/>
        </w:rPr>
        <w:t>the distribution rate from the broadest market (all equity) in combination with a theta estimate from listed equity</w:t>
      </w:r>
      <w:r w:rsidR="00AC6EFD" w:rsidRPr="00507D00">
        <w:rPr>
          <w:rStyle w:val="AERbody"/>
        </w:rPr>
        <w:t>,</w:t>
      </w:r>
      <w:r w:rsidR="00507D00">
        <w:rPr>
          <w:rStyle w:val="FootnoteReference"/>
        </w:rPr>
        <w:footnoteReference w:id="282"/>
      </w:r>
      <w:r w:rsidRPr="00507D00">
        <w:rPr>
          <w:rStyle w:val="AERbody"/>
        </w:rPr>
        <w:t xml:space="preserve"> </w:t>
      </w:r>
      <w:r w:rsidR="00AC6EFD" w:rsidRPr="00507D00">
        <w:rPr>
          <w:rStyle w:val="AERbody"/>
        </w:rPr>
        <w:t>or alternatively we should</w:t>
      </w:r>
      <w:r w:rsidR="00974D4F" w:rsidRPr="00507D00">
        <w:rPr>
          <w:rStyle w:val="AERbody"/>
        </w:rPr>
        <w:t xml:space="preserve"> use of a dis</w:t>
      </w:r>
      <w:r w:rsidRPr="00507D00">
        <w:rPr>
          <w:rStyle w:val="AERbody"/>
        </w:rPr>
        <w:t xml:space="preserve">tribution rate </w:t>
      </w:r>
      <w:r w:rsidR="00974D4F" w:rsidRPr="00507D00">
        <w:rPr>
          <w:rStyle w:val="AERbody"/>
        </w:rPr>
        <w:t xml:space="preserve">estimated </w:t>
      </w:r>
      <w:r w:rsidRPr="00507D00">
        <w:rPr>
          <w:rStyle w:val="AERbody"/>
        </w:rPr>
        <w:t>from list</w:t>
      </w:r>
      <w:r w:rsidR="00974D4F" w:rsidRPr="00507D00">
        <w:rPr>
          <w:rStyle w:val="AERbody"/>
        </w:rPr>
        <w:t>ed equit</w:t>
      </w:r>
      <w:r w:rsidRPr="00507D00">
        <w:rPr>
          <w:rStyle w:val="AERbody"/>
        </w:rPr>
        <w:t xml:space="preserve">y </w:t>
      </w:r>
      <w:r w:rsidR="00AC6EFD" w:rsidRPr="00507D00">
        <w:rPr>
          <w:rStyle w:val="AERbody"/>
        </w:rPr>
        <w:t>ex</w:t>
      </w:r>
      <w:r w:rsidRPr="00507D00">
        <w:rPr>
          <w:rStyle w:val="AERbody"/>
        </w:rPr>
        <w:t xml:space="preserve">cluding the 20 </w:t>
      </w:r>
      <w:r w:rsidR="00044F9D" w:rsidRPr="00507D00">
        <w:rPr>
          <w:rStyle w:val="AERbody"/>
        </w:rPr>
        <w:t>largest</w:t>
      </w:r>
      <w:r w:rsidRPr="00507D00">
        <w:rPr>
          <w:rStyle w:val="AERbody"/>
        </w:rPr>
        <w:t xml:space="preserve"> firms in the market</w:t>
      </w:r>
      <w:r w:rsidR="00AC6EFD" w:rsidRPr="00507D00">
        <w:rPr>
          <w:rStyle w:val="AERbody"/>
        </w:rPr>
        <w:t xml:space="preserve">, both of which yield an estimated distribution rate of </w:t>
      </w:r>
      <w:r w:rsidR="005C3213" w:rsidRPr="00507D00">
        <w:rPr>
          <w:rStyle w:val="AERbody"/>
        </w:rPr>
        <w:t xml:space="preserve">around </w:t>
      </w:r>
      <w:r w:rsidR="00AC6EFD" w:rsidRPr="00507D00">
        <w:rPr>
          <w:rStyle w:val="AERbody"/>
        </w:rPr>
        <w:t xml:space="preserve">70%. They </w:t>
      </w:r>
      <w:r w:rsidR="005C3213" w:rsidRPr="00507D00">
        <w:rPr>
          <w:rStyle w:val="AERbody"/>
        </w:rPr>
        <w:t xml:space="preserve">effectively </w:t>
      </w:r>
      <w:r w:rsidR="00AC6EFD" w:rsidRPr="00507D00">
        <w:rPr>
          <w:rStyle w:val="AERbody"/>
        </w:rPr>
        <w:t>consider the use of the 20 largest listed firms to estimate the distribution rate from listed equity</w:t>
      </w:r>
      <w:r w:rsidRPr="00507D00">
        <w:rPr>
          <w:rStyle w:val="AERbody"/>
        </w:rPr>
        <w:t xml:space="preserve"> </w:t>
      </w:r>
      <w:r w:rsidR="00AC6EFD" w:rsidRPr="00507D00">
        <w:rPr>
          <w:rStyle w:val="AERbody"/>
        </w:rPr>
        <w:t xml:space="preserve">data alone </w:t>
      </w:r>
      <w:r w:rsidRPr="00507D00">
        <w:rPr>
          <w:rStyle w:val="AERbody"/>
        </w:rPr>
        <w:t xml:space="preserve">will overestimate the distribution rate for the benchmark efficient entity as we assume this </w:t>
      </w:r>
      <w:r w:rsidR="00044F9D" w:rsidRPr="00507D00">
        <w:rPr>
          <w:rStyle w:val="AERbody"/>
        </w:rPr>
        <w:t>entity</w:t>
      </w:r>
      <w:r w:rsidRPr="00507D00">
        <w:rPr>
          <w:rStyle w:val="AERbody"/>
        </w:rPr>
        <w:t xml:space="preserve"> is not a large listed entity.</w:t>
      </w:r>
      <w:r w:rsidR="00507D00">
        <w:rPr>
          <w:rStyle w:val="FootnoteReference"/>
        </w:rPr>
        <w:footnoteReference w:id="283"/>
      </w:r>
      <w:r w:rsidRPr="00507D00">
        <w:rPr>
          <w:rStyle w:val="AERbody"/>
        </w:rPr>
        <w:t xml:space="preserve"> </w:t>
      </w:r>
    </w:p>
    <w:p w14:paraId="18C18DB7" w14:textId="5798FDAC" w:rsidR="00845104" w:rsidRPr="00507D00" w:rsidRDefault="00712389" w:rsidP="00712389">
      <w:pPr>
        <w:numPr>
          <w:ilvl w:val="0"/>
          <w:numId w:val="25"/>
        </w:numPr>
        <w:rPr>
          <w:rStyle w:val="AERbody"/>
        </w:rPr>
      </w:pPr>
      <w:r w:rsidRPr="00507D00">
        <w:rPr>
          <w:rStyle w:val="AERbody"/>
        </w:rPr>
        <w:t>Handley</w:t>
      </w:r>
      <w:r w:rsidR="00845104" w:rsidRPr="00507D00">
        <w:rPr>
          <w:rStyle w:val="AERbody"/>
        </w:rPr>
        <w:t xml:space="preserve"> </w:t>
      </w:r>
      <w:r w:rsidR="00AD1275" w:rsidRPr="00507D00">
        <w:rPr>
          <w:rStyle w:val="AERbody"/>
        </w:rPr>
        <w:t xml:space="preserve">considered </w:t>
      </w:r>
      <w:proofErr w:type="gramStart"/>
      <w:r w:rsidR="00AD1275" w:rsidRPr="00507D00">
        <w:rPr>
          <w:rStyle w:val="AERbody"/>
        </w:rPr>
        <w:t>this issues</w:t>
      </w:r>
      <w:proofErr w:type="gramEnd"/>
      <w:r w:rsidR="00AD1275" w:rsidRPr="00507D00">
        <w:rPr>
          <w:rStyle w:val="AERbody"/>
        </w:rPr>
        <w:t xml:space="preserve"> and </w:t>
      </w:r>
      <w:r w:rsidRPr="00507D00">
        <w:rPr>
          <w:rStyle w:val="AERbody"/>
        </w:rPr>
        <w:t>supported our decision in JGN to not remove the largest listed equity firms from the estimation of the distribution rate on the basis foreign sourced income allows them to distribute a higher proportion of imputation credits.</w:t>
      </w:r>
      <w:r w:rsidR="00507D00">
        <w:rPr>
          <w:rStyle w:val="FootnoteReference"/>
        </w:rPr>
        <w:footnoteReference w:id="284"/>
      </w:r>
      <w:r w:rsidRPr="00507D00">
        <w:rPr>
          <w:rStyle w:val="AERbody"/>
        </w:rPr>
        <w:t xml:space="preserve"> </w:t>
      </w:r>
    </w:p>
    <w:p w14:paraId="6E530315" w14:textId="168FF89B" w:rsidR="00AB3E6D" w:rsidRPr="00507D00" w:rsidRDefault="00712389" w:rsidP="00712389">
      <w:pPr>
        <w:numPr>
          <w:ilvl w:val="0"/>
          <w:numId w:val="25"/>
        </w:numPr>
        <w:rPr>
          <w:rStyle w:val="AERbody"/>
        </w:rPr>
      </w:pPr>
      <w:r w:rsidRPr="00507D00">
        <w:rPr>
          <w:rStyle w:val="AERbody"/>
        </w:rPr>
        <w:t xml:space="preserve">Having considered the new </w:t>
      </w:r>
      <w:r w:rsidR="00845104" w:rsidRPr="00507D00">
        <w:rPr>
          <w:rStyle w:val="AERbody"/>
        </w:rPr>
        <w:t xml:space="preserve">experts </w:t>
      </w:r>
      <w:r w:rsidRPr="00507D00">
        <w:rPr>
          <w:rStyle w:val="AERbody"/>
        </w:rPr>
        <w:t xml:space="preserve">reports </w:t>
      </w:r>
      <w:r w:rsidR="003803A3" w:rsidRPr="00507D00">
        <w:rPr>
          <w:rStyle w:val="AERbody"/>
        </w:rPr>
        <w:t xml:space="preserve">submitted </w:t>
      </w:r>
      <w:r w:rsidRPr="00507D00">
        <w:rPr>
          <w:rStyle w:val="AERbody"/>
        </w:rPr>
        <w:t xml:space="preserve">since </w:t>
      </w:r>
      <w:r w:rsidR="003803A3" w:rsidRPr="00507D00">
        <w:rPr>
          <w:rStyle w:val="AERbody"/>
        </w:rPr>
        <w:t xml:space="preserve">we released our </w:t>
      </w:r>
      <w:r w:rsidRPr="00507D00">
        <w:rPr>
          <w:rStyle w:val="AERbody"/>
        </w:rPr>
        <w:t xml:space="preserve">JGN </w:t>
      </w:r>
      <w:r w:rsidR="003803A3" w:rsidRPr="00507D00">
        <w:rPr>
          <w:rStyle w:val="AERbody"/>
        </w:rPr>
        <w:t xml:space="preserve">decision </w:t>
      </w:r>
      <w:r w:rsidRPr="00507D00">
        <w:rPr>
          <w:rStyle w:val="AERbody"/>
        </w:rPr>
        <w:t xml:space="preserve">we remain of the view that the use of an estimated distribution rate from </w:t>
      </w:r>
      <w:r w:rsidR="00845104" w:rsidRPr="00507D00">
        <w:rPr>
          <w:rStyle w:val="AERbody"/>
        </w:rPr>
        <w:t xml:space="preserve">all listed equity </w:t>
      </w:r>
      <w:r w:rsidR="00AD1275" w:rsidRPr="00507D00">
        <w:rPr>
          <w:rStyle w:val="AERbody"/>
        </w:rPr>
        <w:t xml:space="preserve">(without excluding any firms) </w:t>
      </w:r>
      <w:r w:rsidR="00845104" w:rsidRPr="00507D00">
        <w:rPr>
          <w:rStyle w:val="AERbody"/>
        </w:rPr>
        <w:t>is</w:t>
      </w:r>
      <w:r w:rsidRPr="00507D00">
        <w:rPr>
          <w:rStyle w:val="AERbody"/>
        </w:rPr>
        <w:t xml:space="preserve"> appropri</w:t>
      </w:r>
      <w:r w:rsidR="00845104" w:rsidRPr="00507D00">
        <w:rPr>
          <w:rStyle w:val="AERbody"/>
        </w:rPr>
        <w:t xml:space="preserve">ately paired with a theta value from </w:t>
      </w:r>
      <w:r w:rsidR="00A46783" w:rsidRPr="00507D00">
        <w:rPr>
          <w:rStyle w:val="AERbody"/>
        </w:rPr>
        <w:t xml:space="preserve">all </w:t>
      </w:r>
      <w:r w:rsidR="00845104" w:rsidRPr="00507D00">
        <w:rPr>
          <w:rStyle w:val="AERbody"/>
        </w:rPr>
        <w:t>listed equity</w:t>
      </w:r>
      <w:r w:rsidRPr="00507D00">
        <w:rPr>
          <w:rStyle w:val="AERbody"/>
        </w:rPr>
        <w:t xml:space="preserve">. </w:t>
      </w:r>
      <w:r w:rsidR="003D1F3A" w:rsidRPr="00507D00">
        <w:rPr>
          <w:rStyle w:val="AERbody"/>
        </w:rPr>
        <w:t>This is discussed further below at A.10.1.</w:t>
      </w:r>
    </w:p>
    <w:p w14:paraId="3738BD2E" w14:textId="77777777" w:rsidR="00BC3784" w:rsidRDefault="00BC3784" w:rsidP="00EF5E4A">
      <w:pPr>
        <w:pStyle w:val="Heading8"/>
      </w:pPr>
      <w:bookmarkStart w:id="75" w:name="_Ref401133206"/>
      <w:bookmarkStart w:id="76" w:name="_Toc433449221"/>
      <w:r w:rsidRPr="00EF5E4A">
        <w:t>Estimating</w:t>
      </w:r>
      <w:r>
        <w:t xml:space="preserve"> the </w:t>
      </w:r>
      <w:r w:rsidRPr="00BC3784">
        <w:t>distribution</w:t>
      </w:r>
      <w:r>
        <w:t xml:space="preserve"> rate</w:t>
      </w:r>
      <w:bookmarkEnd w:id="75"/>
      <w:bookmarkEnd w:id="76"/>
    </w:p>
    <w:p w14:paraId="16BE6A07" w14:textId="77777777" w:rsidR="00BC3784" w:rsidRDefault="00BC3784" w:rsidP="00AE0135">
      <w:pPr>
        <w:numPr>
          <w:ilvl w:val="0"/>
          <w:numId w:val="25"/>
        </w:numPr>
      </w:pPr>
      <w:r>
        <w:t xml:space="preserve">We consider that the distribution rate is the proportion of imputation credits generated by the benchmark efficient entity that is distributed to investors. We set out our position on the distribution rate in section </w:t>
      </w:r>
      <w:r w:rsidR="0081589C">
        <w:fldChar w:fldCharType="begin"/>
      </w:r>
      <w:r w:rsidR="0081589C">
        <w:instrText xml:space="preserve"> REF _Ref403482746 \r \h </w:instrText>
      </w:r>
      <w:r w:rsidR="0081589C">
        <w:fldChar w:fldCharType="separate"/>
      </w:r>
      <w:r w:rsidR="001E2164">
        <w:t>4.4.1</w:t>
      </w:r>
      <w:r w:rsidR="0081589C">
        <w:fldChar w:fldCharType="end"/>
      </w:r>
      <w:r>
        <w:t xml:space="preserve"> of attachment 4. Consistent with the Guideline, we estimate it using the 'cumulative payout ratio approach', which uses data from the ATO on the </w:t>
      </w:r>
      <w:r>
        <w:lastRenderedPageBreak/>
        <w:t>accounts used by companies to track their stocks of imputation credits ('franking account balances'). Using this approach, NERA estimated a distribution rate across all equity of 0.7 for the period 1987 to 2011.</w:t>
      </w:r>
      <w:r>
        <w:rPr>
          <w:rStyle w:val="FootnoteReference"/>
        </w:rPr>
        <w:footnoteReference w:id="285"/>
      </w:r>
      <w:r>
        <w:t xml:space="preserve"> Hathaway found a similar estimate for the period 2004 to 2011.</w:t>
      </w:r>
      <w:r>
        <w:rPr>
          <w:rStyle w:val="FootnoteReference"/>
        </w:rPr>
        <w:footnoteReference w:id="286"/>
      </w:r>
      <w:r>
        <w:t xml:space="preserve"> Also using this approach, Handley estimated a distribution rate across </w:t>
      </w:r>
      <w:r w:rsidR="001C274C">
        <w:t>only listed equity</w:t>
      </w:r>
      <w:r>
        <w:t xml:space="preserve"> of 0.8 for the period 1987 to 2011.</w:t>
      </w:r>
      <w:r>
        <w:rPr>
          <w:rStyle w:val="FootnoteReference"/>
        </w:rPr>
        <w:footnoteReference w:id="287"/>
      </w:r>
      <w:r w:rsidR="00F06C60">
        <w:t xml:space="preserve"> Our own analysis indicate</w:t>
      </w:r>
      <w:r w:rsidR="00D65619">
        <w:t>d</w:t>
      </w:r>
      <w:r w:rsidR="00F06C60">
        <w:t xml:space="preserve"> that the distribution rate over </w:t>
      </w:r>
      <w:r w:rsidR="001C274C">
        <w:t>only listed equity</w:t>
      </w:r>
      <w:r w:rsidR="00F06C60">
        <w:t xml:space="preserve"> </w:t>
      </w:r>
      <w:r w:rsidR="00071CD2">
        <w:t>is</w:t>
      </w:r>
      <w:r w:rsidR="00F06C60">
        <w:t xml:space="preserve"> </w:t>
      </w:r>
      <w:r w:rsidR="00AE0135">
        <w:t>0.8 for the period 2004 to 2011</w:t>
      </w:r>
      <w:r w:rsidR="00AE0135">
        <w:rPr>
          <w:rFonts w:cs="Arial"/>
        </w:rPr>
        <w:t>—</w:t>
      </w:r>
      <w:r w:rsidR="00AE0135" w:rsidRPr="00AE0135">
        <w:t xml:space="preserve">we calculated the aggregate net tax paid by public companies </w:t>
      </w:r>
      <w:r w:rsidR="00AE0135">
        <w:t xml:space="preserve">over this period </w:t>
      </w:r>
      <w:r w:rsidR="00AE0135" w:rsidRPr="00AE0135">
        <w:t>to be $255.6 billion and the change in aggregate franking account balances of those companies</w:t>
      </w:r>
      <w:r w:rsidR="00AE0135">
        <w:t xml:space="preserve"> over the same period</w:t>
      </w:r>
      <w:r w:rsidR="00AE0135" w:rsidRPr="00AE0135">
        <w:t xml:space="preserve"> to be $50.2 billion</w:t>
      </w:r>
      <w:r w:rsidR="00990F02">
        <w:t xml:space="preserve"> (suggesting that $205.4 billion, or 80 per cent, of imputation credits generated were distributed)</w:t>
      </w:r>
      <w:r w:rsidR="00AE0135" w:rsidRPr="00AE0135">
        <w:t>.</w:t>
      </w:r>
    </w:p>
    <w:p w14:paraId="21F639A1" w14:textId="56FA9102" w:rsidR="00D65619" w:rsidRDefault="00D65619" w:rsidP="00AE0135">
      <w:pPr>
        <w:numPr>
          <w:ilvl w:val="0"/>
          <w:numId w:val="25"/>
        </w:numPr>
      </w:pPr>
      <w:r>
        <w:t>We relied on an estimate of the distribution rate over all equity of 0.7 in the Guideline and decision</w:t>
      </w:r>
      <w:r w:rsidR="003F30E2">
        <w:t xml:space="preserve">s released in 2014 and April 2015 and </w:t>
      </w:r>
      <w:r w:rsidR="00ED0B08">
        <w:t>June</w:t>
      </w:r>
      <w:r w:rsidR="003F30E2">
        <w:t xml:space="preserve"> 2015</w:t>
      </w:r>
      <w:r>
        <w:t>. We also relied on an estimate of the distribution rate over only listed equity of 0.8 in the decision</w:t>
      </w:r>
      <w:r w:rsidR="003F30E2">
        <w:t xml:space="preserve"> released in 2014 and April 2015</w:t>
      </w:r>
      <w:r>
        <w:t>. We reviewed these estimates in light of an updated analysis of the ATO data to the 2012 tax year by NERA, which was submitted to us as part of JGN's decision process.</w:t>
      </w:r>
      <w:r>
        <w:rPr>
          <w:rStyle w:val="FootnoteReference"/>
        </w:rPr>
        <w:footnoteReference w:id="288"/>
      </w:r>
      <w:r>
        <w:t xml:space="preserve"> </w:t>
      </w:r>
      <w:r w:rsidR="00FB7FCD">
        <w:t xml:space="preserve">Handley </w:t>
      </w:r>
      <w:r w:rsidR="0084249F">
        <w:t xml:space="preserve">also </w:t>
      </w:r>
      <w:r w:rsidR="00FB7FCD">
        <w:t>reviewed NERA's analysis, and provided his own</w:t>
      </w:r>
      <w:r w:rsidR="0084249F">
        <w:t xml:space="preserve"> report</w:t>
      </w:r>
      <w:r w:rsidR="00FB7FCD">
        <w:t>.</w:t>
      </w:r>
      <w:r w:rsidR="00FB7FCD">
        <w:rPr>
          <w:rStyle w:val="FootnoteReference"/>
        </w:rPr>
        <w:footnoteReference w:id="289"/>
      </w:r>
      <w:r w:rsidR="00FB7FCD">
        <w:t xml:space="preserve"> We consider that these reports indicate that 0.7 remains a reasonable estimate of the distribution rate over all equity. For instance, both NERA and Handley </w:t>
      </w:r>
      <w:r w:rsidR="007938F1">
        <w:t>found</w:t>
      </w:r>
      <w:r w:rsidR="00FB7FCD">
        <w:t xml:space="preserve"> an estimate of 0.7 for the period 2004 to 2012.</w:t>
      </w:r>
      <w:r w:rsidR="007938F1">
        <w:rPr>
          <w:rStyle w:val="FootnoteReference"/>
        </w:rPr>
        <w:footnoteReference w:id="290"/>
      </w:r>
      <w:r>
        <w:t xml:space="preserve"> </w:t>
      </w:r>
      <w:r w:rsidR="007938F1">
        <w:t xml:space="preserve">However, both NERA and Handley found that the distribution rate over only listed equity has fallen slightly from 0.8. Specifically, Handley found an estimate of 0.77 over the period 2004 to 2012. We </w:t>
      </w:r>
      <w:r w:rsidR="003F30E2">
        <w:t xml:space="preserve">used this </w:t>
      </w:r>
      <w:r w:rsidR="003803A3">
        <w:t xml:space="preserve">updated </w:t>
      </w:r>
      <w:r w:rsidR="003F30E2">
        <w:t xml:space="preserve">estimate for the JGN final decision released in </w:t>
      </w:r>
      <w:r w:rsidR="00ED0B08">
        <w:t>June</w:t>
      </w:r>
      <w:r w:rsidR="003F30E2">
        <w:t xml:space="preserve"> 2015 and continue to</w:t>
      </w:r>
      <w:r w:rsidR="007938F1">
        <w:t xml:space="preserve"> use this estimate in this final decision.</w:t>
      </w:r>
    </w:p>
    <w:p w14:paraId="7E0D99F8" w14:textId="6599D895" w:rsidR="00BC3784" w:rsidRPr="00AA0E3C" w:rsidRDefault="00BC3784" w:rsidP="00BC3784">
      <w:pPr>
        <w:numPr>
          <w:ilvl w:val="0"/>
          <w:numId w:val="25"/>
        </w:numPr>
      </w:pPr>
      <w:r>
        <w:t xml:space="preserve">In </w:t>
      </w:r>
      <w:r w:rsidR="007938F1">
        <w:t xml:space="preserve">the remainder of </w:t>
      </w:r>
      <w:r>
        <w:t xml:space="preserve">this section we </w:t>
      </w:r>
      <w:r w:rsidR="001B0396">
        <w:t xml:space="preserve">respond to the service providers' and </w:t>
      </w:r>
      <w:r w:rsidR="00FC1C7C">
        <w:t>Gray</w:t>
      </w:r>
      <w:r w:rsidR="001B0396">
        <w:t xml:space="preserve">'s comments on the distribution rate; </w:t>
      </w:r>
      <w:r>
        <w:t>describe the cumulative payout ratio approach and alternative approaches to e</w:t>
      </w:r>
      <w:r w:rsidR="001B0396">
        <w:t xml:space="preserve">stimating the distribution rate; and discuss an updated report on tax statistics from Hathaway.  </w:t>
      </w:r>
    </w:p>
    <w:p w14:paraId="6AD8C00B" w14:textId="08F3A305" w:rsidR="001B0396" w:rsidRDefault="001B0396" w:rsidP="00071CD2">
      <w:pPr>
        <w:pStyle w:val="Heading9"/>
      </w:pPr>
      <w:bookmarkStart w:id="77" w:name="_Ref414289334"/>
      <w:bookmarkStart w:id="78" w:name="_Ref401156644"/>
      <w:r w:rsidRPr="00071CD2">
        <w:t>Service</w:t>
      </w:r>
      <w:r>
        <w:t xml:space="preserve"> providers'</w:t>
      </w:r>
      <w:r w:rsidR="005C3213">
        <w:t>,</w:t>
      </w:r>
      <w:r>
        <w:t xml:space="preserve"> </w:t>
      </w:r>
      <w:r w:rsidR="00A644CA">
        <w:t>Gray's</w:t>
      </w:r>
      <w:r w:rsidR="00F53B7E">
        <w:t xml:space="preserve"> </w:t>
      </w:r>
      <w:r w:rsidR="005C3213">
        <w:t xml:space="preserve">and NERA's </w:t>
      </w:r>
      <w:r>
        <w:t>comments on the distribution rate</w:t>
      </w:r>
      <w:bookmarkEnd w:id="77"/>
    </w:p>
    <w:p w14:paraId="184C5711" w14:textId="05C1BCCE" w:rsidR="001B0396" w:rsidRDefault="001B0396" w:rsidP="001B0396">
      <w:r>
        <w:t xml:space="preserve">The service providers and </w:t>
      </w:r>
      <w:r w:rsidR="00A644CA">
        <w:t xml:space="preserve">Gray (for </w:t>
      </w:r>
      <w:r>
        <w:t>SFG</w:t>
      </w:r>
      <w:r w:rsidR="00A644CA">
        <w:t>)</w:t>
      </w:r>
      <w:r w:rsidR="005C3213">
        <w:t xml:space="preserve"> </w:t>
      </w:r>
      <w:r>
        <w:t xml:space="preserve">submitted that it would be inappropriate to apply a distribution rate based on evidence from </w:t>
      </w:r>
      <w:r w:rsidR="001C274C">
        <w:t>only listed equity</w:t>
      </w:r>
      <w:r>
        <w:t>. We disagree and set out our reasons below.</w:t>
      </w:r>
    </w:p>
    <w:p w14:paraId="43B4DE66" w14:textId="4081CBC1" w:rsidR="00E54936" w:rsidRDefault="00F1706D" w:rsidP="001B0396">
      <w:r>
        <w:lastRenderedPageBreak/>
        <w:t>The</w:t>
      </w:r>
      <w:r w:rsidR="00E54936">
        <w:t>re appears to be agreement between the</w:t>
      </w:r>
      <w:r>
        <w:t xml:space="preserve"> </w:t>
      </w:r>
      <w:r w:rsidR="00E54936">
        <w:t xml:space="preserve">service providers, </w:t>
      </w:r>
      <w:r w:rsidR="00FC1C7C">
        <w:t>Gray</w:t>
      </w:r>
      <w:r w:rsidR="00E54936">
        <w:t xml:space="preserve"> and us that the distribution rate is the proportion of imputation credits generated by the benchmark efficient entity that is distributed to investors. There also appears to be agreement between the </w:t>
      </w:r>
      <w:r>
        <w:t>service providers and us that the distribution rate should be e</w:t>
      </w:r>
      <w:r w:rsidR="00BC57BA">
        <w:t>stimated on a market-wide basis; f</w:t>
      </w:r>
      <w:r w:rsidR="00E54936">
        <w:t xml:space="preserve">or instance, </w:t>
      </w:r>
      <w:r w:rsidR="00E04C49">
        <w:t>a number of</w:t>
      </w:r>
      <w:r w:rsidR="00E54936">
        <w:t xml:space="preserve"> service providers submitted:</w:t>
      </w:r>
      <w:r w:rsidR="00E54936">
        <w:rPr>
          <w:rStyle w:val="FootnoteReference"/>
        </w:rPr>
        <w:footnoteReference w:id="291"/>
      </w:r>
    </w:p>
    <w:p w14:paraId="0CC4C3E1" w14:textId="77777777" w:rsidR="00E54936" w:rsidRDefault="00E54936" w:rsidP="00E54936">
      <w:pPr>
        <w:pStyle w:val="AERquote"/>
      </w:pPr>
      <w:r>
        <w:t>Gamma is conventionally estimated as a market-wide parameter and therefore there is no reason to measure the distribution rate based on data for listed equity only, in circumstances where data is available for both listed and unlisted firms.</w:t>
      </w:r>
    </w:p>
    <w:p w14:paraId="739B3386" w14:textId="4425C755" w:rsidR="00B46702" w:rsidRDefault="003B66B5" w:rsidP="00BC57BA">
      <w:r>
        <w:t>As set out in the dec</w:t>
      </w:r>
      <w:r w:rsidR="00680EF4">
        <w:t xml:space="preserve">isions </w:t>
      </w:r>
      <w:r w:rsidR="006C4AE8">
        <w:t xml:space="preserve">previously released in 2014 and 2015, </w:t>
      </w:r>
      <w:r w:rsidR="00680EF4">
        <w:t xml:space="preserve">and in section </w:t>
      </w:r>
      <w:r w:rsidR="00680EF4">
        <w:fldChar w:fldCharType="begin"/>
      </w:r>
      <w:r w:rsidR="00680EF4">
        <w:instrText xml:space="preserve"> REF _Ref403481194 \r \h </w:instrText>
      </w:r>
      <w:r w:rsidR="00680EF4">
        <w:fldChar w:fldCharType="separate"/>
      </w:r>
      <w:r w:rsidR="001E2164">
        <w:t>A.9.2</w:t>
      </w:r>
      <w:r w:rsidR="00680EF4">
        <w:fldChar w:fldCharType="end"/>
      </w:r>
      <w:r w:rsidR="00AB06BE">
        <w:t xml:space="preserve"> of this</w:t>
      </w:r>
      <w:r>
        <w:t xml:space="preserve"> final decision, we consider that there are good reasons</w:t>
      </w:r>
      <w:r w:rsidR="00A97288">
        <w:rPr>
          <w:rFonts w:cs="Arial"/>
        </w:rPr>
        <w:t>—</w:t>
      </w:r>
      <w:r w:rsidR="00A97288">
        <w:t>on internal consistency grounds</w:t>
      </w:r>
      <w:r w:rsidR="00A97288">
        <w:rPr>
          <w:rFonts w:cs="Arial"/>
        </w:rPr>
        <w:t>—</w:t>
      </w:r>
      <w:r>
        <w:t xml:space="preserve">for using </w:t>
      </w:r>
      <w:r w:rsidR="00BC57BA">
        <w:t xml:space="preserve">in certain circumstances </w:t>
      </w:r>
      <w:r>
        <w:t xml:space="preserve">an estimate of the distribution rate based on </w:t>
      </w:r>
      <w:r w:rsidR="001C274C">
        <w:t>only listed equity</w:t>
      </w:r>
      <w:r>
        <w:t xml:space="preserve">. </w:t>
      </w:r>
      <w:r w:rsidR="00B46702">
        <w:t xml:space="preserve"> </w:t>
      </w:r>
    </w:p>
    <w:p w14:paraId="2414A301" w14:textId="4E728926" w:rsidR="00E54936" w:rsidRDefault="00FC1C7C" w:rsidP="00BC57BA">
      <w:r>
        <w:t>Gray</w:t>
      </w:r>
      <w:r w:rsidR="00BC57BA">
        <w:t xml:space="preserve">'s </w:t>
      </w:r>
      <w:r w:rsidR="009928D7">
        <w:t>report</w:t>
      </w:r>
      <w:r w:rsidR="00BC57BA">
        <w:t xml:space="preserve"> </w:t>
      </w:r>
      <w:r>
        <w:t xml:space="preserve">(for SFG) </w:t>
      </w:r>
      <w:r w:rsidR="00BC57BA">
        <w:t xml:space="preserve">appears to support an estimate of the distribution rate that is not affected by the distribution behaviour of very large public firms or very small private firms. That is, </w:t>
      </w:r>
      <w:r>
        <w:t xml:space="preserve">Gray (for </w:t>
      </w:r>
      <w:r w:rsidR="00BC57BA">
        <w:t>SFG</w:t>
      </w:r>
      <w:r>
        <w:t>)</w:t>
      </w:r>
      <w:r w:rsidR="00BC57BA">
        <w:t xml:space="preserve"> stated:</w:t>
      </w:r>
    </w:p>
    <w:p w14:paraId="46BE12A3" w14:textId="77777777" w:rsidR="00BC57BA" w:rsidRDefault="00BC57BA" w:rsidP="00BC57BA">
      <w:pPr>
        <w:pStyle w:val="AERquote"/>
      </w:pPr>
      <w:r>
        <w:t>Conceptually, the task is…to estimate</w:t>
      </w:r>
      <w:r w:rsidR="00424E33">
        <w:t xml:space="preserve"> the distribution rate for the benchmark efficient firm.</w:t>
      </w:r>
      <w:r w:rsidR="00B56451">
        <w:rPr>
          <w:rStyle w:val="FootnoteReference"/>
        </w:rPr>
        <w:footnoteReference w:id="292"/>
      </w:r>
    </w:p>
    <w:p w14:paraId="04DDD6AD" w14:textId="77777777" w:rsidR="00424E33" w:rsidRDefault="00424E33" w:rsidP="00424E33">
      <w:pPr>
        <w:pStyle w:val="AERquote"/>
      </w:pPr>
      <w:r>
        <w:t>…</w:t>
      </w:r>
    </w:p>
    <w:p w14:paraId="4D816E0F" w14:textId="77777777" w:rsidR="00424E33" w:rsidRDefault="00424E33" w:rsidP="00424E33">
      <w:pPr>
        <w:pStyle w:val="AERquote"/>
      </w:pPr>
      <w:r>
        <w:t>For the same reason that very large multinational firms are not comparable to the benchmark efficient entity, very small private firms would also not be close comparators.</w:t>
      </w:r>
      <w:r w:rsidR="00B56451">
        <w:rPr>
          <w:rStyle w:val="FootnoteReference"/>
        </w:rPr>
        <w:footnoteReference w:id="293"/>
      </w:r>
    </w:p>
    <w:p w14:paraId="79680CAA" w14:textId="1415FFB9" w:rsidR="00424E33" w:rsidRDefault="00424E33" w:rsidP="00424E33">
      <w:r>
        <w:t xml:space="preserve">In particular, </w:t>
      </w:r>
      <w:r w:rsidR="00FC1C7C">
        <w:t>Gray</w:t>
      </w:r>
      <w:r w:rsidR="00AD67D9">
        <w:t xml:space="preserve"> submitted that the distribution behaviour of large multinational firms </w:t>
      </w:r>
      <w:r w:rsidR="00B56451">
        <w:t xml:space="preserve">seemed unrepresentative </w:t>
      </w:r>
      <w:r w:rsidR="0081214E">
        <w:t xml:space="preserve">of the benchmark efficient entity </w:t>
      </w:r>
      <w:r w:rsidR="00AD67D9">
        <w:t>on account of their foreign-sourced income.</w:t>
      </w:r>
      <w:r w:rsidR="00AD67D9">
        <w:rPr>
          <w:rStyle w:val="FootnoteReference"/>
        </w:rPr>
        <w:footnoteReference w:id="294"/>
      </w:r>
      <w:r w:rsidR="0081214E">
        <w:t xml:space="preserve"> </w:t>
      </w:r>
      <w:r w:rsidR="00FC1C7C">
        <w:t>Gray</w:t>
      </w:r>
      <w:r w:rsidR="00B56451">
        <w:t xml:space="preserve"> concluded that </w:t>
      </w:r>
      <w:r w:rsidR="00C959B8">
        <w:t xml:space="preserve">the </w:t>
      </w:r>
      <w:r w:rsidR="00B56451">
        <w:t>'best estimate' of the distribution rate</w:t>
      </w:r>
      <w:r w:rsidR="00B7259E">
        <w:t xml:space="preserve"> from analysis which considered only listed equity was not materially different from 0.7.</w:t>
      </w:r>
      <w:r w:rsidR="00B7259E">
        <w:rPr>
          <w:rStyle w:val="FootnoteReference"/>
        </w:rPr>
        <w:footnoteReference w:id="295"/>
      </w:r>
      <w:r w:rsidR="00B56451">
        <w:t xml:space="preserve"> </w:t>
      </w:r>
      <w:r w:rsidR="0081214E">
        <w:t xml:space="preserve">Handley considered </w:t>
      </w:r>
      <w:r w:rsidR="00FC1C7C">
        <w:t>Gray</w:t>
      </w:r>
      <w:r w:rsidR="0081214E">
        <w:t>'s analysis to be '</w:t>
      </w:r>
      <w:r w:rsidR="0081214E" w:rsidRPr="0081214E">
        <w:t xml:space="preserve"> incomplete and oversimplified to support such a strong conclusion</w:t>
      </w:r>
      <w:r w:rsidR="0081214E">
        <w:t>'.</w:t>
      </w:r>
      <w:r w:rsidR="0081214E">
        <w:rPr>
          <w:rStyle w:val="FootnoteReference"/>
        </w:rPr>
        <w:footnoteReference w:id="296"/>
      </w:r>
      <w:r w:rsidR="00F53B7E">
        <w:t xml:space="preserve"> We consider Handley's analysis remains applicable to </w:t>
      </w:r>
      <w:r w:rsidR="00C627BA">
        <w:t xml:space="preserve">Gray's new work (for </w:t>
      </w:r>
      <w:r w:rsidR="00F53B7E">
        <w:t>Frontier</w:t>
      </w:r>
      <w:r w:rsidR="00C627BA">
        <w:t xml:space="preserve">) </w:t>
      </w:r>
      <w:r w:rsidR="00F53B7E">
        <w:t xml:space="preserve">(as discussed above in section </w:t>
      </w:r>
      <w:proofErr w:type="gramStart"/>
      <w:r w:rsidR="00F53B7E">
        <w:t>A</w:t>
      </w:r>
      <w:proofErr w:type="gramEnd"/>
      <w:r w:rsidR="00F53B7E">
        <w:t xml:space="preserve"> 9.2 and also further below).  </w:t>
      </w:r>
    </w:p>
    <w:p w14:paraId="27BAC015" w14:textId="2BFEAB6E" w:rsidR="001573AB" w:rsidRDefault="009C5A79" w:rsidP="00424E33">
      <w:r>
        <w:lastRenderedPageBreak/>
        <w:t>Regarding internal consistency whe</w:t>
      </w:r>
      <w:r w:rsidR="003B1A41">
        <w:t xml:space="preserve">n </w:t>
      </w:r>
      <w:r>
        <w:t>combining</w:t>
      </w:r>
      <w:r w:rsidR="003B1A41">
        <w:t xml:space="preserve"> estimates of the distribution and utilisation rates</w:t>
      </w:r>
      <w:r>
        <w:t xml:space="preserve">, </w:t>
      </w:r>
      <w:r w:rsidR="00FC1C7C">
        <w:t xml:space="preserve">Gray (for </w:t>
      </w:r>
      <w:r>
        <w:t>SFG</w:t>
      </w:r>
      <w:r w:rsidR="00FC1C7C">
        <w:t>)</w:t>
      </w:r>
      <w:r w:rsidR="00B46702">
        <w:t xml:space="preserve"> </w:t>
      </w:r>
      <w:r>
        <w:t>submitted</w:t>
      </w:r>
      <w:r w:rsidR="00B46702">
        <w:t>:</w:t>
      </w:r>
      <w:r w:rsidR="00FE445D">
        <w:rPr>
          <w:rStyle w:val="FootnoteReference"/>
        </w:rPr>
        <w:footnoteReference w:id="297"/>
      </w:r>
    </w:p>
    <w:p w14:paraId="4267B5E1" w14:textId="77777777" w:rsidR="00B46702" w:rsidRDefault="00B46702" w:rsidP="00B46702">
      <w:pPr>
        <w:pStyle w:val="AERquote"/>
      </w:pPr>
      <w:r>
        <w:t xml:space="preserve">Since all credits from all companies are identical, it must be the case that, in equilibrium, the credits have the same value throughout the economy. Consequently, it is generally accepted that theta is a market-wide parameter </w:t>
      </w:r>
      <w:r w:rsidR="00B7668A">
        <w:t>–</w:t>
      </w:r>
      <w:r>
        <w:t xml:space="preserve"> with a single value that would apply to all firms.</w:t>
      </w:r>
    </w:p>
    <w:p w14:paraId="1FB940D2" w14:textId="77777777" w:rsidR="00C959B8" w:rsidRDefault="009C5A79" w:rsidP="00B46702">
      <w:r>
        <w:t>That is, i</w:t>
      </w:r>
      <w:r w:rsidR="009928D7">
        <w:t>f the</w:t>
      </w:r>
      <w:r w:rsidR="00FE445D">
        <w:t xml:space="preserve"> only value of theta</w:t>
      </w:r>
      <w:r w:rsidR="009928D7">
        <w:t xml:space="preserve"> is the market-wide value</w:t>
      </w:r>
      <w:r w:rsidR="00FE445D">
        <w:t>, then it is internally consistent to combine it with any estimate of the distribution rate.</w:t>
      </w:r>
      <w:r w:rsidR="00C959B8">
        <w:t xml:space="preserve"> NERA agreed:</w:t>
      </w:r>
      <w:r w:rsidR="00C959B8">
        <w:rPr>
          <w:rStyle w:val="FootnoteReference"/>
        </w:rPr>
        <w:footnoteReference w:id="298"/>
      </w:r>
    </w:p>
    <w:p w14:paraId="20F88817" w14:textId="77777777" w:rsidR="00C959B8" w:rsidRDefault="00C959B8" w:rsidP="00C26A14">
      <w:pPr>
        <w:pStyle w:val="AERquote"/>
      </w:pPr>
      <w:r>
        <w:t>As theta should not vary from firm to firm, however, there should be no link between how one estimates theta and how one estimates the distribution rate.</w:t>
      </w:r>
    </w:p>
    <w:p w14:paraId="26FF8D58" w14:textId="74DAF246" w:rsidR="00D550EB" w:rsidRPr="00507D00" w:rsidRDefault="00D279FE" w:rsidP="00B46702">
      <w:pPr>
        <w:rPr>
          <w:rStyle w:val="AERbody"/>
        </w:rPr>
      </w:pPr>
      <w:r w:rsidRPr="00507D00">
        <w:rPr>
          <w:rStyle w:val="AERbody"/>
        </w:rPr>
        <w:t xml:space="preserve">Gray (for </w:t>
      </w:r>
      <w:r w:rsidR="00D550EB" w:rsidRPr="00507D00">
        <w:rPr>
          <w:rStyle w:val="AERbody"/>
        </w:rPr>
        <w:t>Frontier</w:t>
      </w:r>
      <w:r w:rsidRPr="00507D00">
        <w:rPr>
          <w:rStyle w:val="AERbody"/>
        </w:rPr>
        <w:t>)</w:t>
      </w:r>
      <w:r w:rsidR="00D550EB" w:rsidRPr="00507D00">
        <w:rPr>
          <w:rStyle w:val="AERbody"/>
        </w:rPr>
        <w:t xml:space="preserve"> considered this matter again in </w:t>
      </w:r>
      <w:r w:rsidR="00FC1C7C" w:rsidRPr="00507D00">
        <w:rPr>
          <w:rStyle w:val="AERbody"/>
        </w:rPr>
        <w:t>his</w:t>
      </w:r>
      <w:r w:rsidR="00D550EB" w:rsidRPr="00507D00">
        <w:rPr>
          <w:rStyle w:val="AERbody"/>
        </w:rPr>
        <w:t xml:space="preserve"> June 2015 report </w:t>
      </w:r>
      <w:r w:rsidR="00C627BA" w:rsidRPr="00507D00">
        <w:rPr>
          <w:rStyle w:val="AERbody"/>
        </w:rPr>
        <w:t>(</w:t>
      </w:r>
      <w:r w:rsidR="00FC1C7C" w:rsidRPr="00507D00">
        <w:rPr>
          <w:rStyle w:val="AERbody"/>
        </w:rPr>
        <w:t>for Frontier</w:t>
      </w:r>
      <w:r w:rsidR="00C627BA" w:rsidRPr="00507D00">
        <w:rPr>
          <w:rStyle w:val="AERbody"/>
        </w:rPr>
        <w:t>)</w:t>
      </w:r>
      <w:r w:rsidR="00FC1C7C" w:rsidRPr="00507D00">
        <w:rPr>
          <w:rStyle w:val="AERbody"/>
        </w:rPr>
        <w:t xml:space="preserve"> </w:t>
      </w:r>
      <w:r w:rsidR="00D550EB" w:rsidRPr="00507D00">
        <w:rPr>
          <w:rStyle w:val="AERbody"/>
        </w:rPr>
        <w:t>and stated:</w:t>
      </w:r>
      <w:r w:rsidR="00507D00">
        <w:rPr>
          <w:rStyle w:val="FootnoteReference"/>
        </w:rPr>
        <w:footnoteReference w:id="299"/>
      </w:r>
    </w:p>
    <w:p w14:paraId="60E3ACDC" w14:textId="77777777" w:rsidR="00D550EB" w:rsidRPr="008E408D" w:rsidRDefault="00D550EB" w:rsidP="008E408D">
      <w:pPr>
        <w:pStyle w:val="AERquote"/>
        <w:rPr>
          <w:rStyle w:val="AERtexthighlight"/>
          <w:shd w:val="clear" w:color="auto" w:fill="auto"/>
        </w:rPr>
      </w:pPr>
      <w:r w:rsidRPr="008E408D">
        <w:rPr>
          <w:rStyle w:val="AERtexthighlight"/>
          <w:shd w:val="clear" w:color="auto" w:fill="auto"/>
        </w:rPr>
        <w:t>In my view, when estimating the distribution rate there are two reasons to be concerned about the weight that is afforded to the top 20 listed firms:</w:t>
      </w:r>
    </w:p>
    <w:p w14:paraId="526A3670" w14:textId="1A3E1195" w:rsidR="00D550EB" w:rsidRPr="008E408D" w:rsidRDefault="00D550EB" w:rsidP="008E408D">
      <w:pPr>
        <w:pStyle w:val="AERquote"/>
        <w:rPr>
          <w:rStyle w:val="AERtexthighlight"/>
          <w:shd w:val="clear" w:color="auto" w:fill="auto"/>
        </w:rPr>
      </w:pPr>
      <w:r w:rsidRPr="008E408D">
        <w:rPr>
          <w:rStyle w:val="AERtexthighlight"/>
          <w:shd w:val="clear" w:color="auto" w:fill="auto"/>
        </w:rPr>
        <w:t>a. The AER has specifically stated that the benchmark efficient entity should not be assumed to be a large listed comp</w:t>
      </w:r>
      <w:r w:rsidR="00044F9D" w:rsidRPr="008E408D">
        <w:rPr>
          <w:rStyle w:val="AERtexthighlight"/>
          <w:shd w:val="clear" w:color="auto" w:fill="auto"/>
        </w:rPr>
        <w:t>an</w:t>
      </w:r>
      <w:r w:rsidRPr="008E408D">
        <w:rPr>
          <w:rStyle w:val="AERtexthighlight"/>
          <w:shd w:val="clear" w:color="auto" w:fill="auto"/>
        </w:rPr>
        <w:t>y, as set out above; and</w:t>
      </w:r>
    </w:p>
    <w:p w14:paraId="03D60BD2" w14:textId="77C63535" w:rsidR="00D550EB" w:rsidRPr="008E408D" w:rsidRDefault="00D550EB" w:rsidP="008E408D">
      <w:pPr>
        <w:pStyle w:val="AERquote"/>
        <w:rPr>
          <w:rStyle w:val="AERtexthighlight"/>
          <w:shd w:val="clear" w:color="auto" w:fill="auto"/>
        </w:rPr>
      </w:pPr>
      <w:r w:rsidRPr="008E408D">
        <w:rPr>
          <w:rStyle w:val="AERtexthighlight"/>
          <w:shd w:val="clear" w:color="auto" w:fill="auto"/>
        </w:rPr>
        <w:t xml:space="preserve">b. The top 20 listed firms differ from the benchmark entity in that their foreign sourced profits enable a higher distribution rate.  </w:t>
      </w:r>
    </w:p>
    <w:p w14:paraId="698822C3" w14:textId="19CA351E" w:rsidR="00C627BA" w:rsidRDefault="00C627BA" w:rsidP="00B46702">
      <w:pPr>
        <w:rPr>
          <w:rStyle w:val="AERtexthighlight"/>
        </w:rPr>
      </w:pPr>
      <w:r>
        <w:t xml:space="preserve">NERA appears to agree with SFG that you should not consider the largest listed companies and it considers "it is difficult to see there is a case for setting the distribution rate to be any different to </w:t>
      </w:r>
      <w:r w:rsidR="002C1CFB">
        <w:t>the</w:t>
      </w:r>
      <w:r>
        <w:t xml:space="preserve"> value … of 0.7".</w:t>
      </w:r>
      <w:r>
        <w:rPr>
          <w:rStyle w:val="FootnoteReference"/>
        </w:rPr>
        <w:footnoteReference w:id="300"/>
      </w:r>
    </w:p>
    <w:p w14:paraId="1144529A" w14:textId="0B97C636" w:rsidR="00D550EB" w:rsidRPr="008E408D" w:rsidRDefault="00D550EB" w:rsidP="00B46702">
      <w:pPr>
        <w:rPr>
          <w:rStyle w:val="AERbody"/>
        </w:rPr>
      </w:pPr>
      <w:r w:rsidRPr="008E408D">
        <w:rPr>
          <w:rStyle w:val="AERbody"/>
        </w:rPr>
        <w:t xml:space="preserve">In the proposals lodged in 2015 the service providers have submitted that the </w:t>
      </w:r>
      <w:r w:rsidR="00044F9D" w:rsidRPr="008E408D">
        <w:rPr>
          <w:rStyle w:val="AERbody"/>
        </w:rPr>
        <w:t>appropriate</w:t>
      </w:r>
      <w:r w:rsidRPr="008E408D">
        <w:rPr>
          <w:rStyle w:val="AERbody"/>
        </w:rPr>
        <w:t xml:space="preserve"> distribution rate for both listed and all equ</w:t>
      </w:r>
      <w:r w:rsidR="001463BC" w:rsidRPr="008E408D">
        <w:rPr>
          <w:rStyle w:val="AERbody"/>
        </w:rPr>
        <w:t>ity</w:t>
      </w:r>
      <w:r w:rsidRPr="008E408D">
        <w:rPr>
          <w:rStyle w:val="AERbody"/>
        </w:rPr>
        <w:t xml:space="preserve"> is 70% </w:t>
      </w:r>
      <w:r w:rsidR="00ED1C77" w:rsidRPr="008E408D">
        <w:rPr>
          <w:rStyle w:val="AERbody"/>
        </w:rPr>
        <w:t>consistent with the advice from Gray and NERA.</w:t>
      </w:r>
      <w:r w:rsidR="008E408D">
        <w:rPr>
          <w:rStyle w:val="FootnoteReference"/>
        </w:rPr>
        <w:footnoteReference w:id="301"/>
      </w:r>
      <w:r w:rsidR="00ED1C77" w:rsidRPr="008E408D">
        <w:rPr>
          <w:rStyle w:val="AERbody"/>
        </w:rPr>
        <w:t xml:space="preserve"> </w:t>
      </w:r>
      <w:r w:rsidRPr="008E408D">
        <w:rPr>
          <w:rStyle w:val="AERbody"/>
        </w:rPr>
        <w:t>:</w:t>
      </w:r>
      <w:r w:rsidR="00ED1C77" w:rsidRPr="008E408D">
        <w:rPr>
          <w:rStyle w:val="AERbody"/>
        </w:rPr>
        <w:t xml:space="preserve"> </w:t>
      </w:r>
    </w:p>
    <w:p w14:paraId="79899EFD" w14:textId="5648A838" w:rsidR="00B46702" w:rsidRDefault="00FE445D" w:rsidP="00B46702">
      <w:r>
        <w:t xml:space="preserve">However, </w:t>
      </w:r>
      <w:r w:rsidR="00C959B8">
        <w:t>NERA's</w:t>
      </w:r>
      <w:r w:rsidR="00F53B7E">
        <w:t xml:space="preserve"> </w:t>
      </w:r>
      <w:r w:rsidR="00FC1C7C">
        <w:t xml:space="preserve">views </w:t>
      </w:r>
      <w:r w:rsidR="00F53B7E">
        <w:t xml:space="preserve">and </w:t>
      </w:r>
      <w:r w:rsidR="00FC1C7C">
        <w:t xml:space="preserve">Gray's views (for SFG and </w:t>
      </w:r>
      <w:r w:rsidR="00F53B7E">
        <w:t>Frontier</w:t>
      </w:r>
      <w:r w:rsidR="00FC1C7C">
        <w:t>)</w:t>
      </w:r>
      <w:r w:rsidR="00C959B8">
        <w:t xml:space="preserve"> </w:t>
      </w:r>
      <w:r w:rsidR="00B46702">
        <w:t xml:space="preserve">must be reconciled with the fact that different investors </w:t>
      </w:r>
      <w:r w:rsidR="00C73E51">
        <w:t xml:space="preserve">can </w:t>
      </w:r>
      <w:r w:rsidR="00B46702">
        <w:t xml:space="preserve">value imputation credits differently. For instance, foreign </w:t>
      </w:r>
      <w:r w:rsidR="00B46702">
        <w:lastRenderedPageBreak/>
        <w:t xml:space="preserve">investors do not value credits and eligible domestic investors do. Therefore, a given estimate of theta will reflect the set of investors over which it is calculated. </w:t>
      </w:r>
      <w:r w:rsidR="00FC1C7C">
        <w:t xml:space="preserve">Gray (for </w:t>
      </w:r>
      <w:r w:rsidR="00B46702">
        <w:t>SFG</w:t>
      </w:r>
      <w:r w:rsidR="00FC1C7C">
        <w:t>)</w:t>
      </w:r>
      <w:r w:rsidR="00B46702">
        <w:t xml:space="preserve"> appears to recognise this elsewhere in </w:t>
      </w:r>
      <w:r w:rsidR="00FC1C7C">
        <w:t>his</w:t>
      </w:r>
      <w:r w:rsidR="00B46702">
        <w:t xml:space="preserve"> </w:t>
      </w:r>
      <w:r w:rsidR="009928D7">
        <w:t>report</w:t>
      </w:r>
      <w:r w:rsidR="00B46702">
        <w:t>:</w:t>
      </w:r>
      <w:r w:rsidR="00071CD2">
        <w:rPr>
          <w:rStyle w:val="FootnoteReference"/>
        </w:rPr>
        <w:footnoteReference w:id="302"/>
      </w:r>
    </w:p>
    <w:p w14:paraId="2FA53870" w14:textId="77777777" w:rsidR="00B46702" w:rsidRDefault="00B46702" w:rsidP="00B46702">
      <w:pPr>
        <w:pStyle w:val="AERquote"/>
      </w:pPr>
      <w:r>
        <w:t>If theta is estimated using a market value approach, the estimate will represent</w:t>
      </w:r>
      <w:r w:rsidR="00316050">
        <w:t xml:space="preserve"> an average across all listed firms.</w:t>
      </w:r>
    </w:p>
    <w:p w14:paraId="7072E325" w14:textId="0DA39276" w:rsidR="002207E5" w:rsidRDefault="00316050" w:rsidP="00B46702">
      <w:r>
        <w:t xml:space="preserve">This is further illustrated in </w:t>
      </w:r>
      <w:r w:rsidR="00071CD2">
        <w:fldChar w:fldCharType="begin"/>
      </w:r>
      <w:r w:rsidR="00071CD2">
        <w:instrText xml:space="preserve"> REF  _Ref415078600 \* Lower \h </w:instrText>
      </w:r>
      <w:r w:rsidR="00071CD2">
        <w:fldChar w:fldCharType="separate"/>
      </w:r>
      <w:r w:rsidR="001E2164">
        <w:t xml:space="preserve">figure </w:t>
      </w:r>
      <w:r w:rsidR="001E2164">
        <w:rPr>
          <w:noProof/>
        </w:rPr>
        <w:t>4</w:t>
      </w:r>
      <w:r w:rsidR="001E2164">
        <w:noBreakHyphen/>
      </w:r>
      <w:r w:rsidR="001E2164">
        <w:rPr>
          <w:noProof/>
        </w:rPr>
        <w:t>1</w:t>
      </w:r>
      <w:r w:rsidR="00071CD2">
        <w:fldChar w:fldCharType="end"/>
      </w:r>
      <w:r w:rsidR="00071CD2">
        <w:t xml:space="preserve"> and </w:t>
      </w:r>
      <w:r w:rsidR="00071CD2">
        <w:fldChar w:fldCharType="begin"/>
      </w:r>
      <w:r w:rsidR="00071CD2">
        <w:instrText xml:space="preserve"> REF  _Ref415078618 \* Lower \h </w:instrText>
      </w:r>
      <w:r w:rsidR="00071CD2">
        <w:fldChar w:fldCharType="separate"/>
      </w:r>
      <w:r w:rsidR="001E2164">
        <w:t xml:space="preserve">figure </w:t>
      </w:r>
      <w:r w:rsidR="001E2164">
        <w:rPr>
          <w:noProof/>
        </w:rPr>
        <w:t>4</w:t>
      </w:r>
      <w:r w:rsidR="001E2164">
        <w:noBreakHyphen/>
      </w:r>
      <w:r w:rsidR="001E2164">
        <w:rPr>
          <w:noProof/>
        </w:rPr>
        <w:t>2</w:t>
      </w:r>
      <w:r w:rsidR="00071CD2">
        <w:fldChar w:fldCharType="end"/>
      </w:r>
      <w:r>
        <w:t xml:space="preserve"> submitted by </w:t>
      </w:r>
      <w:r w:rsidR="00041485">
        <w:t xml:space="preserve">a number of </w:t>
      </w:r>
      <w:r>
        <w:t>service providers, which indicate that SFG's dividend drop off estimate of theta reflects the proportion of foreign inve</w:t>
      </w:r>
      <w:r w:rsidR="00C73E51">
        <w:t xml:space="preserve">stors in listed equity. </w:t>
      </w:r>
    </w:p>
    <w:p w14:paraId="02810712" w14:textId="1ED4ED90" w:rsidR="00703B9F" w:rsidRDefault="00C73E51" w:rsidP="00B46702">
      <w:r>
        <w:t>To clarify,</w:t>
      </w:r>
      <w:r w:rsidR="00316050">
        <w:t xml:space="preserve"> </w:t>
      </w:r>
      <w:r>
        <w:t>in theory there may</w:t>
      </w:r>
      <w:r w:rsidR="002B24B7">
        <w:t xml:space="preserve"> be a single economy-wide theta. However,</w:t>
      </w:r>
      <w:r>
        <w:t xml:space="preserve"> </w:t>
      </w:r>
      <w:r w:rsidR="00316050">
        <w:t xml:space="preserve">the practical reality is that </w:t>
      </w:r>
      <w:r>
        <w:t>a given estimate of theta w</w:t>
      </w:r>
      <w:r w:rsidR="00DF756A">
        <w:t xml:space="preserve">ill reflect </w:t>
      </w:r>
      <w:r w:rsidR="00316050">
        <w:t xml:space="preserve">the set of investors in the </w:t>
      </w:r>
      <w:r>
        <w:t>evidence used</w:t>
      </w:r>
      <w:r w:rsidR="00316050">
        <w:t xml:space="preserve">. </w:t>
      </w:r>
      <w:r w:rsidR="00EF37FC">
        <w:t>Accordingly</w:t>
      </w:r>
      <w:r w:rsidR="00316050">
        <w:t>, for internal consistency</w:t>
      </w:r>
      <w:r w:rsidR="003B1A41">
        <w:t xml:space="preserve"> and from a practical perspective</w:t>
      </w:r>
      <w:r w:rsidR="00316050">
        <w:t xml:space="preserve">, </w:t>
      </w:r>
      <w:r w:rsidR="00EF37FC">
        <w:t xml:space="preserve">we consider that </w:t>
      </w:r>
      <w:r w:rsidR="00316050">
        <w:t>the distribution rate we use in combination with that estimate of theta represent the distribution of credits to that same set of investors (or at le</w:t>
      </w:r>
      <w:r w:rsidR="00EF37FC">
        <w:t>ast a similarly reflective set).</w:t>
      </w:r>
      <w:r w:rsidR="00316050">
        <w:t xml:space="preserve"> </w:t>
      </w:r>
      <w:r w:rsidR="00EF37FC">
        <w:t>T</w:t>
      </w:r>
      <w:r>
        <w:t>he service providers</w:t>
      </w:r>
      <w:proofErr w:type="gramStart"/>
      <w:r w:rsidR="001B05B4">
        <w:t>,</w:t>
      </w:r>
      <w:r>
        <w:t xml:space="preserve"> </w:t>
      </w:r>
      <w:r w:rsidR="001B05B4">
        <w:t xml:space="preserve"> NERA</w:t>
      </w:r>
      <w:proofErr w:type="gramEnd"/>
      <w:r w:rsidR="001B05B4">
        <w:t xml:space="preserve"> and </w:t>
      </w:r>
      <w:r w:rsidR="00FC1C7C">
        <w:t xml:space="preserve">Gray (for SFG and </w:t>
      </w:r>
      <w:r w:rsidR="001B05B4">
        <w:t>Frontier</w:t>
      </w:r>
      <w:r w:rsidR="00FC1C7C">
        <w:t>)</w:t>
      </w:r>
      <w:r>
        <w:t xml:space="preserve"> give us no cause to change this view.</w:t>
      </w:r>
      <w:r w:rsidR="00703B9F">
        <w:t xml:space="preserve"> Handley also supported our view:</w:t>
      </w:r>
      <w:r w:rsidR="00173633">
        <w:rPr>
          <w:rStyle w:val="FootnoteReference"/>
        </w:rPr>
        <w:footnoteReference w:id="303"/>
      </w:r>
    </w:p>
    <w:p w14:paraId="2AF8DE22" w14:textId="77777777" w:rsidR="00703B9F" w:rsidRDefault="00703B9F" w:rsidP="00C26A14">
      <w:pPr>
        <w:pStyle w:val="AERquote"/>
      </w:pPr>
      <w:r w:rsidRPr="00703B9F">
        <w:t>It is correct to say that theta is not firm-specific and the distribution rate is firm</w:t>
      </w:r>
      <w:r>
        <w:t>-</w:t>
      </w:r>
      <w:r w:rsidRPr="00703B9F">
        <w:t>specific.</w:t>
      </w:r>
      <w:r>
        <w:t xml:space="preserve"> </w:t>
      </w:r>
      <w:r w:rsidRPr="00703B9F">
        <w:t>But I do not agree with the suggestion that there need be no link</w:t>
      </w:r>
      <w:r>
        <w:t xml:space="preserve"> </w:t>
      </w:r>
      <w:r w:rsidRPr="00703B9F">
        <w:t>between how one estimates theta and how one estimates the distribution rate.</w:t>
      </w:r>
    </w:p>
    <w:p w14:paraId="286E98B8" w14:textId="77777777" w:rsidR="00703B9F" w:rsidRPr="00703B9F" w:rsidRDefault="00703B9F" w:rsidP="00C26A14">
      <w:pPr>
        <w:pStyle w:val="AERquote"/>
      </w:pPr>
      <w:r w:rsidRPr="00703B9F">
        <w:t>We are interested in estimating the value of imputa</w:t>
      </w:r>
      <w:r>
        <w:t xml:space="preserve">tion credits to the market as a </w:t>
      </w:r>
      <w:r w:rsidRPr="00703B9F">
        <w:t>whole. In setting prices, investors in the market will take into account the</w:t>
      </w:r>
      <w:r>
        <w:t xml:space="preserve"> </w:t>
      </w:r>
      <w:r w:rsidRPr="00703B9F">
        <w:t>quantity of credits expected to be distributed by all firms in the market. Since</w:t>
      </w:r>
      <w:r>
        <w:t xml:space="preserve"> </w:t>
      </w:r>
      <w:r w:rsidRPr="00703B9F">
        <w:t>gamma is effectively defined as a price (theta) times a quantity (distribution rate)</w:t>
      </w:r>
      <w:r>
        <w:t xml:space="preserve"> </w:t>
      </w:r>
      <w:r w:rsidRPr="00703B9F">
        <w:t>then in my opinion, it is obvious that both components should be based on</w:t>
      </w:r>
      <w:r>
        <w:t xml:space="preserve"> </w:t>
      </w:r>
      <w:r w:rsidRPr="00703B9F">
        <w:t>consistent data sets which relate to the same market.</w:t>
      </w:r>
    </w:p>
    <w:p w14:paraId="7E83D07F" w14:textId="5787E84D" w:rsidR="00392C0E" w:rsidRPr="008E408D" w:rsidRDefault="005C2D54" w:rsidP="00B46702">
      <w:pPr>
        <w:rPr>
          <w:rStyle w:val="AERbody"/>
        </w:rPr>
      </w:pPr>
      <w:r w:rsidRPr="008E408D">
        <w:rPr>
          <w:rStyle w:val="AERbody"/>
        </w:rPr>
        <w:t xml:space="preserve">We </w:t>
      </w:r>
      <w:r w:rsidR="001B05B4" w:rsidRPr="008E408D">
        <w:rPr>
          <w:rStyle w:val="AERbody"/>
        </w:rPr>
        <w:t xml:space="preserve">also </w:t>
      </w:r>
      <w:r w:rsidRPr="008E408D">
        <w:rPr>
          <w:rStyle w:val="AERbody"/>
        </w:rPr>
        <w:t xml:space="preserve">note that </w:t>
      </w:r>
      <w:r w:rsidR="001B05B4" w:rsidRPr="008E408D">
        <w:rPr>
          <w:rStyle w:val="AERbody"/>
        </w:rPr>
        <w:t xml:space="preserve">even if we were minded to do so, </w:t>
      </w:r>
      <w:r w:rsidRPr="008E408D">
        <w:rPr>
          <w:rStyle w:val="AERbody"/>
        </w:rPr>
        <w:t xml:space="preserve">there is not </w:t>
      </w:r>
      <w:r w:rsidR="00044F9D" w:rsidRPr="008E408D">
        <w:rPr>
          <w:rStyle w:val="AERbody"/>
        </w:rPr>
        <w:t>necessarily</w:t>
      </w:r>
      <w:r w:rsidRPr="008E408D">
        <w:rPr>
          <w:rStyle w:val="AERbody"/>
        </w:rPr>
        <w:t xml:space="preserve"> a correct way to filter listed equity data to make it more reflective of the benchmark efficient entity (as the </w:t>
      </w:r>
      <w:r w:rsidR="00044F9D" w:rsidRPr="008E408D">
        <w:rPr>
          <w:rStyle w:val="AERbody"/>
        </w:rPr>
        <w:t>benchmark</w:t>
      </w:r>
      <w:r w:rsidRPr="008E408D">
        <w:rPr>
          <w:rStyle w:val="AERbody"/>
        </w:rPr>
        <w:t xml:space="preserve"> entity has a number of </w:t>
      </w:r>
      <w:r w:rsidR="00044F9D" w:rsidRPr="008E408D">
        <w:rPr>
          <w:rStyle w:val="AERbody"/>
        </w:rPr>
        <w:t>characteristics</w:t>
      </w:r>
      <w:r w:rsidRPr="008E408D">
        <w:rPr>
          <w:rStyle w:val="AERbody"/>
        </w:rPr>
        <w:t>)</w:t>
      </w:r>
      <w:r w:rsidR="00AE15C1" w:rsidRPr="008E408D">
        <w:rPr>
          <w:rStyle w:val="AERbody"/>
        </w:rPr>
        <w:t xml:space="preserve">. While </w:t>
      </w:r>
      <w:r w:rsidR="00FC1C7C" w:rsidRPr="008E408D">
        <w:rPr>
          <w:rStyle w:val="AERbody"/>
        </w:rPr>
        <w:t xml:space="preserve">Gray (for </w:t>
      </w:r>
      <w:r w:rsidRPr="008E408D">
        <w:rPr>
          <w:rStyle w:val="AERbody"/>
        </w:rPr>
        <w:t>SFG</w:t>
      </w:r>
      <w:r w:rsidR="00FC1C7C" w:rsidRPr="008E408D">
        <w:rPr>
          <w:rStyle w:val="AERbody"/>
        </w:rPr>
        <w:t xml:space="preserve"> and</w:t>
      </w:r>
      <w:r w:rsidRPr="008E408D">
        <w:rPr>
          <w:rStyle w:val="AERbody"/>
        </w:rPr>
        <w:t xml:space="preserve"> Frontier</w:t>
      </w:r>
      <w:r w:rsidR="00FC1C7C" w:rsidRPr="008E408D">
        <w:rPr>
          <w:rStyle w:val="AERbody"/>
        </w:rPr>
        <w:t>)</w:t>
      </w:r>
      <w:r w:rsidRPr="008E408D">
        <w:rPr>
          <w:rStyle w:val="AERbody"/>
        </w:rPr>
        <w:t xml:space="preserve"> and NERA have proposed </w:t>
      </w:r>
      <w:r w:rsidR="00044F9D" w:rsidRPr="008E408D">
        <w:rPr>
          <w:rStyle w:val="AERbody"/>
        </w:rPr>
        <w:t>filtering</w:t>
      </w:r>
      <w:r w:rsidRPr="008E408D">
        <w:rPr>
          <w:rStyle w:val="AERbody"/>
        </w:rPr>
        <w:t xml:space="preserve"> based on a single </w:t>
      </w:r>
      <w:r w:rsidR="00044F9D" w:rsidRPr="008E408D">
        <w:rPr>
          <w:rStyle w:val="AERbody"/>
        </w:rPr>
        <w:t>characteristic</w:t>
      </w:r>
      <w:r w:rsidRPr="008E408D">
        <w:rPr>
          <w:rStyle w:val="AERbody"/>
        </w:rPr>
        <w:t xml:space="preserve"> (excludi</w:t>
      </w:r>
      <w:r w:rsidR="00392C0E" w:rsidRPr="008E408D">
        <w:rPr>
          <w:rStyle w:val="AERbody"/>
        </w:rPr>
        <w:t>ng</w:t>
      </w:r>
      <w:r w:rsidRPr="008E408D">
        <w:rPr>
          <w:rStyle w:val="AERbody"/>
        </w:rPr>
        <w:t xml:space="preserve"> the 20 largest listed firms) in a way that lead</w:t>
      </w:r>
      <w:r w:rsidR="005D3D33" w:rsidRPr="008E408D">
        <w:rPr>
          <w:rStyle w:val="AERbody"/>
        </w:rPr>
        <w:t>s</w:t>
      </w:r>
      <w:r w:rsidRPr="008E408D">
        <w:rPr>
          <w:rStyle w:val="AERbody"/>
        </w:rPr>
        <w:t xml:space="preserve"> to a lower </w:t>
      </w:r>
      <w:r w:rsidR="000E5AD5" w:rsidRPr="008E408D">
        <w:rPr>
          <w:rStyle w:val="AERbody"/>
        </w:rPr>
        <w:t xml:space="preserve">estimated distribution rate (and therefore </w:t>
      </w:r>
      <w:r w:rsidR="004136CE" w:rsidRPr="008E408D">
        <w:rPr>
          <w:rStyle w:val="AERbody"/>
        </w:rPr>
        <w:t>a lower estimated</w:t>
      </w:r>
      <w:r w:rsidR="003710E9" w:rsidRPr="008E408D">
        <w:rPr>
          <w:rStyle w:val="AERbody"/>
        </w:rPr>
        <w:t xml:space="preserve"> value of imputation credits</w:t>
      </w:r>
      <w:r w:rsidR="000E5AD5" w:rsidRPr="008E408D">
        <w:rPr>
          <w:rStyle w:val="AERbody"/>
        </w:rPr>
        <w:t>)</w:t>
      </w:r>
      <w:r w:rsidR="00AE15C1" w:rsidRPr="008E408D">
        <w:rPr>
          <w:rStyle w:val="AERbody"/>
        </w:rPr>
        <w:t>, they have not</w:t>
      </w:r>
      <w:r w:rsidRPr="008E408D">
        <w:rPr>
          <w:rStyle w:val="AERbody"/>
        </w:rPr>
        <w:t xml:space="preserve"> demonstrat</w:t>
      </w:r>
      <w:r w:rsidR="00AE15C1" w:rsidRPr="008E408D">
        <w:rPr>
          <w:rStyle w:val="AERbody"/>
        </w:rPr>
        <w:t>ed</w:t>
      </w:r>
      <w:r w:rsidRPr="008E408D">
        <w:rPr>
          <w:rStyle w:val="AERbody"/>
        </w:rPr>
        <w:t xml:space="preserve"> their filtering method will lead to a better estimate of the distribution rate for the benchmark efficient entity. </w:t>
      </w:r>
    </w:p>
    <w:p w14:paraId="384FDEAF" w14:textId="610680D3" w:rsidR="00392C0E" w:rsidRPr="008E408D" w:rsidRDefault="002B0A70" w:rsidP="00B46702">
      <w:pPr>
        <w:rPr>
          <w:rStyle w:val="AERbody"/>
        </w:rPr>
      </w:pPr>
      <w:r w:rsidRPr="008E408D">
        <w:rPr>
          <w:rStyle w:val="AERbody"/>
        </w:rPr>
        <w:t xml:space="preserve">Handley indicated that </w:t>
      </w:r>
      <w:r w:rsidR="00FC1C7C" w:rsidRPr="008E408D">
        <w:rPr>
          <w:rStyle w:val="AERbody"/>
        </w:rPr>
        <w:t>Gray</w:t>
      </w:r>
      <w:r w:rsidRPr="008E408D">
        <w:rPr>
          <w:rStyle w:val="AERbody"/>
        </w:rPr>
        <w:t>'s analysis was 'incomplete and oversimplified' to support the restriction proposed, and we consider th</w:t>
      </w:r>
      <w:r w:rsidR="00FC1C7C" w:rsidRPr="008E408D">
        <w:rPr>
          <w:rStyle w:val="AERbody"/>
        </w:rPr>
        <w:t>at Gray's</w:t>
      </w:r>
      <w:r w:rsidRPr="008E408D">
        <w:rPr>
          <w:rStyle w:val="AERbody"/>
        </w:rPr>
        <w:t xml:space="preserve"> June 2015 </w:t>
      </w:r>
      <w:r w:rsidR="00FC1C7C" w:rsidRPr="008E408D">
        <w:rPr>
          <w:rStyle w:val="AERbody"/>
        </w:rPr>
        <w:t xml:space="preserve">report (for </w:t>
      </w:r>
      <w:r w:rsidRPr="008E408D">
        <w:rPr>
          <w:rStyle w:val="AERbody"/>
        </w:rPr>
        <w:t>Frontier</w:t>
      </w:r>
      <w:r w:rsidR="00FC1C7C" w:rsidRPr="008E408D">
        <w:rPr>
          <w:rStyle w:val="AERbody"/>
        </w:rPr>
        <w:t>)</w:t>
      </w:r>
      <w:r w:rsidR="00D279FE" w:rsidRPr="008E408D">
        <w:rPr>
          <w:rStyle w:val="AERbody"/>
        </w:rPr>
        <w:t xml:space="preserve"> </w:t>
      </w:r>
      <w:r w:rsidR="000E5AD5" w:rsidRPr="008E408D">
        <w:rPr>
          <w:rStyle w:val="AERbody"/>
        </w:rPr>
        <w:t xml:space="preserve">and NERA's June 2015 report </w:t>
      </w:r>
      <w:r w:rsidRPr="008E408D">
        <w:rPr>
          <w:rStyle w:val="AERbody"/>
        </w:rPr>
        <w:t>add not</w:t>
      </w:r>
      <w:r w:rsidR="005C2D54" w:rsidRPr="008E408D">
        <w:rPr>
          <w:rStyle w:val="AERbody"/>
        </w:rPr>
        <w:t>h</w:t>
      </w:r>
      <w:r w:rsidRPr="008E408D">
        <w:rPr>
          <w:rStyle w:val="AERbody"/>
        </w:rPr>
        <w:t xml:space="preserve">ing material to the discussion. </w:t>
      </w:r>
    </w:p>
    <w:p w14:paraId="24899981" w14:textId="4D6B1FFC" w:rsidR="00C0699F" w:rsidRPr="008E408D" w:rsidRDefault="00494584" w:rsidP="00B46702">
      <w:pPr>
        <w:rPr>
          <w:rStyle w:val="AERbody"/>
        </w:rPr>
      </w:pPr>
      <w:r w:rsidRPr="008E408D">
        <w:rPr>
          <w:rStyle w:val="AERbody"/>
        </w:rPr>
        <w:t xml:space="preserve">We also note that if </w:t>
      </w:r>
      <w:r w:rsidR="00392C0E" w:rsidRPr="008E408D">
        <w:rPr>
          <w:rStyle w:val="AERbody"/>
        </w:rPr>
        <w:t>we estimate</w:t>
      </w:r>
      <w:r w:rsidR="00AE15C1" w:rsidRPr="008E408D">
        <w:rPr>
          <w:rStyle w:val="AERbody"/>
        </w:rPr>
        <w:t>d</w:t>
      </w:r>
      <w:r w:rsidR="00392C0E" w:rsidRPr="008E408D">
        <w:rPr>
          <w:rStyle w:val="AERbody"/>
        </w:rPr>
        <w:t xml:space="preserve"> a distribution rate </w:t>
      </w:r>
      <w:r w:rsidR="00AE15C1" w:rsidRPr="008E408D">
        <w:rPr>
          <w:rStyle w:val="AERbody"/>
        </w:rPr>
        <w:t xml:space="preserve">strictly </w:t>
      </w:r>
      <w:r w:rsidR="00392C0E" w:rsidRPr="008E408D">
        <w:rPr>
          <w:rStyle w:val="AERbody"/>
        </w:rPr>
        <w:t xml:space="preserve">in accordance with </w:t>
      </w:r>
      <w:r w:rsidR="00AE15C1" w:rsidRPr="008E408D">
        <w:rPr>
          <w:rStyle w:val="AERbody"/>
        </w:rPr>
        <w:t xml:space="preserve">our benchmark definition </w:t>
      </w:r>
      <w:r w:rsidRPr="008E408D">
        <w:rPr>
          <w:rStyle w:val="AERbody"/>
        </w:rPr>
        <w:t xml:space="preserve">we </w:t>
      </w:r>
      <w:r w:rsidR="00AE15C1" w:rsidRPr="008E408D">
        <w:rPr>
          <w:rStyle w:val="AERbody"/>
        </w:rPr>
        <w:t xml:space="preserve">would </w:t>
      </w:r>
      <w:r w:rsidRPr="008E408D">
        <w:rPr>
          <w:rStyle w:val="AERbody"/>
        </w:rPr>
        <w:t>end up with only the firms that we regulate, or a</w:t>
      </w:r>
      <w:r w:rsidR="00AE15C1" w:rsidRPr="008E408D">
        <w:rPr>
          <w:rStyle w:val="AERbody"/>
        </w:rPr>
        <w:t>n observable</w:t>
      </w:r>
      <w:r w:rsidRPr="008E408D">
        <w:rPr>
          <w:rStyle w:val="AERbody"/>
        </w:rPr>
        <w:t xml:space="preserve"> </w:t>
      </w:r>
      <w:r w:rsidRPr="008E408D">
        <w:rPr>
          <w:rStyle w:val="AERbody"/>
        </w:rPr>
        <w:lastRenderedPageBreak/>
        <w:t>s</w:t>
      </w:r>
      <w:r w:rsidR="00AE15C1" w:rsidRPr="008E408D">
        <w:rPr>
          <w:rStyle w:val="AERbody"/>
        </w:rPr>
        <w:t>et of similar firms</w:t>
      </w:r>
      <w:r w:rsidRPr="008E408D">
        <w:rPr>
          <w:rStyle w:val="AERbody"/>
        </w:rPr>
        <w:t xml:space="preserve">, yet </w:t>
      </w:r>
      <w:r w:rsidR="00CE6F1C" w:rsidRPr="008E408D">
        <w:rPr>
          <w:rStyle w:val="AERbody"/>
        </w:rPr>
        <w:t>the service providers have not suggested</w:t>
      </w:r>
      <w:r w:rsidRPr="008E408D">
        <w:rPr>
          <w:rStyle w:val="AERbody"/>
        </w:rPr>
        <w:t xml:space="preserve"> an industry benchmark</w:t>
      </w:r>
      <w:r w:rsidR="00CE6F1C" w:rsidRPr="008E408D">
        <w:rPr>
          <w:rStyle w:val="AERbody"/>
        </w:rPr>
        <w:t xml:space="preserve"> distribution rate</w:t>
      </w:r>
      <w:r w:rsidR="00392C0E" w:rsidRPr="008E408D">
        <w:rPr>
          <w:rStyle w:val="AERbody"/>
        </w:rPr>
        <w:t>. W</w:t>
      </w:r>
      <w:r w:rsidR="00343B1C" w:rsidRPr="008E408D">
        <w:rPr>
          <w:rStyle w:val="AERbody"/>
        </w:rPr>
        <w:t xml:space="preserve">e </w:t>
      </w:r>
      <w:r w:rsidR="00392C0E" w:rsidRPr="008E408D">
        <w:rPr>
          <w:rStyle w:val="AERbody"/>
        </w:rPr>
        <w:t>also do not propose an industry benchmark</w:t>
      </w:r>
      <w:r w:rsidR="00343B1C" w:rsidRPr="008E408D">
        <w:rPr>
          <w:rStyle w:val="AERbody"/>
        </w:rPr>
        <w:t xml:space="preserve"> for the reasons set out in the Guideline.</w:t>
      </w:r>
      <w:r w:rsidR="008E408D">
        <w:rPr>
          <w:rStyle w:val="FootnoteReference"/>
        </w:rPr>
        <w:footnoteReference w:id="304"/>
      </w:r>
      <w:r w:rsidR="00343B1C" w:rsidRPr="008E408D">
        <w:rPr>
          <w:rStyle w:val="AERbody"/>
        </w:rPr>
        <w:t xml:space="preserve"> However, </w:t>
      </w:r>
      <w:r w:rsidR="005C4983" w:rsidRPr="008E408D">
        <w:rPr>
          <w:rStyle w:val="AERbody"/>
        </w:rPr>
        <w:t xml:space="preserve">we </w:t>
      </w:r>
      <w:r w:rsidR="00392C0E" w:rsidRPr="008E408D">
        <w:rPr>
          <w:rStyle w:val="AERbody"/>
        </w:rPr>
        <w:t xml:space="preserve">note the EMRF submitted that our assumed </w:t>
      </w:r>
      <w:r w:rsidR="00343B1C" w:rsidRPr="008E408D">
        <w:rPr>
          <w:rStyle w:val="AERbody"/>
        </w:rPr>
        <w:t>distribution rates are lower (and, therefore more favourable to service providers) than those relevant to a pure play energy network</w:t>
      </w:r>
      <w:r w:rsidR="00392C0E" w:rsidRPr="008E408D">
        <w:rPr>
          <w:rStyle w:val="AERbody"/>
        </w:rPr>
        <w:t>.</w:t>
      </w:r>
      <w:r w:rsidR="008E408D">
        <w:rPr>
          <w:rStyle w:val="FootnoteReference"/>
        </w:rPr>
        <w:footnoteReference w:id="305"/>
      </w:r>
      <w:r w:rsidR="00CE6F1C" w:rsidRPr="008E408D">
        <w:rPr>
          <w:rStyle w:val="AERbody"/>
        </w:rPr>
        <w:t xml:space="preserve">  </w:t>
      </w:r>
      <w:r w:rsidR="005D7E69" w:rsidRPr="008E408D">
        <w:rPr>
          <w:rStyle w:val="AERbody"/>
        </w:rPr>
        <w:t xml:space="preserve">  </w:t>
      </w:r>
      <w:r w:rsidR="00C0699F" w:rsidRPr="008E408D">
        <w:rPr>
          <w:rStyle w:val="AERbody"/>
        </w:rPr>
        <w:t xml:space="preserve"> </w:t>
      </w:r>
    </w:p>
    <w:p w14:paraId="35E59792" w14:textId="14A20A0D" w:rsidR="00316050" w:rsidRDefault="00DF756A" w:rsidP="00B46702">
      <w:r>
        <w:t>Further, we are not conv</w:t>
      </w:r>
      <w:r w:rsidR="006A5C87">
        <w:t xml:space="preserve">inced that we should use </w:t>
      </w:r>
      <w:r w:rsidR="002207E5">
        <w:t xml:space="preserve">only </w:t>
      </w:r>
      <w:r w:rsidR="006A5C87">
        <w:t xml:space="preserve">a </w:t>
      </w:r>
      <w:r>
        <w:t>subset of public companies when we seek to apply a distribution rate that is internall</w:t>
      </w:r>
      <w:r w:rsidR="002207E5">
        <w:t>y consistent with a value for theta estimated over investors in</w:t>
      </w:r>
      <w:r>
        <w:t xml:space="preserve"> </w:t>
      </w:r>
      <w:r w:rsidR="001C274C">
        <w:t>only listed equity</w:t>
      </w:r>
      <w:r>
        <w:t>.</w:t>
      </w:r>
      <w:r w:rsidR="005D7E69">
        <w:t xml:space="preserve"> </w:t>
      </w:r>
    </w:p>
    <w:p w14:paraId="43F495E1" w14:textId="77777777" w:rsidR="00BC3784" w:rsidRDefault="00BC3784" w:rsidP="00BC3784">
      <w:pPr>
        <w:pStyle w:val="Heading9"/>
      </w:pPr>
      <w:bookmarkStart w:id="79" w:name="_Ref415126827"/>
      <w:r>
        <w:t>The cumulative payout ratio approach</w:t>
      </w:r>
      <w:bookmarkEnd w:id="78"/>
      <w:bookmarkEnd w:id="79"/>
    </w:p>
    <w:p w14:paraId="1926AA6A" w14:textId="12A59DED" w:rsidR="00BC3784" w:rsidRDefault="00BC3784" w:rsidP="00C0111F">
      <w:pPr>
        <w:numPr>
          <w:ilvl w:val="0"/>
          <w:numId w:val="25"/>
        </w:numPr>
      </w:pPr>
      <w:r>
        <w:t xml:space="preserve">The cumulative payout ratio approach is applied as follows. It starts </w:t>
      </w:r>
      <w:r w:rsidR="00C0111F" w:rsidRPr="00C0111F">
        <w:t xml:space="preserve">with the change in the total value of imputation credits in firms’ franking account balances over a particular period of time. This reflects the cumulative additions and subtractions of imputation credits over that particular period of </w:t>
      </w:r>
      <w:r w:rsidR="002C1CFB" w:rsidRPr="00C0111F">
        <w:t>time.</w:t>
      </w:r>
      <w:r w:rsidR="002C1CFB" w:rsidRPr="00FD7776">
        <w:t xml:space="preserve"> Then</w:t>
      </w:r>
      <w:r w:rsidRPr="00FD7776">
        <w:t xml:space="preserve">, subtracting this from total company tax paid over the same period </w:t>
      </w:r>
      <w:r w:rsidR="00C0111F">
        <w:t xml:space="preserve">of time </w:t>
      </w:r>
      <w:r w:rsidRPr="00FD7776">
        <w:t xml:space="preserve">produces an estimate of the </w:t>
      </w:r>
      <w:r>
        <w:t>imputation</w:t>
      </w:r>
      <w:r w:rsidRPr="00FD7776">
        <w:t xml:space="preserve"> credits that have been distributed in total. This relies on the idea that every dollar of company tax paid generates an imputation credit, which can either be distributed or retained in franking account balances. Then, dividing this estimate by</w:t>
      </w:r>
      <w:r>
        <w:t xml:space="preserve"> the value of</w:t>
      </w:r>
      <w:r w:rsidRPr="00FD7776">
        <w:t xml:space="preserve"> company tax paid over the same time period produces an estimate of the </w:t>
      </w:r>
      <w:r>
        <w:t>distribution rate</w:t>
      </w:r>
      <w:r w:rsidRPr="00FD7776">
        <w:t xml:space="preserve"> over this time.</w:t>
      </w:r>
    </w:p>
    <w:p w14:paraId="7B645788" w14:textId="77777777" w:rsidR="00BC3784" w:rsidRDefault="00BC3784" w:rsidP="00BC3784">
      <w:pPr>
        <w:numPr>
          <w:ilvl w:val="0"/>
          <w:numId w:val="25"/>
        </w:numPr>
      </w:pPr>
      <w:r>
        <w:t>A limitation of this approach is that factors other than the distribution of imputation credits can lead to a decrease in aggregate franking account balances.</w:t>
      </w:r>
      <w:r>
        <w:rPr>
          <w:rStyle w:val="FootnoteReference"/>
        </w:rPr>
        <w:footnoteReference w:id="306"/>
      </w:r>
      <w:r>
        <w:t xml:space="preserve"> However, we are unaware of the materiality of these factors. Moreover, as discussed in the next section:</w:t>
      </w:r>
    </w:p>
    <w:p w14:paraId="537EF0FE" w14:textId="77777777" w:rsidR="00BC3784" w:rsidRPr="00BC3784" w:rsidRDefault="00BC3784" w:rsidP="00BC3784">
      <w:pPr>
        <w:pStyle w:val="AERbulletlistfirststyle"/>
      </w:pPr>
      <w:r w:rsidRPr="009C59D1">
        <w:t>Hathaway and NERA each</w:t>
      </w:r>
      <w:r w:rsidRPr="00BC3784">
        <w:t xml:space="preserve"> preferred this approach to an approach involving data on franked dividends, and</w:t>
      </w:r>
    </w:p>
    <w:p w14:paraId="47F03264" w14:textId="77777777" w:rsidR="00C531B4" w:rsidRPr="00C531B4" w:rsidRDefault="00BC3784" w:rsidP="00C531B4">
      <w:pPr>
        <w:pStyle w:val="AERbulletlistfirststyle"/>
      </w:pPr>
      <w:r>
        <w:t xml:space="preserve">an estimate of the distribution rate across </w:t>
      </w:r>
      <w:r w:rsidR="001C274C">
        <w:t>only listed equity</w:t>
      </w:r>
      <w:r>
        <w:t xml:space="preserve"> using this approach is broadly reinforced by evidence from the financial statements of the largest listed companies.</w:t>
      </w:r>
    </w:p>
    <w:p w14:paraId="64C9F24E" w14:textId="77777777" w:rsidR="00BC3784" w:rsidRDefault="00BC3784" w:rsidP="00BC3784">
      <w:pPr>
        <w:pStyle w:val="Heading9"/>
      </w:pPr>
      <w:r>
        <w:t xml:space="preserve">Alternative </w:t>
      </w:r>
      <w:r w:rsidRPr="00BC3784">
        <w:t>approaches</w:t>
      </w:r>
    </w:p>
    <w:p w14:paraId="32617B38" w14:textId="77777777" w:rsidR="00BC3784" w:rsidRDefault="00BC3784" w:rsidP="00BC3784">
      <w:pPr>
        <w:numPr>
          <w:ilvl w:val="0"/>
          <w:numId w:val="25"/>
        </w:numPr>
      </w:pPr>
      <w:r>
        <w:t>There are at least two alternative approaches to estimating the distribution rate:</w:t>
      </w:r>
    </w:p>
    <w:p w14:paraId="60C0E7DC" w14:textId="77777777" w:rsidR="00BC3784" w:rsidRPr="00BC3784" w:rsidRDefault="00BC3784" w:rsidP="00BC3784">
      <w:pPr>
        <w:pStyle w:val="AERbulletlistfirststyle"/>
      </w:pPr>
      <w:r w:rsidRPr="00296C23">
        <w:t>Hathaway and NERA each estimate</w:t>
      </w:r>
      <w:r w:rsidRPr="00BC3784">
        <w:t>d a distribution rate of around 0.5 using ATO statistics on the franked dividends distributed by companies as reported in their tax returns.</w:t>
      </w:r>
      <w:r w:rsidRPr="00BC3784">
        <w:rPr>
          <w:rStyle w:val="FootnoteReference"/>
        </w:rPr>
        <w:footnoteReference w:id="307"/>
      </w:r>
      <w:r w:rsidR="00AC6F43">
        <w:t xml:space="preserve"> However, neither advocated</w:t>
      </w:r>
      <w:r w:rsidRPr="00BC3784">
        <w:t xml:space="preserve"> the use of this estimate. NERA considered:</w:t>
      </w:r>
      <w:r w:rsidRPr="00BC3784">
        <w:rPr>
          <w:rStyle w:val="FootnoteReference"/>
        </w:rPr>
        <w:footnoteReference w:id="308"/>
      </w:r>
    </w:p>
    <w:p w14:paraId="638BDEED" w14:textId="77777777" w:rsidR="00BC3784" w:rsidRDefault="00BC3784" w:rsidP="00BC3784">
      <w:pPr>
        <w:pStyle w:val="AERquote"/>
      </w:pPr>
      <w:r w:rsidRPr="000B7792">
        <w:lastRenderedPageBreak/>
        <w:t>In our opinion, the cumulative payout ratio is the most reliable estimate that is least likely to be affected by potential distortions in the underlying data set.</w:t>
      </w:r>
      <w:r>
        <w:t xml:space="preserve"> </w:t>
      </w:r>
    </w:p>
    <w:p w14:paraId="07F41B8B" w14:textId="77777777" w:rsidR="00BC3784" w:rsidRPr="00BC3784" w:rsidRDefault="00BC3784" w:rsidP="00E253F7">
      <w:pPr>
        <w:pStyle w:val="AERbulletlistfirststyle"/>
        <w:numPr>
          <w:ilvl w:val="0"/>
          <w:numId w:val="0"/>
        </w:numPr>
        <w:ind w:left="357"/>
      </w:pPr>
      <w:r>
        <w:t>And Hathaway consider</w:t>
      </w:r>
      <w:r w:rsidRPr="00BC3784">
        <w:t>ed:</w:t>
      </w:r>
      <w:r w:rsidRPr="00BC3784">
        <w:rPr>
          <w:rStyle w:val="FootnoteReference"/>
        </w:rPr>
        <w:footnoteReference w:id="309"/>
      </w:r>
    </w:p>
    <w:p w14:paraId="3AD1571F" w14:textId="77777777" w:rsidR="00BC3784" w:rsidRDefault="00BC3784" w:rsidP="00BC3784">
      <w:pPr>
        <w:pStyle w:val="AERquote"/>
      </w:pPr>
      <w:r>
        <w:t>As was explained in section 3, I have more faith in the [franking account balance] data than in the dividend data. The dividend data appears to be missing about $87.5 billion and the ATO has had substantial problems with the dividend data in the past.</w:t>
      </w:r>
    </w:p>
    <w:p w14:paraId="0C081FE0" w14:textId="77777777" w:rsidR="00BC3784" w:rsidRDefault="00BC3784" w:rsidP="00BC3784">
      <w:r w:rsidRPr="00296C23">
        <w:t>Lally examine</w:t>
      </w:r>
      <w:r>
        <w:t>d</w:t>
      </w:r>
      <w:r w:rsidRPr="00296C23">
        <w:t xml:space="preserve"> the financial statements of the 20 largest ASX-listed firms by market capitalisation, and </w:t>
      </w:r>
      <w:r>
        <w:t>found</w:t>
      </w:r>
      <w:r w:rsidRPr="00296C23">
        <w:t xml:space="preserve"> an aggregate distribution rate across these firms of 0.84.</w:t>
      </w:r>
      <w:r>
        <w:rPr>
          <w:rStyle w:val="FootnoteReference"/>
        </w:rPr>
        <w:footnoteReference w:id="310"/>
      </w:r>
      <w:r w:rsidRPr="00296C23">
        <w:t xml:space="preserve"> We consider that this broadly reinforces </w:t>
      </w:r>
      <w:r w:rsidR="00AC6F43">
        <w:t>the</w:t>
      </w:r>
      <w:r w:rsidRPr="00296C23">
        <w:t xml:space="preserve"> </w:t>
      </w:r>
      <w:r w:rsidR="00604706">
        <w:t xml:space="preserve">higher </w:t>
      </w:r>
      <w:r w:rsidRPr="00296C23">
        <w:t xml:space="preserve">cumulative payout ratio estimate across </w:t>
      </w:r>
      <w:r w:rsidR="001C274C">
        <w:t>only listed equity</w:t>
      </w:r>
      <w:r w:rsidRPr="00296C23">
        <w:t>.</w:t>
      </w:r>
    </w:p>
    <w:p w14:paraId="2EBB7F29" w14:textId="77777777" w:rsidR="00C531B4" w:rsidRDefault="00C531B4" w:rsidP="00C531B4">
      <w:pPr>
        <w:pStyle w:val="Heading9"/>
      </w:pPr>
      <w:r>
        <w:t>Hathaway (2014)</w:t>
      </w:r>
    </w:p>
    <w:p w14:paraId="6A0A16DE" w14:textId="4310F0BA" w:rsidR="00C531B4" w:rsidRDefault="00C600C4" w:rsidP="00C531B4">
      <w:r>
        <w:t>After</w:t>
      </w:r>
      <w:r w:rsidR="00C531B4">
        <w:t xml:space="preserve"> the publication of the draft decisions</w:t>
      </w:r>
      <w:r>
        <w:t xml:space="preserve"> in 2014</w:t>
      </w:r>
      <w:r w:rsidR="006878CF">
        <w:t xml:space="preserve">, and deep into the process of preparing </w:t>
      </w:r>
      <w:r w:rsidR="00FD4722">
        <w:t>th</w:t>
      </w:r>
      <w:r>
        <w:t>e</w:t>
      </w:r>
      <w:r w:rsidR="006878CF">
        <w:t xml:space="preserve"> final decision</w:t>
      </w:r>
      <w:r>
        <w:t xml:space="preserve"> for JGN</w:t>
      </w:r>
      <w:r w:rsidR="006878CF">
        <w:t>,</w:t>
      </w:r>
      <w:r w:rsidR="00C531B4">
        <w:t xml:space="preserve"> we </w:t>
      </w:r>
      <w:r w:rsidR="006878CF">
        <w:t>became</w:t>
      </w:r>
      <w:r w:rsidR="00C531B4">
        <w:t xml:space="preserve"> aware of an updated analysis of the tax statistics by Hathaway</w:t>
      </w:r>
      <w:r w:rsidR="0038032B">
        <w:t xml:space="preserve"> dated October 2014</w:t>
      </w:r>
      <w:r w:rsidR="00C531B4">
        <w:t>.</w:t>
      </w:r>
      <w:r w:rsidR="00C531B4">
        <w:rPr>
          <w:rStyle w:val="FootnoteReference"/>
        </w:rPr>
        <w:footnoteReference w:id="311"/>
      </w:r>
      <w:r w:rsidR="00C531B4">
        <w:t xml:space="preserve"> This report updates the analysis to include tax data for the 2011-12 financial year, which were published by the ATO during 2014. </w:t>
      </w:r>
      <w:r w:rsidR="0038032B">
        <w:t>Hathaway (2014)</w:t>
      </w:r>
      <w:r w:rsidR="00C531B4">
        <w:t xml:space="preserve"> remains in draft form. Importantly, </w:t>
      </w:r>
      <w:r w:rsidR="0038032B">
        <w:t>Hathaway (2014)</w:t>
      </w:r>
      <w:r w:rsidR="00C531B4">
        <w:t xml:space="preserve"> appears to come to the opposite conclusion of his 2013 analysis</w:t>
      </w:r>
      <w:r w:rsidR="00AC6F43">
        <w:t xml:space="preserve"> regarding the FAB data</w:t>
      </w:r>
      <w:r w:rsidR="00C531B4">
        <w:t>:</w:t>
      </w:r>
      <w:r w:rsidR="00971DD7">
        <w:rPr>
          <w:rStyle w:val="FootnoteReference"/>
        </w:rPr>
        <w:footnoteReference w:id="312"/>
      </w:r>
    </w:p>
    <w:p w14:paraId="201C2DB9" w14:textId="77777777" w:rsidR="00C531B4" w:rsidRPr="009A4A80" w:rsidRDefault="00C531B4" w:rsidP="00C531B4">
      <w:pPr>
        <w:pStyle w:val="AERquote"/>
      </w:pPr>
      <w:r>
        <w:t xml:space="preserve">…the FAB data indicate a </w:t>
      </w:r>
      <w:r w:rsidRPr="00971DD7">
        <w:rPr>
          <w:rStyle w:val="AERtextitalic"/>
        </w:rPr>
        <w:t>net</w:t>
      </w:r>
      <w:r w:rsidRPr="009A4A80">
        <w:t xml:space="preserve"> $337.4 billion of credits have been distributed and a </w:t>
      </w:r>
      <w:r w:rsidRPr="00971DD7">
        <w:rPr>
          <w:rStyle w:val="AERtextitalic"/>
        </w:rPr>
        <w:t>gross</w:t>
      </w:r>
      <w:r w:rsidRPr="009A4A80">
        <w:t xml:space="preserve"> $428 billion was distributed.</w:t>
      </w:r>
    </w:p>
    <w:p w14:paraId="7412DB56" w14:textId="77777777" w:rsidR="00C531B4" w:rsidRDefault="00C531B4" w:rsidP="00C531B4">
      <w:pPr>
        <w:pStyle w:val="AERquote"/>
      </w:pPr>
      <w:r w:rsidRPr="009A4A80">
        <w:t>This gross distribution seems highly improbable and is quite inconsis</w:t>
      </w:r>
      <w:r>
        <w:t xml:space="preserve">tent with the recorded franking </w:t>
      </w:r>
      <w:r w:rsidRPr="009A4A80">
        <w:t>credit income. It represents a gross payout ratio of 88% of all company tax as franking credits for</w:t>
      </w:r>
      <w:r>
        <w:t xml:space="preserve"> </w:t>
      </w:r>
      <w:r w:rsidRPr="009A4A80">
        <w:t>the period 2004-12. This is in stark contrast to the gross 66% distribution recorded by the payment</w:t>
      </w:r>
      <w:r>
        <w:t xml:space="preserve"> </w:t>
      </w:r>
      <w:r w:rsidRPr="009A4A80">
        <w:t>of franked dividends. We conclude that the FAB data are a concern.</w:t>
      </w:r>
    </w:p>
    <w:p w14:paraId="127556E0" w14:textId="77777777" w:rsidR="0060222E" w:rsidRDefault="004516D5" w:rsidP="00AC6F43">
      <w:r>
        <w:t xml:space="preserve">To the extent that </w:t>
      </w:r>
      <w:r w:rsidR="0038032B">
        <w:t xml:space="preserve">the </w:t>
      </w:r>
      <w:r>
        <w:t xml:space="preserve">new conclusions </w:t>
      </w:r>
      <w:r w:rsidR="0038032B">
        <w:t xml:space="preserve">in Hathaway (2014) </w:t>
      </w:r>
      <w:r>
        <w:t xml:space="preserve">are well founded, </w:t>
      </w:r>
      <w:r w:rsidR="00DC1EBA">
        <w:t>t</w:t>
      </w:r>
      <w:r w:rsidR="004510F7">
        <w:t xml:space="preserve">he potential implication is that an estimate of the distribution rate using franked dividend data </w:t>
      </w:r>
      <w:r w:rsidR="00D516A1">
        <w:t>might</w:t>
      </w:r>
      <w:r w:rsidR="004510F7">
        <w:t xml:space="preserve"> be more approp</w:t>
      </w:r>
      <w:r w:rsidR="00D516A1">
        <w:t>riate</w:t>
      </w:r>
      <w:r w:rsidR="0060222E">
        <w:t xml:space="preserve"> (that is, around 0.5, or at least between 0.5 and 0.7)</w:t>
      </w:r>
      <w:r w:rsidR="00D516A1">
        <w:t>. However, on first assessment, we are not convinced by Hathaway's</w:t>
      </w:r>
      <w:r w:rsidR="0060222E">
        <w:t xml:space="preserve"> main</w:t>
      </w:r>
      <w:r w:rsidR="00D516A1">
        <w:t xml:space="preserve"> reason for concluding that the FAB data are a concern</w:t>
      </w:r>
      <w:r w:rsidR="00D516A1">
        <w:rPr>
          <w:rFonts w:cs="Arial"/>
        </w:rPr>
        <w:t>—</w:t>
      </w:r>
      <w:r w:rsidR="00D516A1">
        <w:t>the idea that they imply a g</w:t>
      </w:r>
      <w:r w:rsidR="0060222E">
        <w:t>ross distribution rate of 0.88</w:t>
      </w:r>
      <w:r w:rsidR="00D516A1">
        <w:t xml:space="preserve"> which is 'improbable' and much higher than the gross distribution rate implied by franked dividend data</w:t>
      </w:r>
      <w:r w:rsidR="0060222E">
        <w:t xml:space="preserve"> (0.66, which appears to be</w:t>
      </w:r>
      <w:r w:rsidR="00D516A1">
        <w:t xml:space="preserve"> considered </w:t>
      </w:r>
      <w:r w:rsidR="0060222E">
        <w:t xml:space="preserve">by Hathaway to be </w:t>
      </w:r>
      <w:r w:rsidR="003E0367">
        <w:t>probable</w:t>
      </w:r>
      <w:r w:rsidR="00D516A1">
        <w:t xml:space="preserve">). This is because </w:t>
      </w:r>
      <w:r w:rsidR="0060222E">
        <w:lastRenderedPageBreak/>
        <w:t xml:space="preserve">Lally's estimate of </w:t>
      </w:r>
      <w:r w:rsidR="00D516A1">
        <w:t>the gross distribution rate</w:t>
      </w:r>
      <w:r w:rsidR="0060222E">
        <w:t xml:space="preserve"> across the largest listed companies is 0.84, and therefore we do not consider that an estimate of 0.8</w:t>
      </w:r>
      <w:r w:rsidR="007472A2">
        <w:t>8 is necessarily</w:t>
      </w:r>
      <w:r w:rsidR="0060222E">
        <w:t xml:space="preserve"> improbable.</w:t>
      </w:r>
    </w:p>
    <w:p w14:paraId="21623A7E" w14:textId="215E9FFD" w:rsidR="006878CF" w:rsidRDefault="001345D0" w:rsidP="00B027E1">
      <w:r>
        <w:t>While we are aware of it, w</w:t>
      </w:r>
      <w:r w:rsidR="00D50D70">
        <w:t xml:space="preserve">e do not place reliance on </w:t>
      </w:r>
      <w:r w:rsidR="007254ED">
        <w:t>the</w:t>
      </w:r>
      <w:r w:rsidR="00D50D70">
        <w:t xml:space="preserve"> conclusion </w:t>
      </w:r>
      <w:r w:rsidR="007254ED">
        <w:t xml:space="preserve">in Hathaway (2014) </w:t>
      </w:r>
      <w:r w:rsidR="00D50D70">
        <w:t xml:space="preserve">regarding </w:t>
      </w:r>
      <w:r w:rsidR="00CE52F5">
        <w:t>the FAB data in this final decision. This is because:</w:t>
      </w:r>
    </w:p>
    <w:p w14:paraId="506AA719" w14:textId="4A04427A" w:rsidR="004643C3" w:rsidRDefault="00920059" w:rsidP="00CE52F5">
      <w:pPr>
        <w:pStyle w:val="AERbulletlistfirststyle"/>
      </w:pPr>
      <w:r>
        <w:t>W</w:t>
      </w:r>
      <w:r w:rsidR="004643C3">
        <w:t>e do not find convincing Hathaway's reasoning for his conclusion</w:t>
      </w:r>
      <w:r w:rsidR="00F130EF">
        <w:t>.</w:t>
      </w:r>
    </w:p>
    <w:p w14:paraId="2699542F" w14:textId="77777777" w:rsidR="00045DD9" w:rsidRDefault="00585426" w:rsidP="00CE52F5">
      <w:pPr>
        <w:pStyle w:val="AERbulletlistfirststyle"/>
      </w:pPr>
      <w:r>
        <w:t>T</w:t>
      </w:r>
      <w:r w:rsidR="00F130EF">
        <w:t>his conclusion</w:t>
      </w:r>
      <w:r>
        <w:t xml:space="preserve"> does not appear contingent on any new information provided by the release of the 2011-12 statistics. Therefore, this conclusion would appear to have been </w:t>
      </w:r>
      <w:r w:rsidR="004B2373">
        <w:t>open to Hathaway, NERA and Handley</w:t>
      </w:r>
      <w:r>
        <w:t xml:space="preserve"> previously,</w:t>
      </w:r>
      <w:r w:rsidR="004B2373">
        <w:t xml:space="preserve"> yet none of them came to it.</w:t>
      </w:r>
    </w:p>
    <w:p w14:paraId="6109FCA6" w14:textId="3086EF1B" w:rsidR="00920059" w:rsidRDefault="00920059" w:rsidP="00B027E1">
      <w:r>
        <w:t>We also not</w:t>
      </w:r>
      <w:r w:rsidR="00C600C4">
        <w:t>e</w:t>
      </w:r>
      <w:r>
        <w:t xml:space="preserve"> the report is still marked draft nearly one year after initially being completed.</w:t>
      </w:r>
    </w:p>
    <w:p w14:paraId="633F4A57" w14:textId="77777777" w:rsidR="00045DD9" w:rsidRDefault="00045DD9" w:rsidP="00FE3331">
      <w:pPr>
        <w:pStyle w:val="Heading8"/>
      </w:pPr>
      <w:bookmarkStart w:id="80" w:name="_Ref403481535"/>
      <w:bookmarkStart w:id="81" w:name="_Toc433449222"/>
      <w:r>
        <w:t>Application of rate of return criteria to evidence on the utilisation rate</w:t>
      </w:r>
      <w:bookmarkEnd w:id="80"/>
      <w:bookmarkEnd w:id="81"/>
    </w:p>
    <w:p w14:paraId="0E13DF73" w14:textId="39ADA19F" w:rsidR="00680B58" w:rsidRDefault="00045DD9" w:rsidP="00277D14">
      <w:pPr>
        <w:numPr>
          <w:ilvl w:val="0"/>
          <w:numId w:val="25"/>
        </w:numPr>
        <w:sectPr w:rsidR="00680B58" w:rsidSect="002B2C56">
          <w:pgSz w:w="11906" w:h="16838"/>
          <w:pgMar w:top="1440" w:right="1440" w:bottom="1440" w:left="1440" w:header="708" w:footer="708" w:gutter="0"/>
          <w:pgNumType w:chapStyle="1"/>
          <w:cols w:space="708"/>
          <w:docGrid w:linePitch="360"/>
        </w:sectPr>
      </w:pPr>
      <w:r>
        <w:t xml:space="preserve">Our main assessment of the various approaches to estimating the utilisation rate is set out in section </w:t>
      </w:r>
      <w:r w:rsidR="006734AB">
        <w:fldChar w:fldCharType="begin"/>
      </w:r>
      <w:r w:rsidR="006734AB">
        <w:instrText xml:space="preserve"> REF _Ref414289593 \r \h </w:instrText>
      </w:r>
      <w:r w:rsidR="006734AB">
        <w:fldChar w:fldCharType="separate"/>
      </w:r>
      <w:r w:rsidR="001E2164">
        <w:t>4.4.2</w:t>
      </w:r>
      <w:r w:rsidR="006734AB">
        <w:fldChar w:fldCharType="end"/>
      </w:r>
      <w:r w:rsidR="006734AB">
        <w:t xml:space="preserve"> </w:t>
      </w:r>
      <w:r>
        <w:t xml:space="preserve">of attachment 4, with supporting evidence provided in this appendix. However, we have also considered these approaches and the evidence they employ against </w:t>
      </w:r>
      <w:r w:rsidRPr="0073373B">
        <w:t>the criteria used to assess evidence on the allowed rate of return</w:t>
      </w:r>
      <w:r>
        <w:t xml:space="preserve"> (</w:t>
      </w:r>
      <w:r w:rsidR="00355B77">
        <w:fldChar w:fldCharType="begin"/>
      </w:r>
      <w:r w:rsidR="00355B77">
        <w:instrText xml:space="preserve"> REF  _Ref415046112 \* Lower \h </w:instrText>
      </w:r>
      <w:r w:rsidR="00355B77">
        <w:fldChar w:fldCharType="separate"/>
      </w:r>
      <w:r w:rsidR="001E2164">
        <w:t xml:space="preserve">table </w:t>
      </w:r>
      <w:r w:rsidR="001E2164">
        <w:rPr>
          <w:noProof/>
        </w:rPr>
        <w:t>4</w:t>
      </w:r>
      <w:r w:rsidR="001E2164" w:rsidRPr="00277D14">
        <w:noBreakHyphen/>
      </w:r>
      <w:r w:rsidR="001E2164">
        <w:rPr>
          <w:noProof/>
        </w:rPr>
        <w:t>7</w:t>
      </w:r>
      <w:r w:rsidR="00355B77">
        <w:fldChar w:fldCharType="end"/>
      </w:r>
      <w:r>
        <w:t>)</w:t>
      </w:r>
      <w:r w:rsidRPr="0073373B">
        <w:t>.</w:t>
      </w:r>
      <w:r>
        <w:t xml:space="preserve"> Assessment against these criteria broadly supports our ma</w:t>
      </w:r>
      <w:r w:rsidR="007233A4">
        <w:t>in assessment of the approache</w:t>
      </w:r>
      <w:r w:rsidR="00277D14">
        <w:t>s.</w:t>
      </w:r>
    </w:p>
    <w:tbl>
      <w:tblPr>
        <w:tblStyle w:val="AERtable-text0"/>
        <w:tblpPr w:leftFromText="180" w:rightFromText="180" w:vertAnchor="page" w:horzAnchor="margin" w:tblpY="2071"/>
        <w:tblW w:w="14152" w:type="dxa"/>
        <w:tblLayout w:type="fixed"/>
        <w:tblLook w:val="04A0" w:firstRow="1" w:lastRow="0" w:firstColumn="1" w:lastColumn="0" w:noHBand="0" w:noVBand="1"/>
      </w:tblPr>
      <w:tblGrid>
        <w:gridCol w:w="3936"/>
        <w:gridCol w:w="3140"/>
        <w:gridCol w:w="3238"/>
        <w:gridCol w:w="3838"/>
      </w:tblGrid>
      <w:tr w:rsidR="00277D14" w:rsidRPr="00FE391A" w14:paraId="32C507F3" w14:textId="77777777" w:rsidTr="00D64449">
        <w:trPr>
          <w:cnfStyle w:val="100000000000" w:firstRow="1" w:lastRow="0" w:firstColumn="0" w:lastColumn="0" w:oddVBand="0" w:evenVBand="0" w:oddHBand="0" w:evenHBand="0" w:firstRowFirstColumn="0" w:firstRowLastColumn="0" w:lastRowFirstColumn="0" w:lastRowLastColumn="0"/>
          <w:cantSplit/>
          <w:tblHeader/>
        </w:trPr>
        <w:tc>
          <w:tcPr>
            <w:tcW w:w="3936" w:type="dxa"/>
          </w:tcPr>
          <w:p w14:paraId="2B6FEB36" w14:textId="77777777" w:rsidR="00277D14" w:rsidRPr="00277D14" w:rsidRDefault="00277D14" w:rsidP="00277D14">
            <w:r>
              <w:lastRenderedPageBreak/>
              <w:t xml:space="preserve"> Criteria</w:t>
            </w:r>
            <w:r w:rsidRPr="00277D14">
              <w:rPr>
                <w:rStyle w:val="FootnoteReference"/>
              </w:rPr>
              <w:t>(a)</w:t>
            </w:r>
          </w:p>
        </w:tc>
        <w:tc>
          <w:tcPr>
            <w:tcW w:w="3140" w:type="dxa"/>
          </w:tcPr>
          <w:p w14:paraId="7F9F4570" w14:textId="77777777" w:rsidR="00277D14" w:rsidRPr="00277D14" w:rsidRDefault="00277D14" w:rsidP="00277D14">
            <w:r>
              <w:t>Equity ownership approach</w:t>
            </w:r>
          </w:p>
        </w:tc>
        <w:tc>
          <w:tcPr>
            <w:tcW w:w="3238" w:type="dxa"/>
          </w:tcPr>
          <w:p w14:paraId="1C37DD30" w14:textId="77777777" w:rsidR="00277D14" w:rsidRPr="00277D14" w:rsidRDefault="00277D14" w:rsidP="00277D14">
            <w:r>
              <w:t>Tax statistics</w:t>
            </w:r>
          </w:p>
        </w:tc>
        <w:tc>
          <w:tcPr>
            <w:tcW w:w="3838" w:type="dxa"/>
          </w:tcPr>
          <w:p w14:paraId="262D4BE3" w14:textId="77777777" w:rsidR="00277D14" w:rsidRPr="00277D14" w:rsidRDefault="00277D14" w:rsidP="00277D14">
            <w:r>
              <w:t>Implied market value studies</w:t>
            </w:r>
          </w:p>
        </w:tc>
      </w:tr>
      <w:tr w:rsidR="00277D14" w:rsidRPr="00FE391A" w14:paraId="3E2CFF02" w14:textId="77777777" w:rsidTr="00D64449">
        <w:trPr>
          <w:cantSplit/>
        </w:trPr>
        <w:tc>
          <w:tcPr>
            <w:tcW w:w="3936" w:type="dxa"/>
          </w:tcPr>
          <w:p w14:paraId="4BCECFDE" w14:textId="77777777" w:rsidR="00277D14" w:rsidRPr="00277D14" w:rsidRDefault="00277D14" w:rsidP="00277D14">
            <w:r>
              <w:t>W</w:t>
            </w:r>
            <w:r w:rsidRPr="00277D14">
              <w:t xml:space="preserve">here applicable, reflective of economic and finance principles and market information. </w:t>
            </w:r>
          </w:p>
          <w:p w14:paraId="58094247" w14:textId="77777777" w:rsidR="00277D14" w:rsidRPr="00277D14" w:rsidRDefault="00277D14" w:rsidP="00277D14">
            <w:r>
              <w:t xml:space="preserve">- </w:t>
            </w:r>
            <w:r w:rsidRPr="00277D14">
              <w:t>Estimation methods and financial models are consistent with well accepted economic and finance principles and informed by sound empirical analysis and robust data.</w:t>
            </w:r>
          </w:p>
        </w:tc>
        <w:tc>
          <w:tcPr>
            <w:tcW w:w="3140" w:type="dxa"/>
          </w:tcPr>
          <w:p w14:paraId="76407455" w14:textId="77777777" w:rsidR="00277D14" w:rsidRPr="00277D14" w:rsidRDefault="00277D14" w:rsidP="00277D14">
            <w:r>
              <w:t>Accords with Monkhouse framework and principle of investor rationality (e.g. eligible investors expected to utilise credits to which they are entitled).</w:t>
            </w:r>
          </w:p>
          <w:p w14:paraId="21BBD937" w14:textId="77777777" w:rsidR="00277D14" w:rsidRPr="00277D14" w:rsidRDefault="00277D14" w:rsidP="00277D14">
            <w:r>
              <w:t>Analysis is straightforward and sound. Data is from credible source (ABS).</w:t>
            </w:r>
          </w:p>
        </w:tc>
        <w:tc>
          <w:tcPr>
            <w:tcW w:w="3238" w:type="dxa"/>
          </w:tcPr>
          <w:p w14:paraId="3E88E208" w14:textId="77777777" w:rsidR="00277D14" w:rsidRPr="00277D14" w:rsidRDefault="00277D14" w:rsidP="00277D14">
            <w:r>
              <w:t>Market information on the amount of imputation credits utilised.</w:t>
            </w:r>
          </w:p>
          <w:p w14:paraId="24541896" w14:textId="77777777" w:rsidR="00277D14" w:rsidRPr="00277D14" w:rsidRDefault="00277D14" w:rsidP="00277D14">
            <w:r>
              <w:t xml:space="preserve">Analysis is straightforward and sound. Data is from credible source (ATO), </w:t>
            </w:r>
            <w:r w:rsidRPr="00277D14">
              <w:t>but some data concerns have been identified.</w:t>
            </w:r>
          </w:p>
        </w:tc>
        <w:tc>
          <w:tcPr>
            <w:tcW w:w="3838" w:type="dxa"/>
          </w:tcPr>
          <w:p w14:paraId="493FF780" w14:textId="77777777" w:rsidR="00277D14" w:rsidRPr="00277D14" w:rsidRDefault="00277D14" w:rsidP="00277D14">
            <w:r>
              <w:t xml:space="preserve">Mainly based on the principle </w:t>
            </w:r>
            <w:r w:rsidRPr="00277D14">
              <w:t>that share prices reflect the present value of future dividends (and imputation credits) and 'no arbitrage'.</w:t>
            </w:r>
          </w:p>
          <w:p w14:paraId="3606CE81" w14:textId="77777777" w:rsidR="00277D14" w:rsidRPr="00277D14" w:rsidRDefault="00277D14" w:rsidP="00277D14">
            <w:r>
              <w:t>Varying opinions on the soundness of analysis across studies. Underlying data is typically from credible sources (e.g. Bloomberg, ASX).</w:t>
            </w:r>
          </w:p>
        </w:tc>
      </w:tr>
      <w:tr w:rsidR="00277D14" w:rsidRPr="00FE391A" w14:paraId="3D6DC604" w14:textId="77777777" w:rsidTr="00D64449">
        <w:trPr>
          <w:cnfStyle w:val="000000010000" w:firstRow="0" w:lastRow="0" w:firstColumn="0" w:lastColumn="0" w:oddVBand="0" w:evenVBand="0" w:oddHBand="0" w:evenHBand="1" w:firstRowFirstColumn="0" w:firstRowLastColumn="0" w:lastRowFirstColumn="0" w:lastRowLastColumn="0"/>
          <w:cantSplit/>
        </w:trPr>
        <w:tc>
          <w:tcPr>
            <w:tcW w:w="3936" w:type="dxa"/>
          </w:tcPr>
          <w:p w14:paraId="5F3FC8E4" w14:textId="77777777" w:rsidR="00277D14" w:rsidRPr="00277D14" w:rsidRDefault="00277D14" w:rsidP="00277D14">
            <w:r>
              <w:t xml:space="preserve">Fit for purpose. </w:t>
            </w:r>
          </w:p>
          <w:p w14:paraId="2D0AB283" w14:textId="77777777" w:rsidR="00277D14" w:rsidRPr="00277D14" w:rsidRDefault="00277D14" w:rsidP="00277D14">
            <w:r>
              <w:t xml:space="preserve">- </w:t>
            </w:r>
            <w:r w:rsidRPr="00277D14">
              <w:t xml:space="preserve">The use of estimation methods, financial models, market data and other evidence should be consistent with the original purpose for which it was compiled and have regard to the limitations of that purpose. </w:t>
            </w:r>
          </w:p>
          <w:p w14:paraId="0E6F23B5" w14:textId="77777777" w:rsidR="00277D14" w:rsidRPr="00277D14" w:rsidRDefault="00277D14" w:rsidP="00277D14">
            <w:r>
              <w:t xml:space="preserve">- </w:t>
            </w:r>
            <w:r w:rsidRPr="00277D14">
              <w:t>Promote simple over complex approaches where appropriate.</w:t>
            </w:r>
          </w:p>
        </w:tc>
        <w:tc>
          <w:tcPr>
            <w:tcW w:w="3140" w:type="dxa"/>
          </w:tcPr>
          <w:p w14:paraId="58B9A19B" w14:textId="77777777" w:rsidR="00277D14" w:rsidRPr="00277D14" w:rsidRDefault="00277D14" w:rsidP="00277D14">
            <w:r>
              <w:t>ABS data used to estimate the domestic ownership share of Australian equity, which is consistent with its purpose. Approach is simple.</w:t>
            </w:r>
          </w:p>
        </w:tc>
        <w:tc>
          <w:tcPr>
            <w:tcW w:w="3238" w:type="dxa"/>
          </w:tcPr>
          <w:p w14:paraId="6479A2C1" w14:textId="77777777" w:rsidR="00277D14" w:rsidRPr="00277D14" w:rsidRDefault="00277D14" w:rsidP="00277D14">
            <w:r>
              <w:t>ATO statistics used to observe the reported amount of imputation credits utilised by investors, which is consistent with their purpose. Approach is simple.</w:t>
            </w:r>
          </w:p>
        </w:tc>
        <w:tc>
          <w:tcPr>
            <w:tcW w:w="3838" w:type="dxa"/>
          </w:tcPr>
          <w:p w14:paraId="2965B216" w14:textId="77777777" w:rsidR="00277D14" w:rsidRPr="00277D14" w:rsidRDefault="00277D14" w:rsidP="00277D14">
            <w:r>
              <w:t xml:space="preserve">Some studies undertaken for the specific purpose of estimating the utilisation rate for regulatory purposes. Results of some studies need to be interpreted carefully to be consistent with the regulatory framework. Studies can </w:t>
            </w:r>
            <w:r w:rsidRPr="00277D14">
              <w:t>employ complex and sometimes problematic estimation methodologies.</w:t>
            </w:r>
          </w:p>
        </w:tc>
      </w:tr>
      <w:tr w:rsidR="00277D14" w:rsidRPr="00FE391A" w14:paraId="0CBD59A7" w14:textId="77777777" w:rsidTr="00D64449">
        <w:trPr>
          <w:cantSplit/>
        </w:trPr>
        <w:tc>
          <w:tcPr>
            <w:tcW w:w="3936" w:type="dxa"/>
          </w:tcPr>
          <w:p w14:paraId="375260FE" w14:textId="77777777" w:rsidR="00277D14" w:rsidRPr="00277D14" w:rsidRDefault="00277D14" w:rsidP="00277D14">
            <w:r>
              <w:t>I</w:t>
            </w:r>
            <w:r w:rsidRPr="00277D14">
              <w:t xml:space="preserve">mplemented in accordance with good practice. </w:t>
            </w:r>
          </w:p>
          <w:p w14:paraId="6E5FCC6F" w14:textId="77777777" w:rsidR="00277D14" w:rsidRPr="00277D14" w:rsidRDefault="00277D14" w:rsidP="00277D14">
            <w:r>
              <w:t xml:space="preserve">- </w:t>
            </w:r>
            <w:r w:rsidRPr="00277D14">
              <w:t>Supported by robust, transparent and replicable analysis that is derived from available credible datasets.</w:t>
            </w:r>
          </w:p>
        </w:tc>
        <w:tc>
          <w:tcPr>
            <w:tcW w:w="3140" w:type="dxa"/>
          </w:tcPr>
          <w:p w14:paraId="6C32A832" w14:textId="77777777" w:rsidR="00277D14" w:rsidRPr="00277D14" w:rsidRDefault="00277D14" w:rsidP="00277D14">
            <w:r>
              <w:t>Transparent and replicable using published data. Some knowledge of ABS classifications required.</w:t>
            </w:r>
          </w:p>
        </w:tc>
        <w:tc>
          <w:tcPr>
            <w:tcW w:w="3238" w:type="dxa"/>
          </w:tcPr>
          <w:p w14:paraId="6E6B7954" w14:textId="77777777" w:rsidR="00277D14" w:rsidRPr="00277D14" w:rsidRDefault="00277D14" w:rsidP="00277D14">
            <w:r>
              <w:t>Transparent and replicable using published data, although detailed knowledge of tax return labels required. Some data concerns have been identified.</w:t>
            </w:r>
          </w:p>
        </w:tc>
        <w:tc>
          <w:tcPr>
            <w:tcW w:w="3838" w:type="dxa"/>
          </w:tcPr>
          <w:p w14:paraId="2C1A6C66" w14:textId="77777777" w:rsidR="00277D14" w:rsidRPr="00277D14" w:rsidRDefault="00277D14" w:rsidP="00277D14">
            <w:r>
              <w:t>Less transparent and replicable, as econometrics knowledge required and data not always publicly or freely available.</w:t>
            </w:r>
          </w:p>
        </w:tc>
      </w:tr>
      <w:tr w:rsidR="00277D14" w:rsidRPr="00FE391A" w14:paraId="68B7D1CB" w14:textId="77777777" w:rsidTr="00D64449">
        <w:trPr>
          <w:cnfStyle w:val="000000010000" w:firstRow="0" w:lastRow="0" w:firstColumn="0" w:lastColumn="0" w:oddVBand="0" w:evenVBand="0" w:oddHBand="0" w:evenHBand="1" w:firstRowFirstColumn="0" w:firstRowLastColumn="0" w:lastRowFirstColumn="0" w:lastRowLastColumn="0"/>
          <w:cantSplit/>
        </w:trPr>
        <w:tc>
          <w:tcPr>
            <w:tcW w:w="3936" w:type="dxa"/>
          </w:tcPr>
          <w:p w14:paraId="572511EA" w14:textId="77777777" w:rsidR="00277D14" w:rsidRPr="00277D14" w:rsidRDefault="00277D14" w:rsidP="00277D14">
            <w:r>
              <w:t>W</w:t>
            </w:r>
            <w:r w:rsidRPr="00277D14">
              <w:t>here market data and other information is used, this information is: credible and verifiable; comparable and timely; and clearly sourced.</w:t>
            </w:r>
          </w:p>
        </w:tc>
        <w:tc>
          <w:tcPr>
            <w:tcW w:w="3140" w:type="dxa"/>
          </w:tcPr>
          <w:p w14:paraId="442D2B54" w14:textId="77777777" w:rsidR="00277D14" w:rsidRPr="00277D14" w:rsidRDefault="00277D14" w:rsidP="00277D14">
            <w:r>
              <w:t xml:space="preserve">ABS is a credible source. Relevant statistics are published online on a quarterly basis. </w:t>
            </w:r>
          </w:p>
        </w:tc>
        <w:tc>
          <w:tcPr>
            <w:tcW w:w="3238" w:type="dxa"/>
          </w:tcPr>
          <w:p w14:paraId="13E40FE2" w14:textId="77777777" w:rsidR="00277D14" w:rsidRPr="00277D14" w:rsidRDefault="00277D14" w:rsidP="00277D14">
            <w:r>
              <w:t>ATO is a credible source. Relevant statistics are published online on an annual basis, with a two-year lag (e.g. 2011-12 statistics published in 2014). Some data concerns have been identified.</w:t>
            </w:r>
          </w:p>
        </w:tc>
        <w:tc>
          <w:tcPr>
            <w:tcW w:w="3838" w:type="dxa"/>
          </w:tcPr>
          <w:p w14:paraId="2F4206D4" w14:textId="77777777" w:rsidR="00277D14" w:rsidRPr="00277D14" w:rsidRDefault="00277D14" w:rsidP="00277D14">
            <w:r>
              <w:t>Underlying data typically from credible sources (e.g. Bloomberg, ASX) and is produced on a timely basis. Data not always publicly or freely available.</w:t>
            </w:r>
          </w:p>
          <w:p w14:paraId="130CAF90" w14:textId="77777777" w:rsidR="00277D14" w:rsidRPr="00277D14" w:rsidRDefault="00277D14" w:rsidP="00277D14">
            <w:r>
              <w:t>Use of econometrics makes the results difficult and complex to verify.</w:t>
            </w:r>
          </w:p>
        </w:tc>
      </w:tr>
      <w:tr w:rsidR="00277D14" w:rsidRPr="00FE391A" w14:paraId="51E0E721" w14:textId="77777777" w:rsidTr="00D64449">
        <w:trPr>
          <w:cantSplit/>
        </w:trPr>
        <w:tc>
          <w:tcPr>
            <w:tcW w:w="3936" w:type="dxa"/>
          </w:tcPr>
          <w:p w14:paraId="6EF85892" w14:textId="77777777" w:rsidR="00277D14" w:rsidRPr="00277D14" w:rsidRDefault="00277D14" w:rsidP="00277D14">
            <w:r w:rsidRPr="007333FB">
              <w:t xml:space="preserve">Sufficiently flexible as to allow </w:t>
            </w:r>
            <w:r w:rsidRPr="00277D14">
              <w:t>changing market conditions and new information to be reflected in regulatory outcomes, as appropriate.</w:t>
            </w:r>
          </w:p>
        </w:tc>
        <w:tc>
          <w:tcPr>
            <w:tcW w:w="3140" w:type="dxa"/>
          </w:tcPr>
          <w:p w14:paraId="486AD498" w14:textId="77777777" w:rsidR="00277D14" w:rsidRPr="00277D14" w:rsidRDefault="00277D14" w:rsidP="00F96291">
            <w:r>
              <w:t xml:space="preserve">Reflects current ownership of Australian equities. However, </w:t>
            </w:r>
            <w:r w:rsidR="00F96291">
              <w:t>might</w:t>
            </w:r>
            <w:r w:rsidRPr="00277D14">
              <w:t xml:space="preserve"> not reflect any tax law changes that reduce eligible investors’ utilisation rates below 1.  </w:t>
            </w:r>
          </w:p>
        </w:tc>
        <w:tc>
          <w:tcPr>
            <w:tcW w:w="3238" w:type="dxa"/>
          </w:tcPr>
          <w:p w14:paraId="456AB94A" w14:textId="77777777" w:rsidR="00277D14" w:rsidRPr="00277D14" w:rsidRDefault="00277D14" w:rsidP="00277D14">
            <w:r>
              <w:t>Reflects conditions up to two years ago.</w:t>
            </w:r>
          </w:p>
        </w:tc>
        <w:tc>
          <w:tcPr>
            <w:tcW w:w="3838" w:type="dxa"/>
          </w:tcPr>
          <w:p w14:paraId="2A531F34" w14:textId="77777777" w:rsidR="00277D14" w:rsidRPr="00277D14" w:rsidRDefault="00277D14" w:rsidP="00277D14">
            <w:r>
              <w:t>Reflects current conditions to the extent that recent data is used. Different studies span various time periods.</w:t>
            </w:r>
          </w:p>
        </w:tc>
      </w:tr>
    </w:tbl>
    <w:p w14:paraId="3C0FC3A4" w14:textId="77777777" w:rsidR="00277D14" w:rsidRPr="00277D14" w:rsidRDefault="00277D14" w:rsidP="00277D14">
      <w:pPr>
        <w:pStyle w:val="Caption"/>
      </w:pPr>
      <w:bookmarkStart w:id="82" w:name="_Ref415046112"/>
      <w:r>
        <w:t xml:space="preserve">Table </w:t>
      </w:r>
      <w:r w:rsidR="00D70292">
        <w:fldChar w:fldCharType="begin"/>
      </w:r>
      <w:r w:rsidR="00D70292">
        <w:instrText xml:space="preserve"> STYLEREF 1 \s </w:instrText>
      </w:r>
      <w:r w:rsidR="00D70292">
        <w:fldChar w:fldCharType="separate"/>
      </w:r>
      <w:r w:rsidR="001E2164">
        <w:rPr>
          <w:noProof/>
        </w:rPr>
        <w:t>4</w:t>
      </w:r>
      <w:r w:rsidR="00D70292">
        <w:rPr>
          <w:noProof/>
        </w:rPr>
        <w:fldChar w:fldCharType="end"/>
      </w:r>
      <w:r w:rsidRPr="00277D14">
        <w:noBreakHyphen/>
      </w:r>
      <w:r w:rsidR="00D70292">
        <w:fldChar w:fldCharType="begin"/>
      </w:r>
      <w:r w:rsidR="00D70292">
        <w:instrText xml:space="preserve"> SEQ Table \* ARABIC \s 1 </w:instrText>
      </w:r>
      <w:r w:rsidR="00D70292">
        <w:fldChar w:fldCharType="separate"/>
      </w:r>
      <w:r w:rsidR="001E2164">
        <w:rPr>
          <w:noProof/>
        </w:rPr>
        <w:t>7</w:t>
      </w:r>
      <w:r w:rsidR="00D70292">
        <w:rPr>
          <w:noProof/>
        </w:rPr>
        <w:fldChar w:fldCharType="end"/>
      </w:r>
      <w:bookmarkEnd w:id="82"/>
      <w:r w:rsidRPr="00277D14">
        <w:tab/>
        <w:t>Application of rate of return criteria to evidence on the utilisation rate</w:t>
      </w:r>
    </w:p>
    <w:p w14:paraId="43D13E93" w14:textId="77777777" w:rsidR="00277D14" w:rsidRDefault="00277D14" w:rsidP="00277D14">
      <w:pPr>
        <w:pStyle w:val="AERtablesource"/>
      </w:pPr>
      <w:r>
        <w:t xml:space="preserve">Source: </w:t>
      </w:r>
      <w:r>
        <w:tab/>
        <w:t>AER analysis.</w:t>
      </w:r>
    </w:p>
    <w:p w14:paraId="4D5A58A1" w14:textId="77777777" w:rsidR="00045DD9" w:rsidRDefault="00D3675C" w:rsidP="00D3675C">
      <w:pPr>
        <w:pStyle w:val="AERtablesource"/>
        <w:ind w:left="0" w:firstLine="0"/>
      </w:pPr>
      <w:r>
        <w:t>(a):</w:t>
      </w:r>
      <w:r>
        <w:tab/>
        <w:t>The criteria relating specifically to return on equity and return on debt quantitative models are excluded because they are not applicable.</w:t>
      </w:r>
    </w:p>
    <w:p w14:paraId="1E07006B" w14:textId="77777777" w:rsidR="00D02FB0" w:rsidRDefault="00D02FB0" w:rsidP="00277D14">
      <w:pPr>
        <w:sectPr w:rsidR="00D02FB0" w:rsidSect="00872109">
          <w:pgSz w:w="16838" w:h="11906" w:orient="landscape"/>
          <w:pgMar w:top="1440" w:right="1440" w:bottom="1440" w:left="1440" w:header="709" w:footer="709" w:gutter="0"/>
          <w:pgNumType w:chapStyle="1"/>
          <w:cols w:space="720"/>
          <w:docGrid w:linePitch="326"/>
        </w:sectPr>
      </w:pPr>
      <w:bookmarkStart w:id="83" w:name="_Ref403481615"/>
    </w:p>
    <w:p w14:paraId="0DA7B9E1" w14:textId="77777777" w:rsidR="0016005F" w:rsidRDefault="0016005F" w:rsidP="0016005F">
      <w:pPr>
        <w:pStyle w:val="Heading8"/>
      </w:pPr>
      <w:bookmarkStart w:id="84" w:name="_Ref415049811"/>
      <w:bookmarkStart w:id="85" w:name="_Toc433449223"/>
      <w:r>
        <w:lastRenderedPageBreak/>
        <w:t xml:space="preserve">The equity ownership </w:t>
      </w:r>
      <w:r w:rsidRPr="0016005F">
        <w:t>approach</w:t>
      </w:r>
      <w:bookmarkEnd w:id="83"/>
      <w:bookmarkEnd w:id="84"/>
      <w:bookmarkEnd w:id="85"/>
    </w:p>
    <w:p w14:paraId="76929845" w14:textId="77777777" w:rsidR="0016005F" w:rsidRDefault="0016005F" w:rsidP="0016005F">
      <w:pPr>
        <w:numPr>
          <w:ilvl w:val="0"/>
          <w:numId w:val="25"/>
        </w:numPr>
      </w:pPr>
      <w:r>
        <w:t xml:space="preserve">Recalling that eligible investors have a utilisation rate of 1 and ineligible investors have a utilisation rate of 0, we consider that </w:t>
      </w:r>
      <w:r w:rsidRPr="0029614B">
        <w:t>the value-weighted proportion of domestic investors in th</w:t>
      </w:r>
      <w:r>
        <w:t>e Australian equity market is a reasonable</w:t>
      </w:r>
      <w:r w:rsidRPr="0029614B">
        <w:t xml:space="preserve"> estimate of the utilisation rate</w:t>
      </w:r>
      <w:r>
        <w:t xml:space="preserve">. This is because, in general, domestic investors are eligible to utilise imputation credits and foreign investors are not. </w:t>
      </w:r>
      <w:r w:rsidRPr="003A2E5B">
        <w:t xml:space="preserve">We refer to this approach as </w:t>
      </w:r>
      <w:r>
        <w:t>the 'equity ownership approach', and we use data from the National Accounts to estimate the domestic ownership share.</w:t>
      </w:r>
      <w:r>
        <w:rPr>
          <w:rStyle w:val="FootnoteReference"/>
        </w:rPr>
        <w:footnoteReference w:id="313"/>
      </w:r>
    </w:p>
    <w:p w14:paraId="70E87D5C" w14:textId="77777777" w:rsidR="0016005F" w:rsidRDefault="0016005F" w:rsidP="0016005F">
      <w:pPr>
        <w:numPr>
          <w:ilvl w:val="0"/>
          <w:numId w:val="25"/>
        </w:numPr>
      </w:pPr>
      <w:r>
        <w:t xml:space="preserve">Our </w:t>
      </w:r>
      <w:r w:rsidR="003443F7">
        <w:t>views</w:t>
      </w:r>
      <w:r>
        <w:t xml:space="preserve"> on the equity ownership approach to estimating the utilisation rate </w:t>
      </w:r>
      <w:r w:rsidR="00C5107A">
        <w:t>are</w:t>
      </w:r>
      <w:r>
        <w:t xml:space="preserve"> set out in section</w:t>
      </w:r>
      <w:r w:rsidR="00966578">
        <w:t xml:space="preserve"> </w:t>
      </w:r>
      <w:r w:rsidR="00966578">
        <w:fldChar w:fldCharType="begin"/>
      </w:r>
      <w:r w:rsidR="00966578">
        <w:instrText xml:space="preserve"> REF _Ref414289593 \r \h </w:instrText>
      </w:r>
      <w:r w:rsidR="00966578">
        <w:fldChar w:fldCharType="separate"/>
      </w:r>
      <w:r w:rsidR="001E2164">
        <w:t>4.4.2</w:t>
      </w:r>
      <w:r w:rsidR="00966578">
        <w:fldChar w:fldCharType="end"/>
      </w:r>
      <w:r>
        <w:t xml:space="preserve"> of attachment 4. In this section, we provide further detail on our application of the approach. We also compare our assessment of the approach in this </w:t>
      </w:r>
      <w:r w:rsidR="00CE2DEA">
        <w:t>final</w:t>
      </w:r>
      <w:r>
        <w:t xml:space="preserve"> decision with our assessment in the Guideline.</w:t>
      </w:r>
    </w:p>
    <w:p w14:paraId="221E1AA6" w14:textId="77777777" w:rsidR="0016005F" w:rsidRDefault="0016005F" w:rsidP="0016005F">
      <w:pPr>
        <w:numPr>
          <w:ilvl w:val="0"/>
          <w:numId w:val="25"/>
        </w:numPr>
      </w:pPr>
      <w:r>
        <w:t xml:space="preserve">We place significant reliance on the equity ownership approach for the reasons set out in section </w:t>
      </w:r>
      <w:r w:rsidR="00434292">
        <w:fldChar w:fldCharType="begin"/>
      </w:r>
      <w:r w:rsidR="00434292">
        <w:instrText xml:space="preserve"> REF _Ref414289593 \r \h </w:instrText>
      </w:r>
      <w:r w:rsidR="00434292">
        <w:fldChar w:fldCharType="separate"/>
      </w:r>
      <w:r w:rsidR="001E2164">
        <w:t>4.4.2</w:t>
      </w:r>
      <w:r w:rsidR="00434292">
        <w:fldChar w:fldCharType="end"/>
      </w:r>
      <w:r w:rsidR="00434292">
        <w:t xml:space="preserve"> </w:t>
      </w:r>
      <w:r>
        <w:t>of attachment 4. We have regard also to the limitations of this approach, but we do not consider them significant:</w:t>
      </w:r>
    </w:p>
    <w:p w14:paraId="77F11F41" w14:textId="77777777" w:rsidR="0016005F" w:rsidRPr="0016005F" w:rsidRDefault="0016005F" w:rsidP="0016005F">
      <w:pPr>
        <w:pStyle w:val="AERbulletlistfirststyle"/>
      </w:pPr>
      <w:r w:rsidRPr="005D0122">
        <w:t>The approach does not take into account the effect of</w:t>
      </w:r>
      <w:r w:rsidRPr="0016005F">
        <w:t xml:space="preserve"> the 45-day holding rule (or any other rules that can affect the eligibility of domestic investors to claim imputation credits). However, as discussed in section</w:t>
      </w:r>
      <w:r w:rsidR="00434292">
        <w:t xml:space="preserve"> </w:t>
      </w:r>
      <w:r w:rsidR="00434292">
        <w:fldChar w:fldCharType="begin"/>
      </w:r>
      <w:r w:rsidR="00434292">
        <w:instrText xml:space="preserve"> REF _Ref414099389 \r \h </w:instrText>
      </w:r>
      <w:r w:rsidR="00434292">
        <w:fldChar w:fldCharType="separate"/>
      </w:r>
      <w:r w:rsidR="001E2164">
        <w:t>A.8.2</w:t>
      </w:r>
      <w:r w:rsidR="00434292">
        <w:fldChar w:fldCharType="end"/>
      </w:r>
      <w:r w:rsidRPr="0016005F">
        <w:t>, we do not consider that there is clear evidence as to effect that these rules have or should be expected to have. Moreover, we consider that the most relevant evidence on the effect of these rules suggest that they have a negligible effect.</w:t>
      </w:r>
    </w:p>
    <w:p w14:paraId="7848EF5B" w14:textId="77777777" w:rsidR="0016005F" w:rsidRPr="0016005F" w:rsidRDefault="0016005F" w:rsidP="0016005F">
      <w:pPr>
        <w:pStyle w:val="AERbulletlistfirststyle"/>
      </w:pPr>
      <w:r w:rsidRPr="005D0122">
        <w:t xml:space="preserve">The approach </w:t>
      </w:r>
      <w:r w:rsidRPr="0016005F">
        <w:t>allows investors' utilisation rates to be weighted by wealth, but not by risk aversion, as required by the definition of the utilisation rate in the Monkhouse framework.  However, we do not consider that we can feasibly weight our estimates in this regard, as this would require specific calculations or assumptions regarding the portfolios and risk preferences of individuals or classes of investors. Moreover, neither Handley nor Lally identified the inability to weight by risk aversion as an unacceptable limitation of the approach.</w:t>
      </w:r>
      <w:r w:rsidRPr="0016005F">
        <w:rPr>
          <w:rStyle w:val="FootnoteReference"/>
        </w:rPr>
        <w:footnoteReference w:id="314"/>
      </w:r>
    </w:p>
    <w:p w14:paraId="211361E2" w14:textId="77777777" w:rsidR="0016005F" w:rsidRPr="000F2482" w:rsidRDefault="0016005F" w:rsidP="0016005F">
      <w:pPr>
        <w:numPr>
          <w:ilvl w:val="0"/>
          <w:numId w:val="25"/>
        </w:numPr>
      </w:pPr>
      <w:r w:rsidRPr="000F2482">
        <w:t>We consider that a reasonable estimate for the utilisation rate from the equity ownership approach is between:</w:t>
      </w:r>
    </w:p>
    <w:p w14:paraId="7F9EDD42" w14:textId="77777777" w:rsidR="00C66D02" w:rsidRPr="00C66D02" w:rsidRDefault="007F5442" w:rsidP="00C66D02">
      <w:pPr>
        <w:pStyle w:val="AERbulletlistfirststyle"/>
      </w:pPr>
      <w:r>
        <w:t>0.56 and 0.68</w:t>
      </w:r>
      <w:r w:rsidR="00C66D02" w:rsidRPr="00C66D02">
        <w:t>, if all equity is considered, and</w:t>
      </w:r>
    </w:p>
    <w:p w14:paraId="0C9B3C18" w14:textId="77777777" w:rsidR="00C66D02" w:rsidRPr="00C66D02" w:rsidRDefault="007F5442" w:rsidP="00C66D02">
      <w:pPr>
        <w:pStyle w:val="AERbulletlistfirststyle"/>
      </w:pPr>
      <w:r>
        <w:t>0.38 and 0.55</w:t>
      </w:r>
      <w:r w:rsidR="00C66D02" w:rsidRPr="00C66D02">
        <w:t>, if only listed equity is considered.</w:t>
      </w:r>
    </w:p>
    <w:p w14:paraId="3A5D15CC" w14:textId="77777777" w:rsidR="0016005F" w:rsidRPr="000F2482" w:rsidRDefault="0016005F" w:rsidP="0016005F">
      <w:pPr>
        <w:numPr>
          <w:ilvl w:val="0"/>
          <w:numId w:val="25"/>
        </w:numPr>
      </w:pPr>
      <w:r w:rsidRPr="000F2482">
        <w:t xml:space="preserve">In the </w:t>
      </w:r>
      <w:r>
        <w:t>Guideline</w:t>
      </w:r>
      <w:r w:rsidRPr="000F2482">
        <w:t>, we considered that the equity ownership approach supported a utilisation rate between 0.7 and 0.8. This range was based on:</w:t>
      </w:r>
    </w:p>
    <w:p w14:paraId="201A0BFA" w14:textId="77777777" w:rsidR="0016005F" w:rsidRPr="0016005F" w:rsidRDefault="0016005F" w:rsidP="0016005F">
      <w:pPr>
        <w:pStyle w:val="AERbulletlistfirststyle"/>
      </w:pPr>
      <w:r w:rsidRPr="00575F22">
        <w:lastRenderedPageBreak/>
        <w:t>A 2007 feature article by the ABS, in which it was estimated using data from the National Accounts that domestic investors held 71 per cent of Australian equity.</w:t>
      </w:r>
      <w:r w:rsidRPr="0016005F">
        <w:rPr>
          <w:rStyle w:val="FootnoteReference"/>
        </w:rPr>
        <w:footnoteReference w:id="315"/>
      </w:r>
    </w:p>
    <w:p w14:paraId="224A39A2" w14:textId="77777777" w:rsidR="0016005F" w:rsidRPr="0016005F" w:rsidRDefault="0016005F" w:rsidP="0016005F">
      <w:pPr>
        <w:pStyle w:val="AERbulletlistfirststyle"/>
      </w:pPr>
      <w:r w:rsidRPr="00575F22">
        <w:t>A graph in a September 2013 report by Hathaway, which suggested that the domestic ownership share of Australian equity had fluctuated between 75 and 81 per cent over the period 1988 to 2012.</w:t>
      </w:r>
      <w:r w:rsidRPr="0016005F">
        <w:rPr>
          <w:rStyle w:val="FootnoteReference"/>
        </w:rPr>
        <w:footnoteReference w:id="316"/>
      </w:r>
      <w:r w:rsidRPr="0016005F">
        <w:t xml:space="preserve"> The data underlying this graph also came from the National Accounts.</w:t>
      </w:r>
    </w:p>
    <w:p w14:paraId="1491BE17" w14:textId="77777777" w:rsidR="00AC6F43" w:rsidRDefault="0016005F" w:rsidP="0016005F">
      <w:r w:rsidRPr="00575F22">
        <w:t xml:space="preserve">Since the </w:t>
      </w:r>
      <w:r>
        <w:t>Guideline</w:t>
      </w:r>
      <w:r w:rsidRPr="00575F22">
        <w:t>'s publication, we have examined more closely the relevant data from the National Accounts. This has allowed us to update and refine our estimates.</w:t>
      </w:r>
      <w:r>
        <w:t xml:space="preserve"> Moreover, we now express estimates for both all equity and </w:t>
      </w:r>
      <w:r w:rsidR="001C274C">
        <w:t>only listed equity</w:t>
      </w:r>
      <w:r>
        <w:t xml:space="preserve">, consistent with the approach set out in section </w:t>
      </w:r>
      <w:r>
        <w:fldChar w:fldCharType="begin"/>
      </w:r>
      <w:r>
        <w:instrText xml:space="preserve"> REF _Ref401048631 \r \h </w:instrText>
      </w:r>
      <w:r>
        <w:fldChar w:fldCharType="separate"/>
      </w:r>
      <w:r w:rsidR="001E2164">
        <w:t>A.9.1</w:t>
      </w:r>
      <w:r>
        <w:fldChar w:fldCharType="end"/>
      </w:r>
      <w:r>
        <w:t>.</w:t>
      </w:r>
    </w:p>
    <w:p w14:paraId="363641B6" w14:textId="77777777" w:rsidR="00FE72CD" w:rsidRPr="00575F22" w:rsidRDefault="00FE72CD" w:rsidP="00FE72CD">
      <w:pPr>
        <w:numPr>
          <w:ilvl w:val="0"/>
          <w:numId w:val="25"/>
        </w:numPr>
      </w:pPr>
      <w:r w:rsidRPr="00575F22">
        <w:t xml:space="preserve">We consider that the equity ownership </w:t>
      </w:r>
      <w:r>
        <w:t>approach can be refined</w:t>
      </w:r>
      <w:r w:rsidRPr="00575F22">
        <w:t xml:space="preserve"> by filtering the National Accounts data to focus on the types of equity that </w:t>
      </w:r>
      <w:r w:rsidR="009B303B">
        <w:t>we consider</w:t>
      </w:r>
      <w:r w:rsidRPr="00575F22">
        <w:t xml:space="preserve"> most relevant to the benchmark entity, and the specific classes of investor that are expected to either utilise or waste the imputation credits they receive. That is, we can:</w:t>
      </w:r>
    </w:p>
    <w:p w14:paraId="5A83B649" w14:textId="77777777" w:rsidR="00FE72CD" w:rsidRPr="00FE72CD" w:rsidRDefault="00FE72CD" w:rsidP="00FE72CD">
      <w:pPr>
        <w:pStyle w:val="AERbulletlistfirststyle"/>
      </w:pPr>
      <w:r w:rsidRPr="00575F22">
        <w:t xml:space="preserve">Exclude from the calculation equity in entities that are wholly owned by the public sector. In the National Accounts, this is equity issued by the 'central bank', </w:t>
      </w:r>
      <w:r w:rsidR="002E772A">
        <w:t>'central borrowing authorities' and</w:t>
      </w:r>
      <w:r w:rsidRPr="00575F22">
        <w:t xml:space="preserve"> </w:t>
      </w:r>
      <w:r w:rsidR="002E772A">
        <w:t>'</w:t>
      </w:r>
      <w:r w:rsidRPr="00575F22">
        <w:t>public non-financial corporations'.</w:t>
      </w:r>
    </w:p>
    <w:p w14:paraId="09F50030" w14:textId="4EB14567" w:rsidR="00FE72CD" w:rsidRDefault="00FE72CD" w:rsidP="008E408D">
      <w:pPr>
        <w:pStyle w:val="AERbulletlistfirststyle"/>
      </w:pPr>
      <w:r w:rsidRPr="00575F22">
        <w:t xml:space="preserve">Calculate the equity held by those classes of investor that are eligible to utilise imputation credits as a share of the equity held by all classes of investor that either utilise or waste credits. In the National Accounts, this is calculated as the equity held by 'households', 'pension funds' and 'life insurance corporations' as a share of the equity held by </w:t>
      </w:r>
      <w:r w:rsidR="00C66028">
        <w:t>these classes plus</w:t>
      </w:r>
      <w:r w:rsidRPr="00575F22">
        <w:t xml:space="preserve"> 'rest of world'.</w:t>
      </w:r>
      <w:r w:rsidR="00074FD1">
        <w:t xml:space="preserve"> </w:t>
      </w:r>
      <w:r w:rsidR="00074FD1" w:rsidRPr="00074FD1">
        <w:t>In the draft decisions</w:t>
      </w:r>
      <w:r w:rsidR="00C600C4">
        <w:t xml:space="preserve"> released in 2014</w:t>
      </w:r>
      <w:r w:rsidR="00074FD1" w:rsidRPr="00074FD1">
        <w:t xml:space="preserve">, our calculation of the refined domestic ownership share effectively assumed that governments 'wasted' the imputation credits they received. We noted in the draft decisions that there was no clear case for making this assumption. In this final decision, </w:t>
      </w:r>
      <w:r w:rsidR="00C600C4">
        <w:t xml:space="preserve">consistent with the approach we took for the decisions we released in April and </w:t>
      </w:r>
      <w:r w:rsidR="00ED0B08">
        <w:t>June</w:t>
      </w:r>
      <w:r w:rsidR="00C600C4">
        <w:t xml:space="preserve"> 2015, </w:t>
      </w:r>
      <w:r w:rsidR="00074FD1" w:rsidRPr="00074FD1">
        <w:t>we exclude government-held equity from the calculation of the refined domestic ownership share. This is because the value of imputation credits forms part of our determination of the rate of return required by private investors in the benchmark efficient entity.</w:t>
      </w:r>
      <w:r w:rsidR="006312C7">
        <w:rPr>
          <w:rStyle w:val="FootnoteReference"/>
        </w:rPr>
        <w:footnoteReference w:id="317"/>
      </w:r>
      <w:r w:rsidR="003822C4">
        <w:t xml:space="preserve"> </w:t>
      </w:r>
      <w:r w:rsidR="003822C4" w:rsidRPr="008E408D">
        <w:rPr>
          <w:rStyle w:val="AERtexthighlight"/>
          <w:shd w:val="clear" w:color="auto" w:fill="auto"/>
        </w:rPr>
        <w:t xml:space="preserve">In doing this we are estimating market-wide </w:t>
      </w:r>
      <w:r w:rsidR="003710E9" w:rsidRPr="008E408D">
        <w:rPr>
          <w:rStyle w:val="AERtexthighlight"/>
          <w:shd w:val="clear" w:color="auto" w:fill="auto"/>
        </w:rPr>
        <w:t>utilisation</w:t>
      </w:r>
      <w:r w:rsidR="003822C4" w:rsidRPr="008E408D">
        <w:rPr>
          <w:rStyle w:val="AERtexthighlight"/>
          <w:shd w:val="clear" w:color="auto" w:fill="auto"/>
        </w:rPr>
        <w:t xml:space="preserve"> rates (for both listed and all equity) reflective of </w:t>
      </w:r>
      <w:r w:rsidR="005453BB" w:rsidRPr="008E408D">
        <w:rPr>
          <w:rStyle w:val="AERtexthighlight"/>
          <w:shd w:val="clear" w:color="auto" w:fill="auto"/>
        </w:rPr>
        <w:t xml:space="preserve">the </w:t>
      </w:r>
      <w:r w:rsidR="003822C4" w:rsidRPr="008E408D">
        <w:rPr>
          <w:rStyle w:val="AERtexthighlight"/>
          <w:shd w:val="clear" w:color="auto" w:fill="auto"/>
        </w:rPr>
        <w:t xml:space="preserve">capital </w:t>
      </w:r>
      <w:r w:rsidR="005453BB" w:rsidRPr="008E408D">
        <w:rPr>
          <w:rStyle w:val="AERtexthighlight"/>
          <w:shd w:val="clear" w:color="auto" w:fill="auto"/>
        </w:rPr>
        <w:t xml:space="preserve">invested by </w:t>
      </w:r>
      <w:r w:rsidR="003822C4" w:rsidRPr="008E408D">
        <w:rPr>
          <w:rStyle w:val="AERtexthighlight"/>
          <w:shd w:val="clear" w:color="auto" w:fill="auto"/>
        </w:rPr>
        <w:t>private investors. We do not consider this is inconsistent with other parameter estimates used for estimating the WACC and cons</w:t>
      </w:r>
      <w:r w:rsidR="0048014E" w:rsidRPr="008E408D">
        <w:rPr>
          <w:rStyle w:val="AERtexthighlight"/>
          <w:shd w:val="clear" w:color="auto" w:fill="auto"/>
        </w:rPr>
        <w:t>id</w:t>
      </w:r>
      <w:r w:rsidR="003822C4" w:rsidRPr="008E408D">
        <w:rPr>
          <w:rStyle w:val="AERtexthighlight"/>
          <w:shd w:val="clear" w:color="auto" w:fill="auto"/>
        </w:rPr>
        <w:t xml:space="preserve">er this will lead to </w:t>
      </w:r>
      <w:r w:rsidR="005453BB" w:rsidRPr="008E408D">
        <w:rPr>
          <w:rStyle w:val="AERtexthighlight"/>
          <w:shd w:val="clear" w:color="auto" w:fill="auto"/>
        </w:rPr>
        <w:t xml:space="preserve">an overall return that should lead to </w:t>
      </w:r>
      <w:r w:rsidR="003822C4" w:rsidRPr="008E408D">
        <w:rPr>
          <w:rStyle w:val="AERtexthighlight"/>
          <w:shd w:val="clear" w:color="auto" w:fill="auto"/>
        </w:rPr>
        <w:t>efficient investment in regulated assets.</w:t>
      </w:r>
      <w:r w:rsidR="003822C4">
        <w:t xml:space="preserve">  </w:t>
      </w:r>
    </w:p>
    <w:p w14:paraId="1714F9F9" w14:textId="5ECD4A4A" w:rsidR="00A23477" w:rsidRDefault="00C449C9" w:rsidP="00A23477">
      <w:pPr>
        <w:numPr>
          <w:ilvl w:val="0"/>
          <w:numId w:val="25"/>
        </w:numPr>
      </w:pPr>
      <w:r>
        <w:lastRenderedPageBreak/>
        <w:t>Our estimate</w:t>
      </w:r>
      <w:r w:rsidR="00A23477">
        <w:t xml:space="preserve"> ranges </w:t>
      </w:r>
      <w:r>
        <w:t>in this final decision</w:t>
      </w:r>
      <w:r w:rsidR="00A23477">
        <w:t xml:space="preserve"> differ from the corresponding ranges in the draft decisions. These changes in part reflect the views of service providers, </w:t>
      </w:r>
      <w:r w:rsidR="00FC1C7C">
        <w:t xml:space="preserve">Gray (for </w:t>
      </w:r>
      <w:r w:rsidR="00A23477">
        <w:t>SFG</w:t>
      </w:r>
      <w:r w:rsidR="00FC1C7C">
        <w:t>)</w:t>
      </w:r>
      <w:r w:rsidR="00A23477">
        <w:t xml:space="preserve"> and Handley. We discuss our consideration of these views below.   </w:t>
      </w:r>
    </w:p>
    <w:p w14:paraId="1AC67257" w14:textId="1737C346" w:rsidR="009E2088" w:rsidRDefault="00E27AAF" w:rsidP="00045DD9">
      <w:r>
        <w:t>A number of</w:t>
      </w:r>
      <w:r w:rsidR="00A23477">
        <w:t xml:space="preserve"> service providers </w:t>
      </w:r>
      <w:r>
        <w:t xml:space="preserve">have </w:t>
      </w:r>
      <w:r w:rsidR="00A23477">
        <w:t xml:space="preserve">submitted that we erred in </w:t>
      </w:r>
      <w:r>
        <w:t>our earlier</w:t>
      </w:r>
      <w:r w:rsidR="00A23477">
        <w:t xml:space="preserve"> decisions because:</w:t>
      </w:r>
      <w:r w:rsidR="00DF0B5D">
        <w:rPr>
          <w:rStyle w:val="FootnoteReference"/>
        </w:rPr>
        <w:footnoteReference w:id="318"/>
      </w:r>
    </w:p>
    <w:p w14:paraId="4A1D45E0" w14:textId="77777777" w:rsidR="00A23477" w:rsidRDefault="00A23477" w:rsidP="00A23477">
      <w:pPr>
        <w:pStyle w:val="AERquote"/>
      </w:pPr>
      <w:r>
        <w:t xml:space="preserve">…the ranges used by the AER for the equity ownership </w:t>
      </w:r>
      <w:r w:rsidR="00F53895">
        <w:t xml:space="preserve">rate </w:t>
      </w:r>
      <w:r>
        <w:t>are inconsistent with the evidence in the Draft Decision.</w:t>
      </w:r>
    </w:p>
    <w:p w14:paraId="600E8D25" w14:textId="3D89788A" w:rsidR="00A23477" w:rsidRDefault="00A23477" w:rsidP="00A23477">
      <w:r>
        <w:t xml:space="preserve">The service providers then </w:t>
      </w:r>
      <w:r w:rsidR="00FE72CD">
        <w:t>referred</w:t>
      </w:r>
      <w:r>
        <w:t xml:space="preserve"> to the data presented in the draft decisions </w:t>
      </w:r>
      <w:r w:rsidR="00C600C4">
        <w:t xml:space="preserve">released in 2014 </w:t>
      </w:r>
      <w:r>
        <w:t>on the refined domestic ownership share</w:t>
      </w:r>
      <w:r w:rsidR="00FE72CD">
        <w:t xml:space="preserve"> (figures 4-4 and 4-5 of the draft decisions). </w:t>
      </w:r>
      <w:r>
        <w:t xml:space="preserve">However, as </w:t>
      </w:r>
      <w:r w:rsidR="002F6A93">
        <w:t>indicated in the draft decisions, our estimates were based on evidence across both the refined domestic ownership share (figures 4-4 and 4-5 of the draft decisions) and simple domestic ownersh</w:t>
      </w:r>
      <w:r w:rsidR="00FE72CD">
        <w:t>ip share (figures 4-2 and 4-3</w:t>
      </w:r>
      <w:r w:rsidR="00A22B66">
        <w:t xml:space="preserve"> of the draft decisions</w:t>
      </w:r>
      <w:r w:rsidR="00FE72CD">
        <w:t>).</w:t>
      </w:r>
    </w:p>
    <w:p w14:paraId="2949BE6D" w14:textId="4E97E204" w:rsidR="00E00708" w:rsidRPr="00A23477" w:rsidRDefault="00E00708" w:rsidP="00E00708">
      <w:r>
        <w:t>In his recent advice, Handley advised that, although it is reasonable to rely on both the simple and refined domestic ownership share, '</w:t>
      </w:r>
      <w:r w:rsidRPr="00E00708">
        <w:t>the refined share should (subject to the lim</w:t>
      </w:r>
      <w:r>
        <w:t xml:space="preserve">itations in </w:t>
      </w:r>
      <w:r w:rsidRPr="00E00708">
        <w:t>the data) be more relevant by construction</w:t>
      </w:r>
      <w:r>
        <w:t>'.</w:t>
      </w:r>
      <w:r>
        <w:rPr>
          <w:rStyle w:val="FootnoteReference"/>
        </w:rPr>
        <w:footnoteReference w:id="319"/>
      </w:r>
      <w:r>
        <w:t xml:space="preserve"> Accordingly, </w:t>
      </w:r>
      <w:r w:rsidR="00C600C4">
        <w:t xml:space="preserve">as we did in the decisions released </w:t>
      </w:r>
      <w:r w:rsidR="00ED0B08">
        <w:t>i</w:t>
      </w:r>
      <w:r w:rsidR="00C600C4">
        <w:t xml:space="preserve">n April and </w:t>
      </w:r>
      <w:r w:rsidR="00ED0B08">
        <w:t>June</w:t>
      </w:r>
      <w:r w:rsidR="00C600C4">
        <w:t xml:space="preserve"> 2015, </w:t>
      </w:r>
      <w:r>
        <w:t xml:space="preserve">in this final decision we </w:t>
      </w:r>
      <w:r w:rsidR="009B303B">
        <w:t>rely</w:t>
      </w:r>
      <w:r w:rsidR="00E838B8">
        <w:t xml:space="preserve"> only</w:t>
      </w:r>
      <w:r>
        <w:t xml:space="preserve"> on the refined domestic ownership share.</w:t>
      </w:r>
    </w:p>
    <w:p w14:paraId="0D1B2A5A" w14:textId="514B079B" w:rsidR="00AC26A5" w:rsidRDefault="00297CB4" w:rsidP="00045DD9">
      <w:r>
        <w:t>S</w:t>
      </w:r>
      <w:r w:rsidR="009E2088">
        <w:t xml:space="preserve">ervice providers </w:t>
      </w:r>
      <w:r>
        <w:t xml:space="preserve">have also </w:t>
      </w:r>
      <w:r w:rsidR="009E2088">
        <w:t xml:space="preserve">submitted that only the most recent point estimates </w:t>
      </w:r>
      <w:r w:rsidR="00FD4722">
        <w:t>of</w:t>
      </w:r>
      <w:r w:rsidR="009E2088">
        <w:t xml:space="preserve"> the equity ownership </w:t>
      </w:r>
      <w:r w:rsidR="00FD4722">
        <w:t xml:space="preserve">share </w:t>
      </w:r>
      <w:r w:rsidR="009E2088">
        <w:t>are relevant.</w:t>
      </w:r>
      <w:r w:rsidR="006A22AB">
        <w:rPr>
          <w:rStyle w:val="FootnoteReference"/>
        </w:rPr>
        <w:footnoteReference w:id="320"/>
      </w:r>
      <w:r w:rsidR="009E2088">
        <w:t xml:space="preserve"> We disagree. </w:t>
      </w:r>
      <w:r w:rsidR="006A22AB">
        <w:t xml:space="preserve">Given that the series exhibits considerable volatility, we </w:t>
      </w:r>
      <w:r w:rsidR="009E2088">
        <w:t xml:space="preserve">think it is reasonable to </w:t>
      </w:r>
      <w:r w:rsidR="006A22AB">
        <w:t xml:space="preserve">not </w:t>
      </w:r>
      <w:r w:rsidR="009E2088">
        <w:t>rely solely on the</w:t>
      </w:r>
      <w:r w:rsidR="006A22AB">
        <w:t xml:space="preserve"> most recent point estimate</w:t>
      </w:r>
      <w:r w:rsidR="003D0809">
        <w:t>. Handley supported</w:t>
      </w:r>
      <w:r w:rsidR="009E2088">
        <w:t xml:space="preserve"> this view</w:t>
      </w:r>
      <w:r w:rsidR="00AC26A5">
        <w:t>:</w:t>
      </w:r>
      <w:r w:rsidR="006A22AB">
        <w:rPr>
          <w:rStyle w:val="FootnoteReference"/>
        </w:rPr>
        <w:footnoteReference w:id="321"/>
      </w:r>
    </w:p>
    <w:p w14:paraId="66346E7F" w14:textId="77777777" w:rsidR="00AC26A5" w:rsidRDefault="00AC26A5" w:rsidP="00AC26A5">
      <w:pPr>
        <w:pStyle w:val="AERquote"/>
      </w:pPr>
      <w:r w:rsidRPr="00AC26A5">
        <w:lastRenderedPageBreak/>
        <w:t>Referring to the refined data, it is apparent that there i</w:t>
      </w:r>
      <w:r>
        <w:t xml:space="preserve">s substantial volatility in the </w:t>
      </w:r>
      <w:r w:rsidRPr="00AC26A5">
        <w:t>reported ABS estimates over time. There are also resi</w:t>
      </w:r>
      <w:r>
        <w:t xml:space="preserve">dual issues with the ABS data. </w:t>
      </w:r>
      <w:r w:rsidRPr="00AC26A5">
        <w:t>This suggests that more than just the most recent estimates should be taken into</w:t>
      </w:r>
      <w:r>
        <w:t xml:space="preserve"> </w:t>
      </w:r>
      <w:r w:rsidRPr="00AC26A5">
        <w:t>consideration, although the length of period to be considered is open to judgment.</w:t>
      </w:r>
    </w:p>
    <w:p w14:paraId="047FF9FF" w14:textId="33C682E1" w:rsidR="003C38FE" w:rsidRDefault="003C38FE" w:rsidP="00045DD9">
      <w:r>
        <w:t>On Handley's point regarding the length of period to considered</w:t>
      </w:r>
      <w:r w:rsidR="00AC26A5">
        <w:t xml:space="preserve">, we agree with </w:t>
      </w:r>
      <w:r w:rsidR="00FC1C7C">
        <w:t>Gray</w:t>
      </w:r>
      <w:r w:rsidR="00AC26A5">
        <w:t xml:space="preserve">'s view </w:t>
      </w:r>
      <w:r w:rsidR="00FC1C7C">
        <w:t xml:space="preserve">(for SFG) </w:t>
      </w:r>
      <w:r w:rsidR="00AC26A5">
        <w:t>that</w:t>
      </w:r>
      <w:r>
        <w:t>:</w:t>
      </w:r>
      <w:r>
        <w:rPr>
          <w:rStyle w:val="FootnoteReference"/>
        </w:rPr>
        <w:footnoteReference w:id="322"/>
      </w:r>
    </w:p>
    <w:p w14:paraId="3CA668C7" w14:textId="77777777" w:rsidR="003C38FE" w:rsidRDefault="003C38FE" w:rsidP="003C38FE">
      <w:pPr>
        <w:pStyle w:val="AERquote"/>
      </w:pPr>
      <w:r>
        <w:t>It is not clear why estimates of what the domestic equity ownership proportion was in the 1980s are relevant to the current determination for the forthcoming regulatory period.</w:t>
      </w:r>
    </w:p>
    <w:p w14:paraId="570E7C86" w14:textId="77777777" w:rsidR="009E2088" w:rsidRDefault="003C38FE" w:rsidP="003C38FE">
      <w:r>
        <w:t>We consider that the most relevant period to consider is that since July 2000, when eligible investors became entitled for a refund of excess credits. This accords with one of the periods Handley</w:t>
      </w:r>
      <w:r w:rsidR="00FD4722">
        <w:t xml:space="preserve"> considered</w:t>
      </w:r>
      <w:r w:rsidR="00415BFD">
        <w:t xml:space="preserve"> relevant</w:t>
      </w:r>
      <w:r>
        <w:t>.</w:t>
      </w:r>
      <w:r>
        <w:rPr>
          <w:rStyle w:val="FootnoteReference"/>
        </w:rPr>
        <w:footnoteReference w:id="323"/>
      </w:r>
      <w:r>
        <w:t xml:space="preserve"> It is also consistent with the service providers' proposed estimation of the value of distributed </w:t>
      </w:r>
      <w:r w:rsidR="008542CA">
        <w:t>credits</w:t>
      </w:r>
      <w:r>
        <w:t xml:space="preserve"> </w:t>
      </w:r>
      <w:r w:rsidR="00F022DB">
        <w:t xml:space="preserve">via </w:t>
      </w:r>
      <w:r>
        <w:t>SFG's dividend drop off study. This study</w:t>
      </w:r>
      <w:r w:rsidR="00AC26A5">
        <w:t xml:space="preserve"> </w:t>
      </w:r>
      <w:r>
        <w:t xml:space="preserve">employs data from </w:t>
      </w:r>
      <w:r w:rsidR="008542CA">
        <w:t>July 2001 to October 2012.</w:t>
      </w:r>
    </w:p>
    <w:p w14:paraId="61CBFF8A" w14:textId="6DF857DE" w:rsidR="003B16C3" w:rsidRDefault="00725AD4" w:rsidP="003C38FE">
      <w:r w:rsidRPr="008E408D">
        <w:rPr>
          <w:rStyle w:val="AERbody"/>
        </w:rPr>
        <w:t xml:space="preserve">Gray (for </w:t>
      </w:r>
      <w:r w:rsidR="007E7E78" w:rsidRPr="008E408D">
        <w:rPr>
          <w:rStyle w:val="AERbody"/>
        </w:rPr>
        <w:t>Frontier</w:t>
      </w:r>
      <w:r w:rsidRPr="008E408D">
        <w:rPr>
          <w:rStyle w:val="AERbody"/>
        </w:rPr>
        <w:t>)</w:t>
      </w:r>
      <w:r w:rsidR="007E7E78" w:rsidRPr="008E408D">
        <w:rPr>
          <w:rStyle w:val="AERbody"/>
        </w:rPr>
        <w:t xml:space="preserve"> submitte</w:t>
      </w:r>
      <w:r w:rsidR="00C827CC" w:rsidRPr="008E408D">
        <w:rPr>
          <w:rStyle w:val="AERbody"/>
        </w:rPr>
        <w:t>d that we are incorrect to exclude</w:t>
      </w:r>
      <w:r w:rsidR="007E7E78" w:rsidRPr="008E408D">
        <w:rPr>
          <w:rStyle w:val="AERbody"/>
        </w:rPr>
        <w:t xml:space="preserve"> from the equity ownership calculation entities that are wholly owned by the public sector.</w:t>
      </w:r>
      <w:r w:rsidR="008E408D">
        <w:rPr>
          <w:rStyle w:val="FootnoteReference"/>
        </w:rPr>
        <w:footnoteReference w:id="324"/>
      </w:r>
      <w:r w:rsidR="007E7E78" w:rsidRPr="008E408D">
        <w:rPr>
          <w:rStyle w:val="AERbody"/>
        </w:rPr>
        <w:t xml:space="preserve"> We disagree for the reasons stated above</w:t>
      </w:r>
      <w:r w:rsidR="00C827CC" w:rsidRPr="008E408D">
        <w:rPr>
          <w:rStyle w:val="AERbody"/>
        </w:rPr>
        <w:t xml:space="preserve"> as set out in our April and </w:t>
      </w:r>
      <w:r w:rsidR="00ED0B08" w:rsidRPr="008E408D">
        <w:rPr>
          <w:rStyle w:val="AERbody"/>
        </w:rPr>
        <w:t>June</w:t>
      </w:r>
      <w:r w:rsidR="00C827CC" w:rsidRPr="008E408D">
        <w:rPr>
          <w:rStyle w:val="AERbody"/>
        </w:rPr>
        <w:t xml:space="preserve"> 2015 decisions</w:t>
      </w:r>
      <w:r w:rsidR="007E7E78" w:rsidRPr="008E408D">
        <w:rPr>
          <w:rStyle w:val="AERbody"/>
        </w:rPr>
        <w:t>. We consider that the Vanilla WACC framework as embedded in the rules is aimed at ensuring private investors a</w:t>
      </w:r>
      <w:r w:rsidR="00C827CC" w:rsidRPr="008E408D">
        <w:rPr>
          <w:rStyle w:val="AERbody"/>
        </w:rPr>
        <w:t xml:space="preserve">re fairly compensated. This should ensure efficient investment and use of regulated network infrastructure. We consider an estimate of gamma reduced due to government entities being assumed to not redeem credits is not </w:t>
      </w:r>
      <w:r w:rsidRPr="008E408D">
        <w:rPr>
          <w:rStyle w:val="AERbody"/>
        </w:rPr>
        <w:t>appropriate</w:t>
      </w:r>
      <w:r w:rsidR="00C827CC" w:rsidRPr="008E408D">
        <w:rPr>
          <w:rStyle w:val="AERbody"/>
        </w:rPr>
        <w:t xml:space="preserve">. </w:t>
      </w:r>
      <w:r w:rsidR="00E00708" w:rsidRPr="008E408D">
        <w:rPr>
          <w:rStyle w:val="AERbody"/>
        </w:rPr>
        <w:t>With</w:t>
      </w:r>
      <w:r w:rsidR="00E00708">
        <w:t xml:space="preserve"> </w:t>
      </w:r>
      <w:r w:rsidR="00C0259E">
        <w:t>regard to these considerations</w:t>
      </w:r>
      <w:r w:rsidR="00E00708">
        <w:t>, the relevant data</w:t>
      </w:r>
      <w:r w:rsidR="00A26B13">
        <w:t xml:space="preserve"> is shown</w:t>
      </w:r>
      <w:r w:rsidR="00E468B0">
        <w:t xml:space="preserve"> in </w:t>
      </w:r>
      <w:r w:rsidR="00E468B0">
        <w:fldChar w:fldCharType="begin"/>
      </w:r>
      <w:r w:rsidR="00E468B0">
        <w:instrText xml:space="preserve"> REF  _Ref414273399 \* Lower \h </w:instrText>
      </w:r>
      <w:r w:rsidR="00E468B0">
        <w:fldChar w:fldCharType="separate"/>
      </w:r>
      <w:r w:rsidR="001E2164">
        <w:t xml:space="preserve">figure </w:t>
      </w:r>
      <w:r w:rsidR="001E2164">
        <w:rPr>
          <w:noProof/>
        </w:rPr>
        <w:t>4</w:t>
      </w:r>
      <w:r w:rsidR="001E2164">
        <w:noBreakHyphen/>
      </w:r>
      <w:r w:rsidR="001E2164">
        <w:rPr>
          <w:noProof/>
        </w:rPr>
        <w:t>3</w:t>
      </w:r>
      <w:r w:rsidR="00E468B0">
        <w:fldChar w:fldCharType="end"/>
      </w:r>
      <w:r w:rsidR="00E00708">
        <w:t>.</w:t>
      </w:r>
    </w:p>
    <w:p w14:paraId="6A172952" w14:textId="77777777" w:rsidR="00E468B0" w:rsidRDefault="003B16C3" w:rsidP="00E468B0">
      <w:pPr>
        <w:pStyle w:val="Caption"/>
      </w:pPr>
      <w:bookmarkStart w:id="86" w:name="_Ref414273399"/>
      <w:r>
        <w:lastRenderedPageBreak/>
        <w:t xml:space="preserve">Figure </w:t>
      </w:r>
      <w:r w:rsidR="00D70292">
        <w:fldChar w:fldCharType="begin"/>
      </w:r>
      <w:r w:rsidR="00D70292">
        <w:instrText xml:space="preserve"> STYL</w:instrText>
      </w:r>
      <w:r w:rsidR="00D70292">
        <w:instrText xml:space="preserve">EREF 1 \s </w:instrText>
      </w:r>
      <w:r w:rsidR="00D70292">
        <w:fldChar w:fldCharType="separate"/>
      </w:r>
      <w:r w:rsidR="001E2164">
        <w:rPr>
          <w:noProof/>
        </w:rPr>
        <w:t>4</w:t>
      </w:r>
      <w:r w:rsidR="00D70292">
        <w:rPr>
          <w:noProof/>
        </w:rPr>
        <w:fldChar w:fldCharType="end"/>
      </w:r>
      <w:r w:rsidR="00A7103E">
        <w:noBreakHyphen/>
      </w:r>
      <w:r w:rsidR="00D70292">
        <w:fldChar w:fldCharType="begin"/>
      </w:r>
      <w:r w:rsidR="00D70292">
        <w:instrText xml:space="preserve"> SEQ Figure \* ARABIC \s 1 </w:instrText>
      </w:r>
      <w:r w:rsidR="00D70292">
        <w:fldChar w:fldCharType="separate"/>
      </w:r>
      <w:r w:rsidR="001E2164">
        <w:rPr>
          <w:noProof/>
        </w:rPr>
        <w:t>3</w:t>
      </w:r>
      <w:r w:rsidR="00D70292">
        <w:rPr>
          <w:noProof/>
        </w:rPr>
        <w:fldChar w:fldCharType="end"/>
      </w:r>
      <w:bookmarkEnd w:id="86"/>
      <w:r>
        <w:tab/>
        <w:t>Refined domestic ownership share of Australian equity</w:t>
      </w:r>
    </w:p>
    <w:p w14:paraId="159926FA" w14:textId="466FA178" w:rsidR="00E468B0" w:rsidRDefault="005A3896" w:rsidP="00E468B0">
      <w:r w:rsidRPr="005A3896">
        <w:rPr>
          <w:noProof/>
          <w:lang w:eastAsia="en-AU"/>
        </w:rPr>
        <w:drawing>
          <wp:inline distT="0" distB="0" distL="0" distR="0" wp14:anchorId="48E6ED29" wp14:editId="466100D6">
            <wp:extent cx="5248275" cy="37433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59CCE1" w14:textId="77777777" w:rsidR="005A3896" w:rsidRDefault="005A3896" w:rsidP="00E468B0"/>
    <w:p w14:paraId="2F7905C9" w14:textId="77777777" w:rsidR="00E468B0" w:rsidRDefault="00E468B0" w:rsidP="00E468B0">
      <w:pPr>
        <w:pStyle w:val="AERtablesource"/>
      </w:pPr>
      <w:r>
        <w:t xml:space="preserve">Source: </w:t>
      </w:r>
      <w:r>
        <w:tab/>
        <w:t>Australian National Accounts: Finance and Wealth (ABS cat. 5232.0), tables 47 and 48.</w:t>
      </w:r>
    </w:p>
    <w:p w14:paraId="50DFB600" w14:textId="77777777" w:rsidR="00E468B0" w:rsidRDefault="009E6854" w:rsidP="00E468B0">
      <w:r>
        <w:fldChar w:fldCharType="begin"/>
      </w:r>
      <w:r>
        <w:instrText xml:space="preserve"> REF _Ref414273399 \h </w:instrText>
      </w:r>
      <w:r>
        <w:fldChar w:fldCharType="separate"/>
      </w:r>
      <w:r w:rsidR="001E2164">
        <w:t xml:space="preserve">Figure </w:t>
      </w:r>
      <w:r w:rsidR="001E2164">
        <w:rPr>
          <w:noProof/>
        </w:rPr>
        <w:t>4</w:t>
      </w:r>
      <w:r w:rsidR="001E2164">
        <w:noBreakHyphen/>
      </w:r>
      <w:r w:rsidR="001E2164">
        <w:rPr>
          <w:noProof/>
        </w:rPr>
        <w:t>3</w:t>
      </w:r>
      <w:r>
        <w:fldChar w:fldCharType="end"/>
      </w:r>
      <w:r>
        <w:t xml:space="preserve"> indicates that the refined domestic ownership share of t</w:t>
      </w:r>
      <w:r w:rsidR="00C66D02">
        <w:t>otal equity has ranged from 0.56 to 0.68</w:t>
      </w:r>
      <w:r>
        <w:t xml:space="preserve"> over the relevant period, while the refined domestic ownership share of </w:t>
      </w:r>
      <w:r w:rsidR="001C274C">
        <w:t>only listed equity</w:t>
      </w:r>
      <w:r w:rsidR="00C66D02">
        <w:t xml:space="preserve"> has ranged from 0.38 to 0.55</w:t>
      </w:r>
      <w:r>
        <w:t>.</w:t>
      </w:r>
    </w:p>
    <w:p w14:paraId="315610DE" w14:textId="77777777" w:rsidR="00C06B80" w:rsidRDefault="00C06B80" w:rsidP="00D60D4D">
      <w:pPr>
        <w:pStyle w:val="Heading8"/>
      </w:pPr>
      <w:bookmarkStart w:id="87" w:name="_Ref402179420"/>
      <w:bookmarkStart w:id="88" w:name="_Toc433449224"/>
      <w:r>
        <w:t xml:space="preserve">Tax </w:t>
      </w:r>
      <w:r w:rsidRPr="00D60D4D">
        <w:t>statistics</w:t>
      </w:r>
      <w:bookmarkEnd w:id="87"/>
      <w:bookmarkEnd w:id="88"/>
    </w:p>
    <w:p w14:paraId="4DD1D995" w14:textId="77777777" w:rsidR="00C06B80" w:rsidRDefault="00C06B80" w:rsidP="00C06B80">
      <w:pPr>
        <w:numPr>
          <w:ilvl w:val="0"/>
          <w:numId w:val="25"/>
        </w:numPr>
      </w:pPr>
      <w:r w:rsidRPr="00863CA4">
        <w:t xml:space="preserve">The ATO publishes aggregate statistics on the tax returns submitted by individuals, superannuation funds and companies, as well as on the imputation credits refunded to </w:t>
      </w:r>
      <w:r>
        <w:t>certain income tax exempt entities (for example,</w:t>
      </w:r>
      <w:r w:rsidRPr="00863CA4">
        <w:t xml:space="preserve"> charities).</w:t>
      </w:r>
      <w:r>
        <w:rPr>
          <w:rStyle w:val="FootnoteReference"/>
        </w:rPr>
        <w:footnoteReference w:id="325"/>
      </w:r>
      <w:r w:rsidRPr="00863CA4">
        <w:t xml:space="preserve"> These statistics can be used to derive a measure of the total </w:t>
      </w:r>
      <w:r>
        <w:t>amount</w:t>
      </w:r>
      <w:r w:rsidRPr="00863CA4">
        <w:t xml:space="preserve"> of imputation credits </w:t>
      </w:r>
      <w:r>
        <w:t>utilised</w:t>
      </w:r>
      <w:r w:rsidRPr="00863CA4">
        <w:t xml:space="preserve"> by eligible investors to offset tax or to be refunded.</w:t>
      </w:r>
      <w:r>
        <w:t xml:space="preserve"> As discussed in relation to the distribution rate, ATO statistics also provide estimates of the amount of imputation credits distributed. We consider that the reported </w:t>
      </w:r>
      <w:r w:rsidR="00EA4F04">
        <w:t>value</w:t>
      </w:r>
      <w:r>
        <w:t xml:space="preserve"> of credits utilised divided by the reported </w:t>
      </w:r>
      <w:r w:rsidR="00EA4F04">
        <w:t>value</w:t>
      </w:r>
      <w:r>
        <w:t xml:space="preserve"> of credits distributed is a reasonable estimate of the utilisation rate.</w:t>
      </w:r>
    </w:p>
    <w:p w14:paraId="0695072B" w14:textId="77777777" w:rsidR="00C06B80" w:rsidRDefault="00C06B80" w:rsidP="00C06B80">
      <w:pPr>
        <w:numPr>
          <w:ilvl w:val="0"/>
          <w:numId w:val="25"/>
        </w:numPr>
      </w:pPr>
      <w:r>
        <w:lastRenderedPageBreak/>
        <w:t xml:space="preserve">Our position on the use of tax statistics to estimate the utilisation rate is set out in section </w:t>
      </w:r>
      <w:r w:rsidR="00B40843">
        <w:fldChar w:fldCharType="begin"/>
      </w:r>
      <w:r w:rsidR="00B40843">
        <w:instrText xml:space="preserve"> REF _Ref414289593 \r \h </w:instrText>
      </w:r>
      <w:r w:rsidR="00B40843">
        <w:fldChar w:fldCharType="separate"/>
      </w:r>
      <w:r w:rsidR="001E2164">
        <w:t>4.4.2</w:t>
      </w:r>
      <w:r w:rsidR="00B40843">
        <w:fldChar w:fldCharType="end"/>
      </w:r>
      <w:r w:rsidR="00B40843">
        <w:t xml:space="preserve"> </w:t>
      </w:r>
      <w:r>
        <w:t>of attachment 4. In this section, we explain how our position has changed compared to that in the Guideline.</w:t>
      </w:r>
    </w:p>
    <w:p w14:paraId="1E40AE87" w14:textId="77777777" w:rsidR="00C06B80" w:rsidRDefault="00C06B80" w:rsidP="00C06B80">
      <w:pPr>
        <w:numPr>
          <w:ilvl w:val="0"/>
          <w:numId w:val="25"/>
        </w:numPr>
      </w:pPr>
      <w:r>
        <w:t>In the Guideline, we considered that tax statistics supported a utilisation rate between 0.4 and 0.8. This was based on:</w:t>
      </w:r>
    </w:p>
    <w:p w14:paraId="32742379" w14:textId="77777777" w:rsidR="00C06B80" w:rsidRPr="00C06B80" w:rsidRDefault="00C06B80" w:rsidP="00C06B80">
      <w:pPr>
        <w:pStyle w:val="AERbulletlistfirststyle"/>
      </w:pPr>
      <w:r>
        <w:t xml:space="preserve">A 2013 report by Hathaway, </w:t>
      </w:r>
      <w:r w:rsidRPr="00C06B80">
        <w:t xml:space="preserve">which sought to estimate the proportion of distributed credits that have been utilised. This report produced two estimates for the period 2004 to 2011: 0.43 and 0.61. The two estimates reflect two alternative measures of the value of credits distributed, which in turn imply two alternative estimates of the distribution rate (as discussed in section </w:t>
      </w:r>
      <w:r w:rsidRPr="00C06B80">
        <w:fldChar w:fldCharType="begin"/>
      </w:r>
      <w:r w:rsidRPr="00C06B80">
        <w:instrText xml:space="preserve"> REF _Ref401133206 \r \h </w:instrText>
      </w:r>
      <w:r w:rsidRPr="00C06B80">
        <w:fldChar w:fldCharType="separate"/>
      </w:r>
      <w:r w:rsidR="001E2164">
        <w:t>A.10</w:t>
      </w:r>
      <w:r w:rsidRPr="00C06B80">
        <w:fldChar w:fldCharType="end"/>
      </w:r>
      <w:r w:rsidRPr="00C06B80">
        <w:t>). The 0.43 and 0.61 estimates of the utilisation rate correspond to estimates of the distribution rate of around 0.7 and 0.5 respectively.</w:t>
      </w:r>
      <w:r w:rsidRPr="00C06B80">
        <w:rPr>
          <w:rStyle w:val="FootnoteReference"/>
        </w:rPr>
        <w:footnoteReference w:id="326"/>
      </w:r>
      <w:r w:rsidRPr="00C06B80">
        <w:t xml:space="preserve"> </w:t>
      </w:r>
    </w:p>
    <w:p w14:paraId="2C8195CD" w14:textId="77777777" w:rsidR="00C06B80" w:rsidRPr="00C06B80" w:rsidRDefault="00C06B80" w:rsidP="00C06B80">
      <w:pPr>
        <w:pStyle w:val="AERbulletlistfirststyle"/>
      </w:pPr>
      <w:r>
        <w:t>A 2004 paper by Handley and Maheswaran, which sought</w:t>
      </w:r>
      <w:r w:rsidRPr="00C06B80">
        <w:t xml:space="preserve"> to estimate the proportion of distributed credits that were used to reduce investors' tax liabilities. This paper produced an estimate for the period 2001 to 2004 of 0.81.</w:t>
      </w:r>
    </w:p>
    <w:p w14:paraId="025C9FD6" w14:textId="77777777" w:rsidR="00C06B80" w:rsidRDefault="00C06B80" w:rsidP="00C06B80">
      <w:pPr>
        <w:numPr>
          <w:ilvl w:val="0"/>
          <w:numId w:val="25"/>
        </w:numPr>
      </w:pPr>
      <w:r>
        <w:t xml:space="preserve">Since the Guideline we have continued to examine this evidence. We now consider that </w:t>
      </w:r>
      <w:r w:rsidR="00A16433">
        <w:t>we should rely on</w:t>
      </w:r>
      <w:r>
        <w:t xml:space="preserve"> estimates that are:</w:t>
      </w:r>
    </w:p>
    <w:p w14:paraId="366C775C" w14:textId="77777777" w:rsidR="00C06B80" w:rsidRPr="00C06B80" w:rsidRDefault="00C06B80" w:rsidP="00C06B80">
      <w:pPr>
        <w:pStyle w:val="AERbulletlistfirststyle"/>
      </w:pPr>
      <w:r>
        <w:t>derived from post-2004 data, consistent with Hathaway's findings that the ATO statistics are subject to a number of issues prior to 2004,</w:t>
      </w:r>
      <w:r w:rsidRPr="00C06B80">
        <w:rPr>
          <w:rStyle w:val="FootnoteReference"/>
        </w:rPr>
        <w:footnoteReference w:id="327"/>
      </w:r>
      <w:r w:rsidRPr="00C06B80">
        <w:t xml:space="preserve"> and</w:t>
      </w:r>
    </w:p>
    <w:p w14:paraId="7A2BDB1D" w14:textId="77777777" w:rsidR="00C06B80" w:rsidRPr="00C06B80" w:rsidRDefault="00C06B80" w:rsidP="00C06B80">
      <w:pPr>
        <w:pStyle w:val="AERbulletlistfirststyle"/>
      </w:pPr>
      <w:r>
        <w:t>consistent with our preferred estimates of the distribution rate.</w:t>
      </w:r>
    </w:p>
    <w:p w14:paraId="7F81DE71" w14:textId="43926278" w:rsidR="00C06B80" w:rsidRDefault="00C06B80" w:rsidP="00C06B80">
      <w:pPr>
        <w:numPr>
          <w:ilvl w:val="0"/>
          <w:numId w:val="25"/>
        </w:numPr>
      </w:pPr>
      <w:r>
        <w:t xml:space="preserve">Applying these considerations, </w:t>
      </w:r>
      <w:r w:rsidR="00D236C4">
        <w:t xml:space="preserve">in </w:t>
      </w:r>
      <w:r w:rsidR="00DE5C2A">
        <w:t>our prior</w:t>
      </w:r>
      <w:r w:rsidR="00D236C4">
        <w:t xml:space="preserve"> decision</w:t>
      </w:r>
      <w:r w:rsidR="00DE5C2A">
        <w:t>s</w:t>
      </w:r>
      <w:r w:rsidR="00D236C4">
        <w:t xml:space="preserve"> </w:t>
      </w:r>
      <w:r>
        <w:t xml:space="preserve">we </w:t>
      </w:r>
      <w:r w:rsidR="00D236C4">
        <w:t xml:space="preserve">did </w:t>
      </w:r>
      <w:r w:rsidR="00797099">
        <w:t>not rely on</w:t>
      </w:r>
      <w:r>
        <w:t>:</w:t>
      </w:r>
    </w:p>
    <w:p w14:paraId="343F9F72" w14:textId="77777777" w:rsidR="00C06B80" w:rsidRPr="00C06B80" w:rsidRDefault="00C06B80" w:rsidP="00C06B80">
      <w:pPr>
        <w:pStyle w:val="AERbulletlistfirststyle"/>
      </w:pPr>
      <w:r>
        <w:t>Handley and Maheswaran's estimate of 0.81, because this is (predominantly) derived from pre-2004 data.</w:t>
      </w:r>
    </w:p>
    <w:p w14:paraId="07D49EC7" w14:textId="77777777" w:rsidR="00C06B80" w:rsidRDefault="00C06B80" w:rsidP="00A16433">
      <w:pPr>
        <w:pStyle w:val="AERbulletlistfirststyle"/>
      </w:pPr>
      <w:r>
        <w:t>Hathaway's estimate of 0.61, because this corresponds to an estimate of the distribution rate of around 0.5 whereas we adopt an estimate of the distribution rate over all equity of 0.7.</w:t>
      </w:r>
    </w:p>
    <w:p w14:paraId="02DBDAEA" w14:textId="47A26715" w:rsidR="00D236C4" w:rsidRPr="00D236C4" w:rsidRDefault="00D236C4" w:rsidP="00C26A14">
      <w:r w:rsidRPr="00D236C4">
        <w:t xml:space="preserve">In this final decision we </w:t>
      </w:r>
      <w:r w:rsidR="00D27991">
        <w:t>have regard to</w:t>
      </w:r>
      <w:r w:rsidRPr="00D236C4">
        <w:t xml:space="preserve"> NERA's updated analysis of the ATO data to the 2012 tax year.</w:t>
      </w:r>
      <w:r w:rsidRPr="00D236C4">
        <w:rPr>
          <w:rStyle w:val="FootnoteReference"/>
        </w:rPr>
        <w:footnoteReference w:id="328"/>
      </w:r>
      <w:r w:rsidRPr="00D236C4">
        <w:t xml:space="preserve"> This analysis supports a distribution rate of 0.7 and a utilisation rate of 0.45.</w:t>
      </w:r>
      <w:r w:rsidR="00625179">
        <w:t xml:space="preserve"> </w:t>
      </w:r>
    </w:p>
    <w:p w14:paraId="4769F356" w14:textId="77777777" w:rsidR="00967FFA" w:rsidRDefault="002048E1" w:rsidP="00B93D6C">
      <w:r>
        <w:t xml:space="preserve">As discussed in section </w:t>
      </w:r>
      <w:r>
        <w:fldChar w:fldCharType="begin"/>
      </w:r>
      <w:r>
        <w:instrText xml:space="preserve"> REF _Ref401133206 \r \h </w:instrText>
      </w:r>
      <w:r>
        <w:fldChar w:fldCharType="separate"/>
      </w:r>
      <w:r w:rsidR="001E2164">
        <w:t>A.10</w:t>
      </w:r>
      <w:r>
        <w:fldChar w:fldCharType="end"/>
      </w:r>
      <w:r>
        <w:t xml:space="preserve">, </w:t>
      </w:r>
      <w:r w:rsidR="00C309E4">
        <w:t xml:space="preserve">for this decision </w:t>
      </w:r>
      <w:r w:rsidR="00B20311">
        <w:t xml:space="preserve">we place no reliance on Hathaway's new report and therefore </w:t>
      </w:r>
      <w:r w:rsidR="006526FE">
        <w:t xml:space="preserve">it does not change our conclusions </w:t>
      </w:r>
      <w:r w:rsidR="00B20311">
        <w:t>regarding the utilisation rate indicated</w:t>
      </w:r>
      <w:r w:rsidR="00EA284E">
        <w:t xml:space="preserve"> by tax statistics.</w:t>
      </w:r>
    </w:p>
    <w:p w14:paraId="46A90A27" w14:textId="77777777" w:rsidR="00292ECF" w:rsidRDefault="00292ECF" w:rsidP="00292ECF">
      <w:pPr>
        <w:pStyle w:val="Heading8"/>
      </w:pPr>
      <w:bookmarkStart w:id="89" w:name="_Ref401080753"/>
      <w:bookmarkStart w:id="90" w:name="_Toc433449225"/>
      <w:r w:rsidRPr="00292ECF">
        <w:lastRenderedPageBreak/>
        <w:t>Implied</w:t>
      </w:r>
      <w:r>
        <w:t xml:space="preserve"> market value studies</w:t>
      </w:r>
      <w:bookmarkEnd w:id="89"/>
      <w:bookmarkEnd w:id="90"/>
    </w:p>
    <w:p w14:paraId="5DF757D4" w14:textId="77777777" w:rsidR="00292ECF" w:rsidRDefault="00292ECF" w:rsidP="00292ECF">
      <w:pPr>
        <w:numPr>
          <w:ilvl w:val="0"/>
          <w:numId w:val="25"/>
        </w:numPr>
      </w:pPr>
      <w:r>
        <w:t xml:space="preserve">Implied market value studies seek to infer from market prices the </w:t>
      </w:r>
      <w:r w:rsidRPr="007E6C27">
        <w:t>value of distributed imputation credit</w:t>
      </w:r>
      <w:r>
        <w:t xml:space="preserve">s. Our position on the use of implied market value studies to estimate the utilisation rate is set out in section </w:t>
      </w:r>
      <w:r w:rsidR="00B40843">
        <w:fldChar w:fldCharType="begin"/>
      </w:r>
      <w:r w:rsidR="00B40843">
        <w:instrText xml:space="preserve"> REF _Ref414289593 \r \h </w:instrText>
      </w:r>
      <w:r w:rsidR="00B40843">
        <w:fldChar w:fldCharType="separate"/>
      </w:r>
      <w:r w:rsidR="001E2164">
        <w:t>4.4.2</w:t>
      </w:r>
      <w:r w:rsidR="00B40843">
        <w:fldChar w:fldCharType="end"/>
      </w:r>
      <w:r w:rsidR="00B40843">
        <w:t xml:space="preserve"> </w:t>
      </w:r>
      <w:r>
        <w:t xml:space="preserve">of attachment 4. </w:t>
      </w:r>
    </w:p>
    <w:p w14:paraId="74F13BCD" w14:textId="77777777" w:rsidR="00292ECF" w:rsidRDefault="00292ECF" w:rsidP="00292ECF">
      <w:pPr>
        <w:numPr>
          <w:ilvl w:val="0"/>
          <w:numId w:val="25"/>
        </w:numPr>
      </w:pPr>
      <w:r>
        <w:t xml:space="preserve">This section sets out further evidence which supports our position on the use of implied market value studies to estimate the utilisation rate. It describes the types of study available, and estimates from these studies. As we discuss in section </w:t>
      </w:r>
      <w:r w:rsidR="00B40843">
        <w:fldChar w:fldCharType="begin"/>
      </w:r>
      <w:r w:rsidR="00B40843">
        <w:instrText xml:space="preserve"> REF _Ref414289593 \r \h </w:instrText>
      </w:r>
      <w:r w:rsidR="00B40843">
        <w:fldChar w:fldCharType="separate"/>
      </w:r>
      <w:r w:rsidR="001E2164">
        <w:t>4.4.2</w:t>
      </w:r>
      <w:r w:rsidR="00B40843">
        <w:fldChar w:fldCharType="end"/>
      </w:r>
      <w:r w:rsidR="00B40843">
        <w:t xml:space="preserve"> </w:t>
      </w:r>
      <w:r>
        <w:t>of attachment 4, the level of reliance we place on implied market value studies reflects the limitations of these studies. We discuss the limitations of the most common type of implied market value study, dividend drop off studies, in section</w:t>
      </w:r>
      <w:r w:rsidR="00B40843">
        <w:t xml:space="preserve">s </w:t>
      </w:r>
      <w:r w:rsidR="00B40843">
        <w:fldChar w:fldCharType="begin"/>
      </w:r>
      <w:r w:rsidR="00B40843">
        <w:instrText xml:space="preserve"> REF _Ref414624721 \r \h </w:instrText>
      </w:r>
      <w:r w:rsidR="00B40843">
        <w:fldChar w:fldCharType="separate"/>
      </w:r>
      <w:r w:rsidR="001E2164">
        <w:t>A.14.5</w:t>
      </w:r>
      <w:r w:rsidR="00B40843">
        <w:fldChar w:fldCharType="end"/>
      </w:r>
      <w:r w:rsidR="00B40843">
        <w:t xml:space="preserve"> and </w:t>
      </w:r>
      <w:r w:rsidR="00B40843">
        <w:fldChar w:fldCharType="begin"/>
      </w:r>
      <w:r w:rsidR="00B40843">
        <w:instrText xml:space="preserve"> REF _Ref414619467 \r \h </w:instrText>
      </w:r>
      <w:r w:rsidR="00B40843">
        <w:fldChar w:fldCharType="separate"/>
      </w:r>
      <w:r w:rsidR="001E2164">
        <w:t>A.14.6</w:t>
      </w:r>
      <w:r w:rsidR="00B40843">
        <w:fldChar w:fldCharType="end"/>
      </w:r>
      <w:r>
        <w:t>.</w:t>
      </w:r>
    </w:p>
    <w:p w14:paraId="659014DE" w14:textId="77777777" w:rsidR="00292ECF" w:rsidRPr="00222643" w:rsidRDefault="00292ECF" w:rsidP="00292ECF">
      <w:pPr>
        <w:pStyle w:val="Heading9"/>
      </w:pPr>
      <w:bookmarkStart w:id="91" w:name="_Ref402791521"/>
      <w:r w:rsidRPr="00222643">
        <w:t xml:space="preserve">Types of implied </w:t>
      </w:r>
      <w:r w:rsidRPr="00292ECF">
        <w:t>market</w:t>
      </w:r>
      <w:r w:rsidRPr="00222643">
        <w:t xml:space="preserve"> value studies</w:t>
      </w:r>
      <w:bookmarkEnd w:id="91"/>
    </w:p>
    <w:p w14:paraId="637D69FA" w14:textId="77777777" w:rsidR="00292ECF" w:rsidRPr="00222643" w:rsidRDefault="00292ECF" w:rsidP="00292ECF">
      <w:pPr>
        <w:numPr>
          <w:ilvl w:val="0"/>
          <w:numId w:val="25"/>
        </w:numPr>
      </w:pPr>
      <w:r w:rsidRPr="00222643">
        <w:t>In this section, we describe the key characteristics of dividend drop off studies and other implied market value studies.</w:t>
      </w:r>
    </w:p>
    <w:p w14:paraId="5D579A26" w14:textId="77777777" w:rsidR="00292ECF" w:rsidRPr="00222643" w:rsidRDefault="00292ECF" w:rsidP="00292ECF">
      <w:pPr>
        <w:pStyle w:val="HeadingBoldBlue"/>
        <w:numPr>
          <w:ilvl w:val="0"/>
          <w:numId w:val="25"/>
        </w:numPr>
      </w:pPr>
      <w:r w:rsidRPr="00222643">
        <w:t>Dividend drop off studies</w:t>
      </w:r>
    </w:p>
    <w:p w14:paraId="04C18717" w14:textId="77777777" w:rsidR="00292ECF" w:rsidRPr="00222643" w:rsidRDefault="00292ECF" w:rsidP="00292ECF">
      <w:pPr>
        <w:numPr>
          <w:ilvl w:val="0"/>
          <w:numId w:val="25"/>
        </w:numPr>
      </w:pPr>
      <w:r w:rsidRPr="00222643">
        <w:t>Dividend drop off studies are the most common type of implied market value study. These studies involve comparing share prices between:</w:t>
      </w:r>
    </w:p>
    <w:p w14:paraId="0F682452" w14:textId="77777777" w:rsidR="00292ECF" w:rsidRPr="00292ECF" w:rsidRDefault="00292ECF" w:rsidP="00292ECF">
      <w:pPr>
        <w:pStyle w:val="AERbulletlistfirststyle"/>
      </w:pPr>
      <w:r w:rsidRPr="00222643">
        <w:t>the cum-dividend</w:t>
      </w:r>
      <w:r w:rsidRPr="00292ECF">
        <w:t xml:space="preserve"> date—the last day on which investors owning shares will be eligible to receive dividends and the attached imputation credits, and</w:t>
      </w:r>
    </w:p>
    <w:p w14:paraId="294622A6" w14:textId="77777777" w:rsidR="00292ECF" w:rsidRPr="00292ECF" w:rsidRDefault="00292ECF" w:rsidP="00292ECF">
      <w:pPr>
        <w:pStyle w:val="AERbulletlistfirststyle"/>
      </w:pPr>
      <w:r w:rsidRPr="00222643">
        <w:t>the ex-dividend date—the first day on which investors owning shares will not be eligible to receive dividends and attached imputation credits.</w:t>
      </w:r>
    </w:p>
    <w:p w14:paraId="02AC1160" w14:textId="77777777" w:rsidR="00292ECF" w:rsidRDefault="00292ECF" w:rsidP="00292ECF">
      <w:pPr>
        <w:numPr>
          <w:ilvl w:val="0"/>
          <w:numId w:val="25"/>
        </w:numPr>
      </w:pPr>
      <w:r w:rsidRPr="00222643">
        <w:t xml:space="preserve">That is, an investor that buys a share on the cum-dividend date will be eligible to receive a dividend from that company. </w:t>
      </w:r>
      <w:r w:rsidR="00C309E4">
        <w:t>A</w:t>
      </w:r>
      <w:r w:rsidRPr="00222643">
        <w:t xml:space="preserve">n investor who buys a share on the ex-dividend date will not. The difference in these prices should therefore reflect investors' valuation of the combined package of dividends and </w:t>
      </w:r>
      <w:r>
        <w:t>imputation</w:t>
      </w:r>
      <w:r w:rsidRPr="00222643">
        <w:t xml:space="preserve"> credits, all other things being equal. Dividend drop off studies often will report this as a dividend drop off ratio. This is the reduction in the share price as a proportion of the face value of dividends paid out.</w:t>
      </w:r>
    </w:p>
    <w:p w14:paraId="1E2345E7" w14:textId="3FA06461" w:rsidR="00292ECF" w:rsidRDefault="00292ECF" w:rsidP="00292ECF">
      <w:pPr>
        <w:numPr>
          <w:ilvl w:val="0"/>
          <w:numId w:val="25"/>
        </w:numPr>
      </w:pPr>
      <w:r>
        <w:fldChar w:fldCharType="begin"/>
      </w:r>
      <w:r>
        <w:instrText xml:space="preserve"> REF _Ref401075742 \h </w:instrText>
      </w:r>
      <w:r>
        <w:fldChar w:fldCharType="separate"/>
      </w:r>
      <w:r w:rsidR="001E2164">
        <w:t xml:space="preserve">Table </w:t>
      </w:r>
      <w:r w:rsidR="001E2164">
        <w:rPr>
          <w:noProof/>
        </w:rPr>
        <w:t>4</w:t>
      </w:r>
      <w:r w:rsidR="001E2164">
        <w:noBreakHyphen/>
      </w:r>
      <w:r w:rsidR="001E2164">
        <w:rPr>
          <w:noProof/>
        </w:rPr>
        <w:t>8</w:t>
      </w:r>
      <w:r>
        <w:fldChar w:fldCharType="end"/>
      </w:r>
      <w:r>
        <w:t xml:space="preserve"> identifies the dividend drop off studies that we are aware of, and describes the methodology of each study. The results from these studies are presented in </w:t>
      </w:r>
      <w:r>
        <w:fldChar w:fldCharType="begin"/>
      </w:r>
      <w:r>
        <w:instrText xml:space="preserve"> REF  _Ref401075676 \* Lower \h </w:instrText>
      </w:r>
      <w:r>
        <w:fldChar w:fldCharType="separate"/>
      </w:r>
      <w:r w:rsidR="001E2164">
        <w:t xml:space="preserve">table </w:t>
      </w:r>
      <w:r w:rsidR="001E2164">
        <w:rPr>
          <w:noProof/>
        </w:rPr>
        <w:t>4</w:t>
      </w:r>
      <w:r w:rsidR="001E2164">
        <w:noBreakHyphen/>
      </w:r>
      <w:r w:rsidR="001E2164">
        <w:rPr>
          <w:noProof/>
        </w:rPr>
        <w:t>10</w:t>
      </w:r>
      <w:r>
        <w:fldChar w:fldCharType="end"/>
      </w:r>
      <w:r>
        <w:t>.</w:t>
      </w:r>
    </w:p>
    <w:p w14:paraId="6506F58E" w14:textId="77777777" w:rsidR="008E408D" w:rsidRDefault="008E408D" w:rsidP="00292ECF">
      <w:pPr>
        <w:pStyle w:val="Caption"/>
      </w:pPr>
      <w:bookmarkStart w:id="92" w:name="_Ref401075742"/>
    </w:p>
    <w:p w14:paraId="604B37D5" w14:textId="77777777" w:rsidR="00E12486" w:rsidRDefault="00E12486" w:rsidP="00E12486"/>
    <w:p w14:paraId="40A9BD39" w14:textId="77777777" w:rsidR="00E12486" w:rsidRPr="00E12486" w:rsidRDefault="00E12486" w:rsidP="00E12486"/>
    <w:p w14:paraId="4A3D60F9" w14:textId="77777777" w:rsidR="00292ECF" w:rsidRDefault="00292ECF" w:rsidP="00292ECF">
      <w:pPr>
        <w:pStyle w:val="Caption"/>
      </w:pPr>
      <w:r>
        <w:t xml:space="preserve">Table </w:t>
      </w:r>
      <w:r w:rsidR="00D70292">
        <w:fldChar w:fldCharType="begin"/>
      </w:r>
      <w:r w:rsidR="00D70292">
        <w:instrText xml:space="preserve"> STYLEREF 1 \s </w:instrText>
      </w:r>
      <w:r w:rsidR="00D70292">
        <w:fldChar w:fldCharType="separate"/>
      </w:r>
      <w:r w:rsidR="001E2164">
        <w:rPr>
          <w:noProof/>
        </w:rPr>
        <w:t>4</w:t>
      </w:r>
      <w:r w:rsidR="00D70292">
        <w:rPr>
          <w:noProof/>
        </w:rPr>
        <w:fldChar w:fldCharType="end"/>
      </w:r>
      <w:r w:rsidR="00257FBE">
        <w:noBreakHyphen/>
      </w:r>
      <w:r w:rsidR="00D70292">
        <w:fldChar w:fldCharType="begin"/>
      </w:r>
      <w:r w:rsidR="00D70292">
        <w:instrText xml:space="preserve"> SEQ Table \* ARABIC \s 1 </w:instrText>
      </w:r>
      <w:r w:rsidR="00D70292">
        <w:fldChar w:fldCharType="separate"/>
      </w:r>
      <w:r w:rsidR="001E2164">
        <w:rPr>
          <w:noProof/>
        </w:rPr>
        <w:t>8</w:t>
      </w:r>
      <w:r w:rsidR="00D70292">
        <w:rPr>
          <w:noProof/>
        </w:rPr>
        <w:fldChar w:fldCharType="end"/>
      </w:r>
      <w:bookmarkEnd w:id="92"/>
      <w:r>
        <w:tab/>
        <w:t>Summary of available dividend drop off studies</w:t>
      </w:r>
    </w:p>
    <w:tbl>
      <w:tblPr>
        <w:tblStyle w:val="AERtable-text0"/>
        <w:tblW w:w="0" w:type="auto"/>
        <w:tblLook w:val="04A0" w:firstRow="1" w:lastRow="0" w:firstColumn="1" w:lastColumn="0" w:noHBand="0" w:noVBand="1"/>
      </w:tblPr>
      <w:tblGrid>
        <w:gridCol w:w="2518"/>
        <w:gridCol w:w="1276"/>
        <w:gridCol w:w="5448"/>
      </w:tblGrid>
      <w:tr w:rsidR="00292ECF" w14:paraId="5CBC7864"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2518" w:type="dxa"/>
          </w:tcPr>
          <w:p w14:paraId="2FBE07D3" w14:textId="77777777" w:rsidR="00292ECF" w:rsidRPr="00292ECF" w:rsidRDefault="00292ECF" w:rsidP="00292ECF">
            <w:r w:rsidRPr="00222643">
              <w:t>Authors</w:t>
            </w:r>
          </w:p>
        </w:tc>
        <w:tc>
          <w:tcPr>
            <w:tcW w:w="1276" w:type="dxa"/>
          </w:tcPr>
          <w:p w14:paraId="283EFB8D" w14:textId="77777777" w:rsidR="00292ECF" w:rsidRPr="00292ECF" w:rsidRDefault="00292ECF" w:rsidP="00292ECF">
            <w:r w:rsidRPr="00222643">
              <w:t>Data range</w:t>
            </w:r>
          </w:p>
        </w:tc>
        <w:tc>
          <w:tcPr>
            <w:tcW w:w="5448" w:type="dxa"/>
          </w:tcPr>
          <w:p w14:paraId="13451828" w14:textId="77777777" w:rsidR="00292ECF" w:rsidRPr="00292ECF" w:rsidRDefault="00292ECF" w:rsidP="00292ECF">
            <w:r w:rsidRPr="00222643">
              <w:t xml:space="preserve">Assessment </w:t>
            </w:r>
            <w:r w:rsidRPr="00292ECF">
              <w:t>relative to other studies in that class</w:t>
            </w:r>
          </w:p>
        </w:tc>
      </w:tr>
      <w:tr w:rsidR="00292ECF" w14:paraId="1654AD74" w14:textId="77777777" w:rsidTr="00D13AD4">
        <w:trPr>
          <w:cantSplit/>
        </w:trPr>
        <w:tc>
          <w:tcPr>
            <w:tcW w:w="9242" w:type="dxa"/>
            <w:gridSpan w:val="3"/>
          </w:tcPr>
          <w:p w14:paraId="45638791" w14:textId="77777777" w:rsidR="00292ECF" w:rsidRDefault="00292ECF" w:rsidP="00292ECF">
            <w:pPr>
              <w:numPr>
                <w:ilvl w:val="0"/>
                <w:numId w:val="25"/>
              </w:numPr>
            </w:pPr>
            <w:r w:rsidRPr="009229BE">
              <w:rPr>
                <w:rStyle w:val="Strong"/>
              </w:rPr>
              <w:t>Dividend drop off study</w:t>
            </w:r>
            <w:r w:rsidRPr="00222643">
              <w:t xml:space="preserve"> – Compare share prices before and after dividend events (with and without imputation credits).</w:t>
            </w:r>
          </w:p>
        </w:tc>
      </w:tr>
      <w:tr w:rsidR="00292ECF" w14:paraId="4AF52019"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98F0492" w14:textId="77777777" w:rsidR="00292ECF" w:rsidRPr="00292ECF" w:rsidRDefault="00292ECF" w:rsidP="00292ECF">
            <w:r w:rsidRPr="00222643">
              <w:lastRenderedPageBreak/>
              <w:t>Vo et al (2013)</w:t>
            </w:r>
            <w:r w:rsidRPr="00292ECF">
              <w:rPr>
                <w:rStyle w:val="FootnoteReference"/>
              </w:rPr>
              <w:footnoteReference w:id="329"/>
            </w:r>
          </w:p>
        </w:tc>
        <w:tc>
          <w:tcPr>
            <w:tcW w:w="1276" w:type="dxa"/>
          </w:tcPr>
          <w:p w14:paraId="0EAF2F2E" w14:textId="77777777" w:rsidR="00292ECF" w:rsidRPr="00292ECF" w:rsidRDefault="00292ECF" w:rsidP="00292ECF">
            <w:r w:rsidRPr="00222643">
              <w:t>2001-2012</w:t>
            </w:r>
          </w:p>
        </w:tc>
        <w:tc>
          <w:tcPr>
            <w:tcW w:w="5448" w:type="dxa"/>
          </w:tcPr>
          <w:p w14:paraId="71B1BEE4" w14:textId="77777777" w:rsidR="00292ECF" w:rsidRPr="00292ECF" w:rsidRDefault="00292ECF" w:rsidP="00292ECF">
            <w:r w:rsidRPr="00222643">
              <w:t xml:space="preserve">Builds on SFG (2011), </w:t>
            </w:r>
            <w:r w:rsidRPr="00292ECF">
              <w:t>includes additional econometric permutations and sensitivity analysis.</w:t>
            </w:r>
          </w:p>
        </w:tc>
      </w:tr>
      <w:tr w:rsidR="00292ECF" w14:paraId="0789BD0B" w14:textId="77777777" w:rsidTr="00D13AD4">
        <w:trPr>
          <w:cantSplit/>
        </w:trPr>
        <w:tc>
          <w:tcPr>
            <w:tcW w:w="2518" w:type="dxa"/>
          </w:tcPr>
          <w:p w14:paraId="38DD2EE2" w14:textId="77777777" w:rsidR="00292ECF" w:rsidRPr="00292ECF" w:rsidRDefault="00292ECF" w:rsidP="00292ECF">
            <w:r w:rsidRPr="00222643">
              <w:t>SFG (2013a)</w:t>
            </w:r>
            <w:r w:rsidRPr="00292ECF">
              <w:rPr>
                <w:rStyle w:val="FootnoteReference"/>
              </w:rPr>
              <w:footnoteReference w:id="330"/>
            </w:r>
          </w:p>
        </w:tc>
        <w:tc>
          <w:tcPr>
            <w:tcW w:w="1276" w:type="dxa"/>
          </w:tcPr>
          <w:p w14:paraId="185C58BD" w14:textId="77777777" w:rsidR="00292ECF" w:rsidRPr="00292ECF" w:rsidRDefault="00292ECF" w:rsidP="00292ECF">
            <w:r w:rsidRPr="00222643">
              <w:t>2001-2012</w:t>
            </w:r>
          </w:p>
        </w:tc>
        <w:tc>
          <w:tcPr>
            <w:tcW w:w="5448" w:type="dxa"/>
          </w:tcPr>
          <w:p w14:paraId="29C50CD3" w14:textId="77777777" w:rsidR="00292ECF" w:rsidRPr="00292ECF" w:rsidRDefault="00292ECF" w:rsidP="00292ECF">
            <w:r w:rsidRPr="00222643">
              <w:t>Updates SFG (2011) – same author, longer data series.</w:t>
            </w:r>
          </w:p>
        </w:tc>
      </w:tr>
      <w:tr w:rsidR="00292ECF" w14:paraId="40722912"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A25FFED" w14:textId="77777777" w:rsidR="00292ECF" w:rsidRPr="00292ECF" w:rsidRDefault="00292ECF" w:rsidP="00292ECF">
            <w:r w:rsidRPr="00222643">
              <w:t>SFG (2011)</w:t>
            </w:r>
            <w:r w:rsidRPr="00292ECF">
              <w:rPr>
                <w:rStyle w:val="FootnoteReference"/>
              </w:rPr>
              <w:footnoteReference w:id="331"/>
            </w:r>
          </w:p>
        </w:tc>
        <w:tc>
          <w:tcPr>
            <w:tcW w:w="1276" w:type="dxa"/>
          </w:tcPr>
          <w:p w14:paraId="2ED7F207" w14:textId="77777777" w:rsidR="00292ECF" w:rsidRPr="00292ECF" w:rsidRDefault="00292ECF" w:rsidP="00292ECF">
            <w:r w:rsidRPr="00222643">
              <w:t>2001-2010</w:t>
            </w:r>
          </w:p>
        </w:tc>
        <w:tc>
          <w:tcPr>
            <w:tcW w:w="5448" w:type="dxa"/>
          </w:tcPr>
          <w:p w14:paraId="2D6CC299" w14:textId="77777777" w:rsidR="00292ECF" w:rsidRPr="00292ECF" w:rsidRDefault="00292ECF" w:rsidP="00292ECF">
            <w:r w:rsidRPr="00222643">
              <w:t xml:space="preserve">Study commissioned by the </w:t>
            </w:r>
            <w:r w:rsidRPr="00292ECF">
              <w:t>Australian Competition Tribunal.</w:t>
            </w:r>
          </w:p>
        </w:tc>
      </w:tr>
      <w:tr w:rsidR="00292ECF" w14:paraId="4F3CC0F2" w14:textId="77777777" w:rsidTr="00D13AD4">
        <w:trPr>
          <w:cantSplit/>
        </w:trPr>
        <w:tc>
          <w:tcPr>
            <w:tcW w:w="2518" w:type="dxa"/>
          </w:tcPr>
          <w:p w14:paraId="769E67EF" w14:textId="77777777" w:rsidR="00292ECF" w:rsidRPr="00292ECF" w:rsidRDefault="00292ECF" w:rsidP="00292ECF">
            <w:r w:rsidRPr="00222643">
              <w:t>Minney (2010)</w:t>
            </w:r>
            <w:r w:rsidRPr="00292ECF">
              <w:rPr>
                <w:rStyle w:val="FootnoteReference"/>
              </w:rPr>
              <w:footnoteReference w:id="332"/>
            </w:r>
          </w:p>
        </w:tc>
        <w:tc>
          <w:tcPr>
            <w:tcW w:w="1276" w:type="dxa"/>
          </w:tcPr>
          <w:p w14:paraId="36063835" w14:textId="77777777" w:rsidR="00292ECF" w:rsidRPr="00292ECF" w:rsidRDefault="00292ECF" w:rsidP="00292ECF">
            <w:r w:rsidRPr="00222643">
              <w:t>2001–2009</w:t>
            </w:r>
          </w:p>
        </w:tc>
        <w:tc>
          <w:tcPr>
            <w:tcW w:w="5448" w:type="dxa"/>
          </w:tcPr>
          <w:p w14:paraId="27A710D0" w14:textId="77777777" w:rsidR="00292ECF" w:rsidRPr="00292ECF" w:rsidRDefault="00292ECF" w:rsidP="00292ECF">
            <w:r w:rsidRPr="00222643">
              <w:t>Partitions by firm</w:t>
            </w:r>
            <w:r w:rsidRPr="00292ECF">
              <w:t xml:space="preserve"> size; sub-periods 2001–2005 and 2006–2009.</w:t>
            </w:r>
          </w:p>
        </w:tc>
      </w:tr>
      <w:tr w:rsidR="00292ECF" w14:paraId="41B54D0D"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68C2E565" w14:textId="77777777" w:rsidR="00292ECF" w:rsidRPr="00292ECF" w:rsidRDefault="00292ECF" w:rsidP="00292ECF">
            <w:r w:rsidRPr="00222643">
              <w:t>Beggs and Skeels (2006)</w:t>
            </w:r>
            <w:r w:rsidRPr="00292ECF">
              <w:rPr>
                <w:rStyle w:val="FootnoteReference"/>
              </w:rPr>
              <w:footnoteReference w:id="333"/>
            </w:r>
          </w:p>
        </w:tc>
        <w:tc>
          <w:tcPr>
            <w:tcW w:w="1276" w:type="dxa"/>
          </w:tcPr>
          <w:p w14:paraId="17E73999" w14:textId="77777777" w:rsidR="00292ECF" w:rsidRPr="00292ECF" w:rsidRDefault="00292ECF" w:rsidP="00292ECF">
            <w:r w:rsidRPr="00222643">
              <w:t>1986-2004</w:t>
            </w:r>
          </w:p>
        </w:tc>
        <w:tc>
          <w:tcPr>
            <w:tcW w:w="5448" w:type="dxa"/>
          </w:tcPr>
          <w:p w14:paraId="1C995742" w14:textId="77777777" w:rsidR="00292ECF" w:rsidRPr="00292ECF" w:rsidRDefault="00292ECF" w:rsidP="00292ECF">
            <w:r w:rsidRPr="00222643">
              <w:t>Key study in the AER's 2009 review</w:t>
            </w:r>
            <w:r w:rsidRPr="00292ECF">
              <w:t xml:space="preserve"> of rate of return parameters. Data calculated yearly.</w:t>
            </w:r>
          </w:p>
        </w:tc>
      </w:tr>
      <w:tr w:rsidR="00292ECF" w14:paraId="4619D365" w14:textId="77777777" w:rsidTr="00D13AD4">
        <w:trPr>
          <w:cantSplit/>
        </w:trPr>
        <w:tc>
          <w:tcPr>
            <w:tcW w:w="2518" w:type="dxa"/>
          </w:tcPr>
          <w:p w14:paraId="6359CFE6" w14:textId="77777777" w:rsidR="00292ECF" w:rsidRPr="00292ECF" w:rsidRDefault="00292ECF" w:rsidP="00292ECF">
            <w:r w:rsidRPr="00222643">
              <w:t>Hathaway and Officer (2004)</w:t>
            </w:r>
            <w:r w:rsidRPr="00292ECF">
              <w:rPr>
                <w:rStyle w:val="FootnoteReference"/>
              </w:rPr>
              <w:footnoteReference w:id="334"/>
            </w:r>
          </w:p>
        </w:tc>
        <w:tc>
          <w:tcPr>
            <w:tcW w:w="1276" w:type="dxa"/>
          </w:tcPr>
          <w:p w14:paraId="0789A524" w14:textId="77777777" w:rsidR="00292ECF" w:rsidRPr="00292ECF" w:rsidRDefault="00292ECF" w:rsidP="00292ECF">
            <w:r w:rsidRPr="00222643">
              <w:t>1986-2004</w:t>
            </w:r>
          </w:p>
        </w:tc>
        <w:tc>
          <w:tcPr>
            <w:tcW w:w="5448" w:type="dxa"/>
          </w:tcPr>
          <w:p w14:paraId="46910FD9" w14:textId="77777777" w:rsidR="00292ECF" w:rsidRPr="00292ECF" w:rsidRDefault="00292ECF" w:rsidP="00292ECF">
            <w:r w:rsidRPr="00222643">
              <w:t xml:space="preserve">Study partitions by firm size, </w:t>
            </w:r>
            <w:r w:rsidRPr="00292ECF">
              <w:t>dividend yield level.</w:t>
            </w:r>
          </w:p>
        </w:tc>
      </w:tr>
      <w:tr w:rsidR="00292ECF" w14:paraId="02B8099C"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67CFA22E" w14:textId="77777777" w:rsidR="00292ECF" w:rsidRPr="00292ECF" w:rsidRDefault="00292ECF" w:rsidP="00292ECF">
            <w:r w:rsidRPr="00222643">
              <w:t>Bellamy and Gray (2004)</w:t>
            </w:r>
            <w:r w:rsidRPr="00292ECF">
              <w:rPr>
                <w:rStyle w:val="FootnoteReference"/>
              </w:rPr>
              <w:footnoteReference w:id="335"/>
            </w:r>
          </w:p>
        </w:tc>
        <w:tc>
          <w:tcPr>
            <w:tcW w:w="1276" w:type="dxa"/>
          </w:tcPr>
          <w:p w14:paraId="238DAC68" w14:textId="77777777" w:rsidR="00292ECF" w:rsidRPr="00292ECF" w:rsidRDefault="00292ECF" w:rsidP="00292ECF">
            <w:r w:rsidRPr="00222643">
              <w:t>1995-2002</w:t>
            </w:r>
          </w:p>
        </w:tc>
        <w:tc>
          <w:tcPr>
            <w:tcW w:w="5448" w:type="dxa"/>
          </w:tcPr>
          <w:p w14:paraId="0D1BE8A0" w14:textId="77777777" w:rsidR="00292ECF" w:rsidRPr="00292ECF" w:rsidRDefault="00292ECF" w:rsidP="00292ECF">
            <w:r w:rsidRPr="00222643">
              <w:t>Several regression forms</w:t>
            </w:r>
            <w:r w:rsidRPr="00292ECF">
              <w:t xml:space="preserve"> and sample selections. Partitions by size and time period (pre and post 45-day holding rule). Use of simulation to inform regression equation.</w:t>
            </w:r>
          </w:p>
        </w:tc>
      </w:tr>
      <w:tr w:rsidR="00292ECF" w14:paraId="39C7DF3E" w14:textId="77777777" w:rsidTr="00D13AD4">
        <w:trPr>
          <w:cantSplit/>
        </w:trPr>
        <w:tc>
          <w:tcPr>
            <w:tcW w:w="2518" w:type="dxa"/>
          </w:tcPr>
          <w:p w14:paraId="69556416" w14:textId="77777777" w:rsidR="00292ECF" w:rsidRPr="00292ECF" w:rsidRDefault="00292ECF" w:rsidP="00292ECF">
            <w:r w:rsidRPr="00222643">
              <w:t>Bruckner et al (1994)</w:t>
            </w:r>
            <w:r w:rsidRPr="00292ECF">
              <w:rPr>
                <w:rStyle w:val="FootnoteReference"/>
              </w:rPr>
              <w:footnoteReference w:id="336"/>
            </w:r>
          </w:p>
        </w:tc>
        <w:tc>
          <w:tcPr>
            <w:tcW w:w="1276" w:type="dxa"/>
          </w:tcPr>
          <w:p w14:paraId="0BED859A" w14:textId="77777777" w:rsidR="00292ECF" w:rsidRPr="00292ECF" w:rsidRDefault="00292ECF" w:rsidP="00292ECF">
            <w:r w:rsidRPr="00222643">
              <w:t>1987-1993</w:t>
            </w:r>
          </w:p>
        </w:tc>
        <w:tc>
          <w:tcPr>
            <w:tcW w:w="5448" w:type="dxa"/>
          </w:tcPr>
          <w:p w14:paraId="322B14C0" w14:textId="77777777" w:rsidR="00292ECF" w:rsidRPr="00292ECF" w:rsidRDefault="00292ECF" w:rsidP="00292ECF">
            <w:r w:rsidRPr="00222643">
              <w:t>Early study</w:t>
            </w:r>
            <w:r w:rsidRPr="00292ECF">
              <w:t xml:space="preserve"> with limited data; sub-periods 1987–1990 and 1991–1993.</w:t>
            </w:r>
          </w:p>
        </w:tc>
      </w:tr>
      <w:tr w:rsidR="00292ECF" w14:paraId="1F061293"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3CC3107" w14:textId="77777777" w:rsidR="00292ECF" w:rsidRPr="00292ECF" w:rsidRDefault="00292ECF" w:rsidP="00292ECF">
            <w:r w:rsidRPr="00222643">
              <w:t>Brown and Clarke (1</w:t>
            </w:r>
            <w:r w:rsidRPr="00292ECF">
              <w:t>993)</w:t>
            </w:r>
            <w:r w:rsidRPr="00292ECF">
              <w:rPr>
                <w:rStyle w:val="FootnoteReference"/>
              </w:rPr>
              <w:footnoteReference w:id="337"/>
            </w:r>
          </w:p>
        </w:tc>
        <w:tc>
          <w:tcPr>
            <w:tcW w:w="1276" w:type="dxa"/>
          </w:tcPr>
          <w:p w14:paraId="0B81BBC7" w14:textId="77777777" w:rsidR="00292ECF" w:rsidRPr="00292ECF" w:rsidRDefault="00292ECF" w:rsidP="00292ECF">
            <w:r>
              <w:t>1973</w:t>
            </w:r>
            <w:r w:rsidRPr="00292ECF">
              <w:t>–1991</w:t>
            </w:r>
          </w:p>
        </w:tc>
        <w:tc>
          <w:tcPr>
            <w:tcW w:w="5448" w:type="dxa"/>
          </w:tcPr>
          <w:p w14:paraId="0B0D79CB" w14:textId="77777777" w:rsidR="00292ECF" w:rsidRPr="00292ECF" w:rsidRDefault="00292ECF" w:rsidP="00292ECF">
            <w:r w:rsidRPr="00222643">
              <w:t xml:space="preserve">Compares dividend drop off before and after imputation; presents yearly </w:t>
            </w:r>
            <w:r w:rsidRPr="00292ECF">
              <w:t>figures and sub-periods.</w:t>
            </w:r>
          </w:p>
        </w:tc>
      </w:tr>
    </w:tbl>
    <w:p w14:paraId="47036339" w14:textId="77777777" w:rsidR="00292ECF" w:rsidRDefault="00292ECF" w:rsidP="00292ECF">
      <w:pPr>
        <w:pStyle w:val="AERtablesource"/>
      </w:pPr>
      <w:r w:rsidRPr="00222643">
        <w:t xml:space="preserve">Source: </w:t>
      </w:r>
      <w:r w:rsidRPr="00222643">
        <w:tab/>
        <w:t>As specified in table.</w:t>
      </w:r>
    </w:p>
    <w:p w14:paraId="68026908" w14:textId="77777777" w:rsidR="00292ECF" w:rsidRPr="00222643" w:rsidRDefault="00292ECF" w:rsidP="00292ECF">
      <w:pPr>
        <w:pStyle w:val="HeadingBoldBlue"/>
        <w:numPr>
          <w:ilvl w:val="0"/>
          <w:numId w:val="25"/>
        </w:numPr>
      </w:pPr>
      <w:r w:rsidRPr="00222643">
        <w:t>Alternative implied market value studies</w:t>
      </w:r>
    </w:p>
    <w:p w14:paraId="3F844441" w14:textId="77777777" w:rsidR="00292ECF" w:rsidRPr="00222643" w:rsidRDefault="00292ECF" w:rsidP="00292ECF">
      <w:pPr>
        <w:numPr>
          <w:ilvl w:val="0"/>
          <w:numId w:val="25"/>
        </w:numPr>
      </w:pPr>
      <w:r w:rsidRPr="00222643">
        <w:t>Besides dividend drop off studies, there are alternative market-based implied valuation approaches to estimating the utilisation rate. Generally, these studies are based on similar arbitrage principles to dividend drop off studies. This means they compare two security prices where one security includes the entitlement and one security excludes the entitlement. They then assume the difference reflects the market valuation of the entitlement. However, they are designed to avoid the other influences in the data that affect traditional dividend drop off analysis. In particular, the</w:t>
      </w:r>
      <w:r>
        <w:t>se</w:t>
      </w:r>
      <w:r w:rsidRPr="00222643">
        <w:t xml:space="preserve"> studies typically use simultaneous price differentials that make them less affected by general market movements. That is, the </w:t>
      </w:r>
      <w:r w:rsidRPr="00222643">
        <w:lastRenderedPageBreak/>
        <w:t>differentials should more accurately reflect the implied market value of the specific dividend event. Some</w:t>
      </w:r>
      <w:r>
        <w:t xml:space="preserve"> examples of alternative market-</w:t>
      </w:r>
      <w:r w:rsidRPr="00222643">
        <w:t xml:space="preserve">based valuation approaches </w:t>
      </w:r>
      <w:r>
        <w:t>involve</w:t>
      </w:r>
      <w:r w:rsidRPr="00222643">
        <w:t>:</w:t>
      </w:r>
    </w:p>
    <w:p w14:paraId="503B3E1D" w14:textId="77777777" w:rsidR="00292ECF" w:rsidRPr="00292ECF" w:rsidRDefault="00292ECF" w:rsidP="00292ECF">
      <w:pPr>
        <w:pStyle w:val="AERbulletlistfirststyle"/>
      </w:pPr>
      <w:r>
        <w:t>S</w:t>
      </w:r>
      <w:r w:rsidRPr="00292ECF">
        <w:t>imultaneous trading of shares with and without entitlements.</w:t>
      </w:r>
    </w:p>
    <w:p w14:paraId="0BCAC9D6" w14:textId="77777777" w:rsidR="00292ECF" w:rsidRPr="00292ECF" w:rsidRDefault="00292ECF" w:rsidP="00292ECF">
      <w:pPr>
        <w:pStyle w:val="AERbulletlistfirststyle"/>
      </w:pPr>
      <w:r>
        <w:t>S</w:t>
      </w:r>
      <w:r w:rsidRPr="00292ECF">
        <w:t>imultaneous trading of derivatives and futures and of their underlying shares.</w:t>
      </w:r>
    </w:p>
    <w:p w14:paraId="7DADCE69" w14:textId="77777777" w:rsidR="00292ECF" w:rsidRPr="00292ECF" w:rsidRDefault="00292ECF" w:rsidP="00292ECF">
      <w:pPr>
        <w:pStyle w:val="AERbulletlistfirststyle"/>
      </w:pPr>
      <w:r>
        <w:t>H</w:t>
      </w:r>
      <w:r w:rsidRPr="00292ECF">
        <w:t>ybrid securities which trade with imputation credits.</w:t>
      </w:r>
    </w:p>
    <w:p w14:paraId="0FD490C7" w14:textId="77777777" w:rsidR="00292ECF" w:rsidRPr="00292ECF" w:rsidRDefault="00292ECF" w:rsidP="00292ECF">
      <w:pPr>
        <w:pStyle w:val="AERbulletlistfirststyle"/>
      </w:pPr>
      <w:r>
        <w:t>C</w:t>
      </w:r>
      <w:r w:rsidRPr="00292ECF">
        <w:t>omparison of the capital gains and (cash) dividend returns across time.</w:t>
      </w:r>
    </w:p>
    <w:p w14:paraId="68C2D4DE" w14:textId="2F3FF882" w:rsidR="00292ECF" w:rsidRDefault="00292ECF" w:rsidP="00292ECF">
      <w:pPr>
        <w:numPr>
          <w:ilvl w:val="0"/>
          <w:numId w:val="25"/>
        </w:numPr>
      </w:pPr>
      <w:r>
        <w:fldChar w:fldCharType="begin"/>
      </w:r>
      <w:r>
        <w:instrText xml:space="preserve"> REF _Ref401075839 \h </w:instrText>
      </w:r>
      <w:r>
        <w:fldChar w:fldCharType="separate"/>
      </w:r>
      <w:r w:rsidR="001E2164">
        <w:t xml:space="preserve">Table </w:t>
      </w:r>
      <w:r w:rsidR="001E2164">
        <w:rPr>
          <w:noProof/>
        </w:rPr>
        <w:t>4</w:t>
      </w:r>
      <w:r w:rsidR="001E2164">
        <w:noBreakHyphen/>
      </w:r>
      <w:r w:rsidR="001E2164">
        <w:rPr>
          <w:noProof/>
        </w:rPr>
        <w:t>9</w:t>
      </w:r>
      <w:r>
        <w:fldChar w:fldCharType="end"/>
      </w:r>
      <w:r>
        <w:t xml:space="preserve"> identifies the alternative implied market value studies that we are aware of, and describes the methodology of each study. The results from these studies are presented in </w:t>
      </w:r>
      <w:r>
        <w:fldChar w:fldCharType="begin"/>
      </w:r>
      <w:r>
        <w:instrText xml:space="preserve"> REF  _Ref401076250 \* Lower \h </w:instrText>
      </w:r>
      <w:r>
        <w:fldChar w:fldCharType="separate"/>
      </w:r>
      <w:r w:rsidR="001E2164">
        <w:t xml:space="preserve">table </w:t>
      </w:r>
      <w:r w:rsidR="001E2164">
        <w:rPr>
          <w:noProof/>
        </w:rPr>
        <w:t>4</w:t>
      </w:r>
      <w:r w:rsidR="001E2164">
        <w:noBreakHyphen/>
      </w:r>
      <w:r w:rsidR="001E2164">
        <w:rPr>
          <w:noProof/>
        </w:rPr>
        <w:t>11</w:t>
      </w:r>
      <w:r>
        <w:fldChar w:fldCharType="end"/>
      </w:r>
      <w:r>
        <w:t>.</w:t>
      </w:r>
    </w:p>
    <w:p w14:paraId="156D39CB" w14:textId="77777777" w:rsidR="00292ECF" w:rsidRDefault="00292ECF" w:rsidP="00292ECF">
      <w:pPr>
        <w:pStyle w:val="Caption"/>
      </w:pPr>
      <w:bookmarkStart w:id="93" w:name="_Ref401075839"/>
      <w:r>
        <w:t xml:space="preserve">Table </w:t>
      </w:r>
      <w:r w:rsidR="00D70292">
        <w:fldChar w:fldCharType="begin"/>
      </w:r>
      <w:r w:rsidR="00D70292">
        <w:instrText xml:space="preserve"> STYLEREF 1 \s </w:instrText>
      </w:r>
      <w:r w:rsidR="00D70292">
        <w:fldChar w:fldCharType="separate"/>
      </w:r>
      <w:r w:rsidR="001E2164">
        <w:rPr>
          <w:noProof/>
        </w:rPr>
        <w:t>4</w:t>
      </w:r>
      <w:r w:rsidR="00D70292">
        <w:rPr>
          <w:noProof/>
        </w:rPr>
        <w:fldChar w:fldCharType="end"/>
      </w:r>
      <w:r w:rsidR="00257FBE">
        <w:noBreakHyphen/>
      </w:r>
      <w:r w:rsidR="00D70292">
        <w:fldChar w:fldCharType="begin"/>
      </w:r>
      <w:r w:rsidR="00D70292">
        <w:instrText xml:space="preserve"> SEQ Table \* ARABIC \s 1 </w:instrText>
      </w:r>
      <w:r w:rsidR="00D70292">
        <w:fldChar w:fldCharType="separate"/>
      </w:r>
      <w:r w:rsidR="001E2164">
        <w:rPr>
          <w:noProof/>
        </w:rPr>
        <w:t>9</w:t>
      </w:r>
      <w:r w:rsidR="00D70292">
        <w:rPr>
          <w:noProof/>
        </w:rPr>
        <w:fldChar w:fldCharType="end"/>
      </w:r>
      <w:bookmarkEnd w:id="93"/>
      <w:r>
        <w:tab/>
      </w:r>
      <w:r w:rsidRPr="00B7093A">
        <w:t>Summary of alternative implied market value studies</w:t>
      </w:r>
    </w:p>
    <w:tbl>
      <w:tblPr>
        <w:tblStyle w:val="AERtable-text0"/>
        <w:tblW w:w="0" w:type="auto"/>
        <w:tblLook w:val="04A0" w:firstRow="1" w:lastRow="0" w:firstColumn="1" w:lastColumn="0" w:noHBand="0" w:noVBand="1"/>
      </w:tblPr>
      <w:tblGrid>
        <w:gridCol w:w="2683"/>
        <w:gridCol w:w="1111"/>
        <w:gridCol w:w="5448"/>
      </w:tblGrid>
      <w:tr w:rsidR="00292ECF" w14:paraId="5AD36581"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2683" w:type="dxa"/>
          </w:tcPr>
          <w:p w14:paraId="1A4EDEDD" w14:textId="77777777" w:rsidR="00292ECF" w:rsidRDefault="00292ECF" w:rsidP="00292ECF">
            <w:pPr>
              <w:numPr>
                <w:ilvl w:val="0"/>
                <w:numId w:val="25"/>
              </w:numPr>
            </w:pPr>
            <w:r>
              <w:t>Authors</w:t>
            </w:r>
          </w:p>
        </w:tc>
        <w:tc>
          <w:tcPr>
            <w:tcW w:w="1111" w:type="dxa"/>
          </w:tcPr>
          <w:p w14:paraId="5EC88E03" w14:textId="77777777" w:rsidR="00292ECF" w:rsidRPr="0005385E" w:rsidRDefault="00292ECF" w:rsidP="00292ECF">
            <w:pPr>
              <w:numPr>
                <w:ilvl w:val="0"/>
                <w:numId w:val="25"/>
              </w:numPr>
            </w:pPr>
            <w:r>
              <w:t>Data range</w:t>
            </w:r>
          </w:p>
        </w:tc>
        <w:tc>
          <w:tcPr>
            <w:tcW w:w="5448" w:type="dxa"/>
          </w:tcPr>
          <w:p w14:paraId="4EFCFF1A" w14:textId="77777777" w:rsidR="00292ECF" w:rsidRPr="0005385E" w:rsidRDefault="00292ECF" w:rsidP="00292ECF">
            <w:pPr>
              <w:numPr>
                <w:ilvl w:val="0"/>
                <w:numId w:val="25"/>
              </w:numPr>
            </w:pPr>
            <w:r>
              <w:t>Assessment relative to other studies in</w:t>
            </w:r>
            <w:r w:rsidRPr="0005385E">
              <w:t xml:space="preserve"> that class</w:t>
            </w:r>
          </w:p>
        </w:tc>
      </w:tr>
      <w:tr w:rsidR="00292ECF" w14:paraId="7CA7667C" w14:textId="77777777" w:rsidTr="00D13AD4">
        <w:trPr>
          <w:cantSplit/>
        </w:trPr>
        <w:tc>
          <w:tcPr>
            <w:tcW w:w="9242" w:type="dxa"/>
            <w:gridSpan w:val="3"/>
          </w:tcPr>
          <w:p w14:paraId="7AE9F6A1" w14:textId="77777777" w:rsidR="00292ECF" w:rsidRDefault="00292ECF" w:rsidP="00292ECF">
            <w:pPr>
              <w:numPr>
                <w:ilvl w:val="0"/>
                <w:numId w:val="25"/>
              </w:numPr>
            </w:pPr>
            <w:r w:rsidRPr="008616CE">
              <w:rPr>
                <w:rStyle w:val="Strong"/>
              </w:rPr>
              <w:t>Dividend drop off using hybrids</w:t>
            </w:r>
            <w:r w:rsidRPr="004E6A67">
              <w:t xml:space="preserve"> – Similar to standard DDO but using debt/equity hybrid securities.</w:t>
            </w:r>
          </w:p>
        </w:tc>
      </w:tr>
      <w:tr w:rsidR="00292ECF" w14:paraId="2102A1E9"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3D13A7BF" w14:textId="77777777" w:rsidR="00292ECF" w:rsidRPr="00292ECF" w:rsidRDefault="00292ECF" w:rsidP="00292ECF">
            <w:r w:rsidRPr="00222643">
              <w:t>Feuerherdt et al (2010)</w:t>
            </w:r>
            <w:r w:rsidRPr="00292ECF">
              <w:rPr>
                <w:rStyle w:val="FootnoteReference"/>
              </w:rPr>
              <w:footnoteReference w:id="338"/>
            </w:r>
          </w:p>
        </w:tc>
        <w:tc>
          <w:tcPr>
            <w:tcW w:w="1111" w:type="dxa"/>
          </w:tcPr>
          <w:p w14:paraId="3617183D" w14:textId="77777777" w:rsidR="00292ECF" w:rsidRPr="00292ECF" w:rsidRDefault="00292ECF" w:rsidP="00292ECF">
            <w:r w:rsidRPr="00222643">
              <w:t>1995–2002</w:t>
            </w:r>
          </w:p>
        </w:tc>
        <w:tc>
          <w:tcPr>
            <w:tcW w:w="5448" w:type="dxa"/>
          </w:tcPr>
          <w:p w14:paraId="2F09AB70" w14:textId="77777777" w:rsidR="00292ECF" w:rsidRPr="00292ECF" w:rsidRDefault="00292ECF" w:rsidP="00292ECF">
            <w:r w:rsidRPr="00222643">
              <w:t xml:space="preserve">Uses hybrid securities (such as convertible preference shares), 165 ex-dividend events for 46 securities </w:t>
            </w:r>
            <w:r w:rsidRPr="00292ECF">
              <w:t>which are primarily fully franked.</w:t>
            </w:r>
          </w:p>
        </w:tc>
      </w:tr>
      <w:tr w:rsidR="00292ECF" w14:paraId="08859D04" w14:textId="77777777" w:rsidTr="00D13AD4">
        <w:trPr>
          <w:cantSplit/>
        </w:trPr>
        <w:tc>
          <w:tcPr>
            <w:tcW w:w="9242" w:type="dxa"/>
            <w:gridSpan w:val="3"/>
          </w:tcPr>
          <w:p w14:paraId="7D0A2049" w14:textId="77777777" w:rsidR="00292ECF" w:rsidRDefault="00292ECF" w:rsidP="00292ECF">
            <w:pPr>
              <w:numPr>
                <w:ilvl w:val="0"/>
                <w:numId w:val="25"/>
              </w:numPr>
            </w:pPr>
            <w:r w:rsidRPr="008616CE">
              <w:rPr>
                <w:rStyle w:val="Strong"/>
              </w:rPr>
              <w:t>Futures study (using individual firms or index)</w:t>
            </w:r>
            <w:r w:rsidRPr="00222643">
              <w:t xml:space="preserve"> – Compare simultaneous prices for securities and futures contracts.</w:t>
            </w:r>
          </w:p>
        </w:tc>
      </w:tr>
      <w:tr w:rsidR="00292ECF" w14:paraId="60902D73"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08E545BF" w14:textId="77777777" w:rsidR="00292ECF" w:rsidRPr="00292ECF" w:rsidRDefault="00292ECF" w:rsidP="00292ECF">
            <w:r w:rsidRPr="00222643">
              <w:t>SFG (2013b)</w:t>
            </w:r>
            <w:r w:rsidRPr="00292ECF">
              <w:rPr>
                <w:rStyle w:val="FootnoteReference"/>
              </w:rPr>
              <w:footnoteReference w:id="339"/>
            </w:r>
          </w:p>
        </w:tc>
        <w:tc>
          <w:tcPr>
            <w:tcW w:w="1111" w:type="dxa"/>
          </w:tcPr>
          <w:p w14:paraId="5EB17911" w14:textId="77777777" w:rsidR="00292ECF" w:rsidRPr="00292ECF" w:rsidRDefault="00292ECF" w:rsidP="00292ECF">
            <w:r w:rsidRPr="00222643">
              <w:t>2000–2013</w:t>
            </w:r>
          </w:p>
        </w:tc>
        <w:tc>
          <w:tcPr>
            <w:tcW w:w="5448" w:type="dxa"/>
          </w:tcPr>
          <w:p w14:paraId="597E625B" w14:textId="77777777" w:rsidR="00292ECF" w:rsidRPr="00292ECF" w:rsidRDefault="00292ECF" w:rsidP="00292ECF">
            <w:r w:rsidRPr="00222643">
              <w:t>Updates Cannavan et al</w:t>
            </w:r>
            <w:r w:rsidRPr="00292ECF">
              <w:t xml:space="preserve"> (2004). Compares matched trades in individual shares to futures contracts and low exercise price options for 98 firms (over 52,000 trades).</w:t>
            </w:r>
          </w:p>
        </w:tc>
      </w:tr>
      <w:tr w:rsidR="00292ECF" w14:paraId="1A0AC48B" w14:textId="77777777" w:rsidTr="00D13AD4">
        <w:trPr>
          <w:cantSplit/>
        </w:trPr>
        <w:tc>
          <w:tcPr>
            <w:tcW w:w="2683" w:type="dxa"/>
          </w:tcPr>
          <w:p w14:paraId="162C804D" w14:textId="77777777" w:rsidR="00292ECF" w:rsidRPr="00292ECF" w:rsidRDefault="00292ECF" w:rsidP="00292ECF">
            <w:r w:rsidRPr="00222643">
              <w:t>Cannavan et al (2004)</w:t>
            </w:r>
            <w:r w:rsidRPr="00292ECF">
              <w:rPr>
                <w:rStyle w:val="FootnoteReference"/>
              </w:rPr>
              <w:footnoteReference w:id="340"/>
            </w:r>
          </w:p>
        </w:tc>
        <w:tc>
          <w:tcPr>
            <w:tcW w:w="1111" w:type="dxa"/>
          </w:tcPr>
          <w:p w14:paraId="4442D68D" w14:textId="77777777" w:rsidR="00292ECF" w:rsidRPr="00292ECF" w:rsidRDefault="00292ECF" w:rsidP="00292ECF">
            <w:r w:rsidRPr="00222643">
              <w:t>1994–1999</w:t>
            </w:r>
          </w:p>
        </w:tc>
        <w:tc>
          <w:tcPr>
            <w:tcW w:w="5448" w:type="dxa"/>
          </w:tcPr>
          <w:p w14:paraId="532DAB20" w14:textId="77777777" w:rsidR="00292ECF" w:rsidRPr="00292ECF" w:rsidRDefault="00292ECF" w:rsidP="00292ECF">
            <w:r w:rsidRPr="00222643">
              <w:t>Uses matched trades (four minute window) in individual shares and futures contracts for 19 firms (</w:t>
            </w:r>
            <w:r w:rsidRPr="00292ECF">
              <w:t>over 14,000 trades). Sub-periods 1994–1997 and 1997–1999.</w:t>
            </w:r>
          </w:p>
        </w:tc>
      </w:tr>
      <w:tr w:rsidR="00292ECF" w14:paraId="312B6C38"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2A22BAC6" w14:textId="77777777" w:rsidR="00292ECF" w:rsidRPr="00292ECF" w:rsidRDefault="00292ECF" w:rsidP="00292ECF">
            <w:r w:rsidRPr="00222643">
              <w:t>Cummings and Frino (2008)</w:t>
            </w:r>
            <w:r w:rsidRPr="00292ECF">
              <w:rPr>
                <w:rStyle w:val="FootnoteReference"/>
              </w:rPr>
              <w:footnoteReference w:id="341"/>
            </w:r>
          </w:p>
        </w:tc>
        <w:tc>
          <w:tcPr>
            <w:tcW w:w="1111" w:type="dxa"/>
          </w:tcPr>
          <w:p w14:paraId="11641334" w14:textId="77777777" w:rsidR="00292ECF" w:rsidRPr="00292ECF" w:rsidRDefault="00292ECF" w:rsidP="00292ECF">
            <w:r w:rsidRPr="00222643">
              <w:t>2002-2005</w:t>
            </w:r>
          </w:p>
        </w:tc>
        <w:tc>
          <w:tcPr>
            <w:tcW w:w="5448" w:type="dxa"/>
          </w:tcPr>
          <w:p w14:paraId="47415A21" w14:textId="77777777" w:rsidR="00292ECF" w:rsidRPr="00292ECF" w:rsidRDefault="00292ECF" w:rsidP="00292ECF">
            <w:r w:rsidRPr="00222643">
              <w:t xml:space="preserve">Uses entire ASX200 index (rather than specific firms) and futures over the index, distinct from other studies in this class (which use individual shares). </w:t>
            </w:r>
          </w:p>
        </w:tc>
      </w:tr>
      <w:tr w:rsidR="00292ECF" w14:paraId="5768A805" w14:textId="77777777" w:rsidTr="00D13AD4">
        <w:trPr>
          <w:cantSplit/>
        </w:trPr>
        <w:tc>
          <w:tcPr>
            <w:tcW w:w="9242" w:type="dxa"/>
            <w:gridSpan w:val="3"/>
          </w:tcPr>
          <w:p w14:paraId="69E37E14" w14:textId="77777777" w:rsidR="00292ECF" w:rsidRDefault="00292ECF" w:rsidP="00292ECF">
            <w:pPr>
              <w:numPr>
                <w:ilvl w:val="0"/>
                <w:numId w:val="25"/>
              </w:numPr>
            </w:pPr>
            <w:r w:rsidRPr="008616CE">
              <w:rPr>
                <w:rStyle w:val="Strong"/>
              </w:rPr>
              <w:t>Rate of return study</w:t>
            </w:r>
            <w:r w:rsidRPr="008616CE">
              <w:t xml:space="preserve"> – Compare past returns (capital gains and cash dividends) or future returns (dividend forecasts).</w:t>
            </w:r>
          </w:p>
        </w:tc>
      </w:tr>
      <w:tr w:rsidR="00292ECF" w14:paraId="22662DA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6502B117" w14:textId="77777777" w:rsidR="00292ECF" w:rsidRPr="00292ECF" w:rsidRDefault="00292ECF" w:rsidP="00292ECF">
            <w:r w:rsidRPr="00222643">
              <w:t>NERA (2013b)</w:t>
            </w:r>
            <w:r w:rsidRPr="00292ECF">
              <w:rPr>
                <w:rStyle w:val="FootnoteReference"/>
              </w:rPr>
              <w:footnoteReference w:id="342"/>
            </w:r>
          </w:p>
        </w:tc>
        <w:tc>
          <w:tcPr>
            <w:tcW w:w="1111" w:type="dxa"/>
          </w:tcPr>
          <w:p w14:paraId="3350A110" w14:textId="77777777" w:rsidR="00292ECF" w:rsidRPr="00292ECF" w:rsidRDefault="00292ECF" w:rsidP="00292ECF">
            <w:r>
              <w:t>1987</w:t>
            </w:r>
            <w:r w:rsidRPr="00292ECF">
              <w:t>–2012</w:t>
            </w:r>
          </w:p>
        </w:tc>
        <w:tc>
          <w:tcPr>
            <w:tcW w:w="5448" w:type="dxa"/>
          </w:tcPr>
          <w:p w14:paraId="373FB742" w14:textId="77777777" w:rsidR="00292ECF" w:rsidRPr="00292ECF" w:rsidRDefault="00292ECF" w:rsidP="00292ECF">
            <w:r w:rsidRPr="00222643">
              <w:t xml:space="preserve">Updates the Lajbcygier </w:t>
            </w:r>
            <w:r w:rsidRPr="00292ECF">
              <w:t>and Wheatley paper; same author and more relevant data set. Sub-period splits 1987–2000 and 2000–2012.</w:t>
            </w:r>
          </w:p>
        </w:tc>
      </w:tr>
      <w:tr w:rsidR="00292ECF" w14:paraId="15A76E59" w14:textId="77777777" w:rsidTr="00D13AD4">
        <w:trPr>
          <w:cantSplit/>
        </w:trPr>
        <w:tc>
          <w:tcPr>
            <w:tcW w:w="2683" w:type="dxa"/>
          </w:tcPr>
          <w:p w14:paraId="44F22EDE" w14:textId="77777777" w:rsidR="00292ECF" w:rsidRPr="00292ECF" w:rsidRDefault="00292ECF" w:rsidP="00292ECF">
            <w:r w:rsidRPr="00222643">
              <w:t>Lajbcygier</w:t>
            </w:r>
            <w:r w:rsidRPr="00292ECF">
              <w:t xml:space="preserve"> and Wheatley (2012)</w:t>
            </w:r>
            <w:r w:rsidRPr="00292ECF">
              <w:rPr>
                <w:rStyle w:val="FootnoteReference"/>
              </w:rPr>
              <w:footnoteReference w:id="343"/>
            </w:r>
          </w:p>
        </w:tc>
        <w:tc>
          <w:tcPr>
            <w:tcW w:w="1111" w:type="dxa"/>
          </w:tcPr>
          <w:p w14:paraId="19FCD444" w14:textId="77777777" w:rsidR="00292ECF" w:rsidRPr="00292ECF" w:rsidRDefault="00292ECF" w:rsidP="00292ECF">
            <w:r>
              <w:t>1987</w:t>
            </w:r>
            <w:r w:rsidRPr="00292ECF">
              <w:t>–2009</w:t>
            </w:r>
          </w:p>
        </w:tc>
        <w:tc>
          <w:tcPr>
            <w:tcW w:w="5448" w:type="dxa"/>
          </w:tcPr>
          <w:p w14:paraId="1367F179" w14:textId="77777777" w:rsidR="00292ECF" w:rsidRPr="00292ECF" w:rsidRDefault="00292ECF" w:rsidP="00292ECF">
            <w:r w:rsidRPr="00222643">
              <w:t>Compares current prices to past returns from capital gains and dividends</w:t>
            </w:r>
            <w:r w:rsidRPr="00292ECF">
              <w:t>. Includes sub-periods from 1987–2000 and 2000-2009.</w:t>
            </w:r>
          </w:p>
        </w:tc>
      </w:tr>
      <w:tr w:rsidR="00292ECF" w14:paraId="31DC17FE"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5341196F" w14:textId="77777777" w:rsidR="00292ECF" w:rsidRPr="00292ECF" w:rsidRDefault="00292ECF" w:rsidP="00292ECF">
            <w:r w:rsidRPr="00222643">
              <w:lastRenderedPageBreak/>
              <w:t>Siau et al (2013)</w:t>
            </w:r>
            <w:r w:rsidRPr="00292ECF">
              <w:rPr>
                <w:rStyle w:val="FootnoteReference"/>
              </w:rPr>
              <w:footnoteReference w:id="344"/>
            </w:r>
          </w:p>
        </w:tc>
        <w:tc>
          <w:tcPr>
            <w:tcW w:w="1111" w:type="dxa"/>
          </w:tcPr>
          <w:p w14:paraId="03798DA5" w14:textId="77777777" w:rsidR="00292ECF" w:rsidRPr="00292ECF" w:rsidRDefault="00292ECF" w:rsidP="00292ECF">
            <w:r w:rsidRPr="00222643">
              <w:t>1996–2011</w:t>
            </w:r>
          </w:p>
        </w:tc>
        <w:tc>
          <w:tcPr>
            <w:tcW w:w="5448" w:type="dxa"/>
          </w:tcPr>
          <w:p w14:paraId="693BB001" w14:textId="77777777" w:rsidR="00292ECF" w:rsidRPr="00292ECF" w:rsidRDefault="00292ECF" w:rsidP="00292ECF">
            <w:r w:rsidRPr="00222643">
              <w:t xml:space="preserve">Compares current prices to </w:t>
            </w:r>
            <w:r w:rsidRPr="00292ECF">
              <w:t xml:space="preserve">expected future returns. Uses ASX300 index firms and consensus analyst dividend forecasts. </w:t>
            </w:r>
          </w:p>
        </w:tc>
      </w:tr>
      <w:tr w:rsidR="00F43C4C" w14:paraId="6FE28000" w14:textId="77777777" w:rsidTr="00D13AD4">
        <w:trPr>
          <w:cantSplit/>
        </w:trPr>
        <w:tc>
          <w:tcPr>
            <w:tcW w:w="2683" w:type="dxa"/>
          </w:tcPr>
          <w:p w14:paraId="1CF49DF0" w14:textId="56600DF7" w:rsidR="00F43C4C" w:rsidRPr="00222643" w:rsidRDefault="00F43C4C" w:rsidP="00292ECF">
            <w:r>
              <w:t>Siau et al (2015</w:t>
            </w:r>
            <w:r w:rsidRPr="00222643">
              <w:t>)</w:t>
            </w:r>
            <w:r w:rsidRPr="00F43C4C">
              <w:rPr>
                <w:rStyle w:val="FootnoteReference"/>
              </w:rPr>
              <w:footnoteReference w:id="345"/>
            </w:r>
          </w:p>
        </w:tc>
        <w:tc>
          <w:tcPr>
            <w:tcW w:w="1111" w:type="dxa"/>
          </w:tcPr>
          <w:p w14:paraId="6F5BB4A2" w14:textId="28130BBC" w:rsidR="00F43C4C" w:rsidRPr="00222643" w:rsidRDefault="00F43C4C" w:rsidP="00292ECF">
            <w:r>
              <w:t>1996-2011</w:t>
            </w:r>
          </w:p>
        </w:tc>
        <w:tc>
          <w:tcPr>
            <w:tcW w:w="5448" w:type="dxa"/>
          </w:tcPr>
          <w:p w14:paraId="2C2DB0C0" w14:textId="48EDD151" w:rsidR="00F43C4C" w:rsidRPr="00222643" w:rsidRDefault="00F43C4C" w:rsidP="00292ECF">
            <w:r>
              <w:t xml:space="preserve">Journal published version of the 2013 paper by Siau et al </w:t>
            </w:r>
            <w:r w:rsidR="003E00A4">
              <w:t xml:space="preserve">with </w:t>
            </w:r>
            <w:r w:rsidR="000555BB">
              <w:t xml:space="preserve">relatively </w:t>
            </w:r>
            <w:r w:rsidR="003E00A4">
              <w:t>minor editorial changes</w:t>
            </w:r>
            <w:r>
              <w:t xml:space="preserve"> </w:t>
            </w:r>
          </w:p>
        </w:tc>
      </w:tr>
      <w:tr w:rsidR="00F43C4C" w14:paraId="10A22FC8"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551BCBB3" w14:textId="23077B18" w:rsidR="00F43C4C" w:rsidRPr="00222643" w:rsidRDefault="00F43C4C" w:rsidP="00292ECF">
            <w:r>
              <w:t>NERA (2015)</w:t>
            </w:r>
            <w:r w:rsidR="005A6A8F">
              <w:rPr>
                <w:rStyle w:val="FootnoteReference"/>
              </w:rPr>
              <w:footnoteReference w:id="346"/>
            </w:r>
          </w:p>
        </w:tc>
        <w:tc>
          <w:tcPr>
            <w:tcW w:w="1111" w:type="dxa"/>
          </w:tcPr>
          <w:p w14:paraId="2662771C" w14:textId="648BB7DB" w:rsidR="00F43C4C" w:rsidRPr="00222643" w:rsidRDefault="005A6A8F" w:rsidP="00292ECF">
            <w:r>
              <w:t>1987-2013</w:t>
            </w:r>
          </w:p>
        </w:tc>
        <w:tc>
          <w:tcPr>
            <w:tcW w:w="5448" w:type="dxa"/>
          </w:tcPr>
          <w:p w14:paraId="2A8021EC" w14:textId="2E846492" w:rsidR="00F43C4C" w:rsidRPr="00222643" w:rsidRDefault="00F43C4C" w:rsidP="00292ECF">
            <w:r>
              <w:t>Updates the results of the Lajbcygier and Wheatley and NERA (2013) studies.</w:t>
            </w:r>
          </w:p>
        </w:tc>
      </w:tr>
      <w:tr w:rsidR="00292ECF" w14:paraId="52B42DA5" w14:textId="77777777" w:rsidTr="00D13AD4">
        <w:trPr>
          <w:cantSplit/>
        </w:trPr>
        <w:tc>
          <w:tcPr>
            <w:tcW w:w="9242" w:type="dxa"/>
            <w:gridSpan w:val="3"/>
          </w:tcPr>
          <w:p w14:paraId="639127E3" w14:textId="77777777" w:rsidR="00292ECF" w:rsidRDefault="00292ECF" w:rsidP="00292ECF">
            <w:pPr>
              <w:numPr>
                <w:ilvl w:val="0"/>
                <w:numId w:val="25"/>
              </w:numPr>
            </w:pPr>
            <w:r w:rsidRPr="008616CE">
              <w:rPr>
                <w:rStyle w:val="Strong"/>
              </w:rPr>
              <w:t>Simultaneous share trades</w:t>
            </w:r>
            <w:r w:rsidRPr="00222643">
              <w:t xml:space="preserve"> – Compare simultaneous prices for shares that are/are not entitled to imputation credits.</w:t>
            </w:r>
          </w:p>
        </w:tc>
      </w:tr>
      <w:tr w:rsidR="00292ECF" w14:paraId="44864F5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6547E848" w14:textId="77777777" w:rsidR="00292ECF" w:rsidRPr="00292ECF" w:rsidRDefault="00292ECF" w:rsidP="00292ECF">
            <w:r w:rsidRPr="00222643">
              <w:t>Chu and Partington (2008)</w:t>
            </w:r>
            <w:r w:rsidRPr="00292ECF">
              <w:rPr>
                <w:rStyle w:val="FootnoteReference"/>
              </w:rPr>
              <w:footnoteReference w:id="347"/>
            </w:r>
          </w:p>
        </w:tc>
        <w:tc>
          <w:tcPr>
            <w:tcW w:w="1111" w:type="dxa"/>
          </w:tcPr>
          <w:p w14:paraId="12A70E17" w14:textId="77777777" w:rsidR="00292ECF" w:rsidRPr="00292ECF" w:rsidRDefault="00292ECF" w:rsidP="00292ECF">
            <w:r w:rsidRPr="00222643">
              <w:t>1996</w:t>
            </w:r>
          </w:p>
        </w:tc>
        <w:tc>
          <w:tcPr>
            <w:tcW w:w="5448" w:type="dxa"/>
          </w:tcPr>
          <w:p w14:paraId="2DD44C77" w14:textId="77777777" w:rsidR="00292ECF" w:rsidRPr="00292ECF" w:rsidRDefault="00292ECF" w:rsidP="00292ECF">
            <w:r w:rsidRPr="00222643">
              <w:t xml:space="preserve">Uses shares trading in two forms (one with </w:t>
            </w:r>
            <w:r w:rsidRPr="00292ECF">
              <w:t>dividend, one without) as a result of the CRA bonus issue. 154 matched trades (one minute window) across 3 months.</w:t>
            </w:r>
          </w:p>
        </w:tc>
      </w:tr>
      <w:tr w:rsidR="00292ECF" w14:paraId="2F418A2B" w14:textId="77777777" w:rsidTr="00D13AD4">
        <w:trPr>
          <w:cantSplit/>
        </w:trPr>
        <w:tc>
          <w:tcPr>
            <w:tcW w:w="2683" w:type="dxa"/>
          </w:tcPr>
          <w:p w14:paraId="6F9E9BD6" w14:textId="77777777" w:rsidR="00292ECF" w:rsidRPr="00292ECF" w:rsidRDefault="00292ECF" w:rsidP="00292ECF">
            <w:r w:rsidRPr="00222643">
              <w:t>Chu and Partington (2001)</w:t>
            </w:r>
            <w:r w:rsidRPr="00292ECF">
              <w:rPr>
                <w:rStyle w:val="FootnoteReference"/>
              </w:rPr>
              <w:footnoteReference w:id="348"/>
            </w:r>
          </w:p>
        </w:tc>
        <w:tc>
          <w:tcPr>
            <w:tcW w:w="1111" w:type="dxa"/>
          </w:tcPr>
          <w:p w14:paraId="32CD5BC7" w14:textId="77777777" w:rsidR="00292ECF" w:rsidRPr="00292ECF" w:rsidRDefault="00292ECF" w:rsidP="00292ECF">
            <w:r w:rsidRPr="00222643">
              <w:t>1991–1999</w:t>
            </w:r>
          </w:p>
        </w:tc>
        <w:tc>
          <w:tcPr>
            <w:tcW w:w="5448" w:type="dxa"/>
          </w:tcPr>
          <w:p w14:paraId="0B469EAA" w14:textId="77777777" w:rsidR="00292ECF" w:rsidRPr="00292ECF" w:rsidDel="003D6627" w:rsidRDefault="00292ECF" w:rsidP="00292ECF">
            <w:r w:rsidRPr="00222643">
              <w:t xml:space="preserve">Uses shares trading simultaneously with and without dividend after certain rights issues - </w:t>
            </w:r>
            <w:r w:rsidRPr="00292ECF">
              <w:t>3,356 trades (matched within a minute) from 26 rights issues for 23 firms.</w:t>
            </w:r>
          </w:p>
        </w:tc>
      </w:tr>
      <w:tr w:rsidR="00292ECF" w14:paraId="1A94E96C"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005E661F" w14:textId="77777777" w:rsidR="00292ECF" w:rsidRPr="00292ECF" w:rsidRDefault="00292ECF" w:rsidP="00292ECF">
            <w:r w:rsidRPr="00222643">
              <w:t>Walker and Partington (1999)</w:t>
            </w:r>
            <w:r w:rsidRPr="00292ECF">
              <w:rPr>
                <w:rStyle w:val="FootnoteReference"/>
              </w:rPr>
              <w:footnoteReference w:id="349"/>
            </w:r>
          </w:p>
        </w:tc>
        <w:tc>
          <w:tcPr>
            <w:tcW w:w="1111" w:type="dxa"/>
          </w:tcPr>
          <w:p w14:paraId="40806637" w14:textId="77777777" w:rsidR="00292ECF" w:rsidRPr="00292ECF" w:rsidRDefault="00292ECF" w:rsidP="00292ECF">
            <w:r w:rsidRPr="00222643">
              <w:t>1995–1997</w:t>
            </w:r>
          </w:p>
        </w:tc>
        <w:tc>
          <w:tcPr>
            <w:tcW w:w="5448" w:type="dxa"/>
          </w:tcPr>
          <w:p w14:paraId="18DE133E" w14:textId="77777777" w:rsidR="00292ECF" w:rsidRPr="00292ECF" w:rsidRDefault="00292ECF" w:rsidP="00292ECF">
            <w:r w:rsidRPr="00222643">
              <w:t>Looks at shares trading cum-dividend in the ex-dividend period. 1</w:t>
            </w:r>
            <w:r w:rsidRPr="00292ECF">
              <w:t>,015 data points (trades matched within a minute) for 93 ex-dividend events from 50 securities.</w:t>
            </w:r>
          </w:p>
        </w:tc>
      </w:tr>
    </w:tbl>
    <w:p w14:paraId="5DCB9B0A" w14:textId="77777777" w:rsidR="00292ECF" w:rsidRDefault="00292ECF" w:rsidP="00292ECF">
      <w:pPr>
        <w:pStyle w:val="AERtablesource"/>
      </w:pPr>
      <w:r w:rsidRPr="00222643">
        <w:t xml:space="preserve">Source: </w:t>
      </w:r>
      <w:r w:rsidRPr="00222643">
        <w:tab/>
        <w:t>As specified in table.</w:t>
      </w:r>
    </w:p>
    <w:p w14:paraId="6707C16C" w14:textId="77777777" w:rsidR="00D15D53" w:rsidRPr="00222643" w:rsidRDefault="00D15D53" w:rsidP="00D15D53">
      <w:pPr>
        <w:pStyle w:val="Heading9"/>
      </w:pPr>
      <w:bookmarkStart w:id="94" w:name="_Ref403482459"/>
      <w:r w:rsidRPr="00222643">
        <w:t xml:space="preserve">Estimates from </w:t>
      </w:r>
      <w:r w:rsidRPr="00D15D53">
        <w:t>implied</w:t>
      </w:r>
      <w:r w:rsidRPr="00222643">
        <w:t xml:space="preserve"> market value studies</w:t>
      </w:r>
      <w:bookmarkEnd w:id="94"/>
    </w:p>
    <w:p w14:paraId="2F943091" w14:textId="77777777" w:rsidR="00D15D53" w:rsidRPr="00222643" w:rsidRDefault="00D15D53" w:rsidP="00D15D53">
      <w:pPr>
        <w:numPr>
          <w:ilvl w:val="0"/>
          <w:numId w:val="25"/>
        </w:numPr>
      </w:pPr>
      <w:r w:rsidRPr="00222643">
        <w:t>This section presents the results from the available implied market value studies.</w:t>
      </w:r>
    </w:p>
    <w:p w14:paraId="6317E677" w14:textId="77777777" w:rsidR="00D15D53" w:rsidRPr="00222643" w:rsidRDefault="00D15D53" w:rsidP="00D15D53">
      <w:pPr>
        <w:numPr>
          <w:ilvl w:val="0"/>
          <w:numId w:val="25"/>
        </w:numPr>
      </w:pPr>
      <w:r>
        <w:fldChar w:fldCharType="begin"/>
      </w:r>
      <w:r>
        <w:instrText xml:space="preserve"> REF _Ref401075676 \h </w:instrText>
      </w:r>
      <w:r>
        <w:fldChar w:fldCharType="separate"/>
      </w:r>
      <w:r w:rsidR="001E2164">
        <w:t xml:space="preserve">Table </w:t>
      </w:r>
      <w:r w:rsidR="001E2164">
        <w:rPr>
          <w:noProof/>
        </w:rPr>
        <w:t>4</w:t>
      </w:r>
      <w:r w:rsidR="001E2164">
        <w:noBreakHyphen/>
      </w:r>
      <w:r w:rsidR="001E2164">
        <w:rPr>
          <w:noProof/>
        </w:rPr>
        <w:t>10</w:t>
      </w:r>
      <w:r>
        <w:fldChar w:fldCharType="end"/>
      </w:r>
      <w:r>
        <w:t xml:space="preserve"> </w:t>
      </w:r>
      <w:r w:rsidRPr="00222643">
        <w:t>reports estimates of the utilisation rate from the set of available dividend drop off studies. As a high level summary table, it attempts to report the single utilisation rate preferred by th</w:t>
      </w:r>
      <w:r>
        <w:t>e authors</w:t>
      </w:r>
      <w:r w:rsidRPr="00222643">
        <w:t xml:space="preserve"> for the scenario most </w:t>
      </w:r>
      <w:r w:rsidRPr="001F2ECE">
        <w:t>relevant</w:t>
      </w:r>
      <w:r w:rsidRPr="00222643">
        <w:t xml:space="preserve"> to our rate of return framework. The table separately reports results based on whether the underlying data is (primarily) from before or after 2000, w</w:t>
      </w:r>
      <w:r>
        <w:t>hen the change in tax law entitled eligible investors to</w:t>
      </w:r>
      <w:r w:rsidRPr="00222643">
        <w:t xml:space="preserve"> a full refund of </w:t>
      </w:r>
      <w:r>
        <w:t>excess</w:t>
      </w:r>
      <w:r w:rsidRPr="00222643">
        <w:t xml:space="preserve"> imputation credits.</w:t>
      </w:r>
    </w:p>
    <w:p w14:paraId="26F1617D" w14:textId="77777777" w:rsidR="00D15D53" w:rsidRPr="00222643" w:rsidRDefault="00D15D53" w:rsidP="00D15D53">
      <w:pPr>
        <w:numPr>
          <w:ilvl w:val="0"/>
          <w:numId w:val="25"/>
        </w:numPr>
      </w:pPr>
      <w:r>
        <w:fldChar w:fldCharType="begin"/>
      </w:r>
      <w:r>
        <w:instrText xml:space="preserve"> REF _Ref401076250 \h </w:instrText>
      </w:r>
      <w:r>
        <w:fldChar w:fldCharType="separate"/>
      </w:r>
      <w:r w:rsidR="001E2164">
        <w:t xml:space="preserve">Table </w:t>
      </w:r>
      <w:r w:rsidR="001E2164">
        <w:rPr>
          <w:noProof/>
        </w:rPr>
        <w:t>4</w:t>
      </w:r>
      <w:r w:rsidR="001E2164">
        <w:noBreakHyphen/>
      </w:r>
      <w:r w:rsidR="001E2164">
        <w:rPr>
          <w:noProof/>
        </w:rPr>
        <w:t>11</w:t>
      </w:r>
      <w:r>
        <w:fldChar w:fldCharType="end"/>
      </w:r>
      <w:r>
        <w:t xml:space="preserve"> </w:t>
      </w:r>
      <w:r w:rsidRPr="00222643">
        <w:t>is the equivalent table for alternative implied market value studies. In this table, several results are recorded as 'N</w:t>
      </w:r>
      <w:r>
        <w:t>/</w:t>
      </w:r>
      <w:r w:rsidRPr="00222643">
        <w:t xml:space="preserve">A', even though there is a specific date range provided. In such cases, that particular technique (or data limitations) did not permit the disaggregation of the value of the dividend component and the imputation credit. In this situation, the study </w:t>
      </w:r>
      <w:r w:rsidRPr="00222643">
        <w:lastRenderedPageBreak/>
        <w:t>typically reports the combined value of the cash dividend and imputation credit together. The minimum value for the imputation credit component of this package will arise if the cash dividend is fully valued, and these estimates are p</w:t>
      </w:r>
      <w:r>
        <w:t>resented in the 'notes' column.</w:t>
      </w:r>
    </w:p>
    <w:p w14:paraId="1535AE5D" w14:textId="77777777" w:rsidR="00D15D53" w:rsidRPr="00222643" w:rsidRDefault="00D15D53" w:rsidP="00D15D53">
      <w:pPr>
        <w:pStyle w:val="Caption"/>
      </w:pPr>
      <w:bookmarkStart w:id="95" w:name="_Ref401075676"/>
      <w:r>
        <w:lastRenderedPageBreak/>
        <w:t xml:space="preserve">Table </w:t>
      </w:r>
      <w:r w:rsidR="00D70292">
        <w:fldChar w:fldCharType="begin"/>
      </w:r>
      <w:r w:rsidR="00D70292">
        <w:instrText xml:space="preserve"> STYLEREF 1 \s </w:instrText>
      </w:r>
      <w:r w:rsidR="00D70292">
        <w:fldChar w:fldCharType="separate"/>
      </w:r>
      <w:r w:rsidR="001E2164">
        <w:rPr>
          <w:noProof/>
        </w:rPr>
        <w:t>4</w:t>
      </w:r>
      <w:r w:rsidR="00D70292">
        <w:rPr>
          <w:noProof/>
        </w:rPr>
        <w:fldChar w:fldCharType="end"/>
      </w:r>
      <w:r w:rsidR="00257FBE">
        <w:noBreakHyphen/>
      </w:r>
      <w:r w:rsidR="00D70292">
        <w:fldChar w:fldCharType="begin"/>
      </w:r>
      <w:r w:rsidR="00D70292">
        <w:instrText xml:space="preserve"> SEQ Table \* ARABIC \s 1 </w:instrText>
      </w:r>
      <w:r w:rsidR="00D70292">
        <w:fldChar w:fldCharType="separate"/>
      </w:r>
      <w:r w:rsidR="001E2164">
        <w:rPr>
          <w:noProof/>
        </w:rPr>
        <w:t>10</w:t>
      </w:r>
      <w:r w:rsidR="00D70292">
        <w:rPr>
          <w:noProof/>
        </w:rPr>
        <w:fldChar w:fldCharType="end"/>
      </w:r>
      <w:bookmarkEnd w:id="95"/>
      <w:r>
        <w:tab/>
      </w:r>
      <w:r w:rsidRPr="00482215">
        <w:t>Estimates of the utilisation rate from dividend drop off studies</w:t>
      </w:r>
    </w:p>
    <w:tbl>
      <w:tblPr>
        <w:tblStyle w:val="AERtable-text0"/>
        <w:tblW w:w="0" w:type="auto"/>
        <w:tblLayout w:type="fixed"/>
        <w:tblLook w:val="04A0" w:firstRow="1" w:lastRow="0" w:firstColumn="1" w:lastColumn="0" w:noHBand="0" w:noVBand="1"/>
      </w:tblPr>
      <w:tblGrid>
        <w:gridCol w:w="250"/>
        <w:gridCol w:w="142"/>
        <w:gridCol w:w="2835"/>
        <w:gridCol w:w="1346"/>
        <w:gridCol w:w="1347"/>
        <w:gridCol w:w="3260"/>
      </w:tblGrid>
      <w:tr w:rsidR="00D15D53" w:rsidRPr="00222643" w14:paraId="6A0FB298"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392" w:type="dxa"/>
            <w:gridSpan w:val="2"/>
          </w:tcPr>
          <w:p w14:paraId="476ED0DE" w14:textId="77777777" w:rsidR="00D15D53" w:rsidRPr="00222643" w:rsidRDefault="00D15D53" w:rsidP="009E7EFB">
            <w:pPr>
              <w:keepNext/>
            </w:pPr>
          </w:p>
        </w:tc>
        <w:tc>
          <w:tcPr>
            <w:tcW w:w="2835" w:type="dxa"/>
          </w:tcPr>
          <w:p w14:paraId="014FBF80" w14:textId="77777777" w:rsidR="00D15D53" w:rsidRPr="00D15D53" w:rsidRDefault="00D15D53" w:rsidP="009E7EFB">
            <w:pPr>
              <w:keepNext/>
            </w:pPr>
            <w:r w:rsidRPr="00222643">
              <w:t>Authors</w:t>
            </w:r>
          </w:p>
        </w:tc>
        <w:tc>
          <w:tcPr>
            <w:tcW w:w="1346" w:type="dxa"/>
          </w:tcPr>
          <w:p w14:paraId="6B7245B9" w14:textId="77777777" w:rsidR="00D15D53" w:rsidRPr="00D15D53" w:rsidRDefault="00D15D53" w:rsidP="009E7EFB">
            <w:pPr>
              <w:keepNext/>
            </w:pPr>
            <w:r w:rsidRPr="00222643">
              <w:t>Pre-2000 results</w:t>
            </w:r>
          </w:p>
        </w:tc>
        <w:tc>
          <w:tcPr>
            <w:tcW w:w="1347" w:type="dxa"/>
          </w:tcPr>
          <w:p w14:paraId="19E9BB34" w14:textId="77777777" w:rsidR="00D15D53" w:rsidRPr="00D15D53" w:rsidRDefault="00D15D53" w:rsidP="009E7EFB">
            <w:pPr>
              <w:keepNext/>
            </w:pPr>
            <w:r w:rsidRPr="00222643">
              <w:t>Post-2000 results</w:t>
            </w:r>
          </w:p>
        </w:tc>
        <w:tc>
          <w:tcPr>
            <w:tcW w:w="3260" w:type="dxa"/>
          </w:tcPr>
          <w:p w14:paraId="36BF759C" w14:textId="77777777" w:rsidR="00D15D53" w:rsidRPr="00D15D53" w:rsidRDefault="00D15D53" w:rsidP="009E7EFB">
            <w:pPr>
              <w:keepNext/>
            </w:pPr>
            <w:r w:rsidRPr="00222643">
              <w:t>Notes</w:t>
            </w:r>
          </w:p>
        </w:tc>
      </w:tr>
      <w:tr w:rsidR="00D15D53" w:rsidRPr="00222643" w14:paraId="06B15B12" w14:textId="77777777" w:rsidTr="00D13AD4">
        <w:trPr>
          <w:cantSplit/>
          <w:trHeight w:val="426"/>
        </w:trPr>
        <w:tc>
          <w:tcPr>
            <w:tcW w:w="3227" w:type="dxa"/>
            <w:gridSpan w:val="3"/>
          </w:tcPr>
          <w:p w14:paraId="774351A6" w14:textId="77777777" w:rsidR="00D15D53" w:rsidRPr="00D15D53" w:rsidRDefault="00D15D53" w:rsidP="009E7EFB">
            <w:pPr>
              <w:keepNext/>
              <w:rPr>
                <w:rStyle w:val="Strong"/>
              </w:rPr>
            </w:pPr>
            <w:r w:rsidRPr="001F2ECE">
              <w:rPr>
                <w:rStyle w:val="Strong"/>
              </w:rPr>
              <w:t>Dividend drop off study</w:t>
            </w:r>
          </w:p>
        </w:tc>
        <w:tc>
          <w:tcPr>
            <w:tcW w:w="1346" w:type="dxa"/>
          </w:tcPr>
          <w:p w14:paraId="6CA044BD" w14:textId="77777777" w:rsidR="00D15D53" w:rsidRPr="00222643" w:rsidRDefault="00D15D53" w:rsidP="009E7EFB">
            <w:pPr>
              <w:keepNext/>
            </w:pPr>
          </w:p>
        </w:tc>
        <w:tc>
          <w:tcPr>
            <w:tcW w:w="1347" w:type="dxa"/>
          </w:tcPr>
          <w:p w14:paraId="5B79F52E" w14:textId="77777777" w:rsidR="00D15D53" w:rsidRPr="00222643" w:rsidRDefault="00D15D53" w:rsidP="009E7EFB">
            <w:pPr>
              <w:keepNext/>
            </w:pPr>
          </w:p>
        </w:tc>
        <w:tc>
          <w:tcPr>
            <w:tcW w:w="3260" w:type="dxa"/>
          </w:tcPr>
          <w:p w14:paraId="70BFBC8D" w14:textId="77777777" w:rsidR="00D15D53" w:rsidRPr="00222643" w:rsidRDefault="00D15D53" w:rsidP="009E7EFB">
            <w:pPr>
              <w:keepNext/>
            </w:pPr>
          </w:p>
        </w:tc>
      </w:tr>
      <w:tr w:rsidR="00D15D53" w:rsidRPr="00222643" w14:paraId="77A0E7DC" w14:textId="77777777" w:rsidTr="00D13AD4">
        <w:trPr>
          <w:cnfStyle w:val="000000010000" w:firstRow="0" w:lastRow="0" w:firstColumn="0" w:lastColumn="0" w:oddVBand="0" w:evenVBand="0" w:oddHBand="0" w:evenHBand="1" w:firstRowFirstColumn="0" w:firstRowLastColumn="0" w:lastRowFirstColumn="0" w:lastRowLastColumn="0"/>
          <w:cantSplit/>
          <w:trHeight w:val="406"/>
        </w:trPr>
        <w:tc>
          <w:tcPr>
            <w:tcW w:w="250" w:type="dxa"/>
          </w:tcPr>
          <w:p w14:paraId="5CFF801A" w14:textId="77777777" w:rsidR="00D15D53" w:rsidRPr="00222643" w:rsidRDefault="00D15D53" w:rsidP="009E7EFB">
            <w:pPr>
              <w:keepNext/>
            </w:pPr>
          </w:p>
        </w:tc>
        <w:tc>
          <w:tcPr>
            <w:tcW w:w="2977" w:type="dxa"/>
            <w:gridSpan w:val="2"/>
          </w:tcPr>
          <w:p w14:paraId="50E258FC" w14:textId="77777777" w:rsidR="00D15D53" w:rsidRPr="00D15D53" w:rsidRDefault="00D15D53" w:rsidP="009E7EFB">
            <w:pPr>
              <w:keepNext/>
            </w:pPr>
            <w:r w:rsidRPr="00222643">
              <w:t>Vo et al (2013)</w:t>
            </w:r>
            <w:r w:rsidRPr="00D15D53">
              <w:rPr>
                <w:rStyle w:val="FootnoteReference"/>
              </w:rPr>
              <w:footnoteReference w:id="350"/>
            </w:r>
          </w:p>
        </w:tc>
        <w:tc>
          <w:tcPr>
            <w:tcW w:w="1346" w:type="dxa"/>
          </w:tcPr>
          <w:p w14:paraId="167C98D6" w14:textId="77777777" w:rsidR="00D15D53" w:rsidRPr="00222643" w:rsidRDefault="00D15D53" w:rsidP="009E7EFB">
            <w:pPr>
              <w:keepNext/>
            </w:pPr>
          </w:p>
        </w:tc>
        <w:tc>
          <w:tcPr>
            <w:tcW w:w="1347" w:type="dxa"/>
          </w:tcPr>
          <w:p w14:paraId="450002B0" w14:textId="77777777" w:rsidR="00D15D53" w:rsidRPr="00D15D53" w:rsidRDefault="00D15D53" w:rsidP="009E7EFB">
            <w:pPr>
              <w:keepNext/>
            </w:pPr>
            <w:r w:rsidRPr="00222643">
              <w:t>0.35–0.55</w:t>
            </w:r>
            <w:r w:rsidRPr="00222643">
              <w:br/>
              <w:t>(2001–2012)</w:t>
            </w:r>
          </w:p>
        </w:tc>
        <w:tc>
          <w:tcPr>
            <w:tcW w:w="3260" w:type="dxa"/>
          </w:tcPr>
          <w:p w14:paraId="2C73F594" w14:textId="77777777" w:rsidR="00D15D53" w:rsidRPr="00D15D53" w:rsidRDefault="00D15D53" w:rsidP="009E7EFB">
            <w:pPr>
              <w:keepNext/>
            </w:pPr>
            <w:r w:rsidRPr="00222643">
              <w:t xml:space="preserve">Range </w:t>
            </w:r>
            <w:r w:rsidRPr="00D15D53">
              <w:t>derived from large number of permutations and sensitivity tests.</w:t>
            </w:r>
          </w:p>
        </w:tc>
      </w:tr>
      <w:tr w:rsidR="00D15D53" w:rsidRPr="00222643" w14:paraId="1D92F375" w14:textId="77777777" w:rsidTr="00D13AD4">
        <w:trPr>
          <w:cantSplit/>
        </w:trPr>
        <w:tc>
          <w:tcPr>
            <w:tcW w:w="250" w:type="dxa"/>
          </w:tcPr>
          <w:p w14:paraId="72EBCC7E" w14:textId="77777777" w:rsidR="00D15D53" w:rsidRPr="00222643" w:rsidRDefault="00D15D53" w:rsidP="009E7EFB">
            <w:pPr>
              <w:keepNext/>
            </w:pPr>
          </w:p>
        </w:tc>
        <w:tc>
          <w:tcPr>
            <w:tcW w:w="2977" w:type="dxa"/>
            <w:gridSpan w:val="2"/>
          </w:tcPr>
          <w:p w14:paraId="5B10FB6D" w14:textId="77777777" w:rsidR="00D15D53" w:rsidRPr="00D15D53" w:rsidRDefault="00D15D53" w:rsidP="009E7EFB">
            <w:pPr>
              <w:keepNext/>
            </w:pPr>
            <w:r w:rsidRPr="00222643">
              <w:t>SFG (2013a)</w:t>
            </w:r>
            <w:r w:rsidRPr="00D15D53">
              <w:rPr>
                <w:rStyle w:val="FootnoteReference"/>
              </w:rPr>
              <w:footnoteReference w:id="351"/>
            </w:r>
          </w:p>
        </w:tc>
        <w:tc>
          <w:tcPr>
            <w:tcW w:w="1346" w:type="dxa"/>
          </w:tcPr>
          <w:p w14:paraId="358A75F7" w14:textId="77777777" w:rsidR="00D15D53" w:rsidRPr="00222643" w:rsidRDefault="00D15D53" w:rsidP="009E7EFB">
            <w:pPr>
              <w:keepNext/>
            </w:pPr>
          </w:p>
        </w:tc>
        <w:tc>
          <w:tcPr>
            <w:tcW w:w="1347" w:type="dxa"/>
          </w:tcPr>
          <w:p w14:paraId="1BDC57C1" w14:textId="77777777" w:rsidR="00D15D53" w:rsidRPr="00D15D53" w:rsidRDefault="00D15D53" w:rsidP="009E7EFB">
            <w:pPr>
              <w:keepNext/>
            </w:pPr>
            <w:r w:rsidRPr="00222643">
              <w:t>0.35</w:t>
            </w:r>
            <w:r w:rsidRPr="00222643">
              <w:br/>
              <w:t>(2001–2012)</w:t>
            </w:r>
          </w:p>
        </w:tc>
        <w:tc>
          <w:tcPr>
            <w:tcW w:w="3260" w:type="dxa"/>
          </w:tcPr>
          <w:p w14:paraId="6F1F447A" w14:textId="77777777" w:rsidR="00D15D53" w:rsidRPr="00D15D53" w:rsidRDefault="00D15D53" w:rsidP="009E7EFB">
            <w:pPr>
              <w:keepNext/>
            </w:pPr>
            <w:r w:rsidRPr="00222643">
              <w:t>Author's point estimate across a number of different regression forms.</w:t>
            </w:r>
          </w:p>
        </w:tc>
      </w:tr>
      <w:tr w:rsidR="00D15D53" w:rsidRPr="00222643" w14:paraId="483F8E3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2992A227" w14:textId="77777777" w:rsidR="00D15D53" w:rsidRPr="00222643" w:rsidRDefault="00D15D53" w:rsidP="009E7EFB">
            <w:pPr>
              <w:keepNext/>
            </w:pPr>
          </w:p>
        </w:tc>
        <w:tc>
          <w:tcPr>
            <w:tcW w:w="2977" w:type="dxa"/>
            <w:gridSpan w:val="2"/>
          </w:tcPr>
          <w:p w14:paraId="7963730D" w14:textId="77777777" w:rsidR="00D15D53" w:rsidRPr="00D15D53" w:rsidRDefault="00D15D53" w:rsidP="009E7EFB">
            <w:pPr>
              <w:keepNext/>
            </w:pPr>
            <w:r w:rsidRPr="00222643">
              <w:t>SFG (2011)</w:t>
            </w:r>
            <w:r w:rsidRPr="00D15D53">
              <w:rPr>
                <w:rStyle w:val="FootnoteReference"/>
              </w:rPr>
              <w:footnoteReference w:id="352"/>
            </w:r>
          </w:p>
        </w:tc>
        <w:tc>
          <w:tcPr>
            <w:tcW w:w="1346" w:type="dxa"/>
          </w:tcPr>
          <w:p w14:paraId="7741C576" w14:textId="77777777" w:rsidR="00D15D53" w:rsidRPr="00222643" w:rsidRDefault="00D15D53" w:rsidP="009E7EFB">
            <w:pPr>
              <w:keepNext/>
            </w:pPr>
          </w:p>
        </w:tc>
        <w:tc>
          <w:tcPr>
            <w:tcW w:w="1347" w:type="dxa"/>
          </w:tcPr>
          <w:p w14:paraId="314136EE" w14:textId="77777777" w:rsidR="00D15D53" w:rsidRPr="00D15D53" w:rsidRDefault="00D15D53" w:rsidP="009E7EFB">
            <w:pPr>
              <w:keepNext/>
            </w:pPr>
            <w:r w:rsidRPr="00222643">
              <w:t>0.35</w:t>
            </w:r>
            <w:r w:rsidRPr="00222643">
              <w:br/>
              <w:t>(2001–2010)</w:t>
            </w:r>
          </w:p>
        </w:tc>
        <w:tc>
          <w:tcPr>
            <w:tcW w:w="3260" w:type="dxa"/>
          </w:tcPr>
          <w:p w14:paraId="2DE51411" w14:textId="77777777" w:rsidR="00D15D53" w:rsidRPr="00222643" w:rsidRDefault="00D15D53" w:rsidP="009E7EFB">
            <w:pPr>
              <w:keepNext/>
            </w:pPr>
          </w:p>
        </w:tc>
      </w:tr>
      <w:tr w:rsidR="00D15D53" w:rsidRPr="00222643" w14:paraId="192F6956" w14:textId="77777777" w:rsidTr="00D13AD4">
        <w:trPr>
          <w:cantSplit/>
          <w:trHeight w:val="301"/>
        </w:trPr>
        <w:tc>
          <w:tcPr>
            <w:tcW w:w="250" w:type="dxa"/>
          </w:tcPr>
          <w:p w14:paraId="493FBD1B" w14:textId="77777777" w:rsidR="00D15D53" w:rsidRPr="00222643" w:rsidRDefault="00D15D53" w:rsidP="009E7EFB">
            <w:pPr>
              <w:keepNext/>
            </w:pPr>
          </w:p>
        </w:tc>
        <w:tc>
          <w:tcPr>
            <w:tcW w:w="2977" w:type="dxa"/>
            <w:gridSpan w:val="2"/>
          </w:tcPr>
          <w:p w14:paraId="2D468894" w14:textId="77777777" w:rsidR="00D15D53" w:rsidRPr="00D15D53" w:rsidRDefault="00D15D53" w:rsidP="009E7EFB">
            <w:pPr>
              <w:keepNext/>
            </w:pPr>
            <w:r w:rsidRPr="00222643">
              <w:t>Minney (2010)</w:t>
            </w:r>
            <w:r w:rsidRPr="00D15D53">
              <w:rPr>
                <w:rStyle w:val="FootnoteReference"/>
              </w:rPr>
              <w:footnoteReference w:id="353"/>
            </w:r>
          </w:p>
        </w:tc>
        <w:tc>
          <w:tcPr>
            <w:tcW w:w="1346" w:type="dxa"/>
          </w:tcPr>
          <w:p w14:paraId="05F27275" w14:textId="77777777" w:rsidR="00D15D53" w:rsidRPr="00222643" w:rsidRDefault="00D15D53" w:rsidP="009E7EFB">
            <w:pPr>
              <w:keepNext/>
            </w:pPr>
          </w:p>
        </w:tc>
        <w:tc>
          <w:tcPr>
            <w:tcW w:w="1347" w:type="dxa"/>
          </w:tcPr>
          <w:p w14:paraId="411D9A11" w14:textId="77777777" w:rsidR="00D15D53" w:rsidRPr="00D15D53" w:rsidRDefault="00D15D53" w:rsidP="009E7EFB">
            <w:pPr>
              <w:keepNext/>
            </w:pPr>
            <w:r w:rsidRPr="00222643">
              <w:t>0.39</w:t>
            </w:r>
            <w:r w:rsidRPr="00222643">
              <w:br/>
              <w:t>(2001–2009)</w:t>
            </w:r>
          </w:p>
        </w:tc>
        <w:tc>
          <w:tcPr>
            <w:tcW w:w="3260" w:type="dxa"/>
          </w:tcPr>
          <w:p w14:paraId="27AC546C" w14:textId="77777777" w:rsidR="00D15D53" w:rsidRPr="00D15D53" w:rsidRDefault="00D15D53" w:rsidP="009E7EFB">
            <w:pPr>
              <w:keepNext/>
            </w:pPr>
            <w:r>
              <w:t xml:space="preserve">Average of results </w:t>
            </w:r>
            <w:r w:rsidRPr="00D15D53">
              <w:t>from 2001–2005 and 2006–2009 sub-periods. For the most recent sub-period (2006–2009), utilisation rate is 0.53.</w:t>
            </w:r>
          </w:p>
        </w:tc>
      </w:tr>
      <w:tr w:rsidR="00D15D53" w:rsidRPr="00222643" w14:paraId="5D51F53D" w14:textId="77777777" w:rsidTr="00D13AD4">
        <w:trPr>
          <w:cnfStyle w:val="000000010000" w:firstRow="0" w:lastRow="0" w:firstColumn="0" w:lastColumn="0" w:oddVBand="0" w:evenVBand="0" w:oddHBand="0" w:evenHBand="1" w:firstRowFirstColumn="0" w:firstRowLastColumn="0" w:lastRowFirstColumn="0" w:lastRowLastColumn="0"/>
          <w:cantSplit/>
          <w:trHeight w:val="720"/>
        </w:trPr>
        <w:tc>
          <w:tcPr>
            <w:tcW w:w="250" w:type="dxa"/>
          </w:tcPr>
          <w:p w14:paraId="4AE8C143" w14:textId="77777777" w:rsidR="00D15D53" w:rsidRPr="00222643" w:rsidRDefault="00D15D53" w:rsidP="009E7EFB">
            <w:pPr>
              <w:keepNext/>
            </w:pPr>
          </w:p>
        </w:tc>
        <w:tc>
          <w:tcPr>
            <w:tcW w:w="2977" w:type="dxa"/>
            <w:gridSpan w:val="2"/>
          </w:tcPr>
          <w:p w14:paraId="5E4B09F2" w14:textId="77777777" w:rsidR="00D15D53" w:rsidRPr="00D15D53" w:rsidRDefault="00D15D53" w:rsidP="009E7EFB">
            <w:pPr>
              <w:keepNext/>
            </w:pPr>
            <w:r w:rsidRPr="00222643">
              <w:t>Beggs and Skeels (2006)</w:t>
            </w:r>
            <w:r w:rsidRPr="00D15D53">
              <w:rPr>
                <w:rStyle w:val="FootnoteReference"/>
              </w:rPr>
              <w:footnoteReference w:id="354"/>
            </w:r>
          </w:p>
        </w:tc>
        <w:tc>
          <w:tcPr>
            <w:tcW w:w="1346" w:type="dxa"/>
          </w:tcPr>
          <w:p w14:paraId="7FC96440" w14:textId="77777777" w:rsidR="00D15D53" w:rsidRPr="00D15D53" w:rsidRDefault="00D15D53" w:rsidP="009E7EFB">
            <w:pPr>
              <w:keepNext/>
            </w:pPr>
            <w:r w:rsidRPr="00222643">
              <w:t>0.20</w:t>
            </w:r>
            <w:r w:rsidRPr="00222643">
              <w:br/>
              <w:t>(1992–1997)</w:t>
            </w:r>
          </w:p>
        </w:tc>
        <w:tc>
          <w:tcPr>
            <w:tcW w:w="1347" w:type="dxa"/>
          </w:tcPr>
          <w:p w14:paraId="6C17D532" w14:textId="77777777" w:rsidR="00D15D53" w:rsidRPr="00D15D53" w:rsidRDefault="00D15D53" w:rsidP="009E7EFB">
            <w:pPr>
              <w:keepNext/>
            </w:pPr>
            <w:r w:rsidRPr="00222643">
              <w:t>0.57</w:t>
            </w:r>
            <w:r w:rsidRPr="00222643">
              <w:br/>
              <w:t>(2001–2004)</w:t>
            </w:r>
          </w:p>
        </w:tc>
        <w:tc>
          <w:tcPr>
            <w:tcW w:w="3260" w:type="dxa"/>
          </w:tcPr>
          <w:p w14:paraId="695AD95F" w14:textId="77777777" w:rsidR="00D15D53" w:rsidRPr="00D15D53" w:rsidRDefault="00D15D53" w:rsidP="009E7EFB">
            <w:pPr>
              <w:keepNext/>
            </w:pPr>
            <w:r w:rsidRPr="00222643">
              <w:t>Several other pre-2000 periods are presented.</w:t>
            </w:r>
          </w:p>
        </w:tc>
      </w:tr>
      <w:tr w:rsidR="00D15D53" w:rsidRPr="00222643" w14:paraId="4C81386C" w14:textId="77777777" w:rsidTr="00D13AD4">
        <w:trPr>
          <w:cantSplit/>
          <w:trHeight w:val="789"/>
        </w:trPr>
        <w:tc>
          <w:tcPr>
            <w:tcW w:w="250" w:type="dxa"/>
          </w:tcPr>
          <w:p w14:paraId="2C3A1C4C" w14:textId="77777777" w:rsidR="00D15D53" w:rsidRPr="00222643" w:rsidRDefault="00D15D53" w:rsidP="009E7EFB">
            <w:pPr>
              <w:keepNext/>
            </w:pPr>
          </w:p>
        </w:tc>
        <w:tc>
          <w:tcPr>
            <w:tcW w:w="2977" w:type="dxa"/>
            <w:gridSpan w:val="2"/>
          </w:tcPr>
          <w:p w14:paraId="4C5C621B" w14:textId="77777777" w:rsidR="00D15D53" w:rsidRPr="00D15D53" w:rsidRDefault="00D15D53" w:rsidP="009E7EFB">
            <w:pPr>
              <w:keepNext/>
            </w:pPr>
            <w:r w:rsidRPr="00222643">
              <w:t>Hathaway and Officer (2004)</w:t>
            </w:r>
            <w:r w:rsidRPr="00D15D53">
              <w:rPr>
                <w:rStyle w:val="FootnoteReference"/>
              </w:rPr>
              <w:footnoteReference w:id="355"/>
            </w:r>
          </w:p>
        </w:tc>
        <w:tc>
          <w:tcPr>
            <w:tcW w:w="1346" w:type="dxa"/>
          </w:tcPr>
          <w:p w14:paraId="0F2C7F20" w14:textId="77777777" w:rsidR="00D15D53" w:rsidRPr="00D15D53" w:rsidRDefault="00D15D53" w:rsidP="009E7EFB">
            <w:pPr>
              <w:keepNext/>
            </w:pPr>
            <w:r w:rsidRPr="00222643">
              <w:t>0.49</w:t>
            </w:r>
            <w:r w:rsidRPr="00222643">
              <w:br/>
            </w:r>
            <w:r w:rsidRPr="00D15D53">
              <w:t>(1986–2004)</w:t>
            </w:r>
          </w:p>
        </w:tc>
        <w:tc>
          <w:tcPr>
            <w:tcW w:w="1347" w:type="dxa"/>
          </w:tcPr>
          <w:p w14:paraId="3915B5E2" w14:textId="77777777" w:rsidR="00D15D53" w:rsidRPr="00222643" w:rsidRDefault="00D15D53" w:rsidP="009E7EFB">
            <w:pPr>
              <w:keepNext/>
            </w:pPr>
          </w:p>
        </w:tc>
        <w:tc>
          <w:tcPr>
            <w:tcW w:w="3260" w:type="dxa"/>
          </w:tcPr>
          <w:p w14:paraId="10EF6EFA" w14:textId="77777777" w:rsidR="00D15D53" w:rsidRPr="00D15D53" w:rsidRDefault="00D15D53" w:rsidP="009E7EFB">
            <w:pPr>
              <w:keepNext/>
            </w:pPr>
            <w:r w:rsidRPr="00222643">
              <w:t xml:space="preserve">Authors suggest that estimate has increased </w:t>
            </w:r>
            <w:r w:rsidRPr="00D15D53">
              <w:t>post-2000.</w:t>
            </w:r>
          </w:p>
        </w:tc>
      </w:tr>
      <w:tr w:rsidR="00D15D53" w:rsidRPr="00222643" w14:paraId="3642A16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145E6BA4" w14:textId="77777777" w:rsidR="00D15D53" w:rsidRPr="00222643" w:rsidRDefault="00D15D53" w:rsidP="009E7EFB">
            <w:pPr>
              <w:keepNext/>
            </w:pPr>
          </w:p>
        </w:tc>
        <w:tc>
          <w:tcPr>
            <w:tcW w:w="2977" w:type="dxa"/>
            <w:gridSpan w:val="2"/>
          </w:tcPr>
          <w:p w14:paraId="05543558" w14:textId="77777777" w:rsidR="00D15D53" w:rsidRPr="00D15D53" w:rsidRDefault="00D15D53" w:rsidP="009E7EFB">
            <w:pPr>
              <w:keepNext/>
            </w:pPr>
            <w:r w:rsidRPr="00222643">
              <w:t>Bellamy and Gray (2004)</w:t>
            </w:r>
            <w:r w:rsidRPr="00D15D53">
              <w:rPr>
                <w:rStyle w:val="FootnoteReference"/>
              </w:rPr>
              <w:footnoteReference w:id="356"/>
            </w:r>
          </w:p>
        </w:tc>
        <w:tc>
          <w:tcPr>
            <w:tcW w:w="1346" w:type="dxa"/>
          </w:tcPr>
          <w:p w14:paraId="0A8F1E61" w14:textId="77777777" w:rsidR="00D15D53" w:rsidRPr="00D15D53" w:rsidRDefault="00D15D53" w:rsidP="009E7EFB">
            <w:pPr>
              <w:keepNext/>
            </w:pPr>
            <w:r w:rsidRPr="00222643">
              <w:t>0.36</w:t>
            </w:r>
            <w:r w:rsidRPr="00222643">
              <w:br/>
              <w:t>(1995–2002)</w:t>
            </w:r>
          </w:p>
        </w:tc>
        <w:tc>
          <w:tcPr>
            <w:tcW w:w="1347" w:type="dxa"/>
          </w:tcPr>
          <w:p w14:paraId="2F8D2590" w14:textId="77777777" w:rsidR="00D15D53" w:rsidRPr="00222643" w:rsidRDefault="00D15D53" w:rsidP="009E7EFB">
            <w:pPr>
              <w:keepNext/>
            </w:pPr>
          </w:p>
        </w:tc>
        <w:tc>
          <w:tcPr>
            <w:tcW w:w="3260" w:type="dxa"/>
          </w:tcPr>
          <w:p w14:paraId="54E6D33D" w14:textId="77777777" w:rsidR="00D15D53" w:rsidRPr="00D15D53" w:rsidRDefault="00D15D53" w:rsidP="009E7EFB">
            <w:pPr>
              <w:keepNext/>
            </w:pPr>
            <w:r w:rsidRPr="00222643">
              <w:t>Range of 0.0–0.60 is also presented.</w:t>
            </w:r>
          </w:p>
        </w:tc>
      </w:tr>
      <w:tr w:rsidR="00D15D53" w:rsidRPr="00222643" w14:paraId="43811DD5" w14:textId="77777777" w:rsidTr="00D13AD4">
        <w:trPr>
          <w:cantSplit/>
        </w:trPr>
        <w:tc>
          <w:tcPr>
            <w:tcW w:w="250" w:type="dxa"/>
          </w:tcPr>
          <w:p w14:paraId="3536C8E1" w14:textId="77777777" w:rsidR="00D15D53" w:rsidRPr="00222643" w:rsidRDefault="00D15D53" w:rsidP="009E7EFB">
            <w:pPr>
              <w:keepNext/>
            </w:pPr>
          </w:p>
        </w:tc>
        <w:tc>
          <w:tcPr>
            <w:tcW w:w="2977" w:type="dxa"/>
            <w:gridSpan w:val="2"/>
          </w:tcPr>
          <w:p w14:paraId="11C53F20" w14:textId="77777777" w:rsidR="00D15D53" w:rsidRPr="00D15D53" w:rsidRDefault="00D15D53" w:rsidP="009E7EFB">
            <w:pPr>
              <w:keepNext/>
            </w:pPr>
            <w:r w:rsidRPr="00222643">
              <w:t>Bruckner et al (1994)</w:t>
            </w:r>
            <w:r w:rsidRPr="00D15D53">
              <w:rPr>
                <w:rStyle w:val="FootnoteReference"/>
              </w:rPr>
              <w:footnoteReference w:id="357"/>
            </w:r>
          </w:p>
        </w:tc>
        <w:tc>
          <w:tcPr>
            <w:tcW w:w="1346" w:type="dxa"/>
          </w:tcPr>
          <w:p w14:paraId="57136ADE" w14:textId="77777777" w:rsidR="00D15D53" w:rsidRPr="00D15D53" w:rsidRDefault="00D15D53" w:rsidP="009E7EFB">
            <w:pPr>
              <w:keepNext/>
            </w:pPr>
            <w:r>
              <w:t>0.69</w:t>
            </w:r>
            <w:r>
              <w:br/>
              <w:t>(199</w:t>
            </w:r>
            <w:r w:rsidRPr="00D15D53">
              <w:t>1–1993)</w:t>
            </w:r>
          </w:p>
        </w:tc>
        <w:tc>
          <w:tcPr>
            <w:tcW w:w="1347" w:type="dxa"/>
          </w:tcPr>
          <w:p w14:paraId="1EF7A1FD" w14:textId="77777777" w:rsidR="00D15D53" w:rsidRPr="00222643" w:rsidRDefault="00D15D53" w:rsidP="009E7EFB">
            <w:pPr>
              <w:keepNext/>
            </w:pPr>
          </w:p>
        </w:tc>
        <w:tc>
          <w:tcPr>
            <w:tcW w:w="3260" w:type="dxa"/>
          </w:tcPr>
          <w:p w14:paraId="1D0E2A7F" w14:textId="77777777" w:rsidR="00D15D53" w:rsidRPr="00D15D53" w:rsidRDefault="00D15D53" w:rsidP="009E7EFB">
            <w:pPr>
              <w:keepNext/>
            </w:pPr>
            <w:r w:rsidRPr="00222643">
              <w:t>Also</w:t>
            </w:r>
            <w:r w:rsidRPr="00D15D53">
              <w:t xml:space="preserve"> present an earlier period (1987–1990).</w:t>
            </w:r>
          </w:p>
        </w:tc>
      </w:tr>
      <w:tr w:rsidR="00D15D53" w:rsidRPr="00222643" w14:paraId="2CE71EFF"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4B624A19" w14:textId="77777777" w:rsidR="00D15D53" w:rsidRPr="00222643" w:rsidRDefault="00D15D53" w:rsidP="009E7EFB">
            <w:pPr>
              <w:keepNext/>
            </w:pPr>
          </w:p>
        </w:tc>
        <w:tc>
          <w:tcPr>
            <w:tcW w:w="2977" w:type="dxa"/>
            <w:gridSpan w:val="2"/>
          </w:tcPr>
          <w:p w14:paraId="14C17322" w14:textId="77777777" w:rsidR="00D15D53" w:rsidRPr="00D15D53" w:rsidRDefault="00D15D53" w:rsidP="009E7EFB">
            <w:pPr>
              <w:keepNext/>
            </w:pPr>
            <w:r>
              <w:t xml:space="preserve">Brown and Clarke </w:t>
            </w:r>
            <w:r w:rsidRPr="00D15D53">
              <w:t>(1993)</w:t>
            </w:r>
            <w:r w:rsidRPr="00D15D53">
              <w:rPr>
                <w:rStyle w:val="FootnoteReference"/>
              </w:rPr>
              <w:footnoteReference w:id="358"/>
            </w:r>
          </w:p>
        </w:tc>
        <w:tc>
          <w:tcPr>
            <w:tcW w:w="1346" w:type="dxa"/>
          </w:tcPr>
          <w:p w14:paraId="5C6A8EDB" w14:textId="77777777" w:rsidR="00D15D53" w:rsidRPr="00D15D53" w:rsidRDefault="00D15D53" w:rsidP="009E7EFB">
            <w:pPr>
              <w:keepNext/>
            </w:pPr>
            <w:r w:rsidRPr="00222643">
              <w:t>0.80</w:t>
            </w:r>
            <w:r w:rsidRPr="00222643">
              <w:br/>
              <w:t>(1988–1991)</w:t>
            </w:r>
          </w:p>
        </w:tc>
        <w:tc>
          <w:tcPr>
            <w:tcW w:w="1347" w:type="dxa"/>
          </w:tcPr>
          <w:p w14:paraId="7EF7478A" w14:textId="77777777" w:rsidR="00D15D53" w:rsidRPr="00222643" w:rsidRDefault="00D15D53" w:rsidP="009E7EFB">
            <w:pPr>
              <w:keepNext/>
            </w:pPr>
          </w:p>
        </w:tc>
        <w:tc>
          <w:tcPr>
            <w:tcW w:w="3260" w:type="dxa"/>
          </w:tcPr>
          <w:p w14:paraId="6F806D1F" w14:textId="77777777" w:rsidR="00D15D53" w:rsidRPr="00222643" w:rsidRDefault="00D15D53" w:rsidP="009E7EFB">
            <w:pPr>
              <w:keepNext/>
            </w:pPr>
          </w:p>
        </w:tc>
      </w:tr>
    </w:tbl>
    <w:p w14:paraId="399CE34B" w14:textId="77777777" w:rsidR="00D15D53" w:rsidRPr="00222643" w:rsidRDefault="00D15D53" w:rsidP="00D15D53">
      <w:pPr>
        <w:pStyle w:val="AERtablesource"/>
      </w:pPr>
      <w:r w:rsidRPr="00222643">
        <w:t xml:space="preserve">Source: </w:t>
      </w:r>
      <w:r w:rsidRPr="00222643">
        <w:tab/>
        <w:t>As specified in table.</w:t>
      </w:r>
    </w:p>
    <w:p w14:paraId="52C89919" w14:textId="77777777" w:rsidR="00D15D53" w:rsidRPr="00222643" w:rsidRDefault="00D15D53" w:rsidP="00D15D53">
      <w:pPr>
        <w:pStyle w:val="Caption"/>
      </w:pPr>
      <w:bookmarkStart w:id="96" w:name="_Ref401076250"/>
      <w:r>
        <w:lastRenderedPageBreak/>
        <w:t xml:space="preserve">Table </w:t>
      </w:r>
      <w:r w:rsidR="00D70292">
        <w:fldChar w:fldCharType="begin"/>
      </w:r>
      <w:r w:rsidR="00D70292">
        <w:instrText xml:space="preserve"> STYLEREF 1 \s </w:instrText>
      </w:r>
      <w:r w:rsidR="00D70292">
        <w:fldChar w:fldCharType="separate"/>
      </w:r>
      <w:r w:rsidR="001E2164">
        <w:rPr>
          <w:noProof/>
        </w:rPr>
        <w:t>4</w:t>
      </w:r>
      <w:r w:rsidR="00D70292">
        <w:rPr>
          <w:noProof/>
        </w:rPr>
        <w:fldChar w:fldCharType="end"/>
      </w:r>
      <w:r w:rsidR="00257FBE">
        <w:noBreakHyphen/>
      </w:r>
      <w:r w:rsidR="00D70292">
        <w:fldChar w:fldCharType="begin"/>
      </w:r>
      <w:r w:rsidR="00D70292">
        <w:instrText xml:space="preserve"> SEQ Table \* ARABIC \s 1 </w:instrText>
      </w:r>
      <w:r w:rsidR="00D70292">
        <w:fldChar w:fldCharType="separate"/>
      </w:r>
      <w:r w:rsidR="001E2164">
        <w:rPr>
          <w:noProof/>
        </w:rPr>
        <w:t>11</w:t>
      </w:r>
      <w:r w:rsidR="00D70292">
        <w:rPr>
          <w:noProof/>
        </w:rPr>
        <w:fldChar w:fldCharType="end"/>
      </w:r>
      <w:bookmarkEnd w:id="96"/>
      <w:r>
        <w:tab/>
      </w:r>
      <w:r w:rsidRPr="00222643">
        <w:t>Estimates of the utilisation rate from alternative market value studies</w:t>
      </w:r>
    </w:p>
    <w:tbl>
      <w:tblPr>
        <w:tblStyle w:val="AERtable-text0"/>
        <w:tblW w:w="0" w:type="auto"/>
        <w:tblLayout w:type="fixed"/>
        <w:tblLook w:val="04A0" w:firstRow="1" w:lastRow="0" w:firstColumn="1" w:lastColumn="0" w:noHBand="0" w:noVBand="1"/>
      </w:tblPr>
      <w:tblGrid>
        <w:gridCol w:w="392"/>
        <w:gridCol w:w="2835"/>
        <w:gridCol w:w="1346"/>
        <w:gridCol w:w="1347"/>
        <w:gridCol w:w="3260"/>
        <w:gridCol w:w="62"/>
      </w:tblGrid>
      <w:tr w:rsidR="00D15D53" w:rsidRPr="00222643" w14:paraId="3B331F1A" w14:textId="77777777" w:rsidTr="00D13AD4">
        <w:trPr>
          <w:gridAfter w:val="1"/>
          <w:cnfStyle w:val="100000000000" w:firstRow="1" w:lastRow="0" w:firstColumn="0" w:lastColumn="0" w:oddVBand="0" w:evenVBand="0" w:oddHBand="0" w:evenHBand="0" w:firstRowFirstColumn="0" w:firstRowLastColumn="0" w:lastRowFirstColumn="0" w:lastRowLastColumn="0"/>
          <w:wAfter w:w="62" w:type="dxa"/>
          <w:cantSplit/>
          <w:tblHeader/>
        </w:trPr>
        <w:tc>
          <w:tcPr>
            <w:tcW w:w="392" w:type="dxa"/>
          </w:tcPr>
          <w:p w14:paraId="74A640A6" w14:textId="77777777" w:rsidR="00D15D53" w:rsidRPr="00222643" w:rsidRDefault="00D15D53" w:rsidP="009E7EFB">
            <w:pPr>
              <w:keepNext/>
            </w:pPr>
          </w:p>
        </w:tc>
        <w:tc>
          <w:tcPr>
            <w:tcW w:w="2835" w:type="dxa"/>
          </w:tcPr>
          <w:p w14:paraId="290B2814" w14:textId="77777777" w:rsidR="00D15D53" w:rsidRPr="00D15D53" w:rsidRDefault="00D15D53" w:rsidP="009E7EFB">
            <w:pPr>
              <w:keepNext/>
            </w:pPr>
            <w:r w:rsidRPr="00222643">
              <w:t>Authors</w:t>
            </w:r>
          </w:p>
        </w:tc>
        <w:tc>
          <w:tcPr>
            <w:tcW w:w="1346" w:type="dxa"/>
          </w:tcPr>
          <w:p w14:paraId="2C0D3FD7" w14:textId="77777777" w:rsidR="00D15D53" w:rsidRPr="00D15D53" w:rsidRDefault="00D15D53" w:rsidP="009E7EFB">
            <w:pPr>
              <w:keepNext/>
            </w:pPr>
            <w:r w:rsidRPr="00222643">
              <w:t>Pre-2000 results</w:t>
            </w:r>
          </w:p>
        </w:tc>
        <w:tc>
          <w:tcPr>
            <w:tcW w:w="1347" w:type="dxa"/>
          </w:tcPr>
          <w:p w14:paraId="1356D3E7" w14:textId="77777777" w:rsidR="00D15D53" w:rsidRPr="00D15D53" w:rsidRDefault="00D15D53" w:rsidP="009E7EFB">
            <w:pPr>
              <w:keepNext/>
            </w:pPr>
            <w:r w:rsidRPr="00222643">
              <w:t>Post-2000 results</w:t>
            </w:r>
          </w:p>
        </w:tc>
        <w:tc>
          <w:tcPr>
            <w:tcW w:w="3260" w:type="dxa"/>
          </w:tcPr>
          <w:p w14:paraId="050C129F" w14:textId="77777777" w:rsidR="00D15D53" w:rsidRPr="00D15D53" w:rsidRDefault="00D15D53" w:rsidP="009E7EFB">
            <w:pPr>
              <w:keepNext/>
            </w:pPr>
            <w:r w:rsidRPr="00222643">
              <w:t>Notes</w:t>
            </w:r>
          </w:p>
        </w:tc>
      </w:tr>
      <w:tr w:rsidR="00D15D53" w:rsidRPr="00222643" w14:paraId="32A8102C" w14:textId="77777777" w:rsidTr="00D13AD4">
        <w:trPr>
          <w:cantSplit/>
          <w:trHeight w:val="479"/>
        </w:trPr>
        <w:tc>
          <w:tcPr>
            <w:tcW w:w="3227" w:type="dxa"/>
            <w:gridSpan w:val="2"/>
          </w:tcPr>
          <w:p w14:paraId="333CEAE8" w14:textId="77777777" w:rsidR="00D15D53" w:rsidRPr="00D15D53" w:rsidRDefault="00D15D53" w:rsidP="009E7EFB">
            <w:pPr>
              <w:keepNext/>
              <w:rPr>
                <w:rStyle w:val="Strong"/>
              </w:rPr>
            </w:pPr>
            <w:r w:rsidRPr="00482215">
              <w:rPr>
                <w:rStyle w:val="Strong"/>
              </w:rPr>
              <w:t xml:space="preserve">Dividend drop </w:t>
            </w:r>
            <w:r w:rsidRPr="00D15D53">
              <w:rPr>
                <w:rStyle w:val="Strong"/>
              </w:rPr>
              <w:t>off study using hybrids</w:t>
            </w:r>
          </w:p>
        </w:tc>
        <w:tc>
          <w:tcPr>
            <w:tcW w:w="1346" w:type="dxa"/>
          </w:tcPr>
          <w:p w14:paraId="430CA48B" w14:textId="77777777" w:rsidR="00D15D53" w:rsidRPr="00222643" w:rsidRDefault="00D15D53" w:rsidP="009E7EFB">
            <w:pPr>
              <w:keepNext/>
            </w:pPr>
          </w:p>
        </w:tc>
        <w:tc>
          <w:tcPr>
            <w:tcW w:w="1347" w:type="dxa"/>
          </w:tcPr>
          <w:p w14:paraId="57112F4D" w14:textId="77777777" w:rsidR="00D15D53" w:rsidRPr="00222643" w:rsidRDefault="00D15D53" w:rsidP="009E7EFB">
            <w:pPr>
              <w:keepNext/>
            </w:pPr>
          </w:p>
        </w:tc>
        <w:tc>
          <w:tcPr>
            <w:tcW w:w="3322" w:type="dxa"/>
            <w:gridSpan w:val="2"/>
          </w:tcPr>
          <w:p w14:paraId="49508FC3" w14:textId="77777777" w:rsidR="00D15D53" w:rsidRPr="00222643" w:rsidRDefault="00D15D53" w:rsidP="009E7EFB">
            <w:pPr>
              <w:keepNext/>
            </w:pPr>
          </w:p>
        </w:tc>
      </w:tr>
      <w:tr w:rsidR="00D15D53" w:rsidRPr="00222643" w14:paraId="10E45C11"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748123C6" w14:textId="77777777" w:rsidR="00D15D53" w:rsidRPr="00222643" w:rsidRDefault="00D15D53" w:rsidP="009E7EFB">
            <w:pPr>
              <w:keepNext/>
            </w:pPr>
          </w:p>
        </w:tc>
        <w:tc>
          <w:tcPr>
            <w:tcW w:w="2835" w:type="dxa"/>
          </w:tcPr>
          <w:p w14:paraId="19466130" w14:textId="77777777" w:rsidR="00D15D53" w:rsidRPr="00D15D53" w:rsidRDefault="00D15D53" w:rsidP="009E7EFB">
            <w:pPr>
              <w:keepNext/>
            </w:pPr>
            <w:r w:rsidRPr="00222643">
              <w:t xml:space="preserve">Feuerherdt, Gray and Hall </w:t>
            </w:r>
            <w:r w:rsidRPr="00D15D53">
              <w:t>(2010)</w:t>
            </w:r>
            <w:r w:rsidRPr="00D15D53">
              <w:rPr>
                <w:rStyle w:val="FootnoteReference"/>
              </w:rPr>
              <w:footnoteReference w:id="359"/>
            </w:r>
          </w:p>
        </w:tc>
        <w:tc>
          <w:tcPr>
            <w:tcW w:w="1346" w:type="dxa"/>
          </w:tcPr>
          <w:p w14:paraId="3C0B2476" w14:textId="77777777" w:rsidR="00D15D53" w:rsidRPr="00D15D53" w:rsidRDefault="00D15D53" w:rsidP="009E7EFB">
            <w:pPr>
              <w:keepNext/>
            </w:pPr>
            <w:r w:rsidRPr="00222643">
              <w:t>N/A</w:t>
            </w:r>
            <w:r w:rsidRPr="00222643">
              <w:br/>
              <w:t>(1995–2002)</w:t>
            </w:r>
          </w:p>
        </w:tc>
        <w:tc>
          <w:tcPr>
            <w:tcW w:w="1347" w:type="dxa"/>
          </w:tcPr>
          <w:p w14:paraId="12829B49" w14:textId="77777777" w:rsidR="00D15D53" w:rsidRPr="00222643" w:rsidRDefault="00D15D53" w:rsidP="009E7EFB">
            <w:pPr>
              <w:keepNext/>
            </w:pPr>
          </w:p>
        </w:tc>
        <w:tc>
          <w:tcPr>
            <w:tcW w:w="3322" w:type="dxa"/>
            <w:gridSpan w:val="2"/>
          </w:tcPr>
          <w:p w14:paraId="378BFFE2" w14:textId="77777777" w:rsidR="00D15D53" w:rsidRPr="00D15D53" w:rsidRDefault="00D15D53" w:rsidP="009E7EFB">
            <w:pPr>
              <w:keepNext/>
            </w:pPr>
            <w:r>
              <w:t>Combined drop off of 1.</w:t>
            </w:r>
            <w:r w:rsidRPr="00D15D53">
              <w:t>0. With dividends at full value, this is a utilisation rate of 0.</w:t>
            </w:r>
          </w:p>
        </w:tc>
      </w:tr>
      <w:tr w:rsidR="00D15D53" w:rsidRPr="00222643" w14:paraId="72590DB6" w14:textId="77777777" w:rsidTr="00D13AD4">
        <w:trPr>
          <w:cantSplit/>
        </w:trPr>
        <w:tc>
          <w:tcPr>
            <w:tcW w:w="3227" w:type="dxa"/>
            <w:gridSpan w:val="2"/>
          </w:tcPr>
          <w:p w14:paraId="23ACBF49" w14:textId="77777777" w:rsidR="00D15D53" w:rsidRPr="00D15D53" w:rsidRDefault="00D15D53" w:rsidP="009E7EFB">
            <w:pPr>
              <w:keepNext/>
              <w:rPr>
                <w:rStyle w:val="Strong"/>
              </w:rPr>
            </w:pPr>
            <w:r w:rsidRPr="00482215">
              <w:rPr>
                <w:rStyle w:val="Strong"/>
              </w:rPr>
              <w:t>Futures study (individual or index)</w:t>
            </w:r>
          </w:p>
        </w:tc>
        <w:tc>
          <w:tcPr>
            <w:tcW w:w="1346" w:type="dxa"/>
          </w:tcPr>
          <w:p w14:paraId="35331575" w14:textId="77777777" w:rsidR="00D15D53" w:rsidRPr="00482215" w:rsidRDefault="00D15D53" w:rsidP="009E7EFB">
            <w:pPr>
              <w:keepNext/>
              <w:rPr>
                <w:rStyle w:val="Strong"/>
              </w:rPr>
            </w:pPr>
          </w:p>
        </w:tc>
        <w:tc>
          <w:tcPr>
            <w:tcW w:w="1347" w:type="dxa"/>
          </w:tcPr>
          <w:p w14:paraId="03CAFD5A" w14:textId="77777777" w:rsidR="00D15D53" w:rsidRPr="00222643" w:rsidRDefault="00D15D53" w:rsidP="009E7EFB">
            <w:pPr>
              <w:keepNext/>
            </w:pPr>
          </w:p>
        </w:tc>
        <w:tc>
          <w:tcPr>
            <w:tcW w:w="3322" w:type="dxa"/>
            <w:gridSpan w:val="2"/>
          </w:tcPr>
          <w:p w14:paraId="1D6622FD" w14:textId="77777777" w:rsidR="00D15D53" w:rsidRPr="00222643" w:rsidRDefault="00D15D53" w:rsidP="009E7EFB">
            <w:pPr>
              <w:keepNext/>
            </w:pPr>
          </w:p>
        </w:tc>
      </w:tr>
      <w:tr w:rsidR="00D15D53" w:rsidRPr="00222643" w14:paraId="501D2ED0" w14:textId="77777777" w:rsidTr="00D13AD4">
        <w:trPr>
          <w:cnfStyle w:val="000000010000" w:firstRow="0" w:lastRow="0" w:firstColumn="0" w:lastColumn="0" w:oddVBand="0" w:evenVBand="0" w:oddHBand="0" w:evenHBand="1" w:firstRowFirstColumn="0" w:firstRowLastColumn="0" w:lastRowFirstColumn="0" w:lastRowLastColumn="0"/>
          <w:cantSplit/>
          <w:trHeight w:val="542"/>
        </w:trPr>
        <w:tc>
          <w:tcPr>
            <w:tcW w:w="392" w:type="dxa"/>
          </w:tcPr>
          <w:p w14:paraId="5D6FFC19" w14:textId="77777777" w:rsidR="00D15D53" w:rsidRPr="00222643" w:rsidRDefault="00D15D53" w:rsidP="009E7EFB">
            <w:pPr>
              <w:keepNext/>
            </w:pPr>
          </w:p>
        </w:tc>
        <w:tc>
          <w:tcPr>
            <w:tcW w:w="2835" w:type="dxa"/>
          </w:tcPr>
          <w:p w14:paraId="2C272406" w14:textId="77777777" w:rsidR="00D15D53" w:rsidRPr="00D15D53" w:rsidRDefault="00D15D53" w:rsidP="009E7EFB">
            <w:pPr>
              <w:keepNext/>
            </w:pPr>
            <w:r w:rsidRPr="00222643">
              <w:t>SFG (2013b)</w:t>
            </w:r>
            <w:r w:rsidRPr="00D15D53">
              <w:rPr>
                <w:rStyle w:val="FootnoteReference"/>
              </w:rPr>
              <w:footnoteReference w:id="360"/>
            </w:r>
          </w:p>
        </w:tc>
        <w:tc>
          <w:tcPr>
            <w:tcW w:w="1346" w:type="dxa"/>
          </w:tcPr>
          <w:p w14:paraId="749DC4F5" w14:textId="77777777" w:rsidR="00D15D53" w:rsidRPr="00222643" w:rsidRDefault="00D15D53" w:rsidP="009E7EFB">
            <w:pPr>
              <w:keepNext/>
            </w:pPr>
          </w:p>
        </w:tc>
        <w:tc>
          <w:tcPr>
            <w:tcW w:w="1347" w:type="dxa"/>
          </w:tcPr>
          <w:p w14:paraId="6399CF7B" w14:textId="77777777" w:rsidR="00D15D53" w:rsidRPr="00D15D53" w:rsidRDefault="00D15D53" w:rsidP="009E7EFB">
            <w:pPr>
              <w:keepNext/>
            </w:pPr>
            <w:r w:rsidRPr="00222643">
              <w:t>0.12</w:t>
            </w:r>
            <w:r w:rsidRPr="00222643">
              <w:br/>
              <w:t>(2000–2013)</w:t>
            </w:r>
          </w:p>
        </w:tc>
        <w:tc>
          <w:tcPr>
            <w:tcW w:w="3322" w:type="dxa"/>
            <w:gridSpan w:val="2"/>
          </w:tcPr>
          <w:p w14:paraId="1EB991DB" w14:textId="77777777" w:rsidR="00D15D53" w:rsidRPr="00D15D53" w:rsidRDefault="00D15D53" w:rsidP="009E7EFB">
            <w:pPr>
              <w:keepNext/>
            </w:pPr>
            <w:r w:rsidRPr="00222643">
              <w:t xml:space="preserve">Uses </w:t>
            </w:r>
            <w:r w:rsidRPr="00D15D53">
              <w:t>individual firms.</w:t>
            </w:r>
          </w:p>
        </w:tc>
      </w:tr>
      <w:tr w:rsidR="00D15D53" w:rsidRPr="00222643" w14:paraId="3584F47C" w14:textId="77777777" w:rsidTr="00D13AD4">
        <w:trPr>
          <w:cantSplit/>
          <w:trHeight w:val="465"/>
        </w:trPr>
        <w:tc>
          <w:tcPr>
            <w:tcW w:w="392" w:type="dxa"/>
          </w:tcPr>
          <w:p w14:paraId="0A99BA82" w14:textId="77777777" w:rsidR="00D15D53" w:rsidRPr="00222643" w:rsidRDefault="00D15D53" w:rsidP="009E7EFB">
            <w:pPr>
              <w:keepNext/>
            </w:pPr>
          </w:p>
        </w:tc>
        <w:tc>
          <w:tcPr>
            <w:tcW w:w="2835" w:type="dxa"/>
          </w:tcPr>
          <w:p w14:paraId="4694B1A4" w14:textId="77777777" w:rsidR="00D15D53" w:rsidRPr="00D15D53" w:rsidRDefault="00D15D53" w:rsidP="009E7EFB">
            <w:pPr>
              <w:keepNext/>
            </w:pPr>
            <w:r w:rsidRPr="00222643">
              <w:t>Cannavan et al (2004)</w:t>
            </w:r>
            <w:r w:rsidRPr="00D15D53">
              <w:rPr>
                <w:rStyle w:val="FootnoteReference"/>
              </w:rPr>
              <w:footnoteReference w:id="361"/>
            </w:r>
          </w:p>
        </w:tc>
        <w:tc>
          <w:tcPr>
            <w:tcW w:w="1346" w:type="dxa"/>
          </w:tcPr>
          <w:p w14:paraId="516FC50E" w14:textId="77777777" w:rsidR="00D15D53" w:rsidRPr="00D15D53" w:rsidRDefault="00D15D53" w:rsidP="009E7EFB">
            <w:pPr>
              <w:keepNext/>
            </w:pPr>
            <w:r w:rsidRPr="00222643">
              <w:t>0–0.15</w:t>
            </w:r>
            <w:r w:rsidRPr="00222643">
              <w:br/>
              <w:t>(1994–1999)</w:t>
            </w:r>
          </w:p>
        </w:tc>
        <w:tc>
          <w:tcPr>
            <w:tcW w:w="1347" w:type="dxa"/>
          </w:tcPr>
          <w:p w14:paraId="47E79A2E" w14:textId="77777777" w:rsidR="00D15D53" w:rsidRPr="00222643" w:rsidRDefault="00D15D53" w:rsidP="009E7EFB">
            <w:pPr>
              <w:keepNext/>
            </w:pPr>
          </w:p>
        </w:tc>
        <w:tc>
          <w:tcPr>
            <w:tcW w:w="3322" w:type="dxa"/>
            <w:gridSpan w:val="2"/>
          </w:tcPr>
          <w:p w14:paraId="1B12A65D" w14:textId="77777777" w:rsidR="00D15D53" w:rsidRPr="00D15D53" w:rsidRDefault="00D15D53" w:rsidP="009E7EFB">
            <w:pPr>
              <w:keepNext/>
            </w:pPr>
            <w:r w:rsidRPr="00222643">
              <w:t>Uses individual firms.</w:t>
            </w:r>
          </w:p>
        </w:tc>
      </w:tr>
      <w:tr w:rsidR="00D15D53" w:rsidRPr="00222643" w14:paraId="52204E81"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48A40373" w14:textId="77777777" w:rsidR="00D15D53" w:rsidRPr="00222643" w:rsidRDefault="00D15D53" w:rsidP="009E7EFB">
            <w:pPr>
              <w:keepNext/>
            </w:pPr>
          </w:p>
        </w:tc>
        <w:tc>
          <w:tcPr>
            <w:tcW w:w="2835" w:type="dxa"/>
          </w:tcPr>
          <w:p w14:paraId="57253AC7" w14:textId="77777777" w:rsidR="00D15D53" w:rsidRPr="00D15D53" w:rsidRDefault="00D15D53" w:rsidP="009E7EFB">
            <w:pPr>
              <w:keepNext/>
            </w:pPr>
            <w:r w:rsidRPr="00222643">
              <w:t>Cummings and Frino (2008)</w:t>
            </w:r>
            <w:r w:rsidRPr="00D15D53">
              <w:rPr>
                <w:rStyle w:val="FootnoteReference"/>
              </w:rPr>
              <w:footnoteReference w:id="362"/>
            </w:r>
          </w:p>
        </w:tc>
        <w:tc>
          <w:tcPr>
            <w:tcW w:w="1346" w:type="dxa"/>
          </w:tcPr>
          <w:p w14:paraId="4A4CC2A1" w14:textId="77777777" w:rsidR="00D15D53" w:rsidRPr="00222643" w:rsidRDefault="00D15D53" w:rsidP="009E7EFB">
            <w:pPr>
              <w:keepNext/>
            </w:pPr>
          </w:p>
        </w:tc>
        <w:tc>
          <w:tcPr>
            <w:tcW w:w="1347" w:type="dxa"/>
          </w:tcPr>
          <w:p w14:paraId="7DD36843" w14:textId="77777777" w:rsidR="00D15D53" w:rsidRPr="00D15D53" w:rsidRDefault="00D15D53" w:rsidP="009E7EFB">
            <w:pPr>
              <w:keepNext/>
            </w:pPr>
            <w:r>
              <w:t>0.52</w:t>
            </w:r>
            <w:r w:rsidRPr="00D15D53">
              <w:br/>
              <w:t>(2002–2005)</w:t>
            </w:r>
          </w:p>
        </w:tc>
        <w:tc>
          <w:tcPr>
            <w:tcW w:w="3322" w:type="dxa"/>
            <w:gridSpan w:val="2"/>
          </w:tcPr>
          <w:p w14:paraId="3253C103" w14:textId="77777777" w:rsidR="00D15D53" w:rsidRPr="00D15D53" w:rsidRDefault="00D15D53" w:rsidP="009E7EFB">
            <w:pPr>
              <w:keepNext/>
            </w:pPr>
            <w:r w:rsidRPr="00222643">
              <w:t>Uses index.</w:t>
            </w:r>
          </w:p>
        </w:tc>
      </w:tr>
      <w:tr w:rsidR="00D15D53" w:rsidRPr="00222643" w14:paraId="1EB92696" w14:textId="77777777" w:rsidTr="00D13AD4">
        <w:trPr>
          <w:cantSplit/>
        </w:trPr>
        <w:tc>
          <w:tcPr>
            <w:tcW w:w="3227" w:type="dxa"/>
            <w:gridSpan w:val="2"/>
          </w:tcPr>
          <w:p w14:paraId="3C709077" w14:textId="77777777" w:rsidR="00D15D53" w:rsidRPr="00D15D53" w:rsidRDefault="00D15D53" w:rsidP="009E7EFB">
            <w:pPr>
              <w:keepNext/>
              <w:rPr>
                <w:rStyle w:val="Strong"/>
              </w:rPr>
            </w:pPr>
            <w:r w:rsidRPr="00482215">
              <w:rPr>
                <w:rStyle w:val="Strong"/>
              </w:rPr>
              <w:t>Rate of return study</w:t>
            </w:r>
          </w:p>
        </w:tc>
        <w:tc>
          <w:tcPr>
            <w:tcW w:w="1346" w:type="dxa"/>
          </w:tcPr>
          <w:p w14:paraId="45630AC2" w14:textId="77777777" w:rsidR="00D15D53" w:rsidRPr="00222643" w:rsidRDefault="00D15D53" w:rsidP="009E7EFB">
            <w:pPr>
              <w:keepNext/>
            </w:pPr>
          </w:p>
        </w:tc>
        <w:tc>
          <w:tcPr>
            <w:tcW w:w="1347" w:type="dxa"/>
          </w:tcPr>
          <w:p w14:paraId="03A0930A" w14:textId="77777777" w:rsidR="00D15D53" w:rsidRPr="00222643" w:rsidRDefault="00D15D53" w:rsidP="009E7EFB">
            <w:pPr>
              <w:keepNext/>
            </w:pPr>
          </w:p>
        </w:tc>
        <w:tc>
          <w:tcPr>
            <w:tcW w:w="3322" w:type="dxa"/>
            <w:gridSpan w:val="2"/>
          </w:tcPr>
          <w:p w14:paraId="4235A2F3" w14:textId="77777777" w:rsidR="00D15D53" w:rsidRPr="00222643" w:rsidRDefault="00D15D53" w:rsidP="009E7EFB">
            <w:pPr>
              <w:keepNext/>
            </w:pPr>
          </w:p>
        </w:tc>
      </w:tr>
      <w:tr w:rsidR="00D15D53" w:rsidRPr="00222643" w14:paraId="761E2AA0"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400A07F5" w14:textId="77777777" w:rsidR="00D15D53" w:rsidRPr="00222643" w:rsidRDefault="00D15D53" w:rsidP="009E7EFB">
            <w:pPr>
              <w:keepNext/>
            </w:pPr>
          </w:p>
        </w:tc>
        <w:tc>
          <w:tcPr>
            <w:tcW w:w="2835" w:type="dxa"/>
          </w:tcPr>
          <w:p w14:paraId="5BE01612" w14:textId="77777777" w:rsidR="00D15D53" w:rsidRPr="00D15D53" w:rsidRDefault="00D15D53" w:rsidP="009E7EFB">
            <w:pPr>
              <w:keepNext/>
            </w:pPr>
            <w:r w:rsidRPr="00222643">
              <w:t>NERA (2013b)</w:t>
            </w:r>
            <w:r w:rsidRPr="00D15D53">
              <w:rPr>
                <w:rStyle w:val="FootnoteReference"/>
              </w:rPr>
              <w:footnoteReference w:id="363"/>
            </w:r>
          </w:p>
        </w:tc>
        <w:tc>
          <w:tcPr>
            <w:tcW w:w="1346" w:type="dxa"/>
          </w:tcPr>
          <w:p w14:paraId="3EBBA919" w14:textId="77777777" w:rsidR="00D15D53" w:rsidRPr="00D15D53" w:rsidRDefault="00D15D53" w:rsidP="009E7EFB">
            <w:pPr>
              <w:keepNext/>
            </w:pPr>
            <w:r>
              <w:t>-1.57</w:t>
            </w:r>
            <w:r>
              <w:br/>
              <w:t>(1987</w:t>
            </w:r>
            <w:r w:rsidRPr="00D15D53">
              <w:t>–2000)</w:t>
            </w:r>
          </w:p>
        </w:tc>
        <w:tc>
          <w:tcPr>
            <w:tcW w:w="1347" w:type="dxa"/>
          </w:tcPr>
          <w:p w14:paraId="405307E3" w14:textId="77777777" w:rsidR="00D15D53" w:rsidRPr="00D15D53" w:rsidRDefault="00D15D53" w:rsidP="009E7EFB">
            <w:pPr>
              <w:keepNext/>
            </w:pPr>
            <w:r>
              <w:t>-1.90</w:t>
            </w:r>
            <w:r>
              <w:br/>
              <w:t>(2000–2012</w:t>
            </w:r>
            <w:r w:rsidRPr="00D15D53">
              <w:t>)</w:t>
            </w:r>
          </w:p>
        </w:tc>
        <w:tc>
          <w:tcPr>
            <w:tcW w:w="3322" w:type="dxa"/>
            <w:gridSpan w:val="2"/>
          </w:tcPr>
          <w:p w14:paraId="4C626735" w14:textId="77777777" w:rsidR="00D15D53" w:rsidRPr="00D15D53" w:rsidRDefault="00D15D53" w:rsidP="009E7EFB">
            <w:pPr>
              <w:keepNext/>
            </w:pPr>
            <w:r w:rsidRPr="00222643">
              <w:t xml:space="preserve">Uses past returns. For the entire </w:t>
            </w:r>
            <w:r w:rsidRPr="00D15D53">
              <w:t>period, estimate is -1.50.</w:t>
            </w:r>
          </w:p>
        </w:tc>
      </w:tr>
      <w:tr w:rsidR="00D15D53" w:rsidRPr="00222643" w14:paraId="75B82087" w14:textId="77777777" w:rsidTr="00D13AD4">
        <w:trPr>
          <w:cantSplit/>
          <w:trHeight w:val="535"/>
        </w:trPr>
        <w:tc>
          <w:tcPr>
            <w:tcW w:w="392" w:type="dxa"/>
          </w:tcPr>
          <w:p w14:paraId="7E563C2D" w14:textId="77777777" w:rsidR="00D15D53" w:rsidRPr="00222643" w:rsidRDefault="00D15D53" w:rsidP="009E7EFB">
            <w:pPr>
              <w:keepNext/>
            </w:pPr>
          </w:p>
        </w:tc>
        <w:tc>
          <w:tcPr>
            <w:tcW w:w="2835" w:type="dxa"/>
          </w:tcPr>
          <w:p w14:paraId="4D4F7485" w14:textId="77777777" w:rsidR="00D15D53" w:rsidRPr="00D15D53" w:rsidRDefault="00D15D53" w:rsidP="009E7EFB">
            <w:pPr>
              <w:keepNext/>
            </w:pPr>
            <w:r w:rsidRPr="00222643">
              <w:t>Lajbcygier and Wheatley (2012)</w:t>
            </w:r>
            <w:r w:rsidRPr="00D15D53">
              <w:rPr>
                <w:rStyle w:val="FootnoteReference"/>
              </w:rPr>
              <w:footnoteReference w:id="364"/>
            </w:r>
          </w:p>
        </w:tc>
        <w:tc>
          <w:tcPr>
            <w:tcW w:w="1346" w:type="dxa"/>
          </w:tcPr>
          <w:p w14:paraId="7C35FAFD" w14:textId="77777777" w:rsidR="00D15D53" w:rsidRPr="00D15D53" w:rsidRDefault="00D15D53" w:rsidP="009E7EFB">
            <w:pPr>
              <w:keepNext/>
            </w:pPr>
            <w:r>
              <w:t>-1.57</w:t>
            </w:r>
            <w:r>
              <w:br/>
              <w:t>(1987</w:t>
            </w:r>
            <w:r w:rsidRPr="00D15D53">
              <w:t>–2000)</w:t>
            </w:r>
          </w:p>
        </w:tc>
        <w:tc>
          <w:tcPr>
            <w:tcW w:w="1347" w:type="dxa"/>
          </w:tcPr>
          <w:p w14:paraId="3DEAB299" w14:textId="77777777" w:rsidR="00D15D53" w:rsidRPr="00D15D53" w:rsidRDefault="00D15D53" w:rsidP="009E7EFB">
            <w:pPr>
              <w:keepNext/>
            </w:pPr>
            <w:r w:rsidRPr="00222643">
              <w:t>-1.68</w:t>
            </w:r>
            <w:r w:rsidRPr="00222643">
              <w:br/>
              <w:t>(2000–2009)</w:t>
            </w:r>
          </w:p>
        </w:tc>
        <w:tc>
          <w:tcPr>
            <w:tcW w:w="3322" w:type="dxa"/>
            <w:gridSpan w:val="2"/>
          </w:tcPr>
          <w:p w14:paraId="6FD266A1" w14:textId="77777777" w:rsidR="00D15D53" w:rsidRPr="00D15D53" w:rsidRDefault="00D15D53" w:rsidP="009E7EFB">
            <w:pPr>
              <w:keepNext/>
            </w:pPr>
            <w:r w:rsidRPr="00222643">
              <w:t>Uses past returns. For the entire period, estimate is -1.88</w:t>
            </w:r>
          </w:p>
        </w:tc>
      </w:tr>
      <w:tr w:rsidR="00D15D53" w:rsidRPr="00222643" w14:paraId="57CFE785" w14:textId="77777777" w:rsidTr="00D13AD4">
        <w:trPr>
          <w:cnfStyle w:val="000000010000" w:firstRow="0" w:lastRow="0" w:firstColumn="0" w:lastColumn="0" w:oddVBand="0" w:evenVBand="0" w:oddHBand="0" w:evenHBand="1" w:firstRowFirstColumn="0" w:firstRowLastColumn="0" w:lastRowFirstColumn="0" w:lastRowLastColumn="0"/>
          <w:cantSplit/>
          <w:trHeight w:val="299"/>
        </w:trPr>
        <w:tc>
          <w:tcPr>
            <w:tcW w:w="392" w:type="dxa"/>
          </w:tcPr>
          <w:p w14:paraId="33C4C691" w14:textId="77777777" w:rsidR="00D15D53" w:rsidRPr="00222643" w:rsidRDefault="00D15D53" w:rsidP="009E7EFB">
            <w:pPr>
              <w:keepNext/>
            </w:pPr>
          </w:p>
        </w:tc>
        <w:tc>
          <w:tcPr>
            <w:tcW w:w="2835" w:type="dxa"/>
          </w:tcPr>
          <w:p w14:paraId="1F027554" w14:textId="77777777" w:rsidR="00D15D53" w:rsidRPr="00D15D53" w:rsidRDefault="00D15D53" w:rsidP="009E7EFB">
            <w:pPr>
              <w:keepNext/>
            </w:pPr>
            <w:r w:rsidRPr="00222643">
              <w:t>Siau et al (2013)</w:t>
            </w:r>
            <w:r w:rsidRPr="00D15D53">
              <w:rPr>
                <w:rStyle w:val="FootnoteReference"/>
              </w:rPr>
              <w:footnoteReference w:id="365"/>
            </w:r>
          </w:p>
        </w:tc>
        <w:tc>
          <w:tcPr>
            <w:tcW w:w="1346" w:type="dxa"/>
          </w:tcPr>
          <w:p w14:paraId="3C5BEA63" w14:textId="77777777" w:rsidR="00D15D53" w:rsidRPr="00222643" w:rsidRDefault="00D15D53" w:rsidP="009E7EFB">
            <w:pPr>
              <w:keepNext/>
            </w:pPr>
          </w:p>
        </w:tc>
        <w:tc>
          <w:tcPr>
            <w:tcW w:w="1347" w:type="dxa"/>
          </w:tcPr>
          <w:p w14:paraId="2D3BADC2" w14:textId="77777777" w:rsidR="00D15D53" w:rsidRPr="00D15D53" w:rsidRDefault="00D15D53" w:rsidP="009E7EFB">
            <w:pPr>
              <w:keepNext/>
            </w:pPr>
            <w:r w:rsidRPr="00222643">
              <w:t>-0.29–0.30</w:t>
            </w:r>
            <w:r w:rsidRPr="00222643">
              <w:br/>
              <w:t>(1996–2011)</w:t>
            </w:r>
          </w:p>
        </w:tc>
        <w:tc>
          <w:tcPr>
            <w:tcW w:w="3322" w:type="dxa"/>
            <w:gridSpan w:val="2"/>
          </w:tcPr>
          <w:p w14:paraId="6585C47D" w14:textId="77777777" w:rsidR="00D15D53" w:rsidRPr="00D15D53" w:rsidRDefault="00D15D53" w:rsidP="009E7EFB">
            <w:pPr>
              <w:keepNext/>
            </w:pPr>
            <w:r w:rsidRPr="00222643">
              <w:t xml:space="preserve">Uses forecast returns. Note range is from negative </w:t>
            </w:r>
            <w:r w:rsidRPr="00D15D53">
              <w:t>0.29 to positive 0.30.</w:t>
            </w:r>
          </w:p>
        </w:tc>
      </w:tr>
      <w:tr w:rsidR="005A6A8F" w:rsidRPr="00222643" w14:paraId="3B3C0F65" w14:textId="77777777" w:rsidTr="00D13AD4">
        <w:trPr>
          <w:cantSplit/>
          <w:trHeight w:val="299"/>
        </w:trPr>
        <w:tc>
          <w:tcPr>
            <w:tcW w:w="392" w:type="dxa"/>
          </w:tcPr>
          <w:p w14:paraId="1698C897" w14:textId="77777777" w:rsidR="005A6A8F" w:rsidRPr="00222643" w:rsidRDefault="005A6A8F" w:rsidP="009E7EFB">
            <w:pPr>
              <w:keepNext/>
            </w:pPr>
          </w:p>
        </w:tc>
        <w:tc>
          <w:tcPr>
            <w:tcW w:w="2835" w:type="dxa"/>
          </w:tcPr>
          <w:p w14:paraId="7E54197A" w14:textId="5A2AE4B8" w:rsidR="005A6A8F" w:rsidRPr="00222643" w:rsidRDefault="005A6A8F" w:rsidP="009E7EFB">
            <w:pPr>
              <w:keepNext/>
            </w:pPr>
            <w:r>
              <w:t>Siau et al (2015</w:t>
            </w:r>
            <w:r w:rsidRPr="005A6A8F">
              <w:t>)</w:t>
            </w:r>
            <w:r w:rsidRPr="005A6A8F">
              <w:rPr>
                <w:rStyle w:val="FootnoteReference"/>
              </w:rPr>
              <w:footnoteReference w:id="366"/>
            </w:r>
          </w:p>
        </w:tc>
        <w:tc>
          <w:tcPr>
            <w:tcW w:w="1346" w:type="dxa"/>
          </w:tcPr>
          <w:p w14:paraId="7B62483D" w14:textId="77777777" w:rsidR="005A6A8F" w:rsidRPr="00222643" w:rsidRDefault="005A6A8F" w:rsidP="009E7EFB">
            <w:pPr>
              <w:keepNext/>
            </w:pPr>
          </w:p>
        </w:tc>
        <w:tc>
          <w:tcPr>
            <w:tcW w:w="1347" w:type="dxa"/>
          </w:tcPr>
          <w:p w14:paraId="047A5429" w14:textId="0329D35A" w:rsidR="005A6A8F" w:rsidRPr="00222643" w:rsidRDefault="0082160C" w:rsidP="009E7EFB">
            <w:pPr>
              <w:keepNext/>
            </w:pPr>
            <w:r w:rsidRPr="00222643">
              <w:t>-0.29–0.30</w:t>
            </w:r>
            <w:r w:rsidRPr="00222643">
              <w:br/>
              <w:t>(1996–2011)</w:t>
            </w:r>
          </w:p>
        </w:tc>
        <w:tc>
          <w:tcPr>
            <w:tcW w:w="3322" w:type="dxa"/>
            <w:gridSpan w:val="2"/>
          </w:tcPr>
          <w:p w14:paraId="63FB5015" w14:textId="3039F441" w:rsidR="005A6A8F" w:rsidRPr="00222643" w:rsidRDefault="005A6A8F" w:rsidP="009E7EFB">
            <w:pPr>
              <w:keepNext/>
            </w:pPr>
            <w:r w:rsidRPr="00222643">
              <w:t xml:space="preserve">Uses forecast returns. Note range is from negative </w:t>
            </w:r>
            <w:r w:rsidRPr="005A6A8F">
              <w:t>0.29 to positive 0.30.</w:t>
            </w:r>
            <w:r w:rsidR="003E00A4">
              <w:t xml:space="preserve"> </w:t>
            </w:r>
          </w:p>
        </w:tc>
      </w:tr>
      <w:tr w:rsidR="005A6A8F" w:rsidRPr="00222643" w14:paraId="6C6E14A0" w14:textId="77777777" w:rsidTr="00D13AD4">
        <w:trPr>
          <w:cnfStyle w:val="000000010000" w:firstRow="0" w:lastRow="0" w:firstColumn="0" w:lastColumn="0" w:oddVBand="0" w:evenVBand="0" w:oddHBand="0" w:evenHBand="1" w:firstRowFirstColumn="0" w:firstRowLastColumn="0" w:lastRowFirstColumn="0" w:lastRowLastColumn="0"/>
          <w:cantSplit/>
          <w:trHeight w:val="299"/>
        </w:trPr>
        <w:tc>
          <w:tcPr>
            <w:tcW w:w="392" w:type="dxa"/>
          </w:tcPr>
          <w:p w14:paraId="6F854ACF" w14:textId="77777777" w:rsidR="005A6A8F" w:rsidRPr="00222643" w:rsidRDefault="005A6A8F" w:rsidP="009E7EFB">
            <w:pPr>
              <w:keepNext/>
            </w:pPr>
          </w:p>
        </w:tc>
        <w:tc>
          <w:tcPr>
            <w:tcW w:w="2835" w:type="dxa"/>
          </w:tcPr>
          <w:p w14:paraId="6793CD54" w14:textId="2F139143" w:rsidR="005A6A8F" w:rsidRPr="00222643" w:rsidRDefault="005A6A8F" w:rsidP="009E7EFB">
            <w:pPr>
              <w:keepNext/>
            </w:pPr>
            <w:r>
              <w:t>NERA (2015)</w:t>
            </w:r>
            <w:r>
              <w:rPr>
                <w:rStyle w:val="FootnoteReference"/>
              </w:rPr>
              <w:footnoteReference w:id="367"/>
            </w:r>
          </w:p>
        </w:tc>
        <w:tc>
          <w:tcPr>
            <w:tcW w:w="1346" w:type="dxa"/>
          </w:tcPr>
          <w:p w14:paraId="2C38F01A" w14:textId="62C20F8D" w:rsidR="0082160C" w:rsidRPr="00222643" w:rsidRDefault="0082160C" w:rsidP="009E7EFB">
            <w:pPr>
              <w:keepNext/>
            </w:pPr>
            <w:r>
              <w:t>-0.90                         (1987-2000)</w:t>
            </w:r>
          </w:p>
        </w:tc>
        <w:tc>
          <w:tcPr>
            <w:tcW w:w="1347" w:type="dxa"/>
          </w:tcPr>
          <w:p w14:paraId="1F5FCE18" w14:textId="7375768B" w:rsidR="005A6A8F" w:rsidRPr="00222643" w:rsidRDefault="0082160C" w:rsidP="009E7EFB">
            <w:pPr>
              <w:keepNext/>
            </w:pPr>
            <w:r>
              <w:t>-3.18                    (</w:t>
            </w:r>
            <w:r w:rsidR="008D17D5">
              <w:t>2000-2013)</w:t>
            </w:r>
          </w:p>
        </w:tc>
        <w:tc>
          <w:tcPr>
            <w:tcW w:w="3322" w:type="dxa"/>
            <w:gridSpan w:val="2"/>
          </w:tcPr>
          <w:p w14:paraId="39722E7C" w14:textId="4D8C5735" w:rsidR="005A6A8F" w:rsidRPr="00222643" w:rsidRDefault="005A6A8F" w:rsidP="009E7EFB">
            <w:pPr>
              <w:keepNext/>
            </w:pPr>
            <w:r w:rsidRPr="00222643">
              <w:t xml:space="preserve">Uses past returns. For the entire </w:t>
            </w:r>
            <w:r w:rsidRPr="005A6A8F">
              <w:t>period, estimate is</w:t>
            </w:r>
            <w:r w:rsidR="00E93F4A">
              <w:t xml:space="preserve"> -1.76</w:t>
            </w:r>
          </w:p>
        </w:tc>
      </w:tr>
      <w:tr w:rsidR="00D15D53" w:rsidRPr="00222643" w14:paraId="0B65DB89" w14:textId="77777777" w:rsidTr="00D13AD4">
        <w:trPr>
          <w:cantSplit/>
          <w:trHeight w:val="402"/>
        </w:trPr>
        <w:tc>
          <w:tcPr>
            <w:tcW w:w="3227" w:type="dxa"/>
            <w:gridSpan w:val="2"/>
          </w:tcPr>
          <w:p w14:paraId="5DF1B9AC" w14:textId="22628CFE" w:rsidR="00D15D53" w:rsidRPr="00D15D53" w:rsidRDefault="00D15D53" w:rsidP="009E7EFB">
            <w:pPr>
              <w:keepNext/>
              <w:rPr>
                <w:rStyle w:val="Strong"/>
              </w:rPr>
            </w:pPr>
            <w:r w:rsidRPr="00482215">
              <w:rPr>
                <w:rStyle w:val="Strong"/>
              </w:rPr>
              <w:t>Simultaneous share trades</w:t>
            </w:r>
          </w:p>
        </w:tc>
        <w:tc>
          <w:tcPr>
            <w:tcW w:w="1346" w:type="dxa"/>
          </w:tcPr>
          <w:p w14:paraId="1D6CEBF4" w14:textId="77777777" w:rsidR="00D15D53" w:rsidRPr="00222643" w:rsidRDefault="00D15D53" w:rsidP="009E7EFB">
            <w:pPr>
              <w:keepNext/>
            </w:pPr>
          </w:p>
        </w:tc>
        <w:tc>
          <w:tcPr>
            <w:tcW w:w="1347" w:type="dxa"/>
          </w:tcPr>
          <w:p w14:paraId="76A4BBC4" w14:textId="77777777" w:rsidR="00D15D53" w:rsidRPr="00222643" w:rsidRDefault="00D15D53" w:rsidP="009E7EFB">
            <w:pPr>
              <w:keepNext/>
            </w:pPr>
          </w:p>
        </w:tc>
        <w:tc>
          <w:tcPr>
            <w:tcW w:w="3322" w:type="dxa"/>
            <w:gridSpan w:val="2"/>
          </w:tcPr>
          <w:p w14:paraId="28C43D06" w14:textId="77777777" w:rsidR="00D15D53" w:rsidRPr="00222643" w:rsidRDefault="00D15D53" w:rsidP="009E7EFB">
            <w:pPr>
              <w:keepNext/>
            </w:pPr>
          </w:p>
        </w:tc>
      </w:tr>
      <w:tr w:rsidR="00D15D53" w:rsidRPr="00222643" w14:paraId="171CBDEF" w14:textId="77777777" w:rsidTr="00D13AD4">
        <w:trPr>
          <w:cnfStyle w:val="000000010000" w:firstRow="0" w:lastRow="0" w:firstColumn="0" w:lastColumn="0" w:oddVBand="0" w:evenVBand="0" w:oddHBand="0" w:evenHBand="1" w:firstRowFirstColumn="0" w:firstRowLastColumn="0" w:lastRowFirstColumn="0" w:lastRowLastColumn="0"/>
          <w:cantSplit/>
          <w:trHeight w:val="402"/>
        </w:trPr>
        <w:tc>
          <w:tcPr>
            <w:tcW w:w="392" w:type="dxa"/>
          </w:tcPr>
          <w:p w14:paraId="5DA3CDC4" w14:textId="77777777" w:rsidR="00D15D53" w:rsidRPr="00222643" w:rsidRDefault="00D15D53" w:rsidP="009E7EFB">
            <w:pPr>
              <w:keepNext/>
            </w:pPr>
          </w:p>
        </w:tc>
        <w:tc>
          <w:tcPr>
            <w:tcW w:w="2835" w:type="dxa"/>
          </w:tcPr>
          <w:p w14:paraId="7019BE7A" w14:textId="77777777" w:rsidR="00D15D53" w:rsidRPr="00D15D53" w:rsidRDefault="00D15D53" w:rsidP="009E7EFB">
            <w:pPr>
              <w:keepNext/>
            </w:pPr>
            <w:r w:rsidRPr="00222643">
              <w:t xml:space="preserve">Chu and </w:t>
            </w:r>
            <w:r w:rsidRPr="00D15D53">
              <w:t>Partington (2008)</w:t>
            </w:r>
            <w:r w:rsidRPr="00D15D53">
              <w:rPr>
                <w:rStyle w:val="FootnoteReference"/>
              </w:rPr>
              <w:footnoteReference w:id="368"/>
            </w:r>
          </w:p>
        </w:tc>
        <w:tc>
          <w:tcPr>
            <w:tcW w:w="1346" w:type="dxa"/>
          </w:tcPr>
          <w:p w14:paraId="26AD4C34" w14:textId="77777777" w:rsidR="00D15D53" w:rsidRPr="00D15D53" w:rsidRDefault="00D15D53" w:rsidP="009E7EFB">
            <w:pPr>
              <w:keepNext/>
            </w:pPr>
            <w:r w:rsidRPr="00222643">
              <w:t>N/A</w:t>
            </w:r>
            <w:r w:rsidRPr="00222643">
              <w:br/>
              <w:t>(1996)</w:t>
            </w:r>
          </w:p>
        </w:tc>
        <w:tc>
          <w:tcPr>
            <w:tcW w:w="1347" w:type="dxa"/>
          </w:tcPr>
          <w:p w14:paraId="6151205C" w14:textId="77777777" w:rsidR="00D15D53" w:rsidRPr="00222643" w:rsidRDefault="00D15D53" w:rsidP="009E7EFB">
            <w:pPr>
              <w:keepNext/>
            </w:pPr>
          </w:p>
        </w:tc>
        <w:tc>
          <w:tcPr>
            <w:tcW w:w="3322" w:type="dxa"/>
            <w:gridSpan w:val="2"/>
          </w:tcPr>
          <w:p w14:paraId="00534F7A" w14:textId="77777777" w:rsidR="00D15D53" w:rsidRPr="00D15D53" w:rsidRDefault="00D15D53" w:rsidP="009E7EFB">
            <w:pPr>
              <w:keepNext/>
            </w:pPr>
            <w:r w:rsidRPr="00222643">
              <w:t>Combined drop off of 1.29. With dividends at full value, this is a utilisation rate of 0.68.</w:t>
            </w:r>
          </w:p>
        </w:tc>
      </w:tr>
      <w:tr w:rsidR="00D15D53" w:rsidRPr="00222643" w14:paraId="11D39E2B" w14:textId="77777777" w:rsidTr="00D13AD4">
        <w:trPr>
          <w:cantSplit/>
          <w:trHeight w:val="284"/>
        </w:trPr>
        <w:tc>
          <w:tcPr>
            <w:tcW w:w="392" w:type="dxa"/>
          </w:tcPr>
          <w:p w14:paraId="44AF3FA9" w14:textId="77777777" w:rsidR="00D15D53" w:rsidRPr="00222643" w:rsidRDefault="00D15D53" w:rsidP="009E7EFB">
            <w:pPr>
              <w:keepNext/>
            </w:pPr>
          </w:p>
        </w:tc>
        <w:tc>
          <w:tcPr>
            <w:tcW w:w="2835" w:type="dxa"/>
          </w:tcPr>
          <w:p w14:paraId="122A0355" w14:textId="77777777" w:rsidR="00D15D53" w:rsidRPr="00D15D53" w:rsidRDefault="00D15D53" w:rsidP="009E7EFB">
            <w:pPr>
              <w:keepNext/>
            </w:pPr>
            <w:r w:rsidRPr="00222643">
              <w:t>Walker and Partington (1999)</w:t>
            </w:r>
            <w:r w:rsidRPr="00D15D53">
              <w:rPr>
                <w:rStyle w:val="FootnoteReference"/>
              </w:rPr>
              <w:footnoteReference w:id="369"/>
            </w:r>
          </w:p>
        </w:tc>
        <w:tc>
          <w:tcPr>
            <w:tcW w:w="1346" w:type="dxa"/>
          </w:tcPr>
          <w:p w14:paraId="70CE7DC3" w14:textId="77777777" w:rsidR="00D15D53" w:rsidRPr="00D15D53" w:rsidRDefault="00D15D53" w:rsidP="009E7EFB">
            <w:pPr>
              <w:keepNext/>
            </w:pPr>
            <w:r w:rsidRPr="00222643">
              <w:t>0.88–0.96</w:t>
            </w:r>
            <w:r w:rsidRPr="00222643">
              <w:br/>
              <w:t>(1995–1997)</w:t>
            </w:r>
          </w:p>
        </w:tc>
        <w:tc>
          <w:tcPr>
            <w:tcW w:w="1347" w:type="dxa"/>
          </w:tcPr>
          <w:p w14:paraId="3CBB9049" w14:textId="77777777" w:rsidR="00D15D53" w:rsidRPr="00222643" w:rsidRDefault="00D15D53" w:rsidP="009E7EFB">
            <w:pPr>
              <w:keepNext/>
            </w:pPr>
          </w:p>
        </w:tc>
        <w:tc>
          <w:tcPr>
            <w:tcW w:w="3322" w:type="dxa"/>
            <w:gridSpan w:val="2"/>
          </w:tcPr>
          <w:p w14:paraId="029B1079" w14:textId="77777777" w:rsidR="00D15D53" w:rsidRPr="00222643" w:rsidDel="003D6627" w:rsidRDefault="00D15D53" w:rsidP="009E7EFB">
            <w:pPr>
              <w:keepNext/>
            </w:pPr>
          </w:p>
        </w:tc>
      </w:tr>
      <w:tr w:rsidR="00D15D53" w:rsidRPr="00222643" w14:paraId="19E52797" w14:textId="77777777" w:rsidTr="00D13AD4">
        <w:trPr>
          <w:cnfStyle w:val="000000010000" w:firstRow="0" w:lastRow="0" w:firstColumn="0" w:lastColumn="0" w:oddVBand="0" w:evenVBand="0" w:oddHBand="0" w:evenHBand="1" w:firstRowFirstColumn="0" w:firstRowLastColumn="0" w:lastRowFirstColumn="0" w:lastRowLastColumn="0"/>
          <w:cantSplit/>
          <w:trHeight w:val="658"/>
        </w:trPr>
        <w:tc>
          <w:tcPr>
            <w:tcW w:w="392" w:type="dxa"/>
          </w:tcPr>
          <w:p w14:paraId="7E67918A" w14:textId="77777777" w:rsidR="00D15D53" w:rsidRPr="00222643" w:rsidRDefault="00D15D53" w:rsidP="009E7EFB">
            <w:pPr>
              <w:keepNext/>
            </w:pPr>
          </w:p>
        </w:tc>
        <w:tc>
          <w:tcPr>
            <w:tcW w:w="2835" w:type="dxa"/>
          </w:tcPr>
          <w:p w14:paraId="66475BA2" w14:textId="77777777" w:rsidR="00D15D53" w:rsidRPr="00D15D53" w:rsidRDefault="00D15D53" w:rsidP="009E7EFB">
            <w:pPr>
              <w:keepNext/>
            </w:pPr>
            <w:r w:rsidRPr="00222643">
              <w:t xml:space="preserve">Chu and </w:t>
            </w:r>
            <w:r w:rsidRPr="00D15D53">
              <w:t>Partington (2001)</w:t>
            </w:r>
            <w:r w:rsidRPr="00D15D53">
              <w:rPr>
                <w:rStyle w:val="FootnoteReference"/>
              </w:rPr>
              <w:footnoteReference w:id="370"/>
            </w:r>
          </w:p>
        </w:tc>
        <w:tc>
          <w:tcPr>
            <w:tcW w:w="1346" w:type="dxa"/>
          </w:tcPr>
          <w:p w14:paraId="5A934378" w14:textId="77777777" w:rsidR="00D15D53" w:rsidRPr="00D15D53" w:rsidRDefault="00D15D53" w:rsidP="009E7EFB">
            <w:pPr>
              <w:keepNext/>
            </w:pPr>
            <w:r>
              <w:t>N/A</w:t>
            </w:r>
            <w:r>
              <w:br/>
              <w:t>(</w:t>
            </w:r>
            <w:r w:rsidRPr="00D15D53">
              <w:t>1991–1999)</w:t>
            </w:r>
          </w:p>
        </w:tc>
        <w:tc>
          <w:tcPr>
            <w:tcW w:w="1347" w:type="dxa"/>
          </w:tcPr>
          <w:p w14:paraId="5E9048D4" w14:textId="77777777" w:rsidR="00D15D53" w:rsidRPr="00222643" w:rsidRDefault="00D15D53" w:rsidP="009E7EFB">
            <w:pPr>
              <w:keepNext/>
            </w:pPr>
          </w:p>
        </w:tc>
        <w:tc>
          <w:tcPr>
            <w:tcW w:w="3322" w:type="dxa"/>
            <w:gridSpan w:val="2"/>
          </w:tcPr>
          <w:p w14:paraId="6046DEFB" w14:textId="77777777" w:rsidR="00D15D53" w:rsidRPr="00D15D53" w:rsidDel="003D6627" w:rsidRDefault="00D15D53" w:rsidP="009E7EFB">
            <w:pPr>
              <w:keepNext/>
            </w:pPr>
            <w:r w:rsidRPr="00222643">
              <w:t>Combined drop off of 1.5. With</w:t>
            </w:r>
            <w:r w:rsidRPr="00D15D53">
              <w:t xml:space="preserve"> dividends at full value, this is a utilisation rate above 1.</w:t>
            </w:r>
          </w:p>
        </w:tc>
      </w:tr>
    </w:tbl>
    <w:p w14:paraId="072C8E9F" w14:textId="77777777" w:rsidR="00D15D53" w:rsidRDefault="00D15D53" w:rsidP="00D15D53">
      <w:pPr>
        <w:pStyle w:val="AERtablesource"/>
      </w:pPr>
      <w:r w:rsidRPr="00222643">
        <w:t xml:space="preserve">Source: </w:t>
      </w:r>
      <w:r w:rsidRPr="00222643">
        <w:tab/>
        <w:t xml:space="preserve">As specified in table. </w:t>
      </w:r>
    </w:p>
    <w:p w14:paraId="54802D83" w14:textId="64F29292" w:rsidR="006D2F15" w:rsidRDefault="006D2F15" w:rsidP="00913061">
      <w:r>
        <w:t xml:space="preserve">In relation to the 2015 study by Siau et al, this </w:t>
      </w:r>
      <w:r w:rsidR="004F0A01">
        <w:t xml:space="preserve">is </w:t>
      </w:r>
      <w:r>
        <w:t>a</w:t>
      </w:r>
      <w:r w:rsidR="00835B21">
        <w:t>n</w:t>
      </w:r>
      <w:r>
        <w:t xml:space="preserve"> </w:t>
      </w:r>
      <w:r w:rsidR="00916682">
        <w:t xml:space="preserve">academic journal </w:t>
      </w:r>
      <w:r>
        <w:t xml:space="preserve">published version of the early study by Siau et al </w:t>
      </w:r>
      <w:r w:rsidR="00916682">
        <w:t>already considered by us</w:t>
      </w:r>
      <w:r w:rsidR="006300B4">
        <w:t>.</w:t>
      </w:r>
      <w:r w:rsidR="003E00A4">
        <w:t xml:space="preserve"> The 2015 pape</w:t>
      </w:r>
      <w:r w:rsidR="0031164D">
        <w:t>r</w:t>
      </w:r>
      <w:r>
        <w:t xml:space="preserve"> </w:t>
      </w:r>
      <w:r w:rsidR="000555BB">
        <w:t xml:space="preserve">has relatively minor editorial changes and </w:t>
      </w:r>
      <w:r>
        <w:t>gives us no cause to change our views.</w:t>
      </w:r>
      <w:r w:rsidR="00AE17FD">
        <w:rPr>
          <w:rStyle w:val="FootnoteReference"/>
        </w:rPr>
        <w:footnoteReference w:id="371"/>
      </w:r>
      <w:r>
        <w:t xml:space="preserve"> </w:t>
      </w:r>
    </w:p>
    <w:p w14:paraId="32DD9784" w14:textId="2CEFA730" w:rsidR="006D2F15" w:rsidRPr="006D2F15" w:rsidRDefault="006D2F15" w:rsidP="00913061">
      <w:r>
        <w:t xml:space="preserve">In relation to the </w:t>
      </w:r>
      <w:r w:rsidR="00916682">
        <w:t xml:space="preserve">2015 </w:t>
      </w:r>
      <w:r>
        <w:t xml:space="preserve">study by NERA, this is an update of the 2013 study by NERA using one extra </w:t>
      </w:r>
      <w:r w:rsidR="002C1CFB">
        <w:t>year's</w:t>
      </w:r>
      <w:r>
        <w:t xml:space="preserve"> data. The results are </w:t>
      </w:r>
      <w:r w:rsidR="002C2610">
        <w:t xml:space="preserve">somewhat </w:t>
      </w:r>
      <w:r w:rsidR="00144963">
        <w:t>similar to</w:t>
      </w:r>
      <w:r>
        <w:t xml:space="preserve"> the 2013 study and we </w:t>
      </w:r>
      <w:r w:rsidR="002C2610">
        <w:t>consider the results do not provide compelling evidence on the value of imputation credits, particularly given the large negative estimate for the value of imputation credits</w:t>
      </w:r>
      <w:r>
        <w:t>.</w:t>
      </w:r>
      <w:r w:rsidR="00B96ABE">
        <w:rPr>
          <w:rStyle w:val="FootnoteReference"/>
        </w:rPr>
        <w:footnoteReference w:id="372"/>
      </w:r>
      <w:r w:rsidR="00B96ABE">
        <w:t xml:space="preserve"> While NERA has responded </w:t>
      </w:r>
      <w:r w:rsidR="00916682">
        <w:t xml:space="preserve">to </w:t>
      </w:r>
      <w:r w:rsidR="002C2610">
        <w:t xml:space="preserve">the </w:t>
      </w:r>
      <w:r w:rsidR="00916682">
        <w:t xml:space="preserve">criticism </w:t>
      </w:r>
      <w:r w:rsidR="00B96ABE">
        <w:t xml:space="preserve">effectively stating the results </w:t>
      </w:r>
      <w:r w:rsidR="00DE2065">
        <w:t xml:space="preserve">may </w:t>
      </w:r>
      <w:r w:rsidR="00B96ABE">
        <w:t xml:space="preserve">indicate there is something wrong with the </w:t>
      </w:r>
      <w:r w:rsidR="00DE2065">
        <w:t>SLCAPM</w:t>
      </w:r>
      <w:r w:rsidR="00B96ABE">
        <w:rPr>
          <w:rStyle w:val="FootnoteReference"/>
        </w:rPr>
        <w:footnoteReference w:id="373"/>
      </w:r>
      <w:r w:rsidR="00B96ABE">
        <w:t>, this does not resolve the issue of the reliability of the theta estimate</w:t>
      </w:r>
      <w:r w:rsidR="00DE2065">
        <w:t xml:space="preserve"> for use in th</w:t>
      </w:r>
      <w:r w:rsidR="00C730B2">
        <w:t>e SLCAPM</w:t>
      </w:r>
      <w:r w:rsidR="00B96ABE">
        <w:t>.</w:t>
      </w:r>
      <w:r w:rsidR="00481B0E">
        <w:rPr>
          <w:rStyle w:val="FootnoteReference"/>
        </w:rPr>
        <w:footnoteReference w:id="374"/>
      </w:r>
      <w:r w:rsidR="00DE2065">
        <w:t xml:space="preserve"> </w:t>
      </w:r>
    </w:p>
    <w:p w14:paraId="5368172B" w14:textId="77777777" w:rsidR="00A7288F" w:rsidRDefault="00A7288F" w:rsidP="00FD5BE7">
      <w:pPr>
        <w:pStyle w:val="Heading9"/>
      </w:pPr>
      <w:r w:rsidRPr="00FD5BE7">
        <w:lastRenderedPageBreak/>
        <w:t>Comparison</w:t>
      </w:r>
      <w:r>
        <w:t xml:space="preserve"> with other market-based estimation approaches</w:t>
      </w:r>
    </w:p>
    <w:p w14:paraId="5B4DA94E" w14:textId="762BC444" w:rsidR="00945253" w:rsidRDefault="007F230D" w:rsidP="00945253">
      <w:r w:rsidRPr="007F230D">
        <w:t>The</w:t>
      </w:r>
      <w:r>
        <w:t xml:space="preserve"> </w:t>
      </w:r>
      <w:r w:rsidR="0023002F">
        <w:t xml:space="preserve">majority of </w:t>
      </w:r>
      <w:r>
        <w:t xml:space="preserve">service providers </w:t>
      </w:r>
      <w:r w:rsidR="000F793A">
        <w:t xml:space="preserve">have </w:t>
      </w:r>
      <w:r>
        <w:t>submitted that the</w:t>
      </w:r>
      <w:r w:rsidRPr="007F230D">
        <w:t xml:space="preserve"> use of implied market value studies to estimate the value of imputation credits is consistent with the approach to estimating other rate of return parameters.</w:t>
      </w:r>
      <w:r>
        <w:rPr>
          <w:rStyle w:val="FootnoteReference"/>
        </w:rPr>
        <w:footnoteReference w:id="375"/>
      </w:r>
      <w:r>
        <w:t xml:space="preserve"> We disagree. </w:t>
      </w:r>
      <w:r w:rsidRPr="00453BD1">
        <w:t>As we set ou</w:t>
      </w:r>
      <w:r w:rsidR="0023002F">
        <w:t xml:space="preserve">r prior </w:t>
      </w:r>
      <w:r w:rsidRPr="00453BD1">
        <w:t>decision</w:t>
      </w:r>
      <w:r w:rsidR="00895E9C">
        <w:t>s</w:t>
      </w:r>
      <w:r w:rsidRPr="00453BD1">
        <w:t xml:space="preserve">, we consider that the use of market prices to estimate the value of imputation credits is fundamentally different to using market prices to estimate other rate of return parameters. </w:t>
      </w:r>
      <w:r w:rsidR="00945253" w:rsidRPr="00453BD1">
        <w:t>For example</w:t>
      </w:r>
      <w:r w:rsidR="00592FD8">
        <w:t xml:space="preserve">, bonds are separately and (generally) regularly traded, and we can observe the market price that arises from this trading. As correctly noted by </w:t>
      </w:r>
      <w:r w:rsidR="00EC7BCF">
        <w:t>Gray (for</w:t>
      </w:r>
      <w:r w:rsidR="002C1CFB">
        <w:t xml:space="preserve"> </w:t>
      </w:r>
      <w:r w:rsidR="00592FD8">
        <w:t>SFG</w:t>
      </w:r>
      <w:r w:rsidR="00EC7BCF">
        <w:t>)</w:t>
      </w:r>
      <w:r w:rsidR="00592FD8">
        <w:t>, '…when estimating the cost of debt the AER uses traded bond prices which reflect the value of those bonds to investors…'.</w:t>
      </w:r>
      <w:r w:rsidR="00592FD8">
        <w:rPr>
          <w:rStyle w:val="FootnoteReference"/>
        </w:rPr>
        <w:footnoteReference w:id="376"/>
      </w:r>
      <w:r w:rsidR="00592FD8">
        <w:t xml:space="preserve"> By contrast, i</w:t>
      </w:r>
      <w:r w:rsidR="00592FD8" w:rsidRPr="00B1492F">
        <w:t xml:space="preserve">mputation credits are not separately traded. Therefore, no market price </w:t>
      </w:r>
      <w:r w:rsidR="003940CD">
        <w:t xml:space="preserve">exists </w:t>
      </w:r>
      <w:r w:rsidR="00592FD8" w:rsidRPr="00B1492F">
        <w:t>for imputation credits</w:t>
      </w:r>
      <w:r w:rsidR="003940CD">
        <w:t xml:space="preserve"> in the same manner as that fo</w:t>
      </w:r>
      <w:r w:rsidR="000E79B3">
        <w:t>r separately traded assets</w:t>
      </w:r>
      <w:r w:rsidR="00480E3F">
        <w:t>.</w:t>
      </w:r>
    </w:p>
    <w:p w14:paraId="4D6509A0" w14:textId="38AD8807" w:rsidR="007F230D" w:rsidRPr="00453BD1" w:rsidRDefault="008C6974" w:rsidP="00945253">
      <w:r>
        <w:t>W</w:t>
      </w:r>
      <w:r w:rsidR="007F230D" w:rsidRPr="00453BD1">
        <w:t xml:space="preserve">e </w:t>
      </w:r>
      <w:r w:rsidR="00945253">
        <w:t xml:space="preserve">also noted in the decisions </w:t>
      </w:r>
      <w:r w:rsidR="0023002F">
        <w:t xml:space="preserve">released in 2014 and April and </w:t>
      </w:r>
      <w:r w:rsidR="00ED0B08">
        <w:t>June</w:t>
      </w:r>
      <w:r w:rsidR="0023002F">
        <w:t xml:space="preserve"> 2015 </w:t>
      </w:r>
      <w:r w:rsidR="007F230D" w:rsidRPr="00453BD1">
        <w:t>that</w:t>
      </w:r>
      <w:r>
        <w:t xml:space="preserve">, because no market price </w:t>
      </w:r>
      <w:r w:rsidR="000E79B3">
        <w:t xml:space="preserve">exists </w:t>
      </w:r>
      <w:r>
        <w:t>for imputation credits</w:t>
      </w:r>
      <w:r w:rsidR="000E79B3">
        <w:t xml:space="preserve"> in the same manner as that for separately traded assets</w:t>
      </w:r>
      <w:r>
        <w:t>,</w:t>
      </w:r>
      <w:r w:rsidR="007F230D" w:rsidRPr="00453BD1">
        <w:t xml:space="preserve"> dividend drop off studies must infer using ex-dividend price changes and econometric techniques the value attributed to imputation credits by investors.</w:t>
      </w:r>
      <w:r w:rsidR="005105C7">
        <w:t xml:space="preserve"> This is in contrast to simply observing or measuring the value attributed to imputation credits by investors via prices resulting from market transactions in imputation credits.</w:t>
      </w:r>
      <w:r>
        <w:t xml:space="preserve"> </w:t>
      </w:r>
      <w:r w:rsidR="00912014">
        <w:t xml:space="preserve">Gray (for both </w:t>
      </w:r>
      <w:r w:rsidR="007F230D" w:rsidRPr="00453BD1">
        <w:t xml:space="preserve">SFG </w:t>
      </w:r>
      <w:r w:rsidR="00912014">
        <w:t xml:space="preserve">and Frontier) </w:t>
      </w:r>
      <w:r w:rsidR="007F230D" w:rsidRPr="00453BD1">
        <w:t>noted that we apply econometric techniques (that is, regression analysis) to observed market prices when estimating beta.</w:t>
      </w:r>
      <w:r w:rsidR="007F230D">
        <w:rPr>
          <w:rStyle w:val="FootnoteReference"/>
        </w:rPr>
        <w:footnoteReference w:id="377"/>
      </w:r>
      <w:r w:rsidR="007F230D" w:rsidRPr="00453BD1">
        <w:t xml:space="preserve"> This is correct, but beta </w:t>
      </w:r>
      <w:r w:rsidR="007F230D" w:rsidRPr="00B1492F">
        <w:t>is not a measure of the value attributed to an asset by investors</w:t>
      </w:r>
      <w:r w:rsidR="00495EA5">
        <w:t>;</w:t>
      </w:r>
      <w:r w:rsidR="007F230D" w:rsidRPr="00B1492F">
        <w:t xml:space="preserve"> </w:t>
      </w:r>
      <w:r w:rsidR="00495EA5">
        <w:t xml:space="preserve">for example, </w:t>
      </w:r>
      <w:r w:rsidR="00F5141D">
        <w:t>Gray</w:t>
      </w:r>
      <w:r w:rsidR="00495EA5">
        <w:t>'s definition of b</w:t>
      </w:r>
      <w:r w:rsidR="007F230D" w:rsidRPr="00B1492F">
        <w:t xml:space="preserve">eta </w:t>
      </w:r>
      <w:r w:rsidR="00F5141D">
        <w:t xml:space="preserve">(for SFG) </w:t>
      </w:r>
      <w:r w:rsidR="007F230D" w:rsidRPr="00B1492F">
        <w:t>is ‘the risk of the asset or firm in question relative to the average firm or asset’.</w:t>
      </w:r>
      <w:r w:rsidR="007F230D">
        <w:rPr>
          <w:rStyle w:val="FootnoteReference"/>
        </w:rPr>
        <w:footnoteReference w:id="378"/>
      </w:r>
    </w:p>
    <w:p w14:paraId="382F155E" w14:textId="74485101" w:rsidR="008B1CC6" w:rsidRDefault="00815DDD" w:rsidP="008B1CC6">
      <w:r>
        <w:t xml:space="preserve">A number of </w:t>
      </w:r>
      <w:r w:rsidR="008B1CC6">
        <w:t>service providers also submitted, consistent with advice from</w:t>
      </w:r>
      <w:r w:rsidR="00F5141D">
        <w:t xml:space="preserve"> Gray</w:t>
      </w:r>
      <w:r w:rsidR="008B1CC6">
        <w:t xml:space="preserve"> </w:t>
      </w:r>
      <w:r w:rsidR="00F5141D">
        <w:t xml:space="preserve">(for </w:t>
      </w:r>
      <w:r w:rsidR="008B1CC6">
        <w:t>SFG</w:t>
      </w:r>
      <w:r w:rsidR="00F5141D">
        <w:t>)</w:t>
      </w:r>
      <w:r w:rsidR="008B1CC6">
        <w:t>, that we do not seek to adjust other rate of return parameters for personal costs.</w:t>
      </w:r>
      <w:r w:rsidR="008B1CC6">
        <w:rPr>
          <w:rStyle w:val="FootnoteReference"/>
        </w:rPr>
        <w:footnoteReference w:id="379"/>
      </w:r>
      <w:r w:rsidR="008B1CC6">
        <w:t xml:space="preserve"> However</w:t>
      </w:r>
      <w:r w:rsidR="00154821">
        <w:t>,</w:t>
      </w:r>
      <w:r w:rsidR="008B1CC6">
        <w:t xml:space="preserve"> this consideration </w:t>
      </w:r>
      <w:r w:rsidR="008B1CC6" w:rsidRPr="00453BD1">
        <w:t>did not change Handley’s view—which we accept—that the value of imputation credits should be estimated on a before-personal-tax and before-personal-costs basis:</w:t>
      </w:r>
      <w:r w:rsidR="008B1CC6">
        <w:rPr>
          <w:rStyle w:val="FootnoteReference"/>
        </w:rPr>
        <w:footnoteReference w:id="380"/>
      </w:r>
    </w:p>
    <w:p w14:paraId="0153939D" w14:textId="77777777" w:rsidR="00154821" w:rsidRDefault="00154821" w:rsidP="00154821">
      <w:pPr>
        <w:pStyle w:val="AERquote"/>
      </w:pPr>
      <w:r w:rsidRPr="00154821">
        <w:lastRenderedPageBreak/>
        <w:t xml:space="preserve">In other words, the per dollar value of an imputation credit </w:t>
      </w:r>
      <m:oMath>
        <m:r>
          <w:rPr>
            <w:rFonts w:ascii="Cambria Math" w:hAnsi="Cambria Math"/>
          </w:rPr>
          <m:t>γ</m:t>
        </m:r>
      </m:oMath>
      <w:r>
        <w:t xml:space="preserve"> gamma should be </w:t>
      </w:r>
      <w:r w:rsidRPr="00154821">
        <w:t>measured prior to any personal tax on the credit and prior to any personal costs</w:t>
      </w:r>
      <w:r>
        <w:t xml:space="preserve"> </w:t>
      </w:r>
      <w:r w:rsidRPr="00154821">
        <w:t xml:space="preserve">associated </w:t>
      </w:r>
      <w:r>
        <w:t>with the receipt of the credit.</w:t>
      </w:r>
      <w:r w:rsidRPr="00154821">
        <w:t xml:space="preserve"> This approach is also consistent with the</w:t>
      </w:r>
      <w:r>
        <w:t xml:space="preserve"> </w:t>
      </w:r>
      <w:r w:rsidRPr="00154821">
        <w:t>standard approach to calculating a return in a classical tax system – you take the</w:t>
      </w:r>
      <w:r>
        <w:t xml:space="preserve"> </w:t>
      </w:r>
      <w:r w:rsidRPr="00154821">
        <w:t>observed capital gain and the observed dividend without making any adjustment for</w:t>
      </w:r>
      <w:r>
        <w:t xml:space="preserve"> </w:t>
      </w:r>
      <w:r w:rsidRPr="00154821">
        <w:t>personal taxes or personal costs associated with trading the share or receiving the</w:t>
      </w:r>
      <w:r>
        <w:t xml:space="preserve"> </w:t>
      </w:r>
      <w:r w:rsidRPr="00154821">
        <w:t>dividend.</w:t>
      </w:r>
    </w:p>
    <w:p w14:paraId="7E52A70D" w14:textId="77777777" w:rsidR="007F230D" w:rsidRPr="007F230D" w:rsidRDefault="00154821" w:rsidP="007C38AD">
      <w:r w:rsidRPr="00154821">
        <w:t>That is, we take the observed distribution of $1 of dividends to yield $1 of value to investors. We do not take it to yield $1 of value minus personal taxes and personal costs associated with that dividend. Similarly, we take a $1 change in stock prices (capital gain) to yield $1 of value to investors. We do not take it to yield $1 of value minus personal taxes and personal costs associated with that capital gain.</w:t>
      </w:r>
      <w:r w:rsidRPr="00154821" w:rsidDel="00154821">
        <w:t xml:space="preserve"> </w:t>
      </w:r>
    </w:p>
    <w:p w14:paraId="43DFA6B1" w14:textId="77777777" w:rsidR="00F93616" w:rsidRDefault="00F93616" w:rsidP="00F93616">
      <w:pPr>
        <w:pStyle w:val="Heading9"/>
      </w:pPr>
      <w:bookmarkStart w:id="97" w:name="_Ref415065117"/>
      <w:r w:rsidRPr="00F93616">
        <w:t>Adjustment of estimates from implied market value studies</w:t>
      </w:r>
      <w:bookmarkEnd w:id="97"/>
    </w:p>
    <w:p w14:paraId="760ABB2D" w14:textId="15587E37" w:rsidR="00D01050" w:rsidRDefault="002A17A7" w:rsidP="00F27FC0">
      <w:r>
        <w:t>A number of</w:t>
      </w:r>
      <w:r w:rsidR="00173FB4">
        <w:t xml:space="preserve"> service providers submitted</w:t>
      </w:r>
      <w:r w:rsidR="00F27FC0">
        <w:t xml:space="preserve"> that</w:t>
      </w:r>
      <w:r w:rsidR="002877E9">
        <w:t xml:space="preserve"> estimates of the utilisation rate from implied market value studies can be adjusted to make them consistent with the before-personal-tax and before-personal-costs value of imputation credits.</w:t>
      </w:r>
      <w:r w:rsidR="00270CE0">
        <w:rPr>
          <w:rStyle w:val="FootnoteReference"/>
        </w:rPr>
        <w:footnoteReference w:id="381"/>
      </w:r>
      <w:r w:rsidR="002877E9">
        <w:t xml:space="preserve"> However, w</w:t>
      </w:r>
      <w:r w:rsidR="00244338">
        <w:t xml:space="preserve">e do not consider that the </w:t>
      </w:r>
      <w:r w:rsidR="002877E9">
        <w:t xml:space="preserve">relevant </w:t>
      </w:r>
      <w:r w:rsidR="00244338">
        <w:t>adjustment</w:t>
      </w:r>
      <w:r w:rsidR="002877E9">
        <w:rPr>
          <w:rFonts w:cs="Arial"/>
        </w:rPr>
        <w:t>—</w:t>
      </w:r>
      <w:r w:rsidR="00244338">
        <w:t>proposed by Handley and Lally</w:t>
      </w:r>
      <w:r w:rsidR="002877E9">
        <w:t xml:space="preserve"> and discussed in section </w:t>
      </w:r>
      <w:r w:rsidR="002877E9">
        <w:fldChar w:fldCharType="begin"/>
      </w:r>
      <w:r w:rsidR="002877E9">
        <w:instrText xml:space="preserve"> REF _Ref414289593 \r \h </w:instrText>
      </w:r>
      <w:r w:rsidR="002877E9">
        <w:fldChar w:fldCharType="separate"/>
      </w:r>
      <w:r w:rsidR="001E2164">
        <w:t>4.4.2</w:t>
      </w:r>
      <w:r w:rsidR="002877E9">
        <w:fldChar w:fldCharType="end"/>
      </w:r>
      <w:r w:rsidR="002877E9">
        <w:rPr>
          <w:rFonts w:cs="Arial"/>
        </w:rPr>
        <w:t>—</w:t>
      </w:r>
      <w:r w:rsidR="00244338">
        <w:t xml:space="preserve">will fully account for the </w:t>
      </w:r>
      <w:r w:rsidR="002F50B7">
        <w:t xml:space="preserve">potential </w:t>
      </w:r>
      <w:r w:rsidR="00244338">
        <w:t>effect</w:t>
      </w:r>
      <w:r w:rsidR="00D01050">
        <w:t xml:space="preserve"> of</w:t>
      </w:r>
      <w:r w:rsidR="00244338">
        <w:t xml:space="preserve"> personal taxes and costs</w:t>
      </w:r>
      <w:r w:rsidR="00D01050">
        <w:t xml:space="preserve">. </w:t>
      </w:r>
      <w:r w:rsidR="002877E9">
        <w:t>This is because t</w:t>
      </w:r>
      <w:r w:rsidR="00D01050" w:rsidRPr="00D01050">
        <w:t xml:space="preserve">he </w:t>
      </w:r>
      <w:r w:rsidR="00D01050">
        <w:t>proposed</w:t>
      </w:r>
      <w:r w:rsidR="00D01050" w:rsidRPr="00D01050">
        <w:t xml:space="preserve"> adjustment seeks to remove from the estimates of investors’ valuation of dividends and imputation credits the effect of factors that </w:t>
      </w:r>
      <w:r w:rsidR="00DC2743">
        <w:t>suggest that</w:t>
      </w:r>
      <w:r w:rsidR="00D01050" w:rsidRPr="00D01050">
        <w:t xml:space="preserve"> investors’ valuation of $1 of dividends </w:t>
      </w:r>
      <w:r w:rsidR="00DC2743">
        <w:t>is</w:t>
      </w:r>
      <w:r w:rsidR="00D01050" w:rsidRPr="00D01050">
        <w:t xml:space="preserve"> less than $1. However, </w:t>
      </w:r>
      <w:r w:rsidR="00D01050">
        <w:t>according to</w:t>
      </w:r>
      <w:r w:rsidR="00EC7BCF">
        <w:t xml:space="preserve"> Gray</w:t>
      </w:r>
      <w:r w:rsidR="00D01050" w:rsidRPr="00D01050">
        <w:t xml:space="preserve"> </w:t>
      </w:r>
      <w:r w:rsidR="00EC7BCF">
        <w:t xml:space="preserve">(for </w:t>
      </w:r>
      <w:r w:rsidR="00D01050" w:rsidRPr="00D01050">
        <w:t>SFG</w:t>
      </w:r>
      <w:r w:rsidR="00EC7BCF">
        <w:t>)</w:t>
      </w:r>
      <w:r w:rsidR="00D01050" w:rsidRPr="00D01050">
        <w:t>, there are:</w:t>
      </w:r>
      <w:r w:rsidR="00D01050">
        <w:rPr>
          <w:rStyle w:val="FootnoteReference"/>
        </w:rPr>
        <w:footnoteReference w:id="382"/>
      </w:r>
    </w:p>
    <w:p w14:paraId="14BB9640" w14:textId="77777777" w:rsidR="00D01050" w:rsidRDefault="00D01050" w:rsidP="00D01050">
      <w:pPr>
        <w:pStyle w:val="AERquote"/>
      </w:pPr>
      <w:r w:rsidRPr="00D01050">
        <w:t>…costs that reasonable, efficient investors would incur in relation to imputation credits, which do not apply to dividends or capital gains.</w:t>
      </w:r>
    </w:p>
    <w:p w14:paraId="7B7FD41D" w14:textId="7EEEB834" w:rsidR="00F27FC0" w:rsidRPr="00F27FC0" w:rsidRDefault="007F65BA" w:rsidP="00D01050">
      <w:r>
        <w:t xml:space="preserve">Thus, </w:t>
      </w:r>
      <w:r w:rsidR="00EC7BCF">
        <w:t>Gray</w:t>
      </w:r>
      <w:r>
        <w:t xml:space="preserve">'s view </w:t>
      </w:r>
      <w:r w:rsidR="00EC7BCF">
        <w:t xml:space="preserve">(for SFG) </w:t>
      </w:r>
      <w:r>
        <w:t xml:space="preserve">appears to be that there are factors which affect investors' valuation of imputation credits </w:t>
      </w:r>
      <w:r w:rsidR="007E2B2D">
        <w:t>(</w:t>
      </w:r>
      <w:r>
        <w:t>as</w:t>
      </w:r>
      <w:r w:rsidR="00D01050">
        <w:t xml:space="preserve"> reflected in share prices</w:t>
      </w:r>
      <w:r w:rsidR="007E2B2D">
        <w:t>)</w:t>
      </w:r>
      <w:r>
        <w:t xml:space="preserve"> which do not affect investors' valuation of dividends</w:t>
      </w:r>
      <w:r w:rsidR="00D01050">
        <w:t>.</w:t>
      </w:r>
      <w:r w:rsidR="00D01050">
        <w:rPr>
          <w:rStyle w:val="FootnoteReference"/>
        </w:rPr>
        <w:footnoteReference w:id="383"/>
      </w:r>
      <w:r w:rsidR="00244338">
        <w:t xml:space="preserve"> </w:t>
      </w:r>
      <w:r w:rsidR="00D01050" w:rsidRPr="00D01050">
        <w:t xml:space="preserve">Therefore, it does not </w:t>
      </w:r>
      <w:r w:rsidR="00D01050">
        <w:t>appear</w:t>
      </w:r>
      <w:r w:rsidR="00D01050" w:rsidRPr="00D01050">
        <w:t xml:space="preserve"> that the </w:t>
      </w:r>
      <w:r w:rsidR="00D01050">
        <w:t>proposed</w:t>
      </w:r>
      <w:r w:rsidR="00D01050" w:rsidRPr="00D01050">
        <w:t xml:space="preserve"> adjustment</w:t>
      </w:r>
      <w:r>
        <w:rPr>
          <w:rFonts w:cs="Arial"/>
        </w:rPr>
        <w:t>—</w:t>
      </w:r>
      <w:r>
        <w:t xml:space="preserve">which only addresses </w:t>
      </w:r>
      <w:r w:rsidR="007E2B2D">
        <w:t>factors which affect both dividends and imputation credits</w:t>
      </w:r>
      <w:r w:rsidR="007E2B2D">
        <w:rPr>
          <w:rFonts w:cs="Arial"/>
        </w:rPr>
        <w:t>—</w:t>
      </w:r>
      <w:r w:rsidR="00D01050" w:rsidRPr="00D01050">
        <w:t xml:space="preserve">would exclude the effect of </w:t>
      </w:r>
      <w:r w:rsidR="007E2B2D">
        <w:t>the factors identified by SFG as affecting just imputation credits</w:t>
      </w:r>
      <w:r w:rsidR="00D01050" w:rsidRPr="00D01050">
        <w:t>.</w:t>
      </w:r>
    </w:p>
    <w:p w14:paraId="71F94595" w14:textId="77777777" w:rsidR="00F93616" w:rsidRDefault="00F93616" w:rsidP="00F93616">
      <w:pPr>
        <w:pStyle w:val="Heading9"/>
      </w:pPr>
      <w:bookmarkStart w:id="98" w:name="_Ref414624721"/>
      <w:r w:rsidRPr="00F93616">
        <w:t>Limitations of SFG</w:t>
      </w:r>
      <w:r>
        <w:t>'s</w:t>
      </w:r>
      <w:r w:rsidRPr="00F93616">
        <w:t xml:space="preserve"> dividend drop off study</w:t>
      </w:r>
      <w:bookmarkEnd w:id="98"/>
    </w:p>
    <w:p w14:paraId="02EF5873" w14:textId="7AD944BA" w:rsidR="00F93616" w:rsidRDefault="002A17A7" w:rsidP="00F93616">
      <w:r>
        <w:t>A number of</w:t>
      </w:r>
      <w:r w:rsidR="00270CE0" w:rsidRPr="00270CE0">
        <w:t xml:space="preserve"> service providers submitted that ‘several of the general limitations [</w:t>
      </w:r>
      <w:r w:rsidR="00270CE0">
        <w:t xml:space="preserve">of implied market value studies </w:t>
      </w:r>
      <w:r w:rsidR="00270CE0" w:rsidRPr="00270CE0">
        <w:t>identified in the draft decisions</w:t>
      </w:r>
      <w:r w:rsidR="00DE5C2A">
        <w:t xml:space="preserve"> released </w:t>
      </w:r>
      <w:r w:rsidR="00CF18B6">
        <w:t>i</w:t>
      </w:r>
      <w:r w:rsidR="00DE5C2A">
        <w:t>n 2014</w:t>
      </w:r>
      <w:r w:rsidR="00270CE0" w:rsidRPr="00270CE0">
        <w:t xml:space="preserve">] do not apply to the </w:t>
      </w:r>
      <w:r w:rsidR="00270CE0" w:rsidRPr="00270CE0">
        <w:lastRenderedPageBreak/>
        <w:t>SFG study’.</w:t>
      </w:r>
      <w:r w:rsidR="00270CE0">
        <w:rPr>
          <w:rStyle w:val="FootnoteReference"/>
        </w:rPr>
        <w:footnoteReference w:id="384"/>
      </w:r>
      <w:r w:rsidR="00270CE0" w:rsidRPr="00270CE0">
        <w:t xml:space="preserve"> Below we </w:t>
      </w:r>
      <w:r w:rsidR="00552777">
        <w:t>set out</w:t>
      </w:r>
      <w:r w:rsidR="00270CE0" w:rsidRPr="00270CE0">
        <w:t xml:space="preserve"> the limitations </w:t>
      </w:r>
      <w:r w:rsidR="00DC10FF">
        <w:t xml:space="preserve">that we consider apply generally to implied market value studies </w:t>
      </w:r>
      <w:r w:rsidR="00270CE0" w:rsidRPr="00270CE0">
        <w:t xml:space="preserve">and consider </w:t>
      </w:r>
      <w:r w:rsidR="00DC10FF">
        <w:t>whether these apply to SFG’s dividend drop off study</w:t>
      </w:r>
      <w:r w:rsidR="00270CE0" w:rsidRPr="00270CE0">
        <w:t>.</w:t>
      </w:r>
      <w:r w:rsidR="009206AF">
        <w:t xml:space="preserve"> We conclude that there is reasonable evidence to suggest that </w:t>
      </w:r>
      <w:r w:rsidR="007B6EFF">
        <w:t>several</w:t>
      </w:r>
      <w:r w:rsidR="009206AF">
        <w:t xml:space="preserve"> of the limitations do</w:t>
      </w:r>
      <w:r w:rsidR="007B6EFF">
        <w:t xml:space="preserve"> </w:t>
      </w:r>
      <w:r w:rsidR="009206AF">
        <w:t>apply to SFG's dividend drop off study.</w:t>
      </w:r>
      <w:r w:rsidR="00AC7B62">
        <w:t xml:space="preserve"> There appears to be no information in the proposals lodged in 2015 or in </w:t>
      </w:r>
      <w:r w:rsidR="005166CA">
        <w:t xml:space="preserve">Gray's June 2015 report (for </w:t>
      </w:r>
      <w:r w:rsidR="00AC7B62">
        <w:t>Frontier</w:t>
      </w:r>
      <w:r w:rsidR="005166CA">
        <w:t>),</w:t>
      </w:r>
      <w:r w:rsidR="00AC7B62">
        <w:rPr>
          <w:rStyle w:val="FootnoteReference"/>
        </w:rPr>
        <w:footnoteReference w:id="385"/>
      </w:r>
      <w:r w:rsidR="00AC7B62">
        <w:t xml:space="preserve"> to warrant us changing our view on </w:t>
      </w:r>
      <w:r w:rsidR="007845BA">
        <w:t>any of the mate</w:t>
      </w:r>
      <w:r w:rsidR="00836555">
        <w:t xml:space="preserve">rial below set out in our </w:t>
      </w:r>
      <w:r w:rsidR="007845BA">
        <w:t>decision</w:t>
      </w:r>
      <w:r w:rsidR="00DE5C2A">
        <w:t xml:space="preserve">s released </w:t>
      </w:r>
      <w:r w:rsidR="00ED0B08">
        <w:t>i</w:t>
      </w:r>
      <w:r w:rsidR="00DE5C2A">
        <w:t xml:space="preserve">n April and </w:t>
      </w:r>
      <w:r w:rsidR="00ED0B08">
        <w:t>June</w:t>
      </w:r>
      <w:r w:rsidR="00DE5C2A">
        <w:t xml:space="preserve"> 2015</w:t>
      </w:r>
      <w:r w:rsidR="00AC7B62">
        <w:t xml:space="preserve">. </w:t>
      </w:r>
    </w:p>
    <w:p w14:paraId="3320D5DF" w14:textId="77777777" w:rsidR="00270CE0" w:rsidRPr="00270CE0" w:rsidRDefault="00270CE0" w:rsidP="00270CE0">
      <w:pPr>
        <w:pStyle w:val="HeadingBoldBlue"/>
      </w:pPr>
      <w:r w:rsidRPr="00270CE0">
        <w:t>These studies can produce nonsensical estimates of the utilisation rate; that is, greater than one or less than zero.</w:t>
      </w:r>
    </w:p>
    <w:p w14:paraId="0DB9984B" w14:textId="77777777" w:rsidR="00270CE0" w:rsidRDefault="00552777" w:rsidP="00270CE0">
      <w:r>
        <w:t>We accept that t</w:t>
      </w:r>
      <w:r w:rsidR="00270CE0" w:rsidRPr="00270CE0">
        <w:t>his limitation does not apply to SFG’s study. Its estimate of the utilisation rate is 0.35.</w:t>
      </w:r>
    </w:p>
    <w:p w14:paraId="24143C48" w14:textId="77777777" w:rsidR="00270CE0" w:rsidRDefault="00270CE0" w:rsidP="00270CE0">
      <w:pPr>
        <w:pStyle w:val="HeadingBoldBlue"/>
      </w:pPr>
      <w:r w:rsidRPr="00270CE0">
        <w:t>The results of these studies can reflect factors, such as differential personal taxes and risk, which are not relevant to the utilisation rate.</w:t>
      </w:r>
    </w:p>
    <w:p w14:paraId="37595120" w14:textId="5FB79B29" w:rsidR="00270CE0" w:rsidRDefault="00270CE0" w:rsidP="00270CE0">
      <w:r w:rsidRPr="00270CE0">
        <w:t>Both Handley and Lally advised that the results from SFG’s dividend drop off study reflect these factors.</w:t>
      </w:r>
      <w:r>
        <w:rPr>
          <w:rStyle w:val="FootnoteReference"/>
        </w:rPr>
        <w:footnoteReference w:id="386"/>
      </w:r>
      <w:r w:rsidRPr="00270CE0">
        <w:t xml:space="preserve"> </w:t>
      </w:r>
      <w:r w:rsidR="005709DA">
        <w:t>A number of</w:t>
      </w:r>
      <w:r w:rsidRPr="00270CE0">
        <w:t xml:space="preserve"> service providers themselves also acknowledge</w:t>
      </w:r>
      <w:r>
        <w:t>d</w:t>
      </w:r>
      <w:r w:rsidRPr="00270CE0">
        <w:t xml:space="preserve"> this elsew</w:t>
      </w:r>
      <w:r>
        <w:t>here in their revised proposals:</w:t>
      </w:r>
      <w:r>
        <w:rPr>
          <w:rStyle w:val="FootnoteReference"/>
        </w:rPr>
        <w:footnoteReference w:id="387"/>
      </w:r>
    </w:p>
    <w:p w14:paraId="788A1096" w14:textId="77777777" w:rsidR="00270CE0" w:rsidRDefault="00270CE0" w:rsidP="00270CE0">
      <w:pPr>
        <w:pStyle w:val="AERquote"/>
      </w:pPr>
      <w:r>
        <w:t>…</w:t>
      </w:r>
      <w:r w:rsidRPr="00F27FC0">
        <w:t>even if the AER’s definition of theta were to be adopted, there is a relatively simple adjustment that can be made to estimates from market value studies to address this concern. As explained by Associate Professor Handley, this involves ‘grossing up’ the theta estimate from a market value study to reflect the effect of personal taxes and personal costs.</w:t>
      </w:r>
    </w:p>
    <w:p w14:paraId="63AB5422" w14:textId="77777777" w:rsidR="00270CE0" w:rsidRDefault="00270CE0" w:rsidP="00270CE0">
      <w:r w:rsidRPr="00270CE0">
        <w:t xml:space="preserve">Therefore, we </w:t>
      </w:r>
      <w:r w:rsidR="00574A38">
        <w:t>conclude</w:t>
      </w:r>
      <w:r w:rsidRPr="00270CE0">
        <w:t xml:space="preserve"> that this limitation does apply to SFG’s study.</w:t>
      </w:r>
    </w:p>
    <w:p w14:paraId="3EC7901E" w14:textId="77777777" w:rsidR="00574A38" w:rsidRDefault="00EB61EA" w:rsidP="00EB61EA">
      <w:pPr>
        <w:pStyle w:val="HeadingBoldBlue"/>
      </w:pPr>
      <w:r w:rsidRPr="00EB61EA">
        <w:lastRenderedPageBreak/>
        <w:t>The results of these studies might not be reflective of the value of imputation credits to investors in the market as a whole.</w:t>
      </w:r>
    </w:p>
    <w:p w14:paraId="08F09ABB" w14:textId="7223636E" w:rsidR="00EB61EA" w:rsidRDefault="00EC7BCF" w:rsidP="00EB61EA">
      <w:r>
        <w:t>Gray</w:t>
      </w:r>
      <w:r w:rsidR="00EB61EA" w:rsidRPr="00EB61EA">
        <w:t xml:space="preserve">’s response to this point </w:t>
      </w:r>
      <w:r>
        <w:t xml:space="preserve">(for SFG) </w:t>
      </w:r>
      <w:r w:rsidR="00EB61EA" w:rsidRPr="00EB61EA">
        <w:t>was:</w:t>
      </w:r>
      <w:r w:rsidR="00EB61EA">
        <w:rPr>
          <w:rStyle w:val="FootnoteReference"/>
        </w:rPr>
        <w:footnoteReference w:id="388"/>
      </w:r>
    </w:p>
    <w:p w14:paraId="116CA485" w14:textId="77777777" w:rsidR="00EB61EA" w:rsidRPr="00EB61EA" w:rsidRDefault="00EB61EA" w:rsidP="00EB61EA">
      <w:pPr>
        <w:pStyle w:val="AERquote"/>
      </w:pPr>
      <w:r w:rsidRPr="00EB61EA">
        <w:t>The AER has previously argued that the increased trading volume that occurs around ex-dividend dates could potentially affect the estimates. I have previously responded to this point in great detail, explaining why, if anything, this additional trading would have the effect of increasing the estimate of theta.</w:t>
      </w:r>
    </w:p>
    <w:p w14:paraId="0FF038B8" w14:textId="77777777" w:rsidR="00EB61EA" w:rsidRDefault="00EB61EA" w:rsidP="00EB61EA">
      <w:pPr>
        <w:pStyle w:val="AERquote"/>
      </w:pPr>
      <w:r w:rsidRPr="00EB61EA">
        <w:t>I have previously addressed this issue at pp. 31-32 of SFG (2014 Gamma) and at ENA (2013), Section 7.9, pp.119-123.</w:t>
      </w:r>
    </w:p>
    <w:p w14:paraId="0DBC9961" w14:textId="0E5BBFA7" w:rsidR="00EB61EA" w:rsidRDefault="00EB61EA" w:rsidP="00EB61EA">
      <w:r w:rsidRPr="00EB61EA">
        <w:t xml:space="preserve">The ENA (2013) report referred to by </w:t>
      </w:r>
      <w:r w:rsidR="00EC7BCF">
        <w:t xml:space="preserve">Gray (for </w:t>
      </w:r>
      <w:r w:rsidRPr="00EB61EA">
        <w:t>SFG</w:t>
      </w:r>
      <w:r w:rsidR="00EC7BCF">
        <w:t>)</w:t>
      </w:r>
      <w:r w:rsidRPr="00EB61EA">
        <w:t xml:space="preserve"> was a respon</w:t>
      </w:r>
      <w:r w:rsidR="00EA6FAD">
        <w:t>se to our draft rate of return G</w:t>
      </w:r>
      <w:r w:rsidRPr="00EB61EA">
        <w:t>uide</w:t>
      </w:r>
      <w:r w:rsidR="00EA6FAD">
        <w:t>line. Lally reviewed our draft G</w:t>
      </w:r>
      <w:r w:rsidRPr="00EB61EA">
        <w:t>uideline and the ENA response. His conclusion was:</w:t>
      </w:r>
      <w:r>
        <w:rPr>
          <w:rStyle w:val="FootnoteReference"/>
        </w:rPr>
        <w:footnoteReference w:id="389"/>
      </w:r>
    </w:p>
    <w:p w14:paraId="1754CA00" w14:textId="77777777" w:rsidR="00EB61EA" w:rsidRPr="00EB61EA" w:rsidRDefault="00EB61EA" w:rsidP="00EB61EA">
      <w:pPr>
        <w:pStyle w:val="AERquote"/>
      </w:pPr>
      <w:r w:rsidRPr="00EB61EA">
        <w:t>The AER’s third approach to estimating [the utilisation rate] involves estimates derived from market prices (AER, 2013, pp. 133-134, 239-247). The AER does not consider that these estimates are useful for a number of reasons.</w:t>
      </w:r>
    </w:p>
    <w:p w14:paraId="2AD61879" w14:textId="77777777" w:rsidR="00EB61EA" w:rsidRPr="00EB61EA" w:rsidRDefault="00EB61EA" w:rsidP="00EB61EA">
      <w:pPr>
        <w:pStyle w:val="AERquote"/>
      </w:pPr>
      <w:r w:rsidRPr="00EB61EA">
        <w:t>…</w:t>
      </w:r>
    </w:p>
    <w:p w14:paraId="7275B5D1" w14:textId="77777777" w:rsidR="00EB61EA" w:rsidRDefault="00EB61EA" w:rsidP="00EB61EA">
      <w:pPr>
        <w:pStyle w:val="AERquote"/>
      </w:pPr>
      <w:r w:rsidRPr="00EB61EA">
        <w:t>I concur with all of these concerns, and I have additional concerns about these studies or their interpretation.</w:t>
      </w:r>
    </w:p>
    <w:p w14:paraId="28CD074B" w14:textId="77777777" w:rsidR="00EB61EA" w:rsidRDefault="00EB61EA" w:rsidP="00EB61EA">
      <w:r w:rsidRPr="00EB61EA">
        <w:t>Regarding the particular limitation at hand, Lally noted:</w:t>
      </w:r>
      <w:r w:rsidR="0097527D">
        <w:rPr>
          <w:rStyle w:val="FootnoteReference"/>
        </w:rPr>
        <w:footnoteReference w:id="390"/>
      </w:r>
    </w:p>
    <w:p w14:paraId="5C9D7F2B" w14:textId="77777777" w:rsidR="00EB61EA" w:rsidRDefault="0097527D" w:rsidP="0097527D">
      <w:pPr>
        <w:pStyle w:val="AERquote"/>
      </w:pPr>
      <w:r w:rsidRPr="0097527D">
        <w:t>Tenthly, although the utilisation rate is a value-weighted average over all investors in the market, the use of market prices will produce an estimate that reflects the tax position, transactions costs and motives of those investors who transact at the relevant times (such as tax arbitrageurs) and these investors may be quite unrepresentative of the entire market.</w:t>
      </w:r>
    </w:p>
    <w:p w14:paraId="212473EF" w14:textId="77777777" w:rsidR="0097527D" w:rsidRDefault="00FE1608" w:rsidP="0097527D">
      <w:r w:rsidRPr="00FE1608">
        <w:t>And on the effect of trading around the ex-dividend date</w:t>
      </w:r>
      <w:r>
        <w:t>, Lally noted</w:t>
      </w:r>
      <w:r w:rsidRPr="00FE1608">
        <w:t>:</w:t>
      </w:r>
      <w:r w:rsidR="004A53D2">
        <w:rPr>
          <w:rStyle w:val="FootnoteReference"/>
        </w:rPr>
        <w:footnoteReference w:id="391"/>
      </w:r>
    </w:p>
    <w:p w14:paraId="0E804D1A" w14:textId="77777777" w:rsidR="00FE1608" w:rsidRDefault="00FE1608" w:rsidP="00FE1608">
      <w:pPr>
        <w:pStyle w:val="AERquote"/>
      </w:pPr>
      <w:r w:rsidRPr="00FE1608">
        <w:t>In respect of tax arbitrage around dividend ex-days, the ENA (2013, section 7.9) argues that this would lead to [the utilisation rate] being overestimated by such studies (because these arbitrageurs would tend to drive up the prices of shares with large imputation credits prior to ex-day in the course of buying them, and then depress them shortly afterwards in the course of selling them).  This point would be plausible if tax considerations fully explained ex-dividend day results.  However, as described above, this is not the case.</w:t>
      </w:r>
    </w:p>
    <w:p w14:paraId="6B1A978A" w14:textId="77777777" w:rsidR="00342F27" w:rsidRPr="00342F27" w:rsidRDefault="00342F27" w:rsidP="00342F27">
      <w:r w:rsidRPr="00342F27">
        <w:lastRenderedPageBreak/>
        <w:t>Thus, Lally appeared unconvinced by the ENA’s views and provided no indication that SFG’s study (or any implied market value study) should necessarily be deemed free of this limitation.</w:t>
      </w:r>
    </w:p>
    <w:p w14:paraId="763472B4" w14:textId="6FF4254C" w:rsidR="00FE1608" w:rsidRDefault="00342F27" w:rsidP="00342F27">
      <w:r w:rsidRPr="00342F27">
        <w:t xml:space="preserve">Handley also appeared unconvinced by the views of </w:t>
      </w:r>
      <w:r w:rsidR="00C9278D">
        <w:t xml:space="preserve">Gray (for </w:t>
      </w:r>
      <w:r w:rsidRPr="00342F27">
        <w:t>SFG</w:t>
      </w:r>
      <w:r w:rsidR="00C9278D">
        <w:t>)</w:t>
      </w:r>
      <w:r w:rsidRPr="00342F27">
        <w:t xml:space="preserve"> in </w:t>
      </w:r>
      <w:r w:rsidR="00C9278D">
        <w:t>his</w:t>
      </w:r>
      <w:r w:rsidRPr="00342F27">
        <w:t xml:space="preserve"> 2014 report on this limitation, noting in his September 2014 report:</w:t>
      </w:r>
      <w:r>
        <w:rPr>
          <w:rStyle w:val="FootnoteReference"/>
        </w:rPr>
        <w:footnoteReference w:id="392"/>
      </w:r>
    </w:p>
    <w:p w14:paraId="5521610B" w14:textId="77777777" w:rsidR="00342F27" w:rsidRDefault="001C0549" w:rsidP="001C0549">
      <w:pPr>
        <w:pStyle w:val="AERquote"/>
      </w:pPr>
      <w:r w:rsidRPr="001C0549">
        <w:t>…there remains a residual concern as to whether the composition of investors around the ex-dividend date is reflective of the composition of (long term) investors in the benchmark market who supply capital to firms (including to the benchmark efficient entity) and therefore whether the implied value of imputation credits around ex-dividend dates is representative of the value of imputation credits to the market as a whole.</w:t>
      </w:r>
    </w:p>
    <w:p w14:paraId="7C94D45C" w14:textId="77777777" w:rsidR="00362F8C" w:rsidRDefault="00A075FC" w:rsidP="00362F8C">
      <w:r>
        <w:t>Handley reiterate</w:t>
      </w:r>
      <w:r w:rsidR="00D463CA">
        <w:t>d</w:t>
      </w:r>
      <w:r>
        <w:t xml:space="preserve"> this view in his </w:t>
      </w:r>
      <w:r w:rsidR="003E38A3">
        <w:t>April</w:t>
      </w:r>
      <w:r>
        <w:t xml:space="preserve"> 2015 report.</w:t>
      </w:r>
      <w:r>
        <w:rPr>
          <w:rStyle w:val="FootnoteReference"/>
        </w:rPr>
        <w:footnoteReference w:id="393"/>
      </w:r>
    </w:p>
    <w:p w14:paraId="74A3C6CE" w14:textId="77777777" w:rsidR="00A075FC" w:rsidRDefault="00A075FC" w:rsidP="00362F8C">
      <w:r w:rsidRPr="00A075FC">
        <w:t xml:space="preserve">Finally, we note the South Australian Centre for Economic Studies recommended disregarding evidence from all </w:t>
      </w:r>
      <w:r w:rsidR="0062184D">
        <w:t>dividend drop off</w:t>
      </w:r>
      <w:r w:rsidRPr="00A075FC">
        <w:t xml:space="preserve"> studies due to this limitation entirely:</w:t>
      </w:r>
      <w:r>
        <w:rPr>
          <w:rStyle w:val="FootnoteReference"/>
        </w:rPr>
        <w:footnoteReference w:id="394"/>
      </w:r>
    </w:p>
    <w:p w14:paraId="4A0EB091" w14:textId="77777777" w:rsidR="00A075FC" w:rsidRPr="00A075FC" w:rsidRDefault="00A075FC" w:rsidP="00A075FC">
      <w:pPr>
        <w:pStyle w:val="AERquote"/>
      </w:pPr>
      <w:r w:rsidRPr="00A075FC">
        <w:t>The studies included by SFG consulting in their review of estimates for theta all appear to be of good quality and are undertaken in a manner which reflects the current best practice in the literature.</w:t>
      </w:r>
    </w:p>
    <w:p w14:paraId="30987B86" w14:textId="77777777" w:rsidR="00A075FC" w:rsidRPr="00A075FC" w:rsidRDefault="00A075FC" w:rsidP="00A075FC">
      <w:pPr>
        <w:pStyle w:val="AERquote"/>
      </w:pPr>
      <w:r w:rsidRPr="00A075FC">
        <w:t>However, purchase of stocks in any given period is dominated by a relatively small share of equity holders who engage in active trading equities. Overall ownership of equities, however, is dominated by those who trade infrequently. As such there is no reason to believe that the value placed on franking credits by active traders of equities is the same as that placed on franking credits by those who trade infrequently.</w:t>
      </w:r>
    </w:p>
    <w:p w14:paraId="64C79D24" w14:textId="77777777" w:rsidR="00A075FC" w:rsidRPr="00A075FC" w:rsidRDefault="00A075FC" w:rsidP="00A075FC">
      <w:pPr>
        <w:pStyle w:val="AERquote"/>
      </w:pPr>
      <w:r w:rsidRPr="00A075FC">
        <w:t>On the third point, listed firms are also only part of the stock of Australian equity. Data from the ABS’s ‘Australian National Accounts: Financial Accounts’ indicates that as at June 2014 unlisted shares comprised 44.5 per cent of the total value of shares in private firms (rising to 49.7 per cent if equity in government non-financial corporations is included).</w:t>
      </w:r>
    </w:p>
    <w:p w14:paraId="58E469A2" w14:textId="77777777" w:rsidR="00A075FC" w:rsidRDefault="00A075FC" w:rsidP="00A075FC">
      <w:pPr>
        <w:pStyle w:val="AERquote"/>
      </w:pPr>
      <w:r w:rsidRPr="00A075FC">
        <w:t xml:space="preserve">Due to the unrepresentative nature of both traders in stock, and the ownership of listed stock, we believe that dropped dividend studies cannot be assumed to be informative about the value placed by median investor in the ‘benchmark efficient entity’. As such, </w:t>
      </w:r>
      <w:r w:rsidRPr="004D6693">
        <w:rPr>
          <w:rStyle w:val="Strong"/>
        </w:rPr>
        <w:t>we recommend that estimates derived from dropped dividend studies be disregarded</w:t>
      </w:r>
      <w:r w:rsidRPr="00A075FC">
        <w:t>.</w:t>
      </w:r>
    </w:p>
    <w:p w14:paraId="4DB559D9" w14:textId="77777777" w:rsidR="007E4FA2" w:rsidRDefault="007E4FA2" w:rsidP="007E4FA2">
      <w:r w:rsidRPr="007E4FA2">
        <w:lastRenderedPageBreak/>
        <w:t>We consider that there is sufficient evidence in the expert views quoted above to suggest that SFG</w:t>
      </w:r>
      <w:r>
        <w:t>'s dividend drop off</w:t>
      </w:r>
      <w:r w:rsidRPr="007E4FA2">
        <w:t xml:space="preserve"> study </w:t>
      </w:r>
      <w:r w:rsidR="008B7B67">
        <w:t>is</w:t>
      </w:r>
      <w:r w:rsidR="008B7B67" w:rsidRPr="007E4FA2">
        <w:t xml:space="preserve"> </w:t>
      </w:r>
      <w:r w:rsidRPr="007E4FA2">
        <w:t>subject to this limitation.</w:t>
      </w:r>
    </w:p>
    <w:p w14:paraId="4144A62F" w14:textId="77777777" w:rsidR="00C92457" w:rsidRDefault="00D93A8B" w:rsidP="00D93A8B">
      <w:pPr>
        <w:pStyle w:val="HeadingBoldBlue"/>
      </w:pPr>
      <w:r>
        <w:t>These studies can be data intensive and employ complex and sometimes problematic estimation methodologies.</w:t>
      </w:r>
    </w:p>
    <w:p w14:paraId="01A83670" w14:textId="77777777" w:rsidR="009206AF" w:rsidRDefault="009206AF" w:rsidP="00F13198">
      <w:r>
        <w:t>We consider the</w:t>
      </w:r>
      <w:r w:rsidR="00F13198">
        <w:t xml:space="preserve"> idea that the SFG dividend drop off study is data intensive </w:t>
      </w:r>
      <w:r>
        <w:t xml:space="preserve">is evident in </w:t>
      </w:r>
      <w:r w:rsidR="000364F9">
        <w:t xml:space="preserve">pages 4 to 14 of the 2011 version of that study and </w:t>
      </w:r>
      <w:r>
        <w:t xml:space="preserve">section 3 of </w:t>
      </w:r>
      <w:r w:rsidR="000364F9">
        <w:t>the updated 2013 version</w:t>
      </w:r>
      <w:r>
        <w:t>.</w:t>
      </w:r>
      <w:r>
        <w:rPr>
          <w:rStyle w:val="FootnoteReference"/>
        </w:rPr>
        <w:footnoteReference w:id="395"/>
      </w:r>
    </w:p>
    <w:p w14:paraId="2D3D269A" w14:textId="77777777" w:rsidR="000364F9" w:rsidRDefault="0019613E" w:rsidP="000364F9">
      <w:r>
        <w:t>Regarding whether</w:t>
      </w:r>
      <w:r w:rsidR="009206AF">
        <w:t xml:space="preserve"> the SFG study employs a complex and potentially problematic estimation methodology</w:t>
      </w:r>
      <w:r>
        <w:t>, we have regard</w:t>
      </w:r>
      <w:r w:rsidR="009206AF">
        <w:t xml:space="preserve"> </w:t>
      </w:r>
      <w:r>
        <w:t>to</w:t>
      </w:r>
      <w:r w:rsidR="000364F9">
        <w:t xml:space="preserve"> the views </w:t>
      </w:r>
      <w:r w:rsidR="004E3E86">
        <w:t>on dividend drop off studies expressed by</w:t>
      </w:r>
      <w:r w:rsidR="000364F9">
        <w:t xml:space="preserve"> academics and other regulators. A wide selection of these views is set out in section </w:t>
      </w:r>
      <w:r w:rsidR="000364F9">
        <w:fldChar w:fldCharType="begin"/>
      </w:r>
      <w:r w:rsidR="000364F9">
        <w:instrText xml:space="preserve"> REF _Ref414619467 \r \h </w:instrText>
      </w:r>
      <w:r w:rsidR="000364F9">
        <w:fldChar w:fldCharType="separate"/>
      </w:r>
      <w:r w:rsidR="001E2164">
        <w:t>A.14.6</w:t>
      </w:r>
      <w:r w:rsidR="000364F9">
        <w:fldChar w:fldCharType="end"/>
      </w:r>
      <w:r w:rsidR="000364F9">
        <w:t xml:space="preserve"> below. </w:t>
      </w:r>
      <w:r w:rsidR="004E3E86">
        <w:t>All but one of these</w:t>
      </w:r>
      <w:r w:rsidR="000364F9">
        <w:t xml:space="preserve"> views were expressed subsequent to SFG's dividend drop off study.</w:t>
      </w:r>
      <w:r>
        <w:t xml:space="preserve"> It is not clear why </w:t>
      </w:r>
      <w:r w:rsidR="0044152D">
        <w:t>experts</w:t>
      </w:r>
      <w:r>
        <w:t xml:space="preserve"> would </w:t>
      </w:r>
      <w:r w:rsidR="001B5415">
        <w:t>continue to canvass the</w:t>
      </w:r>
      <w:r>
        <w:t xml:space="preserve"> methodological issues associated with dividend drop off studies in general if </w:t>
      </w:r>
      <w:r w:rsidR="00952246">
        <w:t>SFG's dividend drop off</w:t>
      </w:r>
      <w:r w:rsidR="000A4A5A">
        <w:t xml:space="preserve"> study</w:t>
      </w:r>
      <w:r>
        <w:t xml:space="preserve"> overcame these issue</w:t>
      </w:r>
      <w:r w:rsidR="008E03C8">
        <w:t>s</w:t>
      </w:r>
      <w:r>
        <w:t>.</w:t>
      </w:r>
      <w:r w:rsidR="00871D70">
        <w:t xml:space="preserve"> This notwithstanding, we also have regard to the </w:t>
      </w:r>
      <w:r w:rsidR="00494C30">
        <w:t>Tribunal's acceptance of the results from</w:t>
      </w:r>
      <w:r w:rsidR="00871D70">
        <w:t xml:space="preserve"> SFG's dividend drop off study </w:t>
      </w:r>
      <w:r w:rsidR="00494C30">
        <w:t>in 2011</w:t>
      </w:r>
      <w:r w:rsidR="004C5678">
        <w:t>.</w:t>
      </w:r>
    </w:p>
    <w:p w14:paraId="1DFEB977" w14:textId="77777777" w:rsidR="006C6748" w:rsidRDefault="006C6748" w:rsidP="000364F9">
      <w:r>
        <w:t xml:space="preserve">Therefore, we consider that there is evidence </w:t>
      </w:r>
      <w:r w:rsidR="004C5678">
        <w:t>both for and against</w:t>
      </w:r>
      <w:r>
        <w:t xml:space="preserve"> </w:t>
      </w:r>
      <w:r w:rsidR="004C5678">
        <w:t xml:space="preserve">the idea that </w:t>
      </w:r>
      <w:r>
        <w:t>this limitation applies to SFG's dividend drop off study.</w:t>
      </w:r>
    </w:p>
    <w:p w14:paraId="501DCF34" w14:textId="77777777" w:rsidR="00F13198" w:rsidRPr="00DC6620" w:rsidRDefault="00F13198" w:rsidP="00DC6620">
      <w:r w:rsidRPr="00DC6620">
        <w:t>It is only the value of the combined package of dividends and imputation credits that can be observed in the market, and there is no consensus among experts on how to separate the value to the market of dividends from the value to the market of imputation credits.</w:t>
      </w:r>
    </w:p>
    <w:p w14:paraId="22A2CC3B" w14:textId="77777777" w:rsidR="00F13198" w:rsidRPr="007E4FA2" w:rsidRDefault="00F13198" w:rsidP="00F13198">
      <w:r>
        <w:t xml:space="preserve">Firstly, we note that it </w:t>
      </w:r>
      <w:r w:rsidR="00BD7A68">
        <w:t>is</w:t>
      </w:r>
      <w:r>
        <w:t xml:space="preserve"> strictly incorrect to say that the value of the combined package of dividends and imputation credits can be 'observed'</w:t>
      </w:r>
      <w:r w:rsidR="00BD7A68">
        <w:t>. This is</w:t>
      </w:r>
      <w:r>
        <w:t xml:space="preserve"> because this value is actually estimated based on assumptions </w:t>
      </w:r>
      <w:r w:rsidR="00C468CA">
        <w:t>about what</w:t>
      </w:r>
      <w:r>
        <w:t xml:space="preserve"> the ex-dividend price change</w:t>
      </w:r>
      <w:r w:rsidR="00C468CA">
        <w:t xml:space="preserve"> represents</w:t>
      </w:r>
      <w:r>
        <w:t xml:space="preserve">. In any case, </w:t>
      </w:r>
      <w:r w:rsidR="00C468CA">
        <w:t>because imputation credits are only ever distributed with franked dividends, all dividend drop off studies must make this allocation/separation. Therefore this limitation applies to SFG's dividend drop off study.</w:t>
      </w:r>
    </w:p>
    <w:p w14:paraId="5A81B66B" w14:textId="77777777" w:rsidR="00EF42E6" w:rsidRDefault="00EF42E6" w:rsidP="00FD5BE7">
      <w:pPr>
        <w:pStyle w:val="Heading9"/>
      </w:pPr>
      <w:bookmarkStart w:id="99" w:name="_Ref402180002"/>
      <w:bookmarkStart w:id="100" w:name="_Ref414619467"/>
      <w:r>
        <w:t xml:space="preserve">The views of </w:t>
      </w:r>
      <w:r w:rsidRPr="00FD5BE7">
        <w:t>academics</w:t>
      </w:r>
      <w:r>
        <w:t xml:space="preserve"> and other regulators</w:t>
      </w:r>
      <w:bookmarkEnd w:id="99"/>
      <w:r w:rsidR="00F93616">
        <w:t xml:space="preserve"> on dividend drop off studies</w:t>
      </w:r>
      <w:bookmarkEnd w:id="100"/>
    </w:p>
    <w:p w14:paraId="3D400F8C" w14:textId="77777777" w:rsidR="00B468B2" w:rsidRDefault="00EF42E6" w:rsidP="00B468B2">
      <w:pPr>
        <w:numPr>
          <w:ilvl w:val="0"/>
          <w:numId w:val="25"/>
        </w:numPr>
      </w:pPr>
      <w:r>
        <w:t xml:space="preserve">A number of academics and regulators have recognised the limitations of dividend drop off studies. Moreover, many of these concerns continue to be expressed even after the </w:t>
      </w:r>
      <w:r w:rsidR="00446536">
        <w:t>first version of SFG's dividend drop off study</w:t>
      </w:r>
      <w:r>
        <w:t xml:space="preserve"> in 2011 (which was relied upon by the Tribunal in the Energex matter), and the 2013 update of that study (which was relied upon in service providers' current proposals).</w:t>
      </w:r>
      <w:r>
        <w:rPr>
          <w:rStyle w:val="FootnoteReference"/>
        </w:rPr>
        <w:footnoteReference w:id="396"/>
      </w:r>
      <w:r>
        <w:t xml:space="preserve"> The comments of academics and other regulators </w:t>
      </w:r>
      <w:r w:rsidR="00FD5BE7">
        <w:t xml:space="preserve">support </w:t>
      </w:r>
      <w:r w:rsidR="00FD5BE7">
        <w:lastRenderedPageBreak/>
        <w:t xml:space="preserve">the lesser reliance we place on </w:t>
      </w:r>
      <w:r w:rsidR="00446536">
        <w:t>SFG's dividend drop off study</w:t>
      </w:r>
      <w:r w:rsidR="00FD5BE7">
        <w:t xml:space="preserve"> in estimating the utilisation rate. </w:t>
      </w:r>
    </w:p>
    <w:p w14:paraId="5DA13E2E" w14:textId="77777777" w:rsidR="00EF42E6" w:rsidRDefault="0006207D" w:rsidP="00B468B2">
      <w:pPr>
        <w:numPr>
          <w:ilvl w:val="0"/>
          <w:numId w:val="25"/>
        </w:numPr>
      </w:pPr>
      <w:r>
        <w:t>Some a</w:t>
      </w:r>
      <w:r w:rsidR="00BD6358">
        <w:t>cademics have identified a</w:t>
      </w:r>
      <w:r w:rsidR="00EF42E6">
        <w:t xml:space="preserve"> </w:t>
      </w:r>
      <w:r w:rsidR="00B468B2">
        <w:t>number of practical and methodological issues</w:t>
      </w:r>
      <w:r w:rsidR="00EF42E6">
        <w:t>:</w:t>
      </w:r>
    </w:p>
    <w:p w14:paraId="0DDB6021" w14:textId="77777777" w:rsidR="00EF42E6" w:rsidRPr="00EF42E6" w:rsidRDefault="00EF42E6" w:rsidP="00EF42E6">
      <w:pPr>
        <w:pStyle w:val="AERbulletlistfirststyle"/>
      </w:pPr>
      <w:r>
        <w:t>Cannavan, Finn and Gray (2004):</w:t>
      </w:r>
      <w:r w:rsidRPr="00EF42E6">
        <w:rPr>
          <w:rStyle w:val="FootnoteReference"/>
        </w:rPr>
        <w:footnoteReference w:id="397"/>
      </w:r>
    </w:p>
    <w:p w14:paraId="3403774E" w14:textId="77777777" w:rsidR="00EF42E6" w:rsidRDefault="00EF42E6" w:rsidP="00EF42E6">
      <w:pPr>
        <w:pStyle w:val="AERquote"/>
      </w:pPr>
      <w:r>
        <w:t>…</w:t>
      </w:r>
      <w:r w:rsidRPr="00127A09">
        <w:t>it is unlikely that the tradi</w:t>
      </w:r>
      <w:r>
        <w:t xml:space="preserve">tional ex-dividend day drop-off </w:t>
      </w:r>
      <w:r w:rsidRPr="00127A09">
        <w:t xml:space="preserve">methodology will be able to separately identify </w:t>
      </w:r>
      <w:r>
        <w:t>the value of cash dividends and imputation credits.</w:t>
      </w:r>
    </w:p>
    <w:p w14:paraId="0404B059" w14:textId="213F268E" w:rsidR="00EF42E6" w:rsidRPr="00EF42E6" w:rsidRDefault="00EF42E6" w:rsidP="00EF42E6">
      <w:pPr>
        <w:pStyle w:val="AERbulletlistfirststyle"/>
      </w:pPr>
      <w:r>
        <w:t>Siau, Sault and Warren (2013):</w:t>
      </w:r>
      <w:r w:rsidRPr="00EF42E6">
        <w:rPr>
          <w:rStyle w:val="FootnoteReference"/>
        </w:rPr>
        <w:footnoteReference w:id="398"/>
      </w:r>
    </w:p>
    <w:p w14:paraId="42EE04F9" w14:textId="77777777" w:rsidR="00EF42E6" w:rsidRPr="00B749AE" w:rsidRDefault="00EF42E6" w:rsidP="00EF42E6">
      <w:pPr>
        <w:pStyle w:val="AERquote"/>
      </w:pPr>
      <w:r w:rsidRPr="007E336D">
        <w:t xml:space="preserve">Despite a large number </w:t>
      </w:r>
      <w:r>
        <w:t xml:space="preserve">of studies, the market value of </w:t>
      </w:r>
      <w:r w:rsidRPr="007E336D">
        <w:t>imputation credits remains broadly disputed (see, for example, Gr</w:t>
      </w:r>
      <w:r>
        <w:t xml:space="preserve">ay and Hall, 2006; Lally, 2008; </w:t>
      </w:r>
      <w:r w:rsidRPr="007E336D">
        <w:t>Partington and Truong, 2008; Gray, 2008). The majority of empirical s</w:t>
      </w:r>
      <w:r>
        <w:t xml:space="preserve">tudies have drawn inferences by </w:t>
      </w:r>
      <w:r w:rsidRPr="007E336D">
        <w:t>focusing on the pricing of dividend distributions. This includes analysis of stock p</w:t>
      </w:r>
      <w:r>
        <w:t xml:space="preserve">rice declines around ex-dividend </w:t>
      </w:r>
      <w:r w:rsidRPr="007E336D">
        <w:t xml:space="preserve">dates (‘ex-dividend drop-off studies’); and comparative pricing </w:t>
      </w:r>
      <w:r>
        <w:t xml:space="preserve">of instruments that differ only </w:t>
      </w:r>
      <w:r w:rsidRPr="007E336D">
        <w:t>in their dividend and imputation entitlements.</w:t>
      </w:r>
      <w:r>
        <w:t xml:space="preserve"> </w:t>
      </w:r>
      <w:r w:rsidRPr="00B749AE">
        <w:t>These studies are subject</w:t>
      </w:r>
      <w:r>
        <w:t xml:space="preserve"> to a number of issues, such as </w:t>
      </w:r>
      <w:r w:rsidRPr="00B749AE">
        <w:t>imprecise estimates that may be influenced by the presence of short-ter</w:t>
      </w:r>
      <w:r>
        <w:t xml:space="preserve">m traders arbitraging dividends </w:t>
      </w:r>
      <w:r w:rsidRPr="00B749AE">
        <w:t xml:space="preserve">and limited samples in the case of comparative studies. </w:t>
      </w:r>
    </w:p>
    <w:p w14:paraId="4041989A" w14:textId="77777777" w:rsidR="00EF42E6" w:rsidRPr="005906BA" w:rsidRDefault="00EF42E6" w:rsidP="00EF42E6">
      <w:pPr>
        <w:pStyle w:val="AERquote"/>
      </w:pPr>
      <w:r>
        <w:t>…</w:t>
      </w:r>
    </w:p>
    <w:p w14:paraId="2F88251C" w14:textId="77777777" w:rsidR="00EF42E6" w:rsidRDefault="00EF42E6" w:rsidP="00EF42E6">
      <w:pPr>
        <w:pStyle w:val="AERquote"/>
      </w:pPr>
      <w:r w:rsidRPr="00B749AE">
        <w:t>The variability of estimates joins with issues over design to cast so</w:t>
      </w:r>
      <w:r>
        <w:t xml:space="preserve">me doubt over estimates for the </w:t>
      </w:r>
      <w:r w:rsidRPr="00B749AE">
        <w:t>market value of imputation credits arising from drop-off studies. A key metho</w:t>
      </w:r>
      <w:r>
        <w:t xml:space="preserve">dological issue is that price </w:t>
      </w:r>
      <w:r w:rsidRPr="00B749AE">
        <w:t>movements around ex-dividend events encapsulate not only the tax di</w:t>
      </w:r>
      <w:r>
        <w:t xml:space="preserve">fferential effect, but may also </w:t>
      </w:r>
      <w:r w:rsidRPr="00B749AE">
        <w:t>reflect the presence of traders seeking to arbitrage dividends and noise a</w:t>
      </w:r>
      <w:r>
        <w:t xml:space="preserve">ssociated with trading activity </w:t>
      </w:r>
      <w:r w:rsidRPr="00B749AE">
        <w:t>around ex-dividend dates. Drop-off ratios can be distorted by the</w:t>
      </w:r>
      <w:r>
        <w:t xml:space="preserve"> need to compensate traders for </w:t>
      </w:r>
      <w:r w:rsidRPr="00B749AE">
        <w:t>transaction costs (Eades, Hess, and Kim ,1984); Lakonishok and Vermael</w:t>
      </w:r>
      <w:r>
        <w:t xml:space="preserve">en, 1986; Karpoff and Walkling, </w:t>
      </w:r>
      <w:r w:rsidRPr="00B749AE">
        <w:t>1988, 1990; Bali and Francis, 2011); or the risk involved (Fedenia and Grammat</w:t>
      </w:r>
      <w:r>
        <w:t xml:space="preserve">ikos, 1993; Grammatikos, </w:t>
      </w:r>
      <w:r w:rsidRPr="00B749AE">
        <w:t>1989; Heath and Jarrow, 1988; Michaely and Vila, 1995). Transaction co</w:t>
      </w:r>
      <w:r>
        <w:t xml:space="preserve">sts may be substantial, and can </w:t>
      </w:r>
      <w:r w:rsidRPr="00B749AE">
        <w:t>drive the drop-off ratio below one (Kalay 1982, 1984; Boyd</w:t>
      </w:r>
      <w:r>
        <w:t xml:space="preserve"> and Jagannathan, 1994). Market </w:t>
      </w:r>
      <w:r w:rsidRPr="00B749AE">
        <w:t xml:space="preserve">microstructure effects may also complicate estimation of market value, </w:t>
      </w:r>
      <w:r>
        <w:t xml:space="preserve">as discrete tick sizes can bias </w:t>
      </w:r>
      <w:r w:rsidRPr="00B749AE">
        <w:t>drop-off ratios downwards (Dubof</w:t>
      </w:r>
      <w:r>
        <w:t>sky, 1992; Bali and Hite, 1998).</w:t>
      </w:r>
    </w:p>
    <w:p w14:paraId="150482DC" w14:textId="77777777" w:rsidR="00EF42E6" w:rsidRDefault="00EF42E6" w:rsidP="00EF42E6">
      <w:pPr>
        <w:pStyle w:val="AERquote"/>
      </w:pPr>
      <w:r w:rsidRPr="00AC4A58">
        <w:t xml:space="preserve">A further key methodological issue is the difficulty in attributing the </w:t>
      </w:r>
      <w:r>
        <w:t xml:space="preserve">observed drop-off value between </w:t>
      </w:r>
      <w:r w:rsidRPr="00AC4A58">
        <w:t>cash dividends and imputation credits. Dempsey and Partington (200</w:t>
      </w:r>
      <w:r>
        <w:t xml:space="preserve">8) nominate this identification </w:t>
      </w:r>
      <w:r w:rsidRPr="00AC4A58">
        <w:t>problem as a serious limitation of ex-dividend drop-off studies. Dr</w:t>
      </w:r>
      <w:r>
        <w:t xml:space="preserve">op-off studies are afflicted by </w:t>
      </w:r>
      <w:r w:rsidRPr="00AC4A58">
        <w:t xml:space="preserve">multicollinearity issues. Cannavan et al. </w:t>
      </w:r>
      <w:r w:rsidRPr="00AC4A58">
        <w:lastRenderedPageBreak/>
        <w:t>(2004) and Bellamy and Gra</w:t>
      </w:r>
      <w:r>
        <w:t xml:space="preserve">y (2006) reveal that imputation </w:t>
      </w:r>
      <w:r w:rsidRPr="00AC4A58">
        <w:t>credits are nearly perfectly collinear with their respective cash di</w:t>
      </w:r>
      <w:r>
        <w:t xml:space="preserve">vidends. This is exacerbated by </w:t>
      </w:r>
      <w:r w:rsidRPr="00AC4A58">
        <w:t xml:space="preserve">corporate tax rates being almost constant and partially-franked dividends being </w:t>
      </w:r>
      <w:r>
        <w:t xml:space="preserve">the exception rather </w:t>
      </w:r>
      <w:r w:rsidRPr="00AC4A58">
        <w:t>than the norm. Gray (2008) points out that the value attributed to imput</w:t>
      </w:r>
      <w:r>
        <w:t xml:space="preserve">ation credits is conditional on </w:t>
      </w:r>
      <w:r w:rsidRPr="00AC4A58">
        <w:t>the assumed value on cash dividends by design, to the extent that they are supplementary components within a single package. This notion is reinforced by evidence of of</w:t>
      </w:r>
      <w:r>
        <w:t xml:space="preserve">fsetting variation in the value </w:t>
      </w:r>
      <w:r w:rsidRPr="00AC4A58">
        <w:t>attributed to dividends and imputation credits across samples (see Bella</w:t>
      </w:r>
      <w:r>
        <w:t>my and Gray, 2006; Gray, 2008).</w:t>
      </w:r>
    </w:p>
    <w:p w14:paraId="691CE3AC" w14:textId="77777777" w:rsidR="00EF42E6" w:rsidRPr="00EF42E6" w:rsidRDefault="00EF42E6" w:rsidP="00EF42E6">
      <w:pPr>
        <w:pStyle w:val="AERbulletlistfirststyle"/>
      </w:pPr>
      <w:r>
        <w:t>McKenzie and Partington (2013):</w:t>
      </w:r>
      <w:r w:rsidRPr="00EF42E6">
        <w:rPr>
          <w:rStyle w:val="FootnoteReference"/>
        </w:rPr>
        <w:footnoteReference w:id="399"/>
      </w:r>
    </w:p>
    <w:p w14:paraId="14572EB4" w14:textId="77777777" w:rsidR="00EF42E6" w:rsidRDefault="00EF42E6" w:rsidP="00EF42E6">
      <w:pPr>
        <w:pStyle w:val="AERquote"/>
      </w:pPr>
      <w:r w:rsidRPr="00FA5259">
        <w:t>For over fifty years, academics have been trying to satisfactorily measure the market value of dividends. So far we have not reached a generally agreed consensus on the value or the method of measurement, which indicates the difficulty of the task. Thus, the basic task of measuring the package value of dividends and frankin</w:t>
      </w:r>
      <w:r>
        <w:t>g credits is a major challenge.</w:t>
      </w:r>
    </w:p>
    <w:p w14:paraId="6FA77479" w14:textId="77777777" w:rsidR="00EF42E6" w:rsidRDefault="00EF42E6" w:rsidP="00EF42E6">
      <w:pPr>
        <w:pStyle w:val="AERquote"/>
      </w:pPr>
      <w:r w:rsidRPr="00ED2709">
        <w:t xml:space="preserve">It is well understood that the market value of the package of </w:t>
      </w:r>
      <w:r>
        <w:t xml:space="preserve">dividends and franking credits  </w:t>
      </w:r>
      <w:r w:rsidRPr="00ED2709">
        <w:t>mixes together not just dividends and credits, but the effec</w:t>
      </w:r>
      <w:r>
        <w:t xml:space="preserve">ts of income and capital gains </w:t>
      </w:r>
      <w:r w:rsidRPr="00ED2709">
        <w:t xml:space="preserve">taxes, transactions costs, discounting for time and risk and </w:t>
      </w:r>
      <w:r>
        <w:t xml:space="preserve">possibly market microstructure </w:t>
      </w:r>
      <w:r w:rsidRPr="00ED2709">
        <w:t>effects as well. This leads to what we call the allocation pro</w:t>
      </w:r>
      <w:r>
        <w:t xml:space="preserve">blem. That is how we attribute </w:t>
      </w:r>
      <w:r w:rsidRPr="00ED2709">
        <w:t>the value consequence of these effects between the value</w:t>
      </w:r>
      <w:r>
        <w:t xml:space="preserve"> of dividends and the value of </w:t>
      </w:r>
      <w:r w:rsidRPr="00ED2709">
        <w:t>franking credits. All methods of splitting up the package value of dividen</w:t>
      </w:r>
      <w:r>
        <w:t xml:space="preserve">ds and franking </w:t>
      </w:r>
      <w:r w:rsidRPr="00ED2709">
        <w:t>credit involve an explicit or implicit allocation. The problem wit</w:t>
      </w:r>
      <w:r>
        <w:t xml:space="preserve">h allocations is that by their </w:t>
      </w:r>
      <w:r w:rsidRPr="00ED2709">
        <w:t>nature they are arbitrary. Thus, separating out the estimated va</w:t>
      </w:r>
      <w:r>
        <w:t xml:space="preserve">lue of the franking credits is </w:t>
      </w:r>
      <w:r w:rsidRPr="00ED2709">
        <w:t>also a major challenge.</w:t>
      </w:r>
    </w:p>
    <w:p w14:paraId="062C31EF" w14:textId="77777777" w:rsidR="00EF42E6" w:rsidRPr="00ED2709" w:rsidRDefault="00EF42E6" w:rsidP="00EF42E6">
      <w:pPr>
        <w:pStyle w:val="AERquote"/>
      </w:pPr>
      <w:r w:rsidRPr="00ED2709">
        <w:t xml:space="preserve">One approach to the estimation of the value of dividends and </w:t>
      </w:r>
      <w:r>
        <w:t xml:space="preserve">franking credits is to measure </w:t>
      </w:r>
      <w:r w:rsidRPr="00ED2709">
        <w:t xml:space="preserve">the price drop when the stock goes ex-dividend. It is on the </w:t>
      </w:r>
      <w:r>
        <w:t xml:space="preserve">basis of </w:t>
      </w:r>
      <w:r w:rsidR="006205BB">
        <w:t xml:space="preserve">[SFG's dividend drop off study] </w:t>
      </w:r>
      <w:r w:rsidRPr="00ED2709">
        <w:t>that theta was taken to be 0.35 and hence the value of gamma is given by 0.7 x 0.35, which</w:t>
      </w:r>
      <w:r>
        <w:t xml:space="preserve"> </w:t>
      </w:r>
      <w:r w:rsidRPr="00ED2709">
        <w:t>rounded up furnishes a value of 0.25 or 25%.</w:t>
      </w:r>
    </w:p>
    <w:p w14:paraId="6884478F" w14:textId="77777777" w:rsidR="00EF42E6" w:rsidRDefault="00EF42E6" w:rsidP="00EF42E6">
      <w:pPr>
        <w:pStyle w:val="AERquote"/>
      </w:pPr>
      <w:r w:rsidRPr="00ED2709">
        <w:t>We have several problems with this estimate of gamma. Fi</w:t>
      </w:r>
      <w:r>
        <w:t xml:space="preserve">rst, given the difficulties in </w:t>
      </w:r>
      <w:r w:rsidRPr="00ED2709">
        <w:t>estimating theta, the estimate of theta and hence gamma sh</w:t>
      </w:r>
      <w:r>
        <w:t xml:space="preserve">ould not be based on one study, </w:t>
      </w:r>
      <w:r w:rsidRPr="00ED2709">
        <w:t>or on one method. Rather, it should be triangulated across</w:t>
      </w:r>
      <w:r>
        <w:t xml:space="preserve"> multiple studies and multiple </w:t>
      </w:r>
      <w:r w:rsidRPr="00ED2709">
        <w:t xml:space="preserve">methods. In particular the estimate of theta should not </w:t>
      </w:r>
      <w:r>
        <w:t xml:space="preserve">just be reliant on ex-dividend </w:t>
      </w:r>
      <w:r w:rsidRPr="00ED2709">
        <w:t>studies, which are afflicted with many problems. This iss</w:t>
      </w:r>
      <w:r>
        <w:t xml:space="preserve">ue is discussed extensively in </w:t>
      </w:r>
      <w:r w:rsidRPr="00ED2709">
        <w:t>McKenzie and Partington (2010). In this paper, we argue th</w:t>
      </w:r>
      <w:r>
        <w:t xml:space="preserve">at it is very unlikely that an </w:t>
      </w:r>
      <w:r w:rsidRPr="00ED2709">
        <w:t xml:space="preserve">accurate and reliable estimate of the value of franking credits </w:t>
      </w:r>
      <w:r>
        <w:t xml:space="preserve">will come out of a traditional </w:t>
      </w:r>
      <w:r w:rsidRPr="00ED2709">
        <w:t>ex-dividend study due to a number of problems including the extremely noisy data (it is no</w:t>
      </w:r>
      <w:r>
        <w:t xml:space="preserve">t </w:t>
      </w:r>
      <w:r w:rsidRPr="00ED2709">
        <w:t>unusual to have a price movement up or down of more tha</w:t>
      </w:r>
      <w:r>
        <w:t xml:space="preserve">n twenty times the dividend on </w:t>
      </w:r>
      <w:r w:rsidRPr="00ED2709">
        <w:t>the ex-dividend day). Results are also sensitive to data filte</w:t>
      </w:r>
      <w:r>
        <w:t xml:space="preserve">ring, the choice of estimation </w:t>
      </w:r>
      <w:r w:rsidRPr="00ED2709">
        <w:t xml:space="preserve">method and whether the ex-dividend day price is measured at the open or </w:t>
      </w:r>
      <w:r>
        <w:t xml:space="preserve">close of trading. </w:t>
      </w:r>
      <w:r w:rsidRPr="00ED2709">
        <w:t xml:space="preserve">Biased results can also arise from market </w:t>
      </w:r>
      <w:r w:rsidRPr="00ED2709">
        <w:lastRenderedPageBreak/>
        <w:t>microstructure effects such as bid-ask bounce. There are also abnormal volumes and abnormal returns about the ex-dividend day, which clearly indicate that trading is abnormal about the ex-dividend date. Consequently, it is an open question whether an ex-dividend study gives a dividend</w:t>
      </w:r>
      <w:r>
        <w:t xml:space="preserve"> and franking credit valuation </w:t>
      </w:r>
      <w:r w:rsidRPr="00ED2709">
        <w:t>that reflects the clientele of investors normally holding</w:t>
      </w:r>
      <w:r>
        <w:t xml:space="preserve"> the stock. Finally, there are </w:t>
      </w:r>
      <w:r w:rsidRPr="00ED2709">
        <w:t>conceptual and econometric problems. For example, multi</w:t>
      </w:r>
      <w:r>
        <w:t xml:space="preserve">colliniarity in the regression </w:t>
      </w:r>
      <w:r w:rsidRPr="00ED2709">
        <w:t>equation used to separate the value of the dividends and franking credits. Reflecting the</w:t>
      </w:r>
      <w:r>
        <w:t xml:space="preserve"> </w:t>
      </w:r>
      <w:r w:rsidRPr="00ED2709">
        <w:t>inaccuracy of the ex-dividend method and associated regr</w:t>
      </w:r>
      <w:r>
        <w:t xml:space="preserve">ession technique, the standard </w:t>
      </w:r>
      <w:r w:rsidRPr="00ED2709">
        <w:t>errors of the estimates from the regression equat</w:t>
      </w:r>
      <w:r>
        <w:t>ions are typically quite large.</w:t>
      </w:r>
    </w:p>
    <w:p w14:paraId="35BA1975" w14:textId="77777777" w:rsidR="00EF42E6" w:rsidRPr="00EF42E6" w:rsidRDefault="00EF42E6" w:rsidP="00EF42E6">
      <w:pPr>
        <w:pStyle w:val="AERbulletlistfirststyle"/>
      </w:pPr>
      <w:r>
        <w:t>Lally (2013):</w:t>
      </w:r>
      <w:r w:rsidRPr="00EF42E6">
        <w:rPr>
          <w:rStyle w:val="FootnoteReference"/>
        </w:rPr>
        <w:footnoteReference w:id="400"/>
      </w:r>
    </w:p>
    <w:p w14:paraId="3F6F758C" w14:textId="77777777" w:rsidR="00EF42E6" w:rsidRPr="00EE1293" w:rsidRDefault="00EF42E6" w:rsidP="00EF42E6">
      <w:pPr>
        <w:pStyle w:val="AERquote"/>
      </w:pPr>
      <w:r w:rsidRPr="00EE1293">
        <w:t xml:space="preserve">The AER’s third approach to estimating </w:t>
      </w:r>
      <w:r w:rsidRPr="009E601D">
        <w:rPr>
          <w:rStyle w:val="AERtextitalic"/>
        </w:rPr>
        <w:t>U</w:t>
      </w:r>
      <w:r w:rsidRPr="00EE1293">
        <w:t xml:space="preserve"> involves estimates derived from market prices (AER, 2013, pp. 133-134, 239-247).  The AER does not consider that these estimates are useful for a number of reasons.  In respect of dividend drop-off studies, these include evidence that trading activity around dividend ex-days is abnormal, that correction is required for market movements, and the sensitivity of results to data, outliers and model choices.  More generally these problems include the difficulties in separating the values of franking credits and dividends in these studies, the wide range of empirical results from such studies, the possibility of bias from ‘bid-ask bounce, and the exposure of such estimates to the tax circumstances and transactions costs of tax arbitrageurs.  Many of these problems are manifest in high standard errors on the estimates of the coefficients.</w:t>
      </w:r>
    </w:p>
    <w:p w14:paraId="31FD3FBF" w14:textId="77777777" w:rsidR="00EF42E6" w:rsidRDefault="00EF42E6" w:rsidP="00EF42E6">
      <w:pPr>
        <w:pStyle w:val="AERquote"/>
      </w:pPr>
      <w:r w:rsidRPr="00EE1293">
        <w:t>I concur with all of these concerns, and I have additional concerns about these studies or their interpretation.</w:t>
      </w:r>
    </w:p>
    <w:p w14:paraId="5B834B97" w14:textId="77777777" w:rsidR="0006207D" w:rsidRPr="0006207D" w:rsidRDefault="0006207D" w:rsidP="0006207D">
      <w:r>
        <w:t>Other academics have focussed on the specific issue of whether dividend drop off studies produce results that are reflective of investors in the market as a whole:</w:t>
      </w:r>
    </w:p>
    <w:p w14:paraId="56F7CB74" w14:textId="77777777" w:rsidR="00EF42E6" w:rsidRPr="00EF42E6" w:rsidRDefault="00EF42E6" w:rsidP="00EF42E6">
      <w:pPr>
        <w:pStyle w:val="AERbulletlistfirststyle"/>
      </w:pPr>
      <w:r>
        <w:t>Handley (2014):</w:t>
      </w:r>
      <w:r w:rsidRPr="00EF42E6">
        <w:rPr>
          <w:rStyle w:val="FootnoteReference"/>
        </w:rPr>
        <w:footnoteReference w:id="401"/>
      </w:r>
    </w:p>
    <w:p w14:paraId="7B44F4AF" w14:textId="77777777" w:rsidR="00EF42E6" w:rsidRPr="00CF096F" w:rsidRDefault="00EF42E6" w:rsidP="00EF42E6">
      <w:pPr>
        <w:pStyle w:val="AERquote"/>
      </w:pPr>
      <w:r w:rsidRPr="00D17D55">
        <w:t xml:space="preserve">The second issue also concerns the correct interpretation </w:t>
      </w:r>
      <w:r>
        <w:t xml:space="preserve">of the regression coefficient – </w:t>
      </w:r>
      <w:r w:rsidRPr="00D17D55">
        <w:t>but at a more fundamental level. Adjusting the coef</w:t>
      </w:r>
      <w:r>
        <w:t xml:space="preserve">ficient to remove the impact of </w:t>
      </w:r>
      <w:r w:rsidRPr="00D17D55">
        <w:t>differential personal taxes and risk gives us the (aft</w:t>
      </w:r>
      <w:r>
        <w:t xml:space="preserve">er-company-before-personal-tax) </w:t>
      </w:r>
      <w:r w:rsidRPr="00D17D55">
        <w:t>value of a dollar of imputation credits but the ques</w:t>
      </w:r>
      <w:r>
        <w:t xml:space="preserve">tion is value to whom? In other </w:t>
      </w:r>
      <w:r w:rsidRPr="00D17D55">
        <w:t>words, there remains a residual concern as to wheth</w:t>
      </w:r>
      <w:r>
        <w:t xml:space="preserve">er the composition of investors </w:t>
      </w:r>
      <w:r w:rsidRPr="00D17D55">
        <w:t>around the ex-dividend date is reflective of the composit</w:t>
      </w:r>
      <w:r>
        <w:t xml:space="preserve">ion of (long term) investors in </w:t>
      </w:r>
      <w:r w:rsidRPr="00D17D55">
        <w:t>the benchmark market who supply capital to firms (inclu</w:t>
      </w:r>
      <w:r>
        <w:t xml:space="preserve">ding to the benchmark efficient </w:t>
      </w:r>
      <w:r w:rsidRPr="00D17D55">
        <w:t>entity) and therefore whether the implied value of imput</w:t>
      </w:r>
      <w:r>
        <w:t xml:space="preserve">ation credits around ex-dividend </w:t>
      </w:r>
      <w:r w:rsidRPr="00D17D55">
        <w:t>dates is representative of the value of imputa</w:t>
      </w:r>
      <w:r>
        <w:t xml:space="preserve">tion credits to the market as a </w:t>
      </w:r>
      <w:r w:rsidRPr="00D17D55">
        <w:t>whole.</w:t>
      </w:r>
    </w:p>
    <w:p w14:paraId="1F6BCBB9" w14:textId="77777777" w:rsidR="00FA2F53" w:rsidRDefault="00FA2F53" w:rsidP="001169CA">
      <w:pPr>
        <w:pStyle w:val="AERbulletlistfirststyle"/>
        <w:keepNext/>
      </w:pPr>
      <w:r>
        <w:lastRenderedPageBreak/>
        <w:t>South Australian Centre for Economic Studies</w:t>
      </w:r>
      <w:r w:rsidR="00AA493E">
        <w:t xml:space="preserve"> (2015)</w:t>
      </w:r>
      <w:r>
        <w:t>:</w:t>
      </w:r>
      <w:r w:rsidR="001A2B61">
        <w:rPr>
          <w:rStyle w:val="FootnoteReference"/>
        </w:rPr>
        <w:footnoteReference w:id="402"/>
      </w:r>
    </w:p>
    <w:p w14:paraId="05732C49" w14:textId="77777777" w:rsidR="00FA2F53" w:rsidRPr="00FA2F53" w:rsidRDefault="00FA2F53" w:rsidP="00FA2F53">
      <w:pPr>
        <w:pStyle w:val="AERquote"/>
      </w:pPr>
      <w:r w:rsidRPr="00FA2F53">
        <w:t>In order for a dividend drop-off study to provide useful evidence of the value of franking credits to a</w:t>
      </w:r>
      <w:r>
        <w:t xml:space="preserve"> </w:t>
      </w:r>
      <w:r w:rsidRPr="00FA2F53">
        <w:t>representative owner of equity three conditions need to be met:</w:t>
      </w:r>
    </w:p>
    <w:p w14:paraId="2E76A936" w14:textId="77777777" w:rsidR="00FA2F53" w:rsidRPr="00FA2F53" w:rsidRDefault="00FA2F53" w:rsidP="00FA2F53">
      <w:pPr>
        <w:pStyle w:val="AERquotebullet1"/>
      </w:pPr>
      <w:r w:rsidRPr="00FA2F53">
        <w:t>the studies being drawn on need to be of high quality;</w:t>
      </w:r>
    </w:p>
    <w:p w14:paraId="19465B67" w14:textId="77777777" w:rsidR="00FA2F53" w:rsidRPr="00FA2F53" w:rsidRDefault="00FA2F53" w:rsidP="00FA2F53">
      <w:pPr>
        <w:pStyle w:val="AERquotebullet1"/>
      </w:pPr>
      <w:r w:rsidRPr="00FA2F53">
        <w:t>the equity holders who buy shares in the period after dividends are issued need to be</w:t>
      </w:r>
      <w:r>
        <w:t xml:space="preserve"> </w:t>
      </w:r>
      <w:r w:rsidRPr="00FA2F53">
        <w:t>representative of the whole class of equity holders; and</w:t>
      </w:r>
    </w:p>
    <w:p w14:paraId="3B2D4FA4" w14:textId="77777777" w:rsidR="00FA2F53" w:rsidRPr="00FA2F53" w:rsidRDefault="00FA2F53" w:rsidP="00FA2F53">
      <w:pPr>
        <w:pStyle w:val="AERquotebullet1"/>
      </w:pPr>
      <w:r w:rsidRPr="00FA2F53">
        <w:t>the equity for which data is drawn on for the dividend drop off study needs to be representative of</w:t>
      </w:r>
      <w:r>
        <w:t xml:space="preserve"> </w:t>
      </w:r>
      <w:r w:rsidRPr="00FA2F53">
        <w:t>the overall stock of equity in the Australian economy</w:t>
      </w:r>
    </w:p>
    <w:p w14:paraId="54551C85" w14:textId="77777777" w:rsidR="00FA2F53" w:rsidRPr="00FA2F53" w:rsidRDefault="00FA2F53" w:rsidP="00FA2F53">
      <w:pPr>
        <w:pStyle w:val="AERquote"/>
      </w:pPr>
      <w:r w:rsidRPr="00FA2F53">
        <w:t>We would contend that only the first of these three conditions is definitely met.</w:t>
      </w:r>
    </w:p>
    <w:p w14:paraId="60340144" w14:textId="77777777" w:rsidR="00FA2F53" w:rsidRPr="00FA2F53" w:rsidRDefault="00FA2F53" w:rsidP="00FA2F53">
      <w:pPr>
        <w:pStyle w:val="AERquote"/>
      </w:pPr>
      <w:r w:rsidRPr="00FA2F53">
        <w:t>The studies included by SFG consulting in their review of estimates for theta all appear to be of good</w:t>
      </w:r>
      <w:r>
        <w:t xml:space="preserve"> </w:t>
      </w:r>
      <w:r w:rsidRPr="00FA2F53">
        <w:t>quality and are undertaken in a manner which reflects the current best practice in the literature.</w:t>
      </w:r>
    </w:p>
    <w:p w14:paraId="46217D92" w14:textId="77777777" w:rsidR="00FA2F53" w:rsidRDefault="00FA2F53" w:rsidP="00FA2F53">
      <w:pPr>
        <w:pStyle w:val="AERquote"/>
      </w:pPr>
      <w:r w:rsidRPr="00FA2F53">
        <w:t>However, purchase of stocks in any given period is dominated by a relatively small share of equity</w:t>
      </w:r>
      <w:r>
        <w:t xml:space="preserve"> </w:t>
      </w:r>
      <w:r w:rsidRPr="00FA2F53">
        <w:t>holders who engage in active trading equities. Overall ownership of equities, however, is dominated by</w:t>
      </w:r>
      <w:r>
        <w:t xml:space="preserve"> </w:t>
      </w:r>
      <w:r w:rsidRPr="00FA2F53">
        <w:t>those who trade infrequently. As such there is no reason to believe that the value placed on franking</w:t>
      </w:r>
      <w:r>
        <w:t xml:space="preserve"> </w:t>
      </w:r>
      <w:r w:rsidRPr="00FA2F53">
        <w:t>credits</w:t>
      </w:r>
      <w:r>
        <w:t xml:space="preserve"> </w:t>
      </w:r>
      <w:r w:rsidRPr="00FA2F53">
        <w:t>by active traders of equities is the same as that placed on franking credits by those who trade</w:t>
      </w:r>
      <w:r>
        <w:t xml:space="preserve"> </w:t>
      </w:r>
      <w:r w:rsidRPr="00FA2F53">
        <w:t>infrequently.</w:t>
      </w:r>
    </w:p>
    <w:p w14:paraId="0DDB2B26" w14:textId="77777777" w:rsidR="001A3A0B" w:rsidRPr="001A3A0B" w:rsidRDefault="001A3A0B" w:rsidP="001A3A0B">
      <w:pPr>
        <w:pStyle w:val="AERquote"/>
      </w:pPr>
      <w:r w:rsidRPr="001A3A0B">
        <w:t>On the third point, listed firms are also only part of the stock of Australian equity. Data from the ABS’s</w:t>
      </w:r>
      <w:r>
        <w:t xml:space="preserve"> </w:t>
      </w:r>
      <w:r w:rsidRPr="001A3A0B">
        <w:t>‘Australian National Accounts: Financial Accou</w:t>
      </w:r>
      <w:r>
        <w:t>nts’ indicates that as at June 2</w:t>
      </w:r>
      <w:r w:rsidRPr="001A3A0B">
        <w:t>014 unlisted shares</w:t>
      </w:r>
      <w:r>
        <w:t xml:space="preserve"> </w:t>
      </w:r>
      <w:r w:rsidRPr="001A3A0B">
        <w:t>comprised 44.5 per cent of the total value of shares in private firms (rising to 49.7 per cent if equity in</w:t>
      </w:r>
      <w:r>
        <w:t xml:space="preserve"> </w:t>
      </w:r>
      <w:r w:rsidRPr="001A3A0B">
        <w:t>government non-financial corporations is included).</w:t>
      </w:r>
    </w:p>
    <w:p w14:paraId="2C1313DE" w14:textId="77777777" w:rsidR="001A3A0B" w:rsidRDefault="001A3A0B" w:rsidP="001A3A0B">
      <w:pPr>
        <w:pStyle w:val="AERquote"/>
      </w:pPr>
      <w:r w:rsidRPr="001A3A0B">
        <w:t>Due to the unrepresentative nature of both traders in stock, and the ownership of listed stock, we</w:t>
      </w:r>
      <w:r>
        <w:t xml:space="preserve"> </w:t>
      </w:r>
      <w:r w:rsidRPr="001A3A0B">
        <w:t>believe that dropped dividend studies cannot be assumed to be informa</w:t>
      </w:r>
      <w:r>
        <w:t xml:space="preserve">tive about the value placed by </w:t>
      </w:r>
      <w:r w:rsidRPr="001A3A0B">
        <w:t xml:space="preserve">median investor in the ‘benchmark efficient entity’. As such, </w:t>
      </w:r>
      <w:r w:rsidRPr="001A3A0B">
        <w:rPr>
          <w:rStyle w:val="Strong"/>
        </w:rPr>
        <w:t>we recommend that estimates derived from dropped dividend studies be disregarded</w:t>
      </w:r>
      <w:r w:rsidRPr="001A3A0B">
        <w:t>.</w:t>
      </w:r>
    </w:p>
    <w:p w14:paraId="72EDF4ED" w14:textId="77777777" w:rsidR="006278E3" w:rsidRDefault="006278E3" w:rsidP="006278E3">
      <w:r>
        <w:t>The limitations identified have been recognised by other regulators</w:t>
      </w:r>
      <w:r w:rsidR="006F670B">
        <w:t xml:space="preserve"> and reflected in their respective approaches to determining the utilisation rate</w:t>
      </w:r>
      <w:r>
        <w:t>:</w:t>
      </w:r>
    </w:p>
    <w:p w14:paraId="2DDA1AAA" w14:textId="77777777" w:rsidR="0006207D" w:rsidRPr="00EF42E6" w:rsidRDefault="0006207D" w:rsidP="0006207D">
      <w:pPr>
        <w:pStyle w:val="AERbulletlistfirststyle"/>
      </w:pPr>
      <w:r>
        <w:t>QCA (2014):</w:t>
      </w:r>
      <w:r w:rsidRPr="00EF42E6">
        <w:rPr>
          <w:rStyle w:val="FootnoteReference"/>
        </w:rPr>
        <w:footnoteReference w:id="403"/>
      </w:r>
    </w:p>
    <w:p w14:paraId="233DBB42" w14:textId="77777777" w:rsidR="0006207D" w:rsidRDefault="0006207D" w:rsidP="0006207D">
      <w:pPr>
        <w:pStyle w:val="AERquote"/>
      </w:pPr>
      <w:r>
        <w:t xml:space="preserve">Given the concerns identified, the QCA does not prefer an estimate of 0.35 for the utilisation rate. The estimate is the result from only one study from one class of evidence, and this class of evidence suffers from serious conceptual and empirical </w:t>
      </w:r>
      <w:r>
        <w:lastRenderedPageBreak/>
        <w:t>limitations. Therefore, the QCA has assessed and given more weight to alternative approaches to estimate the utilisation rate.</w:t>
      </w:r>
    </w:p>
    <w:p w14:paraId="1245A21B" w14:textId="77777777" w:rsidR="0006207D" w:rsidRDefault="0006207D" w:rsidP="0006207D">
      <w:pPr>
        <w:pStyle w:val="AERbulletlistfirststyle"/>
      </w:pPr>
      <w:r>
        <w:t xml:space="preserve">The ERA, which until the publication of a revised draft </w:t>
      </w:r>
      <w:r w:rsidR="00EA6FAD">
        <w:t>G</w:t>
      </w:r>
      <w:r>
        <w:t>uideline in November 2014 preferred the use of dividend drop off studies, stated:</w:t>
      </w:r>
      <w:r>
        <w:rPr>
          <w:rStyle w:val="FootnoteReference"/>
        </w:rPr>
        <w:footnoteReference w:id="404"/>
      </w:r>
    </w:p>
    <w:p w14:paraId="14689218" w14:textId="77777777" w:rsidR="0006207D" w:rsidRDefault="0006207D" w:rsidP="0006207D">
      <w:pPr>
        <w:pStyle w:val="AERquote"/>
      </w:pPr>
      <w:r>
        <w:t>…</w:t>
      </w:r>
      <w:r w:rsidRPr="006B7FB3">
        <w:t>dividend drop-off stu</w:t>
      </w:r>
      <w:r>
        <w:t xml:space="preserve">dies are known to suffer from a </w:t>
      </w:r>
      <w:r w:rsidRPr="006B7FB3">
        <w:t xml:space="preserve">variety of estimation issues that result in the estimated </w:t>
      </w:r>
      <w:r>
        <w:t xml:space="preserve">value of theta being vulnerable </w:t>
      </w:r>
      <w:r w:rsidRPr="006B7FB3">
        <w:t>to the dividend sample, parametric form of the reg</w:t>
      </w:r>
      <w:r>
        <w:t xml:space="preserve">ression equation and regression </w:t>
      </w:r>
      <w:r w:rsidRPr="006B7FB3">
        <w:t>technique used. As a consequence, the Authority</w:t>
      </w:r>
      <w:r>
        <w:t xml:space="preserve"> is of the view that it is more </w:t>
      </w:r>
      <w:r w:rsidRPr="006B7FB3">
        <w:t>appropriate to use a range of divi</w:t>
      </w:r>
      <w:r>
        <w:t>dend drop-off studies.</w:t>
      </w:r>
    </w:p>
    <w:p w14:paraId="0AB9639C" w14:textId="77777777" w:rsidR="00CD23CD" w:rsidRDefault="00CD23CD" w:rsidP="00CD23CD">
      <w:pPr>
        <w:pStyle w:val="Heading8"/>
      </w:pPr>
      <w:bookmarkStart w:id="101" w:name="_Ref403481482"/>
      <w:bookmarkStart w:id="102" w:name="_Toc433449226"/>
      <w:r>
        <w:t xml:space="preserve">Revised consideration </w:t>
      </w:r>
      <w:r w:rsidRPr="00CD23CD">
        <w:t>of</w:t>
      </w:r>
      <w:r>
        <w:t xml:space="preserve"> the conceptual goalposts approach</w:t>
      </w:r>
      <w:bookmarkEnd w:id="101"/>
      <w:bookmarkEnd w:id="102"/>
    </w:p>
    <w:p w14:paraId="052F16B1" w14:textId="0447B7D2" w:rsidR="00CD23CD" w:rsidRDefault="00CD23CD" w:rsidP="00CD23CD">
      <w:pPr>
        <w:numPr>
          <w:ilvl w:val="0"/>
          <w:numId w:val="25"/>
        </w:numPr>
      </w:pPr>
      <w:r>
        <w:t xml:space="preserve">We placed a degree of reliance upon the conceptual goalposts approach when coming to an estimate for the utilisation rate in the Guideline. However, we do not rely on the conceptual goalposts approach in this </w:t>
      </w:r>
      <w:r w:rsidR="009A3ED2">
        <w:t>final</w:t>
      </w:r>
      <w:r>
        <w:t xml:space="preserve"> decision. This is mainly to be consistent with Handley's advice on the conceptual framework, which we have accepted in making this </w:t>
      </w:r>
      <w:r w:rsidR="009A3ED2">
        <w:t>final</w:t>
      </w:r>
      <w:r>
        <w:t xml:space="preserve"> decision. Further, we do not consider this to be a significant departure from the Guideline given we placed only limited reliance on the conceptual goalposts approach in the Guideline.</w:t>
      </w:r>
      <w:r w:rsidDel="007E6C35">
        <w:t xml:space="preserve"> </w:t>
      </w:r>
      <w:r w:rsidR="00DF722A">
        <w:t xml:space="preserve">We </w:t>
      </w:r>
      <w:r w:rsidR="00FB59E0">
        <w:t xml:space="preserve">note we </w:t>
      </w:r>
      <w:r w:rsidR="00DF722A">
        <w:t>do not consider Lally</w:t>
      </w:r>
      <w:r w:rsidR="008F5722">
        <w:t>'s</w:t>
      </w:r>
      <w:r w:rsidR="00DF722A">
        <w:t xml:space="preserve"> support of </w:t>
      </w:r>
      <w:r w:rsidR="008F5722">
        <w:t xml:space="preserve">the conceptual goal posts approach, upon </w:t>
      </w:r>
      <w:r w:rsidR="00D13AD4">
        <w:t xml:space="preserve">which </w:t>
      </w:r>
      <w:r w:rsidR="008F5722">
        <w:t xml:space="preserve">we do not rely, supports </w:t>
      </w:r>
      <w:r w:rsidR="00DF722A">
        <w:t>the proposition that our conceptual analysis is confused and unsafe.</w:t>
      </w:r>
      <w:r w:rsidR="00DF722A">
        <w:rPr>
          <w:rStyle w:val="FootnoteReference"/>
        </w:rPr>
        <w:footnoteReference w:id="405"/>
      </w:r>
      <w:r w:rsidR="00DF722A">
        <w:t xml:space="preserve"> We also note the preference for Handley's advice over Lally's is to the benefit of the service providers as it results in a lower </w:t>
      </w:r>
      <w:r w:rsidR="001E1823">
        <w:t xml:space="preserve">estimate of the </w:t>
      </w:r>
      <w:r w:rsidR="00DF722A">
        <w:t xml:space="preserve">value for </w:t>
      </w:r>
      <w:r w:rsidR="001E1823">
        <w:t>imputation credits than would have been the case had we followed Lally's advice on this issue</w:t>
      </w:r>
      <w:r w:rsidR="00DF722A">
        <w:t xml:space="preserve">. </w:t>
      </w:r>
      <w:r>
        <w:t>Our revised consideration of the approach is set out in this section.</w:t>
      </w:r>
    </w:p>
    <w:p w14:paraId="7A862E8F" w14:textId="77777777" w:rsidR="00CD23CD" w:rsidRDefault="00CD23CD" w:rsidP="00CD23CD">
      <w:pPr>
        <w:pStyle w:val="Heading9"/>
      </w:pPr>
      <w:r>
        <w:t>Description of the approach</w:t>
      </w:r>
    </w:p>
    <w:p w14:paraId="08B50EE0" w14:textId="77777777" w:rsidR="00CD23CD" w:rsidRDefault="00CD23CD" w:rsidP="00CD23CD">
      <w:pPr>
        <w:numPr>
          <w:ilvl w:val="0"/>
          <w:numId w:val="25"/>
        </w:numPr>
      </w:pPr>
      <w:r>
        <w:t>The conceptual goalposts approach to informing estimates of the utilisation rate is based on a test devised by Lally to consider the 'reasonableness' of such estimates. To explain the approach, however, we must first explain some theoretical aspects of the modelling framework that we employ. The starting point for a CAPM is a given set of assets and a given set of investors who hold them.</w:t>
      </w:r>
      <w:r>
        <w:rPr>
          <w:rStyle w:val="FootnoteReference"/>
        </w:rPr>
        <w:footnoteReference w:id="406"/>
      </w:r>
      <w:r>
        <w:t xml:space="preserve"> In the Officer CAPM, the given set of assets is the domestic market and Lally considered that the given set of investors is domestic investors; that is, the domestic market is assumed to be 'fully segmented' from international markets.</w:t>
      </w:r>
      <w:r>
        <w:rPr>
          <w:rStyle w:val="FootnoteReference"/>
        </w:rPr>
        <w:footnoteReference w:id="407"/>
      </w:r>
    </w:p>
    <w:p w14:paraId="250862A5" w14:textId="77777777" w:rsidR="00CD23CD" w:rsidRDefault="00CD23CD" w:rsidP="00CD23CD">
      <w:pPr>
        <w:numPr>
          <w:ilvl w:val="0"/>
          <w:numId w:val="25"/>
        </w:numPr>
      </w:pPr>
      <w:r w:rsidRPr="002B01D6">
        <w:lastRenderedPageBreak/>
        <w:t>Lally consider</w:t>
      </w:r>
      <w:r>
        <w:t>ed</w:t>
      </w:r>
      <w:r w:rsidRPr="002B01D6">
        <w:t xml:space="preserve"> </w:t>
      </w:r>
      <w:r>
        <w:t xml:space="preserve">it paramount to </w:t>
      </w:r>
      <w:r w:rsidRPr="002B01D6">
        <w:t>estimat</w:t>
      </w:r>
      <w:r>
        <w:t>e</w:t>
      </w:r>
      <w:r w:rsidRPr="002B01D6">
        <w:t xml:space="preserve"> the utilisation rate consistent</w:t>
      </w:r>
      <w:r>
        <w:t>ly</w:t>
      </w:r>
      <w:r w:rsidRPr="002B01D6">
        <w:t xml:space="preserve"> with the underlying theo</w:t>
      </w:r>
      <w:r>
        <w:t>retical framework:</w:t>
      </w:r>
      <w:r>
        <w:rPr>
          <w:rStyle w:val="FootnoteReference"/>
        </w:rPr>
        <w:footnoteReference w:id="408"/>
      </w:r>
    </w:p>
    <w:p w14:paraId="4DBD216B" w14:textId="77777777" w:rsidR="00CD23CD" w:rsidRPr="002B01D6" w:rsidRDefault="00CD23CD" w:rsidP="00CD23CD">
      <w:pPr>
        <w:pStyle w:val="AERquote"/>
      </w:pPr>
      <w:r w:rsidRPr="00BE0506">
        <w:t xml:space="preserve">In my view, the most important requirements in selecting a methodology for estimating </w:t>
      </w:r>
      <w:r w:rsidRPr="00BE0506">
        <w:rPr>
          <w:rStyle w:val="AERtextitalic"/>
        </w:rPr>
        <w:t>U</w:t>
      </w:r>
      <w:r w:rsidRPr="00BE0506">
        <w:t xml:space="preserve"> [the utilisation rate] are that the estimate be consistent with the definition of </w:t>
      </w:r>
      <w:r w:rsidRPr="00BE0506">
        <w:rPr>
          <w:rStyle w:val="AERtextitalic"/>
        </w:rPr>
        <w:t>U</w:t>
      </w:r>
      <w:r w:rsidRPr="00BE0506">
        <w:t>, as a value-weighted average over the utilisation rates of all investors who are relevant to the Officer CAPM, that the parameter estimate is likely to give rise to an estimated cost of equity from the Officer model that lies within the bounds arising from either complete segmentation or complete integration of equity markets, and that the estimate is reasonably precise.</w:t>
      </w:r>
    </w:p>
    <w:p w14:paraId="6BB7D8AA" w14:textId="77777777" w:rsidR="00CD23CD" w:rsidRPr="002B01D6" w:rsidRDefault="00CD23CD" w:rsidP="00CD23CD">
      <w:pPr>
        <w:numPr>
          <w:ilvl w:val="0"/>
          <w:numId w:val="25"/>
        </w:numPr>
      </w:pPr>
      <w:r w:rsidRPr="002B01D6">
        <w:t xml:space="preserve">The importance of theoretical consistency </w:t>
      </w:r>
      <w:r>
        <w:t>led</w:t>
      </w:r>
      <w:r w:rsidRPr="002B01D6">
        <w:t xml:space="preserve"> Lally to recommend that the optimal estim</w:t>
      </w:r>
      <w:r>
        <w:t>ate of the utilisation rate is 1</w:t>
      </w:r>
      <w:r w:rsidRPr="002B01D6">
        <w:t>, on these conceptual grounds:</w:t>
      </w:r>
      <w:r>
        <w:rPr>
          <w:rStyle w:val="FootnoteReference"/>
        </w:rPr>
        <w:footnoteReference w:id="409"/>
      </w:r>
    </w:p>
    <w:p w14:paraId="06FFE6F3" w14:textId="77777777" w:rsidR="00CD23CD" w:rsidRPr="002B01D6" w:rsidRDefault="00CD23CD" w:rsidP="00CD23CD">
      <w:pPr>
        <w:pStyle w:val="AERquote"/>
      </w:pPr>
      <w:r w:rsidRPr="002B01D6">
        <w:t xml:space="preserve">In respect of </w:t>
      </w:r>
      <w:r w:rsidRPr="0008443B">
        <w:rPr>
          <w:rStyle w:val="AERtextitalic"/>
        </w:rPr>
        <w:t>U</w:t>
      </w:r>
      <w:r w:rsidRPr="002B01D6">
        <w:t xml:space="preserve">, there are five possible approaches to estimating </w:t>
      </w:r>
      <w:r>
        <w:t>it</w:t>
      </w:r>
      <w:r w:rsidRPr="002B01D6">
        <w:t>. The first of these arises from the definition of the parameter as a weighted average across all investors; coupled with ignoring foreigners (consistent with the Officer CAPM), this yields an estimate of 1 (the utilisation rate of local investors).</w:t>
      </w:r>
    </w:p>
    <w:p w14:paraId="224BAF0D" w14:textId="77777777" w:rsidR="00CD23CD" w:rsidRPr="002B01D6" w:rsidRDefault="00CD23CD" w:rsidP="00CD23CD">
      <w:pPr>
        <w:pStyle w:val="AERquote"/>
      </w:pPr>
      <w:r w:rsidRPr="002B01D6">
        <w:t>…</w:t>
      </w:r>
    </w:p>
    <w:p w14:paraId="4C875718" w14:textId="77777777" w:rsidR="00CD23CD" w:rsidRDefault="00CD23CD" w:rsidP="00CD23CD">
      <w:pPr>
        <w:pStyle w:val="AERquote"/>
      </w:pPr>
      <w:r w:rsidRPr="002B01D6">
        <w:t>Using the three criteria described above, my preferred estimate is 1 from the first approach…</w:t>
      </w:r>
    </w:p>
    <w:p w14:paraId="7F251798" w14:textId="77777777" w:rsidR="00CD23CD" w:rsidRDefault="00CD23CD" w:rsidP="00CD23CD">
      <w:pPr>
        <w:numPr>
          <w:ilvl w:val="0"/>
          <w:numId w:val="25"/>
        </w:numPr>
      </w:pPr>
      <w:r>
        <w:t>An alternative to the 'domestic' Officer CAPM is an international CAPM, whereby the relevant set of assets is all assets in the world and the relevant set of investors is all investors in the world; that is, the domestic market is assumed to be 'fully integrated' with international markets.  Using this model would require inputs based on international benchmarks, including a utilisation rate of 0 because the proportion of global investors eligible to make use of domestic imputation credits  is close to zero.</w:t>
      </w:r>
    </w:p>
    <w:p w14:paraId="4D07274A" w14:textId="77777777" w:rsidR="00CD23CD" w:rsidRDefault="00CD23CD" w:rsidP="00CD23CD">
      <w:pPr>
        <w:numPr>
          <w:ilvl w:val="0"/>
          <w:numId w:val="25"/>
        </w:numPr>
      </w:pPr>
      <w:r>
        <w:t xml:space="preserve">Both in the Guideline and in this </w:t>
      </w:r>
      <w:r w:rsidR="009A3ED2">
        <w:t>final</w:t>
      </w:r>
      <w:r>
        <w:t xml:space="preserve"> decision, we propose an approach to estimating the utilisation rate that recognises foreign investors to the extent that they invest in the Australian market. Thus, our approach sits between the alternative positions of Lally's interpretation of the Officer framework (where only domestic investors are recognised) and an international framework. This was recognised by Lally:</w:t>
      </w:r>
      <w:r>
        <w:rPr>
          <w:rStyle w:val="FootnoteReference"/>
        </w:rPr>
        <w:footnoteReference w:id="410"/>
      </w:r>
    </w:p>
    <w:p w14:paraId="267B3280" w14:textId="77777777" w:rsidR="00CD23CD" w:rsidRPr="002C135E" w:rsidRDefault="00CD23CD" w:rsidP="00CD23CD">
      <w:pPr>
        <w:pStyle w:val="AERquote"/>
      </w:pPr>
      <w:r w:rsidRPr="002C135E">
        <w:t>The AER (2013, section 8.3.1, page 120) also includes foreign investors to the extent that they invest in the Australian market, to reflect the empirical reality of their existence. However this involves use of a model (the Officer CAPM) that assumes that national markets for risky assets are segmented along with the definition for a parameter (</w:t>
      </w:r>
      <w:r w:rsidRPr="007E444D">
        <w:rPr>
          <w:rStyle w:val="AERtextitalic"/>
        </w:rPr>
        <w:t>U</w:t>
      </w:r>
      <w:r>
        <w:t xml:space="preserve">) </w:t>
      </w:r>
      <w:r w:rsidRPr="002C135E">
        <w:t>that is inconsistent with this model.</w:t>
      </w:r>
    </w:p>
    <w:p w14:paraId="5F4D3290" w14:textId="77777777" w:rsidR="00CD23CD" w:rsidRPr="002C135E" w:rsidRDefault="00CD23CD" w:rsidP="00CD23CD">
      <w:pPr>
        <w:numPr>
          <w:ilvl w:val="0"/>
          <w:numId w:val="25"/>
        </w:numPr>
      </w:pPr>
      <w:r w:rsidRPr="002C135E">
        <w:t>Lally consider</w:t>
      </w:r>
      <w:r>
        <w:t>ed</w:t>
      </w:r>
      <w:r w:rsidRPr="002C135E">
        <w:t xml:space="preserve"> the overarching concern is whether the inconsistency between input parameters and model definitions might </w:t>
      </w:r>
      <w:r>
        <w:t>produce an unreasonable outcome.</w:t>
      </w:r>
      <w:r w:rsidRPr="002C135E">
        <w:t xml:space="preserve"> That is, even if </w:t>
      </w:r>
      <w:r w:rsidRPr="002C135E">
        <w:lastRenderedPageBreak/>
        <w:t>the individual components are each justified in isolation, the combination might produce an overall result that is no longer reasonable:</w:t>
      </w:r>
      <w:r>
        <w:rPr>
          <w:rStyle w:val="FootnoteReference"/>
        </w:rPr>
        <w:footnoteReference w:id="411"/>
      </w:r>
      <w:r w:rsidRPr="002C135E">
        <w:t xml:space="preserve"> </w:t>
      </w:r>
    </w:p>
    <w:p w14:paraId="2F99A4E4" w14:textId="77777777" w:rsidR="00CD23CD" w:rsidRPr="002C135E" w:rsidRDefault="00CD23CD" w:rsidP="00CD23CD">
      <w:pPr>
        <w:pStyle w:val="AERquote"/>
      </w:pPr>
      <w:r w:rsidRPr="002C135E">
        <w:t>The Officer (1994) CAPM implicitly assumes that national markets for risky assets are completely segmented, in the sense that investors are precluded from purchasing foreign risky ass</w:t>
      </w:r>
      <w:r>
        <w:t>ets. However, most estimates of</w:t>
      </w:r>
      <w:r w:rsidRPr="002C135E">
        <w:t xml:space="preserve"> </w:t>
      </w:r>
      <w:r w:rsidRPr="00B424BB">
        <w:rPr>
          <w:rStyle w:val="AERtextitalic"/>
        </w:rPr>
        <w:t>U</w:t>
      </w:r>
      <w:r w:rsidRPr="002C135E">
        <w:t xml:space="preserve"> reflect the presence of foreign investors. Consequently the potential for economically unreasonable estimates of the cost of equity arises, i.e., values that lie outside range of those arising under complete segmentation and complete integration of national markets for risky assets. In this event the partial recognition of foreign investors would effectively constitute cherry-picking that maximises the revenue or price cap, i.e., ignoring foreign investors when it is favourable to regulated firms (choosing the CAPM) and also estimating </w:t>
      </w:r>
      <w:r w:rsidRPr="00B424BB">
        <w:rPr>
          <w:rStyle w:val="AERtextitalic"/>
        </w:rPr>
        <w:t>U</w:t>
      </w:r>
      <w:r w:rsidRPr="002C135E">
        <w:t xml:space="preserve"> by a methodology that reflects the presence of these investors when it is also favourable to regulated firms. We therefore assess whether various estimates of </w:t>
      </w:r>
      <w:r w:rsidRPr="00B424BB">
        <w:rPr>
          <w:rStyle w:val="AERtextitalic"/>
        </w:rPr>
        <w:t>U</w:t>
      </w:r>
      <w:r w:rsidRPr="002C135E">
        <w:t xml:space="preserve"> lead to this outcome.</w:t>
      </w:r>
    </w:p>
    <w:p w14:paraId="34578BDB" w14:textId="77777777" w:rsidR="00CD23CD" w:rsidRPr="002C135E" w:rsidRDefault="00CD23CD" w:rsidP="00CD23CD">
      <w:pPr>
        <w:pStyle w:val="AERquote"/>
      </w:pPr>
      <w:r w:rsidRPr="002C135E">
        <w:t>To do so it is necessary to consider the implications for the cost of equity of complete integration and complete segmentation of national markets for risky assets.</w:t>
      </w:r>
    </w:p>
    <w:p w14:paraId="1D9D1FE9" w14:textId="77777777" w:rsidR="00CD23CD" w:rsidRPr="002C135E" w:rsidRDefault="00CD23CD" w:rsidP="00CD23CD">
      <w:pPr>
        <w:numPr>
          <w:ilvl w:val="0"/>
          <w:numId w:val="25"/>
        </w:numPr>
      </w:pPr>
      <w:r w:rsidRPr="002C135E">
        <w:t xml:space="preserve">Lally </w:t>
      </w:r>
      <w:r>
        <w:t>pointed</w:t>
      </w:r>
      <w:r w:rsidRPr="002C135E">
        <w:t xml:space="preserve"> out that, while there is some uncertainty about the return on equity in a partial integration scenario, it must lie within two boundaries. At one end, there is the return on equity that would be required if the domestic market was </w:t>
      </w:r>
      <w:r>
        <w:t>fully</w:t>
      </w:r>
      <w:r w:rsidRPr="002C135E">
        <w:t xml:space="preserve"> segmented</w:t>
      </w:r>
      <w:r>
        <w:t xml:space="preserve"> from international markets</w:t>
      </w:r>
      <w:r w:rsidRPr="002C135E">
        <w:t xml:space="preserve">. At the other extreme is the return on equity if the capital market was </w:t>
      </w:r>
      <w:r>
        <w:t>fully</w:t>
      </w:r>
      <w:r w:rsidRPr="002C135E">
        <w:t xml:space="preserve"> integrated </w:t>
      </w:r>
      <w:r>
        <w:t>with international markets</w:t>
      </w:r>
      <w:r w:rsidRPr="002C135E">
        <w:t xml:space="preserve">. To assess whether </w:t>
      </w:r>
      <w:r>
        <w:t>the</w:t>
      </w:r>
      <w:r w:rsidRPr="002C135E">
        <w:t xml:space="preserve"> approach</w:t>
      </w:r>
      <w:r>
        <w:t xml:space="preserve"> in the draft Guideline passed this test, Lally estimated</w:t>
      </w:r>
      <w:r w:rsidRPr="002C135E">
        <w:t xml:space="preserve"> for the average Australian firm:</w:t>
      </w:r>
      <w:r>
        <w:rPr>
          <w:rStyle w:val="FootnoteReference"/>
        </w:rPr>
        <w:footnoteReference w:id="412"/>
      </w:r>
      <w:r w:rsidRPr="002C135E">
        <w:t xml:space="preserve"> </w:t>
      </w:r>
    </w:p>
    <w:p w14:paraId="2FDDEED5" w14:textId="77777777" w:rsidR="00CD23CD" w:rsidRPr="00CD23CD" w:rsidRDefault="00CD23CD" w:rsidP="00CD23CD">
      <w:pPr>
        <w:pStyle w:val="AERbulletlistfirststyle"/>
      </w:pPr>
      <w:r w:rsidRPr="002C135E">
        <w:t xml:space="preserve">The return on equity under segmentation, using a domestic-only (segmented) CAPM populated with domestic parameters. That is, a market risk premium for a segmented Australian market, an equity beta relative to the Australian market, and a utilisation rate of </w:t>
      </w:r>
      <w:r w:rsidRPr="00CD23CD">
        <w:t>1.</w:t>
      </w:r>
    </w:p>
    <w:p w14:paraId="70203C44" w14:textId="77777777" w:rsidR="00CD23CD" w:rsidRPr="00CD23CD" w:rsidRDefault="00CD23CD" w:rsidP="00CD23CD">
      <w:pPr>
        <w:pStyle w:val="AERbulletlistfirststyle"/>
      </w:pPr>
      <w:r w:rsidRPr="002C135E">
        <w:t xml:space="preserve">The return on equity under integration, using an international CAPM (based on Solnik, 1974) populated with global parameters. That is, using a market risk premium for an integrated (global) market, an equity beta relative to the global market and a utilisation rate of </w:t>
      </w:r>
      <w:r w:rsidRPr="00CD23CD">
        <w:t>0.</w:t>
      </w:r>
    </w:p>
    <w:p w14:paraId="1FB4E335" w14:textId="77777777" w:rsidR="00CD23CD" w:rsidRPr="00CD23CD" w:rsidRDefault="00CD23CD" w:rsidP="00CD23CD">
      <w:pPr>
        <w:pStyle w:val="AERbulletlistfirststyle"/>
      </w:pPr>
      <w:r w:rsidRPr="002C135E">
        <w:t xml:space="preserve">The return on equity using a segmented (Officer) CAPM, populated with parameters that accord with </w:t>
      </w:r>
      <w:r w:rsidRPr="00CD23CD">
        <w:t xml:space="preserve">our 'partially integrated' market definition. That is, a market risk premium and an equity beta that reflect the domestic market, but recognising foreign investors to the extent that they invest in the domestic (Australian) market. </w:t>
      </w:r>
    </w:p>
    <w:p w14:paraId="797D2E4F" w14:textId="77777777" w:rsidR="00CD23CD" w:rsidRPr="00953733" w:rsidRDefault="00CD23CD" w:rsidP="00CD23CD">
      <w:pPr>
        <w:numPr>
          <w:ilvl w:val="0"/>
          <w:numId w:val="25"/>
        </w:numPr>
      </w:pPr>
      <w:r>
        <w:t>Lally's aim wa</w:t>
      </w:r>
      <w:r w:rsidRPr="00953733">
        <w:t xml:space="preserve">s to ascertain what utilisation rates under the third scenario will result in a return on equity that lies between the </w:t>
      </w:r>
      <w:r>
        <w:t xml:space="preserve">two 'goalposts' represented by the </w:t>
      </w:r>
      <w:r w:rsidRPr="00953733">
        <w:t xml:space="preserve">return on equity </w:t>
      </w:r>
      <w:r w:rsidRPr="00953733">
        <w:lastRenderedPageBreak/>
        <w:t>from the first two scenarios (full segmentation and full integration). This is how Lally present</w:t>
      </w:r>
      <w:r>
        <w:t>ed</w:t>
      </w:r>
      <w:r w:rsidRPr="00953733">
        <w:t xml:space="preserve"> the results of this assessment:</w:t>
      </w:r>
      <w:r>
        <w:rPr>
          <w:rStyle w:val="FootnoteReference"/>
        </w:rPr>
        <w:footnoteReference w:id="413"/>
      </w:r>
      <w:r w:rsidRPr="00953733">
        <w:t xml:space="preserve"> </w:t>
      </w:r>
    </w:p>
    <w:p w14:paraId="52668688" w14:textId="77777777" w:rsidR="00CD23CD" w:rsidRPr="00953733" w:rsidRDefault="00CD23CD" w:rsidP="00CD23CD">
      <w:pPr>
        <w:pStyle w:val="AERquote"/>
      </w:pPr>
      <w:r w:rsidRPr="00953733">
        <w:t>In summary, in the face of an inconsistency between the use of the Officer model (which assumes that national equity markets are segmented) and an estimate of the utilisation rate on imputation credits that is less than 1 (which reflects the presence of foreign investors), a minimum requirement is that the results from this approach should lie within the bounds arising from complete segmentation of national equity markets and complete integration (to ensure that the cost of capital results are consistent with some scenario regarding segmentation or integ</w:t>
      </w:r>
      <w:r>
        <w:t>ration).  However, estimates of</w:t>
      </w:r>
      <w:r w:rsidRPr="00953733">
        <w:t xml:space="preserve"> </w:t>
      </w:r>
      <w:r w:rsidRPr="0039716B">
        <w:rPr>
          <w:rStyle w:val="AERtextitalic"/>
        </w:rPr>
        <w:t>U</w:t>
      </w:r>
      <w:r>
        <w:t xml:space="preserve"> </w:t>
      </w:r>
      <w:r w:rsidRPr="00953733">
        <w:t>that are significantly less than 1 fail this test in virtually every case examined, and are therefore deficient. In effect, combining Officer’s CAPM with a utilisation rate that is significantly less than 1 constitutes a defacto form of cherry-picking of parameter values and models that maximises the price or revenue cap for regulated businesses. By contrast, if the Officer model were combined with a utilisation rate on imputation credits of 1, or close to it, the test described here would be satisfied in most cases. All of this suggests that, if the Officer model is used, the only sensible estimate of the utilisation rate is at or close to 1.</w:t>
      </w:r>
    </w:p>
    <w:p w14:paraId="4243F6BC" w14:textId="77777777" w:rsidR="00CD23CD" w:rsidRPr="00953733" w:rsidRDefault="00CD23CD" w:rsidP="00CD23CD">
      <w:pPr>
        <w:numPr>
          <w:ilvl w:val="0"/>
          <w:numId w:val="25"/>
        </w:numPr>
      </w:pPr>
      <w:r>
        <w:t>This analysis contributes to Lally's conclusion that</w:t>
      </w:r>
      <w:r w:rsidRPr="00953733">
        <w:t xml:space="preserve"> the uti</w:t>
      </w:r>
      <w:r>
        <w:t>lisation rate should be 1</w:t>
      </w:r>
      <w:r w:rsidRPr="00953733">
        <w:t xml:space="preserve"> or close to it. T</w:t>
      </w:r>
      <w:r>
        <w:t>o refine this estimate, we undertook</w:t>
      </w:r>
      <w:r w:rsidRPr="00953733">
        <w:t xml:space="preserve"> further analysis using the approach </w:t>
      </w:r>
      <w:r>
        <w:t>set out by Lally. This indicated</w:t>
      </w:r>
      <w:r w:rsidRPr="00953733">
        <w:t xml:space="preserve"> that utilisation</w:t>
      </w:r>
      <w:r>
        <w:t xml:space="preserve"> rates between 0.8 and 1</w:t>
      </w:r>
      <w:r w:rsidRPr="00953733">
        <w:t xml:space="preserve"> generate a reasonable return on equity (that is, one that lies between the goalposts) in the majority of permutation scenarios.  Further, when interpreting this sensitivity analysis, it is also relevant </w:t>
      </w:r>
      <w:r>
        <w:t xml:space="preserve">to consider </w:t>
      </w:r>
      <w:r w:rsidRPr="00953733">
        <w:t xml:space="preserve">whether each particular scenario has arisen from an extreme permutation—that is, if the individual parameters are all at their highest (or lowest) possible values. Such a scenario is much less likely than a permutation where most of the parameters are at their expected </w:t>
      </w:r>
      <w:r>
        <w:t>values</w:t>
      </w:r>
      <w:r w:rsidRPr="00953733">
        <w:t>. A utilisation rate of 0.6 or below generates very few return on equity results that are reasonable (between the goalposts), and these all arise at extreme permutations.</w:t>
      </w:r>
    </w:p>
    <w:p w14:paraId="445D5048" w14:textId="77777777" w:rsidR="00CD23CD" w:rsidRDefault="00CD23CD" w:rsidP="00CD23CD">
      <w:pPr>
        <w:numPr>
          <w:ilvl w:val="0"/>
          <w:numId w:val="25"/>
        </w:numPr>
      </w:pPr>
      <w:r>
        <w:t>In conclusion, in the Guideline we considered that</w:t>
      </w:r>
      <w:r w:rsidRPr="00953733">
        <w:t xml:space="preserve"> the concep</w:t>
      </w:r>
      <w:r>
        <w:t>tual goalposts approach supported</w:t>
      </w:r>
      <w:r w:rsidRPr="00953733">
        <w:t xml:space="preserve"> an estimate of the utilisation rate in the ra</w:t>
      </w:r>
      <w:r>
        <w:t>nge 0.8 to 1. We considered also that it suggested</w:t>
      </w:r>
      <w:r w:rsidRPr="00953733">
        <w:t xml:space="preserve"> that a ut</w:t>
      </w:r>
      <w:r>
        <w:t>ilisation rate of 0.6 or below wa</w:t>
      </w:r>
      <w:r w:rsidRPr="00953733">
        <w:t>s unreasonable.</w:t>
      </w:r>
    </w:p>
    <w:p w14:paraId="4ADDA6A8" w14:textId="77777777" w:rsidR="00CD23CD" w:rsidRDefault="00CD23CD" w:rsidP="00CD23CD">
      <w:pPr>
        <w:pStyle w:val="Heading9"/>
      </w:pPr>
      <w:r>
        <w:t xml:space="preserve">Advice received since </w:t>
      </w:r>
      <w:r w:rsidRPr="00CD23CD">
        <w:t>the</w:t>
      </w:r>
      <w:r>
        <w:t xml:space="preserve"> Guideline</w:t>
      </w:r>
    </w:p>
    <w:p w14:paraId="344F6654" w14:textId="77777777" w:rsidR="00CD23CD" w:rsidRDefault="00CD23CD" w:rsidP="00CD23CD">
      <w:pPr>
        <w:numPr>
          <w:ilvl w:val="0"/>
          <w:numId w:val="25"/>
        </w:numPr>
      </w:pPr>
      <w:r>
        <w:t>In advice received since the Guideline's publication, Handley advised that he does not consider the conceptual goalposts approach to be a reasonable approach to estimating the utilisation rate:</w:t>
      </w:r>
      <w:r>
        <w:rPr>
          <w:rStyle w:val="FootnoteReference"/>
        </w:rPr>
        <w:footnoteReference w:id="414"/>
      </w:r>
    </w:p>
    <w:p w14:paraId="6515828C" w14:textId="77777777" w:rsidR="00CD23CD" w:rsidRDefault="00CD23CD" w:rsidP="00CD23CD">
      <w:pPr>
        <w:pStyle w:val="AERquote"/>
      </w:pPr>
      <w:r w:rsidRPr="00831644">
        <w:t>I do not consider the conceptual goalpost approach</w:t>
      </w:r>
      <w:r>
        <w:t xml:space="preserve"> to be a reasonable approach to </w:t>
      </w:r>
      <w:r w:rsidRPr="00831644">
        <w:t>estimation as first, it is motivated by a faulty premi</w:t>
      </w:r>
      <w:r>
        <w:t xml:space="preserve">se – that the CAPM suggested by </w:t>
      </w:r>
      <w:r w:rsidRPr="00831644">
        <w:t xml:space="preserve">Officer implicitly assumes that national markets </w:t>
      </w:r>
      <w:r>
        <w:t xml:space="preserve">for risky assets are completely </w:t>
      </w:r>
      <w:r w:rsidRPr="00831644">
        <w:lastRenderedPageBreak/>
        <w:t>segmented in the sense that all domestic assets are held</w:t>
      </w:r>
      <w:r>
        <w:t xml:space="preserve"> by domestic investors only and </w:t>
      </w:r>
      <w:r w:rsidRPr="00831644">
        <w:t>all foreign assets are held by foreign investors only – an</w:t>
      </w:r>
      <w:r>
        <w:t xml:space="preserve">d second, that it seeks to sure </w:t>
      </w:r>
      <w:r w:rsidRPr="00831644">
        <w:t>up one uncertain estimate by reference to two other es</w:t>
      </w:r>
      <w:r>
        <w:t xml:space="preserve">timates (the “goalposts”) which </w:t>
      </w:r>
      <w:r w:rsidRPr="00831644">
        <w:t>themselves are subject to substantial uncertainty.</w:t>
      </w:r>
    </w:p>
    <w:p w14:paraId="053E337E" w14:textId="77777777" w:rsidR="00CD23CD" w:rsidRDefault="00CD23CD" w:rsidP="00CD23CD">
      <w:pPr>
        <w:numPr>
          <w:ilvl w:val="0"/>
          <w:numId w:val="25"/>
        </w:numPr>
      </w:pPr>
      <w:r>
        <w:t>Handley expanded on his first point elsewhere in his advice:</w:t>
      </w:r>
      <w:r>
        <w:rPr>
          <w:rStyle w:val="FootnoteReference"/>
        </w:rPr>
        <w:footnoteReference w:id="415"/>
      </w:r>
    </w:p>
    <w:p w14:paraId="3E4A1B33" w14:textId="77777777" w:rsidR="00CD23CD" w:rsidRDefault="00CD23CD" w:rsidP="00CD23CD">
      <w:pPr>
        <w:pStyle w:val="AERquote"/>
      </w:pPr>
      <w:r w:rsidRPr="00831644">
        <w:t>Lally (2013) adopts an unnecessarily narrow in</w:t>
      </w:r>
      <w:r>
        <w:t xml:space="preserve">terpretation of segmentation in </w:t>
      </w:r>
      <w:r w:rsidRPr="00831644">
        <w:t xml:space="preserve">suggesting that foreign investors should be excluded </w:t>
      </w:r>
      <w:r>
        <w:t xml:space="preserve">completely. But once you choose </w:t>
      </w:r>
      <w:r w:rsidRPr="00831644">
        <w:t xml:space="preserve">a proxy for the market portfolio you define not only the set </w:t>
      </w:r>
      <w:r>
        <w:t xml:space="preserve">of assets that are relevant for </w:t>
      </w:r>
      <w:r w:rsidRPr="00831644">
        <w:t>pricing purposes but you also define the set of investor</w:t>
      </w:r>
      <w:r>
        <w:t xml:space="preserve">s that are relevant for pricing </w:t>
      </w:r>
      <w:r w:rsidRPr="00831644">
        <w:t>purposes – in other words, it is a joint assumption. Lal</w:t>
      </w:r>
      <w:r>
        <w:t xml:space="preserve">ly’s suggestion that we include </w:t>
      </w:r>
      <w:r w:rsidRPr="00831644">
        <w:t xml:space="preserve">the full set of </w:t>
      </w:r>
      <w:r w:rsidRPr="00831644">
        <w:rPr>
          <w:rStyle w:val="AERtextitalic"/>
        </w:rPr>
        <w:t>n</w:t>
      </w:r>
      <w:r w:rsidRPr="00831644">
        <w:t xml:space="preserve"> assets but only a subset of the of </w:t>
      </w:r>
      <w:r w:rsidRPr="00831644">
        <w:rPr>
          <w:rStyle w:val="AERtextitalic"/>
        </w:rPr>
        <w:t>m</w:t>
      </w:r>
      <w:r w:rsidRPr="00831644">
        <w:t xml:space="preserve"> inv</w:t>
      </w:r>
      <w:r>
        <w:t xml:space="preserve">estors not only contradicts the </w:t>
      </w:r>
      <w:r w:rsidRPr="00831644">
        <w:t>starting point of the CAPM but also does not accor</w:t>
      </w:r>
      <w:r>
        <w:t xml:space="preserve">d with the reality that foreign </w:t>
      </w:r>
      <w:r w:rsidRPr="00831644">
        <w:t>investors are present in and influence the pricing of asse</w:t>
      </w:r>
      <w:r>
        <w:t xml:space="preserve">ts in the domestic market. This </w:t>
      </w:r>
      <w:r w:rsidRPr="00831644">
        <w:t>notion of (complete) segmentation – that only domes</w:t>
      </w:r>
      <w:r>
        <w:t xml:space="preserve">tic assets are held by domestic </w:t>
      </w:r>
      <w:r w:rsidRPr="00831644">
        <w:t>investors – is an assumption of Lally but is not an assumption of the CAPM.</w:t>
      </w:r>
    </w:p>
    <w:p w14:paraId="3C0256BC" w14:textId="77777777" w:rsidR="00CD23CD" w:rsidRDefault="00CD23CD" w:rsidP="00CD23CD">
      <w:pPr>
        <w:numPr>
          <w:ilvl w:val="0"/>
          <w:numId w:val="25"/>
        </w:numPr>
      </w:pPr>
      <w:r>
        <w:t>Thus, Handley's first point is that he does not consider the return on equity yielded by a domestic CAPM that ignores foreign investors to be a reasonable goalpost against which to assess the return on equity yielded by our approach. Handley's second point appears to accord closely with his view that estimation of the utilisation rate and the value of imputation credits is imprecise.</w:t>
      </w:r>
      <w:r>
        <w:rPr>
          <w:rStyle w:val="FootnoteReference"/>
        </w:rPr>
        <w:footnoteReference w:id="416"/>
      </w:r>
    </w:p>
    <w:p w14:paraId="40C630A8" w14:textId="63AA474E" w:rsidR="00FA6E29" w:rsidRDefault="00C9278D" w:rsidP="00FA6E29">
      <w:r>
        <w:t xml:space="preserve">Gray (for </w:t>
      </w:r>
      <w:r w:rsidR="00CD23CD">
        <w:t>SFG</w:t>
      </w:r>
      <w:r>
        <w:t>)</w:t>
      </w:r>
      <w:r w:rsidR="00CD23CD">
        <w:t xml:space="preserve"> also raised concerns with the approach, and a number of these have been responded to by Lally.</w:t>
      </w:r>
      <w:r w:rsidR="00CD23CD">
        <w:rPr>
          <w:rStyle w:val="FootnoteReference"/>
        </w:rPr>
        <w:footnoteReference w:id="417"/>
      </w:r>
    </w:p>
    <w:p w14:paraId="6138A06C" w14:textId="546F2B65" w:rsidR="00F467D0" w:rsidRDefault="00F467D0">
      <w:pPr>
        <w:spacing w:line="240" w:lineRule="auto"/>
      </w:pPr>
      <w:r>
        <w:br w:type="page"/>
      </w:r>
    </w:p>
    <w:p w14:paraId="47E0AB91" w14:textId="7D7D1BC3" w:rsidR="00F467D0" w:rsidRPr="00DC6620" w:rsidRDefault="00DC6620" w:rsidP="00DC6620">
      <w:pPr>
        <w:pStyle w:val="Heading7"/>
      </w:pPr>
      <w:bookmarkStart w:id="103" w:name="_Toc433449227"/>
      <w:r>
        <w:lastRenderedPageBreak/>
        <w:t>Confidential appendix</w:t>
      </w:r>
      <w:r w:rsidR="00F467D0" w:rsidRPr="00DC6620">
        <w:t xml:space="preserve">: Value of imputation credits—Consideration of comments in relation to SA Power Networks </w:t>
      </w:r>
      <w:r w:rsidR="00481B0E" w:rsidRPr="00DC6620">
        <w:t xml:space="preserve">advisors </w:t>
      </w:r>
      <w:r w:rsidR="00F467D0" w:rsidRPr="00DC6620">
        <w:t>freedom of information request</w:t>
      </w:r>
      <w:bookmarkEnd w:id="103"/>
    </w:p>
    <w:sectPr w:rsidR="00F467D0" w:rsidRPr="00DC6620" w:rsidSect="00872109">
      <w:pgSz w:w="11906" w:h="16838"/>
      <w:pgMar w:top="1440" w:right="1440" w:bottom="1440" w:left="1440" w:header="709" w:footer="709"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3F4E24" w14:textId="77777777" w:rsidR="00CF4D6D" w:rsidRPr="00290C63" w:rsidRDefault="00CF4D6D" w:rsidP="00290C63">
      <w:r>
        <w:separator/>
      </w:r>
    </w:p>
    <w:p w14:paraId="56A58BED" w14:textId="77777777" w:rsidR="00CF4D6D" w:rsidRDefault="00CF4D6D"/>
  </w:endnote>
  <w:endnote w:type="continuationSeparator" w:id="0">
    <w:p w14:paraId="1E1B5582" w14:textId="77777777" w:rsidR="00CF4D6D" w:rsidRPr="00290C63" w:rsidRDefault="00CF4D6D" w:rsidP="00290C63">
      <w:r>
        <w:continuationSeparator/>
      </w:r>
    </w:p>
    <w:p w14:paraId="19AC23DC" w14:textId="77777777" w:rsidR="00CF4D6D" w:rsidRDefault="00CF4D6D"/>
  </w:endnote>
  <w:endnote w:type="continuationNotice" w:id="1">
    <w:p w14:paraId="20CE09CB" w14:textId="77777777" w:rsidR="00CF4D6D" w:rsidRDefault="00CF4D6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utami">
    <w:panose1 w:val="020B0502040204020203"/>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9308E" w14:textId="77777777" w:rsidR="00CF4D6D" w:rsidRPr="00290C63" w:rsidRDefault="00CF4D6D"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14:paraId="0D38B385" w14:textId="77777777" w:rsidR="00CF4D6D" w:rsidRDefault="00CF4D6D"/>
  <w:p w14:paraId="534BB993" w14:textId="77777777" w:rsidR="00CF4D6D" w:rsidRDefault="00CF4D6D"/>
  <w:p w14:paraId="1B1B2874" w14:textId="77777777" w:rsidR="00CF4D6D" w:rsidRDefault="00CF4D6D"/>
  <w:p w14:paraId="7BEB9AC4" w14:textId="77777777" w:rsidR="00CF4D6D" w:rsidRDefault="00CF4D6D"/>
  <w:p w14:paraId="189D4CFD" w14:textId="77777777" w:rsidR="00CF4D6D" w:rsidRDefault="00CF4D6D"/>
  <w:p w14:paraId="659F3C15" w14:textId="77777777" w:rsidR="00CF4D6D" w:rsidRDefault="00CF4D6D"/>
  <w:p w14:paraId="28D0D7FC" w14:textId="77777777" w:rsidR="00CF4D6D" w:rsidRDefault="00CF4D6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01426"/>
      <w:docPartObj>
        <w:docPartGallery w:val="Page Numbers (Bottom of Page)"/>
        <w:docPartUnique/>
      </w:docPartObj>
    </w:sdtPr>
    <w:sdtEndPr>
      <w:rPr>
        <w:noProof/>
        <w:szCs w:val="16"/>
      </w:rPr>
    </w:sdtEndPr>
    <w:sdtContent>
      <w:p w14:paraId="1E72F9D6" w14:textId="24543DF8" w:rsidR="00CF4D6D" w:rsidRPr="009B6F84" w:rsidRDefault="00CF4D6D">
        <w:pPr>
          <w:pStyle w:val="Footer"/>
          <w:rPr>
            <w:sz w:val="20"/>
          </w:rPr>
        </w:pPr>
        <w:r>
          <w:fldChar w:fldCharType="begin"/>
        </w:r>
        <w:r>
          <w:instrText xml:space="preserve"> PAGE   \* MERGEFORMAT </w:instrText>
        </w:r>
        <w:r>
          <w:fldChar w:fldCharType="separate"/>
        </w:r>
        <w:r w:rsidR="00A7274C">
          <w:rPr>
            <w:noProof/>
          </w:rPr>
          <w:t>4-0</w:t>
        </w:r>
        <w:r>
          <w:rPr>
            <w:noProof/>
          </w:rPr>
          <w:fldChar w:fldCharType="end"/>
        </w:r>
        <w:r>
          <w:rPr>
            <w:noProof/>
          </w:rPr>
          <w:t xml:space="preserve">          </w:t>
        </w:r>
        <w:r>
          <w:t xml:space="preserve">Attachment 4 </w:t>
        </w:r>
        <w:r w:rsidRPr="00951318">
          <w:t>–</w:t>
        </w:r>
        <w:r>
          <w:t xml:space="preserve"> Value of imputation credits</w:t>
        </w:r>
        <w:r w:rsidRPr="00951318">
          <w:t xml:space="preserve"> | </w:t>
        </w:r>
        <w:r>
          <w:t>SA Power Networks</w:t>
        </w:r>
        <w:r w:rsidRPr="00951318">
          <w:t xml:space="preserve"> </w:t>
        </w:r>
        <w:r>
          <w:t xml:space="preserve">determination </w:t>
        </w:r>
        <w:r w:rsidRPr="00951318">
          <w:t>2015–20</w:t>
        </w:r>
      </w:p>
    </w:sdtContent>
  </w:sdt>
  <w:p w14:paraId="3BE746CE" w14:textId="77777777" w:rsidR="00CF4D6D" w:rsidRDefault="00CF4D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A1879" w14:textId="77777777" w:rsidR="00CF4D6D" w:rsidRPr="00290C63" w:rsidRDefault="00CF4D6D"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14:paraId="6D69C0C2" w14:textId="77777777" w:rsidR="00CF4D6D" w:rsidRDefault="00CF4D6D">
    <w:pPr>
      <w:pStyle w:val="Footer"/>
    </w:pPr>
  </w:p>
  <w:p w14:paraId="0D14B469" w14:textId="77777777" w:rsidR="00CF4D6D" w:rsidRDefault="00CF4D6D"/>
  <w:p w14:paraId="6E59E334" w14:textId="77777777" w:rsidR="00CF4D6D" w:rsidRDefault="00CF4D6D"/>
  <w:p w14:paraId="096E318A" w14:textId="77777777" w:rsidR="00CF4D6D" w:rsidRDefault="00CF4D6D"/>
  <w:p w14:paraId="636F211F" w14:textId="77777777" w:rsidR="00CF4D6D" w:rsidRDefault="00CF4D6D"/>
  <w:p w14:paraId="39567FA0" w14:textId="77777777" w:rsidR="00CF4D6D" w:rsidRDefault="00CF4D6D"/>
  <w:p w14:paraId="466ADD0A" w14:textId="77777777" w:rsidR="00CF4D6D" w:rsidRDefault="00CF4D6D"/>
  <w:p w14:paraId="0CAEA027" w14:textId="77777777" w:rsidR="00CF4D6D" w:rsidRDefault="00CF4D6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755972"/>
      <w:docPartObj>
        <w:docPartGallery w:val="Page Numbers (Bottom of Page)"/>
        <w:docPartUnique/>
      </w:docPartObj>
    </w:sdtPr>
    <w:sdtEndPr/>
    <w:sdtContent>
      <w:p w14:paraId="73A5A044" w14:textId="77777777" w:rsidR="00CF4D6D" w:rsidRPr="00824CC8" w:rsidRDefault="00CF4D6D" w:rsidP="009E2088">
        <w:pPr>
          <w:pStyle w:val="Footer"/>
        </w:pPr>
        <w:r w:rsidRPr="00824CC8">
          <w:fldChar w:fldCharType="begin"/>
        </w:r>
        <w:r w:rsidRPr="00824CC8">
          <w:instrText xml:space="preserve"> PAGE   \* MERGEFORMAT </w:instrText>
        </w:r>
        <w:r w:rsidRPr="00824CC8">
          <w:fldChar w:fldCharType="separate"/>
        </w:r>
        <w:r>
          <w:rPr>
            <w:noProof/>
          </w:rPr>
          <w:t>4-76</w:t>
        </w:r>
        <w:r w:rsidRPr="00824CC8">
          <w:fldChar w:fldCharType="end"/>
        </w:r>
        <w:r w:rsidRPr="00824CC8">
          <w:tab/>
        </w:r>
        <w:r>
          <w:t xml:space="preserve">                                              </w:t>
        </w:r>
        <w:r w:rsidRPr="000A7330">
          <w:rPr>
            <w:rStyle w:val="AERbody"/>
          </w:rPr>
          <w:t xml:space="preserve">Attachment </w:t>
        </w:r>
        <w:r>
          <w:rPr>
            <w:rStyle w:val="AERbody"/>
          </w:rPr>
          <w:t>4: Value of imputation credits</w:t>
        </w:r>
        <w:r w:rsidRPr="00305E37">
          <w:rPr>
            <w:rStyle w:val="AERbody"/>
          </w:rPr>
          <w:t xml:space="preserve"> | Ausgrid draft decision</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B8E1E" w14:textId="5F4E4BE9" w:rsidR="00CF4D6D" w:rsidRPr="00824CC8" w:rsidRDefault="00CF4D6D" w:rsidP="009E2088">
    <w:pPr>
      <w:pStyle w:val="Footer"/>
      <w:rPr>
        <w:rStyle w:val="AERbody"/>
      </w:rPr>
    </w:pPr>
    <w:r w:rsidRPr="000A7330">
      <w:rPr>
        <w:rStyle w:val="AERbody"/>
      </w:rPr>
      <w:t xml:space="preserve">Attachment </w:t>
    </w:r>
    <w:r>
      <w:rPr>
        <w:rStyle w:val="AERbody"/>
      </w:rPr>
      <w:t>4 - Value of imputation credits</w:t>
    </w:r>
    <w:r w:rsidRPr="00305E37">
      <w:rPr>
        <w:rStyle w:val="AERbody"/>
      </w:rPr>
      <w:t xml:space="preserve"> | </w:t>
    </w:r>
    <w:r>
      <w:rPr>
        <w:rStyle w:val="AERbody"/>
      </w:rPr>
      <w:t xml:space="preserve">SA Power </w:t>
    </w:r>
    <w:proofErr w:type="gramStart"/>
    <w:r>
      <w:rPr>
        <w:rStyle w:val="AERbody"/>
      </w:rPr>
      <w:t xml:space="preserve">Networks </w:t>
    </w:r>
    <w:r w:rsidRPr="00305E37">
      <w:rPr>
        <w:rStyle w:val="AERbody"/>
      </w:rPr>
      <w:t xml:space="preserve"> </w:t>
    </w:r>
    <w:r>
      <w:rPr>
        <w:rStyle w:val="AERbody"/>
      </w:rPr>
      <w:t>determ</w:t>
    </w:r>
    <w:r w:rsidR="00A35AE7">
      <w:rPr>
        <w:rStyle w:val="AERbody"/>
      </w:rPr>
      <w:t>ination</w:t>
    </w:r>
    <w:proofErr w:type="gramEnd"/>
    <w:r w:rsidR="00A35AE7">
      <w:rPr>
        <w:rStyle w:val="AERbody"/>
      </w:rPr>
      <w:t xml:space="preserve"> 2015</w:t>
    </w:r>
    <w:r w:rsidR="00A35AE7">
      <w:rPr>
        <w:rStyle w:val="AERbody"/>
        <w:rFonts w:cs="Arial"/>
      </w:rPr>
      <w:t>─</w:t>
    </w:r>
    <w:r>
      <w:rPr>
        <w:rStyle w:val="AERbody"/>
      </w:rPr>
      <w:t>20</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A7274C">
      <w:rPr>
        <w:rStyle w:val="AERbody"/>
        <w:noProof/>
      </w:rPr>
      <w:t>4-77</w:t>
    </w:r>
    <w:r w:rsidRPr="00824CC8">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C2265" w14:textId="77777777" w:rsidR="00CF4D6D" w:rsidRPr="00290C63" w:rsidRDefault="00CF4D6D" w:rsidP="00290C63">
      <w:r>
        <w:separator/>
      </w:r>
    </w:p>
    <w:p w14:paraId="4D603AE2" w14:textId="77777777" w:rsidR="00CF4D6D" w:rsidRDefault="00CF4D6D"/>
  </w:footnote>
  <w:footnote w:type="continuationSeparator" w:id="0">
    <w:p w14:paraId="7A5443FF" w14:textId="77777777" w:rsidR="00CF4D6D" w:rsidRPr="00290C63" w:rsidRDefault="00CF4D6D" w:rsidP="00290C63">
      <w:r>
        <w:continuationSeparator/>
      </w:r>
    </w:p>
    <w:p w14:paraId="0DC19170" w14:textId="77777777" w:rsidR="00CF4D6D" w:rsidRDefault="00CF4D6D"/>
  </w:footnote>
  <w:footnote w:type="continuationNotice" w:id="1">
    <w:p w14:paraId="3C24604E" w14:textId="77777777" w:rsidR="00CF4D6D" w:rsidRDefault="00CF4D6D">
      <w:pPr>
        <w:spacing w:before="0" w:line="240" w:lineRule="auto"/>
      </w:pPr>
    </w:p>
  </w:footnote>
  <w:footnote w:id="2">
    <w:p w14:paraId="524D37EB" w14:textId="77777777" w:rsidR="00CF4D6D" w:rsidRDefault="00CF4D6D" w:rsidP="00E356F9">
      <w:pPr>
        <w:pStyle w:val="FootnoteText"/>
      </w:pPr>
      <w:r>
        <w:rPr>
          <w:rStyle w:val="FootnoteReference"/>
        </w:rPr>
        <w:footnoteRef/>
      </w:r>
      <w:r>
        <w:t xml:space="preserve"> </w:t>
      </w:r>
      <w:r>
        <w:tab/>
      </w:r>
      <w:r w:rsidRPr="00890E69">
        <w:rPr>
          <w:rStyle w:val="AERtextitalic"/>
        </w:rPr>
        <w:t>Income Tax Assessment Act 1997</w:t>
      </w:r>
      <w:r>
        <w:t>, parts 3–6.</w:t>
      </w:r>
    </w:p>
  </w:footnote>
  <w:footnote w:id="3">
    <w:p w14:paraId="77670E28" w14:textId="77777777" w:rsidR="00CF4D6D" w:rsidRDefault="00CF4D6D">
      <w:pPr>
        <w:pStyle w:val="FootnoteText"/>
      </w:pPr>
      <w:r>
        <w:rPr>
          <w:rStyle w:val="FootnoteReference"/>
        </w:rPr>
        <w:footnoteRef/>
      </w:r>
      <w:r>
        <w:t xml:space="preserve"> </w:t>
      </w:r>
      <w:r>
        <w:tab/>
        <w:t xml:space="preserve">While the return on equity is not reduced to take into account the value of imputation credits, we note our estimate of the MRP does consider the value we use for imputation credits to ensure it reflects the value to investors in the domestic Australian market inclusive of credits. </w:t>
      </w:r>
    </w:p>
  </w:footnote>
  <w:footnote w:id="4">
    <w:p w14:paraId="479701ED" w14:textId="1A6D370C" w:rsidR="00CF4D6D" w:rsidRDefault="00CF4D6D" w:rsidP="00E356F9">
      <w:pPr>
        <w:pStyle w:val="FootnoteText"/>
      </w:pPr>
      <w:r>
        <w:rPr>
          <w:rStyle w:val="FootnoteReference"/>
        </w:rPr>
        <w:footnoteRef/>
      </w:r>
      <w:r>
        <w:t xml:space="preserve"> </w:t>
      </w:r>
      <w:r>
        <w:tab/>
        <w:t>NER, cll. 6.4.3(a)(4), 6.4.3(b)(4), 6.5.3, 6A.5.4(a)(4), 6A.5.4(b)(4) and 6A.6.4; NGR, rr. 76(c) and 87A.</w:t>
      </w:r>
    </w:p>
  </w:footnote>
  <w:footnote w:id="5">
    <w:p w14:paraId="0731C26F" w14:textId="77777777" w:rsidR="00CF4D6D" w:rsidRDefault="00CF4D6D" w:rsidP="006F0FAC">
      <w:pPr>
        <w:pStyle w:val="FootnoteText"/>
      </w:pPr>
      <w:r>
        <w:rPr>
          <w:rStyle w:val="FootnoteReference"/>
        </w:rPr>
        <w:footnoteRef/>
      </w:r>
      <w:r>
        <w:t xml:space="preserve"> </w:t>
      </w:r>
      <w:r>
        <w:tab/>
        <w:t xml:space="preserve">See section </w:t>
      </w:r>
      <w:r>
        <w:fldChar w:fldCharType="begin"/>
      </w:r>
      <w:r>
        <w:instrText xml:space="preserve"> REF _Ref414621676 \r \h </w:instrText>
      </w:r>
      <w:r>
        <w:fldChar w:fldCharType="separate"/>
      </w:r>
      <w:r>
        <w:t>A.1</w:t>
      </w:r>
      <w:r>
        <w:fldChar w:fldCharType="end"/>
      </w:r>
      <w:r>
        <w:t xml:space="preserve"> of appendix A.</w:t>
      </w:r>
    </w:p>
  </w:footnote>
  <w:footnote w:id="6">
    <w:p w14:paraId="1AFCCDEE" w14:textId="77777777" w:rsidR="00CF4D6D" w:rsidRDefault="00CF4D6D" w:rsidP="006F0FAC">
      <w:pPr>
        <w:pStyle w:val="FootnoteText"/>
      </w:pPr>
      <w:r>
        <w:rPr>
          <w:rStyle w:val="FootnoteReference"/>
        </w:rPr>
        <w:footnoteRef/>
      </w:r>
      <w:r>
        <w:t xml:space="preserve"> </w:t>
      </w:r>
      <w:r>
        <w:tab/>
        <w:t xml:space="preserve">The value of imputation credits must be between 0 and 1 because receiving an imputation credit cannot make an investor worse off, nor would an investor value an imputation credit more than its face value. </w:t>
      </w:r>
    </w:p>
  </w:footnote>
  <w:footnote w:id="7">
    <w:p w14:paraId="6F74E060" w14:textId="77777777" w:rsidR="00CF4D6D" w:rsidRDefault="00CF4D6D" w:rsidP="006F0FAC">
      <w:pPr>
        <w:pStyle w:val="FootnoteText"/>
      </w:pPr>
      <w:r>
        <w:rPr>
          <w:rStyle w:val="FootnoteReference"/>
        </w:rPr>
        <w:footnoteRef/>
      </w:r>
      <w:r>
        <w:t xml:space="preserve"> </w:t>
      </w:r>
      <w:r>
        <w:tab/>
        <w:t xml:space="preserve">These sub-parameters are discussed further in section </w:t>
      </w:r>
      <w:r>
        <w:fldChar w:fldCharType="begin"/>
      </w:r>
      <w:r>
        <w:instrText xml:space="preserve"> REF _Ref414621693 \r \h </w:instrText>
      </w:r>
      <w:r>
        <w:fldChar w:fldCharType="separate"/>
      </w:r>
      <w:r>
        <w:t>4.4</w:t>
      </w:r>
      <w:r>
        <w:fldChar w:fldCharType="end"/>
      </w:r>
      <w:r>
        <w:t>.</w:t>
      </w:r>
    </w:p>
  </w:footnote>
  <w:footnote w:id="8">
    <w:p w14:paraId="71D0B690" w14:textId="1DA8FF5F" w:rsidR="00CF4D6D" w:rsidRDefault="00CF4D6D">
      <w:pPr>
        <w:pStyle w:val="FootnoteText"/>
      </w:pPr>
      <w:r>
        <w:rPr>
          <w:rStyle w:val="FootnoteReference"/>
        </w:rPr>
        <w:footnoteRef/>
      </w:r>
      <w:r>
        <w:t xml:space="preserve"> </w:t>
      </w:r>
      <w:r>
        <w:tab/>
        <w:t xml:space="preserve">SA Power </w:t>
      </w:r>
      <w:proofErr w:type="gramStart"/>
      <w:r>
        <w:t>Networks,</w:t>
      </w:r>
      <w:proofErr w:type="gramEnd"/>
      <w:r>
        <w:t xml:space="preserve"> </w:t>
      </w:r>
      <w:r>
        <w:rPr>
          <w:rStyle w:val="AERtextitalic"/>
        </w:rPr>
        <w:t>Revised regulatory proposal 2015-20</w:t>
      </w:r>
      <w:r>
        <w:t>, July 2015.</w:t>
      </w:r>
    </w:p>
  </w:footnote>
  <w:footnote w:id="9">
    <w:p w14:paraId="6EF89D88" w14:textId="795D1426" w:rsidR="00CF4D6D" w:rsidRDefault="00CF4D6D" w:rsidP="006F0FAC">
      <w:pPr>
        <w:pStyle w:val="FootnoteText"/>
      </w:pPr>
      <w:r>
        <w:rPr>
          <w:rStyle w:val="FootnoteReference"/>
        </w:rPr>
        <w:footnoteRef/>
      </w:r>
      <w:r>
        <w:t xml:space="preserve"> </w:t>
      </w:r>
      <w:r>
        <w:tab/>
        <w:t xml:space="preserve">SA Power Networks actually referred to the utilisation rate as the Greek letter 'theta'. The labelling and interpretations of the utilisation rate are discussed in sections </w:t>
      </w:r>
      <w:r>
        <w:fldChar w:fldCharType="begin"/>
      </w:r>
      <w:r>
        <w:instrText xml:space="preserve"> REF _Ref400965182 \r \h </w:instrText>
      </w:r>
      <w:r>
        <w:fldChar w:fldCharType="separate"/>
      </w:r>
      <w:r>
        <w:t>A.6</w:t>
      </w:r>
      <w:r>
        <w:fldChar w:fldCharType="end"/>
      </w:r>
      <w:r>
        <w:t xml:space="preserve"> and </w:t>
      </w:r>
      <w:r>
        <w:fldChar w:fldCharType="begin"/>
      </w:r>
      <w:r>
        <w:instrText xml:space="preserve"> REF _Ref414282622 \r \h </w:instrText>
      </w:r>
      <w:r>
        <w:fldChar w:fldCharType="separate"/>
      </w:r>
      <w:r>
        <w:t>A.7</w:t>
      </w:r>
      <w:r>
        <w:fldChar w:fldCharType="end"/>
      </w:r>
      <w:r>
        <w:t xml:space="preserve"> of appendix A. </w:t>
      </w:r>
    </w:p>
  </w:footnote>
  <w:footnote w:id="10">
    <w:p w14:paraId="52C067E9" w14:textId="77777777" w:rsidR="00CF4D6D" w:rsidRDefault="00CF4D6D">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6.</w:t>
      </w:r>
    </w:p>
  </w:footnote>
  <w:footnote w:id="11">
    <w:p w14:paraId="3A5F3913" w14:textId="360FBDAB" w:rsidR="00CF4D6D" w:rsidRDefault="00CF4D6D">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r>
        <w:t xml:space="preserve"> Dividend drop off studies are explained in section </w:t>
      </w:r>
      <w:r>
        <w:fldChar w:fldCharType="begin"/>
      </w:r>
      <w:r>
        <w:instrText xml:space="preserve"> REF _Ref402791521 \r \h </w:instrText>
      </w:r>
      <w:r>
        <w:fldChar w:fldCharType="separate"/>
      </w:r>
      <w:r>
        <w:t>A.14.1</w:t>
      </w:r>
      <w:r>
        <w:fldChar w:fldCharType="end"/>
      </w:r>
      <w:r>
        <w:t>.</w:t>
      </w:r>
    </w:p>
  </w:footnote>
  <w:footnote w:id="12">
    <w:p w14:paraId="444D5AC0" w14:textId="2D798F1F" w:rsidR="00CF4D6D" w:rsidRDefault="00CF4D6D">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NERA Economic Consulting, Estimating Distribution and Redemption Rates: Response to the AER's Final Decisions for the NSW and ACT Electricity Distributors, and for Jemena Gas Networks, June 2015.</w:t>
      </w:r>
    </w:p>
  </w:footnote>
  <w:footnote w:id="13">
    <w:p w14:paraId="48EE2BEA" w14:textId="2B7460A5" w:rsidR="00CF4D6D" w:rsidRDefault="00CF4D6D">
      <w:pPr>
        <w:pStyle w:val="FootnoteText"/>
      </w:pPr>
      <w:r>
        <w:rPr>
          <w:rStyle w:val="FootnoteReference"/>
        </w:rPr>
        <w:footnoteRef/>
      </w:r>
      <w:r>
        <w:t xml:space="preserve"> </w:t>
      </w:r>
      <w:r>
        <w:tab/>
        <w:t>In April 2015 we released final decisions for Ausgrid, Essential Energy, Endeavour Energy and ActewAGL Distribution, and preliminary decisions for SA Power Networks, Ergon Energy and Energex.</w:t>
      </w:r>
    </w:p>
  </w:footnote>
  <w:footnote w:id="14">
    <w:p w14:paraId="721D692A" w14:textId="77777777" w:rsidR="00CF4D6D" w:rsidRDefault="00CF4D6D">
      <w:pPr>
        <w:pStyle w:val="FootnoteText"/>
      </w:pPr>
      <w:r>
        <w:rPr>
          <w:rStyle w:val="FootnoteReference"/>
        </w:rPr>
        <w:footnoteRef/>
      </w:r>
      <w:r>
        <w:t xml:space="preserve"> </w:t>
      </w:r>
      <w:r>
        <w:tab/>
        <w:t xml:space="preserve">See section </w:t>
      </w:r>
      <w:r>
        <w:fldChar w:fldCharType="begin"/>
      </w:r>
      <w:r>
        <w:instrText xml:space="preserve"> REF _Ref419298166 \r \h </w:instrText>
      </w:r>
      <w:r>
        <w:fldChar w:fldCharType="separate"/>
      </w:r>
      <w:r>
        <w:t>4.4</w:t>
      </w:r>
      <w:r>
        <w:fldChar w:fldCharType="end"/>
      </w:r>
      <w:r>
        <w:t xml:space="preserve"> for more detail.</w:t>
      </w:r>
    </w:p>
  </w:footnote>
  <w:footnote w:id="15">
    <w:p w14:paraId="3A328102" w14:textId="2AAC5F40" w:rsidR="00CF4D6D" w:rsidRDefault="00CF4D6D" w:rsidP="00E50C64">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NERA Economic Consulting, Estimating Distribution and Redemption Rates: Response to the AER's Final Decisions for the NSW and ACT Electricity Distributors, and for Jemena Gas Networks, June 2015.</w:t>
      </w:r>
    </w:p>
  </w:footnote>
  <w:footnote w:id="16">
    <w:p w14:paraId="78DAD982" w14:textId="77599455" w:rsidR="00CF4D6D" w:rsidRDefault="00CF4D6D">
      <w:pPr>
        <w:pStyle w:val="FootnoteText"/>
      </w:pPr>
      <w:r>
        <w:rPr>
          <w:rStyle w:val="FootnoteReference"/>
        </w:rPr>
        <w:footnoteRef/>
      </w:r>
      <w:r>
        <w:t xml:space="preserve"> </w:t>
      </w:r>
      <w:r>
        <w:tab/>
        <w:t xml:space="preserve">We note that the Australian Competition Tribunal is currently considering gamma decisions of the AER released in April 2015 for Ausgrid, Endeavour Energy, Essential Energy and ActewAGL and released in June 2015 for Jemena Gas Networks. Key areas of disagreement between the AER and the service providers are being considered as part of this review process. </w:t>
      </w:r>
    </w:p>
  </w:footnote>
  <w:footnote w:id="17">
    <w:p w14:paraId="6D58533C" w14:textId="77777777" w:rsidR="00CF4D6D" w:rsidRDefault="00CF4D6D" w:rsidP="00A90D90">
      <w:pPr>
        <w:pStyle w:val="FootnoteText"/>
      </w:pPr>
      <w:r>
        <w:rPr>
          <w:rStyle w:val="FootnoteReference"/>
        </w:rPr>
        <w:footnoteRef/>
      </w:r>
      <w:r>
        <w:t xml:space="preserve"> </w:t>
      </w:r>
      <w:r>
        <w:tab/>
        <w:t>NER, cll. 6.5.3 and 6A.6.4; NGR, r. 87A.</w:t>
      </w:r>
    </w:p>
  </w:footnote>
  <w:footnote w:id="18">
    <w:p w14:paraId="707E230C" w14:textId="77777777" w:rsidR="00CF4D6D" w:rsidRDefault="00CF4D6D" w:rsidP="00A90D90">
      <w:pPr>
        <w:pStyle w:val="FootnoteText"/>
      </w:pPr>
      <w:r>
        <w:rPr>
          <w:rStyle w:val="FootnoteReference"/>
        </w:rPr>
        <w:footnoteRef/>
      </w:r>
      <w:r>
        <w:t xml:space="preserve"> </w:t>
      </w:r>
      <w:r>
        <w:tab/>
        <w:t>NER, cll. 6.5.2(d)(2) and 6A.6.2(d)(2); NGR, r. 87(4)(b).</w:t>
      </w:r>
    </w:p>
  </w:footnote>
  <w:footnote w:id="19">
    <w:p w14:paraId="3213861C" w14:textId="77777777" w:rsidR="00CF4D6D" w:rsidRDefault="00CF4D6D" w:rsidP="008C1870">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20">
    <w:p w14:paraId="320CB8AA" w14:textId="77777777" w:rsidR="00CF4D6D" w:rsidRDefault="00CF4D6D" w:rsidP="008C1870">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equation 2</w:t>
      </w:r>
      <w:r w:rsidRPr="00800E44">
        <w:t>.</w:t>
      </w:r>
    </w:p>
  </w:footnote>
  <w:footnote w:id="21">
    <w:p w14:paraId="2D151917" w14:textId="77777777" w:rsidR="00CF4D6D" w:rsidRDefault="00CF4D6D" w:rsidP="008C1870">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7–8.</w:t>
      </w:r>
    </w:p>
  </w:footnote>
  <w:footnote w:id="22">
    <w:p w14:paraId="1D705E33" w14:textId="77777777" w:rsidR="00CF4D6D" w:rsidRDefault="00CF4D6D" w:rsidP="00CB622C">
      <w:pPr>
        <w:pStyle w:val="FootnoteText"/>
      </w:pPr>
      <w:r>
        <w:rPr>
          <w:rStyle w:val="FootnoteReference"/>
        </w:rPr>
        <w:footnoteRef/>
      </w:r>
      <w:r>
        <w:t xml:space="preserve"> </w:t>
      </w:r>
      <w:r>
        <w:tab/>
        <w:t xml:space="preserve">SFG, </w:t>
      </w:r>
      <w:r w:rsidRPr="007C38AD">
        <w:rPr>
          <w:rStyle w:val="AERtextitalic"/>
        </w:rPr>
        <w:t>Response to submissions on rule change proposals, Report for the AEMC</w:t>
      </w:r>
      <w:r>
        <w:t>, 5 November 2012, para. 2.</w:t>
      </w:r>
    </w:p>
  </w:footnote>
  <w:footnote w:id="23">
    <w:p w14:paraId="7ADA9201" w14:textId="77777777" w:rsidR="00CF4D6D" w:rsidRDefault="00CF4D6D">
      <w:pPr>
        <w:pStyle w:val="FootnoteText"/>
      </w:pPr>
      <w:r>
        <w:rPr>
          <w:rStyle w:val="FootnoteReference"/>
        </w:rPr>
        <w:footnoteRef/>
      </w:r>
      <w:r>
        <w:t xml:space="preserve"> </w:t>
      </w:r>
      <w:r>
        <w:tab/>
        <w:t xml:space="preserve">ENA, </w:t>
      </w:r>
      <w:r>
        <w:rPr>
          <w:rStyle w:val="AERtextitalic"/>
        </w:rPr>
        <w:t>Response to the D</w:t>
      </w:r>
      <w:r w:rsidRPr="0006219D">
        <w:rPr>
          <w:rStyle w:val="AERtextitalic"/>
        </w:rPr>
        <w:t xml:space="preserve">raft </w:t>
      </w:r>
      <w:r>
        <w:rPr>
          <w:rStyle w:val="AERtextitalic"/>
        </w:rPr>
        <w:t>R</w:t>
      </w:r>
      <w:r w:rsidRPr="0006219D">
        <w:rPr>
          <w:rStyle w:val="AERtextitalic"/>
        </w:rPr>
        <w:t xml:space="preserve">ate of </w:t>
      </w:r>
      <w:r>
        <w:rPr>
          <w:rStyle w:val="AERtextitalic"/>
        </w:rPr>
        <w:t>R</w:t>
      </w:r>
      <w:r w:rsidRPr="0006219D">
        <w:rPr>
          <w:rStyle w:val="AERtextitalic"/>
        </w:rPr>
        <w:t xml:space="preserve">eturn </w:t>
      </w:r>
      <w:r>
        <w:rPr>
          <w:rStyle w:val="AERtextitalic"/>
        </w:rPr>
        <w:t>G</w:t>
      </w:r>
      <w:r w:rsidRPr="0006219D">
        <w:rPr>
          <w:rStyle w:val="AERtextitalic"/>
        </w:rPr>
        <w:t>uideline of the Australian Energy Regulator</w:t>
      </w:r>
      <w:r>
        <w:t xml:space="preserve">, 11 October 2013, p. 49. </w:t>
      </w:r>
    </w:p>
  </w:footnote>
  <w:footnote w:id="24">
    <w:p w14:paraId="2E203B82" w14:textId="77777777" w:rsidR="00CF4D6D" w:rsidRDefault="00CF4D6D" w:rsidP="008C1870">
      <w:pPr>
        <w:pStyle w:val="FootnoteText"/>
      </w:pPr>
      <w:r>
        <w:rPr>
          <w:rStyle w:val="FootnoteReference"/>
        </w:rPr>
        <w:footnoteRef/>
      </w:r>
      <w:r>
        <w:t xml:space="preserve"> </w:t>
      </w:r>
      <w:r>
        <w:tab/>
        <w:t>NER, cll. 6.5.2 and 6A.6.2;</w:t>
      </w:r>
      <w:r w:rsidRPr="0042735A">
        <w:t xml:space="preserve"> </w:t>
      </w:r>
      <w:r>
        <w:t>NGR, r. 87.</w:t>
      </w:r>
    </w:p>
  </w:footnote>
  <w:footnote w:id="25">
    <w:p w14:paraId="2597A98B" w14:textId="77777777" w:rsidR="00CF4D6D" w:rsidRDefault="00CF4D6D">
      <w:pPr>
        <w:pStyle w:val="FootnoteText"/>
      </w:pPr>
      <w:r>
        <w:rPr>
          <w:rStyle w:val="FootnoteReference"/>
        </w:rPr>
        <w:footnoteRef/>
      </w:r>
      <w:r>
        <w:t xml:space="preserve"> </w:t>
      </w:r>
      <w:r>
        <w:tab/>
        <w:t xml:space="preserve">For a detailed discussion of the Officer framework, see: </w:t>
      </w:r>
      <w:r w:rsidRPr="00582678">
        <w:t xml:space="preserve">J. Handley, </w:t>
      </w:r>
      <w:r w:rsidRPr="00582678">
        <w:rPr>
          <w:rStyle w:val="AERtextitalic"/>
        </w:rPr>
        <w:t>Report prepared for the Australian Energy Regulator: Advice on the value of imputation credits</w:t>
      </w:r>
      <w:r w:rsidRPr="00582678">
        <w:t>, 29 September 2014</w:t>
      </w:r>
      <w:r>
        <w:t>, pp. 7–12.</w:t>
      </w:r>
    </w:p>
  </w:footnote>
  <w:footnote w:id="26">
    <w:p w14:paraId="464FFFA1" w14:textId="77777777" w:rsidR="00CF4D6D" w:rsidRDefault="00CF4D6D" w:rsidP="00976FE8">
      <w:pPr>
        <w:pStyle w:val="FootnoteText"/>
      </w:pPr>
      <w:r>
        <w:rPr>
          <w:rStyle w:val="FootnoteReference"/>
        </w:rPr>
        <w:footnoteRef/>
      </w:r>
      <w:r>
        <w:t xml:space="preserve"> </w:t>
      </w:r>
      <w:r>
        <w:tab/>
        <w:t>Although the term 'personal' is used, we note that classes of investors other than individual persons can value imputation credits (for example, superannuation funds and charities). Therefore, an alternative characterisation might be 'before-investor-tax' and 'before-investor-costs'.</w:t>
      </w:r>
    </w:p>
  </w:footnote>
  <w:footnote w:id="27">
    <w:p w14:paraId="060E9DEE" w14:textId="77777777" w:rsidR="00CF4D6D" w:rsidRDefault="00CF4D6D">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28">
    <w:p w14:paraId="79CD7026" w14:textId="77777777" w:rsidR="00CF4D6D" w:rsidRDefault="00CF4D6D" w:rsidP="00A90D90">
      <w:pPr>
        <w:pStyle w:val="FootnoteText"/>
      </w:pPr>
      <w:r>
        <w:rPr>
          <w:rStyle w:val="FootnoteReference"/>
        </w:rPr>
        <w:footnoteRef/>
      </w:r>
      <w:r>
        <w:tab/>
        <w:t xml:space="preserve">NEL, s. 16(1)(a); NGL, s. 28(1)(a). </w:t>
      </w:r>
    </w:p>
  </w:footnote>
  <w:footnote w:id="29">
    <w:p w14:paraId="595466F3" w14:textId="77777777" w:rsidR="00CF4D6D" w:rsidRDefault="00CF4D6D" w:rsidP="00A90D90">
      <w:pPr>
        <w:pStyle w:val="FootnoteText"/>
      </w:pPr>
      <w:r>
        <w:rPr>
          <w:rStyle w:val="FootnoteReference"/>
        </w:rPr>
        <w:footnoteRef/>
      </w:r>
      <w:r>
        <w:t xml:space="preserve"> </w:t>
      </w:r>
      <w:r>
        <w:tab/>
        <w:t>NEL, s. 16(2)(a)(i); NGL, s. 28(2)(a)(i).</w:t>
      </w:r>
    </w:p>
  </w:footnote>
  <w:footnote w:id="30">
    <w:p w14:paraId="15FE6FF1" w14:textId="77777777" w:rsidR="00CF4D6D" w:rsidRDefault="00CF4D6D" w:rsidP="00112FED">
      <w:pPr>
        <w:pStyle w:val="FootnoteText"/>
      </w:pPr>
      <w:r>
        <w:rPr>
          <w:rStyle w:val="FootnoteReference"/>
        </w:rPr>
        <w:footnoteRef/>
      </w:r>
      <w:r>
        <w:t xml:space="preserve"> </w:t>
      </w:r>
      <w:r>
        <w:tab/>
        <w:t>NEL, ss. 7A(2)–(7); NGL, ss. 24(2)–(7).</w:t>
      </w:r>
    </w:p>
  </w:footnote>
  <w:footnote w:id="31">
    <w:p w14:paraId="5D192719" w14:textId="77777777" w:rsidR="00CF4D6D" w:rsidRDefault="00CF4D6D" w:rsidP="00A90D90">
      <w:pPr>
        <w:pStyle w:val="FootnoteText"/>
      </w:pPr>
      <w:r>
        <w:rPr>
          <w:rStyle w:val="FootnoteReference"/>
        </w:rPr>
        <w:footnoteRef/>
      </w:r>
      <w:r>
        <w:t xml:space="preserve"> </w:t>
      </w:r>
      <w:r>
        <w:tab/>
        <w:t xml:space="preserve">The requirements to make and publish the Guideline are set out in: NER, cls. 6.5.2(m) and 6A.6.2(m); NGR, r. 87(13). </w:t>
      </w:r>
      <w:r w:rsidRPr="004B0617">
        <w:t xml:space="preserve">The </w:t>
      </w:r>
      <w:r>
        <w:t>Guideline</w:t>
      </w:r>
      <w:r w:rsidRPr="004B0617">
        <w:t xml:space="preserve"> is available at: </w:t>
      </w:r>
      <w:r w:rsidRPr="00F8556F">
        <w:t>http://www.aer.gov.au/node/18859</w:t>
      </w:r>
      <w:r>
        <w:t>.</w:t>
      </w:r>
    </w:p>
  </w:footnote>
  <w:footnote w:id="32">
    <w:p w14:paraId="28FDCCEA" w14:textId="77777777" w:rsidR="00CF4D6D" w:rsidRDefault="00CF4D6D" w:rsidP="00A90D90">
      <w:pPr>
        <w:pStyle w:val="FootnoteText"/>
      </w:pPr>
      <w:r>
        <w:rPr>
          <w:rStyle w:val="FootnoteReference"/>
        </w:rPr>
        <w:footnoteRef/>
      </w:r>
      <w:r>
        <w:t xml:space="preserve"> </w:t>
      </w:r>
      <w:r>
        <w:tab/>
        <w:t>NER, cll. 6.5.2(n</w:t>
      </w:r>
      <w:r w:rsidRPr="0090536E">
        <w:t xml:space="preserve">) and </w:t>
      </w:r>
      <w:r>
        <w:t>6A.6.2(n); NGR, r. 87(14).</w:t>
      </w:r>
    </w:p>
  </w:footnote>
  <w:footnote w:id="33">
    <w:p w14:paraId="2BAAF6E4" w14:textId="77777777" w:rsidR="00CF4D6D" w:rsidRDefault="00CF4D6D" w:rsidP="00A90D90">
      <w:pPr>
        <w:pStyle w:val="FootnoteText"/>
      </w:pPr>
      <w:r>
        <w:rPr>
          <w:rStyle w:val="FootnoteReference"/>
        </w:rPr>
        <w:footnoteRef/>
      </w:r>
      <w:r>
        <w:t xml:space="preserve"> </w:t>
      </w:r>
      <w:r>
        <w:tab/>
        <w:t xml:space="preserve">NER, cll. </w:t>
      </w:r>
      <w:r w:rsidRPr="001E5B06">
        <w:t>6.5.2(n)</w:t>
      </w:r>
      <w:r>
        <w:t>(2) and 6.A.6.2(n)(2); NGR, r. 87(14)(b).</w:t>
      </w:r>
    </w:p>
  </w:footnote>
  <w:footnote w:id="34">
    <w:p w14:paraId="58CE400D" w14:textId="77777777" w:rsidR="00CF4D6D" w:rsidRDefault="00CF4D6D" w:rsidP="00A90D90">
      <w:pPr>
        <w:pStyle w:val="FootnoteText"/>
      </w:pPr>
      <w:r>
        <w:rPr>
          <w:rStyle w:val="FootnoteReference"/>
        </w:rPr>
        <w:footnoteRef/>
      </w:r>
      <w:r>
        <w:t xml:space="preserve"> </w:t>
      </w:r>
      <w:r>
        <w:tab/>
        <w:t>NER, cll. 6.2.8(c) and 6A.2.3(c); NGR, r. 87(18).</w:t>
      </w:r>
    </w:p>
  </w:footnote>
  <w:footnote w:id="35">
    <w:p w14:paraId="7B7C078A" w14:textId="77777777" w:rsidR="00CF4D6D" w:rsidRDefault="00CF4D6D" w:rsidP="00A90D90">
      <w:pPr>
        <w:pStyle w:val="FootnoteText"/>
      </w:pPr>
      <w:r>
        <w:rPr>
          <w:rStyle w:val="FootnoteReference"/>
        </w:rPr>
        <w:footnoteRef/>
      </w:r>
      <w:r>
        <w:t xml:space="preserve"> </w:t>
      </w:r>
      <w:r>
        <w:tab/>
        <w:t xml:space="preserve">NER, ss. </w:t>
      </w:r>
      <w:r w:rsidRPr="00A609E3">
        <w:t>S6.1.3</w:t>
      </w:r>
      <w:r>
        <w:t>(9)–(9B) and S6A.1.3(4)(vi),(4A)–(4C); NGR, r. 72(1)(g).</w:t>
      </w:r>
    </w:p>
  </w:footnote>
  <w:footnote w:id="36">
    <w:p w14:paraId="603A2AA6" w14:textId="77777777" w:rsidR="00CF4D6D" w:rsidRDefault="00CF4D6D" w:rsidP="00A90D90">
      <w:pPr>
        <w:pStyle w:val="FootnoteText"/>
      </w:pPr>
      <w:r>
        <w:rPr>
          <w:rStyle w:val="FootnoteReference"/>
        </w:rPr>
        <w:footnoteRef/>
      </w:r>
      <w:r>
        <w:t xml:space="preserve"> </w:t>
      </w:r>
      <w:r>
        <w:tab/>
      </w:r>
      <w:r w:rsidRPr="007646B1">
        <w:t xml:space="preserve">AER, </w:t>
      </w:r>
      <w:r w:rsidRPr="007646B1">
        <w:rPr>
          <w:rStyle w:val="AERtextitalic"/>
        </w:rPr>
        <w:t xml:space="preserve">Better </w:t>
      </w:r>
      <w:r>
        <w:rPr>
          <w:rStyle w:val="AERtextitalic"/>
        </w:rPr>
        <w:t>Regulation:</w:t>
      </w:r>
      <w:r w:rsidRPr="007646B1">
        <w:rPr>
          <w:rStyle w:val="AERtextitalic"/>
        </w:rPr>
        <w:t xml:space="preserve"> </w:t>
      </w:r>
      <w:r>
        <w:rPr>
          <w:rStyle w:val="AERtextitalic"/>
        </w:rPr>
        <w:t>R</w:t>
      </w:r>
      <w:r w:rsidRPr="007646B1">
        <w:rPr>
          <w:rStyle w:val="AERtextitalic"/>
        </w:rPr>
        <w:t>ate</w:t>
      </w:r>
      <w:r>
        <w:rPr>
          <w:rStyle w:val="AERtextitalic"/>
        </w:rPr>
        <w:t xml:space="preserve"> of Return Guideline</w:t>
      </w:r>
      <w:r w:rsidRPr="007646B1">
        <w:t>, December 2013</w:t>
      </w:r>
      <w:r>
        <w:t>, p. 8.</w:t>
      </w:r>
    </w:p>
  </w:footnote>
  <w:footnote w:id="37">
    <w:p w14:paraId="32830357" w14:textId="77777777" w:rsidR="00CF4D6D" w:rsidRDefault="00CF4D6D">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pp. 48–49.</w:t>
      </w:r>
    </w:p>
  </w:footnote>
  <w:footnote w:id="38">
    <w:p w14:paraId="6723DCB2" w14:textId="77777777" w:rsidR="00CF4D6D" w:rsidRDefault="00CF4D6D">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 49.</w:t>
      </w:r>
    </w:p>
  </w:footnote>
  <w:footnote w:id="39">
    <w:p w14:paraId="65D68C6D" w14:textId="77777777" w:rsidR="00CF4D6D" w:rsidRDefault="00CF4D6D" w:rsidP="009661BA">
      <w:pPr>
        <w:pStyle w:val="FootnoteText"/>
      </w:pPr>
      <w:r>
        <w:rPr>
          <w:rStyle w:val="FootnoteReference"/>
        </w:rPr>
        <w:footnoteRef/>
      </w:r>
      <w:r>
        <w:t xml:space="preserve"> </w:t>
      </w:r>
      <w:r>
        <w:tab/>
        <w:t>NER, cll. 6.5.2(d)(2) and 6A.6.2(d)(2); NGR, r. 87(4)(b).</w:t>
      </w:r>
    </w:p>
  </w:footnote>
  <w:footnote w:id="40">
    <w:p w14:paraId="72D623C9" w14:textId="77777777" w:rsidR="00CF4D6D" w:rsidRDefault="00CF4D6D" w:rsidP="00016F8E">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w:t>
      </w:r>
    </w:p>
  </w:footnote>
  <w:footnote w:id="41">
    <w:p w14:paraId="1C27CF55" w14:textId="77777777" w:rsidR="00CF4D6D" w:rsidRDefault="00CF4D6D" w:rsidP="003E38A3">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J. Handley, </w:t>
      </w:r>
      <w:r w:rsidRPr="00626887">
        <w:rPr>
          <w:rStyle w:val="AERtextitalic"/>
        </w:rPr>
        <w:t>Report prepared for the Australian Energy Regulator: Further advice on the value of imputation credits</w:t>
      </w:r>
      <w:r>
        <w:t xml:space="preserve">, 16 April 2015. J. Handley, </w:t>
      </w:r>
      <w:r w:rsidRPr="005B7CF2">
        <w:rPr>
          <w:rStyle w:val="AERtextitalic"/>
        </w:rPr>
        <w:t>Report prepared for the Australian Energy Regulator: Advice on the NERA report 'Estimating distribution and redemption rates from taxation statistics'</w:t>
      </w:r>
      <w:r>
        <w:t>, 20 May 2015.</w:t>
      </w:r>
    </w:p>
  </w:footnote>
  <w:footnote w:id="42">
    <w:p w14:paraId="3E49A65A" w14:textId="77777777" w:rsidR="00CF4D6D" w:rsidRDefault="00CF4D6D" w:rsidP="00A90D90">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SFG, </w:t>
      </w:r>
      <w:r>
        <w:rPr>
          <w:rStyle w:val="AERtextitalic"/>
        </w:rPr>
        <w:t>Estimating gamma for regulatory purposes</w:t>
      </w:r>
      <w:r>
        <w:t xml:space="preserve">, 6 February 2015. Frontier Economics, </w:t>
      </w:r>
      <w:r w:rsidRPr="00D14DE4">
        <w:rPr>
          <w:rStyle w:val="AERtextitalic"/>
        </w:rPr>
        <w:t>An appropriate regulatory estimate of gamma</w:t>
      </w:r>
      <w:r>
        <w:t>, June 2015.</w:t>
      </w:r>
    </w:p>
  </w:footnote>
  <w:footnote w:id="43">
    <w:p w14:paraId="2A7FA68F" w14:textId="77777777" w:rsidR="00CF4D6D" w:rsidRDefault="00CF4D6D">
      <w:pPr>
        <w:pStyle w:val="FootnoteText"/>
      </w:pPr>
      <w:r>
        <w:rPr>
          <w:rStyle w:val="FootnoteReference"/>
        </w:rPr>
        <w:footnoteRef/>
      </w:r>
      <w:r>
        <w:t xml:space="preserve"> </w:t>
      </w:r>
      <w:r>
        <w:tab/>
        <w:t xml:space="preserve">NERA, </w:t>
      </w:r>
      <w:r w:rsidRPr="00C26A14">
        <w:rPr>
          <w:rStyle w:val="AERtextitalic"/>
        </w:rPr>
        <w:t>Estimating distribution and redemption rates from taxation statistics</w:t>
      </w:r>
      <w:r>
        <w:t xml:space="preserve">, March 2015. NERA, </w:t>
      </w:r>
      <w:r w:rsidRPr="00906B59">
        <w:rPr>
          <w:rStyle w:val="AERtextitalic"/>
        </w:rPr>
        <w:t>Do imputation credits lower the cost of equity? Cross-sectional tests</w:t>
      </w:r>
      <w:r>
        <w:t xml:space="preserve">, April 2015. NERA, </w:t>
      </w:r>
      <w:r w:rsidRPr="00D54762">
        <w:rPr>
          <w:rStyle w:val="AERtextitalic"/>
        </w:rPr>
        <w:t>Estimating distribution and redemption rates: Response to the AER's final decisions for the NSW and ACT electricity distributors, and for Jemena Gas Networks</w:t>
      </w:r>
      <w:r>
        <w:t>, June 2015.</w:t>
      </w:r>
    </w:p>
  </w:footnote>
  <w:footnote w:id="44">
    <w:p w14:paraId="7E2589F2" w14:textId="14EC0C56" w:rsidR="00CF4D6D" w:rsidRDefault="00CF4D6D" w:rsidP="00A90D90">
      <w:pPr>
        <w:pStyle w:val="FootnoteText"/>
      </w:pPr>
      <w:r>
        <w:rPr>
          <w:rStyle w:val="FootnoteReference"/>
        </w:rPr>
        <w:footnoteRef/>
      </w:r>
      <w:r>
        <w:t xml:space="preserve"> </w:t>
      </w:r>
      <w:r>
        <w:tab/>
        <w:t xml:space="preserve">M. Lally, </w:t>
      </w:r>
      <w:r w:rsidRPr="002519FD">
        <w:rPr>
          <w:rStyle w:val="AERtextitalic"/>
        </w:rPr>
        <w:t>Estimating gamma</w:t>
      </w:r>
      <w:r>
        <w:t xml:space="preserve">, 25 November 2013. M. Lally, </w:t>
      </w:r>
      <w:r w:rsidRPr="008916E4">
        <w:rPr>
          <w:rStyle w:val="AERtextitalic"/>
        </w:rPr>
        <w:t>Review of submissions to the QCA on the MRP, risk-free rate and gamma</w:t>
      </w:r>
      <w:r>
        <w:t>, 12 March 2014.</w:t>
      </w:r>
    </w:p>
  </w:footnote>
  <w:footnote w:id="45">
    <w:p w14:paraId="012A0C7E" w14:textId="77777777" w:rsidR="00CF4D6D" w:rsidRDefault="00CF4D6D" w:rsidP="00A90D90">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w:t>
      </w:r>
    </w:p>
  </w:footnote>
  <w:footnote w:id="46">
    <w:p w14:paraId="452DEFC0" w14:textId="77777777" w:rsidR="00CF4D6D" w:rsidRDefault="00CF4D6D" w:rsidP="00A90D90">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47">
    <w:p w14:paraId="0E537883" w14:textId="77777777" w:rsidR="00CF4D6D" w:rsidRDefault="00CF4D6D" w:rsidP="00A90D90">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48">
    <w:p w14:paraId="3342FDC7" w14:textId="77777777" w:rsidR="00CF4D6D" w:rsidRDefault="00CF4D6D" w:rsidP="00A90D90">
      <w:pPr>
        <w:pStyle w:val="FootnoteText"/>
      </w:pPr>
      <w:r>
        <w:rPr>
          <w:rStyle w:val="FootnoteReference"/>
        </w:rPr>
        <w:footnoteRef/>
      </w:r>
      <w:r>
        <w:t xml:space="preserve"> </w:t>
      </w:r>
      <w:r>
        <w:tab/>
        <w:t xml:space="preserve">See sections </w:t>
      </w:r>
      <w:r>
        <w:fldChar w:fldCharType="begin"/>
      </w:r>
      <w:r>
        <w:instrText xml:space="preserve"> REF _Ref414621676 \r \h </w:instrText>
      </w:r>
      <w:r>
        <w:fldChar w:fldCharType="separate"/>
      </w:r>
      <w:r>
        <w:t>A.1</w:t>
      </w:r>
      <w:r>
        <w:fldChar w:fldCharType="end"/>
      </w:r>
      <w:r>
        <w:t xml:space="preserve"> and </w:t>
      </w:r>
      <w:r>
        <w:fldChar w:fldCharType="begin"/>
      </w:r>
      <w:r>
        <w:instrText xml:space="preserve"> REF _Ref414621875 \r \h </w:instrText>
      </w:r>
      <w:r>
        <w:fldChar w:fldCharType="separate"/>
      </w:r>
      <w:r>
        <w:t>A.2</w:t>
      </w:r>
      <w:r>
        <w:fldChar w:fldCharType="end"/>
      </w:r>
      <w:r>
        <w:t xml:space="preserve"> of appendix A.</w:t>
      </w:r>
    </w:p>
  </w:footnote>
  <w:footnote w:id="49">
    <w:p w14:paraId="2C0E7A02" w14:textId="77777777" w:rsidR="00CF4D6D" w:rsidRDefault="00CF4D6D" w:rsidP="00A90D90">
      <w:pPr>
        <w:pStyle w:val="FootnoteText"/>
      </w:pPr>
      <w:r>
        <w:rPr>
          <w:rStyle w:val="FootnoteReference"/>
        </w:rPr>
        <w:footnoteRef/>
      </w:r>
      <w:r>
        <w:t xml:space="preserve"> </w:t>
      </w:r>
      <w:r>
        <w:tab/>
        <w:t xml:space="preserve">See section </w:t>
      </w:r>
      <w:r>
        <w:fldChar w:fldCharType="begin"/>
      </w:r>
      <w:r>
        <w:instrText xml:space="preserve"> REF _Ref415144114 \r \h </w:instrText>
      </w:r>
      <w:r>
        <w:fldChar w:fldCharType="separate"/>
      </w:r>
      <w:r>
        <w:t>A.5</w:t>
      </w:r>
      <w:r>
        <w:fldChar w:fldCharType="end"/>
      </w:r>
      <w:r>
        <w:t xml:space="preserve"> of appendix A.</w:t>
      </w:r>
    </w:p>
  </w:footnote>
  <w:footnote w:id="50">
    <w:p w14:paraId="426B79D7" w14:textId="77777777" w:rsidR="00CF4D6D" w:rsidRDefault="00CF4D6D" w:rsidP="00A90D90">
      <w:pPr>
        <w:pStyle w:val="FootnoteText"/>
      </w:pPr>
      <w:r>
        <w:rPr>
          <w:rStyle w:val="FootnoteReference"/>
        </w:rPr>
        <w:footnoteRef/>
      </w:r>
      <w:r>
        <w:t xml:space="preserve"> </w:t>
      </w:r>
      <w:r>
        <w:tab/>
        <w:t xml:space="preserve">See sections </w:t>
      </w:r>
      <w:r>
        <w:fldChar w:fldCharType="begin"/>
      </w:r>
      <w:r>
        <w:instrText xml:space="preserve"> REF _Ref416802130 \r \h </w:instrText>
      </w:r>
      <w:r>
        <w:fldChar w:fldCharType="separate"/>
      </w:r>
      <w:r>
        <w:t>4.3.1</w:t>
      </w:r>
      <w:r>
        <w:fldChar w:fldCharType="end"/>
      </w:r>
      <w:r>
        <w:t xml:space="preserve"> and </w:t>
      </w:r>
      <w:r>
        <w:fldChar w:fldCharType="begin"/>
      </w:r>
      <w:r>
        <w:instrText xml:space="preserve"> REF _Ref400965182 \r \h </w:instrText>
      </w:r>
      <w:r>
        <w:fldChar w:fldCharType="separate"/>
      </w:r>
      <w:r>
        <w:t>A.6</w:t>
      </w:r>
      <w:r>
        <w:fldChar w:fldCharType="end"/>
      </w:r>
      <w:r>
        <w:t xml:space="preserve"> of appendix A.</w:t>
      </w:r>
    </w:p>
  </w:footnote>
  <w:footnote w:id="51">
    <w:p w14:paraId="302E0226" w14:textId="77777777" w:rsidR="00CF4D6D" w:rsidRDefault="00CF4D6D" w:rsidP="00A90D90">
      <w:pPr>
        <w:pStyle w:val="FootnoteText"/>
      </w:pPr>
      <w:r>
        <w:rPr>
          <w:rStyle w:val="FootnoteReference"/>
        </w:rPr>
        <w:footnoteRef/>
      </w:r>
      <w:r>
        <w:t xml:space="preserve"> </w:t>
      </w:r>
      <w:r>
        <w:tab/>
        <w:t xml:space="preserve">Assuming retained imputation credits have no value. See section </w:t>
      </w:r>
      <w:r>
        <w:fldChar w:fldCharType="begin"/>
      </w:r>
      <w:r>
        <w:instrText xml:space="preserve"> REF _Ref400965182 \r \h </w:instrText>
      </w:r>
      <w:r>
        <w:fldChar w:fldCharType="separate"/>
      </w:r>
      <w:r>
        <w:t>A.6</w:t>
      </w:r>
      <w:r>
        <w:fldChar w:fldCharType="end"/>
      </w:r>
      <w:r>
        <w:t xml:space="preserve"> of appendix A.</w:t>
      </w:r>
    </w:p>
  </w:footnote>
  <w:footnote w:id="52">
    <w:p w14:paraId="70154BDC" w14:textId="77777777" w:rsidR="00CF4D6D" w:rsidRDefault="00CF4D6D" w:rsidP="00A90D90">
      <w:pPr>
        <w:pStyle w:val="FootnoteText"/>
      </w:pPr>
      <w:r>
        <w:rPr>
          <w:rStyle w:val="FootnoteReference"/>
        </w:rPr>
        <w:footnoteRef/>
      </w:r>
      <w:r>
        <w:t xml:space="preserve"> </w:t>
      </w:r>
      <w:r>
        <w:tab/>
        <w:t xml:space="preserve">For instance, some experts advocate use of evidence on just listed companies and their investors because this is considered to be more reflective of the benchmark efficient entity and its investors, and/or this is consistent with the use of evidence from just listed companies when estimating the market risk premium. See section </w:t>
      </w:r>
      <w:r>
        <w:fldChar w:fldCharType="begin"/>
      </w:r>
      <w:r>
        <w:instrText xml:space="preserve"> REF _Ref401048631 \r \h </w:instrText>
      </w:r>
      <w:r>
        <w:fldChar w:fldCharType="separate"/>
      </w:r>
      <w:r>
        <w:t>A.9.1</w:t>
      </w:r>
      <w:r>
        <w:fldChar w:fldCharType="end"/>
      </w:r>
      <w:r>
        <w:t xml:space="preserve"> of appendix A for more discussion. </w:t>
      </w:r>
    </w:p>
  </w:footnote>
  <w:footnote w:id="53">
    <w:p w14:paraId="7C0C31E0" w14:textId="77777777" w:rsidR="00CF4D6D" w:rsidRDefault="00CF4D6D"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31</w:t>
      </w:r>
      <w:r w:rsidRPr="00874F27">
        <w:t>.</w:t>
      </w:r>
    </w:p>
  </w:footnote>
  <w:footnote w:id="54">
    <w:p w14:paraId="7AE2616C" w14:textId="77777777" w:rsidR="00CF4D6D" w:rsidRDefault="00CF4D6D" w:rsidP="00730504">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r w:rsidRPr="00582678">
        <w:t>.</w:t>
      </w:r>
      <w:r>
        <w:t xml:space="preserve"> Lally's recommendation of a utilisation rate of 1 is based on his consideration that, because we use a domestic rate of return framework, we should assume that all investors in the market are domestic (and therefore eligible to make full use of imputation credits).</w:t>
      </w:r>
    </w:p>
  </w:footnote>
  <w:footnote w:id="55">
    <w:p w14:paraId="59C06099" w14:textId="77777777" w:rsidR="00CF4D6D" w:rsidRDefault="00CF4D6D"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w:t>
      </w:r>
      <w:r w:rsidRPr="00874F27">
        <w:t>.</w:t>
      </w:r>
    </w:p>
  </w:footnote>
  <w:footnote w:id="56">
    <w:p w14:paraId="4446AADE" w14:textId="77777777" w:rsidR="00CF4D6D" w:rsidRDefault="00CF4D6D"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32</w:t>
      </w:r>
      <w:r w:rsidRPr="00874F27">
        <w:t>.</w:t>
      </w:r>
      <w:r>
        <w:t xml:space="preserve"> M. McKenzie and G. Partington, </w:t>
      </w:r>
      <w:r w:rsidRPr="00523EF7">
        <w:rPr>
          <w:rStyle w:val="AERtextitalic"/>
        </w:rPr>
        <w:t>Report to the Queensland Resources Council: Review of Aurizon Network’s draft access undertaking</w:t>
      </w:r>
      <w:r>
        <w:t xml:space="preserve">, 5 October 2013, pp. 31–35. See also section </w:t>
      </w:r>
      <w:r>
        <w:fldChar w:fldCharType="begin"/>
      </w:r>
      <w:r>
        <w:instrText xml:space="preserve"> REF _Ref414621676 \r \h </w:instrText>
      </w:r>
      <w:r>
        <w:fldChar w:fldCharType="separate"/>
      </w:r>
      <w:r>
        <w:t>A.1</w:t>
      </w:r>
      <w:r>
        <w:fldChar w:fldCharType="end"/>
      </w:r>
      <w:r>
        <w:t xml:space="preserve"> of appendix A.</w:t>
      </w:r>
    </w:p>
  </w:footnote>
  <w:footnote w:id="57">
    <w:p w14:paraId="6615E5F5" w14:textId="77777777" w:rsidR="00CF4D6D" w:rsidRDefault="00CF4D6D"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32</w:t>
      </w:r>
      <w:r w:rsidRPr="00874F27">
        <w:t>.</w:t>
      </w:r>
    </w:p>
  </w:footnote>
  <w:footnote w:id="58">
    <w:p w14:paraId="7123C3A3" w14:textId="77777777" w:rsidR="00CF4D6D" w:rsidRDefault="00CF4D6D">
      <w:pPr>
        <w:pStyle w:val="FootnoteText"/>
      </w:pPr>
      <w:r>
        <w:rPr>
          <w:rStyle w:val="FootnoteReference"/>
        </w:rPr>
        <w:footnoteRef/>
      </w:r>
      <w:r>
        <w:t xml:space="preserve"> </w:t>
      </w:r>
      <w:r>
        <w:tab/>
        <w:t xml:space="preserve">Note that our estimates of the distribution rate for listed equity come from ATO data on public companies. Handley advised that it is not strictly correct to refer to ATO data on public companies as data on listed companies. This is because the ATO definition of a public company includes but is not limited to listed companies. However, Handley also advised that referring to the public company data as relating to listed companies is suitable for our purpose. </w:t>
      </w:r>
      <w:r w:rsidRPr="00874F27">
        <w:t xml:space="preserve">J. Handley, </w:t>
      </w:r>
      <w:r w:rsidRPr="00874F27">
        <w:rPr>
          <w:rStyle w:val="AERtextitalic"/>
        </w:rPr>
        <w:t xml:space="preserve">Report prepared for the Australian Energy Regulator: </w:t>
      </w:r>
      <w:r>
        <w:rPr>
          <w:rStyle w:val="AERtextitalic"/>
        </w:rPr>
        <w:t>Further a</w:t>
      </w:r>
      <w:r w:rsidRPr="00874F27">
        <w:rPr>
          <w:rStyle w:val="AERtextitalic"/>
        </w:rPr>
        <w:t>dvice on the value of imputation credits</w:t>
      </w:r>
      <w:r w:rsidRPr="00874F27">
        <w:t xml:space="preserve">, </w:t>
      </w:r>
      <w:r>
        <w:t>16 April 2015, footnote 26</w:t>
      </w:r>
      <w:r w:rsidRPr="00874F27">
        <w:t>.</w:t>
      </w:r>
    </w:p>
  </w:footnote>
  <w:footnote w:id="59">
    <w:p w14:paraId="04154A0A" w14:textId="77777777" w:rsidR="00CF4D6D" w:rsidRDefault="00CF4D6D" w:rsidP="00730504">
      <w:pPr>
        <w:pStyle w:val="FootnoteText"/>
      </w:pPr>
      <w:r>
        <w:rPr>
          <w:rStyle w:val="FootnoteReference"/>
        </w:rPr>
        <w:footnoteRef/>
      </w:r>
      <w:r>
        <w:t xml:space="preserve"> </w:t>
      </w:r>
      <w:r>
        <w:tab/>
        <w:t>Although implied market value studies produce estimates below 0.3 and above 0.5, we place less reliance on these studies.</w:t>
      </w:r>
    </w:p>
  </w:footnote>
  <w:footnote w:id="60">
    <w:p w14:paraId="3FC624FE" w14:textId="77777777" w:rsidR="00CF4D6D" w:rsidRDefault="00CF4D6D" w:rsidP="00730504">
      <w:pPr>
        <w:pStyle w:val="FootnoteText"/>
      </w:pPr>
      <w:r>
        <w:rPr>
          <w:rStyle w:val="FootnoteReference"/>
        </w:rPr>
        <w:footnoteRef/>
      </w:r>
      <w:r>
        <w:t xml:space="preserve"> </w:t>
      </w:r>
      <w:r>
        <w:tab/>
        <w:t xml:space="preserve">Handley considers that the equity ownership approach and tax statistics are more important to estimating the utilisation rate than implied market value studies: </w:t>
      </w:r>
      <w:r w:rsidRPr="00582678">
        <w:t xml:space="preserve">J. Handley, </w:t>
      </w:r>
      <w:r w:rsidRPr="00582678">
        <w:rPr>
          <w:rStyle w:val="AERtextitalic"/>
        </w:rPr>
        <w:t>Report prepared for the Australian Energy Regulator: Advice on the value of imputation credits</w:t>
      </w:r>
      <w:r w:rsidRPr="00582678">
        <w:t>, 29 September 2014</w:t>
      </w:r>
      <w:r>
        <w:t>, p. 31</w:t>
      </w:r>
      <w:r w:rsidRPr="00582678">
        <w:t>.</w:t>
      </w:r>
      <w:r>
        <w:t xml:space="preserve"> Lally prefers an estimate of the utilisation rate from the equity ownership approach to one from implied market value studies: </w:t>
      </w:r>
      <w:r w:rsidRPr="00582678">
        <w:t xml:space="preserve">M. Lally, </w:t>
      </w:r>
      <w:r w:rsidRPr="00582678">
        <w:rPr>
          <w:rStyle w:val="AERtextitalic"/>
        </w:rPr>
        <w:t>The estimation of gamma</w:t>
      </w:r>
      <w:r w:rsidRPr="00582678">
        <w:t>, 23 November 2013</w:t>
      </w:r>
      <w:r>
        <w:t>, p. 4</w:t>
      </w:r>
      <w:r w:rsidRPr="00582678">
        <w:t>.</w:t>
      </w:r>
      <w:r>
        <w:t xml:space="preserve"> We discuss the different approaches to estimating the utilisation rate in more detail in section </w:t>
      </w:r>
      <w:r>
        <w:fldChar w:fldCharType="begin"/>
      </w:r>
      <w:r>
        <w:instrText xml:space="preserve"> REF _Ref414289593 \r \h </w:instrText>
      </w:r>
      <w:r>
        <w:fldChar w:fldCharType="separate"/>
      </w:r>
      <w:r>
        <w:t>4.4.2</w:t>
      </w:r>
      <w:r>
        <w:fldChar w:fldCharType="end"/>
      </w:r>
      <w:r>
        <w:t>.</w:t>
      </w:r>
    </w:p>
  </w:footnote>
  <w:footnote w:id="61">
    <w:p w14:paraId="2F86096E" w14:textId="77777777" w:rsidR="00CF4D6D" w:rsidRDefault="00CF4D6D" w:rsidP="00730504">
      <w:pPr>
        <w:pStyle w:val="FootnoteText"/>
      </w:pPr>
      <w:r>
        <w:rPr>
          <w:rStyle w:val="FootnoteReference"/>
        </w:rPr>
        <w:footnoteRef/>
      </w:r>
      <w:r>
        <w:t xml:space="preserve"> </w:t>
      </w:r>
      <w:r>
        <w:tab/>
        <w:t xml:space="preserve">McKenzie and Partington describe the approach to estimating the utilisation rate in our draft rate of return Guideline, which relied on evidence other than implied market value studies, as making a 'reasonable case' for the estimate adopted in that document; M. McKenzie and G. Partington, </w:t>
      </w:r>
      <w:r w:rsidRPr="00523EF7">
        <w:rPr>
          <w:rStyle w:val="AERtextitalic"/>
        </w:rPr>
        <w:t>Report to the Queensland Resources Council: Review of Aurizon Network’s draft access undertaking</w:t>
      </w:r>
      <w:r>
        <w:t>, 5 October 2013, p. 32.</w:t>
      </w:r>
    </w:p>
  </w:footnote>
  <w:footnote w:id="62">
    <w:p w14:paraId="44247CAE" w14:textId="77777777" w:rsidR="00CF4D6D" w:rsidRDefault="00CF4D6D">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 17.</w:t>
      </w:r>
    </w:p>
  </w:footnote>
  <w:footnote w:id="63">
    <w:p w14:paraId="46CFF022" w14:textId="77777777" w:rsidR="00CF4D6D" w:rsidRDefault="00CF4D6D" w:rsidP="00730504">
      <w:pPr>
        <w:pStyle w:val="FootnoteText"/>
      </w:pPr>
      <w:r>
        <w:rPr>
          <w:rStyle w:val="FootnoteReference"/>
        </w:rPr>
        <w:footnoteRef/>
      </w:r>
      <w:r>
        <w:t xml:space="preserve"> </w:t>
      </w:r>
      <w:r>
        <w:tab/>
        <w:t xml:space="preserve">We discuss the adjustment advised by Handley and Lally in section </w:t>
      </w:r>
      <w:r>
        <w:fldChar w:fldCharType="begin"/>
      </w:r>
      <w:r>
        <w:instrText xml:space="preserve"> REF _Ref414289593 \r \h </w:instrText>
      </w:r>
      <w:r>
        <w:fldChar w:fldCharType="separate"/>
      </w:r>
      <w:r>
        <w:t>4.4.2</w:t>
      </w:r>
      <w:r>
        <w:fldChar w:fldCharType="end"/>
      </w:r>
      <w:r>
        <w:t>.</w:t>
      </w:r>
    </w:p>
  </w:footnote>
  <w:footnote w:id="64">
    <w:p w14:paraId="3A81A786" w14:textId="0D187ACB" w:rsidR="00CF4D6D" w:rsidRDefault="00CF4D6D">
      <w:pPr>
        <w:pStyle w:val="FootnoteText"/>
      </w:pPr>
      <w:r>
        <w:rPr>
          <w:rStyle w:val="FootnoteReference"/>
        </w:rPr>
        <w:footnoteRef/>
      </w:r>
      <w:r>
        <w:t xml:space="preserve"> </w:t>
      </w:r>
      <w:r>
        <w:tab/>
        <w:t xml:space="preserve">SA Power </w:t>
      </w:r>
      <w:proofErr w:type="gramStart"/>
      <w:r>
        <w:t>Networks,</w:t>
      </w:r>
      <w:proofErr w:type="gramEnd"/>
      <w:r>
        <w:t xml:space="preserve"> </w:t>
      </w:r>
      <w:r>
        <w:rPr>
          <w:rStyle w:val="AERtextitalic"/>
        </w:rPr>
        <w:t>Revised regulatory proposal 2015-20</w:t>
      </w:r>
      <w:r>
        <w:t>, July 2015, p. 374.</w:t>
      </w:r>
    </w:p>
  </w:footnote>
  <w:footnote w:id="65">
    <w:p w14:paraId="323C28C9" w14:textId="77777777" w:rsidR="00CF4D6D" w:rsidRDefault="00CF4D6D">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 49.</w:t>
      </w:r>
    </w:p>
  </w:footnote>
  <w:footnote w:id="66">
    <w:p w14:paraId="48F57817" w14:textId="77777777" w:rsidR="00CF4D6D" w:rsidRPr="001966E3" w:rsidRDefault="00CF4D6D" w:rsidP="001966E3">
      <w:pPr>
        <w:pStyle w:val="FootnoteText"/>
      </w:pPr>
      <w:r>
        <w:rPr>
          <w:rStyle w:val="FootnoteReference"/>
        </w:rPr>
        <w:footnoteRef/>
      </w:r>
      <w:r>
        <w:t xml:space="preserve"> </w:t>
      </w:r>
      <w:r>
        <w:tab/>
        <w:t xml:space="preserve">PIAC, </w:t>
      </w:r>
      <w:r w:rsidRPr="008E72F6">
        <w:rPr>
          <w:rStyle w:val="AERtextitalic"/>
        </w:rPr>
        <w:t>Moving to a new paradigm:</w:t>
      </w:r>
      <w:r>
        <w:rPr>
          <w:rStyle w:val="AERtextitalic"/>
        </w:rPr>
        <w:t xml:space="preserve"> </w:t>
      </w:r>
      <w:r w:rsidRPr="008E72F6">
        <w:rPr>
          <w:rStyle w:val="AERtextitalic"/>
        </w:rPr>
        <w:t>submission to the Australian Energy</w:t>
      </w:r>
      <w:r>
        <w:rPr>
          <w:rStyle w:val="AERtextitalic"/>
        </w:rPr>
        <w:t xml:space="preserve"> </w:t>
      </w:r>
      <w:r w:rsidRPr="008E72F6">
        <w:rPr>
          <w:rStyle w:val="AERtextitalic"/>
        </w:rPr>
        <w:t>Regulator’s NSW electricity distribution</w:t>
      </w:r>
      <w:r>
        <w:rPr>
          <w:rStyle w:val="AERtextitalic"/>
        </w:rPr>
        <w:t xml:space="preserve"> </w:t>
      </w:r>
      <w:r w:rsidRPr="008E72F6">
        <w:rPr>
          <w:rStyle w:val="AERtextitalic"/>
        </w:rPr>
        <w:t>network price determination</w:t>
      </w:r>
      <w:r>
        <w:t xml:space="preserve">, 8 August 2014, pp. 90–92; PIAC, </w:t>
      </w:r>
      <w:r w:rsidRPr="001966E3">
        <w:rPr>
          <w:rStyle w:val="AERtextitalic"/>
        </w:rPr>
        <w:t>A missed opportunity? Submission to the Australian Energy Regulator’s draft determination for Ausgrid, Endeavour Energy and Essential Energy</w:t>
      </w:r>
      <w:r>
        <w:t>, 13 February 2015, p. 46.</w:t>
      </w:r>
    </w:p>
  </w:footnote>
  <w:footnote w:id="67">
    <w:p w14:paraId="0C0CF8BA" w14:textId="77777777" w:rsidR="00CF4D6D" w:rsidRDefault="00CF4D6D" w:rsidP="005401BC">
      <w:pPr>
        <w:pStyle w:val="FootnoteText"/>
      </w:pPr>
      <w:r>
        <w:rPr>
          <w:rStyle w:val="FootnoteReference"/>
        </w:rPr>
        <w:footnoteRef/>
      </w:r>
      <w:r>
        <w:t xml:space="preserve"> </w:t>
      </w:r>
      <w:r>
        <w:tab/>
      </w:r>
      <w:r w:rsidRPr="0074446C">
        <w:t xml:space="preserve">Australian Competition Tribunal, </w:t>
      </w:r>
      <w:r w:rsidRPr="008A03DA">
        <w:rPr>
          <w:rStyle w:val="AERtextitalic"/>
        </w:rPr>
        <w:t>Application by Energex Limited (Gamma) (No 5) [2011] ACompT 9</w:t>
      </w:r>
      <w:r>
        <w:t>, 12 May 2011, para. 45.</w:t>
      </w:r>
    </w:p>
  </w:footnote>
  <w:footnote w:id="68">
    <w:p w14:paraId="68AEC066" w14:textId="77777777" w:rsidR="00CF4D6D" w:rsidRDefault="00CF4D6D">
      <w:pPr>
        <w:pStyle w:val="FootnoteText"/>
      </w:pPr>
      <w:r>
        <w:rPr>
          <w:rStyle w:val="FootnoteReference"/>
        </w:rPr>
        <w:footnoteRef/>
      </w:r>
      <w:r>
        <w:t xml:space="preserve"> </w:t>
      </w:r>
      <w:r>
        <w:tab/>
        <w:t xml:space="preserve">PIAC, </w:t>
      </w:r>
      <w:r w:rsidRPr="001966E3">
        <w:rPr>
          <w:rStyle w:val="AERtextitalic"/>
        </w:rPr>
        <w:t>A missed opportunity? Submission to the Australian Energy Regulator’s draft determination for Ausgrid, Endeavour Energy and Essential Energy</w:t>
      </w:r>
      <w:r>
        <w:t>, 13 February 2015, pp. 19–20.</w:t>
      </w:r>
    </w:p>
  </w:footnote>
  <w:footnote w:id="69">
    <w:p w14:paraId="1317F82D" w14:textId="77777777" w:rsidR="00CF4D6D" w:rsidRDefault="00CF4D6D" w:rsidP="006D5D8E">
      <w:pPr>
        <w:pStyle w:val="FootnoteText"/>
      </w:pPr>
      <w:r>
        <w:rPr>
          <w:rStyle w:val="FootnoteReference"/>
        </w:rPr>
        <w:footnoteRef/>
      </w:r>
      <w:r>
        <w:t xml:space="preserve"> </w:t>
      </w:r>
      <w:r>
        <w:tab/>
        <w:t xml:space="preserve">EMRF, </w:t>
      </w:r>
      <w:r w:rsidRPr="006D5D8E">
        <w:rPr>
          <w:rStyle w:val="AERtextitalic"/>
        </w:rPr>
        <w:t>NSW Electricity Distribution Revenue Reset, AER Draft Decision and revised proposals from Ausgrid, Endeavour Energy and Essential Energy, A response</w:t>
      </w:r>
      <w:r>
        <w:t>, February 2015, pp. 31–32.</w:t>
      </w:r>
    </w:p>
  </w:footnote>
  <w:footnote w:id="70">
    <w:p w14:paraId="19989823" w14:textId="77777777" w:rsidR="00CF4D6D" w:rsidRDefault="00CF4D6D" w:rsidP="001B6BD3">
      <w:pPr>
        <w:pStyle w:val="FootnoteText"/>
      </w:pPr>
      <w:r>
        <w:rPr>
          <w:rStyle w:val="FootnoteReference"/>
        </w:rPr>
        <w:footnoteRef/>
      </w:r>
      <w:r>
        <w:t xml:space="preserve"> </w:t>
      </w:r>
      <w:r>
        <w:tab/>
        <w:t xml:space="preserve">EMRF, </w:t>
      </w:r>
      <w:r w:rsidRPr="001B6BD3">
        <w:rPr>
          <w:rStyle w:val="AERtextitalic"/>
        </w:rPr>
        <w:t>NSW gas distribution revenue reset, Draft decision by the Australian Energy Regulator on Jemena’s Gas Networks Access Arrangement, A response</w:t>
      </w:r>
      <w:r>
        <w:t>, March 2015, p. 71.</w:t>
      </w:r>
    </w:p>
  </w:footnote>
  <w:footnote w:id="71">
    <w:p w14:paraId="0E113CA0" w14:textId="77777777" w:rsidR="00CF4D6D" w:rsidRDefault="00CF4D6D">
      <w:pPr>
        <w:pStyle w:val="FootnoteText"/>
      </w:pPr>
      <w:r>
        <w:rPr>
          <w:rStyle w:val="FootnoteReference"/>
        </w:rPr>
        <w:footnoteRef/>
      </w:r>
      <w:r>
        <w:t xml:space="preserve"> </w:t>
      </w:r>
      <w:r>
        <w:tab/>
      </w:r>
      <w:r w:rsidRPr="007646B1">
        <w:t xml:space="preserve">AER, </w:t>
      </w:r>
      <w:r>
        <w:rPr>
          <w:rStyle w:val="AERtextitalic"/>
        </w:rPr>
        <w:t>Better regulation: Explanatory 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w:t>
      </w:r>
      <w:r w:rsidRPr="007646B1">
        <w:t xml:space="preserve"> December 2013</w:t>
      </w:r>
      <w:r>
        <w:t>, pp. 163–164.</w:t>
      </w:r>
    </w:p>
  </w:footnote>
  <w:footnote w:id="72">
    <w:p w14:paraId="464F8BA9" w14:textId="77777777" w:rsidR="00CF4D6D" w:rsidRDefault="00CF4D6D" w:rsidP="00B36753">
      <w:pPr>
        <w:pStyle w:val="FootnoteText"/>
      </w:pPr>
      <w:r>
        <w:rPr>
          <w:rStyle w:val="FootnoteReference"/>
        </w:rPr>
        <w:footnoteRef/>
      </w:r>
      <w:r>
        <w:t xml:space="preserve"> </w:t>
      </w:r>
      <w:r>
        <w:tab/>
        <w:t xml:space="preserve">SACOSS, </w:t>
      </w:r>
      <w:r w:rsidRPr="00B36753">
        <w:rPr>
          <w:rStyle w:val="AERtextitalic"/>
        </w:rPr>
        <w:t>Submission to Australian Energy Regulator on SA Power Networks’ 2015 – 2020 Regulatory Proposal</w:t>
      </w:r>
      <w:r>
        <w:t>, January 2015, p. 21.</w:t>
      </w:r>
    </w:p>
  </w:footnote>
  <w:footnote w:id="73">
    <w:p w14:paraId="3CBDF6D9" w14:textId="205CD6F4" w:rsidR="00CF4D6D" w:rsidRDefault="00CF4D6D">
      <w:pPr>
        <w:pStyle w:val="FootnoteText"/>
      </w:pPr>
      <w:r>
        <w:rPr>
          <w:rStyle w:val="FootnoteReference"/>
        </w:rPr>
        <w:footnoteRef/>
      </w:r>
      <w:r>
        <w:t xml:space="preserve"> </w:t>
      </w:r>
      <w:r>
        <w:tab/>
        <w:t xml:space="preserve">SACOSS, </w:t>
      </w:r>
      <w:r w:rsidRPr="00B36753">
        <w:rPr>
          <w:rStyle w:val="AERtextitalic"/>
        </w:rPr>
        <w:t xml:space="preserve">Submission to Australian Energy Regulator on SA Power Networks’ 2015 – 2020 </w:t>
      </w:r>
      <w:r>
        <w:rPr>
          <w:rStyle w:val="AERtextitalic"/>
        </w:rPr>
        <w:t xml:space="preserve">AER Preliminary Decision </w:t>
      </w:r>
      <w:r>
        <w:t>June 2015, p. 5.</w:t>
      </w:r>
    </w:p>
  </w:footnote>
  <w:footnote w:id="74">
    <w:p w14:paraId="74AD9B72" w14:textId="77777777" w:rsidR="00CF4D6D" w:rsidRDefault="00CF4D6D" w:rsidP="003504FC">
      <w:pPr>
        <w:pStyle w:val="FootnoteText"/>
      </w:pPr>
      <w:r>
        <w:rPr>
          <w:rStyle w:val="FootnoteReference"/>
        </w:rPr>
        <w:footnoteRef/>
      </w:r>
      <w:r>
        <w:t xml:space="preserve"> </w:t>
      </w:r>
      <w:r>
        <w:tab/>
        <w:t xml:space="preserve">ECCSA, </w:t>
      </w:r>
      <w:r w:rsidRPr="003504FC">
        <w:rPr>
          <w:rStyle w:val="AERtextitalic"/>
        </w:rPr>
        <w:t>SA Electricity Distribution Revenue Reset, SA PowerNetworks Application, A response</w:t>
      </w:r>
      <w:r>
        <w:t>, December 2014, pp. 80–81.</w:t>
      </w:r>
    </w:p>
  </w:footnote>
  <w:footnote w:id="75">
    <w:p w14:paraId="0A639FE5" w14:textId="638AB9BC" w:rsidR="00CF4D6D" w:rsidRDefault="00CF4D6D" w:rsidP="00852196">
      <w:pPr>
        <w:pStyle w:val="FootnoteText"/>
      </w:pPr>
      <w:r>
        <w:rPr>
          <w:rStyle w:val="FootnoteReference"/>
        </w:rPr>
        <w:footnoteRef/>
      </w:r>
      <w:r>
        <w:t xml:space="preserve"> </w:t>
      </w:r>
      <w:r>
        <w:tab/>
        <w:t xml:space="preserve">ECCSA, </w:t>
      </w:r>
      <w:r w:rsidRPr="003504FC">
        <w:rPr>
          <w:rStyle w:val="AERtextitalic"/>
        </w:rPr>
        <w:t>SA Electricity Distribution Revenue Res</w:t>
      </w:r>
      <w:r>
        <w:rPr>
          <w:rStyle w:val="AERtextitalic"/>
        </w:rPr>
        <w:t>et, The AER preliminary decision</w:t>
      </w:r>
      <w:r w:rsidRPr="003504FC">
        <w:rPr>
          <w:rStyle w:val="AERtextitalic"/>
        </w:rPr>
        <w:t>, A response</w:t>
      </w:r>
      <w:r>
        <w:t>, June 2015, p 42.</w:t>
      </w:r>
    </w:p>
  </w:footnote>
  <w:footnote w:id="76">
    <w:p w14:paraId="43316870" w14:textId="77777777" w:rsidR="00CF4D6D" w:rsidRDefault="00CF4D6D" w:rsidP="0014196F">
      <w:pPr>
        <w:pStyle w:val="FootnoteText"/>
      </w:pPr>
      <w:r>
        <w:rPr>
          <w:rStyle w:val="FootnoteReference"/>
        </w:rPr>
        <w:footnoteRef/>
      </w:r>
      <w:r>
        <w:t xml:space="preserve"> </w:t>
      </w:r>
      <w:r>
        <w:tab/>
        <w:t xml:space="preserve">QCOSS, </w:t>
      </w:r>
      <w:r w:rsidRPr="0014196F">
        <w:rPr>
          <w:rStyle w:val="AERtextitalic"/>
        </w:rPr>
        <w:t>Understanding the long term interests of electricity customers, Submission to the AER’s Queensland electricity distribution determination 2015-2020</w:t>
      </w:r>
      <w:r>
        <w:t>, 30 January 2015, p. 81.</w:t>
      </w:r>
    </w:p>
  </w:footnote>
  <w:footnote w:id="77">
    <w:p w14:paraId="59806CA0" w14:textId="77777777" w:rsidR="00CF4D6D" w:rsidRDefault="00CF4D6D" w:rsidP="00F31D12">
      <w:pPr>
        <w:pStyle w:val="FootnoteText"/>
      </w:pPr>
      <w:r>
        <w:rPr>
          <w:rStyle w:val="FootnoteReference"/>
        </w:rPr>
        <w:footnoteRef/>
      </w:r>
      <w:r>
        <w:t xml:space="preserve"> </w:t>
      </w:r>
      <w:r>
        <w:tab/>
        <w:t xml:space="preserve">Alliance of Electricity Consumers, </w:t>
      </w:r>
      <w:r w:rsidRPr="00F31D12">
        <w:rPr>
          <w:rStyle w:val="AERtextitalic"/>
        </w:rPr>
        <w:t>Submission on Ergon Energy’s Regulatory Proposal 2015-­</w:t>
      </w:r>
      <w:r w:rsidRPr="00F31D12">
        <w:rPr>
          <w:rStyle w:val="AERtextitalic"/>
          <w:rFonts w:ascii="Cambria Math" w:hAnsi="Cambria Math" w:cs="Cambria Math"/>
        </w:rPr>
        <w:t>‐</w:t>
      </w:r>
      <w:r w:rsidRPr="00F31D12">
        <w:rPr>
          <w:rStyle w:val="AERtextitalic"/>
        </w:rPr>
        <w:t>2020</w:t>
      </w:r>
      <w:r>
        <w:t>, 30 January 2015, p. 24.</w:t>
      </w:r>
    </w:p>
  </w:footnote>
  <w:footnote w:id="78">
    <w:p w14:paraId="522A8DCE" w14:textId="4B391BE5" w:rsidR="00CF4D6D" w:rsidRDefault="00CF4D6D" w:rsidP="00B239C6">
      <w:pPr>
        <w:pStyle w:val="FootnoteText"/>
      </w:pPr>
      <w:r>
        <w:rPr>
          <w:rStyle w:val="FootnoteReference"/>
        </w:rPr>
        <w:footnoteRef/>
      </w:r>
      <w:r>
        <w:t xml:space="preserve"> </w:t>
      </w:r>
      <w:r>
        <w:tab/>
        <w:t xml:space="preserve">Uniting Care Australia, </w:t>
      </w:r>
      <w:r w:rsidRPr="00B239C6">
        <w:t>Submission to the Australian Energy Regulator -Response to Electricity Distribution Business Revised Regulatory Proposal from 2015-20 from SA Power Networks, and AER Preliminary Determination, July 2015, p. 29.</w:t>
      </w:r>
    </w:p>
  </w:footnote>
  <w:footnote w:id="79">
    <w:p w14:paraId="2ED40B18" w14:textId="77777777" w:rsidR="00CF4D6D" w:rsidRDefault="00CF4D6D" w:rsidP="009B2ABF">
      <w:pPr>
        <w:pStyle w:val="FootnoteText"/>
      </w:pPr>
      <w:r>
        <w:rPr>
          <w:rStyle w:val="FootnoteReference"/>
        </w:rPr>
        <w:footnoteRef/>
      </w:r>
      <w:r>
        <w:t xml:space="preserve"> </w:t>
      </w:r>
      <w:r>
        <w:tab/>
        <w:t>In the Guideline we referred to the distribution rate as the 'payout ratio'. We have in this decision adopted 'distribution rate' as we consider this to be the more commonly used terminology. In the Guideline and this decision we attach the same meaning to these two different ways of describing the parameter. Note also that the distribution rate is referred to as the 'access fraction' in the Monkhouse framework.</w:t>
      </w:r>
    </w:p>
  </w:footnote>
  <w:footnote w:id="80">
    <w:p w14:paraId="17BA70D0" w14:textId="77777777" w:rsidR="00CF4D6D" w:rsidRDefault="00CF4D6D" w:rsidP="009B2ABF">
      <w:pPr>
        <w:pStyle w:val="FootnoteText"/>
      </w:pPr>
      <w:r>
        <w:rPr>
          <w:rStyle w:val="FootnoteReference"/>
        </w:rPr>
        <w:footnoteRef/>
      </w:r>
      <w:r>
        <w:t xml:space="preserve"> </w:t>
      </w:r>
      <w:r>
        <w:tab/>
        <w:t xml:space="preserve">We discuss the cumulative payout approach and alternative approaches to estimating the distribution rate in </w:t>
      </w:r>
      <w:r w:rsidRPr="007F4E38">
        <w:t>section</w:t>
      </w:r>
      <w:r>
        <w:t xml:space="preserve"> </w:t>
      </w:r>
      <w:r>
        <w:fldChar w:fldCharType="begin"/>
      </w:r>
      <w:r>
        <w:instrText xml:space="preserve"> REF _Ref401133206 \r \h </w:instrText>
      </w:r>
      <w:r>
        <w:fldChar w:fldCharType="separate"/>
      </w:r>
      <w:r>
        <w:t>A.10</w:t>
      </w:r>
      <w:r>
        <w:fldChar w:fldCharType="end"/>
      </w:r>
      <w:r w:rsidRPr="007F4E38">
        <w:t xml:space="preserve"> of </w:t>
      </w:r>
      <w:r>
        <w:t>appendix A.</w:t>
      </w:r>
    </w:p>
  </w:footnote>
  <w:footnote w:id="81">
    <w:p w14:paraId="66868DEA" w14:textId="77777777" w:rsidR="00CF4D6D" w:rsidRDefault="00CF4D6D" w:rsidP="009B2ABF">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82">
    <w:p w14:paraId="52FF263E" w14:textId="77777777" w:rsidR="00CF4D6D" w:rsidRDefault="00CF4D6D" w:rsidP="009B2ABF">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83">
    <w:p w14:paraId="216B095E" w14:textId="77777777" w:rsidR="00CF4D6D" w:rsidRDefault="00CF4D6D">
      <w:pPr>
        <w:pStyle w:val="FootnoteText"/>
      </w:pPr>
      <w:r>
        <w:rPr>
          <w:rStyle w:val="FootnoteReference"/>
        </w:rPr>
        <w:footnoteRef/>
      </w:r>
      <w:r>
        <w:t xml:space="preserve"> </w:t>
      </w:r>
      <w:r>
        <w:tab/>
        <w:t xml:space="preserve">We discuss this updated analysis in section </w:t>
      </w:r>
      <w:r>
        <w:fldChar w:fldCharType="begin"/>
      </w:r>
      <w:r>
        <w:instrText xml:space="preserve"> REF _Ref401133206 \r \h </w:instrText>
      </w:r>
      <w:r>
        <w:fldChar w:fldCharType="separate"/>
      </w:r>
      <w:r>
        <w:t>A.10</w:t>
      </w:r>
      <w:r>
        <w:fldChar w:fldCharType="end"/>
      </w:r>
      <w:r>
        <w:t xml:space="preserve"> of appendix A. NERA, </w:t>
      </w:r>
      <w:r w:rsidRPr="001763FD">
        <w:rPr>
          <w:rStyle w:val="AERtextitalic"/>
        </w:rPr>
        <w:t>Estimating distribution and redemption rates from taxation statistics</w:t>
      </w:r>
      <w:r>
        <w:t xml:space="preserve">, March 2015. J. Handley, </w:t>
      </w:r>
      <w:r w:rsidRPr="005B7CF2">
        <w:rPr>
          <w:rStyle w:val="AERtextitalic"/>
        </w:rPr>
        <w:t>Report prepared for the Australian Energy Regulator: Advice on the NERA report 'Estimating distribution and redemption rates from taxation statistics'</w:t>
      </w:r>
      <w:r>
        <w:t xml:space="preserve">, 20 May 2015. </w:t>
      </w:r>
    </w:p>
  </w:footnote>
  <w:footnote w:id="84">
    <w:p w14:paraId="225323C2" w14:textId="77777777" w:rsidR="00CF4D6D" w:rsidRDefault="00CF4D6D" w:rsidP="009B2ABF">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paras. 84–92; </w:t>
      </w:r>
      <w:r w:rsidRPr="00874F27">
        <w:t xml:space="preserve">J. Handley, </w:t>
      </w:r>
      <w:r w:rsidRPr="00874F27">
        <w:rPr>
          <w:rStyle w:val="AERtextitalic"/>
        </w:rPr>
        <w:t>Report prepared for the Australian Energy Regulator: Advice on the value of imputation credits</w:t>
      </w:r>
      <w:r w:rsidRPr="00874F27">
        <w:t>, 29 September 2014</w:t>
      </w:r>
      <w:r>
        <w:t xml:space="preserve">, p. 25–30; M. McKenzie and G. Partington, </w:t>
      </w:r>
      <w:r w:rsidRPr="00523EF7">
        <w:rPr>
          <w:rStyle w:val="AERtextitalic"/>
        </w:rPr>
        <w:t>Report to the Queensland Resources Council: Review of Aurizon Network’s draft access undertaking</w:t>
      </w:r>
      <w:r>
        <w:t>, 5 October 2013, p. 31.</w:t>
      </w:r>
    </w:p>
  </w:footnote>
  <w:footnote w:id="85">
    <w:p w14:paraId="6A8F7D53" w14:textId="77777777" w:rsidR="00CF4D6D" w:rsidRDefault="00CF4D6D" w:rsidP="009B2ABF">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pp. 28–29</w:t>
      </w:r>
      <w:r w:rsidRPr="00874F27">
        <w:t>.</w:t>
      </w:r>
    </w:p>
  </w:footnote>
  <w:footnote w:id="86">
    <w:p w14:paraId="1DC7CDAB" w14:textId="77777777" w:rsidR="00CF4D6D" w:rsidRDefault="00CF4D6D">
      <w:pPr>
        <w:pStyle w:val="FootnoteText"/>
      </w:pPr>
      <w:r>
        <w:rPr>
          <w:rStyle w:val="FootnoteReference"/>
        </w:rPr>
        <w:footnoteRef/>
      </w:r>
      <w:r>
        <w:t xml:space="preserve"> </w:t>
      </w:r>
      <w:r>
        <w:tab/>
        <w:t xml:space="preserve">See section </w:t>
      </w:r>
      <w:r>
        <w:fldChar w:fldCharType="begin"/>
      </w:r>
      <w:r>
        <w:instrText xml:space="preserve"> REF _Ref401133206 \r \h </w:instrText>
      </w:r>
      <w:r>
        <w:fldChar w:fldCharType="separate"/>
      </w:r>
      <w:r>
        <w:t>A.10</w:t>
      </w:r>
      <w:r>
        <w:fldChar w:fldCharType="end"/>
      </w:r>
      <w:r>
        <w:t xml:space="preserve"> for more detail.</w:t>
      </w:r>
    </w:p>
  </w:footnote>
  <w:footnote w:id="87">
    <w:p w14:paraId="1529DDE9" w14:textId="77777777" w:rsidR="00CF4D6D" w:rsidRDefault="00CF4D6D" w:rsidP="00090E98">
      <w:pPr>
        <w:pStyle w:val="FootnoteText"/>
      </w:pPr>
      <w:r>
        <w:rPr>
          <w:rStyle w:val="FootnoteReference"/>
        </w:rPr>
        <w:footnoteRef/>
      </w:r>
      <w:r>
        <w:t xml:space="preserve"> </w:t>
      </w:r>
      <w:r>
        <w:tab/>
        <w:t xml:space="preserve">We discuss this updated analysis in section </w:t>
      </w:r>
      <w:r>
        <w:fldChar w:fldCharType="begin"/>
      </w:r>
      <w:r>
        <w:instrText xml:space="preserve"> REF _Ref401133206 \r \h </w:instrText>
      </w:r>
      <w:r>
        <w:fldChar w:fldCharType="separate"/>
      </w:r>
      <w:r>
        <w:t>A.10</w:t>
      </w:r>
      <w:r>
        <w:fldChar w:fldCharType="end"/>
      </w:r>
      <w:r>
        <w:t xml:space="preserve"> of appendix A. </w:t>
      </w:r>
    </w:p>
  </w:footnote>
  <w:footnote w:id="88">
    <w:p w14:paraId="0232DD62" w14:textId="09F7E199" w:rsidR="00CF4D6D" w:rsidRDefault="00CF4D6D">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JGN, </w:t>
      </w:r>
      <w:r w:rsidRPr="000E181F">
        <w:rPr>
          <w:rStyle w:val="AERtextitalic"/>
        </w:rPr>
        <w:t>Gamma - response to the draft decision</w:t>
      </w:r>
      <w:r>
        <w:t xml:space="preserve">, February 2015, p. 4; AusNet Services, </w:t>
      </w:r>
      <w:r w:rsidRPr="00CF4D6D">
        <w:rPr>
          <w:rStyle w:val="AERtextitalic"/>
        </w:rPr>
        <w:t>2016-20 Regulatory Proposal</w:t>
      </w:r>
      <w:r>
        <w:t xml:space="preserve">, April 2015, p. 354; United Energy, </w:t>
      </w:r>
      <w:r w:rsidRPr="00CF4D6D">
        <w:rPr>
          <w:rStyle w:val="AERtextitalic"/>
        </w:rPr>
        <w:t>Assessment of the Value of Imputation Credits - Gamma, Proposal for 2016 to 2020</w:t>
      </w:r>
      <w:r>
        <w:t xml:space="preserve">, April 2015, pp. 2, 6-8; CitiPower, </w:t>
      </w:r>
      <w:r w:rsidRPr="00CF4D6D">
        <w:rPr>
          <w:rStyle w:val="AERtextitalic"/>
        </w:rPr>
        <w:t>Appendix J - Gamma</w:t>
      </w:r>
      <w:r>
        <w:t xml:space="preserve">, April 2015, pp. 6-7; Powercor, </w:t>
      </w:r>
      <w:r w:rsidRPr="00CF4D6D">
        <w:rPr>
          <w:rStyle w:val="AERtextitalic"/>
        </w:rPr>
        <w:t>Appendix J - Gamma</w:t>
      </w:r>
      <w:r>
        <w:t xml:space="preserve">, April 2015, pp. 6-7; Jemena Electricity, </w:t>
      </w:r>
      <w:r w:rsidRPr="00CF4D6D">
        <w:rPr>
          <w:rStyle w:val="AERtextitalic"/>
        </w:rPr>
        <w:t>Attachment 06-06 Gamma proposal</w:t>
      </w:r>
      <w:r>
        <w:t xml:space="preserve">, April 2015, p. 2; SA Power Networks, </w:t>
      </w:r>
      <w:r w:rsidRPr="00CF4D6D">
        <w:rPr>
          <w:rStyle w:val="AERtextitalic"/>
        </w:rPr>
        <w:t>2015-20 Revised Regulatory Proposal</w:t>
      </w:r>
      <w:r>
        <w:t xml:space="preserve">, pp. 376-379, July 2015; Energex, </w:t>
      </w:r>
      <w:r w:rsidRPr="00CF4D6D">
        <w:rPr>
          <w:rStyle w:val="AERtextitalic"/>
        </w:rPr>
        <w:t>Revised Regulatory Proposal</w:t>
      </w:r>
      <w:r>
        <w:t xml:space="preserve">, pp. 124-125, July 2015; Ergon, </w:t>
      </w:r>
      <w:r w:rsidRPr="00CF4D6D">
        <w:rPr>
          <w:rStyle w:val="AERtextitalic"/>
        </w:rPr>
        <w:t>Revised Regulatory Proposal</w:t>
      </w:r>
      <w:r>
        <w:t xml:space="preserve">, p. 153, July 2015; ActewAGL Distribution, </w:t>
      </w:r>
      <w:r w:rsidRPr="00CF4D6D">
        <w:rPr>
          <w:rStyle w:val="AERtextitalic"/>
        </w:rPr>
        <w:t>Attachment 8 Detailed gamma proposal</w:t>
      </w:r>
      <w:r>
        <w:t xml:space="preserve">, pp. 4-6, June 2015; Australian Gas Networks, </w:t>
      </w:r>
      <w:r w:rsidRPr="00CF4D6D">
        <w:rPr>
          <w:rStyle w:val="AERtextitalic"/>
        </w:rPr>
        <w:t>Access Arrangement Information for Australian Gas Networks' South Australian Natural Gas Distribution Network</w:t>
      </w:r>
      <w:r>
        <w:t>, July 2015,</w:t>
      </w:r>
      <w:r w:rsidRPr="00CF4D6D">
        <w:t xml:space="preserve"> </w:t>
      </w:r>
      <w:r>
        <w:t xml:space="preserve">pp. 183-184; Amadeus Gas Pipeline, </w:t>
      </w:r>
      <w:r w:rsidRPr="00CF4D6D">
        <w:rPr>
          <w:rStyle w:val="AERtextitalic"/>
        </w:rPr>
        <w:t>Access Arrangement revision submission</w:t>
      </w:r>
      <w:r>
        <w:t>, August 2015, p. 153.</w:t>
      </w:r>
    </w:p>
  </w:footnote>
  <w:footnote w:id="89">
    <w:p w14:paraId="7463B2BE" w14:textId="77777777" w:rsidR="00CF4D6D" w:rsidRDefault="00CF4D6D" w:rsidP="008D1665">
      <w:pPr>
        <w:pStyle w:val="FootnoteText"/>
      </w:pPr>
      <w:r>
        <w:rPr>
          <w:rStyle w:val="FootnoteReference"/>
        </w:rPr>
        <w:footnoteRef/>
      </w:r>
      <w:r>
        <w:t xml:space="preserve"> </w:t>
      </w:r>
      <w:r>
        <w:tab/>
        <w:t xml:space="preserve">This is the return to eligible investors before administrative costs, personal taxes and diversification costs. Handley advises that this is the desired basis for the utilisation rate. We discuss this further in section </w:t>
      </w:r>
      <w:r>
        <w:fldChar w:fldCharType="begin"/>
      </w:r>
      <w:r>
        <w:instrText xml:space="preserve"> REF _Ref401748758 \r \h </w:instrText>
      </w:r>
      <w:r>
        <w:fldChar w:fldCharType="separate"/>
      </w:r>
      <w:r>
        <w:t>A.8.1</w:t>
      </w:r>
      <w:r>
        <w:fldChar w:fldCharType="end"/>
      </w:r>
      <w:r>
        <w:t xml:space="preserve"> of appendix A.</w:t>
      </w:r>
    </w:p>
  </w:footnote>
  <w:footnote w:id="90">
    <w:p w14:paraId="2FCD216E" w14:textId="77777777" w:rsidR="00CF4D6D" w:rsidRDefault="00CF4D6D"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xml:space="preserve">, p. 31; </w:t>
      </w:r>
      <w:r w:rsidRPr="00582678">
        <w:t xml:space="preserve">M. Lally, </w:t>
      </w:r>
      <w:r w:rsidRPr="00582678">
        <w:rPr>
          <w:rStyle w:val="AERtextitalic"/>
        </w:rPr>
        <w:t>The estimation of gamma</w:t>
      </w:r>
      <w:r w:rsidRPr="00582678">
        <w:t>, 23 November 2013</w:t>
      </w:r>
      <w:r>
        <w:t xml:space="preserve">, p. 4; M. McKenzie and G. Partington, </w:t>
      </w:r>
      <w:r w:rsidRPr="00523EF7">
        <w:rPr>
          <w:rStyle w:val="AERtextitalic"/>
        </w:rPr>
        <w:t>Report to the Queensland Resources Council: Review of Aurizon Network’s draft access undertaking</w:t>
      </w:r>
      <w:r>
        <w:t>, 5 October 2013, p. 32.</w:t>
      </w:r>
    </w:p>
  </w:footnote>
  <w:footnote w:id="91">
    <w:p w14:paraId="6B8853D9" w14:textId="77777777" w:rsidR="00CF4D6D" w:rsidRDefault="00CF4D6D" w:rsidP="008D1665">
      <w:pPr>
        <w:pStyle w:val="FootnoteText"/>
      </w:pPr>
      <w:r>
        <w:rPr>
          <w:rStyle w:val="FootnoteReference"/>
        </w:rPr>
        <w:footnoteRef/>
      </w:r>
      <w:r>
        <w:t xml:space="preserve"> </w:t>
      </w:r>
      <w:r>
        <w:tab/>
        <w:t xml:space="preserve">We have also considered these approaches and the evidence they employ against the criteria used to assess evidence on the allowed rate of return. See section </w:t>
      </w:r>
      <w:r>
        <w:fldChar w:fldCharType="begin"/>
      </w:r>
      <w:r>
        <w:instrText xml:space="preserve"> REF _Ref403481535 \r \h </w:instrText>
      </w:r>
      <w:r>
        <w:fldChar w:fldCharType="separate"/>
      </w:r>
      <w:r>
        <w:t>A.11</w:t>
      </w:r>
      <w:r>
        <w:fldChar w:fldCharType="end"/>
      </w:r>
      <w:r>
        <w:t xml:space="preserve"> of appendix A.</w:t>
      </w:r>
    </w:p>
  </w:footnote>
  <w:footnote w:id="92">
    <w:p w14:paraId="68059255" w14:textId="77777777" w:rsidR="00CF4D6D" w:rsidRDefault="00CF4D6D" w:rsidP="008D1665">
      <w:pPr>
        <w:pStyle w:val="FootnoteText"/>
      </w:pPr>
      <w:r>
        <w:rPr>
          <w:rStyle w:val="FootnoteReference"/>
        </w:rPr>
        <w:footnoteRef/>
      </w:r>
      <w:r>
        <w:t xml:space="preserve"> </w:t>
      </w:r>
      <w:r>
        <w:tab/>
        <w:t xml:space="preserve">Specifically, we use data from </w:t>
      </w:r>
      <w:r w:rsidRPr="0061054A">
        <w:t>Australian National Accounts:</w:t>
      </w:r>
      <w:r>
        <w:t xml:space="preserve"> Finance and Wealth </w:t>
      </w:r>
      <w:r w:rsidRPr="0061054A">
        <w:t>(ABS cat. 5232.0)</w:t>
      </w:r>
      <w:r>
        <w:t>.</w:t>
      </w:r>
    </w:p>
  </w:footnote>
  <w:footnote w:id="93">
    <w:p w14:paraId="38CBB34D" w14:textId="41A21EE5" w:rsidR="00CF4D6D" w:rsidRDefault="00CF4D6D" w:rsidP="00A427FF">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January 2015, pp. 8</w:t>
      </w:r>
      <w:r>
        <w:softHyphen/>
        <w:t xml:space="preserve">–9;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JGN, </w:t>
      </w:r>
      <w:r w:rsidRPr="000E181F">
        <w:rPr>
          <w:rStyle w:val="AERtextitalic"/>
        </w:rPr>
        <w:t>Gamma - response to the draft decision</w:t>
      </w:r>
      <w:r>
        <w:t>, February 2015, pp. 8–9;</w:t>
      </w:r>
      <w:r w:rsidRPr="00261628">
        <w:t xml:space="preserve"> </w:t>
      </w:r>
      <w:r>
        <w:t>AusNet Services</w:t>
      </w:r>
      <w:r w:rsidRPr="00CF4D6D">
        <w:rPr>
          <w:rStyle w:val="AERtextitalic"/>
        </w:rPr>
        <w:t>, 2016-20 Regulatory Proposal</w:t>
      </w:r>
      <w:r>
        <w:t xml:space="preserve">, April 2015, p. 364; United Energy, </w:t>
      </w:r>
      <w:r w:rsidRPr="00CF4D6D">
        <w:rPr>
          <w:rStyle w:val="AERtextitalic"/>
        </w:rPr>
        <w:t>Assessment of the Value of Imputation Credits - Gamma, Proposal for 2016 to 2020</w:t>
      </w:r>
      <w:r>
        <w:t xml:space="preserve">, April 2015, p. 10; CitiPower, </w:t>
      </w:r>
      <w:r w:rsidRPr="00CF4D6D">
        <w:rPr>
          <w:rStyle w:val="AERtextitalic"/>
        </w:rPr>
        <w:t>Appendix J - Gamma</w:t>
      </w:r>
      <w:r>
        <w:t xml:space="preserve">, April 2015, p. 10; Powercor, </w:t>
      </w:r>
      <w:r w:rsidRPr="00CF4D6D">
        <w:rPr>
          <w:rStyle w:val="AERtextitalic"/>
        </w:rPr>
        <w:t>Appendix J - Gamma</w:t>
      </w:r>
      <w:r>
        <w:t xml:space="preserve">, April 2015, p. 10; Jemena Electricity, </w:t>
      </w:r>
      <w:r w:rsidRPr="00CF4D6D">
        <w:rPr>
          <w:rStyle w:val="AERtextitalic"/>
        </w:rPr>
        <w:t>Attachment 06-06 Gamma proposal</w:t>
      </w:r>
      <w:r>
        <w:t xml:space="preserve">, April 2015, p.11; Energex, </w:t>
      </w:r>
      <w:r w:rsidRPr="00CF4D6D">
        <w:rPr>
          <w:rStyle w:val="AERtextitalic"/>
        </w:rPr>
        <w:t>Revised Regulatory Proposal</w:t>
      </w:r>
      <w:r>
        <w:t xml:space="preserve">, July 2015, p. 118; ActewAGL Distribution, </w:t>
      </w:r>
      <w:r w:rsidRPr="00CF4D6D">
        <w:rPr>
          <w:rStyle w:val="AERtextitalic"/>
        </w:rPr>
        <w:t>Attachment 8 Detailed gamma proposal</w:t>
      </w:r>
      <w:r>
        <w:t xml:space="preserve">, June 2015, p. 13; Australian Gas Networks, </w:t>
      </w:r>
      <w:r w:rsidRPr="00CF4D6D">
        <w:rPr>
          <w:rStyle w:val="AERtextitalic"/>
        </w:rPr>
        <w:t>Access Arrangement Information for Australian Gas Networks' South Australian Natural Gas Distribution Network</w:t>
      </w:r>
      <w:r>
        <w:t>, July 2015, p. 184.</w:t>
      </w:r>
    </w:p>
  </w:footnote>
  <w:footnote w:id="94">
    <w:p w14:paraId="79AA6471" w14:textId="77777777" w:rsidR="00CF4D6D" w:rsidRDefault="00CF4D6D" w:rsidP="008D1665">
      <w:pPr>
        <w:pStyle w:val="FootnoteText"/>
      </w:pPr>
      <w:r>
        <w:rPr>
          <w:rStyle w:val="FootnoteReference"/>
        </w:rPr>
        <w:footnoteRef/>
      </w:r>
      <w:r>
        <w:t xml:space="preserve"> </w:t>
      </w:r>
      <w:r>
        <w:tab/>
        <w:t xml:space="preserve">These statistics are available at: </w:t>
      </w:r>
      <w:r w:rsidRPr="00611553">
        <w:t>https://www.ato.gov.au/About-ATO/Research-and-statistics/Taxation-statistics/</w:t>
      </w:r>
      <w:r>
        <w:t>. Accessed 9 April 2015.</w:t>
      </w:r>
    </w:p>
  </w:footnote>
  <w:footnote w:id="95">
    <w:p w14:paraId="18DC2A3B" w14:textId="77777777" w:rsidR="00CF4D6D" w:rsidRDefault="00CF4D6D"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31.</w:t>
      </w:r>
    </w:p>
  </w:footnote>
  <w:footnote w:id="96">
    <w:p w14:paraId="514CD18E" w14:textId="77777777" w:rsidR="00CF4D6D" w:rsidRDefault="00CF4D6D"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p>
  </w:footnote>
  <w:footnote w:id="97">
    <w:p w14:paraId="0B10104D" w14:textId="129DA3A0" w:rsidR="00CF4D6D" w:rsidRDefault="00CF4D6D">
      <w:pPr>
        <w:pStyle w:val="FootnoteText"/>
      </w:pPr>
      <w:r>
        <w:rPr>
          <w:rStyle w:val="FootnoteReference"/>
        </w:rPr>
        <w:footnoteRef/>
      </w:r>
      <w:r>
        <w:t xml:space="preserve"> </w:t>
      </w:r>
      <w:r>
        <w:tab/>
      </w:r>
      <w:r w:rsidRPr="00582678">
        <w:t xml:space="preserve">M. Lally, </w:t>
      </w:r>
      <w:r w:rsidRPr="00582678">
        <w:rPr>
          <w:rStyle w:val="AERtextitalic"/>
        </w:rPr>
        <w:t>The estimation of gamma</w:t>
      </w:r>
      <w:r>
        <w:t>, 25</w:t>
      </w:r>
      <w:r w:rsidRPr="00582678">
        <w:t xml:space="preserve"> November 2013</w:t>
      </w:r>
      <w:r>
        <w:t>, p. 4.</w:t>
      </w:r>
    </w:p>
  </w:footnote>
  <w:footnote w:id="98">
    <w:p w14:paraId="024E1A0A" w14:textId="77777777" w:rsidR="00CF4D6D" w:rsidRDefault="00CF4D6D" w:rsidP="0044032A">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paras. 9 and 99–100.</w:t>
      </w:r>
    </w:p>
  </w:footnote>
  <w:footnote w:id="99">
    <w:p w14:paraId="0949B0BA" w14:textId="77777777" w:rsidR="00CF4D6D" w:rsidRDefault="00CF4D6D" w:rsidP="008D1665">
      <w:pPr>
        <w:pStyle w:val="FootnoteText"/>
      </w:pPr>
      <w:r>
        <w:rPr>
          <w:rStyle w:val="FootnoteReference"/>
        </w:rPr>
        <w:footnoteRef/>
      </w:r>
      <w:r>
        <w:t xml:space="preserve"> </w:t>
      </w:r>
      <w:r>
        <w:tab/>
      </w:r>
      <w:r w:rsidRPr="00293592">
        <w:t xml:space="preserve">That is, statistics are published on the refunds to 'endorsed income tax-exempt entities and deductible gift recipients', but it is not clear whether this covers refunds to other entities entitled to a refund of </w:t>
      </w:r>
      <w:r>
        <w:t>imputation</w:t>
      </w:r>
      <w:r w:rsidRPr="00293592">
        <w:t xml:space="preserve"> </w:t>
      </w:r>
      <w:r>
        <w:t>credits. Such entities include</w:t>
      </w:r>
      <w:r w:rsidRPr="00293592">
        <w:t xml:space="preserve"> public fund</w:t>
      </w:r>
      <w:r>
        <w:t>s</w:t>
      </w:r>
      <w:r w:rsidRPr="00293592">
        <w:t xml:space="preserve"> declared by the Treasurer to be a</w:t>
      </w:r>
      <w:r>
        <w:t xml:space="preserve"> developing country relief fund and</w:t>
      </w:r>
      <w:r w:rsidRPr="00293592">
        <w:t xml:space="preserve"> exempt institution</w:t>
      </w:r>
      <w:r>
        <w:t>s that are</w:t>
      </w:r>
      <w:r w:rsidRPr="00293592">
        <w:t xml:space="preserve"> eligible for a refund under </w:t>
      </w:r>
      <w:r>
        <w:t>the regulations</w:t>
      </w:r>
      <w:r w:rsidRPr="00293592">
        <w:t>.</w:t>
      </w:r>
      <w:r>
        <w:t xml:space="preserve"> See: </w:t>
      </w:r>
      <w:r w:rsidRPr="00057D4F">
        <w:t>https://www.ato.gov.au/Non-profit/Franking-credits/In-detail/FAQs/Refund-of-franking-credits--endorsed-entities---FAQs/?page=3</w:t>
      </w:r>
      <w:r>
        <w:t>. Accessed 9 April 2015.</w:t>
      </w:r>
    </w:p>
  </w:footnote>
  <w:footnote w:id="100">
    <w:p w14:paraId="6B0D80CC" w14:textId="77777777" w:rsidR="00CF4D6D" w:rsidRDefault="00CF4D6D" w:rsidP="008D1665">
      <w:pPr>
        <w:pStyle w:val="FootnoteText"/>
      </w:pPr>
      <w:r>
        <w:rPr>
          <w:rStyle w:val="FootnoteReference"/>
        </w:rPr>
        <w:footnoteRef/>
      </w:r>
      <w:r>
        <w:t xml:space="preserve"> </w:t>
      </w:r>
      <w:r>
        <w:tab/>
        <w:t xml:space="preserve">We discuss this issue further in section </w:t>
      </w:r>
      <w:r>
        <w:fldChar w:fldCharType="begin"/>
      </w:r>
      <w:r>
        <w:instrText xml:space="preserve"> REF _Ref401048631 \r \h </w:instrText>
      </w:r>
      <w:r>
        <w:fldChar w:fldCharType="separate"/>
      </w:r>
      <w:r>
        <w:t>A.9.1</w:t>
      </w:r>
      <w:r>
        <w:fldChar w:fldCharType="end"/>
      </w:r>
      <w:r>
        <w:t xml:space="preserve"> of appendix A.</w:t>
      </w:r>
    </w:p>
  </w:footnote>
  <w:footnote w:id="101">
    <w:p w14:paraId="00130FE9" w14:textId="77777777" w:rsidR="00CF4D6D" w:rsidRDefault="00CF4D6D" w:rsidP="008D1665">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w:t>
      </w:r>
    </w:p>
  </w:footnote>
  <w:footnote w:id="102">
    <w:p w14:paraId="765600EF" w14:textId="77777777" w:rsidR="00CF4D6D" w:rsidRDefault="00CF4D6D" w:rsidP="008D1665">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 32.</w:t>
      </w:r>
    </w:p>
  </w:footnote>
  <w:footnote w:id="103">
    <w:p w14:paraId="5C6EBFDE" w14:textId="77777777" w:rsidR="00CF4D6D" w:rsidRDefault="00CF4D6D">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9F549A">
        <w:t xml:space="preserve"> </w:t>
      </w:r>
    </w:p>
  </w:footnote>
  <w:footnote w:id="104">
    <w:p w14:paraId="1FC3969F" w14:textId="24AB21E4" w:rsidR="00CF4D6D" w:rsidRDefault="00CF4D6D" w:rsidP="00CF4D6D">
      <w:pPr>
        <w:pStyle w:val="FootnoteText"/>
        <w:ind w:left="284" w:hanging="284"/>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January 2015, pp. 8</w:t>
      </w:r>
      <w:r>
        <w:softHyphen/>
        <w:t xml:space="preserve">–9;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JGN, </w:t>
      </w:r>
      <w:r w:rsidRPr="000E181F">
        <w:rPr>
          <w:rStyle w:val="AERtextitalic"/>
        </w:rPr>
        <w:t>Gamma - response to the draft decision</w:t>
      </w:r>
      <w:r>
        <w:t xml:space="preserve">, February 2015, pp. 8–9; AusNet Services, </w:t>
      </w:r>
      <w:r w:rsidRPr="00CF4D6D">
        <w:rPr>
          <w:rStyle w:val="AERtextitalic"/>
        </w:rPr>
        <w:t>2016-20 Regulatory Proposal</w:t>
      </w:r>
      <w:r>
        <w:t>, April 2015, p. 364; United Energy</w:t>
      </w:r>
      <w:r w:rsidRPr="00CF4D6D">
        <w:rPr>
          <w:rStyle w:val="AERtextitalic"/>
        </w:rPr>
        <w:t>, Assessment of the Value of Imputation Credits - Gamma, Proposal for 2016 to 2020</w:t>
      </w:r>
      <w:r>
        <w:t xml:space="preserve">, April 2015, p. 10; CitiPower, </w:t>
      </w:r>
      <w:r w:rsidRPr="00CF4D6D">
        <w:rPr>
          <w:rStyle w:val="AERtextitalic"/>
        </w:rPr>
        <w:t>Appendix J - Gamma</w:t>
      </w:r>
      <w:r>
        <w:t xml:space="preserve">, April 2015, p. 10; Powercor, </w:t>
      </w:r>
      <w:r w:rsidRPr="00CF4D6D">
        <w:rPr>
          <w:rStyle w:val="AERtextitalic"/>
        </w:rPr>
        <w:t>Appendix J - Gamma</w:t>
      </w:r>
      <w:r>
        <w:t xml:space="preserve">, April 2015, p. 10; Jemena Electricity, </w:t>
      </w:r>
      <w:r w:rsidRPr="00CF4D6D">
        <w:rPr>
          <w:rStyle w:val="AERtextitalic"/>
        </w:rPr>
        <w:t>Attachment 06-06 Gamma proposal,</w:t>
      </w:r>
      <w:r>
        <w:t xml:space="preserve"> April 2015, p. 11; Energex, </w:t>
      </w:r>
      <w:r w:rsidRPr="00CF4D6D">
        <w:rPr>
          <w:rStyle w:val="AERtextitalic"/>
        </w:rPr>
        <w:t>Revised Regulatory Proposal</w:t>
      </w:r>
      <w:r>
        <w:t xml:space="preserve">, July 2015, p. 118; ; ActewAGL Distribution, </w:t>
      </w:r>
      <w:r w:rsidRPr="00CF4D6D">
        <w:rPr>
          <w:rStyle w:val="AERtextitalic"/>
        </w:rPr>
        <w:t>Attachment 8 Detailed gamma proposal</w:t>
      </w:r>
      <w:r>
        <w:t xml:space="preserve">, June 2015, p. 13; Australian Gas Networks, </w:t>
      </w:r>
      <w:r w:rsidRPr="00CF4D6D">
        <w:rPr>
          <w:rStyle w:val="AERtextitalic"/>
        </w:rPr>
        <w:t>Access Arrangement Information for Australian Gas Networks' South Australian Natural Gas Distribution Network</w:t>
      </w:r>
      <w:r>
        <w:t>, July 2015, p. 184.</w:t>
      </w:r>
    </w:p>
  </w:footnote>
  <w:footnote w:id="105">
    <w:p w14:paraId="2D76059D" w14:textId="77777777" w:rsidR="00CF4D6D" w:rsidRDefault="00CF4D6D"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31.</w:t>
      </w:r>
    </w:p>
  </w:footnote>
  <w:footnote w:id="106">
    <w:p w14:paraId="23C22630" w14:textId="77777777" w:rsidR="00CF4D6D" w:rsidRDefault="00CF4D6D"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p>
  </w:footnote>
  <w:footnote w:id="107">
    <w:p w14:paraId="6A3FC438" w14:textId="77777777" w:rsidR="00CF4D6D" w:rsidRDefault="00CF4D6D" w:rsidP="008D1665">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paras. 17 and 20.</w:t>
      </w:r>
    </w:p>
  </w:footnote>
  <w:footnote w:id="108">
    <w:p w14:paraId="2B578ECF" w14:textId="77777777" w:rsidR="00CF4D6D" w:rsidRDefault="00CF4D6D" w:rsidP="008D1665">
      <w:pPr>
        <w:pStyle w:val="FootnoteText"/>
      </w:pPr>
      <w:r>
        <w:rPr>
          <w:rStyle w:val="FootnoteReference"/>
        </w:rPr>
        <w:footnoteRef/>
      </w:r>
      <w:r>
        <w:t xml:space="preserve"> </w:t>
      </w:r>
      <w:r>
        <w:tab/>
        <w:t xml:space="preserve">Economic Regulation Authority, </w:t>
      </w:r>
      <w:r w:rsidRPr="00D5068A">
        <w:rPr>
          <w:rStyle w:val="AERtextitalic"/>
        </w:rPr>
        <w:t xml:space="preserve">Explanatory </w:t>
      </w:r>
      <w:r>
        <w:rPr>
          <w:rStyle w:val="AERtextitalic"/>
        </w:rPr>
        <w:t>S</w:t>
      </w:r>
      <w:r w:rsidRPr="00D5068A">
        <w:rPr>
          <w:rStyle w:val="AERtextitalic"/>
        </w:rPr>
        <w:t xml:space="preserve">tatement for the </w:t>
      </w:r>
      <w:r>
        <w:rPr>
          <w:rStyle w:val="AERtextitalic"/>
        </w:rPr>
        <w:t>R</w:t>
      </w:r>
      <w:r w:rsidRPr="00D5068A">
        <w:rPr>
          <w:rStyle w:val="AERtextitalic"/>
        </w:rPr>
        <w:t xml:space="preserve">ate of </w:t>
      </w:r>
      <w:r>
        <w:rPr>
          <w:rStyle w:val="AERtextitalic"/>
        </w:rPr>
        <w:t>R</w:t>
      </w:r>
      <w:r w:rsidRPr="00D5068A">
        <w:rPr>
          <w:rStyle w:val="AERtextitalic"/>
        </w:rPr>
        <w:t xml:space="preserve">eturn </w:t>
      </w:r>
      <w:r>
        <w:rPr>
          <w:rStyle w:val="AERtextitalic"/>
        </w:rPr>
        <w:t>G</w:t>
      </w:r>
      <w:r w:rsidRPr="00D5068A">
        <w:rPr>
          <w:rStyle w:val="AERtextitalic"/>
        </w:rPr>
        <w:t>uidelines</w:t>
      </w:r>
      <w:r>
        <w:t>, 13 December 2013, para. 921.</w:t>
      </w:r>
    </w:p>
  </w:footnote>
  <w:footnote w:id="109">
    <w:p w14:paraId="590E5558" w14:textId="77777777" w:rsidR="00CF4D6D" w:rsidRDefault="00CF4D6D"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pp. 20–30.</w:t>
      </w:r>
    </w:p>
  </w:footnote>
  <w:footnote w:id="110">
    <w:p w14:paraId="15ECE903" w14:textId="77777777" w:rsidR="00CF4D6D" w:rsidRDefault="00CF4D6D">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xml:space="preserve">, pp. 24–26 and 28–29; M. Lally, </w:t>
      </w:r>
      <w:r w:rsidRPr="008916E4">
        <w:rPr>
          <w:rStyle w:val="AERtextitalic"/>
        </w:rPr>
        <w:t>Review of submissions to the QCA on the MRP, risk-free rate and gamma</w:t>
      </w:r>
      <w:r>
        <w:t>, 12 March 2014, pp. 35–38.</w:t>
      </w:r>
    </w:p>
  </w:footnote>
  <w:footnote w:id="111">
    <w:p w14:paraId="3CB3DBFA" w14:textId="77777777" w:rsidR="00CF4D6D" w:rsidRDefault="00CF4D6D" w:rsidP="008D1665">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 34.</w:t>
      </w:r>
    </w:p>
  </w:footnote>
  <w:footnote w:id="112">
    <w:p w14:paraId="2F540AF3" w14:textId="5CD4091C" w:rsidR="00CF4D6D" w:rsidRDefault="00CF4D6D">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p35.</w:t>
      </w:r>
    </w:p>
  </w:footnote>
  <w:footnote w:id="113">
    <w:p w14:paraId="5B0ACF06" w14:textId="77777777" w:rsidR="00CF4D6D" w:rsidRDefault="00CF4D6D">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43–44; J. Handley, </w:t>
      </w:r>
      <w:r w:rsidRPr="00626887">
        <w:rPr>
          <w:rStyle w:val="AERtextitalic"/>
        </w:rPr>
        <w:t>Report prepared for the Australian Energy Regulator: Further advice on the value of imputation credits</w:t>
      </w:r>
      <w:r>
        <w:t xml:space="preserve">, 16 April 2015, p.16; </w:t>
      </w:r>
      <w:r w:rsidRPr="00582678">
        <w:t xml:space="preserve">M. Lally, </w:t>
      </w:r>
      <w:r w:rsidRPr="00582678">
        <w:rPr>
          <w:rStyle w:val="AERtextitalic"/>
        </w:rPr>
        <w:t>The estimation of gamma</w:t>
      </w:r>
      <w:r w:rsidRPr="00582678">
        <w:t>, 23 November 2013</w:t>
      </w:r>
      <w:r>
        <w:t xml:space="preserve">, p. 21. </w:t>
      </w:r>
    </w:p>
  </w:footnote>
  <w:footnote w:id="114">
    <w:p w14:paraId="48B504C7" w14:textId="77777777" w:rsidR="00CF4D6D" w:rsidRDefault="00CF4D6D" w:rsidP="00733809">
      <w:pPr>
        <w:pStyle w:val="FootnoteText"/>
      </w:pPr>
      <w:r>
        <w:rPr>
          <w:rStyle w:val="FootnoteReference"/>
        </w:rPr>
        <w:footnoteRef/>
      </w:r>
      <w:r>
        <w:t xml:space="preserve"> </w:t>
      </w:r>
      <w:r>
        <w:tab/>
      </w:r>
      <w:r w:rsidRPr="00255370">
        <w:t xml:space="preserve">In the appendix to the </w:t>
      </w:r>
      <w:r>
        <w:t>G</w:t>
      </w:r>
      <w:r w:rsidRPr="00255370">
        <w:t xml:space="preserve">uideline we </w:t>
      </w:r>
      <w:r>
        <w:t xml:space="preserve">noted that this adjustment was </w:t>
      </w:r>
      <w:r w:rsidRPr="00255370">
        <w:t>contentiou</w:t>
      </w:r>
      <w:r>
        <w:t>s and required further examination</w:t>
      </w:r>
      <w:r w:rsidRPr="00255370">
        <w:t xml:space="preserve">.  </w:t>
      </w:r>
      <w:r>
        <w:t>In his recent</w:t>
      </w:r>
      <w:r w:rsidRPr="00255370">
        <w:t xml:space="preserve"> advice</w:t>
      </w:r>
      <w:r>
        <w:t xml:space="preserve">, </w:t>
      </w:r>
      <w:r w:rsidRPr="00255370">
        <w:t xml:space="preserve">Handley </w:t>
      </w:r>
      <w:r>
        <w:t xml:space="preserve">also advised </w:t>
      </w:r>
      <w:r w:rsidRPr="00255370">
        <w:t>that this adjustment should be applied.</w:t>
      </w:r>
      <w:r>
        <w:t xml:space="preserve"> Having given this issue further consideration, we agree with the advice from Lally and Handley that estimates from dividend drop off studies should he adjusted in this manner for the reasons that Lally and Handley explain.</w:t>
      </w:r>
    </w:p>
  </w:footnote>
  <w:footnote w:id="115">
    <w:p w14:paraId="18DE4297" w14:textId="543FFF7E" w:rsidR="00CF4D6D" w:rsidRDefault="00CF4D6D">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pp. 37-38.</w:t>
      </w:r>
      <w:proofErr w:type="gramEnd"/>
    </w:p>
  </w:footnote>
  <w:footnote w:id="116">
    <w:p w14:paraId="638519D6" w14:textId="77777777" w:rsidR="00CF4D6D" w:rsidRDefault="00CF4D6D">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pp. 33–35.</w:t>
      </w:r>
    </w:p>
  </w:footnote>
  <w:footnote w:id="117">
    <w:p w14:paraId="043D14E4" w14:textId="77777777" w:rsidR="00CF4D6D" w:rsidRDefault="00CF4D6D">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paras. 17 and 20. </w:t>
      </w:r>
    </w:p>
  </w:footnote>
  <w:footnote w:id="118">
    <w:p w14:paraId="69CDD191" w14:textId="3639728B" w:rsidR="00CF4D6D" w:rsidRDefault="00CF4D6D">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 33.</w:t>
      </w:r>
      <w:proofErr w:type="gramEnd"/>
    </w:p>
  </w:footnote>
  <w:footnote w:id="119">
    <w:p w14:paraId="786BC8C6" w14:textId="0106C610" w:rsidR="00CF4D6D" w:rsidRDefault="00CF4D6D">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 35.</w:t>
      </w:r>
      <w:proofErr w:type="gramEnd"/>
    </w:p>
  </w:footnote>
  <w:footnote w:id="120">
    <w:p w14:paraId="365722C1" w14:textId="51633E95" w:rsidR="00CF4D6D" w:rsidRDefault="00CF4D6D">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pp. 5–6 and 9; Ausgrid, </w:t>
      </w:r>
      <w:r w:rsidRPr="00D75F7A">
        <w:rPr>
          <w:rStyle w:val="AERtextitalic"/>
        </w:rPr>
        <w:t>Ausgrid's revised proposal on gamma</w:t>
      </w:r>
      <w:r>
        <w:t xml:space="preserve">, January 2015, pp. 6–7 and 11; Directlink, </w:t>
      </w:r>
      <w:r w:rsidRPr="0000771B">
        <w:rPr>
          <w:rStyle w:val="AERtextitalic"/>
        </w:rPr>
        <w:t>Directlink submission on gamma (updated)</w:t>
      </w:r>
      <w:r>
        <w:t>, January 2015, pp. 8</w:t>
      </w:r>
      <w:r>
        <w:softHyphen/>
        <w:t xml:space="preserve">–9 and 14; Endeavour Energy, </w:t>
      </w:r>
      <w:r w:rsidRPr="00DF3162">
        <w:rPr>
          <w:rStyle w:val="AERtextitalic"/>
        </w:rPr>
        <w:t>Endeavour Energy's response to the AER draft decision re gamma</w:t>
      </w:r>
      <w:r>
        <w:t xml:space="preserve">, January 2015, pp. 6–7 and 11; Essential Energy, </w:t>
      </w:r>
      <w:r w:rsidRPr="000E181F">
        <w:rPr>
          <w:rStyle w:val="AERtextitalic"/>
        </w:rPr>
        <w:t>Essential's response to AER draft decision re gamma</w:t>
      </w:r>
      <w:r>
        <w:t xml:space="preserve">, January 2015, pp. 6–7 and 11; JGN, </w:t>
      </w:r>
      <w:r w:rsidRPr="000E181F">
        <w:rPr>
          <w:rStyle w:val="AERtextitalic"/>
        </w:rPr>
        <w:t>Gamma - response to the draft decision</w:t>
      </w:r>
      <w:r>
        <w:t>, February 2015, pp. 8–9 and 13;</w:t>
      </w:r>
      <w:r w:rsidRPr="00A221C0">
        <w:t xml:space="preserve"> </w:t>
      </w:r>
      <w:r>
        <w:t xml:space="preserve"> AusNet Services, </w:t>
      </w:r>
      <w:r w:rsidRPr="00CF4D6D">
        <w:rPr>
          <w:rStyle w:val="AERtextitalic"/>
        </w:rPr>
        <w:t>2016-20 Regulatory Proposal</w:t>
      </w:r>
      <w:r>
        <w:t>, April 2015, pp. 363-367; United Energy</w:t>
      </w:r>
      <w:r w:rsidRPr="00CF4D6D">
        <w:rPr>
          <w:rStyle w:val="AERtextitalic"/>
        </w:rPr>
        <w:t>, Assessment of the Value of Imputation Credits - Gamma, Proposal for 2016 to 2020</w:t>
      </w:r>
      <w:r>
        <w:t xml:space="preserve">, April 2015, p. 13; CitiPower, </w:t>
      </w:r>
      <w:r w:rsidRPr="00CF4D6D">
        <w:rPr>
          <w:rStyle w:val="AERtextitalic"/>
        </w:rPr>
        <w:t>Appendix J - Gamma</w:t>
      </w:r>
      <w:r>
        <w:t xml:space="preserve">, April 2015, p. 16; Powercor, </w:t>
      </w:r>
      <w:r w:rsidRPr="00CF4D6D">
        <w:rPr>
          <w:rStyle w:val="AERtextitalic"/>
        </w:rPr>
        <w:t>Appendix J - Gamma</w:t>
      </w:r>
      <w:r>
        <w:t xml:space="preserve">, April 2015, p. 16; Jemena Electricity, </w:t>
      </w:r>
      <w:r w:rsidRPr="00CF4D6D">
        <w:rPr>
          <w:rStyle w:val="AERtextitalic"/>
        </w:rPr>
        <w:t>Attachment 06-06 Gamma proposal</w:t>
      </w:r>
      <w:r>
        <w:t xml:space="preserve">, April 2015, pp. 12-16; Energex, </w:t>
      </w:r>
      <w:r w:rsidRPr="00CF4D6D">
        <w:rPr>
          <w:rStyle w:val="AERtextitalic"/>
        </w:rPr>
        <w:t>Revised Regulatory Proposal</w:t>
      </w:r>
      <w:r>
        <w:t xml:space="preserve">, July 2015, pp. 118-119; ActewAGL Distribution, </w:t>
      </w:r>
      <w:r w:rsidRPr="00CF4D6D">
        <w:rPr>
          <w:rStyle w:val="AERtextitalic"/>
        </w:rPr>
        <w:t>Attachment 8 Detailed gamma proposal,</w:t>
      </w:r>
      <w:r>
        <w:t xml:space="preserve"> June 2015, pp. 12-15; Australian Gas Networks</w:t>
      </w:r>
      <w:r w:rsidRPr="00CF4D6D">
        <w:rPr>
          <w:rStyle w:val="AERtextitalic"/>
        </w:rPr>
        <w:t>, Access Arrangement Information for Australian Gas Networks' South Australian Natural Gas Distribution Network</w:t>
      </w:r>
      <w:r>
        <w:t>, July 2015, p.184.</w:t>
      </w:r>
    </w:p>
  </w:footnote>
  <w:footnote w:id="121">
    <w:p w14:paraId="09327938" w14:textId="3BF350C1" w:rsidR="00CF4D6D" w:rsidRDefault="00CF4D6D" w:rsidP="00177F0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10;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JGN, </w:t>
      </w:r>
      <w:r w:rsidRPr="000E181F">
        <w:rPr>
          <w:rStyle w:val="AERtextitalic"/>
        </w:rPr>
        <w:t>Gamma - response to the draft decision</w:t>
      </w:r>
      <w:r>
        <w:t>, February 2015, p. 10</w:t>
      </w:r>
      <w:r w:rsidRPr="002A17A7">
        <w:t xml:space="preserve"> </w:t>
      </w:r>
      <w:r>
        <w:t xml:space="preserve">; AusNet Services, </w:t>
      </w:r>
      <w:r w:rsidRPr="00A35AE7">
        <w:rPr>
          <w:rStyle w:val="AERtextitalic"/>
        </w:rPr>
        <w:t>2016-20 Regulatory Proposal</w:t>
      </w:r>
      <w:r>
        <w:t>, April 2015, p</w:t>
      </w:r>
      <w:r w:rsidR="00A35AE7">
        <w:t xml:space="preserve">. </w:t>
      </w:r>
      <w:r>
        <w:t xml:space="preserve">364; United Energy, </w:t>
      </w:r>
      <w:r w:rsidRPr="00A35AE7">
        <w:rPr>
          <w:rStyle w:val="AERtextitalic"/>
        </w:rPr>
        <w:t>Assessment of the Value of Imputation Credits - Gamma, Proposal for 2016 to 2020</w:t>
      </w:r>
      <w:r>
        <w:t>, April 2015, p14; CitiPower</w:t>
      </w:r>
      <w:r w:rsidR="00A35AE7">
        <w:t>,</w:t>
      </w:r>
      <w:r>
        <w:t xml:space="preserve"> </w:t>
      </w:r>
      <w:r w:rsidRPr="00A35AE7">
        <w:rPr>
          <w:rStyle w:val="AERtextitalic"/>
        </w:rPr>
        <w:t>Appendix</w:t>
      </w:r>
      <w:r>
        <w:t xml:space="preserve"> </w:t>
      </w:r>
      <w:r w:rsidRPr="00A35AE7">
        <w:rPr>
          <w:rStyle w:val="AERtextitalic"/>
        </w:rPr>
        <w:t>J - Gamma,</w:t>
      </w:r>
      <w:r>
        <w:t xml:space="preserve"> April 2015, p</w:t>
      </w:r>
      <w:r w:rsidR="00A35AE7">
        <w:t xml:space="preserve">. </w:t>
      </w:r>
      <w:r>
        <w:t xml:space="preserve">13; Powercor, </w:t>
      </w:r>
      <w:r w:rsidRPr="00A35AE7">
        <w:rPr>
          <w:rStyle w:val="AERtextitalic"/>
        </w:rPr>
        <w:t>Appendix J - Gamma</w:t>
      </w:r>
      <w:r>
        <w:t>, April 2015, p</w:t>
      </w:r>
      <w:r w:rsidR="00A35AE7">
        <w:t xml:space="preserve">. </w:t>
      </w:r>
      <w:r>
        <w:t xml:space="preserve">13; Jemena Electricity, </w:t>
      </w:r>
      <w:r w:rsidRPr="00A35AE7">
        <w:rPr>
          <w:rStyle w:val="AERtextitalic"/>
        </w:rPr>
        <w:t>Attachment 06-06 Gamma proposal</w:t>
      </w:r>
      <w:r>
        <w:t>, April 2015, p</w:t>
      </w:r>
      <w:r w:rsidR="00A35AE7">
        <w:t xml:space="preserve">. </w:t>
      </w:r>
      <w:r>
        <w:t xml:space="preserve">13; ActewAGL Distribution, </w:t>
      </w:r>
      <w:r w:rsidRPr="00A35AE7">
        <w:rPr>
          <w:rStyle w:val="AERtextitalic"/>
        </w:rPr>
        <w:t>Attachment 8 Detailed gamma proposal</w:t>
      </w:r>
      <w:r>
        <w:t>,  June 2015, p</w:t>
      </w:r>
      <w:r w:rsidR="00A35AE7">
        <w:t xml:space="preserve">. </w:t>
      </w:r>
      <w:r>
        <w:t xml:space="preserve">13; </w:t>
      </w:r>
    </w:p>
  </w:footnote>
  <w:footnote w:id="122">
    <w:p w14:paraId="0C334F48" w14:textId="53082B25" w:rsidR="00CF4D6D" w:rsidRDefault="00CF4D6D">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p>
  </w:footnote>
  <w:footnote w:id="123">
    <w:p w14:paraId="1CDE8AEF" w14:textId="233EDC30" w:rsidR="00CF4D6D" w:rsidRDefault="00CF4D6D">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9; Ausgrid, </w:t>
      </w:r>
      <w:r w:rsidRPr="00D75F7A">
        <w:rPr>
          <w:rStyle w:val="AERtextitalic"/>
        </w:rPr>
        <w:t>Ausgrid's revised proposal on gamma</w:t>
      </w:r>
      <w:r>
        <w:t xml:space="preserve">, January 2015, p. 10; Directlink, </w:t>
      </w:r>
      <w:r w:rsidRPr="0000771B">
        <w:rPr>
          <w:rStyle w:val="AERtextitalic"/>
        </w:rPr>
        <w:t>Directlink submission on gamma (updated)</w:t>
      </w:r>
      <w:r>
        <w:t xml:space="preserve">, January 2015, p. 14; Endeavour Energy, </w:t>
      </w:r>
      <w:r w:rsidRPr="00DF3162">
        <w:rPr>
          <w:rStyle w:val="AERtextitalic"/>
        </w:rPr>
        <w:t>Endeavour Energy's response to the AER draft decision re gamma</w:t>
      </w:r>
      <w:r>
        <w:t xml:space="preserve">, January 2015, p. 10; Essential Energy, </w:t>
      </w:r>
      <w:r w:rsidRPr="000E181F">
        <w:rPr>
          <w:rStyle w:val="AERtextitalic"/>
        </w:rPr>
        <w:t>Essential's response to AER draft decision re gamma</w:t>
      </w:r>
      <w:r>
        <w:t xml:space="preserve">, January 2015, p. 10; and JGN, </w:t>
      </w:r>
      <w:r w:rsidRPr="000E181F">
        <w:rPr>
          <w:rStyle w:val="AERtextitalic"/>
        </w:rPr>
        <w:t>Gamma - response to the draft decision</w:t>
      </w:r>
      <w:r>
        <w:t>, February 2015, p. 13.</w:t>
      </w:r>
    </w:p>
  </w:footnote>
  <w:footnote w:id="124">
    <w:p w14:paraId="47DD1B3B" w14:textId="553640AA" w:rsidR="00CF4D6D" w:rsidRDefault="00CF4D6D">
      <w:pPr>
        <w:pStyle w:val="FootnoteText"/>
      </w:pPr>
      <w:r>
        <w:rPr>
          <w:rStyle w:val="FootnoteReference"/>
        </w:rPr>
        <w:footnoteRef/>
      </w:r>
      <w:r>
        <w:t xml:space="preserve"> </w:t>
      </w:r>
      <w:r>
        <w:tab/>
        <w:t xml:space="preserve">Professor Gray previously provided expert reports through SFG consulting. He now provides expert reports through Frontier Economics To avoid confusion, in section heading where we would have previously referred to the work of SFG, we refer to the work of Professor Gray. Where relevant, these sections cover expert opinion of Professor Gray through both SFG Consulting and Frontier Economics. </w:t>
      </w:r>
    </w:p>
  </w:footnote>
  <w:footnote w:id="125">
    <w:p w14:paraId="38BA94AB" w14:textId="27E06BD5" w:rsidR="00CF4D6D" w:rsidRDefault="00CF4D6D">
      <w:pPr>
        <w:pStyle w:val="FootnoteText"/>
      </w:pPr>
      <w:r>
        <w:rPr>
          <w:rStyle w:val="FootnoteReference"/>
        </w:rPr>
        <w:footnoteRef/>
      </w:r>
      <w:r>
        <w:t xml:space="preserve"> </w:t>
      </w:r>
      <w:r>
        <w:tab/>
        <w:t xml:space="preserve">See section </w:t>
      </w:r>
      <w:r>
        <w:fldChar w:fldCharType="begin"/>
      </w:r>
      <w:r>
        <w:instrText xml:space="preserve"> REF _Ref401133206 \r \h </w:instrText>
      </w:r>
      <w:r>
        <w:fldChar w:fldCharType="separate"/>
      </w:r>
      <w:r>
        <w:t>A.10</w:t>
      </w:r>
      <w:r>
        <w:fldChar w:fldCharType="end"/>
      </w:r>
      <w:r>
        <w:t xml:space="preserve"> for more detail.</w:t>
      </w:r>
    </w:p>
  </w:footnote>
  <w:footnote w:id="126">
    <w:p w14:paraId="086A8D77" w14:textId="77777777" w:rsidR="00CF4D6D" w:rsidRDefault="00CF4D6D" w:rsidP="00A36459">
      <w:pPr>
        <w:pStyle w:val="FootnoteText"/>
      </w:pPr>
      <w:r>
        <w:rPr>
          <w:rStyle w:val="FootnoteReference"/>
        </w:rPr>
        <w:footnoteRef/>
      </w:r>
      <w:r>
        <w:t xml:space="preserve"> </w:t>
      </w:r>
      <w:r>
        <w:tab/>
      </w:r>
      <w:r w:rsidRPr="00712BC2">
        <w:t xml:space="preserve">M. Lally, </w:t>
      </w:r>
      <w:r w:rsidRPr="00712BC2">
        <w:rPr>
          <w:rStyle w:val="AERtextitalic"/>
        </w:rPr>
        <w:t>The estimation of gamma</w:t>
      </w:r>
      <w:r w:rsidRPr="00712BC2">
        <w:t>, 23 November 2013</w:t>
      </w:r>
      <w:r>
        <w:t xml:space="preserve">; M. Lally, </w:t>
      </w:r>
      <w:r w:rsidRPr="002519FD">
        <w:rPr>
          <w:rStyle w:val="AERtextitalic"/>
        </w:rPr>
        <w:t>Estimating gamma</w:t>
      </w:r>
      <w:r>
        <w:t xml:space="preserve">, 25 November 2013; </w:t>
      </w:r>
      <w:r w:rsidRPr="00712BC2">
        <w:t xml:space="preserve">M. Lally, </w:t>
      </w:r>
      <w:r w:rsidRPr="00712BC2">
        <w:rPr>
          <w:rStyle w:val="AERtextitalic"/>
        </w:rPr>
        <w:t>Review of submissions to the QCA on the MRP, risk-free rate and gamma</w:t>
      </w:r>
      <w:r>
        <w:t>, 12 March 2014.</w:t>
      </w:r>
    </w:p>
  </w:footnote>
  <w:footnote w:id="127">
    <w:p w14:paraId="7AC1B856" w14:textId="77777777" w:rsidR="00CF4D6D" w:rsidRDefault="00CF4D6D" w:rsidP="00A36459">
      <w:pPr>
        <w:pStyle w:val="FootnoteText"/>
      </w:pPr>
      <w:r>
        <w:rPr>
          <w:rStyle w:val="FootnoteReference"/>
        </w:rPr>
        <w:footnoteRef/>
      </w:r>
      <w:r>
        <w:t xml:space="preserve"> </w:t>
      </w:r>
      <w:r>
        <w:tab/>
      </w:r>
      <w:r w:rsidRPr="00712BC2">
        <w:t xml:space="preserve">M. McKenzie and G. Partington, </w:t>
      </w:r>
      <w:r w:rsidRPr="00712BC2">
        <w:rPr>
          <w:rStyle w:val="AERtextitalic"/>
        </w:rPr>
        <w:t>Report to the Queensland Resources Council: Review of Aurizon Network’s draft access undertaking</w:t>
      </w:r>
      <w:r w:rsidRPr="00712BC2">
        <w:t>, 5 October 2013</w:t>
      </w:r>
      <w:r>
        <w:t>.</w:t>
      </w:r>
    </w:p>
  </w:footnote>
  <w:footnote w:id="128">
    <w:p w14:paraId="74C9BE97" w14:textId="77777777" w:rsidR="00CF4D6D" w:rsidRDefault="00CF4D6D" w:rsidP="00A36459">
      <w:pPr>
        <w:pStyle w:val="FootnoteText"/>
      </w:pPr>
      <w:r>
        <w:rPr>
          <w:rStyle w:val="FootnoteReference"/>
        </w:rPr>
        <w:footnoteRef/>
      </w:r>
      <w:r>
        <w:t xml:space="preserve"> </w:t>
      </w:r>
      <w:r>
        <w:tab/>
      </w:r>
      <w:r w:rsidRPr="00712BC2">
        <w:t xml:space="preserve">J. Handley, </w:t>
      </w:r>
      <w:r w:rsidRPr="00712BC2">
        <w:rPr>
          <w:rStyle w:val="AERtextitalic"/>
        </w:rPr>
        <w:t>Report prepared for the Australian Energy Regulator: Advice on the value of imputation credits</w:t>
      </w:r>
      <w:r w:rsidRPr="00712BC2">
        <w:t>, 29 September 2014.</w:t>
      </w:r>
    </w:p>
  </w:footnote>
  <w:footnote w:id="129">
    <w:p w14:paraId="7AA190BA" w14:textId="77777777" w:rsidR="00CF4D6D" w:rsidRPr="00EB47DF" w:rsidRDefault="00CF4D6D" w:rsidP="00EB47DF">
      <w:pPr>
        <w:pStyle w:val="FootnoteText"/>
        <w:rPr>
          <w:i/>
        </w:rPr>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w:t>
      </w:r>
    </w:p>
  </w:footnote>
  <w:footnote w:id="130">
    <w:p w14:paraId="233A22BD" w14:textId="77777777" w:rsidR="00CF4D6D" w:rsidRDefault="00CF4D6D" w:rsidP="00A36459">
      <w:pPr>
        <w:pStyle w:val="FootnoteText"/>
      </w:pPr>
      <w:r>
        <w:rPr>
          <w:rStyle w:val="FootnoteReference"/>
        </w:rPr>
        <w:footnoteRef/>
      </w:r>
      <w:r>
        <w:t xml:space="preserve"> </w:t>
      </w:r>
      <w:r>
        <w:tab/>
        <w:t xml:space="preserve">CEG, </w:t>
      </w:r>
      <w:r w:rsidRPr="00712BC2">
        <w:rPr>
          <w:rStyle w:val="AERtextitalic"/>
        </w:rPr>
        <w:t>WACC estimates: A report for NSW DNSPs</w:t>
      </w:r>
      <w:r>
        <w:t>, May 2014.</w:t>
      </w:r>
    </w:p>
  </w:footnote>
  <w:footnote w:id="131">
    <w:p w14:paraId="0853672F" w14:textId="77777777" w:rsidR="00CF4D6D" w:rsidRDefault="00CF4D6D" w:rsidP="00A36459">
      <w:pPr>
        <w:pStyle w:val="FootnoteText"/>
      </w:pPr>
      <w:r>
        <w:rPr>
          <w:rStyle w:val="FootnoteReference"/>
        </w:rPr>
        <w:footnoteRef/>
      </w:r>
      <w:r>
        <w:t xml:space="preserve"> </w:t>
      </w:r>
      <w:r>
        <w:tab/>
      </w:r>
      <w:r w:rsidRPr="00712BC2">
        <w:t xml:space="preserve">SFG, </w:t>
      </w:r>
      <w:r>
        <w:rPr>
          <w:rStyle w:val="AERtextitalic"/>
        </w:rPr>
        <w:t>Estimating gamma for regulatory purposes</w:t>
      </w:r>
      <w:r>
        <w:t>, February 2015.</w:t>
      </w:r>
    </w:p>
  </w:footnote>
  <w:footnote w:id="132">
    <w:p w14:paraId="1ABA4E76" w14:textId="61397836" w:rsidR="00CF4D6D" w:rsidRDefault="00CF4D6D">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w:t>
      </w:r>
    </w:p>
  </w:footnote>
  <w:footnote w:id="133">
    <w:p w14:paraId="02AA243C" w14:textId="77777777" w:rsidR="00CF4D6D" w:rsidRDefault="00CF4D6D" w:rsidP="000B65E0">
      <w:pPr>
        <w:pStyle w:val="FootnoteText"/>
      </w:pPr>
      <w:r>
        <w:rPr>
          <w:rStyle w:val="FootnoteReference"/>
        </w:rPr>
        <w:footnoteRef/>
      </w:r>
      <w:r>
        <w:t xml:space="preserve"> </w:t>
      </w:r>
      <w:r>
        <w:tab/>
      </w:r>
      <w:r w:rsidRPr="00227D75">
        <w:t>Independent Pricing and Regulatory Tribunal</w:t>
      </w:r>
      <w:r>
        <w:t xml:space="preserve">, </w:t>
      </w:r>
      <w:r w:rsidRPr="00227D75">
        <w:rPr>
          <w:rStyle w:val="AERtextitalic"/>
        </w:rPr>
        <w:t xml:space="preserve">Review of imputation credits (gamma), </w:t>
      </w:r>
      <w:r>
        <w:rPr>
          <w:rStyle w:val="AERtextitalic"/>
        </w:rPr>
        <w:t>Research</w:t>
      </w:r>
      <w:r w:rsidRPr="00227D75">
        <w:rPr>
          <w:rStyle w:val="AERtextitalic"/>
        </w:rPr>
        <w:t>—</w:t>
      </w:r>
      <w:r>
        <w:rPr>
          <w:rStyle w:val="AERtextitalic"/>
        </w:rPr>
        <w:t>F</w:t>
      </w:r>
      <w:r w:rsidRPr="00227D75">
        <w:rPr>
          <w:rStyle w:val="AERtextitalic"/>
        </w:rPr>
        <w:t>inal decision</w:t>
      </w:r>
      <w:r>
        <w:t>, March 2012.</w:t>
      </w:r>
    </w:p>
  </w:footnote>
  <w:footnote w:id="134">
    <w:p w14:paraId="543CC113" w14:textId="77777777" w:rsidR="00CF4D6D" w:rsidRDefault="00CF4D6D" w:rsidP="000B65E0">
      <w:pPr>
        <w:pStyle w:val="FootnoteText"/>
      </w:pPr>
      <w:r>
        <w:rPr>
          <w:rStyle w:val="FootnoteReference"/>
        </w:rPr>
        <w:footnoteRef/>
      </w:r>
      <w:r>
        <w:t xml:space="preserve"> </w:t>
      </w:r>
      <w:r>
        <w:tab/>
        <w:t>Essential Services Commission</w:t>
      </w:r>
      <w:r w:rsidRPr="00922C37">
        <w:t xml:space="preserve">, </w:t>
      </w:r>
      <w:r w:rsidRPr="00922C37">
        <w:rPr>
          <w:rStyle w:val="AERtextitalic"/>
        </w:rPr>
        <w:t xml:space="preserve">Price Review 2013: Greater </w:t>
      </w:r>
      <w:r>
        <w:rPr>
          <w:rStyle w:val="AERtextitalic"/>
        </w:rPr>
        <w:t>Metropolitan Water Businesses, F</w:t>
      </w:r>
      <w:r w:rsidRPr="00922C37">
        <w:rPr>
          <w:rStyle w:val="AERtextitalic"/>
        </w:rPr>
        <w:t>inal decision</w:t>
      </w:r>
      <w:r w:rsidRPr="00922C37">
        <w:t>, June</w:t>
      </w:r>
      <w:r>
        <w:t xml:space="preserve"> 2013</w:t>
      </w:r>
      <w:r w:rsidRPr="00922C37">
        <w:t>.</w:t>
      </w:r>
    </w:p>
  </w:footnote>
  <w:footnote w:id="135">
    <w:p w14:paraId="39C7E759" w14:textId="77777777" w:rsidR="00CF4D6D" w:rsidRDefault="00CF4D6D" w:rsidP="000B65E0">
      <w:pPr>
        <w:pStyle w:val="FootnoteText"/>
      </w:pPr>
      <w:r>
        <w:rPr>
          <w:rStyle w:val="FootnoteReference"/>
        </w:rPr>
        <w:footnoteRef/>
      </w:r>
      <w:r>
        <w:t xml:space="preserve"> </w:t>
      </w:r>
      <w:r>
        <w:tab/>
        <w:t>Essential Services Commission</w:t>
      </w:r>
      <w:r w:rsidRPr="00752771">
        <w:t xml:space="preserve">, </w:t>
      </w:r>
      <w:r>
        <w:rPr>
          <w:rStyle w:val="AERtextitalic"/>
        </w:rPr>
        <w:t xml:space="preserve">2013 Water Price Review, </w:t>
      </w:r>
      <w:r w:rsidRPr="009F679B">
        <w:rPr>
          <w:rStyle w:val="AERtextitalic"/>
        </w:rPr>
        <w:t>Guidance on Water Plans</w:t>
      </w:r>
      <w:r w:rsidRPr="00752771">
        <w:t>, October</w:t>
      </w:r>
      <w:r>
        <w:t xml:space="preserve"> 2011, p. 66</w:t>
      </w:r>
      <w:r w:rsidRPr="00752771">
        <w:t>.</w:t>
      </w:r>
      <w:r>
        <w:t xml:space="preserve"> The Essential Services Commission also proposes to continue to apply a value of imputation credits of 0.5 to Melbourne Water's 2016 price review: Essential Services Commission, </w:t>
      </w:r>
      <w:r w:rsidRPr="00BA0C40">
        <w:rPr>
          <w:rStyle w:val="AERtextitalic"/>
        </w:rPr>
        <w:t>Proposed approach to Melbourne Water's 2016 price review—Consultation paper</w:t>
      </w:r>
      <w:r>
        <w:t>, February 2015, p. 40.</w:t>
      </w:r>
    </w:p>
  </w:footnote>
  <w:footnote w:id="136">
    <w:p w14:paraId="45030BF6" w14:textId="77777777" w:rsidR="00CF4D6D" w:rsidRDefault="00CF4D6D" w:rsidP="000B65E0">
      <w:pPr>
        <w:pStyle w:val="FootnoteText"/>
      </w:pPr>
      <w:r>
        <w:rPr>
          <w:rStyle w:val="FootnoteReference"/>
        </w:rPr>
        <w:footnoteRef/>
      </w:r>
      <w:r>
        <w:t xml:space="preserve"> </w:t>
      </w:r>
      <w:r>
        <w:tab/>
        <w:t xml:space="preserve">Queensland Competition Authority, </w:t>
      </w:r>
      <w:r w:rsidRPr="009A7392">
        <w:rPr>
          <w:rStyle w:val="AERtextitalic"/>
        </w:rPr>
        <w:t>Cost of ca</w:t>
      </w:r>
      <w:r>
        <w:rPr>
          <w:rStyle w:val="AERtextitalic"/>
        </w:rPr>
        <w:t>pital: M</w:t>
      </w:r>
      <w:r w:rsidRPr="009A7392">
        <w:rPr>
          <w:rStyle w:val="AERtextitalic"/>
        </w:rPr>
        <w:t>arket parameters</w:t>
      </w:r>
      <w:r>
        <w:t>, August 2014.</w:t>
      </w:r>
    </w:p>
  </w:footnote>
  <w:footnote w:id="137">
    <w:p w14:paraId="20EEB2E9" w14:textId="77777777" w:rsidR="00CF4D6D" w:rsidRDefault="00CF4D6D" w:rsidP="000B65E0">
      <w:pPr>
        <w:pStyle w:val="FootnoteText"/>
      </w:pPr>
      <w:r>
        <w:rPr>
          <w:rStyle w:val="FootnoteReference"/>
        </w:rPr>
        <w:footnoteRef/>
      </w:r>
      <w:r>
        <w:t xml:space="preserve"> </w:t>
      </w:r>
      <w:r>
        <w:tab/>
        <w:t xml:space="preserve">Economic Regulation Authority, </w:t>
      </w:r>
      <w:r w:rsidRPr="00792648">
        <w:rPr>
          <w:rStyle w:val="AERtextitalic"/>
        </w:rPr>
        <w:t xml:space="preserve">Review of the method for estimating the weighted average cost of capital for </w:t>
      </w:r>
      <w:r>
        <w:rPr>
          <w:rStyle w:val="AERtextitalic"/>
        </w:rPr>
        <w:t>regulated</w:t>
      </w:r>
      <w:r w:rsidRPr="00792648">
        <w:rPr>
          <w:rStyle w:val="AERtextitalic"/>
        </w:rPr>
        <w:t xml:space="preserve"> railway networks, </w:t>
      </w:r>
      <w:r>
        <w:rPr>
          <w:rStyle w:val="AERtextitalic"/>
        </w:rPr>
        <w:t>Revised d</w:t>
      </w:r>
      <w:r w:rsidRPr="00792648">
        <w:rPr>
          <w:rStyle w:val="AERtextitalic"/>
        </w:rPr>
        <w:t xml:space="preserve">raft </w:t>
      </w:r>
      <w:r>
        <w:rPr>
          <w:rStyle w:val="AERtextitalic"/>
        </w:rPr>
        <w:t>decision</w:t>
      </w:r>
      <w:r>
        <w:t>, 28 November 2014.</w:t>
      </w:r>
    </w:p>
  </w:footnote>
  <w:footnote w:id="138">
    <w:p w14:paraId="0052669F" w14:textId="006DD4C2" w:rsidR="00CF4D6D" w:rsidRDefault="00CF4D6D" w:rsidP="00656B47">
      <w:pPr>
        <w:pStyle w:val="FootnoteText"/>
      </w:pPr>
      <w:r>
        <w:rPr>
          <w:rStyle w:val="FootnoteReference"/>
        </w:rPr>
        <w:footnoteRef/>
      </w:r>
      <w:r>
        <w:t xml:space="preserve"> </w:t>
      </w:r>
      <w:r>
        <w:tab/>
      </w:r>
      <w:r w:rsidRPr="009777EC">
        <w:t xml:space="preserve">Australian Competition and Consumer Commission, </w:t>
      </w:r>
      <w:r w:rsidRPr="00656B47">
        <w:rPr>
          <w:rStyle w:val="AERtextitalic"/>
        </w:rPr>
        <w:t xml:space="preserve">Public inquiry into final access determinations for fixed line </w:t>
      </w:r>
      <w:r>
        <w:rPr>
          <w:rStyle w:val="AERtextitalic"/>
        </w:rPr>
        <w:t>services</w:t>
      </w:r>
      <w:r>
        <w:rPr>
          <w:rStyle w:val="AERtextitalic"/>
          <w:rFonts w:cs="Arial"/>
        </w:rPr>
        <w:t>—</w:t>
      </w:r>
      <w:r w:rsidRPr="00656B47">
        <w:rPr>
          <w:rStyle w:val="AERtextitalic"/>
        </w:rPr>
        <w:t>primary price terms</w:t>
      </w:r>
      <w:r>
        <w:rPr>
          <w:rStyle w:val="AERtextitalic"/>
        </w:rPr>
        <w:t>,</w:t>
      </w:r>
      <w:r w:rsidRPr="00656B47">
        <w:rPr>
          <w:rStyle w:val="AERtextitalic"/>
        </w:rPr>
        <w:t xml:space="preserve"> </w:t>
      </w:r>
      <w:r>
        <w:rPr>
          <w:rStyle w:val="AERtextitalic"/>
        </w:rPr>
        <w:t>Draft d</w:t>
      </w:r>
      <w:r w:rsidRPr="00656B47">
        <w:rPr>
          <w:rStyle w:val="AERtextitalic"/>
        </w:rPr>
        <w:t>ecision</w:t>
      </w:r>
      <w:r>
        <w:t>, March 2015</w:t>
      </w:r>
      <w:r w:rsidRPr="009777EC">
        <w:t>.</w:t>
      </w:r>
      <w:r>
        <w:t xml:space="preserve"> </w:t>
      </w:r>
      <w:r w:rsidRPr="006F0830">
        <w:t>We note that this estimate is based on the ACCC's draft decision on the fixed line services supplied by Telstra (ACCC, Public inquiry into final service determinations for fixed line services—Primary price terms: Draft decision</w:t>
      </w:r>
      <w:r>
        <w:t>, March 2015, p. 101</w:t>
      </w:r>
      <w:r w:rsidRPr="006F0830">
        <w:t xml:space="preserve">). The ACCC released its final decision on </w:t>
      </w:r>
      <w:r>
        <w:t xml:space="preserve">9 </w:t>
      </w:r>
      <w:r w:rsidRPr="006F0830">
        <w:t>Octobe</w:t>
      </w:r>
      <w:r>
        <w:t>r 2015, which maintained its value for imputation credits estimate of 0.45</w:t>
      </w:r>
      <w:r w:rsidRPr="006F0830">
        <w:t xml:space="preserve"> (ACCC, Public inquiry into final service determinations for fixed line services: Final decision</w:t>
      </w:r>
      <w:r>
        <w:t>, October 2015, p. 67</w:t>
      </w:r>
      <w:r w:rsidRPr="006F0830">
        <w:t>). However, we consider information up to the end of July 2015 for the SA/Qld DNSPs and the end of August 2015 for the Vic</w:t>
      </w:r>
      <w:r>
        <w:t>torian service providers</w:t>
      </w:r>
      <w:r w:rsidRPr="006F0830">
        <w:t xml:space="preserve"> and </w:t>
      </w:r>
      <w:r>
        <w:t xml:space="preserve">the 2015 </w:t>
      </w:r>
      <w:r w:rsidRPr="006F0830">
        <w:t xml:space="preserve">gas </w:t>
      </w:r>
      <w:r>
        <w:t>network service providers</w:t>
      </w:r>
      <w:r w:rsidRPr="006F0830">
        <w:t xml:space="preserve"> in estimating the MRP. This is reasonably consistent with these NSPs' risk free rate averaging periods. Therefore, </w:t>
      </w:r>
      <w:r>
        <w:t xml:space="preserve">to be consistent with the estimation of the required return on equity, </w:t>
      </w:r>
      <w:r w:rsidRPr="006F0830">
        <w:t>we do not include the ACCC's final decision in our analysis.</w:t>
      </w:r>
    </w:p>
  </w:footnote>
  <w:footnote w:id="139">
    <w:p w14:paraId="4825C632" w14:textId="55A440A0" w:rsidR="00CF4D6D" w:rsidRDefault="00CF4D6D">
      <w:pPr>
        <w:pStyle w:val="FootnoteText"/>
      </w:pPr>
      <w:r>
        <w:rPr>
          <w:rStyle w:val="FootnoteReference"/>
        </w:rPr>
        <w:footnoteRef/>
      </w:r>
      <w:r>
        <w:t xml:space="preserve"> </w:t>
      </w:r>
      <w:r>
        <w:tab/>
        <w:t>We note that the Australian Competition Tribunal is currently considering gamma decisions of the AER released in April 2015 for Ausgrid, Endeavour Energy, Essential Energy and ActewAGL and released in June 2015 for Jemena Gas Networks. Key areas of disagreement between the AER and the service providers are being considered as part of this review process.</w:t>
      </w:r>
    </w:p>
  </w:footnote>
  <w:footnote w:id="140">
    <w:p w14:paraId="74378A4C" w14:textId="77777777" w:rsidR="00CF4D6D" w:rsidRDefault="00CF4D6D" w:rsidP="008B661B">
      <w:pPr>
        <w:pStyle w:val="FootnoteText"/>
      </w:pPr>
      <w:r>
        <w:rPr>
          <w:rStyle w:val="FootnoteReference"/>
        </w:rPr>
        <w:footnoteRef/>
      </w:r>
      <w:r>
        <w:t xml:space="preserve"> </w:t>
      </w:r>
      <w:r>
        <w:tab/>
      </w:r>
      <w:r w:rsidRPr="00DE341F">
        <w:t xml:space="preserve">AER, </w:t>
      </w:r>
      <w:r w:rsidRPr="00DE341F">
        <w:rPr>
          <w:rStyle w:val="AERtextitalic"/>
        </w:rPr>
        <w:t>Final decision: Electricity transmission and distribution network service providers, Review of the weighted average cost of capital (WACC) parameters</w:t>
      </w:r>
      <w:r w:rsidRPr="00DE341F">
        <w:t>, 1 May 2009</w:t>
      </w:r>
      <w:r>
        <w:t>.</w:t>
      </w:r>
    </w:p>
  </w:footnote>
  <w:footnote w:id="141">
    <w:p w14:paraId="11C169B8" w14:textId="77777777" w:rsidR="00CF4D6D" w:rsidRDefault="00CF4D6D" w:rsidP="008B661B">
      <w:pPr>
        <w:pStyle w:val="FootnoteText"/>
      </w:pPr>
      <w:r>
        <w:rPr>
          <w:rStyle w:val="FootnoteReference"/>
        </w:rPr>
        <w:footnoteRef/>
      </w:r>
      <w:r>
        <w:t xml:space="preserve"> </w:t>
      </w:r>
      <w:r>
        <w:tab/>
        <w:t xml:space="preserve">Australian Competition Tribunal, </w:t>
      </w:r>
      <w:r w:rsidRPr="000F2066">
        <w:rPr>
          <w:rStyle w:val="AERtextitalic"/>
        </w:rPr>
        <w:t>Application by Energex Limited (No 2) [2010] ACompT 7</w:t>
      </w:r>
      <w:r>
        <w:t>, October 2010, paras. 149–150.</w:t>
      </w:r>
    </w:p>
  </w:footnote>
  <w:footnote w:id="142">
    <w:p w14:paraId="44016D1E" w14:textId="77777777" w:rsidR="00CF4D6D" w:rsidRDefault="00CF4D6D" w:rsidP="008B661B">
      <w:pPr>
        <w:pStyle w:val="FootnoteText"/>
      </w:pPr>
      <w:r>
        <w:rPr>
          <w:rStyle w:val="FootnoteReference"/>
        </w:rPr>
        <w:footnoteRef/>
      </w:r>
      <w:r>
        <w:t xml:space="preserve"> </w:t>
      </w:r>
      <w:r>
        <w:tab/>
        <w:t xml:space="preserve">Australian Competition Tribunal, </w:t>
      </w:r>
      <w:r w:rsidRPr="004D5073">
        <w:rPr>
          <w:rStyle w:val="AERtextitalic"/>
        </w:rPr>
        <w:t>Application by Energex Limited (Distribution Ratio (Gamma)) (No 3) [2010] ACompT 9</w:t>
      </w:r>
      <w:r>
        <w:t>, December 2010, para. 2.</w:t>
      </w:r>
    </w:p>
  </w:footnote>
  <w:footnote w:id="143">
    <w:p w14:paraId="05C3F75C" w14:textId="77777777" w:rsidR="00CF4D6D" w:rsidRDefault="00CF4D6D" w:rsidP="008B661B">
      <w:pPr>
        <w:pStyle w:val="FootnoteText"/>
      </w:pPr>
      <w:r>
        <w:rPr>
          <w:rStyle w:val="FootnoteReference"/>
        </w:rPr>
        <w:footnoteRef/>
      </w:r>
      <w:r>
        <w:t xml:space="preserve"> </w:t>
      </w:r>
      <w:r>
        <w:tab/>
        <w:t xml:space="preserve">Australian Competition Tribunal, </w:t>
      </w:r>
      <w:r w:rsidRPr="001619BA">
        <w:rPr>
          <w:rStyle w:val="AERtextitalic"/>
        </w:rPr>
        <w:t>Application by Energex Limited (No 2) [2010] ACompT 7</w:t>
      </w:r>
      <w:r>
        <w:t>, October 2010, para.</w:t>
      </w:r>
      <w:r w:rsidRPr="0077656B">
        <w:t xml:space="preserve"> 91.</w:t>
      </w:r>
    </w:p>
  </w:footnote>
  <w:footnote w:id="144">
    <w:p w14:paraId="49F547A2" w14:textId="77777777" w:rsidR="00CF4D6D" w:rsidRDefault="00CF4D6D" w:rsidP="008B661B">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paras. 32–34.</w:t>
      </w:r>
    </w:p>
  </w:footnote>
  <w:footnote w:id="145">
    <w:p w14:paraId="61C9E911" w14:textId="77777777" w:rsidR="00CF4D6D" w:rsidRDefault="00CF4D6D" w:rsidP="008B661B">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paras. 40–41.</w:t>
      </w:r>
    </w:p>
  </w:footnote>
  <w:footnote w:id="146">
    <w:p w14:paraId="19FF1B80" w14:textId="77777777" w:rsidR="00CF4D6D" w:rsidRDefault="00CF4D6D" w:rsidP="008B661B">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 45.</w:t>
      </w:r>
    </w:p>
  </w:footnote>
  <w:footnote w:id="147">
    <w:p w14:paraId="6ACECDAC" w14:textId="77777777" w:rsidR="00CF4D6D" w:rsidRDefault="00CF4D6D" w:rsidP="0006219D">
      <w:pPr>
        <w:pStyle w:val="FootnoteText"/>
      </w:pPr>
      <w:r>
        <w:rPr>
          <w:rStyle w:val="FootnoteReference"/>
        </w:rPr>
        <w:footnoteRef/>
      </w:r>
      <w:r>
        <w:t xml:space="preserve"> </w:t>
      </w:r>
      <w:r>
        <w:tab/>
        <w:t xml:space="preserve">For example, see: ENA, </w:t>
      </w:r>
      <w:r w:rsidRPr="0006219D">
        <w:rPr>
          <w:rStyle w:val="AERtextitalic"/>
        </w:rPr>
        <w:t xml:space="preserve">Response to the </w:t>
      </w:r>
      <w:r>
        <w:rPr>
          <w:rStyle w:val="AERtextitalic"/>
        </w:rPr>
        <w:t>D</w:t>
      </w:r>
      <w:r w:rsidRPr="0006219D">
        <w:rPr>
          <w:rStyle w:val="AERtextitalic"/>
        </w:rPr>
        <w:t xml:space="preserve">raft </w:t>
      </w:r>
      <w:r>
        <w:rPr>
          <w:rStyle w:val="AERtextitalic"/>
        </w:rPr>
        <w:t>R</w:t>
      </w:r>
      <w:r w:rsidRPr="0006219D">
        <w:rPr>
          <w:rStyle w:val="AERtextitalic"/>
        </w:rPr>
        <w:t xml:space="preserve">ate of </w:t>
      </w:r>
      <w:r>
        <w:rPr>
          <w:rStyle w:val="AERtextitalic"/>
        </w:rPr>
        <w:t>R</w:t>
      </w:r>
      <w:r w:rsidRPr="0006219D">
        <w:rPr>
          <w:rStyle w:val="AERtextitalic"/>
        </w:rPr>
        <w:t xml:space="preserve">eturn </w:t>
      </w:r>
      <w:r>
        <w:rPr>
          <w:rStyle w:val="AERtextitalic"/>
        </w:rPr>
        <w:t>G</w:t>
      </w:r>
      <w:r w:rsidRPr="0006219D">
        <w:rPr>
          <w:rStyle w:val="AERtextitalic"/>
        </w:rPr>
        <w:t>uideline of the Australian Energy Regulator</w:t>
      </w:r>
      <w:r>
        <w:t>, 11 October 2013.</w:t>
      </w:r>
    </w:p>
  </w:footnote>
  <w:footnote w:id="148">
    <w:p w14:paraId="1AB526F7" w14:textId="77777777" w:rsidR="00CF4D6D" w:rsidRDefault="00CF4D6D" w:rsidP="00055B09">
      <w:pPr>
        <w:pStyle w:val="FootnoteText"/>
      </w:pPr>
      <w:r>
        <w:rPr>
          <w:rStyle w:val="FootnoteReference"/>
        </w:rPr>
        <w:footnoteRef/>
      </w:r>
      <w:r>
        <w:t xml:space="preserve"> </w:t>
      </w:r>
      <w:r>
        <w:tab/>
        <w:t xml:space="preserve">Australian Competition Tribunal, </w:t>
      </w:r>
      <w:r w:rsidRPr="00A216BD">
        <w:rPr>
          <w:rStyle w:val="AERtextitalic"/>
        </w:rPr>
        <w:t>Application by DBNGP (WA) Transmission Pty Ltd (No 3) [2012] ACompT 14</w:t>
      </w:r>
      <w:r>
        <w:t>, July 2012.</w:t>
      </w:r>
    </w:p>
  </w:footnote>
  <w:footnote w:id="149">
    <w:p w14:paraId="32A47F5D" w14:textId="77777777" w:rsidR="00CF4D6D" w:rsidRDefault="00CF4D6D" w:rsidP="00055B09">
      <w:pPr>
        <w:pStyle w:val="FootnoteText"/>
      </w:pPr>
      <w:r>
        <w:rPr>
          <w:rStyle w:val="FootnoteReference"/>
        </w:rPr>
        <w:footnoteRef/>
      </w:r>
      <w:r>
        <w:t xml:space="preserve"> </w:t>
      </w:r>
      <w:r>
        <w:tab/>
        <w:t xml:space="preserve">Australian Competition Tribunal, </w:t>
      </w:r>
      <w:r w:rsidRPr="003D0DF0">
        <w:rPr>
          <w:rStyle w:val="AERtextitalic"/>
        </w:rPr>
        <w:t>Application by WA Gas Networks Pty Ltd (No 3) [2012] ACompT 12</w:t>
      </w:r>
      <w:r>
        <w:t>, June 2012, paras. 119 and 125.</w:t>
      </w:r>
    </w:p>
  </w:footnote>
  <w:footnote w:id="150">
    <w:p w14:paraId="6BB6DE03" w14:textId="77777777" w:rsidR="00CF4D6D" w:rsidRDefault="00CF4D6D">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pp. 485–486; Ausgrid, </w:t>
      </w:r>
      <w:r w:rsidRPr="00D75F7A">
        <w:rPr>
          <w:rStyle w:val="AERtextitalic"/>
        </w:rPr>
        <w:t>Ausgrid's revised proposal on gamma</w:t>
      </w:r>
      <w:r>
        <w:t xml:space="preserve">, January 2015, p. 1; Directlink, </w:t>
      </w:r>
      <w:r w:rsidRPr="0000771B">
        <w:rPr>
          <w:rStyle w:val="AERtextitalic"/>
        </w:rPr>
        <w:t>Directlink submission on gamma (updated)</w:t>
      </w:r>
      <w:r>
        <w:t>, January 2015, pp. 1</w:t>
      </w:r>
      <w:r>
        <w:softHyphen/>
        <w:t xml:space="preserve">–2;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and JGN, </w:t>
      </w:r>
      <w:r w:rsidRPr="000E181F">
        <w:rPr>
          <w:rStyle w:val="AERtextitalic"/>
        </w:rPr>
        <w:t>Gamma - response to the draft decision</w:t>
      </w:r>
      <w:r>
        <w:t>, February 2015, p. 1.</w:t>
      </w:r>
    </w:p>
  </w:footnote>
  <w:footnote w:id="151">
    <w:p w14:paraId="67680047" w14:textId="2ABD172A" w:rsidR="00CF4D6D" w:rsidRDefault="00CF4D6D" w:rsidP="0060266A">
      <w:pPr>
        <w:pStyle w:val="FootnoteText"/>
      </w:pPr>
      <w:r>
        <w:rPr>
          <w:rStyle w:val="FootnoteReference"/>
        </w:rPr>
        <w:footnoteRef/>
      </w:r>
      <w:r>
        <w:t xml:space="preserve"> </w:t>
      </w:r>
      <w:r>
        <w:tab/>
        <w:t xml:space="preserve">We note that these issues have been raised by other service providers, however SA Power Networks, Ergon Energy and Australian Gas Networks have now clarified that they consider these to be the key issues in dispute with the AER. We also not Gray did not explicitly identify these as the key issues in dispute, although they featured prominently in his report. </w:t>
      </w:r>
    </w:p>
    <w:p w14:paraId="27E0D6E8" w14:textId="312EB1CE" w:rsidR="00CF4D6D" w:rsidRDefault="00CF4D6D">
      <w:pPr>
        <w:pStyle w:val="FootnoteText"/>
      </w:pPr>
    </w:p>
  </w:footnote>
  <w:footnote w:id="152">
    <w:p w14:paraId="4C96CF06" w14:textId="2B92AEB4" w:rsidR="00CF4D6D" w:rsidRDefault="00CF4D6D">
      <w:pPr>
        <w:pStyle w:val="FootnoteText"/>
      </w:pPr>
      <w:r>
        <w:rPr>
          <w:rStyle w:val="FootnoteReference"/>
        </w:rPr>
        <w:footnoteRef/>
      </w:r>
      <w:r>
        <w:t xml:space="preserve"> </w:t>
      </w:r>
      <w:r>
        <w:tab/>
        <w:t xml:space="preserve">SA Power Networks, </w:t>
      </w:r>
      <w:r>
        <w:rPr>
          <w:rStyle w:val="AERtextitalic"/>
        </w:rPr>
        <w:t>Revised regulatory proposal 2015-20</w:t>
      </w:r>
      <w:r>
        <w:t xml:space="preserve">, July 2015, pp </w:t>
      </w:r>
      <w:r w:rsidR="00A35AE7">
        <w:t>.</w:t>
      </w:r>
      <w:r>
        <w:t>370-371; Ergon, Submission on value of imputation credits (gamma), July 2015, p</w:t>
      </w:r>
      <w:r w:rsidR="00A35AE7">
        <w:t xml:space="preserve">. </w:t>
      </w:r>
      <w:r>
        <w:t xml:space="preserve">7; Frontier Economics, </w:t>
      </w:r>
      <w:r w:rsidRPr="00A35AE7">
        <w:rPr>
          <w:rStyle w:val="AERtextitalic"/>
        </w:rPr>
        <w:t>An appropriate regulatory estimate of gamma</w:t>
      </w:r>
      <w:r>
        <w:t>, June 2015</w:t>
      </w:r>
      <w:r w:rsidR="00A35AE7">
        <w:t>, p. 8</w:t>
      </w:r>
      <w:r>
        <w:t>; Australian Gas Networks</w:t>
      </w:r>
      <w:r w:rsidRPr="00A35AE7">
        <w:rPr>
          <w:rStyle w:val="AERtextitalic"/>
        </w:rPr>
        <w:t>, Attachment 11.2 Value of Imputation Credits</w:t>
      </w:r>
      <w:r>
        <w:t>, July</w:t>
      </w:r>
      <w:r w:rsidR="00A35AE7">
        <w:t xml:space="preserve"> 2015, p. 3; </w:t>
      </w:r>
      <w:r>
        <w:t>ActewAGL Distribution, Attachment 8 Detailed gamma proposal, pp. 2-3.</w:t>
      </w:r>
    </w:p>
  </w:footnote>
  <w:footnote w:id="153">
    <w:p w14:paraId="0E91DD89" w14:textId="5E629099" w:rsidR="00CF4D6D" w:rsidRDefault="00CF4D6D">
      <w:pPr>
        <w:pStyle w:val="FootnoteText"/>
      </w:pPr>
      <w:r>
        <w:rPr>
          <w:rStyle w:val="FootnoteReference"/>
        </w:rPr>
        <w:footnoteRef/>
      </w:r>
      <w:r>
        <w:t xml:space="preserve"> </w:t>
      </w:r>
      <w:r>
        <w:tab/>
        <w:t xml:space="preserve">SA Power </w:t>
      </w:r>
      <w:proofErr w:type="gramStart"/>
      <w:r>
        <w:t>Networks,</w:t>
      </w:r>
      <w:proofErr w:type="gramEnd"/>
      <w:r>
        <w:t xml:space="preserve"> </w:t>
      </w:r>
      <w:r>
        <w:rPr>
          <w:rStyle w:val="AERtextitalic"/>
        </w:rPr>
        <w:t>Revised regulatory proposal 2015-20</w:t>
      </w:r>
      <w:r>
        <w:t>, July 2015, pp</w:t>
      </w:r>
      <w:r w:rsidR="00A35AE7">
        <w:t>.</w:t>
      </w:r>
      <w:r>
        <w:t xml:space="preserve"> 370-371; Ergon, </w:t>
      </w:r>
      <w:r w:rsidRPr="00A35AE7">
        <w:rPr>
          <w:rStyle w:val="AERtextitalic"/>
        </w:rPr>
        <w:t>Submission on value of imputation credits (gamma),</w:t>
      </w:r>
      <w:r>
        <w:t xml:space="preserve"> July 2015, p</w:t>
      </w:r>
      <w:r w:rsidR="00A35AE7">
        <w:t xml:space="preserve">. </w:t>
      </w:r>
      <w:r>
        <w:t xml:space="preserve">7; Frontier Economics, </w:t>
      </w:r>
      <w:r w:rsidRPr="00A35AE7">
        <w:rPr>
          <w:rStyle w:val="AERtextitalic"/>
        </w:rPr>
        <w:t>An appropriate regulatory estimate of gamma</w:t>
      </w:r>
      <w:r>
        <w:t xml:space="preserve">, </w:t>
      </w:r>
      <w:r w:rsidR="00A35AE7">
        <w:t>.</w:t>
      </w:r>
      <w:r>
        <w:t>June 2015</w:t>
      </w:r>
      <w:r w:rsidR="00A35AE7">
        <w:t>, pp. 26-30</w:t>
      </w:r>
      <w:r>
        <w:t xml:space="preserve">; Australian Gas Networks, </w:t>
      </w:r>
      <w:r w:rsidRPr="00A35AE7">
        <w:rPr>
          <w:rStyle w:val="AERtextitalic"/>
        </w:rPr>
        <w:t>Attachment 11.2 Value of Imputation Credits</w:t>
      </w:r>
      <w:r w:rsidR="00A35AE7">
        <w:t>, July 2015, p. 3.</w:t>
      </w:r>
    </w:p>
  </w:footnote>
  <w:footnote w:id="154">
    <w:p w14:paraId="5153D67A" w14:textId="38922B32" w:rsidR="00CF4D6D" w:rsidRDefault="00CF4D6D">
      <w:pPr>
        <w:pStyle w:val="FootnoteText"/>
      </w:pPr>
      <w:r>
        <w:rPr>
          <w:rStyle w:val="FootnoteReference"/>
        </w:rPr>
        <w:footnoteRef/>
      </w:r>
      <w:r>
        <w:t xml:space="preserve"> </w:t>
      </w:r>
      <w:r>
        <w:tab/>
        <w:t>We note we have used an estimate of the distribution rate of 0.77 in this decision. This was updated to 0.77 in our JGN decision released in June 2015 from 0.8 used in our final decisions released in April 2015.</w:t>
      </w:r>
    </w:p>
  </w:footnote>
  <w:footnote w:id="155">
    <w:p w14:paraId="33F99EC6" w14:textId="323D8E77" w:rsidR="00CF4D6D" w:rsidRDefault="00CF4D6D">
      <w:pPr>
        <w:pStyle w:val="FootnoteText"/>
      </w:pPr>
      <w:r>
        <w:rPr>
          <w:rStyle w:val="FootnoteReference"/>
        </w:rPr>
        <w:footnoteRef/>
      </w:r>
      <w:r>
        <w:t xml:space="preserve"> </w:t>
      </w:r>
      <w:r>
        <w:tab/>
        <w:t xml:space="preserve">AusNet Services, </w:t>
      </w:r>
      <w:r w:rsidRPr="00A35AE7">
        <w:rPr>
          <w:rStyle w:val="AERtextitalic"/>
        </w:rPr>
        <w:t>2016-20 Regulatory Proposal</w:t>
      </w:r>
      <w:r>
        <w:t>, April 2015, p</w:t>
      </w:r>
      <w:r w:rsidR="00A35AE7">
        <w:t xml:space="preserve">. </w:t>
      </w:r>
      <w:r>
        <w:t xml:space="preserve">354; United Energy, </w:t>
      </w:r>
      <w:r w:rsidRPr="00A35AE7">
        <w:rPr>
          <w:rStyle w:val="AERtextitalic"/>
        </w:rPr>
        <w:t>Assessment of the Value of Imputation Credits - Gamma, Proposal for 2016 to 2020</w:t>
      </w:r>
      <w:r>
        <w:t>, April 2015, p</w:t>
      </w:r>
      <w:r w:rsidR="00A35AE7">
        <w:t xml:space="preserve">. </w:t>
      </w:r>
      <w:r>
        <w:t>2; CitiPower</w:t>
      </w:r>
      <w:r w:rsidR="00A35AE7">
        <w:t>,</w:t>
      </w:r>
      <w:r>
        <w:t xml:space="preserve"> </w:t>
      </w:r>
      <w:r w:rsidRPr="00A35AE7">
        <w:rPr>
          <w:rStyle w:val="AERtextitalic"/>
        </w:rPr>
        <w:t>Appendix J - Gamma</w:t>
      </w:r>
      <w:r>
        <w:t>, April 2015, p</w:t>
      </w:r>
      <w:r w:rsidR="00A35AE7">
        <w:t xml:space="preserve">. </w:t>
      </w:r>
      <w:r>
        <w:t xml:space="preserve">4; Powercor, </w:t>
      </w:r>
      <w:r w:rsidRPr="00A35AE7">
        <w:rPr>
          <w:rStyle w:val="AERtextitalic"/>
        </w:rPr>
        <w:t>Appendix J - Gamma</w:t>
      </w:r>
      <w:r>
        <w:t>, April 2015, p</w:t>
      </w:r>
      <w:r w:rsidR="00A35AE7">
        <w:t xml:space="preserve">. </w:t>
      </w:r>
      <w:r>
        <w:t xml:space="preserve">4; Jemena Electricity, </w:t>
      </w:r>
      <w:r w:rsidRPr="00A35AE7">
        <w:rPr>
          <w:rStyle w:val="AERtextitalic"/>
        </w:rPr>
        <w:t>Attachment 06-06 Gamma proposal</w:t>
      </w:r>
      <w:r>
        <w:t>, April 2015, p</w:t>
      </w:r>
      <w:r w:rsidR="00A35AE7">
        <w:t xml:space="preserve">. </w:t>
      </w:r>
      <w:r>
        <w:t xml:space="preserve">5; SA Power Networks, </w:t>
      </w:r>
      <w:r>
        <w:rPr>
          <w:rStyle w:val="AERtextitalic"/>
        </w:rPr>
        <w:t>Revised regulatory proposal 2015-20</w:t>
      </w:r>
      <w:r>
        <w:t>, July 2015, pp</w:t>
      </w:r>
      <w:r w:rsidR="00A35AE7">
        <w:t>.</w:t>
      </w:r>
      <w:r>
        <w:t xml:space="preserve"> 370-371; Ergon, </w:t>
      </w:r>
      <w:r w:rsidRPr="00A35AE7">
        <w:rPr>
          <w:rStyle w:val="AERtextitalic"/>
        </w:rPr>
        <w:t>Submission on value of imputation credits (gamma),</w:t>
      </w:r>
      <w:r>
        <w:t xml:space="preserve"> July 2015, p</w:t>
      </w:r>
      <w:r w:rsidR="00A35AE7">
        <w:t xml:space="preserve">. </w:t>
      </w:r>
      <w:r>
        <w:t xml:space="preserve">7; ActewAGL Distribution, </w:t>
      </w:r>
      <w:r w:rsidRPr="00A35AE7">
        <w:rPr>
          <w:rStyle w:val="AERtextitalic"/>
        </w:rPr>
        <w:t>Attachment 8 Detailed gamma proposal</w:t>
      </w:r>
      <w:r>
        <w:t>, p</w:t>
      </w:r>
      <w:r w:rsidR="00A35AE7">
        <w:t>.</w:t>
      </w:r>
      <w:r>
        <w:t xml:space="preserve">2; Australian Gas Networks, </w:t>
      </w:r>
      <w:r w:rsidRPr="00A35AE7">
        <w:rPr>
          <w:rStyle w:val="AERtextitalic"/>
        </w:rPr>
        <w:t>Attachment 11.2 Value of Imputation Credits</w:t>
      </w:r>
      <w:r>
        <w:t>, July 2015</w:t>
      </w:r>
      <w:r w:rsidR="00A35AE7">
        <w:t>,</w:t>
      </w:r>
      <w:r w:rsidR="00A35AE7" w:rsidRPr="00A35AE7">
        <w:t xml:space="preserve"> </w:t>
      </w:r>
      <w:r w:rsidR="00A35AE7">
        <w:t>pp. 9-10</w:t>
      </w:r>
      <w:r>
        <w:t xml:space="preserve">; Amadeus Gas Pipeline, </w:t>
      </w:r>
      <w:r w:rsidRPr="00A35AE7">
        <w:rPr>
          <w:rStyle w:val="AERtextitalic"/>
        </w:rPr>
        <w:t>Access Arrangement revision submission</w:t>
      </w:r>
      <w:r>
        <w:t>, August 2015, p. 151.</w:t>
      </w:r>
    </w:p>
  </w:footnote>
  <w:footnote w:id="156">
    <w:p w14:paraId="3CBB78E1" w14:textId="54D7DDE8" w:rsidR="00CF4D6D" w:rsidRDefault="00CF4D6D">
      <w:pPr>
        <w:pStyle w:val="FootnoteText"/>
      </w:pPr>
      <w:r>
        <w:rPr>
          <w:rStyle w:val="FootnoteReference"/>
        </w:rPr>
        <w:footnoteRef/>
      </w:r>
      <w:r>
        <w:t xml:space="preserve"> </w:t>
      </w:r>
      <w:r>
        <w:tab/>
        <w:t xml:space="preserve">SA Power </w:t>
      </w:r>
      <w:proofErr w:type="gramStart"/>
      <w:r>
        <w:t>Networks,</w:t>
      </w:r>
      <w:proofErr w:type="gramEnd"/>
      <w:r>
        <w:t xml:space="preserve"> </w:t>
      </w:r>
      <w:r>
        <w:rPr>
          <w:rStyle w:val="AERtextitalic"/>
        </w:rPr>
        <w:t>Revised regulatory proposal 2015-20</w:t>
      </w:r>
      <w:r>
        <w:t xml:space="preserve">, July 2015, pp 370-371; Ergon, </w:t>
      </w:r>
      <w:r w:rsidRPr="00A35AE7">
        <w:rPr>
          <w:rStyle w:val="AERtextitalic"/>
        </w:rPr>
        <w:t>Submission on value of imputation credits (gamma)</w:t>
      </w:r>
      <w:r>
        <w:t>, July 2015, p</w:t>
      </w:r>
      <w:r w:rsidR="00A35AE7">
        <w:t xml:space="preserve">. </w:t>
      </w:r>
      <w:r>
        <w:t xml:space="preserve">7; Australian Gas Networks, </w:t>
      </w:r>
      <w:r w:rsidRPr="00A35AE7">
        <w:rPr>
          <w:rStyle w:val="AERtextitalic"/>
        </w:rPr>
        <w:t>Attachment 11.2 Value of Imputation Credits</w:t>
      </w:r>
      <w:r w:rsidR="00A35AE7">
        <w:rPr>
          <w:rStyle w:val="AERtextitalic"/>
        </w:rPr>
        <w:t xml:space="preserve">, </w:t>
      </w:r>
      <w:r>
        <w:t>July 2015</w:t>
      </w:r>
      <w:r w:rsidR="00A35AE7">
        <w:t>, p. 3</w:t>
      </w:r>
      <w:r>
        <w:t>.</w:t>
      </w:r>
    </w:p>
  </w:footnote>
  <w:footnote w:id="157">
    <w:p w14:paraId="10C837D4" w14:textId="2E2ED40E" w:rsidR="00CF4D6D" w:rsidRDefault="00CF4D6D">
      <w:pPr>
        <w:pStyle w:val="FootnoteText"/>
      </w:pPr>
      <w:r>
        <w:rPr>
          <w:rStyle w:val="FootnoteReference"/>
        </w:rPr>
        <w:footnoteRef/>
      </w:r>
      <w:r>
        <w:t xml:space="preserve"> </w:t>
      </w:r>
      <w:r>
        <w:tab/>
        <w:t xml:space="preserve">AusNet Services, </w:t>
      </w:r>
      <w:r w:rsidRPr="00A35AE7">
        <w:rPr>
          <w:rStyle w:val="AERtextitalic"/>
        </w:rPr>
        <w:t>2016-20 Regulatory Proposal</w:t>
      </w:r>
      <w:r>
        <w:t>, April 2015</w:t>
      </w:r>
      <w:proofErr w:type="gramStart"/>
      <w:r>
        <w:t xml:space="preserve">, </w:t>
      </w:r>
      <w:r w:rsidR="00A35AE7">
        <w:t>.</w:t>
      </w:r>
      <w:proofErr w:type="gramEnd"/>
      <w:r w:rsidR="00A35AE7">
        <w:t xml:space="preserve"> </w:t>
      </w:r>
      <w:r>
        <w:t xml:space="preserve">p367; United Energy, </w:t>
      </w:r>
      <w:r w:rsidRPr="00A35AE7">
        <w:rPr>
          <w:rStyle w:val="AERtextitalic"/>
        </w:rPr>
        <w:t>Assessment of the Value of Imputation Credits - Gamma, Proposal for 2016 to 2020</w:t>
      </w:r>
      <w:r>
        <w:t>, April 2015, p</w:t>
      </w:r>
      <w:r w:rsidR="00A35AE7">
        <w:t xml:space="preserve">. </w:t>
      </w:r>
      <w:r>
        <w:t>18; CitiPower</w:t>
      </w:r>
      <w:r w:rsidR="00A35AE7">
        <w:t>,</w:t>
      </w:r>
      <w:r>
        <w:t xml:space="preserve"> </w:t>
      </w:r>
      <w:r w:rsidRPr="00A35AE7">
        <w:rPr>
          <w:rStyle w:val="AERtextitalic"/>
        </w:rPr>
        <w:t>Appendix J - Gamma</w:t>
      </w:r>
      <w:r>
        <w:t>, April 2015, p</w:t>
      </w:r>
      <w:r w:rsidR="00A35AE7">
        <w:t>. 1</w:t>
      </w:r>
      <w:r>
        <w:t xml:space="preserve">6; Powercor, Appendix J - Gamma, April 2015, p16; Jemena Electricity, Attachment 06-06 Gamma proposal, April 2015, p; SA Power Networks, </w:t>
      </w:r>
      <w:r>
        <w:rPr>
          <w:rStyle w:val="AERtextitalic"/>
        </w:rPr>
        <w:t>Revised regulatory proposal 2015-20</w:t>
      </w:r>
      <w:r>
        <w:t>, July 2015, pp</w:t>
      </w:r>
      <w:r w:rsidR="00A35AE7">
        <w:t>.</w:t>
      </w:r>
      <w:r>
        <w:t xml:space="preserve"> 370-371; Ergon, </w:t>
      </w:r>
      <w:r w:rsidRPr="00A35AE7">
        <w:rPr>
          <w:rStyle w:val="AERtextitalic"/>
        </w:rPr>
        <w:t>Submission on value of imputation credits (gamma)</w:t>
      </w:r>
      <w:r>
        <w:t>, July 2015, p</w:t>
      </w:r>
      <w:r w:rsidR="00A35AE7">
        <w:t xml:space="preserve">. </w:t>
      </w:r>
      <w:r>
        <w:t xml:space="preserve">8; ActewAGL Distribution, </w:t>
      </w:r>
      <w:r w:rsidRPr="00A35AE7">
        <w:rPr>
          <w:rStyle w:val="AERtextitalic"/>
        </w:rPr>
        <w:t>Attachment 8 Detailed gamma proposal</w:t>
      </w:r>
      <w:r>
        <w:t>, p</w:t>
      </w:r>
      <w:r w:rsidR="00A35AE7">
        <w:t>.</w:t>
      </w:r>
      <w:r>
        <w:t xml:space="preserve">15; Australian Gas Networks, </w:t>
      </w:r>
      <w:r w:rsidRPr="00A35AE7">
        <w:rPr>
          <w:rStyle w:val="AERtextitalic"/>
        </w:rPr>
        <w:t>Attachment 11.2 Value of Imputation Credits</w:t>
      </w:r>
      <w:r>
        <w:t>, July 2015</w:t>
      </w:r>
      <w:r w:rsidR="00A35AE7">
        <w:t>, p. 3</w:t>
      </w:r>
      <w:r>
        <w:t>.</w:t>
      </w:r>
    </w:p>
  </w:footnote>
  <w:footnote w:id="158">
    <w:p w14:paraId="61700104" w14:textId="77777777" w:rsidR="00CF4D6D" w:rsidRDefault="00CF4D6D" w:rsidP="00615CE6">
      <w:pPr>
        <w:pStyle w:val="FootnoteText"/>
      </w:pPr>
      <w:r>
        <w:rPr>
          <w:rStyle w:val="FootnoteReference"/>
        </w:rPr>
        <w:footnoteRef/>
      </w:r>
      <w:r>
        <w:t xml:space="preserve"> </w:t>
      </w:r>
      <w:r>
        <w:tab/>
      </w:r>
      <w:proofErr w:type="gramStart"/>
      <w:r w:rsidRPr="00FF5DB5">
        <w:t>NER, cl</w:t>
      </w:r>
      <w:r>
        <w:t>l.</w:t>
      </w:r>
      <w:proofErr w:type="gramEnd"/>
      <w:r>
        <w:t xml:space="preserve"> 6.4.3 and</w:t>
      </w:r>
      <w:r w:rsidRPr="00FF5DB5">
        <w:t xml:space="preserve"> 6A.5.4; NGR, r. 76.</w:t>
      </w:r>
    </w:p>
  </w:footnote>
  <w:footnote w:id="159">
    <w:p w14:paraId="20E3CDE6" w14:textId="77777777" w:rsidR="00CF4D6D" w:rsidRDefault="00CF4D6D" w:rsidP="00615CE6">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 and footnote 2.</w:t>
      </w:r>
    </w:p>
  </w:footnote>
  <w:footnote w:id="160">
    <w:p w14:paraId="1C89B2F9" w14:textId="7C0ABE28" w:rsidR="00CF4D6D" w:rsidRDefault="00CF4D6D">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w:t>
      </w:r>
      <w:r w:rsidRPr="00800E44">
        <w:t>.</w:t>
      </w:r>
      <w:r>
        <w:t xml:space="preserve"> 7.</w:t>
      </w:r>
    </w:p>
  </w:footnote>
  <w:footnote w:id="161">
    <w:p w14:paraId="0C358B4D" w14:textId="49B6DEC5" w:rsidR="00CF4D6D" w:rsidRDefault="00CF4D6D">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w:t>
      </w:r>
      <w:r w:rsidRPr="00800E44">
        <w:t>.</w:t>
      </w:r>
      <w:r>
        <w:t xml:space="preserve"> 6.</w:t>
      </w:r>
    </w:p>
  </w:footnote>
  <w:footnote w:id="162">
    <w:p w14:paraId="4F974B60" w14:textId="4489576D" w:rsidR="00CF4D6D" w:rsidRDefault="00CF4D6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 and footnote 2.</w:t>
      </w:r>
    </w:p>
  </w:footnote>
  <w:footnote w:id="163">
    <w:p w14:paraId="5E5EA30E" w14:textId="77777777" w:rsidR="00CF4D6D" w:rsidRDefault="00CF4D6D" w:rsidP="00615CE6">
      <w:pPr>
        <w:pStyle w:val="FootnoteText"/>
      </w:pPr>
      <w:r>
        <w:rPr>
          <w:rStyle w:val="FootnoteReference"/>
        </w:rPr>
        <w:footnoteRef/>
      </w:r>
      <w:r>
        <w:t xml:space="preserve"> </w:t>
      </w:r>
      <w:r>
        <w:tab/>
      </w:r>
      <w:proofErr w:type="gramStart"/>
      <w:r>
        <w:t>NER, cll.</w:t>
      </w:r>
      <w:proofErr w:type="gramEnd"/>
      <w:r>
        <w:t xml:space="preserve"> 6.5.2 and 6A.6.2;</w:t>
      </w:r>
      <w:r w:rsidRPr="0042735A">
        <w:t xml:space="preserve"> </w:t>
      </w:r>
      <w:r>
        <w:t>NGR, r. 87.</w:t>
      </w:r>
    </w:p>
  </w:footnote>
  <w:footnote w:id="164">
    <w:p w14:paraId="6FA23A42" w14:textId="77777777" w:rsidR="00CF4D6D" w:rsidRDefault="00CF4D6D">
      <w:pPr>
        <w:pStyle w:val="FootnoteText"/>
      </w:pPr>
      <w:r>
        <w:rPr>
          <w:rStyle w:val="FootnoteReference"/>
        </w:rPr>
        <w:footnoteRef/>
      </w:r>
      <w:r>
        <w:t xml:space="preserve"> </w:t>
      </w:r>
      <w:r>
        <w:tab/>
        <w:t>Although we consider that it is implied that the 'value of imputation credits' refers to the value of imputation credits to investors in the benchmark efficient entity, we note that the NER/NGR are not explicit on this point.</w:t>
      </w:r>
    </w:p>
  </w:footnote>
  <w:footnote w:id="165">
    <w:p w14:paraId="3DA1DE94" w14:textId="77777777" w:rsidR="00CF4D6D" w:rsidRDefault="00CF4D6D" w:rsidP="00A3557D">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166">
    <w:p w14:paraId="05E49D20" w14:textId="77777777" w:rsidR="00CF4D6D" w:rsidRDefault="00CF4D6D" w:rsidP="00A3557D">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equation 2</w:t>
      </w:r>
      <w:r w:rsidRPr="00800E44">
        <w:t>.</w:t>
      </w:r>
    </w:p>
  </w:footnote>
  <w:footnote w:id="167">
    <w:p w14:paraId="2E6C816F" w14:textId="77777777" w:rsidR="00CF4D6D" w:rsidRDefault="00CF4D6D"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7–8.</w:t>
      </w:r>
    </w:p>
  </w:footnote>
  <w:footnote w:id="168">
    <w:p w14:paraId="13AE4AA1" w14:textId="77777777" w:rsidR="00CF4D6D" w:rsidRDefault="00CF4D6D" w:rsidP="00A3557D">
      <w:pPr>
        <w:pStyle w:val="FootnoteText"/>
      </w:pPr>
      <w:r>
        <w:rPr>
          <w:rStyle w:val="FootnoteReference"/>
        </w:rPr>
        <w:footnoteRef/>
      </w:r>
      <w:r>
        <w:t xml:space="preserve"> </w:t>
      </w:r>
      <w:r>
        <w:tab/>
        <w:t>NER, cll. 6.5.2 and 6A.6.2;</w:t>
      </w:r>
      <w:r w:rsidRPr="0042735A">
        <w:t xml:space="preserve"> </w:t>
      </w:r>
      <w:r>
        <w:t>NGR, r. 87.</w:t>
      </w:r>
    </w:p>
  </w:footnote>
  <w:footnote w:id="169">
    <w:p w14:paraId="2071CB05" w14:textId="77777777" w:rsidR="00CF4D6D" w:rsidRDefault="00CF4D6D"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9.</w:t>
      </w:r>
    </w:p>
  </w:footnote>
  <w:footnote w:id="170">
    <w:p w14:paraId="48865210" w14:textId="77777777" w:rsidR="00CF4D6D" w:rsidRDefault="00CF4D6D" w:rsidP="00A3557D">
      <w:pPr>
        <w:pStyle w:val="FootnoteText"/>
      </w:pPr>
      <w:r>
        <w:rPr>
          <w:rStyle w:val="FootnoteReference"/>
        </w:rPr>
        <w:footnoteRef/>
      </w:r>
      <w:r>
        <w:t xml:space="preserve"> </w:t>
      </w:r>
      <w:r>
        <w:tab/>
        <w:t>This is evident in companies having positive franking account balances in aggregate.</w:t>
      </w:r>
    </w:p>
  </w:footnote>
  <w:footnote w:id="171">
    <w:p w14:paraId="64070215" w14:textId="77777777" w:rsidR="00CF4D6D" w:rsidRDefault="00CF4D6D" w:rsidP="00A3557D">
      <w:pPr>
        <w:pStyle w:val="FootnoteText"/>
      </w:pPr>
      <w:r>
        <w:rPr>
          <w:rStyle w:val="FootnoteReference"/>
        </w:rPr>
        <w:footnoteRef/>
      </w:r>
      <w:r>
        <w:t xml:space="preserve"> </w:t>
      </w:r>
      <w:r>
        <w:tab/>
        <w:t xml:space="preserve">Handley considered that, although Monkhouse does not use the term gamma, the interpretation is clear: </w:t>
      </w:r>
      <w:r w:rsidRPr="00582678">
        <w:t xml:space="preserve">J. Handley, </w:t>
      </w:r>
      <w:r w:rsidRPr="00582678">
        <w:rPr>
          <w:rStyle w:val="AERtextitalic"/>
        </w:rPr>
        <w:t>Report prepared for the Australian Energy Regulator: Advice on the value of imputation credits</w:t>
      </w:r>
      <w:r w:rsidRPr="00582678">
        <w:t>, 29 September 2014</w:t>
      </w:r>
      <w:r>
        <w:t>, p. 11 and footnote 12.</w:t>
      </w:r>
    </w:p>
  </w:footnote>
  <w:footnote w:id="172">
    <w:p w14:paraId="7BE7CA66" w14:textId="77777777" w:rsidR="00CF4D6D" w:rsidRDefault="00CF4D6D"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18</w:t>
      </w:r>
      <w:r>
        <w:rPr>
          <w:rFonts w:cs="Arial"/>
        </w:rPr>
        <w:t>–</w:t>
      </w:r>
      <w:r>
        <w:t>20.</w:t>
      </w:r>
    </w:p>
  </w:footnote>
  <w:footnote w:id="173">
    <w:p w14:paraId="064CA50B" w14:textId="77777777" w:rsidR="00CF4D6D" w:rsidRDefault="00CF4D6D" w:rsidP="00A3557D">
      <w:pPr>
        <w:pStyle w:val="FootnoteText"/>
      </w:pPr>
      <w:r>
        <w:rPr>
          <w:rStyle w:val="FootnoteReference"/>
        </w:rPr>
        <w:footnoteRef/>
      </w:r>
      <w:r>
        <w:t xml:space="preserve"> </w:t>
      </w:r>
      <w:r>
        <w:tab/>
      </w:r>
      <w:r w:rsidRPr="00712BC2">
        <w:t xml:space="preserve">M. Lally, </w:t>
      </w:r>
      <w:r w:rsidRPr="00712BC2">
        <w:rPr>
          <w:rStyle w:val="AERtextitalic"/>
        </w:rPr>
        <w:t>The estimation of gamma</w:t>
      </w:r>
      <w:r w:rsidRPr="00712BC2">
        <w:t>, 23 November 2013</w:t>
      </w:r>
      <w:r>
        <w:t xml:space="preserve">, p. 11. </w:t>
      </w:r>
    </w:p>
  </w:footnote>
  <w:footnote w:id="174">
    <w:p w14:paraId="45643F62" w14:textId="77777777" w:rsidR="00CF4D6D" w:rsidRDefault="00CF4D6D" w:rsidP="00A3557D">
      <w:pPr>
        <w:pStyle w:val="FootnoteText"/>
      </w:pPr>
      <w:r>
        <w:rPr>
          <w:rStyle w:val="FootnoteReference"/>
        </w:rPr>
        <w:footnoteRef/>
      </w:r>
      <w:r>
        <w:t xml:space="preserve"> </w:t>
      </w:r>
      <w:r>
        <w:tab/>
        <w:t xml:space="preserve">Recall from section </w:t>
      </w:r>
      <w:r>
        <w:fldChar w:fldCharType="begin"/>
      </w:r>
      <w:r>
        <w:instrText xml:space="preserve"> REF _Ref404065332 \r \h </w:instrText>
      </w:r>
      <w:r>
        <w:fldChar w:fldCharType="separate"/>
      </w:r>
      <w:r>
        <w:t>4.3.3</w:t>
      </w:r>
      <w:r>
        <w:fldChar w:fldCharType="end"/>
      </w:r>
      <w:r>
        <w:t xml:space="preserve"> that we define the relevant market as</w:t>
      </w:r>
      <w:r w:rsidRPr="00F02A9C">
        <w:t xml:space="preserve"> an Australian domestic market that recognises the presence of foreign investors to the extent that they invest in the Australian market</w:t>
      </w:r>
      <w:r>
        <w:t>.</w:t>
      </w:r>
    </w:p>
  </w:footnote>
  <w:footnote w:id="175">
    <w:p w14:paraId="31E068C5" w14:textId="77777777" w:rsidR="00CF4D6D" w:rsidRDefault="00CF4D6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14.</w:t>
      </w:r>
    </w:p>
  </w:footnote>
  <w:footnote w:id="176">
    <w:p w14:paraId="09D3253C" w14:textId="4FEF218C" w:rsidR="00CF4D6D" w:rsidRDefault="00CF4D6D">
      <w:pPr>
        <w:pStyle w:val="FootnoteText"/>
      </w:pPr>
      <w:r>
        <w:rPr>
          <w:rStyle w:val="FootnoteReference"/>
        </w:rPr>
        <w:footnoteRef/>
      </w:r>
      <w:r>
        <w:t xml:space="preserve"> </w:t>
      </w:r>
      <w:r>
        <w:tab/>
        <w:t xml:space="preserve">Professor Gray undertook reports for both SFG and Frontier economics. To avoid confusion, we have generally referred to Professor Gray by name with the consulting firm after his name. </w:t>
      </w:r>
    </w:p>
  </w:footnote>
  <w:footnote w:id="177">
    <w:p w14:paraId="037BD821" w14:textId="33260F9D" w:rsidR="00CF4D6D" w:rsidRDefault="00CF4D6D">
      <w:pPr>
        <w:pStyle w:val="FootnoteText"/>
      </w:pPr>
      <w:r>
        <w:rPr>
          <w:rStyle w:val="FootnoteReference"/>
        </w:rPr>
        <w:footnoteRef/>
      </w:r>
      <w:r>
        <w:t xml:space="preserve"> </w:t>
      </w:r>
      <w:r>
        <w:tab/>
        <w:t xml:space="preserve">SA Power </w:t>
      </w:r>
      <w:proofErr w:type="gramStart"/>
      <w:r>
        <w:t>Networks,</w:t>
      </w:r>
      <w:proofErr w:type="gramEnd"/>
      <w:r>
        <w:t xml:space="preserve"> </w:t>
      </w:r>
      <w:r>
        <w:rPr>
          <w:rStyle w:val="AERtextitalic"/>
        </w:rPr>
        <w:t>Revised regulatory proposal 2015-20</w:t>
      </w:r>
      <w:r>
        <w:t>, July 2015, p</w:t>
      </w:r>
      <w:r w:rsidR="00A35AE7">
        <w:t>. 373.</w:t>
      </w:r>
    </w:p>
  </w:footnote>
  <w:footnote w:id="178">
    <w:p w14:paraId="09202310" w14:textId="77777777" w:rsidR="00CF4D6D" w:rsidRDefault="00CF4D6D">
      <w:pPr>
        <w:pStyle w:val="FootnoteText"/>
      </w:pPr>
      <w:r>
        <w:rPr>
          <w:rStyle w:val="FootnoteReference"/>
        </w:rPr>
        <w:footnoteRef/>
      </w:r>
      <w:r>
        <w:t xml:space="preserve"> </w:t>
      </w:r>
      <w:r>
        <w:tab/>
        <w:t xml:space="preserve">SFG, </w:t>
      </w:r>
      <w:r>
        <w:rPr>
          <w:rStyle w:val="AERtextitalic"/>
        </w:rPr>
        <w:t>Estimating gamma for regulatory purposes</w:t>
      </w:r>
      <w:r>
        <w:t>, 6 February 2015, para. 42.</w:t>
      </w:r>
    </w:p>
  </w:footnote>
  <w:footnote w:id="179">
    <w:p w14:paraId="30EDD9F5" w14:textId="77777777" w:rsidR="00CF4D6D" w:rsidRDefault="00CF4D6D">
      <w:pPr>
        <w:pStyle w:val="FootnoteText"/>
      </w:pPr>
      <w:r>
        <w:rPr>
          <w:rStyle w:val="FootnoteReference"/>
        </w:rPr>
        <w:footnoteRef/>
      </w:r>
      <w:r>
        <w:t xml:space="preserve"> </w:t>
      </w:r>
      <w:r>
        <w:tab/>
        <w:t xml:space="preserve">SFG, </w:t>
      </w:r>
      <w:r>
        <w:rPr>
          <w:rStyle w:val="AERtextitalic"/>
        </w:rPr>
        <w:t>Estimating gamma for regulatory purposes</w:t>
      </w:r>
      <w:r>
        <w:t>, 6 February 2015, para. 42.</w:t>
      </w:r>
    </w:p>
  </w:footnote>
  <w:footnote w:id="180">
    <w:p w14:paraId="2FCF47DF" w14:textId="77777777" w:rsidR="00CF4D6D" w:rsidRDefault="00CF4D6D">
      <w:pPr>
        <w:pStyle w:val="FootnoteText"/>
      </w:pPr>
      <w:r>
        <w:rPr>
          <w:rStyle w:val="FootnoteReference"/>
        </w:rPr>
        <w:footnoteRef/>
      </w:r>
      <w:r>
        <w:t xml:space="preserve"> </w:t>
      </w:r>
      <w:r>
        <w:tab/>
        <w:t xml:space="preserve">SFG, </w:t>
      </w:r>
      <w:r>
        <w:rPr>
          <w:rStyle w:val="AERtextitalic"/>
        </w:rPr>
        <w:t>Estimating gamma for regulatory purposes</w:t>
      </w:r>
      <w:r>
        <w:t>, 6 February 2015, para. 53.</w:t>
      </w:r>
    </w:p>
  </w:footnote>
  <w:footnote w:id="181">
    <w:p w14:paraId="3E0514DF" w14:textId="77777777" w:rsidR="00CF4D6D" w:rsidRDefault="00CF4D6D">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paras. 294–313, 331–334 and 341(b).</w:t>
      </w:r>
    </w:p>
  </w:footnote>
  <w:footnote w:id="182">
    <w:p w14:paraId="63FE8733" w14:textId="77777777" w:rsidR="00CF4D6D" w:rsidRDefault="00CF4D6D">
      <w:pPr>
        <w:pStyle w:val="FootnoteText"/>
      </w:pPr>
      <w:r>
        <w:rPr>
          <w:rStyle w:val="FootnoteReference"/>
        </w:rPr>
        <w:footnoteRef/>
      </w:r>
      <w:r>
        <w:t xml:space="preserve"> </w:t>
      </w:r>
      <w:r>
        <w:tab/>
        <w:t>See section A.6.1 of the draft decisions.</w:t>
      </w:r>
    </w:p>
  </w:footnote>
  <w:footnote w:id="183">
    <w:p w14:paraId="3695A7B7" w14:textId="77777777" w:rsidR="00CF4D6D" w:rsidRDefault="00CF4D6D">
      <w:pPr>
        <w:pStyle w:val="FootnoteText"/>
      </w:pPr>
      <w:r>
        <w:rPr>
          <w:rStyle w:val="FootnoteReference"/>
        </w:rPr>
        <w:footnoteRef/>
      </w:r>
      <w:r>
        <w:t xml:space="preserve"> </w:t>
      </w:r>
      <w:r>
        <w:tab/>
        <w:t xml:space="preserve">SFG, </w:t>
      </w:r>
      <w:r>
        <w:rPr>
          <w:rStyle w:val="AERtextitalic"/>
        </w:rPr>
        <w:t>Estimating gamma for regulatory purposes</w:t>
      </w:r>
      <w:r>
        <w:t>, 6 February 2015, paras. 111–121 and 136–137.</w:t>
      </w:r>
    </w:p>
  </w:footnote>
  <w:footnote w:id="184">
    <w:p w14:paraId="264FD872" w14:textId="77777777" w:rsidR="00CF4D6D" w:rsidRDefault="00CF4D6D">
      <w:pPr>
        <w:pStyle w:val="FootnoteText"/>
      </w:pPr>
      <w:r>
        <w:rPr>
          <w:rStyle w:val="FootnoteReference"/>
        </w:rPr>
        <w:footnoteRef/>
      </w:r>
      <w:r>
        <w:t xml:space="preserve"> </w:t>
      </w:r>
      <w:r>
        <w:tab/>
        <w:t xml:space="preserve">SFG, </w:t>
      </w:r>
      <w:r>
        <w:rPr>
          <w:rStyle w:val="AERtextitalic"/>
        </w:rPr>
        <w:t>Estimating gamma for regulatory purposes</w:t>
      </w:r>
      <w:r>
        <w:t>, 6 February 2015, paras. 122–123.</w:t>
      </w:r>
    </w:p>
  </w:footnote>
  <w:footnote w:id="185">
    <w:p w14:paraId="602F5365" w14:textId="77777777" w:rsidR="00CF4D6D" w:rsidRDefault="00CF4D6D">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pp. 8–9.</w:t>
      </w:r>
    </w:p>
  </w:footnote>
  <w:footnote w:id="186">
    <w:p w14:paraId="129F3C8F" w14:textId="77777777" w:rsidR="00CF4D6D" w:rsidRDefault="00CF4D6D">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187">
    <w:p w14:paraId="01E2FEE3" w14:textId="77777777" w:rsidR="00CF4D6D" w:rsidRDefault="00CF4D6D">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188">
    <w:p w14:paraId="7C590222" w14:textId="77777777" w:rsidR="00CF4D6D" w:rsidRDefault="00CF4D6D">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4.</w:t>
      </w:r>
    </w:p>
  </w:footnote>
  <w:footnote w:id="189">
    <w:p w14:paraId="7DB3D0FB" w14:textId="77777777" w:rsidR="00CF4D6D" w:rsidRDefault="00CF4D6D" w:rsidP="00C7355B">
      <w:pPr>
        <w:pStyle w:val="FootnoteText"/>
      </w:pPr>
      <w:r>
        <w:rPr>
          <w:rStyle w:val="FootnoteReference"/>
        </w:rPr>
        <w:footnoteRef/>
      </w:r>
      <w:r>
        <w:t xml:space="preserve"> </w:t>
      </w:r>
      <w:r>
        <w:tab/>
        <w:t>Recall that the utilisation rate equals gamma under Officer's perpetuity framework.</w:t>
      </w:r>
    </w:p>
  </w:footnote>
  <w:footnote w:id="190">
    <w:p w14:paraId="76651D0C" w14:textId="77777777" w:rsidR="00CF4D6D" w:rsidRDefault="00CF4D6D">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319.</w:t>
      </w:r>
    </w:p>
  </w:footnote>
  <w:footnote w:id="191">
    <w:p w14:paraId="20185CE8" w14:textId="77777777" w:rsidR="00CF4D6D" w:rsidRDefault="00CF4D6D">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pp. 11–17.</w:t>
      </w:r>
    </w:p>
  </w:footnote>
  <w:footnote w:id="192">
    <w:p w14:paraId="61B0FA62" w14:textId="77777777" w:rsidR="00CF4D6D" w:rsidRDefault="00CF4D6D">
      <w:pPr>
        <w:pStyle w:val="FootnoteText"/>
      </w:pPr>
      <w:r>
        <w:rPr>
          <w:rStyle w:val="FootnoteReference"/>
        </w:rPr>
        <w:footnoteRef/>
      </w:r>
      <w:r>
        <w:t xml:space="preserve"> </w:t>
      </w:r>
      <w:r>
        <w:tab/>
        <w:t xml:space="preserve">SFG, </w:t>
      </w:r>
      <w:r>
        <w:rPr>
          <w:rStyle w:val="AERtextitalic"/>
        </w:rPr>
        <w:t>Estimating gamma for regulatory purposes</w:t>
      </w:r>
      <w:r>
        <w:t>, 6 February 2015, paras. 126–127.</w:t>
      </w:r>
    </w:p>
  </w:footnote>
  <w:footnote w:id="193">
    <w:p w14:paraId="5D827417" w14:textId="77777777" w:rsidR="00CF4D6D" w:rsidRDefault="00CF4D6D">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7.</w:t>
      </w:r>
    </w:p>
  </w:footnote>
  <w:footnote w:id="194">
    <w:p w14:paraId="70AC852C" w14:textId="77777777" w:rsidR="00CF4D6D" w:rsidRDefault="00CF4D6D">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24.</w:t>
      </w:r>
    </w:p>
  </w:footnote>
  <w:footnote w:id="195">
    <w:p w14:paraId="257DDBA0" w14:textId="77777777" w:rsidR="00CF4D6D" w:rsidRDefault="00CF4D6D">
      <w:pPr>
        <w:pStyle w:val="FootnoteText"/>
      </w:pPr>
      <w:r>
        <w:rPr>
          <w:rStyle w:val="FootnoteReference"/>
        </w:rPr>
        <w:footnoteRef/>
      </w:r>
      <w:r>
        <w:t xml:space="preserve"> </w:t>
      </w:r>
      <w:r>
        <w:tab/>
      </w:r>
      <w:r w:rsidRPr="00182E64">
        <w:t xml:space="preserve">G. Peirson, R. Brown, S. Easton and P. Howard, </w:t>
      </w:r>
      <w:r w:rsidRPr="00182E64">
        <w:rPr>
          <w:rStyle w:val="AERtextitalic"/>
        </w:rPr>
        <w:t>Business Finance</w:t>
      </w:r>
      <w:r>
        <w:t>, 10th Edition, 2009</w:t>
      </w:r>
      <w:r w:rsidRPr="00182E64">
        <w:t>, p</w:t>
      </w:r>
      <w:r>
        <w:t>p. 429 and 432</w:t>
      </w:r>
      <w:r w:rsidRPr="00182E64">
        <w:t>.</w:t>
      </w:r>
    </w:p>
  </w:footnote>
  <w:footnote w:id="196">
    <w:p w14:paraId="685F5FAA" w14:textId="77777777" w:rsidR="00CF4D6D" w:rsidRDefault="00CF4D6D">
      <w:pPr>
        <w:pStyle w:val="FootnoteText"/>
      </w:pPr>
      <w:r>
        <w:rPr>
          <w:rStyle w:val="FootnoteReference"/>
        </w:rPr>
        <w:footnoteRef/>
      </w:r>
      <w:r>
        <w:t xml:space="preserve"> </w:t>
      </w:r>
      <w:r>
        <w:tab/>
        <w:t xml:space="preserve">J. Berk, P. DeMarzo, J. Harford, G. Ford, V. Mollica and N. Finch, </w:t>
      </w:r>
      <w:r w:rsidRPr="00B27E42">
        <w:rPr>
          <w:rStyle w:val="AERtextitalic"/>
        </w:rPr>
        <w:t>Fundamentals of Corporate Finance</w:t>
      </w:r>
      <w:r>
        <w:t>, 2nd Edition, 2014, p. 535.</w:t>
      </w:r>
    </w:p>
  </w:footnote>
  <w:footnote w:id="197">
    <w:p w14:paraId="2DE5F518" w14:textId="77777777" w:rsidR="00CF4D6D" w:rsidRDefault="00CF4D6D">
      <w:pPr>
        <w:pStyle w:val="FootnoteText"/>
      </w:pPr>
      <w:r>
        <w:rPr>
          <w:rStyle w:val="FootnoteReference"/>
        </w:rPr>
        <w:footnoteRef/>
      </w:r>
      <w:r>
        <w:t xml:space="preserve"> </w:t>
      </w:r>
      <w:r>
        <w:tab/>
        <w:t>L. Gitman, R. Juchau and J. Flanagan, Principles of Managerial Finance, 6th Edition, 2011, pp. 543 and 546.</w:t>
      </w:r>
    </w:p>
  </w:footnote>
  <w:footnote w:id="198">
    <w:p w14:paraId="69F8689E" w14:textId="77777777" w:rsidR="00CF4D6D" w:rsidRDefault="00CF4D6D" w:rsidP="00800C8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24.</w:t>
      </w:r>
    </w:p>
  </w:footnote>
  <w:footnote w:id="199">
    <w:p w14:paraId="79D25980" w14:textId="77777777" w:rsidR="00CF4D6D" w:rsidRDefault="00CF4D6D">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 9.</w:t>
      </w:r>
    </w:p>
  </w:footnote>
  <w:footnote w:id="200">
    <w:p w14:paraId="15C0771E" w14:textId="77777777" w:rsidR="00CF4D6D" w:rsidRDefault="00CF4D6D">
      <w:pPr>
        <w:pStyle w:val="FootnoteText"/>
      </w:pPr>
      <w:r>
        <w:rPr>
          <w:rStyle w:val="FootnoteReference"/>
        </w:rPr>
        <w:footnoteRef/>
      </w:r>
      <w:r>
        <w:t xml:space="preserve"> </w:t>
      </w:r>
      <w:r>
        <w:tab/>
        <w:t xml:space="preserve">R. Brealey, S. Myers, G. Partington and D. Robinson, </w:t>
      </w:r>
      <w:r w:rsidRPr="0078255A">
        <w:rPr>
          <w:rStyle w:val="AERtextitalic"/>
        </w:rPr>
        <w:t>Principles of corporate finance</w:t>
      </w:r>
      <w:r>
        <w:t>, 1st Edition, 2000, p. 523, footnote 8.</w:t>
      </w:r>
    </w:p>
  </w:footnote>
  <w:footnote w:id="201">
    <w:p w14:paraId="13A677DE" w14:textId="77777777" w:rsidR="00CF4D6D" w:rsidRDefault="00CF4D6D" w:rsidP="00CD6F28">
      <w:pPr>
        <w:pStyle w:val="FootnoteText"/>
      </w:pPr>
      <w:r>
        <w:rPr>
          <w:rStyle w:val="FootnoteReference"/>
        </w:rPr>
        <w:footnoteRef/>
      </w:r>
      <w:r>
        <w:t xml:space="preserve"> </w:t>
      </w:r>
      <w:r>
        <w:tab/>
        <w:t xml:space="preserve">R. Brealey, S. Myers, G. Partington and D. Robinson, </w:t>
      </w:r>
      <w:r w:rsidRPr="0078255A">
        <w:rPr>
          <w:rStyle w:val="AERtextitalic"/>
        </w:rPr>
        <w:t>Principles of corporate finance</w:t>
      </w:r>
      <w:r>
        <w:t>, 1st Edition, 2000, p. 526.</w:t>
      </w:r>
    </w:p>
  </w:footnote>
  <w:footnote w:id="202">
    <w:p w14:paraId="74513B70" w14:textId="77777777" w:rsidR="00CF4D6D" w:rsidRDefault="00CF4D6D" w:rsidP="00800C8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25.</w:t>
      </w:r>
    </w:p>
  </w:footnote>
  <w:footnote w:id="203">
    <w:p w14:paraId="6B6235F0" w14:textId="77777777" w:rsidR="00CF4D6D" w:rsidRDefault="00CF4D6D">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25.</w:t>
      </w:r>
    </w:p>
  </w:footnote>
  <w:footnote w:id="204">
    <w:p w14:paraId="31BC3AF0" w14:textId="77777777" w:rsidR="00CF4D6D" w:rsidRDefault="00CF4D6D">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6.</w:t>
      </w:r>
    </w:p>
  </w:footnote>
  <w:footnote w:id="205">
    <w:p w14:paraId="1D2DE1AE" w14:textId="77777777" w:rsidR="00CF4D6D" w:rsidRDefault="00CF4D6D">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w:t>
      </w:r>
    </w:p>
  </w:footnote>
  <w:footnote w:id="206">
    <w:p w14:paraId="52A180DB" w14:textId="59C30F52" w:rsidR="00CF4D6D" w:rsidRDefault="00CF4D6D">
      <w:pPr>
        <w:pStyle w:val="FootnoteText"/>
      </w:pPr>
      <w:r>
        <w:rPr>
          <w:rStyle w:val="FootnoteReference"/>
        </w:rPr>
        <w:footnoteRef/>
      </w:r>
      <w:r>
        <w:t xml:space="preserve"> </w:t>
      </w:r>
      <w:r>
        <w:tab/>
        <w:t xml:space="preserve">Access Arrangement Information for Australian Gas Networks' South Australian Natural Gas Distribution Network, p11, July 2015; Frontier Economics, </w:t>
      </w:r>
      <w:r w:rsidRPr="00D14DE4">
        <w:rPr>
          <w:rStyle w:val="AERtextitalic"/>
        </w:rPr>
        <w:t>An appropriate regulatory estimate of gamma</w:t>
      </w:r>
      <w:r>
        <w:t>, June 2015, pp</w:t>
      </w:r>
      <w:r w:rsidR="00A35AE7">
        <w:t>.</w:t>
      </w:r>
      <w:r>
        <w:t xml:space="preserve"> 45-48.</w:t>
      </w:r>
    </w:p>
  </w:footnote>
  <w:footnote w:id="207">
    <w:p w14:paraId="40622068" w14:textId="5E7E2FF5" w:rsidR="00CF4D6D" w:rsidRDefault="00CF4D6D">
      <w:pPr>
        <w:pStyle w:val="FootnoteText"/>
      </w:pPr>
      <w:r>
        <w:rPr>
          <w:rStyle w:val="FootnoteReference"/>
        </w:rPr>
        <w:footnoteRef/>
      </w:r>
      <w:r>
        <w:t xml:space="preserve"> </w:t>
      </w:r>
      <w:r>
        <w:tab/>
        <w:t xml:space="preserve">A. Ainsworth, G. Partington and G. Warren, </w:t>
      </w:r>
      <w:r w:rsidRPr="00814197">
        <w:rPr>
          <w:rStyle w:val="AERtextitalic"/>
        </w:rPr>
        <w:t xml:space="preserve">Do franking credits matter? </w:t>
      </w:r>
      <w:proofErr w:type="gramStart"/>
      <w:r w:rsidRPr="00814197">
        <w:rPr>
          <w:rStyle w:val="AERtextitalic"/>
        </w:rPr>
        <w:t>Exploring the financial implications of dividend imputation</w:t>
      </w:r>
      <w:r>
        <w:t>, May 2015, p</w:t>
      </w:r>
      <w:r w:rsidR="00A35AE7">
        <w:t xml:space="preserve">. </w:t>
      </w:r>
      <w:r>
        <w:t>3.</w:t>
      </w:r>
      <w:proofErr w:type="gramEnd"/>
    </w:p>
  </w:footnote>
  <w:footnote w:id="208">
    <w:p w14:paraId="77655950" w14:textId="2A02AD10" w:rsidR="00CF4D6D" w:rsidRDefault="00CF4D6D">
      <w:pPr>
        <w:pStyle w:val="FootnoteText"/>
      </w:pPr>
      <w:r>
        <w:rPr>
          <w:rStyle w:val="FootnoteReference"/>
        </w:rPr>
        <w:footnoteRef/>
      </w:r>
      <w:r>
        <w:t xml:space="preserve"> </w:t>
      </w:r>
      <w:r>
        <w:tab/>
        <w:t xml:space="preserve">A. Ainsworth, G. Partington and G. Warren, </w:t>
      </w:r>
      <w:r w:rsidRPr="00814197">
        <w:rPr>
          <w:rStyle w:val="AERtextitalic"/>
        </w:rPr>
        <w:t xml:space="preserve">Do franking credits matter? </w:t>
      </w:r>
      <w:proofErr w:type="gramStart"/>
      <w:r w:rsidRPr="00814197">
        <w:rPr>
          <w:rStyle w:val="AERtextitalic"/>
        </w:rPr>
        <w:t>Exploring the financial implications of dividend imputation</w:t>
      </w:r>
      <w:r>
        <w:t>, May 2015, p</w:t>
      </w:r>
      <w:r w:rsidR="00A35AE7">
        <w:t xml:space="preserve">. </w:t>
      </w:r>
      <w:r>
        <w:t>14.</w:t>
      </w:r>
      <w:proofErr w:type="gramEnd"/>
    </w:p>
  </w:footnote>
  <w:footnote w:id="209">
    <w:p w14:paraId="33CF4CC3" w14:textId="238EB9E3" w:rsidR="00CF4D6D" w:rsidRDefault="00CF4D6D">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46.</w:t>
      </w:r>
    </w:p>
  </w:footnote>
  <w:footnote w:id="210">
    <w:p w14:paraId="78E86F5B" w14:textId="43B5F73C" w:rsidR="00CF4D6D" w:rsidRDefault="00CF4D6D">
      <w:pPr>
        <w:pStyle w:val="FootnoteText"/>
      </w:pPr>
      <w:r>
        <w:rPr>
          <w:rStyle w:val="FootnoteReference"/>
        </w:rPr>
        <w:footnoteRef/>
      </w:r>
      <w:r>
        <w:t xml:space="preserve"> </w:t>
      </w:r>
      <w:r>
        <w:tab/>
        <w:t xml:space="preserve">A. Ainsworth, G. Partington and G. Warren, </w:t>
      </w:r>
      <w:r w:rsidRPr="00814197">
        <w:rPr>
          <w:rStyle w:val="AERtextitalic"/>
        </w:rPr>
        <w:t xml:space="preserve">Do franking credits matter? </w:t>
      </w:r>
      <w:proofErr w:type="gramStart"/>
      <w:r w:rsidRPr="00814197">
        <w:rPr>
          <w:rStyle w:val="AERtextitalic"/>
        </w:rPr>
        <w:t>Exploring the financial implications of dividend imputation</w:t>
      </w:r>
      <w:r>
        <w:t>, May 2015, p</w:t>
      </w:r>
      <w:r w:rsidR="00A35AE7">
        <w:t xml:space="preserve">. </w:t>
      </w:r>
      <w:r>
        <w:t>17.</w:t>
      </w:r>
      <w:proofErr w:type="gramEnd"/>
    </w:p>
  </w:footnote>
  <w:footnote w:id="211">
    <w:p w14:paraId="43A6CCB6" w14:textId="36DA8A05" w:rsidR="00CF4D6D" w:rsidRDefault="00CF4D6D">
      <w:pPr>
        <w:pStyle w:val="FootnoteText"/>
      </w:pPr>
      <w:r>
        <w:rPr>
          <w:rStyle w:val="FootnoteReference"/>
        </w:rPr>
        <w:footnoteRef/>
      </w:r>
      <w:r>
        <w:t xml:space="preserve"> </w:t>
      </w:r>
      <w:r>
        <w:tab/>
        <w:t xml:space="preserve">A. Ainsworth, G. Partington and G. Warren, </w:t>
      </w:r>
      <w:r w:rsidRPr="00814197">
        <w:rPr>
          <w:rStyle w:val="AERtextitalic"/>
        </w:rPr>
        <w:t xml:space="preserve">Do franking credits matter? </w:t>
      </w:r>
      <w:proofErr w:type="gramStart"/>
      <w:r w:rsidRPr="00814197">
        <w:rPr>
          <w:rStyle w:val="AERtextitalic"/>
        </w:rPr>
        <w:t>Exploring the financial implications of dividend imputation</w:t>
      </w:r>
      <w:r>
        <w:t>, May 2015, p</w:t>
      </w:r>
      <w:r w:rsidR="00A35AE7">
        <w:t xml:space="preserve">. </w:t>
      </w:r>
      <w:r>
        <w:t>17.</w:t>
      </w:r>
      <w:proofErr w:type="gramEnd"/>
    </w:p>
  </w:footnote>
  <w:footnote w:id="212">
    <w:p w14:paraId="0437978C" w14:textId="77777777" w:rsidR="00CF4D6D" w:rsidRDefault="00CF4D6D">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appendix 6; SFG, </w:t>
      </w:r>
      <w:r>
        <w:rPr>
          <w:rStyle w:val="AERtextitalic"/>
        </w:rPr>
        <w:t>Estimating gamma for regulatory purposes</w:t>
      </w:r>
      <w:r>
        <w:t>, 6 February 2015, section 4.</w:t>
      </w:r>
    </w:p>
  </w:footnote>
  <w:footnote w:id="213">
    <w:p w14:paraId="2B4D0686" w14:textId="78EDB7C2" w:rsidR="00CF4D6D" w:rsidRDefault="00CF4D6D">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pp</w:t>
      </w:r>
      <w:r w:rsidR="00A35AE7">
        <w:t xml:space="preserve">. </w:t>
      </w:r>
      <w:r>
        <w:t>17-18.</w:t>
      </w:r>
      <w:proofErr w:type="gramEnd"/>
    </w:p>
  </w:footnote>
  <w:footnote w:id="214">
    <w:p w14:paraId="63BD8656" w14:textId="77777777" w:rsidR="00CF4D6D" w:rsidRDefault="00CF4D6D">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22–23, 30–31 and 35; J. Handley, </w:t>
      </w:r>
      <w:r w:rsidRPr="00626887">
        <w:rPr>
          <w:rStyle w:val="AERtextitalic"/>
        </w:rPr>
        <w:t>Report prepared for the Australian Energy Regulator: Further advice on the value of imputation credits</w:t>
      </w:r>
      <w:r>
        <w:t>, 16 April 2015, pp. 3–11.</w:t>
      </w:r>
    </w:p>
  </w:footnote>
  <w:footnote w:id="215">
    <w:p w14:paraId="78D77F15" w14:textId="77777777" w:rsidR="00CF4D6D" w:rsidRDefault="00CF4D6D">
      <w:pPr>
        <w:pStyle w:val="FootnoteText"/>
      </w:pPr>
      <w:r>
        <w:rPr>
          <w:rStyle w:val="FootnoteReference"/>
        </w:rPr>
        <w:footnoteRef/>
      </w:r>
      <w:r>
        <w:t xml:space="preserve"> </w:t>
      </w:r>
      <w:r>
        <w:tab/>
        <w:t xml:space="preserve">SFG, </w:t>
      </w:r>
      <w:r>
        <w:rPr>
          <w:rStyle w:val="AERtextitalic"/>
        </w:rPr>
        <w:t>Estimating gamma for regulatory purposes</w:t>
      </w:r>
      <w:r>
        <w:t>, 6 February 2015, para. 89.</w:t>
      </w:r>
    </w:p>
  </w:footnote>
  <w:footnote w:id="216">
    <w:p w14:paraId="7E3353C4" w14:textId="77777777" w:rsidR="00CF4D6D" w:rsidRDefault="00CF4D6D">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pp. 10–11.</w:t>
      </w:r>
    </w:p>
  </w:footnote>
  <w:footnote w:id="217">
    <w:p w14:paraId="1221923F" w14:textId="77777777" w:rsidR="00CF4D6D" w:rsidRDefault="00CF4D6D">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appendix 6; SFG, </w:t>
      </w:r>
      <w:r>
        <w:rPr>
          <w:rStyle w:val="AERtextitalic"/>
        </w:rPr>
        <w:t>Estimating gamma for regulatory purposes</w:t>
      </w:r>
      <w:r>
        <w:t>, 6 February 2015, paras. 103–105.</w:t>
      </w:r>
    </w:p>
  </w:footnote>
  <w:footnote w:id="218">
    <w:p w14:paraId="2CF44119" w14:textId="77777777" w:rsidR="00CF4D6D" w:rsidRDefault="00CF4D6D">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footnote 14.</w:t>
      </w:r>
    </w:p>
  </w:footnote>
  <w:footnote w:id="219">
    <w:p w14:paraId="31721720" w14:textId="77777777" w:rsidR="00CF4D6D" w:rsidRDefault="00CF4D6D">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22–23, 30–31 and 35; J. Handley, </w:t>
      </w:r>
      <w:r w:rsidRPr="00626887">
        <w:rPr>
          <w:rStyle w:val="AERtextitalic"/>
        </w:rPr>
        <w:t>Report prepared for the Australian Energy Regulator: Further advice on the value of imputation credits</w:t>
      </w:r>
      <w:r>
        <w:t>, 16 April 2015, pp. 3–11.</w:t>
      </w:r>
    </w:p>
  </w:footnote>
  <w:footnote w:id="220">
    <w:p w14:paraId="00EE0590" w14:textId="77777777" w:rsidR="00CF4D6D" w:rsidRDefault="00CF4D6D" w:rsidP="00600543">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w:t>
      </w:r>
    </w:p>
  </w:footnote>
  <w:footnote w:id="221">
    <w:p w14:paraId="46581E1C" w14:textId="77777777" w:rsidR="00CF4D6D" w:rsidRDefault="00CF4D6D" w:rsidP="00600543">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46.</w:t>
      </w:r>
    </w:p>
  </w:footnote>
  <w:footnote w:id="222">
    <w:p w14:paraId="3D87E5E0" w14:textId="0BAA0E3D" w:rsidR="00CF4D6D" w:rsidRDefault="00CF4D6D">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 485; Ausgrid, </w:t>
      </w:r>
      <w:r w:rsidRPr="00D75F7A">
        <w:rPr>
          <w:rStyle w:val="AERtextitalic"/>
        </w:rPr>
        <w:t>Ausgrid's revised proposal on gamma</w:t>
      </w:r>
      <w:r>
        <w:t xml:space="preserve">, January 2015, p. 1; Directlink, </w:t>
      </w:r>
      <w:r w:rsidRPr="0000771B">
        <w:rPr>
          <w:rStyle w:val="AERtextitalic"/>
        </w:rPr>
        <w:t>Directlink submission on gamma (updated)</w:t>
      </w:r>
      <w:r>
        <w:t>, January 2015, p. 1</w:t>
      </w:r>
      <w:r>
        <w:softHyphen/>
        <w:t xml:space="preserve">;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JGN, </w:t>
      </w:r>
      <w:r w:rsidRPr="000E181F">
        <w:rPr>
          <w:rStyle w:val="AERtextitalic"/>
        </w:rPr>
        <w:t>Gamma - response to the draft decision</w:t>
      </w:r>
      <w:r>
        <w:t xml:space="preserve">, February 2015, p. 1; AusNet Services, </w:t>
      </w:r>
      <w:r w:rsidRPr="00A35AE7">
        <w:rPr>
          <w:rStyle w:val="AERtextitalic"/>
        </w:rPr>
        <w:t>2016-20 Regulatory Proposal</w:t>
      </w:r>
      <w:r>
        <w:t>, April 2015, p</w:t>
      </w:r>
      <w:r w:rsidR="00A35AE7">
        <w:t xml:space="preserve">. </w:t>
      </w:r>
      <w:r>
        <w:t xml:space="preserve">354. ; United Energy, </w:t>
      </w:r>
      <w:r w:rsidRPr="00A35AE7">
        <w:rPr>
          <w:rStyle w:val="AERtextitalic"/>
        </w:rPr>
        <w:t>Assessment of the Value of Imputation Credits - Gamma, Proposal for 2016 to 2020</w:t>
      </w:r>
      <w:r>
        <w:t>, April 2015, p</w:t>
      </w:r>
      <w:r w:rsidR="00A35AE7">
        <w:t xml:space="preserve">. </w:t>
      </w:r>
      <w:r>
        <w:t>9; CitiPower</w:t>
      </w:r>
      <w:r w:rsidR="00A35AE7">
        <w:t>,</w:t>
      </w:r>
      <w:r>
        <w:t xml:space="preserve"> </w:t>
      </w:r>
      <w:r w:rsidRPr="00A35AE7">
        <w:rPr>
          <w:rStyle w:val="AERtextitalic"/>
        </w:rPr>
        <w:t>Appendix J - Gamma</w:t>
      </w:r>
      <w:r>
        <w:t>, April 2015, p</w:t>
      </w:r>
      <w:r w:rsidR="00A35AE7">
        <w:t xml:space="preserve">. </w:t>
      </w:r>
      <w:r>
        <w:t xml:space="preserve">241; Powercor, </w:t>
      </w:r>
      <w:r w:rsidRPr="00A35AE7">
        <w:rPr>
          <w:rStyle w:val="AERtextitalic"/>
        </w:rPr>
        <w:t>Regulatory Proposal 2016-20</w:t>
      </w:r>
      <w:r>
        <w:t>, April 2015, p</w:t>
      </w:r>
      <w:r w:rsidR="00A35AE7">
        <w:t xml:space="preserve">. </w:t>
      </w:r>
      <w:r>
        <w:t xml:space="preserve">249; Jemena Electricity, </w:t>
      </w:r>
      <w:r w:rsidRPr="00A35AE7">
        <w:rPr>
          <w:rStyle w:val="AERtextitalic"/>
        </w:rPr>
        <w:t>Attachment 06-06 Gamma proposal</w:t>
      </w:r>
      <w:r>
        <w:t xml:space="preserve">, April 2015, p. 2; Energex, </w:t>
      </w:r>
      <w:r w:rsidRPr="00A35AE7">
        <w:rPr>
          <w:rStyle w:val="AERtextitalic"/>
        </w:rPr>
        <w:t>Revised Regulatory Proposal</w:t>
      </w:r>
      <w:r>
        <w:t>, July 2015, p</w:t>
      </w:r>
      <w:r w:rsidR="00A35AE7">
        <w:t xml:space="preserve">. </w:t>
      </w:r>
      <w:r>
        <w:t xml:space="preserve">13; Ergon Energy, </w:t>
      </w:r>
      <w:r w:rsidRPr="00A35AE7">
        <w:rPr>
          <w:rStyle w:val="AERtextitalic"/>
        </w:rPr>
        <w:t>Submission on draft decision NSW &amp; ACT DNSPs &amp; Ors</w:t>
      </w:r>
      <w:r>
        <w:t xml:space="preserve">, February 2015, p. 8. ActewAGL Distribution, </w:t>
      </w:r>
      <w:r w:rsidRPr="00A35AE7">
        <w:rPr>
          <w:rStyle w:val="AERtextitalic"/>
        </w:rPr>
        <w:t>Attachment 8 Detailed gamma proposal</w:t>
      </w:r>
      <w:r>
        <w:t>, June 2015, p</w:t>
      </w:r>
      <w:r w:rsidR="00A35AE7">
        <w:t>.  7.</w:t>
      </w:r>
    </w:p>
  </w:footnote>
  <w:footnote w:id="223">
    <w:p w14:paraId="218A8F2E" w14:textId="7F06C975" w:rsidR="00CF4D6D" w:rsidRDefault="00CF4D6D">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2; Ausgrid, </w:t>
      </w:r>
      <w:r w:rsidRPr="00D75F7A">
        <w:rPr>
          <w:rStyle w:val="AERtextitalic"/>
        </w:rPr>
        <w:t>Ausgrid's revised proposal on gamma</w:t>
      </w:r>
      <w:r>
        <w:t xml:space="preserve">, January 2015, p. 4; Directlink, </w:t>
      </w:r>
      <w:r w:rsidRPr="0000771B">
        <w:rPr>
          <w:rStyle w:val="AERtextitalic"/>
        </w:rPr>
        <w:t>Directlink submission on gamma (updated)</w:t>
      </w:r>
      <w:r>
        <w:t xml:space="preserve">, January 2015, p. 5; Endeavour Energy, </w:t>
      </w:r>
      <w:r w:rsidRPr="00DF3162">
        <w:rPr>
          <w:rStyle w:val="AERtextitalic"/>
        </w:rPr>
        <w:t>Endeavour Energy's response to the AER draft decision re gamma</w:t>
      </w:r>
      <w:r>
        <w:t xml:space="preserve">, January 2015, p. 4; Essential Energy, </w:t>
      </w:r>
      <w:r w:rsidRPr="000E181F">
        <w:rPr>
          <w:rStyle w:val="AERtextitalic"/>
        </w:rPr>
        <w:t>Essential's response to AER draft decision re gamma</w:t>
      </w:r>
      <w:r>
        <w:t xml:space="preserve">, January 2015, p. 4;  JGN, </w:t>
      </w:r>
      <w:r w:rsidRPr="000E181F">
        <w:rPr>
          <w:rStyle w:val="AERtextitalic"/>
        </w:rPr>
        <w:t>Gamma - response to the draft decision</w:t>
      </w:r>
      <w:r>
        <w:t xml:space="preserve">, February 2015, p. 6; AusNet Services, </w:t>
      </w:r>
      <w:r w:rsidRPr="00E12486">
        <w:rPr>
          <w:rStyle w:val="AERtextitalic"/>
        </w:rPr>
        <w:t>2016-20 Regulatory Proposal</w:t>
      </w:r>
      <w:r>
        <w:t xml:space="preserve">, April 2015, p. 360; United Energy, </w:t>
      </w:r>
      <w:r w:rsidRPr="00E12486">
        <w:rPr>
          <w:rStyle w:val="AERtextitalic"/>
        </w:rPr>
        <w:t>Assessment of the Value of Imputation Credits - Gamma, Proposal for 2016 to 2020</w:t>
      </w:r>
      <w:r>
        <w:t>, April 2015, p</w:t>
      </w:r>
      <w:r w:rsidR="00E12486">
        <w:t xml:space="preserve">. </w:t>
      </w:r>
      <w:r>
        <w:t>9; CitiPower</w:t>
      </w:r>
      <w:r w:rsidR="00E12486">
        <w:t>,</w:t>
      </w:r>
      <w:r>
        <w:t xml:space="preserve"> </w:t>
      </w:r>
      <w:r w:rsidRPr="00E12486">
        <w:rPr>
          <w:rStyle w:val="AERtextitalic"/>
        </w:rPr>
        <w:t>Appendix J - Gamma</w:t>
      </w:r>
      <w:r>
        <w:t>, April 2015, p</w:t>
      </w:r>
      <w:r w:rsidR="00E12486">
        <w:t xml:space="preserve">. </w:t>
      </w:r>
      <w:r>
        <w:t xml:space="preserve">9; Powercor, </w:t>
      </w:r>
      <w:r w:rsidRPr="00E12486">
        <w:rPr>
          <w:rStyle w:val="AERtextitalic"/>
        </w:rPr>
        <w:t>Appendix J - Gamma</w:t>
      </w:r>
      <w:r>
        <w:t>, April 2015, p</w:t>
      </w:r>
      <w:r w:rsidR="00E12486">
        <w:t xml:space="preserve">. </w:t>
      </w:r>
      <w:r>
        <w:t xml:space="preserve">9; Jemena Electricity, </w:t>
      </w:r>
      <w:r w:rsidRPr="00E12486">
        <w:rPr>
          <w:rStyle w:val="AERtextitalic"/>
        </w:rPr>
        <w:t>Attachment 06-06 Gamma proposal</w:t>
      </w:r>
      <w:r>
        <w:t xml:space="preserve">, April 2015, p. 9 ; Energex, </w:t>
      </w:r>
      <w:r w:rsidRPr="00E12486">
        <w:rPr>
          <w:rStyle w:val="AERtextitalic"/>
        </w:rPr>
        <w:t>Submission on Energex's regulatory proposal 2015-20 and AER issues paper - attachment 2</w:t>
      </w:r>
      <w:r>
        <w:t>, January 2015, p</w:t>
      </w:r>
      <w:r w:rsidR="00E12486">
        <w:t xml:space="preserve">. </w:t>
      </w:r>
      <w:r>
        <w:t xml:space="preserve">6; ActewAGL Distribution, </w:t>
      </w:r>
      <w:r w:rsidRPr="00E12486">
        <w:rPr>
          <w:rStyle w:val="AERtextitalic"/>
        </w:rPr>
        <w:t>Attachment 8 Detailed gamma proposal</w:t>
      </w:r>
      <w:r>
        <w:t xml:space="preserve">, June 2015, p. 7.  </w:t>
      </w:r>
    </w:p>
  </w:footnote>
  <w:footnote w:id="224">
    <w:p w14:paraId="5BA39227" w14:textId="77777777" w:rsidR="00CF4D6D" w:rsidRDefault="00CF4D6D">
      <w:pPr>
        <w:pStyle w:val="FootnoteText"/>
      </w:pPr>
      <w:r>
        <w:rPr>
          <w:rStyle w:val="FootnoteReference"/>
        </w:rPr>
        <w:footnoteRef/>
      </w:r>
      <w:r>
        <w:t xml:space="preserve"> </w:t>
      </w:r>
      <w:r>
        <w:tab/>
        <w:t xml:space="preserve">See section A.5 of the draft decisions and: </w:t>
      </w:r>
      <w:r w:rsidRPr="007646B1">
        <w:t xml:space="preserve">AER, </w:t>
      </w:r>
      <w:r w:rsidRPr="007646B1">
        <w:rPr>
          <w:rStyle w:val="AERtextitalic"/>
        </w:rPr>
        <w:t xml:space="preserve">Better regulation: Explanatory </w:t>
      </w:r>
      <w:r>
        <w:rPr>
          <w:rStyle w:val="AERtextitalic"/>
        </w:rPr>
        <w:t>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 Appendices,</w:t>
      </w:r>
      <w:r w:rsidRPr="007646B1">
        <w:t xml:space="preserve"> December 2013</w:t>
      </w:r>
      <w:r>
        <w:t>, p.138.</w:t>
      </w:r>
    </w:p>
  </w:footnote>
  <w:footnote w:id="225">
    <w:p w14:paraId="7ACD1DA1" w14:textId="426B78F4" w:rsidR="00CF4D6D" w:rsidRDefault="00CF4D6D">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pp</w:t>
      </w:r>
      <w:r w:rsidR="00E12486">
        <w:t xml:space="preserve">. </w:t>
      </w:r>
      <w:r>
        <w:t>3-4.</w:t>
      </w:r>
    </w:p>
  </w:footnote>
  <w:footnote w:id="226">
    <w:p w14:paraId="590C5BFD" w14:textId="300BEE40" w:rsidR="00CF4D6D" w:rsidRDefault="00CF4D6D">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w:t>
      </w:r>
      <w:r w:rsidR="00E12486">
        <w:t xml:space="preserve">. </w:t>
      </w:r>
      <w:r>
        <w:t>23.</w:t>
      </w:r>
    </w:p>
  </w:footnote>
  <w:footnote w:id="227">
    <w:p w14:paraId="53ABBE8C" w14:textId="54BFDD46" w:rsidR="00CF4D6D" w:rsidRDefault="00CF4D6D">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w:t>
      </w:r>
      <w:r w:rsidR="00E12486">
        <w:t xml:space="preserve">. </w:t>
      </w:r>
      <w:r>
        <w:t>7.</w:t>
      </w:r>
    </w:p>
  </w:footnote>
  <w:footnote w:id="228">
    <w:p w14:paraId="2D2AD615" w14:textId="77777777" w:rsidR="00CF4D6D" w:rsidRDefault="00CF4D6D">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January 2015, pp. 8</w:t>
      </w:r>
      <w:r>
        <w:softHyphen/>
        <w:t xml:space="preserve">–9;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and JGN, </w:t>
      </w:r>
      <w:r w:rsidRPr="000E181F">
        <w:rPr>
          <w:rStyle w:val="AERtextitalic"/>
        </w:rPr>
        <w:t>Gamma - response to the draft decision</w:t>
      </w:r>
      <w:r>
        <w:t>, February 2015, pp. 8–9.</w:t>
      </w:r>
    </w:p>
  </w:footnote>
  <w:footnote w:id="229">
    <w:p w14:paraId="5F63BD64" w14:textId="77777777" w:rsidR="00CF4D6D" w:rsidRDefault="00CF4D6D" w:rsidP="00D52BA6">
      <w:pPr>
        <w:pStyle w:val="FootnoteText"/>
      </w:pPr>
      <w:r>
        <w:rPr>
          <w:rStyle w:val="FootnoteReference"/>
        </w:rPr>
        <w:footnoteRef/>
      </w:r>
      <w:r>
        <w:t xml:space="preserve"> </w:t>
      </w:r>
      <w:r>
        <w:tab/>
        <w:t xml:space="preserve">See: </w:t>
      </w:r>
      <w:r w:rsidRPr="00611553">
        <w:t>https://www.ato.gov.au/Individuals/Investing/In-detail/Investing-in-shares/You-and-your-shares-2013-14/?page=11</w:t>
      </w:r>
      <w:r>
        <w:t>. Accessed 9 April 2015.</w:t>
      </w:r>
    </w:p>
  </w:footnote>
  <w:footnote w:id="230">
    <w:p w14:paraId="10659666" w14:textId="77777777" w:rsidR="00CF4D6D" w:rsidRDefault="00CF4D6D" w:rsidP="00D52BA6">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14; </w:t>
      </w:r>
      <w:r w:rsidRPr="00A62FE1">
        <w:t>Directlink</w:t>
      </w:r>
      <w:r>
        <w:t>,</w:t>
      </w:r>
      <w:r w:rsidRPr="00A62FE1">
        <w:t xml:space="preserve"> </w:t>
      </w:r>
      <w:r w:rsidRPr="00B53917">
        <w:rPr>
          <w:rStyle w:val="AERtextitalic"/>
        </w:rPr>
        <w:t>Directlink submission on gamma</w:t>
      </w:r>
      <w:r>
        <w:t xml:space="preserve">, May 2014, p. 15; </w:t>
      </w:r>
      <w:r w:rsidRPr="00A62FE1">
        <w:t>Endeavour Ene</w:t>
      </w:r>
      <w:r>
        <w:t xml:space="preserve">rgy, </w:t>
      </w:r>
      <w:r w:rsidRPr="00B53917">
        <w:rPr>
          <w:rStyle w:val="AERtextitalic"/>
        </w:rPr>
        <w:t>Endeavour Energy's gamma proposal</w:t>
      </w:r>
      <w:r>
        <w:t xml:space="preserve">, May 2014, p. 14. Essential Energy, </w:t>
      </w:r>
      <w:r w:rsidRPr="00B53917">
        <w:rPr>
          <w:rStyle w:val="AERtextitalic"/>
        </w:rPr>
        <w:t>Essential Energy's gamma proposal</w:t>
      </w:r>
      <w:r>
        <w:t xml:space="preserve">, May 2014, p. 14; JGN, </w:t>
      </w:r>
      <w:r w:rsidRPr="00B53917">
        <w:rPr>
          <w:rStyle w:val="AERtextitalic"/>
        </w:rPr>
        <w:t>Gamma proposal</w:t>
      </w:r>
      <w:r>
        <w:t xml:space="preserve">, June 2014, p. 17; and TransGrid, </w:t>
      </w:r>
      <w:r>
        <w:rPr>
          <w:rStyle w:val="AERtextitalic"/>
        </w:rPr>
        <w:t>TransGrid</w:t>
      </w:r>
      <w:r w:rsidRPr="00B53917">
        <w:rPr>
          <w:rStyle w:val="AERtextitalic"/>
        </w:rPr>
        <w:t>'s approach to gamma</w:t>
      </w:r>
      <w:r>
        <w:t>, May 2014, p. 19.</w:t>
      </w:r>
    </w:p>
  </w:footnote>
  <w:footnote w:id="231">
    <w:p w14:paraId="24477E34" w14:textId="77777777" w:rsidR="00CF4D6D" w:rsidRDefault="00CF4D6D" w:rsidP="00D52BA6">
      <w:pPr>
        <w:pStyle w:val="FootnoteText"/>
      </w:pPr>
      <w:r>
        <w:rPr>
          <w:rStyle w:val="FootnoteReference"/>
        </w:rPr>
        <w:footnoteRef/>
      </w:r>
      <w:r>
        <w:t xml:space="preserve"> </w:t>
      </w:r>
      <w:r>
        <w:tab/>
      </w:r>
      <w:r w:rsidRPr="00EF3D8A">
        <w:t xml:space="preserve">J. Handley, </w:t>
      </w:r>
      <w:r w:rsidRPr="00EF3D8A">
        <w:rPr>
          <w:rStyle w:val="AERtextitalic"/>
        </w:rPr>
        <w:t>Further issues relating to the estimation of gamma</w:t>
      </w:r>
      <w:r>
        <w:t>, October 2010, footnote 59.</w:t>
      </w:r>
    </w:p>
  </w:footnote>
  <w:footnote w:id="232">
    <w:p w14:paraId="65C15EBD" w14:textId="77777777" w:rsidR="00CF4D6D" w:rsidRDefault="00CF4D6D" w:rsidP="00D52BA6">
      <w:pPr>
        <w:pStyle w:val="FootnoteText"/>
      </w:pPr>
      <w:r>
        <w:rPr>
          <w:rStyle w:val="FootnoteReference"/>
        </w:rPr>
        <w:footnoteRef/>
      </w:r>
      <w:r>
        <w:t xml:space="preserve"> </w:t>
      </w:r>
      <w:r>
        <w:tab/>
      </w:r>
      <w:r w:rsidRPr="00EF3D8A">
        <w:t xml:space="preserve">J. Handley, </w:t>
      </w:r>
      <w:r w:rsidRPr="00EF3D8A">
        <w:rPr>
          <w:rStyle w:val="AERtextitalic"/>
        </w:rPr>
        <w:t>Further issues relating to the estimation of gamma</w:t>
      </w:r>
      <w:r>
        <w:t>, October 2010, footnote 59.</w:t>
      </w:r>
    </w:p>
  </w:footnote>
  <w:footnote w:id="233">
    <w:p w14:paraId="465C6E4C" w14:textId="77777777" w:rsidR="00CF4D6D" w:rsidRDefault="00CF4D6D">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29.</w:t>
      </w:r>
    </w:p>
  </w:footnote>
  <w:footnote w:id="234">
    <w:p w14:paraId="63003A31" w14:textId="77777777" w:rsidR="00CF4D6D" w:rsidRDefault="00CF4D6D" w:rsidP="00D52BA6">
      <w:pPr>
        <w:pStyle w:val="FootnoteText"/>
      </w:pPr>
      <w:r>
        <w:rPr>
          <w:rStyle w:val="FootnoteReference"/>
        </w:rPr>
        <w:footnoteRef/>
      </w:r>
      <w:r>
        <w:t xml:space="preserve"> </w:t>
      </w:r>
      <w:r>
        <w:tab/>
        <w:t xml:space="preserve">See: </w:t>
      </w:r>
      <w:r w:rsidRPr="00611553">
        <w:t>https://www.ato.gov.au/Individuals/Tax-return/2014/Tax-return/Income-questions-1-12/11---Dividends/</w:t>
      </w:r>
      <w:r>
        <w:t>. Accessed 9 April 2015.</w:t>
      </w:r>
    </w:p>
  </w:footnote>
  <w:footnote w:id="235">
    <w:p w14:paraId="1AC548D0" w14:textId="77777777" w:rsidR="00CF4D6D" w:rsidRDefault="00CF4D6D">
      <w:pPr>
        <w:pStyle w:val="FootnoteText"/>
      </w:pPr>
      <w:r>
        <w:rPr>
          <w:rStyle w:val="FootnoteReference"/>
        </w:rPr>
        <w:footnoteRef/>
      </w:r>
      <w:r>
        <w:t xml:space="preserve"> </w:t>
      </w:r>
      <w:r>
        <w:tab/>
        <w:t>Franked dividends must be paid out of after-tax profits. Accordingly, if the corporate tax rate is 30 per cent, then the pre-tax profit (X) that gives rise to $1 dollar of fully franked dividends is given by the expression X - 0.3X = $1 where X = $1.43. Therefore, $0.43 of tax is paid on (and $0.43 of imputation credits can be attached to) each $1 of fully franked dividends.</w:t>
      </w:r>
    </w:p>
  </w:footnote>
  <w:footnote w:id="236">
    <w:p w14:paraId="1D871354" w14:textId="77777777" w:rsidR="00CF4D6D" w:rsidRDefault="00CF4D6D" w:rsidP="00D52BA6">
      <w:pPr>
        <w:pStyle w:val="FootnoteText"/>
      </w:pPr>
      <w:r>
        <w:rPr>
          <w:rStyle w:val="FootnoteReference"/>
        </w:rPr>
        <w:footnoteRef/>
      </w:r>
      <w:r>
        <w:t xml:space="preserve"> </w:t>
      </w:r>
      <w:r>
        <w:tab/>
        <w:t xml:space="preserve">The fact that credits implied to have been received by individuals is higher than credits utilised could reflect rounding or issues with the dividend data in the ATO statistics. Our residual concerns with the ATO statistics are discussed in section </w:t>
      </w:r>
      <w:r>
        <w:fldChar w:fldCharType="begin"/>
      </w:r>
      <w:r>
        <w:instrText xml:space="preserve"> REF _Ref414289593 \r \h </w:instrText>
      </w:r>
      <w:r>
        <w:fldChar w:fldCharType="separate"/>
      </w:r>
      <w:r>
        <w:t>4.4.2</w:t>
      </w:r>
      <w:r>
        <w:fldChar w:fldCharType="end"/>
      </w:r>
      <w:r>
        <w:t xml:space="preserve"> of attachment 4.  </w:t>
      </w:r>
    </w:p>
  </w:footnote>
  <w:footnote w:id="237">
    <w:p w14:paraId="61FD4718" w14:textId="77777777" w:rsidR="00CF4D6D" w:rsidRDefault="00CF4D6D">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4; Ausgrid, </w:t>
      </w:r>
      <w:r w:rsidRPr="00D75F7A">
        <w:rPr>
          <w:rStyle w:val="AERtextitalic"/>
        </w:rPr>
        <w:t>Ausgrid's revised proposal on gamma</w:t>
      </w:r>
      <w:r>
        <w:t xml:space="preserve">, January 2015, pp. 5–6; Directlink, </w:t>
      </w:r>
      <w:r w:rsidRPr="0000771B">
        <w:rPr>
          <w:rStyle w:val="AERtextitalic"/>
        </w:rPr>
        <w:t>Directlink submission on gamma (updated)</w:t>
      </w:r>
      <w:r>
        <w:t xml:space="preserve">, January 2015, p. 7; Endeavour Energy, </w:t>
      </w:r>
      <w:r w:rsidRPr="00DF3162">
        <w:rPr>
          <w:rStyle w:val="AERtextitalic"/>
        </w:rPr>
        <w:t>Endeavour Energy's response to the AER draft decision re gamma</w:t>
      </w:r>
      <w:r>
        <w:t xml:space="preserve">, January 2015, pp. 5–6; Essential Energy, </w:t>
      </w:r>
      <w:r w:rsidRPr="000E181F">
        <w:rPr>
          <w:rStyle w:val="AERtextitalic"/>
        </w:rPr>
        <w:t>Essential's response to AER draft decision re gamma</w:t>
      </w:r>
      <w:r>
        <w:t xml:space="preserve">, January 2015, pp. 5–6; and JGN, </w:t>
      </w:r>
      <w:r w:rsidRPr="000E181F">
        <w:rPr>
          <w:rStyle w:val="AERtextitalic"/>
        </w:rPr>
        <w:t>Gamma - response to the draft decision</w:t>
      </w:r>
      <w:r>
        <w:t>, February 2015, p. 7.</w:t>
      </w:r>
    </w:p>
  </w:footnote>
  <w:footnote w:id="238">
    <w:p w14:paraId="4C9D4BCB" w14:textId="77777777" w:rsidR="00CF4D6D" w:rsidRDefault="00CF4D6D" w:rsidP="00E05D4A">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15; </w:t>
      </w:r>
      <w:r w:rsidRPr="00A62FE1">
        <w:t>Directlink</w:t>
      </w:r>
      <w:r>
        <w:t>,</w:t>
      </w:r>
      <w:r w:rsidRPr="00A62FE1">
        <w:t xml:space="preserve"> </w:t>
      </w:r>
      <w:r w:rsidRPr="00B53917">
        <w:rPr>
          <w:rStyle w:val="AERtextitalic"/>
        </w:rPr>
        <w:t>Directlink submission on gamma</w:t>
      </w:r>
      <w:r>
        <w:t xml:space="preserve">, May 2014, p. 16; </w:t>
      </w:r>
      <w:r w:rsidRPr="00A62FE1">
        <w:t>Endeavour Ene</w:t>
      </w:r>
      <w:r>
        <w:t xml:space="preserve">rgy, </w:t>
      </w:r>
      <w:r w:rsidRPr="00B53917">
        <w:rPr>
          <w:rStyle w:val="AERtextitalic"/>
        </w:rPr>
        <w:t>Endeavour Energy's gamma proposal</w:t>
      </w:r>
      <w:r>
        <w:t xml:space="preserve">, May 2014, p. 15. Essential Energy, </w:t>
      </w:r>
      <w:r w:rsidRPr="00B53917">
        <w:rPr>
          <w:rStyle w:val="AERtextitalic"/>
        </w:rPr>
        <w:t>Essential Energy's gamma proposal</w:t>
      </w:r>
      <w:r>
        <w:t xml:space="preserve">, May 2014, pp. 15–16; JGN, </w:t>
      </w:r>
      <w:r w:rsidRPr="00B53917">
        <w:rPr>
          <w:rStyle w:val="AERtextitalic"/>
        </w:rPr>
        <w:t>Gamma proposal</w:t>
      </w:r>
      <w:r>
        <w:t xml:space="preserve">, June 2014, p. 19; and TransGrid, </w:t>
      </w:r>
      <w:r>
        <w:rPr>
          <w:rStyle w:val="AERtextitalic"/>
        </w:rPr>
        <w:t>TransGrid</w:t>
      </w:r>
      <w:r w:rsidRPr="00B53917">
        <w:rPr>
          <w:rStyle w:val="AERtextitalic"/>
        </w:rPr>
        <w:t>'s approach to gamma</w:t>
      </w:r>
      <w:r>
        <w:t>, May 2014, p. 21.</w:t>
      </w:r>
    </w:p>
  </w:footnote>
  <w:footnote w:id="239">
    <w:p w14:paraId="7B96560C" w14:textId="4E317389" w:rsidR="00CF4D6D" w:rsidRDefault="00CF4D6D">
      <w:pPr>
        <w:pStyle w:val="FootnoteText"/>
      </w:pPr>
      <w:r>
        <w:rPr>
          <w:rStyle w:val="FootnoteReference"/>
        </w:rPr>
        <w:footnoteRef/>
      </w:r>
      <w:r>
        <w:t xml:space="preserve"> </w:t>
      </w:r>
      <w:r>
        <w:tab/>
        <w:t xml:space="preserve">AusNet Services, 2016-20 Regulatory Proposal, April 2015, p. 374; United Energy, </w:t>
      </w:r>
      <w:r w:rsidRPr="00E12486">
        <w:rPr>
          <w:rStyle w:val="AERtextitalic"/>
        </w:rPr>
        <w:t>Assessment of the Value of Imputation Credits - Gamma, Proposal for 2016 to 2020</w:t>
      </w:r>
      <w:r>
        <w:t xml:space="preserve">, April 2015, p. 24; Jemena Electricity, </w:t>
      </w:r>
      <w:r w:rsidRPr="00E12486">
        <w:rPr>
          <w:rStyle w:val="AERtextitalic"/>
        </w:rPr>
        <w:t>Attachment 06-06 Gamma proposal,</w:t>
      </w:r>
      <w:r>
        <w:t xml:space="preserve"> </w:t>
      </w:r>
      <w:r w:rsidR="00E12486">
        <w:t xml:space="preserve">April 2015, p. 4; CitiPower, </w:t>
      </w:r>
      <w:r w:rsidRPr="00E12486">
        <w:rPr>
          <w:rStyle w:val="AERtextitalic"/>
        </w:rPr>
        <w:t>Appendix J - Gamma</w:t>
      </w:r>
      <w:r>
        <w:t xml:space="preserve">, April 2015, p. 20; Powercor, </w:t>
      </w:r>
      <w:r w:rsidRPr="00E12486">
        <w:rPr>
          <w:rStyle w:val="AERtextitalic"/>
        </w:rPr>
        <w:t>Appendix J - Gamma</w:t>
      </w:r>
      <w:r w:rsidR="00E12486">
        <w:t xml:space="preserve">, April 2015, p. 20; Energex, </w:t>
      </w:r>
      <w:r w:rsidR="00E12486" w:rsidRPr="00E12486">
        <w:rPr>
          <w:rStyle w:val="AERtextitalic"/>
        </w:rPr>
        <w:t>S</w:t>
      </w:r>
      <w:r w:rsidRPr="00E12486">
        <w:rPr>
          <w:rStyle w:val="AERtextitalic"/>
        </w:rPr>
        <w:t>ubmission  on Energex's regulatory proposal 2015-20 and AER issues paper - attachment</w:t>
      </w:r>
      <w:r>
        <w:t xml:space="preserve"> </w:t>
      </w:r>
      <w:r w:rsidRPr="00E12486">
        <w:rPr>
          <w:rStyle w:val="AERtextitalic"/>
        </w:rPr>
        <w:t>2</w:t>
      </w:r>
      <w:r>
        <w:t>, January 2015, p. 18.</w:t>
      </w:r>
    </w:p>
  </w:footnote>
  <w:footnote w:id="240">
    <w:p w14:paraId="1E5FBF9A" w14:textId="5A2A1C9E" w:rsidR="00CF4D6D" w:rsidRDefault="00CF4D6D">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w:t>
      </w:r>
      <w:r w:rsidR="00E12486">
        <w:t xml:space="preserve">. </w:t>
      </w:r>
      <w:r>
        <w:t>41.</w:t>
      </w:r>
      <w:proofErr w:type="gramEnd"/>
      <w:r>
        <w:t xml:space="preserve">  </w:t>
      </w:r>
    </w:p>
  </w:footnote>
  <w:footnote w:id="241">
    <w:p w14:paraId="4971900D" w14:textId="77777777" w:rsidR="00CF4D6D" w:rsidRDefault="00CF4D6D" w:rsidP="00A24531">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6; Directlink, </w:t>
      </w:r>
      <w:r w:rsidRPr="0000771B">
        <w:rPr>
          <w:rStyle w:val="AERtextitalic"/>
        </w:rPr>
        <w:t>Directlink submission on gamma (updated)</w:t>
      </w:r>
      <w:r>
        <w:t xml:space="preserve">, January 2015, p. 8; Endeavour Energy, </w:t>
      </w:r>
      <w:r w:rsidRPr="00DF3162">
        <w:rPr>
          <w:rStyle w:val="AERtextitalic"/>
        </w:rPr>
        <w:t>Endeavour Energy's response to the AER draft decision re gamma</w:t>
      </w:r>
      <w:r>
        <w:t xml:space="preserve">, January 2015, p. 6; Essential Energy, </w:t>
      </w:r>
      <w:r w:rsidRPr="000E181F">
        <w:rPr>
          <w:rStyle w:val="AERtextitalic"/>
        </w:rPr>
        <w:t>Essential's response to AER draft decision re gamma</w:t>
      </w:r>
      <w:r>
        <w:t xml:space="preserve">, January 2015, p. 6; and JGN, </w:t>
      </w:r>
      <w:r w:rsidRPr="000E181F">
        <w:rPr>
          <w:rStyle w:val="AERtextitalic"/>
        </w:rPr>
        <w:t>Gamma - response to the draft decision</w:t>
      </w:r>
      <w:r>
        <w:t>, February 2015, p. 8.</w:t>
      </w:r>
    </w:p>
  </w:footnote>
  <w:footnote w:id="242">
    <w:p w14:paraId="24B00C61" w14:textId="77777777" w:rsidR="00CF4D6D" w:rsidRDefault="00CF4D6D" w:rsidP="00A24531">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46.</w:t>
      </w:r>
    </w:p>
  </w:footnote>
  <w:footnote w:id="243">
    <w:p w14:paraId="10D7ADEC" w14:textId="77777777" w:rsidR="00CF4D6D" w:rsidRDefault="00CF4D6D" w:rsidP="00A24531">
      <w:pPr>
        <w:pStyle w:val="FootnoteText"/>
      </w:pPr>
      <w:r>
        <w:rPr>
          <w:rStyle w:val="FootnoteReference"/>
        </w:rPr>
        <w:footnoteRef/>
      </w:r>
      <w:r>
        <w:t xml:space="preserve"> </w:t>
      </w:r>
      <w:r>
        <w:tab/>
        <w:t xml:space="preserve">See: </w:t>
      </w:r>
      <w:r w:rsidRPr="00611553">
        <w:t>https://www.ato.gov.au/Individuals/Tax-return/2014/Tax-return/Income-questions-1-12/11---Dividends/</w:t>
      </w:r>
      <w:r>
        <w:t>. Accessed 9 April 2015.</w:t>
      </w:r>
    </w:p>
  </w:footnote>
  <w:footnote w:id="244">
    <w:p w14:paraId="3D37F18E" w14:textId="77777777" w:rsidR="00CF4D6D" w:rsidRDefault="00CF4D6D" w:rsidP="00A24531">
      <w:pPr>
        <w:pStyle w:val="FootnoteText"/>
      </w:pPr>
      <w:r>
        <w:rPr>
          <w:rStyle w:val="FootnoteReference"/>
        </w:rPr>
        <w:footnoteRef/>
      </w:r>
      <w:r>
        <w:t xml:space="preserve"> </w:t>
      </w:r>
      <w:r>
        <w:tab/>
        <w:t xml:space="preserve">Eligible investors that do not need to submit a tax return can have imputation credits refunded by submitting this form to the ATO: </w:t>
      </w:r>
      <w:r w:rsidRPr="00611553">
        <w:t>https://www.ato.gov.au/uploadedFiles/Content/MEI/downloads/ind39831n40980614.pdf</w:t>
      </w:r>
      <w:r>
        <w:t xml:space="preserve">. Accessed 9 April 2015. We consider that the form is quite straightforward, and therefore the cost of filling it out and submitting it is unlikely to outweigh the benefit of any material amount of imputation credits.  </w:t>
      </w:r>
    </w:p>
  </w:footnote>
  <w:footnote w:id="245">
    <w:p w14:paraId="263A9E9E" w14:textId="1C98CF0A" w:rsidR="00CF4D6D" w:rsidRDefault="00CF4D6D" w:rsidP="005A184F">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6; Directlink, </w:t>
      </w:r>
      <w:r w:rsidRPr="0000771B">
        <w:rPr>
          <w:rStyle w:val="AERtextitalic"/>
        </w:rPr>
        <w:t>Directlink submission on gamma (updated)</w:t>
      </w:r>
      <w:r>
        <w:t xml:space="preserve">, January 2015, p. 9; Endeavour Energy, </w:t>
      </w:r>
      <w:r w:rsidRPr="00DF3162">
        <w:rPr>
          <w:rStyle w:val="AERtextitalic"/>
        </w:rPr>
        <w:t>Endeavour Energy's response to the AER draft decision re gamma</w:t>
      </w:r>
      <w:r>
        <w:t xml:space="preserve">, January 2015, p. 6; Essential Energy, </w:t>
      </w:r>
      <w:r w:rsidRPr="000E181F">
        <w:rPr>
          <w:rStyle w:val="AERtextitalic"/>
        </w:rPr>
        <w:t>Essential's response to AER draft decision re gamma</w:t>
      </w:r>
      <w:r>
        <w:t xml:space="preserve">, January 2015, p. 6; and JGN, </w:t>
      </w:r>
      <w:r w:rsidRPr="000E181F">
        <w:rPr>
          <w:rStyle w:val="AERtextitalic"/>
        </w:rPr>
        <w:t>Gamma - response to the draft decision</w:t>
      </w:r>
      <w:r>
        <w:t>, February 2015, p. 9; Access Arrangement Information for Australian Gas Networks' South Australian Natural Gas Distribution Network, p</w:t>
      </w:r>
      <w:r w:rsidR="00E12486">
        <w:t xml:space="preserve">. </w:t>
      </w:r>
      <w:r>
        <w:t xml:space="preserve">9, July 2015; </w:t>
      </w:r>
    </w:p>
  </w:footnote>
  <w:footnote w:id="246">
    <w:p w14:paraId="31E3D88F" w14:textId="77777777" w:rsidR="00CF4D6D" w:rsidRDefault="00CF4D6D" w:rsidP="005A184F">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46.</w:t>
      </w:r>
    </w:p>
  </w:footnote>
  <w:footnote w:id="247">
    <w:p w14:paraId="0CF7B288" w14:textId="1CC674D3" w:rsidR="00CF4D6D" w:rsidRPr="006C07EA" w:rsidRDefault="00CF4D6D" w:rsidP="006C07EA">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7; Directlink, </w:t>
      </w:r>
      <w:r w:rsidRPr="0000771B">
        <w:rPr>
          <w:rStyle w:val="AERtextitalic"/>
        </w:rPr>
        <w:t>Directlink submission on gamma (updated)</w:t>
      </w:r>
      <w:r>
        <w:t xml:space="preserve">, January 2015, p. 9; Endeavour Energy, </w:t>
      </w:r>
      <w:r w:rsidRPr="00DF3162">
        <w:rPr>
          <w:rStyle w:val="AERtextitalic"/>
        </w:rPr>
        <w:t>Endeavour Energy's response to the AER draft decision re gamma</w:t>
      </w:r>
      <w:r>
        <w:t xml:space="preserve">, January 2015, p. 7; Essential Energy, </w:t>
      </w:r>
      <w:r w:rsidRPr="000E181F">
        <w:rPr>
          <w:rStyle w:val="AERtextitalic"/>
        </w:rPr>
        <w:t>Essential's response to AER draft decision re gamma</w:t>
      </w:r>
      <w:r>
        <w:t xml:space="preserve">, January 2015, p. 7; and JGN, </w:t>
      </w:r>
      <w:r w:rsidRPr="000E181F">
        <w:rPr>
          <w:rStyle w:val="AERtextitalic"/>
        </w:rPr>
        <w:t>Gamma - response to the draft decision</w:t>
      </w:r>
      <w:r>
        <w:t xml:space="preserve">, February 2015, p. 9.; </w:t>
      </w:r>
    </w:p>
  </w:footnote>
  <w:footnote w:id="248">
    <w:p w14:paraId="1588B0F3" w14:textId="77777777" w:rsidR="00CF4D6D" w:rsidRDefault="00CF4D6D" w:rsidP="005A184F">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65(e).</w:t>
      </w:r>
    </w:p>
  </w:footnote>
  <w:footnote w:id="249">
    <w:p w14:paraId="37F90DD4" w14:textId="77777777" w:rsidR="00CF4D6D" w:rsidRDefault="00CF4D6D">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14; Ausgrid, </w:t>
      </w:r>
      <w:r w:rsidRPr="00D75F7A">
        <w:rPr>
          <w:rStyle w:val="AERtextitalic"/>
        </w:rPr>
        <w:t>Ausgrid's revised proposal on gamma</w:t>
      </w:r>
      <w:r>
        <w:t xml:space="preserve">, January 2015, p. 15; Directlink, </w:t>
      </w:r>
      <w:r w:rsidRPr="0000771B">
        <w:rPr>
          <w:rStyle w:val="AERtextitalic"/>
        </w:rPr>
        <w:t>Directlink submission on gamma (updated)</w:t>
      </w:r>
      <w:r>
        <w:t xml:space="preserve">, January 2015, p. 20; Endeavour Energy, </w:t>
      </w:r>
      <w:r w:rsidRPr="00DF3162">
        <w:rPr>
          <w:rStyle w:val="AERtextitalic"/>
        </w:rPr>
        <w:t>Endeavour Energy's response to the AER draft decision re gamma</w:t>
      </w:r>
      <w:r>
        <w:t xml:space="preserve">, January 2015, p. 15; Essential Energy, </w:t>
      </w:r>
      <w:r w:rsidRPr="000E181F">
        <w:rPr>
          <w:rStyle w:val="AERtextitalic"/>
        </w:rPr>
        <w:t>Essential's response to AER draft decision re gamma</w:t>
      </w:r>
      <w:r>
        <w:t xml:space="preserve">, January 2015, p. 15; and JGN, </w:t>
      </w:r>
      <w:r w:rsidRPr="000E181F">
        <w:rPr>
          <w:rStyle w:val="AERtextitalic"/>
        </w:rPr>
        <w:t>Gamma - response to the draft decision</w:t>
      </w:r>
      <w:r>
        <w:t>, February 2015, p. 18.</w:t>
      </w:r>
    </w:p>
  </w:footnote>
  <w:footnote w:id="250">
    <w:p w14:paraId="689456A7" w14:textId="77777777" w:rsidR="00CF4D6D" w:rsidRDefault="00CF4D6D">
      <w:pPr>
        <w:pStyle w:val="FootnoteText"/>
      </w:pPr>
      <w:r>
        <w:rPr>
          <w:rStyle w:val="FootnoteReference"/>
        </w:rPr>
        <w:footnoteRef/>
      </w:r>
      <w:r>
        <w:t xml:space="preserve"> </w:t>
      </w:r>
      <w:r>
        <w:tab/>
        <w:t xml:space="preserve">SFG, </w:t>
      </w:r>
      <w:r>
        <w:rPr>
          <w:rStyle w:val="AERtextitalic"/>
        </w:rPr>
        <w:t>Estimating gamma for regulatory purposes</w:t>
      </w:r>
      <w:r>
        <w:t>, 6 February 2015, para. 216.</w:t>
      </w:r>
    </w:p>
  </w:footnote>
  <w:footnote w:id="251">
    <w:p w14:paraId="1DCD404D" w14:textId="77777777" w:rsidR="00CF4D6D" w:rsidRDefault="00CF4D6D">
      <w:pPr>
        <w:pStyle w:val="FootnoteText"/>
      </w:pPr>
      <w:r>
        <w:rPr>
          <w:rStyle w:val="FootnoteReference"/>
        </w:rPr>
        <w:footnoteRef/>
      </w:r>
      <w:r>
        <w:t xml:space="preserve"> </w:t>
      </w:r>
      <w:r>
        <w:tab/>
        <w:t>The refined foreign ownership share of all equity between June 2001 and December 2012 was 0.39 on average.</w:t>
      </w:r>
    </w:p>
  </w:footnote>
  <w:footnote w:id="252">
    <w:p w14:paraId="66289892" w14:textId="77777777" w:rsidR="00CF4D6D" w:rsidRDefault="00CF4D6D">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15; </w:t>
      </w:r>
      <w:r w:rsidRPr="00A62FE1">
        <w:t>Directlink</w:t>
      </w:r>
      <w:r>
        <w:t>,</w:t>
      </w:r>
      <w:r w:rsidRPr="00A62FE1">
        <w:t xml:space="preserve"> </w:t>
      </w:r>
      <w:r w:rsidRPr="00B53917">
        <w:rPr>
          <w:rStyle w:val="AERtextitalic"/>
        </w:rPr>
        <w:t>Directlink submission on gamma</w:t>
      </w:r>
      <w:r>
        <w:t xml:space="preserve">, May 2014, p. 16; </w:t>
      </w:r>
      <w:r w:rsidRPr="00A62FE1">
        <w:t>Endeavour Ene</w:t>
      </w:r>
      <w:r>
        <w:t xml:space="preserve">rgy, </w:t>
      </w:r>
      <w:r w:rsidRPr="00B53917">
        <w:rPr>
          <w:rStyle w:val="AERtextitalic"/>
        </w:rPr>
        <w:t>Endeavour Energy's gamma proposal</w:t>
      </w:r>
      <w:r>
        <w:t xml:space="preserve">, May 2014, p. 15. Essential Energy, </w:t>
      </w:r>
      <w:r w:rsidRPr="00B53917">
        <w:rPr>
          <w:rStyle w:val="AERtextitalic"/>
        </w:rPr>
        <w:t>Essential Energy's gamma proposal</w:t>
      </w:r>
      <w:r>
        <w:t xml:space="preserve">, May 2014, pp. 15–16; JGN, </w:t>
      </w:r>
      <w:r w:rsidRPr="00B53917">
        <w:rPr>
          <w:rStyle w:val="AERtextitalic"/>
        </w:rPr>
        <w:t>Gamma proposal</w:t>
      </w:r>
      <w:r>
        <w:t xml:space="preserve">, June 2014, p. 19; and TransGrid, </w:t>
      </w:r>
      <w:r>
        <w:rPr>
          <w:rStyle w:val="AERtextitalic"/>
        </w:rPr>
        <w:t>TransGrid</w:t>
      </w:r>
      <w:r w:rsidRPr="00B53917">
        <w:rPr>
          <w:rStyle w:val="AERtextitalic"/>
        </w:rPr>
        <w:t>'s approach to gamma</w:t>
      </w:r>
      <w:r>
        <w:t>, May 2014, p. 21.</w:t>
      </w:r>
    </w:p>
  </w:footnote>
  <w:footnote w:id="253">
    <w:p w14:paraId="393AAC8D" w14:textId="221F5823" w:rsidR="00CF4D6D" w:rsidRDefault="00CF4D6D">
      <w:pPr>
        <w:pStyle w:val="FootnoteText"/>
      </w:pPr>
      <w:r>
        <w:rPr>
          <w:rStyle w:val="FootnoteReference"/>
        </w:rPr>
        <w:footnoteRef/>
      </w:r>
      <w:r>
        <w:t xml:space="preserve"> </w:t>
      </w:r>
      <w:r>
        <w:tab/>
        <w:t xml:space="preserve">NERA, </w:t>
      </w:r>
      <w:r w:rsidRPr="00D104AA">
        <w:rPr>
          <w:rStyle w:val="AERtextitalic"/>
        </w:rPr>
        <w:t>Estimating distribution and redemption rates from taxation statistics</w:t>
      </w:r>
      <w:r w:rsidRPr="00D104AA">
        <w:t>, March 2015, p</w:t>
      </w:r>
      <w:r>
        <w:t>p. 25-28.</w:t>
      </w:r>
    </w:p>
  </w:footnote>
  <w:footnote w:id="254">
    <w:p w14:paraId="1BCCE722" w14:textId="6BC8CE56" w:rsidR="00CF4D6D" w:rsidRDefault="00CF4D6D">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pp. 6-7.</w:t>
      </w:r>
      <w:proofErr w:type="gramEnd"/>
    </w:p>
  </w:footnote>
  <w:footnote w:id="255">
    <w:p w14:paraId="42B65BDD" w14:textId="419BC634" w:rsidR="00CF4D6D" w:rsidRDefault="00CF4D6D">
      <w:pPr>
        <w:pStyle w:val="FootnoteText"/>
      </w:pPr>
      <w:r>
        <w:rPr>
          <w:rStyle w:val="FootnoteReference"/>
        </w:rPr>
        <w:footnoteRef/>
      </w:r>
      <w:r>
        <w:t xml:space="preserve"> </w:t>
      </w:r>
      <w:r>
        <w:tab/>
        <w:t>Neville Hathaway, Imputation Credit Redemption ATO data 1988-2011 Where have all the credits gone</w:t>
      </w:r>
      <w:proofErr w:type="gramStart"/>
      <w:r>
        <w:t>?,</w:t>
      </w:r>
      <w:proofErr w:type="gramEnd"/>
      <w:r>
        <w:t xml:space="preserve"> September 2013, p</w:t>
      </w:r>
      <w:r w:rsidR="00E12486">
        <w:t xml:space="preserve">. </w:t>
      </w:r>
      <w:r>
        <w:t>25.</w:t>
      </w:r>
    </w:p>
  </w:footnote>
  <w:footnote w:id="256">
    <w:p w14:paraId="6EF60F68" w14:textId="34BAA174" w:rsidR="00CF4D6D" w:rsidRDefault="00CF4D6D">
      <w:pPr>
        <w:pStyle w:val="FootnoteText"/>
      </w:pPr>
      <w:r>
        <w:rPr>
          <w:rStyle w:val="FootnoteReference"/>
        </w:rPr>
        <w:footnoteRef/>
      </w:r>
      <w:r>
        <w:t xml:space="preserve"> </w:t>
      </w:r>
      <w:r>
        <w:tab/>
        <w:t xml:space="preserve">Neville Hathaway, Franking Credit Redemption ATO data 1988-2012 Where </w:t>
      </w:r>
      <w:proofErr w:type="gramStart"/>
      <w:r>
        <w:t>have</w:t>
      </w:r>
      <w:proofErr w:type="gramEnd"/>
      <w:r>
        <w:t xml:space="preserve"> all the credits gone? Draft only comments welcome, October 2014.</w:t>
      </w:r>
    </w:p>
  </w:footnote>
  <w:footnote w:id="257">
    <w:p w14:paraId="032549B1" w14:textId="7CFE4EE1" w:rsidR="00CF4D6D" w:rsidRDefault="00CF4D6D" w:rsidP="00DC6340">
      <w:pPr>
        <w:pStyle w:val="FootnoteText"/>
      </w:pPr>
      <w:r>
        <w:rPr>
          <w:rStyle w:val="FootnoteReference"/>
        </w:rPr>
        <w:footnoteRef/>
      </w:r>
      <w:r>
        <w:t xml:space="preserve"> </w:t>
      </w:r>
      <w:r>
        <w:tab/>
        <w:t xml:space="preserve">SA Power Networks, </w:t>
      </w:r>
      <w:r>
        <w:rPr>
          <w:rStyle w:val="AERtextitalic"/>
        </w:rPr>
        <w:t>Revised regulatory proposal 2015-20</w:t>
      </w:r>
      <w:r>
        <w:t xml:space="preserve">, July 2015, p373; </w:t>
      </w:r>
      <w:r w:rsidRPr="0022220C">
        <w:t xml:space="preserve"> </w:t>
      </w:r>
      <w:r>
        <w:t>Access Arrangement Information for Australian Gas Networks' South Australian Natural Gas Distribution Network, July 2015</w:t>
      </w:r>
      <w:r w:rsidR="00E12486">
        <w:t>, p. 10.</w:t>
      </w:r>
    </w:p>
  </w:footnote>
  <w:footnote w:id="258">
    <w:p w14:paraId="0106CD72" w14:textId="104DE9D5" w:rsidR="00CF4D6D" w:rsidRDefault="00CF4D6D">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 xml:space="preserve">4, p. </w:t>
      </w:r>
      <w:proofErr w:type="gramStart"/>
      <w:r>
        <w:t>39.;</w:t>
      </w:r>
      <w:proofErr w:type="gramEnd"/>
      <w:r>
        <w:t xml:space="preserve"> </w:t>
      </w:r>
      <w:r w:rsidRPr="004D735C">
        <w:t xml:space="preserve">J. Handley, </w:t>
      </w:r>
      <w:r>
        <w:rPr>
          <w:rStyle w:val="AERtextitalic"/>
        </w:rPr>
        <w:t xml:space="preserve">Further </w:t>
      </w:r>
      <w:r w:rsidRPr="003E6BB3">
        <w:rPr>
          <w:rStyle w:val="AERtextitalic"/>
        </w:rPr>
        <w:t>Advice on the value of imputation credits</w:t>
      </w:r>
      <w:r>
        <w:t>, 16 April 2015, p. 28.</w:t>
      </w:r>
    </w:p>
  </w:footnote>
  <w:footnote w:id="259">
    <w:p w14:paraId="3E7207A2" w14:textId="77777777" w:rsidR="00CF4D6D" w:rsidRDefault="00CF4D6D">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 p. ii.</w:t>
      </w:r>
    </w:p>
  </w:footnote>
  <w:footnote w:id="260">
    <w:p w14:paraId="379BAF96" w14:textId="77777777" w:rsidR="00CF4D6D" w:rsidRDefault="00CF4D6D">
      <w:pPr>
        <w:pStyle w:val="FootnoteText"/>
      </w:pPr>
      <w:r>
        <w:rPr>
          <w:rStyle w:val="FootnoteReference"/>
        </w:rPr>
        <w:footnoteRef/>
      </w:r>
      <w:r>
        <w:t xml:space="preserve"> </w:t>
      </w:r>
      <w:r>
        <w:tab/>
        <w:t>Strictly, D is the number of domestic investors and F is the number of foreign investors. However, NERA's model assumes that each investor has starting period wealth of $1.</w:t>
      </w:r>
    </w:p>
  </w:footnote>
  <w:footnote w:id="261">
    <w:p w14:paraId="6AABF03F" w14:textId="77777777" w:rsidR="00CF4D6D" w:rsidRDefault="00CF4D6D">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xml:space="preserve">, March 2015, p. ii. </w:t>
      </w:r>
    </w:p>
  </w:footnote>
  <w:footnote w:id="262">
    <w:p w14:paraId="612C8A29" w14:textId="77777777" w:rsidR="00CF4D6D" w:rsidRDefault="00CF4D6D">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6 and 7.</w:t>
      </w:r>
      <w:r w:rsidDel="0031248F">
        <w:t xml:space="preserve"> </w:t>
      </w:r>
    </w:p>
  </w:footnote>
  <w:footnote w:id="263">
    <w:p w14:paraId="5CB4B5F5" w14:textId="057913BB" w:rsidR="00CF4D6D" w:rsidRDefault="00CF4D6D">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w:t>
      </w:r>
    </w:p>
  </w:footnote>
  <w:footnote w:id="264">
    <w:p w14:paraId="36DE6F5D" w14:textId="4324FCC8" w:rsidR="00CF4D6D" w:rsidRDefault="00CF4D6D">
      <w:pPr>
        <w:pStyle w:val="FootnoteText"/>
      </w:pPr>
      <w:r>
        <w:rPr>
          <w:rStyle w:val="FootnoteReference"/>
        </w:rPr>
        <w:footnoteRef/>
      </w:r>
      <w:r>
        <w:t xml:space="preserve"> </w:t>
      </w:r>
      <w:r>
        <w:tab/>
        <w:t xml:space="preserve">NERA, </w:t>
      </w:r>
      <w:proofErr w:type="gramStart"/>
      <w:r w:rsidRPr="00D54762">
        <w:rPr>
          <w:rStyle w:val="AERtextitalic"/>
        </w:rPr>
        <w:t>Estimating</w:t>
      </w:r>
      <w:proofErr w:type="gramEnd"/>
      <w:r w:rsidRPr="00D54762">
        <w:rPr>
          <w:rStyle w:val="AERtextitalic"/>
        </w:rPr>
        <w:t xml:space="preserve"> distribution and redemption rates: Response to the AER's final decisions for the NSW and ACT electricity distributors, and for Jemena Gas Networks</w:t>
      </w:r>
      <w:r>
        <w:t>, June 2015, pp</w:t>
      </w:r>
      <w:r w:rsidR="00E12486">
        <w:t xml:space="preserve">. </w:t>
      </w:r>
      <w:r>
        <w:t xml:space="preserve"> 6-7.</w:t>
      </w:r>
    </w:p>
  </w:footnote>
  <w:footnote w:id="265">
    <w:p w14:paraId="66ECC352" w14:textId="6F2A0ADF" w:rsidR="00CF4D6D" w:rsidRDefault="00CF4D6D">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w:t>
      </w:r>
      <w:r w:rsidR="00E12486">
        <w:t xml:space="preserve">. </w:t>
      </w:r>
      <w:r>
        <w:t>6</w:t>
      </w:r>
      <w:r w:rsidR="00E12486">
        <w:t>.</w:t>
      </w:r>
    </w:p>
  </w:footnote>
  <w:footnote w:id="266">
    <w:p w14:paraId="1C3BA924" w14:textId="3AEFFFF4" w:rsidR="00CF4D6D" w:rsidRDefault="00CF4D6D">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w:t>
      </w:r>
      <w:r w:rsidR="00E12486">
        <w:t>.</w:t>
      </w:r>
      <w:r>
        <w:t xml:space="preserve"> 6-7.</w:t>
      </w:r>
    </w:p>
  </w:footnote>
  <w:footnote w:id="267">
    <w:p w14:paraId="51C9548D" w14:textId="066A516A" w:rsidR="00CF4D6D" w:rsidRDefault="00CF4D6D" w:rsidP="00740380">
      <w:pPr>
        <w:pStyle w:val="FootnoteText"/>
      </w:pPr>
      <w:r>
        <w:rPr>
          <w:rStyle w:val="FootnoteReference"/>
        </w:rPr>
        <w:footnoteRef/>
      </w:r>
      <w:r>
        <w:t xml:space="preserve"> </w:t>
      </w:r>
      <w:r>
        <w:tab/>
        <w:t xml:space="preserve">NERA, </w:t>
      </w:r>
      <w:proofErr w:type="gramStart"/>
      <w:r w:rsidRPr="00D54762">
        <w:rPr>
          <w:rStyle w:val="AERtextitalic"/>
        </w:rPr>
        <w:t>Estimating</w:t>
      </w:r>
      <w:proofErr w:type="gramEnd"/>
      <w:r w:rsidRPr="00D54762">
        <w:rPr>
          <w:rStyle w:val="AERtextitalic"/>
        </w:rPr>
        <w:t xml:space="preserve"> distribution and redemption rates: Response to the AER's final decisions for the NSW and ACT electricity distributors, and for Jemena Gas Networks</w:t>
      </w:r>
      <w:r>
        <w:t>, June 2015, p</w:t>
      </w:r>
      <w:r w:rsidR="00E12486">
        <w:t xml:space="preserve">. </w:t>
      </w:r>
      <w:r>
        <w:t>7.</w:t>
      </w:r>
    </w:p>
  </w:footnote>
  <w:footnote w:id="268">
    <w:p w14:paraId="091F7E4D" w14:textId="37C201C9" w:rsidR="00CF4D6D" w:rsidRDefault="00CF4D6D">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w:t>
      </w:r>
      <w:r w:rsidR="00E12486">
        <w:t xml:space="preserve">. </w:t>
      </w:r>
      <w:r>
        <w:t>6.</w:t>
      </w:r>
    </w:p>
  </w:footnote>
  <w:footnote w:id="269">
    <w:p w14:paraId="524C13CD" w14:textId="64D24A0E" w:rsidR="00CF4D6D" w:rsidRDefault="00CF4D6D">
      <w:pPr>
        <w:pStyle w:val="FootnoteText"/>
      </w:pPr>
      <w:r>
        <w:rPr>
          <w:rStyle w:val="FootnoteReference"/>
        </w:rPr>
        <w:footnoteRef/>
      </w:r>
      <w:r>
        <w:t xml:space="preserve"> </w:t>
      </w:r>
      <w:r>
        <w:tab/>
        <w:t xml:space="preserve">NERA, </w:t>
      </w:r>
      <w:r>
        <w:rPr>
          <w:rStyle w:val="AERtextitalic"/>
        </w:rPr>
        <w:t xml:space="preserve">Do Imputation Credits Lower the Cost of Equity? Cross-Sectional Tests </w:t>
      </w:r>
      <w:proofErr w:type="gramStart"/>
      <w:r>
        <w:rPr>
          <w:rStyle w:val="AERtextitalic"/>
        </w:rPr>
        <w:t>A</w:t>
      </w:r>
      <w:proofErr w:type="gramEnd"/>
      <w:r>
        <w:rPr>
          <w:rStyle w:val="AERtextitalic"/>
        </w:rPr>
        <w:t xml:space="preserve"> report for United Energy</w:t>
      </w:r>
      <w:r>
        <w:t>, April 2015, p 79.</w:t>
      </w:r>
    </w:p>
  </w:footnote>
  <w:footnote w:id="270">
    <w:p w14:paraId="29E91CAD" w14:textId="28CB514A" w:rsidR="00CF4D6D" w:rsidRDefault="00CF4D6D">
      <w:pPr>
        <w:pStyle w:val="FootnoteText"/>
      </w:pPr>
      <w:r>
        <w:rPr>
          <w:rStyle w:val="FootnoteReference"/>
        </w:rPr>
        <w:footnoteRef/>
      </w:r>
      <w:r>
        <w:t xml:space="preserve"> </w:t>
      </w:r>
      <w:r>
        <w:tab/>
        <w:t>Koedijk, K</w:t>
      </w:r>
      <w:proofErr w:type="gramStart"/>
      <w:r>
        <w:t>,G</w:t>
      </w:r>
      <w:proofErr w:type="gramEnd"/>
      <w:r>
        <w:t>,, and van Dijk, M, A., 2004, Global risk factors and the cost of capital, Financial analysts journal, March/April 2004, p</w:t>
      </w:r>
      <w:r w:rsidR="00E12486">
        <w:t xml:space="preserve">. </w:t>
      </w:r>
      <w:r>
        <w:t xml:space="preserve">33.  </w:t>
      </w:r>
    </w:p>
  </w:footnote>
  <w:footnote w:id="271">
    <w:p w14:paraId="30F92847" w14:textId="64208411" w:rsidR="00CF4D6D" w:rsidRDefault="00CF4D6D">
      <w:pPr>
        <w:pStyle w:val="FootnoteText"/>
      </w:pPr>
      <w:r>
        <w:rPr>
          <w:rStyle w:val="FootnoteReference"/>
        </w:rPr>
        <w:footnoteRef/>
      </w:r>
      <w:r>
        <w:t xml:space="preserve"> </w:t>
      </w:r>
      <w:r>
        <w:tab/>
        <w:t xml:space="preserve">NERA, </w:t>
      </w:r>
      <w:proofErr w:type="gramStart"/>
      <w:r w:rsidRPr="00D54762">
        <w:rPr>
          <w:rStyle w:val="AERtextitalic"/>
        </w:rPr>
        <w:t>Estimating</w:t>
      </w:r>
      <w:proofErr w:type="gramEnd"/>
      <w:r w:rsidRPr="00D54762">
        <w:rPr>
          <w:rStyle w:val="AERtextitalic"/>
        </w:rPr>
        <w:t xml:space="preserve"> distribution and redemption rates: Response to the AER's final decisions for the NSW and ACT electricity distributors, and for Jemena Gas Networks</w:t>
      </w:r>
      <w:r>
        <w:t>, June 2015, pp. 8-10.</w:t>
      </w:r>
    </w:p>
  </w:footnote>
  <w:footnote w:id="272">
    <w:p w14:paraId="02925FFC" w14:textId="1AFA527C" w:rsidR="00CF4D6D" w:rsidRDefault="00CF4D6D">
      <w:pPr>
        <w:pStyle w:val="FootnoteText"/>
      </w:pPr>
      <w:r>
        <w:rPr>
          <w:rStyle w:val="FootnoteReference"/>
        </w:rPr>
        <w:footnoteRef/>
      </w:r>
      <w:r>
        <w:t xml:space="preserve"> </w:t>
      </w:r>
      <w:r>
        <w:tab/>
        <w:t>Koedijk, K</w:t>
      </w:r>
      <w:proofErr w:type="gramStart"/>
      <w:r>
        <w:t>,G</w:t>
      </w:r>
      <w:proofErr w:type="gramEnd"/>
      <w:r>
        <w:t>,, and van Dijk, M, A., 2004, Global risk factors and the cost of capital, Financial analysts journal, March/April 2004, p</w:t>
      </w:r>
      <w:r w:rsidR="00E12486">
        <w:t xml:space="preserve">. </w:t>
      </w:r>
      <w:r>
        <w:t xml:space="preserve">33.  </w:t>
      </w:r>
    </w:p>
  </w:footnote>
  <w:footnote w:id="273">
    <w:p w14:paraId="178279DB" w14:textId="4BE21976" w:rsidR="00CF4D6D" w:rsidRDefault="00CF4D6D">
      <w:pPr>
        <w:pStyle w:val="FootnoteText"/>
      </w:pPr>
      <w:r>
        <w:rPr>
          <w:rStyle w:val="FootnoteReference"/>
        </w:rPr>
        <w:footnoteRef/>
      </w:r>
      <w:r>
        <w:t xml:space="preserve"> </w:t>
      </w:r>
      <w:r>
        <w:tab/>
        <w:t xml:space="preserve">NERA, </w:t>
      </w:r>
      <w:proofErr w:type="gramStart"/>
      <w:r w:rsidRPr="00D54762">
        <w:rPr>
          <w:rStyle w:val="AERtextitalic"/>
        </w:rPr>
        <w:t>Estimating</w:t>
      </w:r>
      <w:proofErr w:type="gramEnd"/>
      <w:r w:rsidRPr="00D54762">
        <w:rPr>
          <w:rStyle w:val="AERtextitalic"/>
        </w:rPr>
        <w:t xml:space="preserve"> distribution and redemption rates: Response to the AER's final decisions for the NSW and ACT electricity distributors, and for Jemena Gas Networks</w:t>
      </w:r>
      <w:r>
        <w:t>, June 2015, p. 3.</w:t>
      </w:r>
    </w:p>
  </w:footnote>
  <w:footnote w:id="274">
    <w:p w14:paraId="4C4BD5F0" w14:textId="103B2748" w:rsidR="00CF4D6D" w:rsidRDefault="00CF4D6D" w:rsidP="00507D00">
      <w:pPr>
        <w:pStyle w:val="FootnoteText"/>
      </w:pPr>
      <w:r>
        <w:rPr>
          <w:rStyle w:val="FootnoteReference"/>
        </w:rPr>
        <w:footnoteRef/>
      </w:r>
      <w:r>
        <w:t xml:space="preserve"> </w:t>
      </w:r>
      <w:r>
        <w:tab/>
      </w:r>
      <w:proofErr w:type="gramStart"/>
      <w:r>
        <w:t>Lally, The estimation of gamma, November 2013, pp</w:t>
      </w:r>
      <w:r w:rsidR="00E12486">
        <w:t>.</w:t>
      </w:r>
      <w:r>
        <w:t xml:space="preserve"> 39-43.</w:t>
      </w:r>
      <w:proofErr w:type="gramEnd"/>
    </w:p>
  </w:footnote>
  <w:footnote w:id="275">
    <w:p w14:paraId="04BD289B" w14:textId="77777777" w:rsidR="00CF4D6D" w:rsidRDefault="00CF4D6D" w:rsidP="00063611">
      <w:pPr>
        <w:pStyle w:val="FootnoteText"/>
      </w:pPr>
      <w:r>
        <w:rPr>
          <w:rStyle w:val="FootnoteReference"/>
        </w:rPr>
        <w:footnoteRef/>
      </w:r>
      <w:r>
        <w:t xml:space="preserve"> </w:t>
      </w:r>
      <w:r>
        <w:tab/>
        <w:t xml:space="preserve">M. Lally, </w:t>
      </w:r>
      <w:r w:rsidRPr="00550383">
        <w:rPr>
          <w:rStyle w:val="AERtextitalic"/>
        </w:rPr>
        <w:t>Review of submissions to the QCA on the MRP, risk-free rate and gamma</w:t>
      </w:r>
      <w:r>
        <w:t>, 12 March 2014, p. 34.</w:t>
      </w:r>
    </w:p>
  </w:footnote>
  <w:footnote w:id="276">
    <w:p w14:paraId="67CB7063" w14:textId="77777777" w:rsidR="00CF4D6D" w:rsidRDefault="00CF4D6D" w:rsidP="00B67C84">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28.</w:t>
      </w:r>
    </w:p>
  </w:footnote>
  <w:footnote w:id="277">
    <w:p w14:paraId="02A37B02" w14:textId="77777777" w:rsidR="00CF4D6D" w:rsidRDefault="00CF4D6D" w:rsidP="00B67C84">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412.</w:t>
      </w:r>
    </w:p>
  </w:footnote>
  <w:footnote w:id="278">
    <w:p w14:paraId="54B2A490" w14:textId="77777777" w:rsidR="00CF4D6D" w:rsidRDefault="00CF4D6D">
      <w:pPr>
        <w:pStyle w:val="FootnoteText"/>
      </w:pPr>
      <w:r>
        <w:rPr>
          <w:rStyle w:val="FootnoteReference"/>
        </w:rPr>
        <w:footnoteRef/>
      </w:r>
      <w:r>
        <w:t xml:space="preserve"> </w:t>
      </w:r>
      <w:r>
        <w:tab/>
        <w:t xml:space="preserve">SFG, </w:t>
      </w:r>
      <w:r>
        <w:rPr>
          <w:rStyle w:val="AERtextitalic"/>
        </w:rPr>
        <w:t>Estimating gamma for regulatory purposes</w:t>
      </w:r>
      <w:r>
        <w:t>, 6 February 2015, para. 222.</w:t>
      </w:r>
    </w:p>
  </w:footnote>
  <w:footnote w:id="279">
    <w:p w14:paraId="646001ED" w14:textId="4C0BC210" w:rsidR="00CF4D6D" w:rsidRDefault="00CF4D6D">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JGN, </w:t>
      </w:r>
      <w:r w:rsidRPr="000E181F">
        <w:rPr>
          <w:rStyle w:val="AERtextitalic"/>
        </w:rPr>
        <w:t>Gamma - response to the draft decision</w:t>
      </w:r>
      <w:r>
        <w:t>, February 2015, p. 4; CitiPower</w:t>
      </w:r>
      <w:r w:rsidR="00E12486">
        <w:t>,</w:t>
      </w:r>
      <w:r>
        <w:t xml:space="preserve"> </w:t>
      </w:r>
      <w:r w:rsidRPr="00E12486">
        <w:rPr>
          <w:rStyle w:val="AERtextitalic"/>
        </w:rPr>
        <w:t>Appendix J - Gamma</w:t>
      </w:r>
      <w:r>
        <w:t>, April 2015, p</w:t>
      </w:r>
      <w:r w:rsidR="00E12486">
        <w:t xml:space="preserve">. </w:t>
      </w:r>
      <w:r>
        <w:t xml:space="preserve">6; Powercor, </w:t>
      </w:r>
      <w:r w:rsidRPr="00E12486">
        <w:rPr>
          <w:rStyle w:val="AERtextitalic"/>
        </w:rPr>
        <w:t>Regulatory Proposal 2016-20,</w:t>
      </w:r>
      <w:r>
        <w:t xml:space="preserve"> April 2015, p</w:t>
      </w:r>
      <w:r w:rsidR="00E12486">
        <w:t xml:space="preserve">. </w:t>
      </w:r>
      <w:r>
        <w:t xml:space="preserve">6; Energex, </w:t>
      </w:r>
      <w:r w:rsidRPr="00E12486">
        <w:rPr>
          <w:rStyle w:val="AERtextitalic"/>
        </w:rPr>
        <w:t>Submission on Energex's regulatory proposal 2015-20 and the AER issues paper</w:t>
      </w:r>
      <w:r>
        <w:t>, January 2015, p</w:t>
      </w:r>
      <w:r w:rsidR="00E12486">
        <w:t xml:space="preserve">. </w:t>
      </w:r>
      <w:r>
        <w:t>4.</w:t>
      </w:r>
    </w:p>
  </w:footnote>
  <w:footnote w:id="280">
    <w:p w14:paraId="5236DB3B" w14:textId="1949F024" w:rsidR="00CF4D6D" w:rsidRDefault="00CF4D6D">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13; Ausgrid, </w:t>
      </w:r>
      <w:r w:rsidRPr="00D75F7A">
        <w:rPr>
          <w:rStyle w:val="AERtextitalic"/>
        </w:rPr>
        <w:t>Ausgrid's revised proposal on gamma</w:t>
      </w:r>
      <w:r>
        <w:t xml:space="preserve">, January 2015, p. 14; Directlink, </w:t>
      </w:r>
      <w:r w:rsidRPr="0000771B">
        <w:rPr>
          <w:rStyle w:val="AERtextitalic"/>
        </w:rPr>
        <w:t>Directlink submission on gamma (updated)</w:t>
      </w:r>
      <w:r>
        <w:t xml:space="preserve">, January 2015, p. 19; Endeavour Energy, </w:t>
      </w:r>
      <w:r w:rsidRPr="00DF3162">
        <w:rPr>
          <w:rStyle w:val="AERtextitalic"/>
        </w:rPr>
        <w:t>Endeavour Energy's response to the AER draft decision re gamma</w:t>
      </w:r>
      <w:r>
        <w:t xml:space="preserve">, January 2015, p. 14; Essential Energy, </w:t>
      </w:r>
      <w:r w:rsidRPr="000E181F">
        <w:rPr>
          <w:rStyle w:val="AERtextitalic"/>
        </w:rPr>
        <w:t>Essential's response to AER draft decision re gamma</w:t>
      </w:r>
      <w:r>
        <w:t xml:space="preserve">, January 2015, p. 14; JGN, </w:t>
      </w:r>
      <w:r w:rsidRPr="000E181F">
        <w:rPr>
          <w:rStyle w:val="AERtextitalic"/>
        </w:rPr>
        <w:t>Gamma - response to the draft decision</w:t>
      </w:r>
      <w:r>
        <w:t>, February 2015, p. 17; CitiPower</w:t>
      </w:r>
      <w:r w:rsidR="00E12486">
        <w:t>,</w:t>
      </w:r>
      <w:r>
        <w:t xml:space="preserve"> </w:t>
      </w:r>
      <w:r w:rsidRPr="00E12486">
        <w:rPr>
          <w:rStyle w:val="AERtextitalic"/>
        </w:rPr>
        <w:t>Appendix J - Gamma</w:t>
      </w:r>
      <w:r>
        <w:t xml:space="preserve">, April 2015, pp. 4-5; Powercor, </w:t>
      </w:r>
      <w:r w:rsidRPr="00E12486">
        <w:rPr>
          <w:rStyle w:val="AERtextitalic"/>
        </w:rPr>
        <w:t>Regulatory Proposal 2016-20</w:t>
      </w:r>
      <w:r>
        <w:t xml:space="preserve">, April 2015, pp. 4-5; Energex, </w:t>
      </w:r>
      <w:r w:rsidRPr="00E12486">
        <w:rPr>
          <w:rStyle w:val="AERtextitalic"/>
        </w:rPr>
        <w:t>Revised regulatory proposal 2015-20</w:t>
      </w:r>
      <w:r>
        <w:t>, July 2015, p</w:t>
      </w:r>
      <w:r w:rsidR="00E12486">
        <w:t xml:space="preserve">. </w:t>
      </w:r>
      <w:r>
        <w:t xml:space="preserve">13. </w:t>
      </w:r>
    </w:p>
  </w:footnote>
  <w:footnote w:id="281">
    <w:p w14:paraId="67A08E1B" w14:textId="448E55F7" w:rsidR="00CF4D6D" w:rsidRDefault="00CF4D6D">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w:t>
      </w:r>
      <w:r w:rsidR="00E12486">
        <w:t>.</w:t>
      </w:r>
      <w:r>
        <w:t xml:space="preserve"> 26-27; NERA, </w:t>
      </w:r>
      <w:r w:rsidRPr="00D54762">
        <w:rPr>
          <w:rStyle w:val="AERtextitalic"/>
        </w:rPr>
        <w:t>Estimating distribution and redemption rates: Response to the AER's final decisions for the NSW and ACT electricity distributors, and for Jemena Gas Networks</w:t>
      </w:r>
      <w:r>
        <w:t>, June 2015, p. iii.</w:t>
      </w:r>
    </w:p>
  </w:footnote>
  <w:footnote w:id="282">
    <w:p w14:paraId="460FCF1B" w14:textId="2384CA1C" w:rsidR="00CF4D6D" w:rsidRDefault="00CF4D6D">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w:t>
      </w:r>
      <w:r w:rsidR="00E12486">
        <w:t>.</w:t>
      </w:r>
      <w:r>
        <w:t xml:space="preserve"> 28-30; NERA, </w:t>
      </w:r>
      <w:r w:rsidRPr="00D54762">
        <w:rPr>
          <w:rStyle w:val="AERtextitalic"/>
        </w:rPr>
        <w:t>Estimating distribution and redemption rates: Response to the AER's final decisions for the NSW and ACT electricity distributors, and for Jemena Gas Networks</w:t>
      </w:r>
      <w:r>
        <w:t>, June 2015, pp.17-18.</w:t>
      </w:r>
    </w:p>
  </w:footnote>
  <w:footnote w:id="283">
    <w:p w14:paraId="77D876D6" w14:textId="384A64CC" w:rsidR="00CF4D6D" w:rsidRDefault="00CF4D6D">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w:t>
      </w:r>
      <w:r w:rsidR="00E12486">
        <w:t>.</w:t>
      </w:r>
      <w:r>
        <w:t xml:space="preserve"> 28-30; NERA, </w:t>
      </w:r>
      <w:r w:rsidRPr="00D54762">
        <w:rPr>
          <w:rStyle w:val="AERtextitalic"/>
        </w:rPr>
        <w:t>Estimating distribution and redemption rates: Response to the AER's final decisions for the NSW and ACT electricity distributors, and for Jemena Gas Networks</w:t>
      </w:r>
      <w:r>
        <w:t>, June 2015, pp. 17-19.</w:t>
      </w:r>
    </w:p>
  </w:footnote>
  <w:footnote w:id="284">
    <w:p w14:paraId="7F0C7153" w14:textId="1909AAAC" w:rsidR="00CF4D6D" w:rsidRDefault="00CF4D6D">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w:t>
      </w:r>
      <w:r w:rsidR="00E12486">
        <w:t xml:space="preserve">. </w:t>
      </w:r>
      <w:r>
        <w:t>21.</w:t>
      </w:r>
    </w:p>
  </w:footnote>
  <w:footnote w:id="285">
    <w:p w14:paraId="1D85431F" w14:textId="77777777" w:rsidR="00CF4D6D" w:rsidRDefault="00CF4D6D" w:rsidP="00BC3784">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286">
    <w:p w14:paraId="1C6CCA31" w14:textId="77777777" w:rsidR="00CF4D6D" w:rsidRDefault="00CF4D6D"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287">
    <w:p w14:paraId="149569AF" w14:textId="77777777" w:rsidR="00CF4D6D" w:rsidRDefault="00CF4D6D" w:rsidP="00BC378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pp. 28–29</w:t>
      </w:r>
      <w:r w:rsidRPr="00874F27">
        <w:t>.</w:t>
      </w:r>
    </w:p>
  </w:footnote>
  <w:footnote w:id="288">
    <w:p w14:paraId="430414AC" w14:textId="77777777" w:rsidR="00CF4D6D" w:rsidRDefault="00CF4D6D" w:rsidP="00D65619">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701BF2">
        <w:t xml:space="preserve"> </w:t>
      </w:r>
    </w:p>
  </w:footnote>
  <w:footnote w:id="289">
    <w:p w14:paraId="0E99E9DF" w14:textId="77777777" w:rsidR="00CF4D6D" w:rsidRDefault="00CF4D6D">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xml:space="preserve">, 20 May 2015. </w:t>
      </w:r>
    </w:p>
  </w:footnote>
  <w:footnote w:id="290">
    <w:p w14:paraId="41ADCC41" w14:textId="77777777" w:rsidR="00CF4D6D" w:rsidRDefault="00CF4D6D">
      <w:pPr>
        <w:pStyle w:val="FootnoteText"/>
      </w:pPr>
      <w:r>
        <w:rPr>
          <w:rStyle w:val="FootnoteReference"/>
        </w:rPr>
        <w:footnoteRef/>
      </w:r>
      <w:r>
        <w:t xml:space="preserve"> </w:t>
      </w:r>
      <w:r>
        <w:tab/>
        <w:t xml:space="preserve">As discussed in section </w:t>
      </w:r>
      <w:r>
        <w:fldChar w:fldCharType="begin"/>
      </w:r>
      <w:r>
        <w:instrText xml:space="preserve"> REF _Ref402179420 \r \h </w:instrText>
      </w:r>
      <w:r>
        <w:fldChar w:fldCharType="separate"/>
      </w:r>
      <w:r>
        <w:t>A.13</w:t>
      </w:r>
      <w:r>
        <w:fldChar w:fldCharType="end"/>
      </w:r>
      <w:r>
        <w:t xml:space="preserve">, we have regard to </w:t>
      </w:r>
      <w:r w:rsidRPr="007938F1">
        <w:t>Hathaway's finding that the ATO statistics are subject to a number of issues prior to 2004</w:t>
      </w:r>
      <w:r>
        <w:t>.</w:t>
      </w:r>
    </w:p>
  </w:footnote>
  <w:footnote w:id="291">
    <w:p w14:paraId="4381B4F3" w14:textId="22E543AE" w:rsidR="00CF4D6D" w:rsidRDefault="00CF4D6D" w:rsidP="004D513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and JGN, </w:t>
      </w:r>
      <w:r w:rsidRPr="000E181F">
        <w:rPr>
          <w:rStyle w:val="AERtextitalic"/>
        </w:rPr>
        <w:t>Gamma - response to the draft decision</w:t>
      </w:r>
      <w:r>
        <w:t>, February 2015, p. 4; CitiPower - Appendix J - Gamma, April 2015, p6; Powercor, Regulatory Proposal 2016-20, April 2015, p6; Energex, Submission on Energex's regulatory proposal 2015-20 and the AER issues paper, January 2015, p</w:t>
      </w:r>
      <w:r w:rsidR="00E12486">
        <w:t xml:space="preserve">. </w:t>
      </w:r>
      <w:r>
        <w:t>4.</w:t>
      </w:r>
    </w:p>
  </w:footnote>
  <w:footnote w:id="292">
    <w:p w14:paraId="6207B839" w14:textId="77777777" w:rsidR="00CF4D6D" w:rsidRDefault="00CF4D6D" w:rsidP="00B56451">
      <w:pPr>
        <w:pStyle w:val="FootnoteText"/>
      </w:pPr>
      <w:r>
        <w:rPr>
          <w:rStyle w:val="FootnoteReference"/>
        </w:rPr>
        <w:footnoteRef/>
      </w:r>
      <w:r>
        <w:t xml:space="preserve"> </w:t>
      </w:r>
      <w:r>
        <w:tab/>
        <w:t xml:space="preserve">SFG, </w:t>
      </w:r>
      <w:r>
        <w:rPr>
          <w:rStyle w:val="AERtextitalic"/>
        </w:rPr>
        <w:t>Estimating gamma for regulatory purposes</w:t>
      </w:r>
      <w:r>
        <w:t>, 6 February 2015, para. 211.</w:t>
      </w:r>
    </w:p>
  </w:footnote>
  <w:footnote w:id="293">
    <w:p w14:paraId="5D335CC4" w14:textId="77777777" w:rsidR="00CF4D6D" w:rsidRDefault="00CF4D6D">
      <w:pPr>
        <w:pStyle w:val="FootnoteText"/>
      </w:pPr>
      <w:r>
        <w:rPr>
          <w:rStyle w:val="FootnoteReference"/>
        </w:rPr>
        <w:footnoteRef/>
      </w:r>
      <w:r>
        <w:t xml:space="preserve"> </w:t>
      </w:r>
      <w:r>
        <w:tab/>
        <w:t xml:space="preserve">SFG, </w:t>
      </w:r>
      <w:r>
        <w:rPr>
          <w:rStyle w:val="AERtextitalic"/>
        </w:rPr>
        <w:t>Estimating gamma for regulatory purposes</w:t>
      </w:r>
      <w:r>
        <w:t>, 6 February 2015, para. 222.</w:t>
      </w:r>
    </w:p>
  </w:footnote>
  <w:footnote w:id="294">
    <w:p w14:paraId="167AA0ED" w14:textId="77777777" w:rsidR="00CF4D6D" w:rsidRDefault="00CF4D6D">
      <w:pPr>
        <w:pStyle w:val="FootnoteText"/>
      </w:pPr>
      <w:r>
        <w:rPr>
          <w:rStyle w:val="FootnoteReference"/>
        </w:rPr>
        <w:footnoteRef/>
      </w:r>
      <w:r>
        <w:t xml:space="preserve">  </w:t>
      </w:r>
      <w:r>
        <w:tab/>
        <w:t xml:space="preserve">SFG, </w:t>
      </w:r>
      <w:r>
        <w:rPr>
          <w:rStyle w:val="AERtextitalic"/>
        </w:rPr>
        <w:t>Estimating gamma for regulatory purposes</w:t>
      </w:r>
      <w:r>
        <w:t>, 6 February 2015, paras. 215 and 217–218.</w:t>
      </w:r>
    </w:p>
  </w:footnote>
  <w:footnote w:id="295">
    <w:p w14:paraId="797C4FC7" w14:textId="77777777" w:rsidR="00CF4D6D" w:rsidRDefault="00CF4D6D">
      <w:pPr>
        <w:pStyle w:val="FootnoteText"/>
      </w:pPr>
      <w:r>
        <w:rPr>
          <w:rStyle w:val="FootnoteReference"/>
        </w:rPr>
        <w:footnoteRef/>
      </w:r>
      <w:r>
        <w:t xml:space="preserve"> </w:t>
      </w:r>
      <w:r>
        <w:tab/>
        <w:t xml:space="preserve">SFG, </w:t>
      </w:r>
      <w:r>
        <w:rPr>
          <w:rStyle w:val="AERtextitalic"/>
        </w:rPr>
        <w:t>Estimating gamma for regulatory purposes</w:t>
      </w:r>
      <w:r>
        <w:t>, 6 February 2015, para. 223.</w:t>
      </w:r>
    </w:p>
  </w:footnote>
  <w:footnote w:id="296">
    <w:p w14:paraId="310D8186" w14:textId="77777777" w:rsidR="00CF4D6D" w:rsidRDefault="00CF4D6D">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21.</w:t>
      </w:r>
    </w:p>
  </w:footnote>
  <w:footnote w:id="297">
    <w:p w14:paraId="6E2ED1CF" w14:textId="77777777" w:rsidR="00CF4D6D" w:rsidRDefault="00CF4D6D">
      <w:pPr>
        <w:pStyle w:val="FootnoteText"/>
      </w:pPr>
      <w:r>
        <w:rPr>
          <w:rStyle w:val="FootnoteReference"/>
        </w:rPr>
        <w:footnoteRef/>
      </w:r>
      <w:r>
        <w:t xml:space="preserve"> </w:t>
      </w:r>
      <w:r>
        <w:tab/>
        <w:t xml:space="preserve">SFG, </w:t>
      </w:r>
      <w:r>
        <w:rPr>
          <w:rStyle w:val="AERtextitalic"/>
        </w:rPr>
        <w:t>Estimating gamma for regulatory purposes</w:t>
      </w:r>
      <w:r>
        <w:t>, 6 February 2015, para. 209.</w:t>
      </w:r>
    </w:p>
  </w:footnote>
  <w:footnote w:id="298">
    <w:p w14:paraId="1533F421" w14:textId="77777777" w:rsidR="00CF4D6D" w:rsidRDefault="00CF4D6D">
      <w:pPr>
        <w:pStyle w:val="FootnoteText"/>
      </w:pPr>
      <w:r>
        <w:rPr>
          <w:rStyle w:val="FootnoteReference"/>
        </w:rPr>
        <w:footnoteRef/>
      </w:r>
      <w:r>
        <w:t xml:space="preserve"> </w:t>
      </w:r>
      <w:r>
        <w:tab/>
        <w:t xml:space="preserve">NERA, </w:t>
      </w:r>
      <w:r w:rsidRPr="00C26A14">
        <w:rPr>
          <w:rStyle w:val="AERtextitalic"/>
        </w:rPr>
        <w:t>Estimating distribution and redemption rates from taxation statistics</w:t>
      </w:r>
      <w:r>
        <w:t>, March 2015, p. ii.</w:t>
      </w:r>
    </w:p>
  </w:footnote>
  <w:footnote w:id="299">
    <w:p w14:paraId="32C050D2" w14:textId="0D10E38B" w:rsidR="00CF4D6D" w:rsidRDefault="00CF4D6D">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w:t>
      </w:r>
      <w:r w:rsidR="00E12486">
        <w:t>. 28.</w:t>
      </w:r>
      <w:proofErr w:type="gramEnd"/>
    </w:p>
  </w:footnote>
  <w:footnote w:id="300">
    <w:p w14:paraId="5FF691DD" w14:textId="506230B8" w:rsidR="00CF4D6D" w:rsidRDefault="00CF4D6D" w:rsidP="00C627BA">
      <w:pPr>
        <w:pStyle w:val="FootnoteText"/>
      </w:pPr>
      <w:r>
        <w:rPr>
          <w:rStyle w:val="FootnoteReference"/>
        </w:rPr>
        <w:footnoteRef/>
      </w:r>
      <w:r>
        <w:t xml:space="preserve"> </w:t>
      </w:r>
      <w:r>
        <w:tab/>
        <w:t xml:space="preserve">NERA, </w:t>
      </w:r>
      <w:proofErr w:type="gramStart"/>
      <w:r w:rsidRPr="00D54762">
        <w:rPr>
          <w:rStyle w:val="AERtextitalic"/>
        </w:rPr>
        <w:t>Estimating</w:t>
      </w:r>
      <w:proofErr w:type="gramEnd"/>
      <w:r w:rsidRPr="00D54762">
        <w:rPr>
          <w:rStyle w:val="AERtextitalic"/>
        </w:rPr>
        <w:t xml:space="preserve"> distribution and redemption rates: Response to the AER's final decisions for the NSW and ACT electricity distributors, and for Jemena Gas Networks</w:t>
      </w:r>
      <w:r>
        <w:t>, June 2015, p.18.</w:t>
      </w:r>
    </w:p>
  </w:footnote>
  <w:footnote w:id="301">
    <w:p w14:paraId="018F358A" w14:textId="64707B2A" w:rsidR="00CF4D6D" w:rsidRDefault="00CF4D6D">
      <w:pPr>
        <w:pStyle w:val="FootnoteText"/>
      </w:pPr>
      <w:r>
        <w:rPr>
          <w:rStyle w:val="FootnoteReference"/>
        </w:rPr>
        <w:footnoteRef/>
      </w:r>
      <w:r>
        <w:t xml:space="preserve"> </w:t>
      </w:r>
      <w:r>
        <w:tab/>
        <w:t xml:space="preserve">AusNet Services, </w:t>
      </w:r>
      <w:r w:rsidRPr="00E12486">
        <w:rPr>
          <w:rStyle w:val="AERtextitalic"/>
        </w:rPr>
        <w:t>2016-20 Regulatory Proposal</w:t>
      </w:r>
      <w:r>
        <w:t xml:space="preserve">, April 2015, pp. 353-354; United Energy, </w:t>
      </w:r>
      <w:r w:rsidRPr="00E12486">
        <w:rPr>
          <w:rStyle w:val="AERtextitalic"/>
        </w:rPr>
        <w:t>Assessment of the Value of Imputation Credits - Gamma, Proposal for 2016 to 2020</w:t>
      </w:r>
      <w:r>
        <w:t>, April</w:t>
      </w:r>
      <w:r w:rsidR="00E12486">
        <w:t xml:space="preserve"> 2015, pp. 1-4.; CitiPower,</w:t>
      </w:r>
      <w:r>
        <w:t xml:space="preserve"> </w:t>
      </w:r>
      <w:r w:rsidRPr="00E12486">
        <w:rPr>
          <w:rStyle w:val="AERtextitalic"/>
        </w:rPr>
        <w:t>Appendix J - Gamma</w:t>
      </w:r>
      <w:r>
        <w:t xml:space="preserve">, April 2015, pp. 4-7.; Powercor, </w:t>
      </w:r>
      <w:r w:rsidRPr="00E12486">
        <w:rPr>
          <w:rStyle w:val="AERtextitalic"/>
        </w:rPr>
        <w:t>Appendix J - Gamma</w:t>
      </w:r>
      <w:r>
        <w:t xml:space="preserve">, April 2015, pp. 4-7; Jemena Electricity, </w:t>
      </w:r>
      <w:r w:rsidRPr="00E12486">
        <w:rPr>
          <w:rStyle w:val="AERtextitalic"/>
        </w:rPr>
        <w:t>Attachment 06-06 Gamma proposal</w:t>
      </w:r>
      <w:r>
        <w:t>, April 2015, pp. 6-8;</w:t>
      </w:r>
      <w:r w:rsidRPr="00A427FF">
        <w:t xml:space="preserve"> </w:t>
      </w:r>
      <w:r>
        <w:t xml:space="preserve">SA Power Networks, </w:t>
      </w:r>
      <w:r>
        <w:rPr>
          <w:rStyle w:val="AERtextitalic"/>
        </w:rPr>
        <w:t>Revised regulatory proposal 2015-20</w:t>
      </w:r>
      <w:r>
        <w:t xml:space="preserve">, July 2015, p. 378; Energex, </w:t>
      </w:r>
      <w:r w:rsidRPr="00E12486">
        <w:rPr>
          <w:rStyle w:val="AERtextitalic"/>
        </w:rPr>
        <w:t>Revised Regulatory Proposal</w:t>
      </w:r>
      <w:r>
        <w:t xml:space="preserve">, July 2015, pp. 124-125; Ergon, </w:t>
      </w:r>
      <w:r w:rsidRPr="00E12486">
        <w:rPr>
          <w:rStyle w:val="AERtextitalic"/>
        </w:rPr>
        <w:t>Revised Regulatory Proposal</w:t>
      </w:r>
      <w:r>
        <w:t>, July 2015, p</w:t>
      </w:r>
      <w:r w:rsidR="00E12486">
        <w:t xml:space="preserve">. </w:t>
      </w:r>
      <w:r>
        <w:t xml:space="preserve">153; ActewAGL Distribution, </w:t>
      </w:r>
      <w:r w:rsidRPr="00E12486">
        <w:rPr>
          <w:rStyle w:val="AERtextitalic"/>
        </w:rPr>
        <w:t>Attachment 8 Detailed gamma proposal</w:t>
      </w:r>
      <w:r>
        <w:t xml:space="preserve">, June 2015, pp. 4-6; Australian Gas Networks, </w:t>
      </w:r>
      <w:r w:rsidRPr="00E12486">
        <w:rPr>
          <w:rStyle w:val="AERtextitalic"/>
        </w:rPr>
        <w:t>Access Arrangement Information - Attachment 11.2 Value of Imputation Credits</w:t>
      </w:r>
      <w:r>
        <w:t>, July 2015; pp. 3-6. Amadeus Gas Pipeline</w:t>
      </w:r>
      <w:r w:rsidR="00E12486">
        <w:t>,</w:t>
      </w:r>
      <w:r>
        <w:t xml:space="preserve"> </w:t>
      </w:r>
      <w:r w:rsidRPr="00E12486">
        <w:rPr>
          <w:rStyle w:val="AERtextitalic"/>
        </w:rPr>
        <w:t>Access Arrangement Revision Proposal Submission</w:t>
      </w:r>
      <w:r>
        <w:t>, August 2015, p. 153.</w:t>
      </w:r>
    </w:p>
  </w:footnote>
  <w:footnote w:id="302">
    <w:p w14:paraId="05294845" w14:textId="77777777" w:rsidR="00CF4D6D" w:rsidRDefault="00CF4D6D">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216.</w:t>
      </w:r>
    </w:p>
  </w:footnote>
  <w:footnote w:id="303">
    <w:p w14:paraId="1BC62DF9" w14:textId="77777777" w:rsidR="00CF4D6D" w:rsidRDefault="00CF4D6D">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7–8.</w:t>
      </w:r>
    </w:p>
  </w:footnote>
  <w:footnote w:id="304">
    <w:p w14:paraId="5A28E871" w14:textId="77F4E04C" w:rsidR="00CF4D6D" w:rsidRDefault="00CF4D6D">
      <w:pPr>
        <w:pStyle w:val="FootnoteText"/>
      </w:pPr>
      <w:r>
        <w:rPr>
          <w:rStyle w:val="FootnoteReference"/>
        </w:rPr>
        <w:footnoteRef/>
      </w:r>
      <w:r>
        <w:t xml:space="preserve"> </w:t>
      </w:r>
      <w:r>
        <w:tab/>
      </w:r>
      <w:r w:rsidRPr="007646B1">
        <w:t xml:space="preserve">AER, </w:t>
      </w:r>
      <w:r>
        <w:rPr>
          <w:rStyle w:val="AERtextitalic"/>
        </w:rPr>
        <w:t>Better regulation: Explanatory 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w:t>
      </w:r>
      <w:r w:rsidRPr="007646B1">
        <w:t xml:space="preserve"> December 2013</w:t>
      </w:r>
      <w:r>
        <w:t>, pp. 163–164.</w:t>
      </w:r>
    </w:p>
  </w:footnote>
  <w:footnote w:id="305">
    <w:p w14:paraId="5CB4EBE7" w14:textId="397EB824" w:rsidR="00CF4D6D" w:rsidRDefault="00CF4D6D">
      <w:pPr>
        <w:pStyle w:val="FootnoteText"/>
      </w:pPr>
      <w:r>
        <w:rPr>
          <w:rStyle w:val="FootnoteReference"/>
        </w:rPr>
        <w:footnoteRef/>
      </w:r>
      <w:r>
        <w:t xml:space="preserve"> </w:t>
      </w:r>
      <w:r>
        <w:tab/>
        <w:t xml:space="preserve">EMRF, </w:t>
      </w:r>
      <w:r w:rsidRPr="006D5D8E">
        <w:rPr>
          <w:rStyle w:val="AERtextitalic"/>
        </w:rPr>
        <w:t>NSW Electricity Distribution Revenue Reset, AER Draft Decision and revised proposals from Ausgrid, Endeavour Energy and Essential Energy, A response</w:t>
      </w:r>
      <w:r>
        <w:t>, February 2015, pp. 31–32.</w:t>
      </w:r>
    </w:p>
  </w:footnote>
  <w:footnote w:id="306">
    <w:p w14:paraId="1CDE780F" w14:textId="77777777" w:rsidR="00CF4D6D" w:rsidRDefault="00CF4D6D" w:rsidP="00BC3784">
      <w:pPr>
        <w:pStyle w:val="FootnoteText"/>
      </w:pPr>
      <w:r>
        <w:rPr>
          <w:rStyle w:val="FootnoteReference"/>
        </w:rPr>
        <w:footnoteRef/>
      </w:r>
      <w:r>
        <w:t xml:space="preserve"> </w:t>
      </w:r>
      <w:r>
        <w:tab/>
        <w:t xml:space="preserve">The ATO website contains a list of events that cause a debit to a company's franking account balance: </w:t>
      </w:r>
      <w:r w:rsidRPr="006E4C5C">
        <w:t>https://www.ato.gov.au/Business/Imputation/In-detail/Simplified-imputation---the-franking-account/?page=5#When_does_a_franking_debit_arise_</w:t>
      </w:r>
      <w:r>
        <w:t xml:space="preserve">. Accessed 9 April 2015. NERA identified that the bankruptcy of a company and the failure of a company to report its franking account balance can also cause the aggregate franking account balance to decrease: </w:t>
      </w:r>
      <w:r w:rsidRPr="002C1893">
        <w:t xml:space="preserve">NERA, </w:t>
      </w:r>
      <w:r w:rsidRPr="002C1893">
        <w:rPr>
          <w:rStyle w:val="AERtextitalic"/>
        </w:rPr>
        <w:t>The payout ratio: A report for the Energy Networks Association</w:t>
      </w:r>
      <w:r w:rsidRPr="002C1893">
        <w:t>, June 2013</w:t>
      </w:r>
      <w:r>
        <w:t>, p. 5</w:t>
      </w:r>
      <w:r w:rsidRPr="002C1893">
        <w:t>.</w:t>
      </w:r>
    </w:p>
  </w:footnote>
  <w:footnote w:id="307">
    <w:p w14:paraId="1DB09FAF" w14:textId="77777777" w:rsidR="00CF4D6D" w:rsidRDefault="00CF4D6D"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xml:space="preserve">, September 2013, para. 97; </w:t>
      </w:r>
      <w:r w:rsidRPr="002C1893">
        <w:t xml:space="preserve">NERA, </w:t>
      </w:r>
      <w:r w:rsidRPr="002C1893">
        <w:rPr>
          <w:rStyle w:val="AERtextitalic"/>
        </w:rPr>
        <w:t>The payout ratio: A report for the Energy Networks Association</w:t>
      </w:r>
      <w:r w:rsidRPr="002C1893">
        <w:t>, June 2013</w:t>
      </w:r>
      <w:r>
        <w:t>, p. 11</w:t>
      </w:r>
      <w:r w:rsidRPr="002C1893">
        <w:t>.</w:t>
      </w:r>
    </w:p>
  </w:footnote>
  <w:footnote w:id="308">
    <w:p w14:paraId="1BEAB3F3" w14:textId="77777777" w:rsidR="00CF4D6D" w:rsidRDefault="00CF4D6D" w:rsidP="00BC3784">
      <w:pPr>
        <w:pStyle w:val="FootnoteText"/>
      </w:pPr>
      <w:r>
        <w:rPr>
          <w:rStyle w:val="FootnoteReference"/>
        </w:rPr>
        <w:footnoteRef/>
      </w:r>
      <w:r>
        <w:t xml:space="preserve"> </w:t>
      </w:r>
      <w:r>
        <w:tab/>
      </w:r>
      <w:r w:rsidRPr="002C1893">
        <w:t xml:space="preserve">NERA, </w:t>
      </w:r>
      <w:r w:rsidRPr="002C1893">
        <w:rPr>
          <w:rStyle w:val="AERtextitalic"/>
        </w:rPr>
        <w:t>The payout ratio: A report for the Energy Networks Association</w:t>
      </w:r>
      <w:r w:rsidRPr="002C1893">
        <w:t>, June 2013</w:t>
      </w:r>
      <w:r>
        <w:t>, p. 11</w:t>
      </w:r>
      <w:r w:rsidRPr="002C1893">
        <w:t>.</w:t>
      </w:r>
    </w:p>
  </w:footnote>
  <w:footnote w:id="309">
    <w:p w14:paraId="16062DAC" w14:textId="77777777" w:rsidR="00CF4D6D" w:rsidRDefault="00CF4D6D"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 99.</w:t>
      </w:r>
    </w:p>
  </w:footnote>
  <w:footnote w:id="310">
    <w:p w14:paraId="0612E266" w14:textId="77777777" w:rsidR="00CF4D6D" w:rsidRDefault="00CF4D6D" w:rsidP="00BC3784">
      <w:pPr>
        <w:pStyle w:val="FootnoteText"/>
      </w:pPr>
      <w:r>
        <w:rPr>
          <w:rStyle w:val="FootnoteReference"/>
        </w:rPr>
        <w:footnoteRef/>
      </w:r>
      <w:r>
        <w:t xml:space="preserve"> </w:t>
      </w:r>
      <w:r>
        <w:tab/>
        <w:t xml:space="preserve">M. Lally, </w:t>
      </w:r>
      <w:r w:rsidRPr="00550383">
        <w:rPr>
          <w:rStyle w:val="AERtextitalic"/>
        </w:rPr>
        <w:t>Review of submissions to the QCA on the MRP, risk-free rate and gamma</w:t>
      </w:r>
      <w:r>
        <w:t>, 12 March 2014, p. 30.</w:t>
      </w:r>
    </w:p>
  </w:footnote>
  <w:footnote w:id="311">
    <w:p w14:paraId="1D841E66" w14:textId="77777777" w:rsidR="00CF4D6D" w:rsidRDefault="00CF4D6D" w:rsidP="00C531B4">
      <w:pPr>
        <w:pStyle w:val="FootnoteText"/>
      </w:pPr>
      <w:r>
        <w:rPr>
          <w:rStyle w:val="FootnoteReference"/>
        </w:rPr>
        <w:footnoteRef/>
      </w:r>
      <w:r>
        <w:t xml:space="preserve"> </w:t>
      </w:r>
      <w:r>
        <w:tab/>
      </w:r>
      <w:r w:rsidRPr="00DF6BAC">
        <w:t xml:space="preserve">N. Hathaway, </w:t>
      </w:r>
      <w:r w:rsidRPr="00DF6BAC">
        <w:rPr>
          <w:rStyle w:val="AERtextitalic"/>
        </w:rPr>
        <w:t>Imputation cred</w:t>
      </w:r>
      <w:r>
        <w:rPr>
          <w:rStyle w:val="AERtextitalic"/>
        </w:rPr>
        <w:t>it redemption ATO data 1988–2012</w:t>
      </w:r>
      <w:r w:rsidRPr="00DF6BAC">
        <w:rPr>
          <w:rStyle w:val="AERtextitalic"/>
        </w:rPr>
        <w:t>: Where have all the credits gone?</w:t>
      </w:r>
      <w:r>
        <w:rPr>
          <w:rStyle w:val="AERtextitalic"/>
        </w:rPr>
        <w:t xml:space="preserve"> (draft)</w:t>
      </w:r>
      <w:r>
        <w:t>, October 2014.</w:t>
      </w:r>
    </w:p>
  </w:footnote>
  <w:footnote w:id="312">
    <w:p w14:paraId="708F037F" w14:textId="6C8415D5" w:rsidR="00CF4D6D" w:rsidRDefault="00CF4D6D">
      <w:pPr>
        <w:pStyle w:val="FootnoteText"/>
      </w:pPr>
      <w:r>
        <w:rPr>
          <w:rStyle w:val="FootnoteReference"/>
        </w:rPr>
        <w:footnoteRef/>
      </w:r>
      <w:r>
        <w:t xml:space="preserve"> </w:t>
      </w:r>
      <w:r>
        <w:tab/>
      </w:r>
      <w:r w:rsidRPr="00DF6BAC">
        <w:t xml:space="preserve">N. Hathaway, </w:t>
      </w:r>
      <w:r w:rsidRPr="00DF6BAC">
        <w:rPr>
          <w:rStyle w:val="AERtextitalic"/>
        </w:rPr>
        <w:t>Imputation cred</w:t>
      </w:r>
      <w:r>
        <w:rPr>
          <w:rStyle w:val="AERtextitalic"/>
        </w:rPr>
        <w:t>it redemption ATO data 1988–2012</w:t>
      </w:r>
      <w:r w:rsidRPr="00DF6BAC">
        <w:rPr>
          <w:rStyle w:val="AERtextitalic"/>
        </w:rPr>
        <w:t>: Where have all the credits gone?</w:t>
      </w:r>
      <w:r>
        <w:rPr>
          <w:rStyle w:val="AERtextitalic"/>
        </w:rPr>
        <w:t xml:space="preserve"> (</w:t>
      </w:r>
      <w:proofErr w:type="gramStart"/>
      <w:r>
        <w:rPr>
          <w:rStyle w:val="AERtextitalic"/>
        </w:rPr>
        <w:t>draft</w:t>
      </w:r>
      <w:proofErr w:type="gramEnd"/>
      <w:r>
        <w:rPr>
          <w:rStyle w:val="AERtextitalic"/>
        </w:rPr>
        <w:t>)</w:t>
      </w:r>
      <w:r w:rsidR="00E12486">
        <w:t>, October 2014.</w:t>
      </w:r>
    </w:p>
  </w:footnote>
  <w:footnote w:id="313">
    <w:p w14:paraId="3986142D" w14:textId="77777777" w:rsidR="00CF4D6D" w:rsidRDefault="00CF4D6D" w:rsidP="0016005F">
      <w:pPr>
        <w:pStyle w:val="FootnoteText"/>
      </w:pPr>
      <w:r>
        <w:rPr>
          <w:rStyle w:val="FootnoteReference"/>
        </w:rPr>
        <w:footnoteRef/>
      </w:r>
      <w:r>
        <w:t xml:space="preserve"> </w:t>
      </w:r>
      <w:r>
        <w:tab/>
        <w:t xml:space="preserve">Specifically, we use data from </w:t>
      </w:r>
      <w:r w:rsidRPr="00B01373">
        <w:t>Australian National Accounts: Finance and Wealth</w:t>
      </w:r>
      <w:r w:rsidRPr="0061054A">
        <w:t xml:space="preserve"> (ABS cat. 5232.0)</w:t>
      </w:r>
      <w:r>
        <w:t>.</w:t>
      </w:r>
    </w:p>
  </w:footnote>
  <w:footnote w:id="314">
    <w:p w14:paraId="67C0D1B2" w14:textId="77777777" w:rsidR="00CF4D6D" w:rsidRDefault="00CF4D6D" w:rsidP="0016005F">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xml:space="preserve">, pp. 24–25; </w:t>
      </w:r>
      <w:r w:rsidRPr="00582678">
        <w:t xml:space="preserve">M. Lally, </w:t>
      </w:r>
      <w:r w:rsidRPr="00582678">
        <w:rPr>
          <w:rStyle w:val="AERtextitalic"/>
        </w:rPr>
        <w:t>The estimation of gamma</w:t>
      </w:r>
      <w:r w:rsidRPr="00582678">
        <w:t>, 23 November 2013</w:t>
      </w:r>
      <w:r>
        <w:t>, pp. 11–12.</w:t>
      </w:r>
    </w:p>
  </w:footnote>
  <w:footnote w:id="315">
    <w:p w14:paraId="6B398136" w14:textId="77777777" w:rsidR="00CF4D6D" w:rsidRDefault="00CF4D6D" w:rsidP="0016005F">
      <w:pPr>
        <w:pStyle w:val="FootnoteText"/>
      </w:pPr>
      <w:r>
        <w:rPr>
          <w:rStyle w:val="FootnoteReference"/>
        </w:rPr>
        <w:footnoteRef/>
      </w:r>
      <w:r>
        <w:t xml:space="preserve"> </w:t>
      </w:r>
      <w:r>
        <w:tab/>
      </w:r>
      <w:r w:rsidRPr="00853053">
        <w:t xml:space="preserve">Australian Bureau of Statistics, </w:t>
      </w:r>
      <w:r w:rsidRPr="00853053">
        <w:rPr>
          <w:rStyle w:val="AERtextitalic"/>
        </w:rPr>
        <w:t>Feature article: Foreign ownership of equity</w:t>
      </w:r>
      <w:r w:rsidRPr="00853053">
        <w:t xml:space="preserve">, </w:t>
      </w:r>
      <w:r>
        <w:t xml:space="preserve">September 2007. </w:t>
      </w:r>
      <w:r w:rsidRPr="00853053">
        <w:t xml:space="preserve">Available at: </w:t>
      </w:r>
      <w:r w:rsidRPr="00611553">
        <w:t>http://www.abs.gov.au/AUSSTATS/abs@.nsf/Previousproducts/5302.0Feature%20Article10Sep%202007?opendocument&amp;tabname=Summary&amp;prodno=5302.0&amp;issue=Sep%202007&amp;num=&amp;view</w:t>
      </w:r>
      <w:r>
        <w:t>. Accessed 9 April 2015.</w:t>
      </w:r>
    </w:p>
  </w:footnote>
  <w:footnote w:id="316">
    <w:p w14:paraId="181EF5DF" w14:textId="77777777" w:rsidR="00CF4D6D" w:rsidRDefault="00CF4D6D" w:rsidP="0016005F">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figure 5.</w:t>
      </w:r>
    </w:p>
  </w:footnote>
  <w:footnote w:id="317">
    <w:p w14:paraId="76CB2C39" w14:textId="77777777" w:rsidR="00CF4D6D" w:rsidRDefault="00CF4D6D">
      <w:pPr>
        <w:pStyle w:val="FootnoteText"/>
      </w:pPr>
      <w:r>
        <w:rPr>
          <w:rStyle w:val="FootnoteReference"/>
        </w:rPr>
        <w:footnoteRef/>
      </w:r>
      <w:r>
        <w:t xml:space="preserve"> </w:t>
      </w:r>
      <w:r>
        <w:tab/>
        <w:t>If governments are assumed to waste the credits they receive, the equity ownership approach supports an estimate of the utilisation rate of between 0.54 and 0.65 if all equity is considered, and between 0.38 and 0.54 if only listed equity is considered.</w:t>
      </w:r>
    </w:p>
  </w:footnote>
  <w:footnote w:id="318">
    <w:p w14:paraId="6B6C7A18" w14:textId="2CB50A9F" w:rsidR="00CF4D6D" w:rsidRDefault="00CF4D6D">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pp. 485–486; Ausgrid, </w:t>
      </w:r>
      <w:r w:rsidRPr="00D75F7A">
        <w:rPr>
          <w:rStyle w:val="AERtextitalic"/>
        </w:rPr>
        <w:t>Ausgrid's revised proposal on gamma</w:t>
      </w:r>
      <w:r>
        <w:t xml:space="preserve">, January 2015, p. 1; Directlink, </w:t>
      </w:r>
      <w:r w:rsidRPr="0000771B">
        <w:rPr>
          <w:rStyle w:val="AERtextitalic"/>
        </w:rPr>
        <w:t>Directlink submission on gamma (updated)</w:t>
      </w:r>
      <w:r>
        <w:t>, January 2015, p. 1</w:t>
      </w:r>
      <w:r>
        <w:softHyphen/>
        <w:t xml:space="preserve">;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January 2015, p. 1</w:t>
      </w:r>
      <w:r w:rsidR="00E12486">
        <w:t xml:space="preserve">; </w:t>
      </w:r>
      <w:r>
        <w:t xml:space="preserve"> JGN, </w:t>
      </w:r>
      <w:r w:rsidRPr="000E181F">
        <w:rPr>
          <w:rStyle w:val="AERtextitalic"/>
        </w:rPr>
        <w:t>Gamma - response to the draft decision</w:t>
      </w:r>
      <w:r>
        <w:t xml:space="preserve">, February 2015, p. 1; Jemena Electricity, </w:t>
      </w:r>
      <w:r w:rsidRPr="00E12486">
        <w:rPr>
          <w:rStyle w:val="AERtextitalic"/>
        </w:rPr>
        <w:t>Attachment 06-06 Gamma proposal, April 2015</w:t>
      </w:r>
      <w:r>
        <w:t>, p</w:t>
      </w:r>
      <w:r w:rsidR="00E12486">
        <w:t>. 1</w:t>
      </w:r>
      <w:r>
        <w:t xml:space="preserve">; Energex, </w:t>
      </w:r>
      <w:r w:rsidRPr="00E12486">
        <w:rPr>
          <w:rStyle w:val="AERtextitalic"/>
        </w:rPr>
        <w:t>Revised Regulatory Proposal</w:t>
      </w:r>
      <w:r>
        <w:t xml:space="preserve">, July 2015, p. 13;   Powercor, </w:t>
      </w:r>
      <w:r w:rsidRPr="00E12486">
        <w:rPr>
          <w:rStyle w:val="AERtextitalic"/>
        </w:rPr>
        <w:t>Regulatory Proposal 2016-20</w:t>
      </w:r>
      <w:r>
        <w:t xml:space="preserve">, April 2015, p. 249; CitiPower, </w:t>
      </w:r>
      <w:r w:rsidRPr="00E12486">
        <w:rPr>
          <w:rStyle w:val="AERtextitalic"/>
        </w:rPr>
        <w:t>Regulatory Proposal, April 2015</w:t>
      </w:r>
      <w:r>
        <w:t xml:space="preserve">, p. 241; AusNet Services, </w:t>
      </w:r>
      <w:r w:rsidRPr="00E12486">
        <w:rPr>
          <w:rStyle w:val="AERtextitalic"/>
        </w:rPr>
        <w:t>2016-20 Regulatory Proposal</w:t>
      </w:r>
      <w:r>
        <w:t xml:space="preserve">, April 2015, pp. 367-368; United Energy, </w:t>
      </w:r>
      <w:r w:rsidRPr="00E12486">
        <w:rPr>
          <w:rStyle w:val="AERtextitalic"/>
        </w:rPr>
        <w:t>Assessment of the Value of Imputation Credits - Gamma, Proposal for 2016 to 2020</w:t>
      </w:r>
      <w:r>
        <w:t xml:space="preserve">, April 2015, pp. 19-20.  </w:t>
      </w:r>
    </w:p>
  </w:footnote>
  <w:footnote w:id="319">
    <w:p w14:paraId="3B94E06F" w14:textId="77777777" w:rsidR="00CF4D6D" w:rsidRDefault="00CF4D6D">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p.12.</w:t>
      </w:r>
    </w:p>
  </w:footnote>
  <w:footnote w:id="320">
    <w:p w14:paraId="5972C396" w14:textId="0C602A80" w:rsidR="00CF4D6D" w:rsidRDefault="00CF4D6D">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11; Ausgrid, </w:t>
      </w:r>
      <w:r w:rsidRPr="00D75F7A">
        <w:rPr>
          <w:rStyle w:val="AERtextitalic"/>
        </w:rPr>
        <w:t>Ausgrid's revised proposal on gamma</w:t>
      </w:r>
      <w:r>
        <w:t xml:space="preserve">, January 2015, p. 12; Directlink, </w:t>
      </w:r>
      <w:r w:rsidRPr="0000771B">
        <w:rPr>
          <w:rStyle w:val="AERtextitalic"/>
        </w:rPr>
        <w:t>Directlink submission on gamma (updated)</w:t>
      </w:r>
      <w:r>
        <w:t xml:space="preserve">, January 2015, p. 16; Endeavour Energy, </w:t>
      </w:r>
      <w:r w:rsidRPr="00DF3162">
        <w:rPr>
          <w:rStyle w:val="AERtextitalic"/>
        </w:rPr>
        <w:t>Endeavour Energy's response to the AER draft decision re gamma</w:t>
      </w:r>
      <w:r>
        <w:t xml:space="preserve">, January 2015, p. 12; Essential Energy, </w:t>
      </w:r>
      <w:r w:rsidRPr="000E181F">
        <w:rPr>
          <w:rStyle w:val="AERtextitalic"/>
        </w:rPr>
        <w:t>Essential's response to AER draft decision re gamma</w:t>
      </w:r>
      <w:r>
        <w:t xml:space="preserve">, January 2015, p. 12; JGN, </w:t>
      </w:r>
      <w:r w:rsidRPr="000E181F">
        <w:rPr>
          <w:rStyle w:val="AERtextitalic"/>
        </w:rPr>
        <w:t>Gamma - response to the draft decision</w:t>
      </w:r>
      <w:r>
        <w:t xml:space="preserve">, February 2015, p. 14; Access Arrangement Information for Australian Gas Networks' South Australian Natural Gas Distribution Network, July 2015, </w:t>
      </w:r>
      <w:r w:rsidR="00E12486">
        <w:t xml:space="preserve">p. </w:t>
      </w:r>
      <w:r>
        <w:t xml:space="preserve">14; Jemena Electricity, </w:t>
      </w:r>
      <w:r w:rsidRPr="00E12486">
        <w:rPr>
          <w:rStyle w:val="AERtextitalic"/>
        </w:rPr>
        <w:t>Attachment 06-06 Gamma proposal</w:t>
      </w:r>
      <w:r>
        <w:t>, April 2015, p.17</w:t>
      </w:r>
      <w:r w:rsidRPr="00080933">
        <w:t xml:space="preserve"> </w:t>
      </w:r>
      <w:r>
        <w:t xml:space="preserve"> ;   Powercor, </w:t>
      </w:r>
      <w:r w:rsidRPr="00E12486">
        <w:rPr>
          <w:rStyle w:val="AERtextitalic"/>
        </w:rPr>
        <w:t>Regulatory Proposal 2016-20</w:t>
      </w:r>
      <w:r>
        <w:t xml:space="preserve">, April 2015, p. 17 ; CitiPower, </w:t>
      </w:r>
      <w:r w:rsidRPr="00E12486">
        <w:rPr>
          <w:rStyle w:val="AERtextitalic"/>
        </w:rPr>
        <w:t>Regulatory Proposal</w:t>
      </w:r>
      <w:r>
        <w:t xml:space="preserve">, April 2015, p. 17; AusNet Services, </w:t>
      </w:r>
      <w:r w:rsidRPr="00E12486">
        <w:rPr>
          <w:rStyle w:val="AERtextitalic"/>
        </w:rPr>
        <w:t>2016-20 Regulatory Proposal</w:t>
      </w:r>
      <w:r>
        <w:t>, April 2015, p. 368; United Energy, A</w:t>
      </w:r>
      <w:r w:rsidRPr="00E12486">
        <w:rPr>
          <w:rStyle w:val="AERtextitalic"/>
        </w:rPr>
        <w:t>ssessment of the Value of Imputation Credits - Gamma, Proposal for 2016 to 2020</w:t>
      </w:r>
      <w:r>
        <w:t>, April 2015, p. 20;</w:t>
      </w:r>
      <w:r w:rsidRPr="0066139F">
        <w:t xml:space="preserve"> </w:t>
      </w:r>
      <w:r>
        <w:t xml:space="preserve">ActewAGL Distribution, </w:t>
      </w:r>
      <w:r w:rsidRPr="00E12486">
        <w:rPr>
          <w:rStyle w:val="AERtextitalic"/>
        </w:rPr>
        <w:t>Attachment 8 Detailed gamma proposal</w:t>
      </w:r>
      <w:r>
        <w:t>, June 2015, p. 16</w:t>
      </w:r>
      <w:r w:rsidR="00E12486">
        <w:t>.</w:t>
      </w:r>
      <w:r>
        <w:t xml:space="preserve">   </w:t>
      </w:r>
    </w:p>
  </w:footnote>
  <w:footnote w:id="321">
    <w:p w14:paraId="22C6335A" w14:textId="77777777" w:rsidR="00CF4D6D" w:rsidRDefault="00CF4D6D">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13.</w:t>
      </w:r>
    </w:p>
  </w:footnote>
  <w:footnote w:id="322">
    <w:p w14:paraId="28ACBFB7" w14:textId="77777777" w:rsidR="00CF4D6D" w:rsidRDefault="00CF4D6D">
      <w:pPr>
        <w:pStyle w:val="FootnoteText"/>
      </w:pPr>
      <w:r>
        <w:rPr>
          <w:rStyle w:val="FootnoteReference"/>
        </w:rPr>
        <w:footnoteRef/>
      </w:r>
      <w:r>
        <w:t xml:space="preserve"> </w:t>
      </w:r>
      <w:r>
        <w:tab/>
        <w:t xml:space="preserve">SFG, </w:t>
      </w:r>
      <w:r>
        <w:rPr>
          <w:rStyle w:val="AERtextitalic"/>
        </w:rPr>
        <w:t>Estimating gamma for regulatory purposes</w:t>
      </w:r>
      <w:r>
        <w:t>, 6 February 2015, para. 147(a).</w:t>
      </w:r>
    </w:p>
  </w:footnote>
  <w:footnote w:id="323">
    <w:p w14:paraId="064395EB" w14:textId="77777777" w:rsidR="00CF4D6D" w:rsidRDefault="00CF4D6D">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footnote 16.</w:t>
      </w:r>
    </w:p>
  </w:footnote>
  <w:footnote w:id="324">
    <w:p w14:paraId="01839D67" w14:textId="6DE10E8E" w:rsidR="00CF4D6D" w:rsidRDefault="00CF4D6D">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pp 31-32.</w:t>
      </w:r>
      <w:proofErr w:type="gramEnd"/>
    </w:p>
  </w:footnote>
  <w:footnote w:id="325">
    <w:p w14:paraId="69DB01F4" w14:textId="77777777" w:rsidR="00CF4D6D" w:rsidRDefault="00CF4D6D" w:rsidP="00C06B80">
      <w:pPr>
        <w:pStyle w:val="FootnoteText"/>
      </w:pPr>
      <w:r>
        <w:rPr>
          <w:rStyle w:val="FootnoteReference"/>
        </w:rPr>
        <w:footnoteRef/>
      </w:r>
      <w:r>
        <w:t xml:space="preserve"> </w:t>
      </w:r>
      <w:r>
        <w:tab/>
        <w:t xml:space="preserve">These statistics are available at: </w:t>
      </w:r>
      <w:r w:rsidRPr="00611553">
        <w:t>https://www.ato.gov.au/About-ATO/Research-and-statistics/Taxation-statistics/</w:t>
      </w:r>
      <w:r>
        <w:t>. Accessed 9 April 2015.</w:t>
      </w:r>
    </w:p>
  </w:footnote>
  <w:footnote w:id="326">
    <w:p w14:paraId="11E6E694" w14:textId="77777777" w:rsidR="00CF4D6D" w:rsidRDefault="00CF4D6D" w:rsidP="00C06B80">
      <w:pPr>
        <w:pStyle w:val="FootnoteText"/>
      </w:pPr>
      <w:r>
        <w:rPr>
          <w:rStyle w:val="FootnoteReference"/>
        </w:rPr>
        <w:footnoteRef/>
      </w:r>
      <w:r>
        <w:t xml:space="preserve"> </w:t>
      </w:r>
      <w:r>
        <w:tab/>
      </w:r>
      <w:r w:rsidRPr="000A5FAF">
        <w:t xml:space="preserve">N. Hathaway, </w:t>
      </w:r>
      <w:r w:rsidRPr="000A5FAF">
        <w:rPr>
          <w:rStyle w:val="AERtextitalic"/>
        </w:rPr>
        <w:t>Imputation credit redemption ATO data 1988–2011: Where have all the credits gone?</w:t>
      </w:r>
      <w:r w:rsidRPr="000A5FAF">
        <w:t>, September 2013.</w:t>
      </w:r>
      <w:r>
        <w:t xml:space="preserve"> Hathaway's calculations actually suggest estimates of the utilisation rate of 0.44 and 0.62 and corresponding estimates of the distribution rate of 0.69 and 0.49, respectively. However, we round these distribution rate estimates up to 0.7 and 0.5, which implies slightly higher amounts of credits distributed and therefore slightly lower utilisation rates of 0.43 and 0.61.  </w:t>
      </w:r>
    </w:p>
  </w:footnote>
  <w:footnote w:id="327">
    <w:p w14:paraId="622875AF" w14:textId="77777777" w:rsidR="00CF4D6D" w:rsidRDefault="00CF4D6D" w:rsidP="00C06B80">
      <w:pPr>
        <w:pStyle w:val="FootnoteText"/>
      </w:pPr>
      <w:r>
        <w:rPr>
          <w:rStyle w:val="FootnoteReference"/>
        </w:rPr>
        <w:footnoteRef/>
      </w:r>
      <w:r>
        <w:t xml:space="preserve"> </w:t>
      </w:r>
      <w:r>
        <w:tab/>
      </w:r>
      <w:r w:rsidRPr="009A018E">
        <w:t xml:space="preserve">N. Hathaway, </w:t>
      </w:r>
      <w:r w:rsidRPr="009A018E">
        <w:rPr>
          <w:rStyle w:val="AERtextitalic"/>
        </w:rPr>
        <w:t>Imputation credit redemption ATO data 1988–2011: Where have all the credits gone?</w:t>
      </w:r>
      <w:r>
        <w:t>, September 2013, para. 32.</w:t>
      </w:r>
    </w:p>
  </w:footnote>
  <w:footnote w:id="328">
    <w:p w14:paraId="4537A413" w14:textId="77777777" w:rsidR="00CF4D6D" w:rsidRDefault="00CF4D6D" w:rsidP="00D236C4">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2370AA">
        <w:t xml:space="preserve"> </w:t>
      </w:r>
    </w:p>
  </w:footnote>
  <w:footnote w:id="329">
    <w:p w14:paraId="029E3D28" w14:textId="77777777" w:rsidR="00CF4D6D" w:rsidRDefault="00CF4D6D" w:rsidP="00292ECF">
      <w:pPr>
        <w:pStyle w:val="FootnoteText"/>
      </w:pPr>
      <w:r>
        <w:rPr>
          <w:rStyle w:val="FootnoteReference"/>
        </w:rPr>
        <w:footnoteRef/>
      </w:r>
      <w:r>
        <w:t xml:space="preserve"> </w:t>
      </w:r>
      <w:r>
        <w:tab/>
      </w:r>
      <w:r w:rsidRPr="00913229">
        <w:t xml:space="preserve">D. Vo, B. Gellard and S. Mero, 'Estimating the market value of franking credits: Empirical evidence from Australia', </w:t>
      </w:r>
      <w:r w:rsidRPr="00913229">
        <w:rPr>
          <w:rStyle w:val="AERtextitalic"/>
        </w:rPr>
        <w:t>ERA working paper</w:t>
      </w:r>
      <w:r w:rsidRPr="00913229">
        <w:t>, April 2013.</w:t>
      </w:r>
    </w:p>
  </w:footnote>
  <w:footnote w:id="330">
    <w:p w14:paraId="0B9CC941" w14:textId="77777777" w:rsidR="00CF4D6D" w:rsidRDefault="00CF4D6D" w:rsidP="00292ECF">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p>
  </w:footnote>
  <w:footnote w:id="331">
    <w:p w14:paraId="18E16C0E" w14:textId="77777777" w:rsidR="00CF4D6D" w:rsidRDefault="00CF4D6D" w:rsidP="00292ECF">
      <w:pPr>
        <w:pStyle w:val="FootnoteText"/>
      </w:pPr>
      <w:r>
        <w:rPr>
          <w:rStyle w:val="FootnoteReference"/>
        </w:rPr>
        <w:footnoteRef/>
      </w:r>
      <w:r>
        <w:t xml:space="preserve"> </w:t>
      </w:r>
      <w:r>
        <w:tab/>
        <w:t xml:space="preserve">SFG, </w:t>
      </w:r>
      <w:r w:rsidRPr="00B86472">
        <w:rPr>
          <w:rStyle w:val="AERtextitalic"/>
        </w:rPr>
        <w:t>Dividend drop-off estimate of theta</w:t>
      </w:r>
      <w:r>
        <w:rPr>
          <w:rStyle w:val="AERtextitalic"/>
        </w:rPr>
        <w:t>, Final report, Re: Application by Energex Limited (No 2) [2010] ACompT 7,</w:t>
      </w:r>
      <w:r>
        <w:t xml:space="preserve"> 21 March 2011.</w:t>
      </w:r>
    </w:p>
  </w:footnote>
  <w:footnote w:id="332">
    <w:p w14:paraId="1AFB0A5A" w14:textId="77777777" w:rsidR="00CF4D6D" w:rsidRDefault="00CF4D6D" w:rsidP="00292ECF">
      <w:pPr>
        <w:pStyle w:val="FootnoteText"/>
      </w:pPr>
      <w:r>
        <w:rPr>
          <w:rStyle w:val="FootnoteReference"/>
        </w:rPr>
        <w:footnoteRef/>
      </w:r>
      <w:r>
        <w:t xml:space="preserve"> </w:t>
      </w:r>
      <w:r>
        <w:tab/>
        <w:t xml:space="preserve">A. Minney, 'The valuation of franking credits to investors', </w:t>
      </w:r>
      <w:r w:rsidRPr="00CD1C0D">
        <w:rPr>
          <w:rStyle w:val="AERtextitalic"/>
        </w:rPr>
        <w:t>JASSA: The FINS</w:t>
      </w:r>
      <w:r>
        <w:rPr>
          <w:rStyle w:val="AERtextitalic"/>
        </w:rPr>
        <w:t>I</w:t>
      </w:r>
      <w:r w:rsidRPr="00CD1C0D">
        <w:rPr>
          <w:rStyle w:val="AERtextitalic"/>
        </w:rPr>
        <w:t>A journal of applied finance</w:t>
      </w:r>
      <w:r>
        <w:t>, no. 2, 2010, pp. 29–34.</w:t>
      </w:r>
    </w:p>
  </w:footnote>
  <w:footnote w:id="333">
    <w:p w14:paraId="2BC8EEE8" w14:textId="77777777" w:rsidR="00CF4D6D" w:rsidRDefault="00CF4D6D" w:rsidP="00292ECF">
      <w:pPr>
        <w:pStyle w:val="FootnoteText"/>
      </w:pPr>
      <w:r>
        <w:rPr>
          <w:rStyle w:val="FootnoteReference"/>
        </w:rPr>
        <w:footnoteRef/>
      </w:r>
      <w:r>
        <w:t xml:space="preserve"> </w:t>
      </w:r>
      <w:r>
        <w:tab/>
        <w:t xml:space="preserve">D. Beggs and C. Skeels, 'Market arbitrage of cash dividends and franking credits', </w:t>
      </w:r>
      <w:r w:rsidRPr="00341F25">
        <w:rPr>
          <w:rStyle w:val="AERtextitalic"/>
        </w:rPr>
        <w:t>The economic record</w:t>
      </w:r>
      <w:r>
        <w:t>, vol. 82, 2006, pp. 239</w:t>
      </w:r>
      <w:r>
        <w:rPr>
          <w:rFonts w:cs="Gautami"/>
        </w:rPr>
        <w:t>–</w:t>
      </w:r>
      <w:r>
        <w:t>252.</w:t>
      </w:r>
    </w:p>
  </w:footnote>
  <w:footnote w:id="334">
    <w:p w14:paraId="5682120F" w14:textId="77777777" w:rsidR="00CF4D6D" w:rsidRDefault="00CF4D6D" w:rsidP="00292ECF">
      <w:pPr>
        <w:pStyle w:val="FootnoteText"/>
      </w:pPr>
      <w:r>
        <w:rPr>
          <w:rStyle w:val="FootnoteReference"/>
        </w:rPr>
        <w:footnoteRef/>
      </w:r>
      <w:r>
        <w:t xml:space="preserve"> </w:t>
      </w:r>
      <w:r>
        <w:tab/>
        <w:t xml:space="preserve">N. Hathaway and B. Officer, </w:t>
      </w:r>
      <w:r w:rsidRPr="00AF729D">
        <w:rPr>
          <w:rStyle w:val="AERtextitalic"/>
        </w:rPr>
        <w:t>The value of imputation tax cred</w:t>
      </w:r>
      <w:r>
        <w:rPr>
          <w:rStyle w:val="AERtextitalic"/>
        </w:rPr>
        <w:t xml:space="preserve">its, </w:t>
      </w:r>
      <w:r w:rsidRPr="00AF729D">
        <w:rPr>
          <w:rStyle w:val="AERtextitalic"/>
        </w:rPr>
        <w:t>Update 2004</w:t>
      </w:r>
      <w:r>
        <w:t>, November 2004.</w:t>
      </w:r>
    </w:p>
  </w:footnote>
  <w:footnote w:id="335">
    <w:p w14:paraId="56FBAE7D" w14:textId="77777777" w:rsidR="00CF4D6D" w:rsidRDefault="00CF4D6D" w:rsidP="00292ECF">
      <w:pPr>
        <w:pStyle w:val="FootnoteText"/>
      </w:pPr>
      <w:r>
        <w:rPr>
          <w:rStyle w:val="FootnoteReference"/>
        </w:rPr>
        <w:footnoteRef/>
      </w:r>
      <w:r>
        <w:t xml:space="preserve"> </w:t>
      </w:r>
      <w:r>
        <w:tab/>
      </w:r>
      <w:r w:rsidRPr="003A3A99">
        <w:t xml:space="preserve">D. Bellamy and S. Gray, 'Using stock price changes to estimate the value of dividend franking credits', </w:t>
      </w:r>
      <w:r w:rsidRPr="003A3A99">
        <w:rPr>
          <w:rStyle w:val="AERtextitalic"/>
        </w:rPr>
        <w:t>working paper, University of Queensland Business School</w:t>
      </w:r>
      <w:r w:rsidRPr="003A3A99">
        <w:t>, March 2004.</w:t>
      </w:r>
    </w:p>
  </w:footnote>
  <w:footnote w:id="336">
    <w:p w14:paraId="1061DC43" w14:textId="77777777" w:rsidR="00CF4D6D" w:rsidRDefault="00CF4D6D" w:rsidP="00292ECF">
      <w:pPr>
        <w:pStyle w:val="FootnoteText"/>
      </w:pPr>
      <w:r>
        <w:rPr>
          <w:rStyle w:val="FootnoteReference"/>
        </w:rPr>
        <w:footnoteRef/>
      </w:r>
      <w:r>
        <w:t xml:space="preserve"> </w:t>
      </w:r>
      <w:r>
        <w:tab/>
        <w:t>P. Bruckner, N. Dews and D. White, '</w:t>
      </w:r>
      <w:r w:rsidRPr="002B2BAB">
        <w:t xml:space="preserve">Capturing </w:t>
      </w:r>
      <w:r>
        <w:t>v</w:t>
      </w:r>
      <w:r w:rsidRPr="002B2BAB">
        <w:t xml:space="preserve">alue from </w:t>
      </w:r>
      <w:r>
        <w:t>d</w:t>
      </w:r>
      <w:r w:rsidRPr="002B2BAB">
        <w:t xml:space="preserve">ividend </w:t>
      </w:r>
      <w:r>
        <w:t>i</w:t>
      </w:r>
      <w:r w:rsidRPr="002B2BAB">
        <w:t xml:space="preserve">mputation: How Australian </w:t>
      </w:r>
      <w:r>
        <w:t>c</w:t>
      </w:r>
      <w:r w:rsidRPr="002B2BAB">
        <w:t xml:space="preserve">ompanies </w:t>
      </w:r>
      <w:r>
        <w:t>s</w:t>
      </w:r>
      <w:r w:rsidRPr="002B2BAB">
        <w:t xml:space="preserve">hould </w:t>
      </w:r>
      <w:r>
        <w:t>r</w:t>
      </w:r>
      <w:r w:rsidRPr="002B2BAB">
        <w:t xml:space="preserve">ecognize and </w:t>
      </w:r>
      <w:r>
        <w:t>c</w:t>
      </w:r>
      <w:r w:rsidRPr="002B2BAB">
        <w:t xml:space="preserve">apitalise on a </w:t>
      </w:r>
      <w:r>
        <w:t>m</w:t>
      </w:r>
      <w:r w:rsidRPr="002B2BAB">
        <w:t xml:space="preserve">ajor </w:t>
      </w:r>
      <w:r>
        <w:t>o</w:t>
      </w:r>
      <w:r w:rsidRPr="002B2BAB">
        <w:t xml:space="preserve">pportunity to </w:t>
      </w:r>
      <w:r>
        <w:t>i</w:t>
      </w:r>
      <w:r w:rsidRPr="002B2BAB">
        <w:t xml:space="preserve">ncrease </w:t>
      </w:r>
      <w:r>
        <w:t>s</w:t>
      </w:r>
      <w:r w:rsidRPr="002B2BAB">
        <w:t xml:space="preserve">hareholder </w:t>
      </w:r>
      <w:r>
        <w:t>v</w:t>
      </w:r>
      <w:r w:rsidRPr="002B2BAB">
        <w:t>alue</w:t>
      </w:r>
      <w:r>
        <w:t xml:space="preserve">', </w:t>
      </w:r>
      <w:r w:rsidRPr="0073373B">
        <w:rPr>
          <w:rStyle w:val="AERtextitalic"/>
        </w:rPr>
        <w:t>McKinsey and Company report</w:t>
      </w:r>
      <w:r w:rsidRPr="005A578B">
        <w:t>,</w:t>
      </w:r>
      <w:r>
        <w:t xml:space="preserve"> 1994.</w:t>
      </w:r>
    </w:p>
  </w:footnote>
  <w:footnote w:id="337">
    <w:p w14:paraId="154BAA91" w14:textId="77777777" w:rsidR="00CF4D6D" w:rsidRDefault="00CF4D6D" w:rsidP="00292ECF">
      <w:pPr>
        <w:pStyle w:val="FootnoteText"/>
      </w:pPr>
      <w:r>
        <w:rPr>
          <w:rStyle w:val="FootnoteReference"/>
        </w:rPr>
        <w:footnoteRef/>
      </w:r>
      <w:r>
        <w:t xml:space="preserve"> </w:t>
      </w:r>
      <w:r>
        <w:tab/>
        <w:t xml:space="preserve">P. Brown and A. Clarke, 'The ex-dividend day behaviour of Australian share prices before and after dividend imputation', </w:t>
      </w:r>
      <w:r w:rsidRPr="00B86472">
        <w:rPr>
          <w:rStyle w:val="AERtextitalic"/>
        </w:rPr>
        <w:t xml:space="preserve">Australian </w:t>
      </w:r>
      <w:r>
        <w:rPr>
          <w:rStyle w:val="AERtextitalic"/>
        </w:rPr>
        <w:t>j</w:t>
      </w:r>
      <w:r w:rsidRPr="00B86472">
        <w:rPr>
          <w:rStyle w:val="AERtextitalic"/>
        </w:rPr>
        <w:t xml:space="preserve">ournal of </w:t>
      </w:r>
      <w:r>
        <w:rPr>
          <w:rStyle w:val="AERtextitalic"/>
        </w:rPr>
        <w:t>m</w:t>
      </w:r>
      <w:r w:rsidRPr="00B86472">
        <w:rPr>
          <w:rStyle w:val="AERtextitalic"/>
        </w:rPr>
        <w:t>anagement</w:t>
      </w:r>
      <w:r>
        <w:t>, vol. 18, June 1993, pp. 1–40.</w:t>
      </w:r>
    </w:p>
  </w:footnote>
  <w:footnote w:id="338">
    <w:p w14:paraId="12DB474F" w14:textId="77777777" w:rsidR="00CF4D6D" w:rsidRDefault="00CF4D6D" w:rsidP="00292ECF">
      <w:pPr>
        <w:pStyle w:val="FootnoteText"/>
      </w:pPr>
      <w:r>
        <w:rPr>
          <w:rStyle w:val="FootnoteReference"/>
        </w:rPr>
        <w:footnoteRef/>
      </w:r>
      <w:r>
        <w:t xml:space="preserve"> </w:t>
      </w:r>
      <w:r>
        <w:tab/>
        <w:t xml:space="preserve">C. Feuerherdt, S. Gray and J. Hall, 'The value of imputation tax credits on Australian hybrid securities', </w:t>
      </w:r>
      <w:r w:rsidRPr="00C37255">
        <w:rPr>
          <w:rStyle w:val="AERtextitalic"/>
        </w:rPr>
        <w:t xml:space="preserve">International </w:t>
      </w:r>
      <w:r>
        <w:rPr>
          <w:rStyle w:val="AERtextitalic"/>
        </w:rPr>
        <w:t>r</w:t>
      </w:r>
      <w:r w:rsidRPr="00C37255">
        <w:rPr>
          <w:rStyle w:val="AERtextitalic"/>
        </w:rPr>
        <w:t xml:space="preserve">eview of </w:t>
      </w:r>
      <w:r>
        <w:rPr>
          <w:rStyle w:val="AERtextitalic"/>
        </w:rPr>
        <w:t>f</w:t>
      </w:r>
      <w:r w:rsidRPr="00C37255">
        <w:rPr>
          <w:rStyle w:val="AERtextitalic"/>
        </w:rPr>
        <w:t>inance,</w:t>
      </w:r>
      <w:r>
        <w:t xml:space="preserve"> vol. 10(3), 2010, pp. 365–401.</w:t>
      </w:r>
    </w:p>
  </w:footnote>
  <w:footnote w:id="339">
    <w:p w14:paraId="014B51E2" w14:textId="77777777" w:rsidR="00CF4D6D" w:rsidRDefault="00CF4D6D" w:rsidP="00292ECF">
      <w:pPr>
        <w:pStyle w:val="FootnoteText"/>
      </w:pPr>
      <w:r>
        <w:rPr>
          <w:rStyle w:val="FootnoteReference"/>
        </w:rPr>
        <w:footnoteRef/>
      </w:r>
      <w:r>
        <w:t xml:space="preserve"> </w:t>
      </w:r>
      <w:r>
        <w:tab/>
        <w:t xml:space="preserve">SFG, </w:t>
      </w:r>
      <w:r w:rsidRPr="005E70ED">
        <w:rPr>
          <w:rStyle w:val="AERtextitalic"/>
        </w:rPr>
        <w:t>Using market data to estimate the equilibrium value of distributed imputation tax credits, Report for the Energy Networks Association</w:t>
      </w:r>
      <w:r>
        <w:t>, 3 October 2013.</w:t>
      </w:r>
    </w:p>
  </w:footnote>
  <w:footnote w:id="340">
    <w:p w14:paraId="4190F6B6" w14:textId="77777777" w:rsidR="00CF4D6D" w:rsidRDefault="00CF4D6D" w:rsidP="00292ECF">
      <w:pPr>
        <w:pStyle w:val="FootnoteText"/>
      </w:pPr>
      <w:r>
        <w:rPr>
          <w:rStyle w:val="FootnoteReference"/>
        </w:rPr>
        <w:footnoteRef/>
      </w:r>
      <w:r>
        <w:t xml:space="preserve"> </w:t>
      </w:r>
      <w:r>
        <w:tab/>
        <w:t xml:space="preserve">D. Cannavan, F. Finn, S. Gray, 'The value of dividend imputation tax credits in Australia', </w:t>
      </w:r>
      <w:r>
        <w:rPr>
          <w:rStyle w:val="AERtextitalic"/>
        </w:rPr>
        <w:t>Journal of financial economics</w:t>
      </w:r>
      <w:r>
        <w:t>, vol. 73, 2004, pp. 167</w:t>
      </w:r>
      <w:r>
        <w:rPr>
          <w:rFonts w:cs="Gautami"/>
        </w:rPr>
        <w:t>–</w:t>
      </w:r>
      <w:r>
        <w:t>197.</w:t>
      </w:r>
    </w:p>
  </w:footnote>
  <w:footnote w:id="341">
    <w:p w14:paraId="71557304" w14:textId="77777777" w:rsidR="00CF4D6D" w:rsidRDefault="00CF4D6D" w:rsidP="00292ECF">
      <w:pPr>
        <w:pStyle w:val="FootnoteText"/>
      </w:pPr>
      <w:r>
        <w:rPr>
          <w:rStyle w:val="FootnoteReference"/>
        </w:rPr>
        <w:footnoteRef/>
      </w:r>
      <w:r>
        <w:t xml:space="preserve"> </w:t>
      </w:r>
      <w:r>
        <w:tab/>
        <w:t xml:space="preserve">J. Cummings and A. Frino, 'Tax effects on the pricing of Australian stock index futures', </w:t>
      </w:r>
      <w:r w:rsidRPr="00C37255">
        <w:rPr>
          <w:rStyle w:val="AERtextitalic"/>
        </w:rPr>
        <w:t xml:space="preserve">Australian </w:t>
      </w:r>
      <w:r>
        <w:rPr>
          <w:rStyle w:val="AERtextitalic"/>
        </w:rPr>
        <w:t>j</w:t>
      </w:r>
      <w:r w:rsidRPr="00C37255">
        <w:rPr>
          <w:rStyle w:val="AERtextitalic"/>
        </w:rPr>
        <w:t xml:space="preserve">ournal of </w:t>
      </w:r>
      <w:r>
        <w:rPr>
          <w:rStyle w:val="AERtextitalic"/>
        </w:rPr>
        <w:t>m</w:t>
      </w:r>
      <w:r w:rsidRPr="00C37255">
        <w:rPr>
          <w:rStyle w:val="AERtextitalic"/>
        </w:rPr>
        <w:t>anagement</w:t>
      </w:r>
      <w:r>
        <w:t>, vol. 33(2), December 2008, pp. 391</w:t>
      </w:r>
      <w:r w:rsidRPr="00CE4FAF">
        <w:t>–</w:t>
      </w:r>
      <w:r>
        <w:t>406.</w:t>
      </w:r>
    </w:p>
  </w:footnote>
  <w:footnote w:id="342">
    <w:p w14:paraId="762A5005" w14:textId="77777777" w:rsidR="00CF4D6D" w:rsidRDefault="00CF4D6D" w:rsidP="00292ECF">
      <w:pPr>
        <w:pStyle w:val="FootnoteText"/>
      </w:pPr>
      <w:r>
        <w:rPr>
          <w:rStyle w:val="FootnoteReference"/>
        </w:rPr>
        <w:footnoteRef/>
      </w:r>
      <w:r>
        <w:t xml:space="preserve"> </w:t>
      </w:r>
      <w:r>
        <w:tab/>
        <w:t xml:space="preserve">NERA, </w:t>
      </w:r>
      <w:r w:rsidRPr="004A02F9">
        <w:rPr>
          <w:rStyle w:val="AERtextitalic"/>
        </w:rPr>
        <w:t>Imputation credits and equity prices and returns, A report for the Energy Networks Association</w:t>
      </w:r>
      <w:r>
        <w:t xml:space="preserve">, October 2013. </w:t>
      </w:r>
    </w:p>
  </w:footnote>
  <w:footnote w:id="343">
    <w:p w14:paraId="504CBB7D" w14:textId="77777777" w:rsidR="00CF4D6D" w:rsidRDefault="00CF4D6D" w:rsidP="00292ECF">
      <w:pPr>
        <w:pStyle w:val="FootnoteText"/>
      </w:pPr>
      <w:r>
        <w:rPr>
          <w:rStyle w:val="FootnoteReference"/>
        </w:rPr>
        <w:footnoteRef/>
      </w:r>
      <w:r>
        <w:t xml:space="preserve"> </w:t>
      </w:r>
      <w:r>
        <w:tab/>
        <w:t xml:space="preserve">P. Lajbcygier and S. Wheatley, 'Imputation credits and equity returns', </w:t>
      </w:r>
      <w:r w:rsidRPr="00336C79">
        <w:rPr>
          <w:rStyle w:val="AERtextitalic"/>
        </w:rPr>
        <w:t>The economic record</w:t>
      </w:r>
      <w:r>
        <w:t>, vol. 88 (283), December 2012, pp. 476–494.</w:t>
      </w:r>
    </w:p>
  </w:footnote>
  <w:footnote w:id="344">
    <w:p w14:paraId="2AC18500" w14:textId="77777777" w:rsidR="00CF4D6D" w:rsidRDefault="00CF4D6D" w:rsidP="00292ECF">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ANU </w:t>
      </w:r>
      <w:r w:rsidRPr="00647825">
        <w:rPr>
          <w:rStyle w:val="AERtextitalic"/>
        </w:rPr>
        <w:t>working paper</w:t>
      </w:r>
      <w:r w:rsidRPr="00647825">
        <w:t>,</w:t>
      </w:r>
      <w:r>
        <w:t xml:space="preserve"> 18 June 2013.</w:t>
      </w:r>
    </w:p>
  </w:footnote>
  <w:footnote w:id="345">
    <w:p w14:paraId="43F47671" w14:textId="13B6BD60" w:rsidR="00CF4D6D" w:rsidRDefault="00CF4D6D" w:rsidP="00F43C4C">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Accounting and Finance, </w:t>
      </w:r>
      <w:r>
        <w:t xml:space="preserve"> Vol. 55, 2015, pp. 241-277.</w:t>
      </w:r>
    </w:p>
  </w:footnote>
  <w:footnote w:id="346">
    <w:p w14:paraId="710A0648" w14:textId="3ACAF405" w:rsidR="00CF4D6D" w:rsidRDefault="00CF4D6D">
      <w:pPr>
        <w:pStyle w:val="FootnoteText"/>
      </w:pPr>
      <w:r>
        <w:rPr>
          <w:rStyle w:val="FootnoteReference"/>
        </w:rPr>
        <w:footnoteRef/>
      </w:r>
      <w:r>
        <w:t xml:space="preserve"> </w:t>
      </w:r>
      <w:r>
        <w:tab/>
        <w:t xml:space="preserve">NERA, </w:t>
      </w:r>
      <w:r>
        <w:rPr>
          <w:rStyle w:val="AERtextitalic"/>
        </w:rPr>
        <w:t xml:space="preserve">Do Imputation Credits Lower the Cost of Equity? Cross-Sectional Tests </w:t>
      </w:r>
      <w:proofErr w:type="gramStart"/>
      <w:r>
        <w:rPr>
          <w:rStyle w:val="AERtextitalic"/>
        </w:rPr>
        <w:t>A</w:t>
      </w:r>
      <w:proofErr w:type="gramEnd"/>
      <w:r>
        <w:rPr>
          <w:rStyle w:val="AERtextitalic"/>
        </w:rPr>
        <w:t xml:space="preserve"> report for United Energy</w:t>
      </w:r>
      <w:r>
        <w:t>, April 2015.</w:t>
      </w:r>
    </w:p>
  </w:footnote>
  <w:footnote w:id="347">
    <w:p w14:paraId="5D181BA1" w14:textId="77777777" w:rsidR="00CF4D6D" w:rsidRDefault="00CF4D6D" w:rsidP="00292ECF">
      <w:pPr>
        <w:pStyle w:val="FootnoteText"/>
      </w:pPr>
      <w:r>
        <w:rPr>
          <w:rStyle w:val="FootnoteReference"/>
        </w:rPr>
        <w:footnoteRef/>
      </w:r>
      <w:r>
        <w:t xml:space="preserve"> </w:t>
      </w:r>
      <w:r>
        <w:tab/>
        <w:t xml:space="preserve">H. Chu and G. Partington, 'The market valuation of cash dividends: The case of the CRA bonus issue, </w:t>
      </w:r>
      <w:r w:rsidRPr="00C37255">
        <w:rPr>
          <w:rStyle w:val="AERtextitalic"/>
        </w:rPr>
        <w:t>International review of finance</w:t>
      </w:r>
      <w:r>
        <w:t>, Vol. 8(2), June 2008, pp. 1</w:t>
      </w:r>
      <w:r w:rsidRPr="00CE4FAF">
        <w:t>–</w:t>
      </w:r>
      <w:r>
        <w:t>20.</w:t>
      </w:r>
    </w:p>
  </w:footnote>
  <w:footnote w:id="348">
    <w:p w14:paraId="00E8C609" w14:textId="77777777" w:rsidR="00CF4D6D" w:rsidRDefault="00CF4D6D" w:rsidP="00292ECF">
      <w:pPr>
        <w:pStyle w:val="FootnoteText"/>
      </w:pPr>
      <w:r>
        <w:rPr>
          <w:rStyle w:val="FootnoteReference"/>
        </w:rPr>
        <w:footnoteRef/>
      </w:r>
      <w:r>
        <w:t xml:space="preserve"> </w:t>
      </w:r>
      <w:r>
        <w:tab/>
      </w:r>
      <w:r w:rsidRPr="009C64A5">
        <w:t xml:space="preserve">H. Chu and G. Partington, 'The market value of dividends: evidence from a new method', </w:t>
      </w:r>
      <w:r w:rsidRPr="009C64A5">
        <w:rPr>
          <w:rStyle w:val="AERtextitalic"/>
        </w:rPr>
        <w:t xml:space="preserve">Paper presented at the Accounting Association of Australia and New Zealand Annual Conference, Wellington, </w:t>
      </w:r>
      <w:r w:rsidRPr="009C64A5">
        <w:t>2001.</w:t>
      </w:r>
    </w:p>
  </w:footnote>
  <w:footnote w:id="349">
    <w:p w14:paraId="7D01F2E0" w14:textId="77777777" w:rsidR="00CF4D6D" w:rsidRDefault="00CF4D6D" w:rsidP="00292ECF">
      <w:pPr>
        <w:pStyle w:val="FootnoteText"/>
      </w:pPr>
      <w:r>
        <w:rPr>
          <w:rStyle w:val="FootnoteReference"/>
        </w:rPr>
        <w:footnoteRef/>
      </w:r>
      <w:r>
        <w:t xml:space="preserve"> </w:t>
      </w:r>
      <w:r>
        <w:tab/>
        <w:t xml:space="preserve">S. Walker and G. Partington, 'The value of dividends: Evidence from cum-dividend trading in the ex-dividend period', </w:t>
      </w:r>
      <w:r w:rsidRPr="007D37C7">
        <w:rPr>
          <w:rStyle w:val="AERtextitalic"/>
        </w:rPr>
        <w:t>Accounting and Finance</w:t>
      </w:r>
      <w:r>
        <w:t>, vol. 39(3), November 1999, pp. 275</w:t>
      </w:r>
      <w:r w:rsidRPr="00CE4FAF">
        <w:t>–</w:t>
      </w:r>
      <w:r>
        <w:t>296.</w:t>
      </w:r>
    </w:p>
  </w:footnote>
  <w:footnote w:id="350">
    <w:p w14:paraId="4ECF70A3" w14:textId="77777777" w:rsidR="00CF4D6D" w:rsidRDefault="00CF4D6D" w:rsidP="00D15D53">
      <w:pPr>
        <w:pStyle w:val="FootnoteText"/>
      </w:pPr>
      <w:r>
        <w:rPr>
          <w:rStyle w:val="FootnoteReference"/>
        </w:rPr>
        <w:footnoteRef/>
      </w:r>
      <w:r>
        <w:t xml:space="preserve"> </w:t>
      </w:r>
      <w:r>
        <w:tab/>
      </w:r>
      <w:r w:rsidRPr="00913229">
        <w:t xml:space="preserve">D. Vo, B. Gellard and S. Mero, 'Estimating the market value of franking credits: Empirical evidence from Australia', </w:t>
      </w:r>
      <w:r w:rsidRPr="00913229">
        <w:rPr>
          <w:rStyle w:val="AERtextitalic"/>
        </w:rPr>
        <w:t>ERA working paper</w:t>
      </w:r>
      <w:r w:rsidRPr="00913229">
        <w:t>, April 2013.</w:t>
      </w:r>
    </w:p>
  </w:footnote>
  <w:footnote w:id="351">
    <w:p w14:paraId="07210CF0" w14:textId="77777777" w:rsidR="00CF4D6D" w:rsidRDefault="00CF4D6D" w:rsidP="00D15D53">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r>
        <w:t>, p. 1</w:t>
      </w:r>
      <w:r w:rsidRPr="00B86472">
        <w:t>.</w:t>
      </w:r>
    </w:p>
  </w:footnote>
  <w:footnote w:id="352">
    <w:p w14:paraId="19F9FFFF" w14:textId="77777777" w:rsidR="00CF4D6D" w:rsidRDefault="00CF4D6D" w:rsidP="00D15D53">
      <w:pPr>
        <w:pStyle w:val="FootnoteText"/>
      </w:pPr>
      <w:r>
        <w:rPr>
          <w:rStyle w:val="FootnoteReference"/>
        </w:rPr>
        <w:footnoteRef/>
      </w:r>
      <w:r>
        <w:t xml:space="preserve"> </w:t>
      </w:r>
      <w:r>
        <w:tab/>
        <w:t xml:space="preserve">SFG, </w:t>
      </w:r>
      <w:r w:rsidRPr="00B86472">
        <w:rPr>
          <w:rStyle w:val="AERtextitalic"/>
        </w:rPr>
        <w:t>Dividend drop-off estimate of theta</w:t>
      </w:r>
      <w:r>
        <w:rPr>
          <w:rStyle w:val="AERtextitalic"/>
        </w:rPr>
        <w:t>, Final report, Re: Application by Energex Limited (No 2) [2010] ACompT 7,</w:t>
      </w:r>
      <w:r>
        <w:t xml:space="preserve"> 21 March 2011, p. 3.</w:t>
      </w:r>
    </w:p>
  </w:footnote>
  <w:footnote w:id="353">
    <w:p w14:paraId="26DEA4F1" w14:textId="77777777" w:rsidR="00CF4D6D" w:rsidRDefault="00CF4D6D" w:rsidP="00D15D53">
      <w:pPr>
        <w:pStyle w:val="FootnoteText"/>
      </w:pPr>
      <w:r>
        <w:rPr>
          <w:rStyle w:val="FootnoteReference"/>
        </w:rPr>
        <w:footnoteRef/>
      </w:r>
      <w:r>
        <w:t xml:space="preserve"> </w:t>
      </w:r>
      <w:r>
        <w:tab/>
        <w:t xml:space="preserve">A. Minney, 'The valuation of franking credits to investors', </w:t>
      </w:r>
      <w:r w:rsidRPr="00CD1C0D">
        <w:rPr>
          <w:rStyle w:val="AERtextitalic"/>
        </w:rPr>
        <w:t>JASSA: The FINS</w:t>
      </w:r>
      <w:r>
        <w:rPr>
          <w:rStyle w:val="AERtextitalic"/>
        </w:rPr>
        <w:t>I</w:t>
      </w:r>
      <w:r w:rsidRPr="00CD1C0D">
        <w:rPr>
          <w:rStyle w:val="AERtextitalic"/>
        </w:rPr>
        <w:t>A journal of applied finance</w:t>
      </w:r>
      <w:r>
        <w:t>, no. 2, 2010, p. 32.</w:t>
      </w:r>
    </w:p>
  </w:footnote>
  <w:footnote w:id="354">
    <w:p w14:paraId="466A7A15" w14:textId="77777777" w:rsidR="00CF4D6D" w:rsidRDefault="00CF4D6D" w:rsidP="00D15D53">
      <w:pPr>
        <w:pStyle w:val="FootnoteText"/>
      </w:pPr>
      <w:r>
        <w:rPr>
          <w:rStyle w:val="FootnoteReference"/>
        </w:rPr>
        <w:footnoteRef/>
      </w:r>
      <w:r>
        <w:t xml:space="preserve"> </w:t>
      </w:r>
      <w:r>
        <w:tab/>
        <w:t xml:space="preserve">D. Beggs and C. Skeels, 'Market arbitrage of cash dividends and franking credits', </w:t>
      </w:r>
      <w:r w:rsidRPr="00341F25">
        <w:rPr>
          <w:rStyle w:val="AERtextitalic"/>
        </w:rPr>
        <w:t>The economic record</w:t>
      </w:r>
      <w:r>
        <w:t>, vol. 82, 2006, p. 247.</w:t>
      </w:r>
    </w:p>
  </w:footnote>
  <w:footnote w:id="355">
    <w:p w14:paraId="7DDA4ADF" w14:textId="77777777" w:rsidR="00CF4D6D" w:rsidRDefault="00CF4D6D" w:rsidP="00D15D53">
      <w:pPr>
        <w:pStyle w:val="FootnoteText"/>
      </w:pPr>
      <w:r>
        <w:rPr>
          <w:rStyle w:val="FootnoteReference"/>
        </w:rPr>
        <w:footnoteRef/>
      </w:r>
      <w:r>
        <w:t xml:space="preserve"> </w:t>
      </w:r>
      <w:r>
        <w:tab/>
        <w:t xml:space="preserve">N. Hathaway and B. Officer, </w:t>
      </w:r>
      <w:r w:rsidRPr="00AF729D">
        <w:rPr>
          <w:rStyle w:val="AERtextitalic"/>
        </w:rPr>
        <w:t>The value of imputation tax credits</w:t>
      </w:r>
      <w:r>
        <w:rPr>
          <w:rStyle w:val="AERtextitalic"/>
        </w:rPr>
        <w:t xml:space="preserve">, </w:t>
      </w:r>
      <w:r w:rsidRPr="00AF729D">
        <w:rPr>
          <w:rStyle w:val="AERtextitalic"/>
        </w:rPr>
        <w:t>Update 2004</w:t>
      </w:r>
      <w:r>
        <w:t>, November 2004, p. 21.</w:t>
      </w:r>
    </w:p>
  </w:footnote>
  <w:footnote w:id="356">
    <w:p w14:paraId="3A7745A6" w14:textId="77777777" w:rsidR="00CF4D6D" w:rsidRDefault="00CF4D6D" w:rsidP="00D15D53">
      <w:pPr>
        <w:pStyle w:val="FootnoteText"/>
      </w:pPr>
      <w:r>
        <w:rPr>
          <w:rStyle w:val="FootnoteReference"/>
        </w:rPr>
        <w:footnoteRef/>
      </w:r>
      <w:r>
        <w:t xml:space="preserve"> </w:t>
      </w:r>
      <w:r>
        <w:tab/>
      </w:r>
      <w:r w:rsidRPr="003A3A99">
        <w:t xml:space="preserve">D. Bellamy and S. Gray, 'Using stock price changes to estimate the value of dividend franking credits', </w:t>
      </w:r>
      <w:r w:rsidRPr="003A3A99">
        <w:rPr>
          <w:rStyle w:val="AERtextitalic"/>
        </w:rPr>
        <w:t>working paper, University of Queensland Business School</w:t>
      </w:r>
      <w:r>
        <w:t>, March 2004, pp. 5 and 21.</w:t>
      </w:r>
    </w:p>
  </w:footnote>
  <w:footnote w:id="357">
    <w:p w14:paraId="0CB7B5DE" w14:textId="77777777" w:rsidR="00CF4D6D" w:rsidRDefault="00CF4D6D" w:rsidP="00D15D53">
      <w:pPr>
        <w:pStyle w:val="FootnoteText"/>
      </w:pPr>
      <w:r>
        <w:rPr>
          <w:rStyle w:val="FootnoteReference"/>
        </w:rPr>
        <w:footnoteRef/>
      </w:r>
      <w:r>
        <w:t xml:space="preserve"> </w:t>
      </w:r>
      <w:r>
        <w:tab/>
        <w:t>P. Bruckner, N. Dews and D. White, '</w:t>
      </w:r>
      <w:r w:rsidRPr="002B2BAB">
        <w:t xml:space="preserve">Capturing </w:t>
      </w:r>
      <w:r>
        <w:t>v</w:t>
      </w:r>
      <w:r w:rsidRPr="002B2BAB">
        <w:t xml:space="preserve">alue from </w:t>
      </w:r>
      <w:r>
        <w:t>d</w:t>
      </w:r>
      <w:r w:rsidRPr="002B2BAB">
        <w:t xml:space="preserve">ividend </w:t>
      </w:r>
      <w:r>
        <w:t>i</w:t>
      </w:r>
      <w:r w:rsidRPr="002B2BAB">
        <w:t xml:space="preserve">mputation: How Australian </w:t>
      </w:r>
      <w:r>
        <w:t>c</w:t>
      </w:r>
      <w:r w:rsidRPr="002B2BAB">
        <w:t xml:space="preserve">ompanies </w:t>
      </w:r>
      <w:r>
        <w:t>s</w:t>
      </w:r>
      <w:r w:rsidRPr="002B2BAB">
        <w:t xml:space="preserve">hould </w:t>
      </w:r>
      <w:r>
        <w:t>r</w:t>
      </w:r>
      <w:r w:rsidRPr="002B2BAB">
        <w:t xml:space="preserve">ecognize and </w:t>
      </w:r>
      <w:r>
        <w:t>c</w:t>
      </w:r>
      <w:r w:rsidRPr="002B2BAB">
        <w:t xml:space="preserve">apitalise on a </w:t>
      </w:r>
      <w:r>
        <w:t>m</w:t>
      </w:r>
      <w:r w:rsidRPr="002B2BAB">
        <w:t xml:space="preserve">ajor </w:t>
      </w:r>
      <w:r>
        <w:t>o</w:t>
      </w:r>
      <w:r w:rsidRPr="002B2BAB">
        <w:t xml:space="preserve">pportunity to </w:t>
      </w:r>
      <w:r>
        <w:t>i</w:t>
      </w:r>
      <w:r w:rsidRPr="002B2BAB">
        <w:t xml:space="preserve">ncrease </w:t>
      </w:r>
      <w:r>
        <w:t>s</w:t>
      </w:r>
      <w:r w:rsidRPr="002B2BAB">
        <w:t xml:space="preserve">hareholder </w:t>
      </w:r>
      <w:r>
        <w:t>v</w:t>
      </w:r>
      <w:r w:rsidRPr="002B2BAB">
        <w:t>alue</w:t>
      </w:r>
      <w:r>
        <w:t xml:space="preserve">', </w:t>
      </w:r>
      <w:r w:rsidRPr="0073373B">
        <w:rPr>
          <w:rStyle w:val="AERtextitalic"/>
        </w:rPr>
        <w:t>McKinsey and Company report</w:t>
      </w:r>
      <w:r w:rsidRPr="005A578B">
        <w:t>,</w:t>
      </w:r>
      <w:r>
        <w:t xml:space="preserve"> 1994, p. 27.</w:t>
      </w:r>
    </w:p>
  </w:footnote>
  <w:footnote w:id="358">
    <w:p w14:paraId="7EC8C0D7" w14:textId="77777777" w:rsidR="00CF4D6D" w:rsidRDefault="00CF4D6D" w:rsidP="00D15D53">
      <w:pPr>
        <w:pStyle w:val="FootnoteText"/>
      </w:pPr>
      <w:r>
        <w:rPr>
          <w:rStyle w:val="FootnoteReference"/>
        </w:rPr>
        <w:footnoteRef/>
      </w:r>
      <w:r>
        <w:t xml:space="preserve"> </w:t>
      </w:r>
      <w:r>
        <w:tab/>
        <w:t xml:space="preserve">P. Brown and A. Clarke, 'The ex-dividend day behaviour of Australian share prices before and after dividend imputation', </w:t>
      </w:r>
      <w:r w:rsidRPr="00B86472">
        <w:rPr>
          <w:rStyle w:val="AERtextitalic"/>
        </w:rPr>
        <w:t xml:space="preserve">Australian </w:t>
      </w:r>
      <w:r>
        <w:rPr>
          <w:rStyle w:val="AERtextitalic"/>
        </w:rPr>
        <w:t>j</w:t>
      </w:r>
      <w:r w:rsidRPr="00B86472">
        <w:rPr>
          <w:rStyle w:val="AERtextitalic"/>
        </w:rPr>
        <w:t xml:space="preserve">ournal of </w:t>
      </w:r>
      <w:r>
        <w:rPr>
          <w:rStyle w:val="AERtextitalic"/>
        </w:rPr>
        <w:t>m</w:t>
      </w:r>
      <w:r w:rsidRPr="00B86472">
        <w:rPr>
          <w:rStyle w:val="AERtextitalic"/>
        </w:rPr>
        <w:t>anagement</w:t>
      </w:r>
      <w:r>
        <w:t>, vol. 18, June 1993, p. 1.</w:t>
      </w:r>
    </w:p>
  </w:footnote>
  <w:footnote w:id="359">
    <w:p w14:paraId="769AE4F9" w14:textId="77777777" w:rsidR="00CF4D6D" w:rsidRDefault="00CF4D6D" w:rsidP="00D15D53">
      <w:pPr>
        <w:pStyle w:val="FootnoteText"/>
      </w:pPr>
      <w:r>
        <w:rPr>
          <w:rStyle w:val="FootnoteReference"/>
        </w:rPr>
        <w:footnoteRef/>
      </w:r>
      <w:r>
        <w:t xml:space="preserve"> </w:t>
      </w:r>
      <w:r>
        <w:tab/>
        <w:t xml:space="preserve">C. Feuerherdt, S. Gray and J. Hall, 'The value of imputation tax credits on Australian hybrid securities', </w:t>
      </w:r>
      <w:r w:rsidRPr="00C37255">
        <w:rPr>
          <w:rStyle w:val="AERtextitalic"/>
        </w:rPr>
        <w:t xml:space="preserve">International </w:t>
      </w:r>
      <w:r>
        <w:rPr>
          <w:rStyle w:val="AERtextitalic"/>
        </w:rPr>
        <w:t>r</w:t>
      </w:r>
      <w:r w:rsidRPr="00C37255">
        <w:rPr>
          <w:rStyle w:val="AERtextitalic"/>
        </w:rPr>
        <w:t xml:space="preserve">eview of </w:t>
      </w:r>
      <w:r>
        <w:rPr>
          <w:rStyle w:val="AERtextitalic"/>
        </w:rPr>
        <w:t>f</w:t>
      </w:r>
      <w:r w:rsidRPr="00C37255">
        <w:rPr>
          <w:rStyle w:val="AERtextitalic"/>
        </w:rPr>
        <w:t>inance,</w:t>
      </w:r>
      <w:r>
        <w:t xml:space="preserve"> vol. 10(3), 2010, pp. 365–401.</w:t>
      </w:r>
    </w:p>
  </w:footnote>
  <w:footnote w:id="360">
    <w:p w14:paraId="2F4F21D0" w14:textId="77777777" w:rsidR="00CF4D6D" w:rsidRDefault="00CF4D6D" w:rsidP="00D15D53">
      <w:pPr>
        <w:pStyle w:val="FootnoteText"/>
      </w:pPr>
      <w:r>
        <w:rPr>
          <w:rStyle w:val="FootnoteReference"/>
        </w:rPr>
        <w:footnoteRef/>
      </w:r>
      <w:r>
        <w:t xml:space="preserve"> </w:t>
      </w:r>
      <w:r>
        <w:tab/>
        <w:t xml:space="preserve">SFG, </w:t>
      </w:r>
      <w:r w:rsidRPr="005E70ED">
        <w:rPr>
          <w:rStyle w:val="AERtextitalic"/>
        </w:rPr>
        <w:t>Using market data to estimate the equilibrium value of distributed imputation tax credits, Report for the Energy Networks Association</w:t>
      </w:r>
      <w:r>
        <w:t>, 3 October 2013, p. 3.</w:t>
      </w:r>
    </w:p>
  </w:footnote>
  <w:footnote w:id="361">
    <w:p w14:paraId="09D0FE0F" w14:textId="77777777" w:rsidR="00CF4D6D" w:rsidRDefault="00CF4D6D" w:rsidP="00D15D53">
      <w:pPr>
        <w:pStyle w:val="FootnoteText"/>
      </w:pPr>
      <w:r>
        <w:rPr>
          <w:rStyle w:val="FootnoteReference"/>
        </w:rPr>
        <w:footnoteRef/>
      </w:r>
      <w:r>
        <w:t xml:space="preserve"> </w:t>
      </w:r>
      <w:r>
        <w:tab/>
        <w:t xml:space="preserve">D. Cannavan, F. Finn, S. Gray, 'The value of dividend imputation tax credits in Australia', </w:t>
      </w:r>
      <w:r>
        <w:rPr>
          <w:rStyle w:val="AERtextitalic"/>
        </w:rPr>
        <w:t>Journal of financial economics</w:t>
      </w:r>
      <w:r>
        <w:t>, vol. 73, 2004, pp. 167</w:t>
      </w:r>
      <w:r w:rsidRPr="003C16EB">
        <w:t>–</w:t>
      </w:r>
      <w:r>
        <w:t>197.</w:t>
      </w:r>
    </w:p>
  </w:footnote>
  <w:footnote w:id="362">
    <w:p w14:paraId="31AF4298" w14:textId="77777777" w:rsidR="00CF4D6D" w:rsidRDefault="00CF4D6D" w:rsidP="00D15D53">
      <w:pPr>
        <w:pStyle w:val="FootnoteText"/>
      </w:pPr>
      <w:r>
        <w:rPr>
          <w:rStyle w:val="FootnoteReference"/>
        </w:rPr>
        <w:footnoteRef/>
      </w:r>
      <w:r>
        <w:t xml:space="preserve"> </w:t>
      </w:r>
      <w:r>
        <w:tab/>
        <w:t xml:space="preserve">J. Cummings and A. Frino, 'Tax effects on the pricing of Australian stock index futures', </w:t>
      </w:r>
      <w:r w:rsidRPr="00C37255">
        <w:rPr>
          <w:rStyle w:val="AERtextitalic"/>
        </w:rPr>
        <w:t xml:space="preserve">Australian </w:t>
      </w:r>
      <w:r>
        <w:rPr>
          <w:rStyle w:val="AERtextitalic"/>
        </w:rPr>
        <w:t>j</w:t>
      </w:r>
      <w:r w:rsidRPr="00C37255">
        <w:rPr>
          <w:rStyle w:val="AERtextitalic"/>
        </w:rPr>
        <w:t xml:space="preserve">ournal of </w:t>
      </w:r>
      <w:r>
        <w:rPr>
          <w:rStyle w:val="AERtextitalic"/>
        </w:rPr>
        <w:t>m</w:t>
      </w:r>
      <w:r w:rsidRPr="00C37255">
        <w:rPr>
          <w:rStyle w:val="AERtextitalic"/>
        </w:rPr>
        <w:t>anagement</w:t>
      </w:r>
      <w:r>
        <w:t>, vol. 33(2), December 2008, pp. 391</w:t>
      </w:r>
      <w:r w:rsidRPr="00CE4FAF">
        <w:t>–</w:t>
      </w:r>
      <w:r>
        <w:t>406.</w:t>
      </w:r>
    </w:p>
  </w:footnote>
  <w:footnote w:id="363">
    <w:p w14:paraId="2B9A7D17" w14:textId="77777777" w:rsidR="00CF4D6D" w:rsidRDefault="00CF4D6D" w:rsidP="00D15D53">
      <w:pPr>
        <w:pStyle w:val="FootnoteText"/>
      </w:pPr>
      <w:r>
        <w:rPr>
          <w:rStyle w:val="FootnoteReference"/>
        </w:rPr>
        <w:footnoteRef/>
      </w:r>
      <w:r>
        <w:t xml:space="preserve"> </w:t>
      </w:r>
      <w:r>
        <w:tab/>
        <w:t xml:space="preserve">NERA, </w:t>
      </w:r>
      <w:r w:rsidRPr="004A02F9">
        <w:rPr>
          <w:rStyle w:val="AERtextitalic"/>
        </w:rPr>
        <w:t>Imputation credits and equity prices and returns, A report for the Energy Networks Association</w:t>
      </w:r>
      <w:r>
        <w:t>, October 2013, p. 22.</w:t>
      </w:r>
    </w:p>
  </w:footnote>
  <w:footnote w:id="364">
    <w:p w14:paraId="60BD93DA" w14:textId="77777777" w:rsidR="00CF4D6D" w:rsidRDefault="00CF4D6D" w:rsidP="00D15D53">
      <w:pPr>
        <w:pStyle w:val="FootnoteText"/>
      </w:pPr>
      <w:r>
        <w:rPr>
          <w:rStyle w:val="FootnoteReference"/>
        </w:rPr>
        <w:footnoteRef/>
      </w:r>
      <w:r>
        <w:t xml:space="preserve"> </w:t>
      </w:r>
      <w:r>
        <w:tab/>
        <w:t xml:space="preserve">P. Lajbcygier and S. Wheatley, 'Imputation credits and equity returns', </w:t>
      </w:r>
      <w:r w:rsidRPr="00336C79">
        <w:rPr>
          <w:rStyle w:val="AERtextitalic"/>
        </w:rPr>
        <w:t>The economic record</w:t>
      </w:r>
      <w:r>
        <w:t>, vol. 88 (283), December 2012, p. 490.</w:t>
      </w:r>
    </w:p>
  </w:footnote>
  <w:footnote w:id="365">
    <w:p w14:paraId="63DDEA62" w14:textId="77777777" w:rsidR="00CF4D6D" w:rsidRDefault="00CF4D6D" w:rsidP="00D15D53">
      <w:pPr>
        <w:pStyle w:val="FootnoteText"/>
      </w:pPr>
      <w:r>
        <w:rPr>
          <w:rStyle w:val="FootnoteReference"/>
        </w:rPr>
        <w:footnoteRef/>
      </w:r>
      <w:r>
        <w:t xml:space="preserve"> </w:t>
      </w:r>
      <w:r>
        <w:tab/>
        <w:t xml:space="preserve">K. Siau, S. Sault and G. Warren, 'Are imputation credits capitalised into stock </w:t>
      </w:r>
      <w:r w:rsidRPr="00647825">
        <w:t xml:space="preserve">prices', </w:t>
      </w:r>
      <w:r w:rsidRPr="00647825">
        <w:rPr>
          <w:rStyle w:val="AERtextitalic"/>
        </w:rPr>
        <w:t>ANU working paper</w:t>
      </w:r>
      <w:r w:rsidRPr="00647825">
        <w:t>, 18 June</w:t>
      </w:r>
      <w:r>
        <w:t xml:space="preserve"> 2013, pp. 24 and 27.</w:t>
      </w:r>
    </w:p>
  </w:footnote>
  <w:footnote w:id="366">
    <w:p w14:paraId="3A95487A" w14:textId="77777777" w:rsidR="00CF4D6D" w:rsidRDefault="00CF4D6D" w:rsidP="005A6A8F">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Accounting and Finance, </w:t>
      </w:r>
      <w:r>
        <w:t xml:space="preserve"> Vol. 55, 2015, pp. 241-277.</w:t>
      </w:r>
    </w:p>
  </w:footnote>
  <w:footnote w:id="367">
    <w:p w14:paraId="06DEB387" w14:textId="17003005" w:rsidR="00CF4D6D" w:rsidRDefault="00CF4D6D" w:rsidP="005A6A8F">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 pp 21</w:t>
      </w:r>
      <w:proofErr w:type="gramStart"/>
      <w:r>
        <w:t>,23</w:t>
      </w:r>
      <w:proofErr w:type="gramEnd"/>
      <w:r>
        <w:t>.</w:t>
      </w:r>
    </w:p>
    <w:p w14:paraId="1CB87336" w14:textId="40E0B078" w:rsidR="00CF4D6D" w:rsidRDefault="00CF4D6D" w:rsidP="00913061">
      <w:pPr>
        <w:pStyle w:val="FootnoteText"/>
        <w:ind w:left="0" w:firstLine="0"/>
      </w:pPr>
    </w:p>
  </w:footnote>
  <w:footnote w:id="368">
    <w:p w14:paraId="5375A9C9" w14:textId="77777777" w:rsidR="00CF4D6D" w:rsidRDefault="00CF4D6D" w:rsidP="00D15D53">
      <w:pPr>
        <w:pStyle w:val="FootnoteText"/>
      </w:pPr>
      <w:r>
        <w:rPr>
          <w:rStyle w:val="FootnoteReference"/>
        </w:rPr>
        <w:footnoteRef/>
      </w:r>
      <w:r>
        <w:t xml:space="preserve"> </w:t>
      </w:r>
      <w:r>
        <w:tab/>
        <w:t xml:space="preserve">H. Chu and G. Partington, 'The market valuation of cash dividends: The case of the CRA bonus issue, </w:t>
      </w:r>
      <w:r w:rsidRPr="00C37255">
        <w:rPr>
          <w:rStyle w:val="AERtextitalic"/>
        </w:rPr>
        <w:t>International review of finance</w:t>
      </w:r>
      <w:r>
        <w:t>, Vol. 8(2), June 2008, pp. 1</w:t>
      </w:r>
      <w:r w:rsidRPr="00CE4FAF">
        <w:t>–</w:t>
      </w:r>
      <w:r>
        <w:t>20.</w:t>
      </w:r>
    </w:p>
  </w:footnote>
  <w:footnote w:id="369">
    <w:p w14:paraId="63FF6B58" w14:textId="77777777" w:rsidR="00CF4D6D" w:rsidRDefault="00CF4D6D" w:rsidP="00D15D53">
      <w:pPr>
        <w:pStyle w:val="FootnoteText"/>
      </w:pPr>
      <w:r>
        <w:rPr>
          <w:rStyle w:val="FootnoteReference"/>
        </w:rPr>
        <w:footnoteRef/>
      </w:r>
      <w:r>
        <w:t xml:space="preserve"> </w:t>
      </w:r>
      <w:r>
        <w:tab/>
        <w:t xml:space="preserve">S. Walker and G. Partington, 'The value of dividends: Evidence from cum-dividend trading in the ex-dividend period', </w:t>
      </w:r>
      <w:r w:rsidRPr="007D37C7">
        <w:rPr>
          <w:rStyle w:val="AERtextitalic"/>
        </w:rPr>
        <w:t>Accounting and Finance</w:t>
      </w:r>
      <w:r>
        <w:t>, vol. 39(3), November 1999, p. 293.</w:t>
      </w:r>
    </w:p>
  </w:footnote>
  <w:footnote w:id="370">
    <w:p w14:paraId="58C5FB50" w14:textId="77777777" w:rsidR="00CF4D6D" w:rsidRDefault="00CF4D6D" w:rsidP="00D15D53">
      <w:pPr>
        <w:pStyle w:val="FootnoteText"/>
      </w:pPr>
      <w:r>
        <w:rPr>
          <w:rStyle w:val="FootnoteReference"/>
        </w:rPr>
        <w:footnoteRef/>
      </w:r>
      <w:r>
        <w:t xml:space="preserve"> </w:t>
      </w:r>
      <w:r>
        <w:tab/>
        <w:t>H. Chu and G. Partington</w:t>
      </w:r>
      <w:r w:rsidRPr="00623152">
        <w:t xml:space="preserve">, 'The value of dividends: evidence from a new method', </w:t>
      </w:r>
      <w:r w:rsidRPr="00623152">
        <w:rPr>
          <w:rStyle w:val="AERtextitalic"/>
        </w:rPr>
        <w:t>Paper presented at the Accounting Association of Australia and New Zealand Annual Conference, Wellington</w:t>
      </w:r>
      <w:r>
        <w:rPr>
          <w:rStyle w:val="AERtextitalic"/>
        </w:rPr>
        <w:t xml:space="preserve">, </w:t>
      </w:r>
      <w:r>
        <w:t>2001, p. 2.</w:t>
      </w:r>
    </w:p>
  </w:footnote>
  <w:footnote w:id="371">
    <w:p w14:paraId="48E5C1C2" w14:textId="64842105" w:rsidR="00CF4D6D" w:rsidRDefault="00CF4D6D">
      <w:pPr>
        <w:pStyle w:val="FootnoteText"/>
      </w:pPr>
      <w:r>
        <w:rPr>
          <w:rStyle w:val="FootnoteReference"/>
        </w:rPr>
        <w:footnoteRef/>
      </w:r>
      <w:r>
        <w:t xml:space="preserve"> </w:t>
      </w:r>
      <w:r>
        <w:tab/>
        <w:t xml:space="preserve">The earlier working paper, although substantively the same as the 2015 paper, remains referenced in this decision because this was the paper considered by us in making our decisions released in April and June 2015. </w:t>
      </w:r>
    </w:p>
  </w:footnote>
  <w:footnote w:id="372">
    <w:p w14:paraId="0AA284AB" w14:textId="74D2B5AD" w:rsidR="00CF4D6D" w:rsidRDefault="00CF4D6D" w:rsidP="007E4A0C">
      <w:pPr>
        <w:pStyle w:val="FootnoteText"/>
      </w:pPr>
      <w:r>
        <w:rPr>
          <w:rStyle w:val="FootnoteReference"/>
        </w:rPr>
        <w:footnoteRef/>
      </w:r>
      <w:r>
        <w:t xml:space="preserve"> </w:t>
      </w:r>
      <w:r>
        <w:tab/>
        <w:t xml:space="preserve">NERA, </w:t>
      </w:r>
      <w:r>
        <w:rPr>
          <w:rStyle w:val="AERtextitalic"/>
        </w:rPr>
        <w:t xml:space="preserve">Do Imputation Credits Lower the Cost of Equity? Cross-Sectional Tests </w:t>
      </w:r>
      <w:proofErr w:type="gramStart"/>
      <w:r>
        <w:rPr>
          <w:rStyle w:val="AERtextitalic"/>
        </w:rPr>
        <w:t>A</w:t>
      </w:r>
      <w:proofErr w:type="gramEnd"/>
      <w:r>
        <w:rPr>
          <w:rStyle w:val="AERtextitalic"/>
        </w:rPr>
        <w:t xml:space="preserve"> report for United Energy</w:t>
      </w:r>
      <w:r>
        <w:t xml:space="preserve">, April 2015, p vii; </w:t>
      </w:r>
      <w:r w:rsidRPr="00582678">
        <w:t xml:space="preserve">M. Lally, </w:t>
      </w:r>
      <w:r w:rsidRPr="00582678">
        <w:rPr>
          <w:rStyle w:val="AERtextitalic"/>
        </w:rPr>
        <w:t>The estimation of gamma</w:t>
      </w:r>
      <w:r w:rsidRPr="00582678">
        <w:t>, 23 November 2013</w:t>
      </w:r>
      <w:r>
        <w:t>, p. 25.</w:t>
      </w:r>
    </w:p>
  </w:footnote>
  <w:footnote w:id="373">
    <w:p w14:paraId="22F545ED" w14:textId="4ACCFB30" w:rsidR="00CF4D6D" w:rsidRDefault="00CF4D6D" w:rsidP="00E12486">
      <w:pPr>
        <w:pStyle w:val="FootnoteText"/>
        <w:tabs>
          <w:tab w:val="clear" w:pos="340"/>
          <w:tab w:val="left" w:pos="284"/>
        </w:tabs>
        <w:ind w:left="426" w:hanging="426"/>
      </w:pPr>
      <w:r>
        <w:rPr>
          <w:rStyle w:val="FootnoteReference"/>
        </w:rPr>
        <w:footnoteRef/>
      </w:r>
      <w:r>
        <w:t xml:space="preserve"> </w:t>
      </w:r>
      <w:r>
        <w:tab/>
      </w:r>
      <w:r w:rsidR="00E12486">
        <w:t xml:space="preserve"> </w:t>
      </w:r>
      <w:r>
        <w:t xml:space="preserve">NERA, </w:t>
      </w:r>
      <w:r>
        <w:rPr>
          <w:rStyle w:val="AERtextitalic"/>
        </w:rPr>
        <w:t xml:space="preserve">Do Imputation Credits Lower the Cost of Equity? Cross-Sectional Tests </w:t>
      </w:r>
      <w:proofErr w:type="gramStart"/>
      <w:r>
        <w:rPr>
          <w:rStyle w:val="AERtextitalic"/>
        </w:rPr>
        <w:t>A</w:t>
      </w:r>
      <w:proofErr w:type="gramEnd"/>
      <w:r>
        <w:rPr>
          <w:rStyle w:val="AERtextitalic"/>
        </w:rPr>
        <w:t xml:space="preserve"> report for United Energy</w:t>
      </w:r>
      <w:r>
        <w:t>, April 2015, p vii.</w:t>
      </w:r>
    </w:p>
  </w:footnote>
  <w:footnote w:id="374">
    <w:p w14:paraId="6BF69D87" w14:textId="34CD4538" w:rsidR="00CF4D6D" w:rsidRDefault="00CF4D6D">
      <w:pPr>
        <w:pStyle w:val="FootnoteText"/>
      </w:pPr>
      <w:r>
        <w:rPr>
          <w:rStyle w:val="FootnoteReference"/>
        </w:rPr>
        <w:footnoteRef/>
      </w:r>
      <w:r>
        <w:t xml:space="preserve"> </w:t>
      </w:r>
      <w:r>
        <w:tab/>
        <w:t>Concerns around the reliability of the estimates of the return on equity from the Black CAPM are discussed in the rate of return attachment to this final decision</w:t>
      </w:r>
      <w:r w:rsidR="00E12486">
        <w:t>.</w:t>
      </w:r>
    </w:p>
  </w:footnote>
  <w:footnote w:id="375">
    <w:p w14:paraId="3E471EEE" w14:textId="1224E409" w:rsidR="00CF4D6D" w:rsidRDefault="00CF4D6D">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10;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January 2015, p. 8</w:t>
      </w:r>
      <w:r w:rsidR="00E12486">
        <w:t>;</w:t>
      </w:r>
      <w:r w:rsidR="00DC6620">
        <w:t xml:space="preserve"> </w:t>
      </w:r>
      <w:r>
        <w:t xml:space="preserve">JGN, </w:t>
      </w:r>
      <w:r w:rsidRPr="000E181F">
        <w:rPr>
          <w:rStyle w:val="AERtextitalic"/>
        </w:rPr>
        <w:t>Gamma - response to the draft decision</w:t>
      </w:r>
      <w:r>
        <w:t>, February 2015, p. 10</w:t>
      </w:r>
      <w:r w:rsidRPr="002A17A7">
        <w:t xml:space="preserve"> </w:t>
      </w:r>
      <w:r>
        <w:t xml:space="preserve">; AusNet Services, </w:t>
      </w:r>
      <w:r w:rsidRPr="00DC6620">
        <w:rPr>
          <w:rStyle w:val="AERtextitalic"/>
        </w:rPr>
        <w:t>2016-20 Regulatory Proposal</w:t>
      </w:r>
      <w:r>
        <w:t>, April 2015, p</w:t>
      </w:r>
      <w:r w:rsidR="00DC6620">
        <w:t xml:space="preserve">. </w:t>
      </w:r>
      <w:r>
        <w:t xml:space="preserve">364; United Energy, </w:t>
      </w:r>
      <w:r w:rsidRPr="00DC6620">
        <w:rPr>
          <w:rStyle w:val="AERtextitalic"/>
        </w:rPr>
        <w:t>Assessment of the Value of Imputation Credits - Gamma, Proposal for 2016 to 2020</w:t>
      </w:r>
      <w:r>
        <w:t>, April 2015, p</w:t>
      </w:r>
      <w:r w:rsidR="00DC6620">
        <w:t xml:space="preserve">. </w:t>
      </w:r>
      <w:r>
        <w:t>14; CitiPower</w:t>
      </w:r>
      <w:r w:rsidR="00DC6620">
        <w:t>,</w:t>
      </w:r>
      <w:r>
        <w:t xml:space="preserve"> </w:t>
      </w:r>
      <w:r w:rsidRPr="00DC6620">
        <w:rPr>
          <w:rStyle w:val="AERtextitalic"/>
        </w:rPr>
        <w:t>Appendix J - Gamma</w:t>
      </w:r>
      <w:r>
        <w:t>, April 2015, p</w:t>
      </w:r>
      <w:r w:rsidR="00DC6620">
        <w:t xml:space="preserve">. </w:t>
      </w:r>
      <w:r>
        <w:t xml:space="preserve">13; Powercor, </w:t>
      </w:r>
      <w:r w:rsidRPr="00DC6620">
        <w:rPr>
          <w:rStyle w:val="AERtextitalic"/>
        </w:rPr>
        <w:t>Appendix J - Gamma</w:t>
      </w:r>
      <w:r>
        <w:t>, April 2015, p</w:t>
      </w:r>
      <w:r w:rsidR="00DC6620">
        <w:t xml:space="preserve">. </w:t>
      </w:r>
      <w:r>
        <w:t xml:space="preserve">13; Jemena Electricity, </w:t>
      </w:r>
      <w:r w:rsidRPr="00DC6620">
        <w:rPr>
          <w:rStyle w:val="AERtextitalic"/>
        </w:rPr>
        <w:t>Attachment 06-06 Gamma proposal</w:t>
      </w:r>
      <w:r>
        <w:t>, April 2015, p</w:t>
      </w:r>
      <w:r w:rsidR="00DC6620">
        <w:t xml:space="preserve">. </w:t>
      </w:r>
      <w:r>
        <w:t xml:space="preserve">13; ActewAGL Distribution, </w:t>
      </w:r>
      <w:r w:rsidRPr="00DC6620">
        <w:rPr>
          <w:rStyle w:val="AERtextitalic"/>
        </w:rPr>
        <w:t>Attachment 8 Detailed gamma proposal</w:t>
      </w:r>
      <w:r w:rsidR="00DC6620">
        <w:t xml:space="preserve">, </w:t>
      </w:r>
      <w:r>
        <w:t>June 201</w:t>
      </w:r>
      <w:r w:rsidR="00E12486">
        <w:t>5, p.13.</w:t>
      </w:r>
    </w:p>
  </w:footnote>
  <w:footnote w:id="376">
    <w:p w14:paraId="497A5565" w14:textId="77777777" w:rsidR="00CF4D6D" w:rsidRDefault="00CF4D6D">
      <w:pPr>
        <w:pStyle w:val="FootnoteText"/>
      </w:pPr>
      <w:r>
        <w:rPr>
          <w:rStyle w:val="FootnoteReference"/>
        </w:rPr>
        <w:footnoteRef/>
      </w:r>
      <w:r>
        <w:t xml:space="preserve"> </w:t>
      </w:r>
      <w:r>
        <w:tab/>
        <w:t xml:space="preserve">SFG, </w:t>
      </w:r>
      <w:r>
        <w:rPr>
          <w:rStyle w:val="AERtextitalic"/>
        </w:rPr>
        <w:t>Estimating gamma for regulatory purposes</w:t>
      </w:r>
      <w:r>
        <w:t>, 6 February 2015, para. 79.</w:t>
      </w:r>
    </w:p>
  </w:footnote>
  <w:footnote w:id="377">
    <w:p w14:paraId="752AE1B9" w14:textId="7FF3F79B" w:rsidR="00CF4D6D" w:rsidRDefault="00CF4D6D" w:rsidP="007F230D">
      <w:pPr>
        <w:pStyle w:val="FootnoteText"/>
      </w:pPr>
      <w:r>
        <w:rPr>
          <w:rStyle w:val="FootnoteReference"/>
        </w:rPr>
        <w:footnoteRef/>
      </w:r>
      <w:r>
        <w:t xml:space="preserve"> </w:t>
      </w:r>
      <w:r>
        <w:tab/>
        <w:t xml:space="preserve">SFG, </w:t>
      </w:r>
      <w:r>
        <w:rPr>
          <w:rStyle w:val="AERtextitalic"/>
        </w:rPr>
        <w:t>Estimating gamma for regulatory purposes</w:t>
      </w:r>
      <w:r>
        <w:t xml:space="preserve">, 6 February 2015, para. </w:t>
      </w:r>
      <w:proofErr w:type="gramStart"/>
      <w:r>
        <w:t xml:space="preserve">78; Frontier Economics, </w:t>
      </w:r>
      <w:r w:rsidRPr="00D14DE4">
        <w:rPr>
          <w:rStyle w:val="AERtextitalic"/>
        </w:rPr>
        <w:t>An appropriate regulatory estimate of gamma</w:t>
      </w:r>
      <w:r>
        <w:t>, June 2015, p. 36.</w:t>
      </w:r>
      <w:proofErr w:type="gramEnd"/>
    </w:p>
  </w:footnote>
  <w:footnote w:id="378">
    <w:p w14:paraId="092274D7" w14:textId="77777777" w:rsidR="00CF4D6D" w:rsidRDefault="00CF4D6D" w:rsidP="007F230D">
      <w:pPr>
        <w:pStyle w:val="FootnoteText"/>
      </w:pPr>
      <w:r>
        <w:rPr>
          <w:rStyle w:val="FootnoteReference"/>
        </w:rPr>
        <w:footnoteRef/>
      </w:r>
      <w:r>
        <w:t xml:space="preserve"> </w:t>
      </w:r>
      <w:r>
        <w:tab/>
        <w:t>SFG</w:t>
      </w:r>
      <w:r w:rsidRPr="007C38AD">
        <w:rPr>
          <w:rStyle w:val="AERtextitalic"/>
        </w:rPr>
        <w:t>, Equity beta</w:t>
      </w:r>
      <w:r>
        <w:t>, 12 May 2014, para. 15.</w:t>
      </w:r>
    </w:p>
  </w:footnote>
  <w:footnote w:id="379">
    <w:p w14:paraId="09E90EB0" w14:textId="77777777" w:rsidR="00CF4D6D" w:rsidRDefault="00CF4D6D">
      <w:pPr>
        <w:pStyle w:val="FootnoteText"/>
      </w:pPr>
      <w:r>
        <w:rPr>
          <w:rStyle w:val="FootnoteReference"/>
        </w:rPr>
        <w:footnoteRef/>
      </w:r>
      <w:r>
        <w:t xml:space="preserve"> </w:t>
      </w:r>
      <w:r>
        <w:tab/>
        <w:t xml:space="preserve">SFG, </w:t>
      </w:r>
      <w:r>
        <w:rPr>
          <w:rStyle w:val="AERtextitalic"/>
        </w:rPr>
        <w:t>Estimating gamma for regulatory purposes</w:t>
      </w:r>
      <w:r>
        <w:t>, 6 February 2015, para. 52.</w:t>
      </w:r>
    </w:p>
  </w:footnote>
  <w:footnote w:id="380">
    <w:p w14:paraId="4CE51A5A" w14:textId="77777777" w:rsidR="00CF4D6D" w:rsidRDefault="00CF4D6D" w:rsidP="008B1CC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381">
    <w:p w14:paraId="0C30D32D" w14:textId="07F3B852" w:rsidR="00CF4D6D" w:rsidRDefault="00CF4D6D" w:rsidP="00177F0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rsidR="00DC6620">
        <w:t>, February 2015, p. 10.</w:t>
      </w:r>
    </w:p>
  </w:footnote>
  <w:footnote w:id="382">
    <w:p w14:paraId="48222F14" w14:textId="77777777" w:rsidR="00CF4D6D" w:rsidRDefault="00CF4D6D">
      <w:pPr>
        <w:pStyle w:val="FootnoteText"/>
      </w:pPr>
      <w:r>
        <w:rPr>
          <w:rStyle w:val="FootnoteReference"/>
        </w:rPr>
        <w:footnoteRef/>
      </w:r>
      <w:r>
        <w:t xml:space="preserve"> </w:t>
      </w:r>
      <w:r>
        <w:tab/>
        <w:t xml:space="preserve">SFG, </w:t>
      </w:r>
      <w:r>
        <w:rPr>
          <w:rStyle w:val="AERtextitalic"/>
        </w:rPr>
        <w:t>Estimating gamma for regulatory purposes</w:t>
      </w:r>
      <w:r>
        <w:t>, 6 February 2015, p</w:t>
      </w:r>
      <w:r w:rsidRPr="00D01050">
        <w:t>ara</w:t>
      </w:r>
      <w:r>
        <w:t>.</w:t>
      </w:r>
      <w:r w:rsidRPr="00D01050">
        <w:t xml:space="preserve"> 50</w:t>
      </w:r>
      <w:r>
        <w:t>.</w:t>
      </w:r>
    </w:p>
  </w:footnote>
  <w:footnote w:id="383">
    <w:p w14:paraId="6274E1EA" w14:textId="77777777" w:rsidR="00CF4D6D" w:rsidRDefault="00CF4D6D">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65.</w:t>
      </w:r>
    </w:p>
  </w:footnote>
  <w:footnote w:id="384">
    <w:p w14:paraId="390BAB12" w14:textId="77777777" w:rsidR="00CF4D6D" w:rsidRDefault="00CF4D6D">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9; Ausgrid, </w:t>
      </w:r>
      <w:r w:rsidRPr="00D75F7A">
        <w:rPr>
          <w:rStyle w:val="AERtextitalic"/>
        </w:rPr>
        <w:t>Ausgrid's revised proposal on gamma</w:t>
      </w:r>
      <w:r>
        <w:t xml:space="preserve">, January 2015, p. 10; Directlink, </w:t>
      </w:r>
      <w:r w:rsidRPr="0000771B">
        <w:rPr>
          <w:rStyle w:val="AERtextitalic"/>
        </w:rPr>
        <w:t>Directlink submission on gamma (updated)</w:t>
      </w:r>
      <w:r>
        <w:t xml:space="preserve">, January 2015, p. 14; Endeavour Energy, </w:t>
      </w:r>
      <w:r w:rsidRPr="00DF3162">
        <w:rPr>
          <w:rStyle w:val="AERtextitalic"/>
        </w:rPr>
        <w:t>Endeavour Energy's response to the AER draft decision re gamma</w:t>
      </w:r>
      <w:r>
        <w:t xml:space="preserve">, January 2015, p. 10; Essential Energy, </w:t>
      </w:r>
      <w:r w:rsidRPr="000E181F">
        <w:rPr>
          <w:rStyle w:val="AERtextitalic"/>
        </w:rPr>
        <w:t>Essential's response to AER draft decision re gamma</w:t>
      </w:r>
      <w:r>
        <w:t xml:space="preserve">, January 2015, p. 10; and JGN, </w:t>
      </w:r>
      <w:r w:rsidRPr="000E181F">
        <w:rPr>
          <w:rStyle w:val="AERtextitalic"/>
        </w:rPr>
        <w:t>Gamma - response to the draft decision</w:t>
      </w:r>
      <w:r>
        <w:t>, February 2015, p. 13.</w:t>
      </w:r>
    </w:p>
  </w:footnote>
  <w:footnote w:id="385">
    <w:p w14:paraId="4EF8B945" w14:textId="2BF2DB09" w:rsidR="00CF4D6D" w:rsidRDefault="00CF4D6D">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pp</w:t>
      </w:r>
      <w:r w:rsidR="00DC6620">
        <w:t>.</w:t>
      </w:r>
      <w:r>
        <w:t xml:space="preserve"> 35-38.</w:t>
      </w:r>
      <w:proofErr w:type="gramEnd"/>
    </w:p>
  </w:footnote>
  <w:footnote w:id="386">
    <w:p w14:paraId="0FAE9BF2" w14:textId="77777777" w:rsidR="00CF4D6D" w:rsidRDefault="00CF4D6D">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43–44; J. Handley, </w:t>
      </w:r>
      <w:r w:rsidRPr="00626887">
        <w:rPr>
          <w:rStyle w:val="AERtextitalic"/>
        </w:rPr>
        <w:t>Report prepared for the Australian Energy Regulator: Further advice on the value of imputation credits</w:t>
      </w:r>
      <w:r>
        <w:t xml:space="preserve">, 16 April 2015, p.16; </w:t>
      </w:r>
      <w:r w:rsidRPr="00582678">
        <w:t xml:space="preserve">M. Lally, </w:t>
      </w:r>
      <w:r w:rsidRPr="00582678">
        <w:rPr>
          <w:rStyle w:val="AERtextitalic"/>
        </w:rPr>
        <w:t>The estimation of gamma</w:t>
      </w:r>
      <w:r w:rsidRPr="00582678">
        <w:t>, 23 November 2013</w:t>
      </w:r>
      <w:r>
        <w:t>, p. 21.</w:t>
      </w:r>
    </w:p>
  </w:footnote>
  <w:footnote w:id="387">
    <w:p w14:paraId="38A1548D" w14:textId="77777777" w:rsidR="00CF4D6D" w:rsidRDefault="00CF4D6D">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p>
  </w:footnote>
  <w:footnote w:id="388">
    <w:p w14:paraId="2035838F" w14:textId="77777777" w:rsidR="00CF4D6D" w:rsidRDefault="00CF4D6D">
      <w:pPr>
        <w:pStyle w:val="FootnoteText"/>
      </w:pPr>
      <w:r>
        <w:rPr>
          <w:rStyle w:val="FootnoteReference"/>
        </w:rPr>
        <w:footnoteRef/>
      </w:r>
      <w:r>
        <w:t xml:space="preserve"> </w:t>
      </w:r>
      <w:r>
        <w:tab/>
        <w:t xml:space="preserve">SFG, </w:t>
      </w:r>
      <w:r>
        <w:rPr>
          <w:rStyle w:val="AERtextitalic"/>
        </w:rPr>
        <w:t>Estimating gamma for regulatory purposes</w:t>
      </w:r>
      <w:r>
        <w:t>, 6 February 2015, para. 185(c).</w:t>
      </w:r>
    </w:p>
  </w:footnote>
  <w:footnote w:id="389">
    <w:p w14:paraId="4004D2BA" w14:textId="77777777" w:rsidR="00CF4D6D" w:rsidRDefault="00CF4D6D">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20.</w:t>
      </w:r>
    </w:p>
  </w:footnote>
  <w:footnote w:id="390">
    <w:p w14:paraId="1414F1E1" w14:textId="77777777" w:rsidR="00CF4D6D" w:rsidRDefault="00CF4D6D">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26.</w:t>
      </w:r>
    </w:p>
  </w:footnote>
  <w:footnote w:id="391">
    <w:p w14:paraId="02900315" w14:textId="77777777" w:rsidR="00CF4D6D" w:rsidRDefault="00CF4D6D">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29.</w:t>
      </w:r>
    </w:p>
  </w:footnote>
  <w:footnote w:id="392">
    <w:p w14:paraId="69D2F4E6" w14:textId="77777777" w:rsidR="00CF4D6D" w:rsidRDefault="00CF4D6D">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 44.</w:t>
      </w:r>
    </w:p>
  </w:footnote>
  <w:footnote w:id="393">
    <w:p w14:paraId="5D0A0534" w14:textId="77777777" w:rsidR="00CF4D6D" w:rsidRDefault="00CF4D6D">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18.</w:t>
      </w:r>
    </w:p>
  </w:footnote>
  <w:footnote w:id="394">
    <w:p w14:paraId="64769114" w14:textId="77777777" w:rsidR="00CF4D6D" w:rsidRDefault="00CF4D6D">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 17.</w:t>
      </w:r>
    </w:p>
  </w:footnote>
  <w:footnote w:id="395">
    <w:p w14:paraId="33A88967" w14:textId="77777777" w:rsidR="00CF4D6D" w:rsidRDefault="00CF4D6D">
      <w:pPr>
        <w:pStyle w:val="FootnoteText"/>
      </w:pPr>
      <w:r>
        <w:rPr>
          <w:rStyle w:val="FootnoteReference"/>
        </w:rPr>
        <w:footnoteRef/>
      </w:r>
      <w:r>
        <w:t xml:space="preserve"> </w:t>
      </w:r>
      <w:r>
        <w:tab/>
      </w:r>
      <w:r w:rsidRPr="00B04480">
        <w:t xml:space="preserve">SFG, </w:t>
      </w:r>
      <w:r w:rsidRPr="00B04480">
        <w:rPr>
          <w:rStyle w:val="AERtextitalic"/>
        </w:rPr>
        <w:t>Dividend drop-off estimate of theta, Final report, Re: Application by Energex Limited (No 2) [2010] ACompT 7,</w:t>
      </w:r>
      <w:r w:rsidRPr="00B04480">
        <w:t xml:space="preserve"> 21 March 2011</w:t>
      </w:r>
      <w:r>
        <w:t xml:space="preserve">; </w:t>
      </w:r>
      <w:r w:rsidRPr="00B04480">
        <w:t xml:space="preserve">SFG, </w:t>
      </w:r>
      <w:r w:rsidRPr="00B04480">
        <w:rPr>
          <w:rStyle w:val="AERtextitalic"/>
        </w:rPr>
        <w:t>Updated dividend drop-off estimate of theta: Report for the Energy Networks Association</w:t>
      </w:r>
      <w:r w:rsidRPr="00B04480">
        <w:t>, 7 June 2013.</w:t>
      </w:r>
      <w:r>
        <w:t xml:space="preserve"> </w:t>
      </w:r>
    </w:p>
  </w:footnote>
  <w:footnote w:id="396">
    <w:p w14:paraId="63AC05CA" w14:textId="77777777" w:rsidR="00CF4D6D" w:rsidRDefault="00CF4D6D" w:rsidP="00EF42E6">
      <w:pPr>
        <w:pStyle w:val="FootnoteText"/>
      </w:pPr>
      <w:r>
        <w:rPr>
          <w:rStyle w:val="FootnoteReference"/>
        </w:rPr>
        <w:footnoteRef/>
      </w:r>
      <w:r>
        <w:t xml:space="preserve"> </w:t>
      </w:r>
      <w:r>
        <w:tab/>
      </w:r>
      <w:r w:rsidRPr="00B04480">
        <w:t xml:space="preserve">SFG, </w:t>
      </w:r>
      <w:r w:rsidRPr="00B04480">
        <w:rPr>
          <w:rStyle w:val="AERtextitalic"/>
        </w:rPr>
        <w:t>Dividend drop-off estimate of theta, Final report, Re: Application by Energex Limited (No 2) [2010] ACompT 7,</w:t>
      </w:r>
      <w:r w:rsidRPr="00B04480">
        <w:t xml:space="preserve"> 21 March 2011</w:t>
      </w:r>
      <w:r>
        <w:t xml:space="preserve">; </w:t>
      </w:r>
      <w:r w:rsidRPr="00B04480">
        <w:t xml:space="preserve">Australian Competition Tribunal, </w:t>
      </w:r>
      <w:r w:rsidRPr="00B04480">
        <w:rPr>
          <w:rStyle w:val="AERtextitalic"/>
        </w:rPr>
        <w:t>Application by Energex Limited (Gamma) (No 5) [2011] ACompT 9</w:t>
      </w:r>
      <w:r w:rsidRPr="00B04480">
        <w:t>, May 2011</w:t>
      </w:r>
      <w:r>
        <w:t xml:space="preserve">, para. 38; </w:t>
      </w:r>
      <w:r w:rsidRPr="00B04480">
        <w:t xml:space="preserve">SFG, </w:t>
      </w:r>
      <w:r w:rsidRPr="00B04480">
        <w:rPr>
          <w:rStyle w:val="AERtextitalic"/>
        </w:rPr>
        <w:t>Updated dividend drop-off estimate of theta: Report for the Energy Networks Association</w:t>
      </w:r>
      <w:r w:rsidRPr="00B04480">
        <w:t>, 7 June 2013.</w:t>
      </w:r>
    </w:p>
  </w:footnote>
  <w:footnote w:id="397">
    <w:p w14:paraId="5966FA43" w14:textId="77777777" w:rsidR="00CF4D6D" w:rsidRDefault="00CF4D6D" w:rsidP="00EF42E6">
      <w:pPr>
        <w:pStyle w:val="FootnoteText"/>
      </w:pPr>
      <w:r>
        <w:rPr>
          <w:rStyle w:val="FootnoteReference"/>
        </w:rPr>
        <w:footnoteRef/>
      </w:r>
      <w:r>
        <w:t xml:space="preserve"> </w:t>
      </w:r>
      <w:r>
        <w:tab/>
      </w:r>
      <w:r w:rsidRPr="006C192F">
        <w:t xml:space="preserve">D. Cannavan, F. Finn, S. Gray, 'The value of dividend imputation tax credits in Australia', </w:t>
      </w:r>
      <w:r w:rsidRPr="006C192F">
        <w:rPr>
          <w:rStyle w:val="AERtextitalic"/>
        </w:rPr>
        <w:t>Journal of financial economics</w:t>
      </w:r>
      <w:r>
        <w:t>, vol. 73, 2004, p. 175.</w:t>
      </w:r>
    </w:p>
  </w:footnote>
  <w:footnote w:id="398">
    <w:p w14:paraId="5E9BBB0C" w14:textId="51863702" w:rsidR="00CF4D6D" w:rsidRDefault="00CF4D6D" w:rsidP="00EF42E6">
      <w:pPr>
        <w:pStyle w:val="FootnoteText"/>
      </w:pPr>
      <w:r>
        <w:rPr>
          <w:rStyle w:val="FootnoteReference"/>
        </w:rPr>
        <w:footnoteRef/>
      </w:r>
      <w:r>
        <w:t xml:space="preserve"> </w:t>
      </w:r>
      <w:r>
        <w:tab/>
      </w:r>
      <w:r w:rsidRPr="006C192F">
        <w:t xml:space="preserve">K. Siau, S. Sault and G. Warren, 'Are imputation credits capitalised into stock prices', </w:t>
      </w:r>
      <w:r w:rsidRPr="006C192F">
        <w:rPr>
          <w:rStyle w:val="AERtextitalic"/>
        </w:rPr>
        <w:t>ANU working paper</w:t>
      </w:r>
      <w:r w:rsidRPr="006C192F">
        <w:t>, 18 June 2013, p. 2 and pp. 8–9</w:t>
      </w:r>
      <w:r>
        <w:t>.</w:t>
      </w:r>
    </w:p>
  </w:footnote>
  <w:footnote w:id="399">
    <w:p w14:paraId="1763ABFB" w14:textId="77777777" w:rsidR="00CF4D6D" w:rsidRDefault="00CF4D6D" w:rsidP="00EF42E6">
      <w:pPr>
        <w:pStyle w:val="FootnoteText"/>
      </w:pPr>
      <w:r>
        <w:rPr>
          <w:rStyle w:val="FootnoteReference"/>
        </w:rPr>
        <w:footnoteRef/>
      </w:r>
      <w:r>
        <w:t xml:space="preserve"> </w:t>
      </w:r>
      <w:r>
        <w:tab/>
      </w:r>
      <w:r w:rsidRPr="00BE4458">
        <w:t xml:space="preserve">M. McKenzie and G. Partington, </w:t>
      </w:r>
      <w:r w:rsidRPr="00BE4458">
        <w:rPr>
          <w:rStyle w:val="AERtextitalic"/>
        </w:rPr>
        <w:t>Report to the Queensland Resources Council: Review of Aurizon Network’s draft access undertaking</w:t>
      </w:r>
      <w:r>
        <w:t>, 5 October 2013,</w:t>
      </w:r>
      <w:r w:rsidRPr="00BE4458">
        <w:t xml:space="preserve"> </w:t>
      </w:r>
      <w:r>
        <w:t>pp. 33</w:t>
      </w:r>
      <w:r w:rsidRPr="00BE4458">
        <w:t>–</w:t>
      </w:r>
      <w:r>
        <w:t>34.</w:t>
      </w:r>
    </w:p>
  </w:footnote>
  <w:footnote w:id="400">
    <w:p w14:paraId="65C96FE2" w14:textId="77777777" w:rsidR="00CF4D6D" w:rsidRDefault="00CF4D6D" w:rsidP="00EF42E6">
      <w:pPr>
        <w:pStyle w:val="FootnoteText"/>
      </w:pPr>
      <w:r>
        <w:rPr>
          <w:rStyle w:val="FootnoteReference"/>
        </w:rPr>
        <w:footnoteRef/>
      </w:r>
      <w:r>
        <w:t xml:space="preserve"> </w:t>
      </w:r>
      <w:r>
        <w:tab/>
      </w:r>
      <w:r w:rsidRPr="002015C5">
        <w:t xml:space="preserve">M. Lally, </w:t>
      </w:r>
      <w:r w:rsidRPr="002015C5">
        <w:rPr>
          <w:rStyle w:val="AERtextitalic"/>
        </w:rPr>
        <w:t>The estimation of gamma</w:t>
      </w:r>
      <w:r>
        <w:t>, 23 November 2013, p. 20.</w:t>
      </w:r>
    </w:p>
  </w:footnote>
  <w:footnote w:id="401">
    <w:p w14:paraId="7BD617AD" w14:textId="77777777" w:rsidR="00CF4D6D" w:rsidRDefault="00CF4D6D" w:rsidP="00EF42E6">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44.</w:t>
      </w:r>
    </w:p>
  </w:footnote>
  <w:footnote w:id="402">
    <w:p w14:paraId="5F573B3C" w14:textId="77777777" w:rsidR="00CF4D6D" w:rsidRDefault="00CF4D6D">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pp. 16–17.</w:t>
      </w:r>
    </w:p>
  </w:footnote>
  <w:footnote w:id="403">
    <w:p w14:paraId="30886283" w14:textId="77777777" w:rsidR="00CF4D6D" w:rsidRDefault="00CF4D6D" w:rsidP="0006207D">
      <w:pPr>
        <w:pStyle w:val="FootnoteText"/>
      </w:pPr>
      <w:r>
        <w:rPr>
          <w:rStyle w:val="FootnoteReference"/>
        </w:rPr>
        <w:footnoteRef/>
      </w:r>
      <w:r>
        <w:t xml:space="preserve"> </w:t>
      </w:r>
      <w:r>
        <w:tab/>
      </w:r>
      <w:r w:rsidRPr="00A403E6">
        <w:t xml:space="preserve">Queensland Competition Authority, </w:t>
      </w:r>
      <w:r w:rsidRPr="00A403E6">
        <w:rPr>
          <w:rStyle w:val="AERtextitalic"/>
        </w:rPr>
        <w:t>Cost of capital: Market parameters</w:t>
      </w:r>
      <w:r>
        <w:t>, August 2014,</w:t>
      </w:r>
      <w:r w:rsidRPr="00A403E6">
        <w:t xml:space="preserve"> </w:t>
      </w:r>
      <w:r>
        <w:t>pp. 27</w:t>
      </w:r>
      <w:r w:rsidRPr="00A403E6">
        <w:t>–</w:t>
      </w:r>
      <w:r>
        <w:t>28.</w:t>
      </w:r>
    </w:p>
  </w:footnote>
  <w:footnote w:id="404">
    <w:p w14:paraId="7B37FCC6" w14:textId="77777777" w:rsidR="00CF4D6D" w:rsidRDefault="00CF4D6D" w:rsidP="0006207D">
      <w:pPr>
        <w:pStyle w:val="FootnoteText"/>
      </w:pPr>
      <w:r>
        <w:rPr>
          <w:rStyle w:val="FootnoteReference"/>
        </w:rPr>
        <w:footnoteRef/>
      </w:r>
      <w:r>
        <w:t xml:space="preserve"> </w:t>
      </w:r>
      <w:r>
        <w:tab/>
      </w:r>
      <w:r w:rsidRPr="00E443A3">
        <w:t xml:space="preserve">Economic Regulation Authority, </w:t>
      </w:r>
      <w:r w:rsidRPr="00E443A3">
        <w:rPr>
          <w:rStyle w:val="AERtextitalic"/>
        </w:rPr>
        <w:t>Explanatory Statement for the Rate of Return Guidelines</w:t>
      </w:r>
      <w:r>
        <w:t xml:space="preserve">, December </w:t>
      </w:r>
      <w:r w:rsidRPr="00E443A3">
        <w:t>2013</w:t>
      </w:r>
      <w:r>
        <w:t xml:space="preserve">, para. 920. As noted, the ERA has published a revised draft Guideline, which no longer prefers the use of dividend drop off studies: Economic Regulation Authority, </w:t>
      </w:r>
      <w:r w:rsidRPr="00792648">
        <w:rPr>
          <w:rStyle w:val="AERtextitalic"/>
        </w:rPr>
        <w:t xml:space="preserve">Review of the method for estimating the weighted average cost of capital for </w:t>
      </w:r>
      <w:r>
        <w:rPr>
          <w:rStyle w:val="AERtextitalic"/>
        </w:rPr>
        <w:t>regulated</w:t>
      </w:r>
      <w:r w:rsidRPr="00792648">
        <w:rPr>
          <w:rStyle w:val="AERtextitalic"/>
        </w:rPr>
        <w:t xml:space="preserve"> railway networks, </w:t>
      </w:r>
      <w:r>
        <w:rPr>
          <w:rStyle w:val="AERtextitalic"/>
        </w:rPr>
        <w:t>Revised d</w:t>
      </w:r>
      <w:r w:rsidRPr="00792648">
        <w:rPr>
          <w:rStyle w:val="AERtextitalic"/>
        </w:rPr>
        <w:t xml:space="preserve">raft </w:t>
      </w:r>
      <w:r>
        <w:rPr>
          <w:rStyle w:val="AERtextitalic"/>
        </w:rPr>
        <w:t>decision</w:t>
      </w:r>
      <w:r>
        <w:t>, 28 November 2014.</w:t>
      </w:r>
    </w:p>
  </w:footnote>
  <w:footnote w:id="405">
    <w:p w14:paraId="71988926" w14:textId="4F132EBB" w:rsidR="00CF4D6D" w:rsidRDefault="00CF4D6D">
      <w:pPr>
        <w:pStyle w:val="FootnoteText"/>
      </w:pPr>
      <w:r>
        <w:rPr>
          <w:rStyle w:val="FootnoteReference"/>
        </w:rPr>
        <w:footnoteRef/>
      </w:r>
      <w:r>
        <w:t xml:space="preserve"> </w:t>
      </w:r>
      <w:r>
        <w:tab/>
        <w:t xml:space="preserve">SA Power </w:t>
      </w:r>
      <w:proofErr w:type="gramStart"/>
      <w:r>
        <w:t>Networks,</w:t>
      </w:r>
      <w:proofErr w:type="gramEnd"/>
      <w:r>
        <w:t xml:space="preserve"> </w:t>
      </w:r>
      <w:r>
        <w:rPr>
          <w:rStyle w:val="AERtextitalic"/>
        </w:rPr>
        <w:t>Revised regulatory proposal 2015-20</w:t>
      </w:r>
      <w:r>
        <w:t>, July 2015, p</w:t>
      </w:r>
      <w:r w:rsidR="00DC6620">
        <w:t>.</w:t>
      </w:r>
      <w:r>
        <w:t xml:space="preserve"> 373.</w:t>
      </w:r>
    </w:p>
  </w:footnote>
  <w:footnote w:id="406">
    <w:p w14:paraId="2DE9392F" w14:textId="77777777" w:rsidR="00CF4D6D" w:rsidRDefault="00CF4D6D"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22.</w:t>
      </w:r>
    </w:p>
  </w:footnote>
  <w:footnote w:id="407">
    <w:p w14:paraId="67438049" w14:textId="77777777" w:rsidR="00CF4D6D" w:rsidRDefault="00CF4D6D" w:rsidP="00CD23CD">
      <w:pPr>
        <w:pStyle w:val="FootnoteText"/>
      </w:pPr>
      <w:r>
        <w:rPr>
          <w:rStyle w:val="FootnoteReference"/>
        </w:rPr>
        <w:footnoteRef/>
      </w:r>
      <w:r>
        <w:t xml:space="preserve"> </w:t>
      </w:r>
      <w:r>
        <w:tab/>
        <w:t>Note that the standard Sharpe–Lintner CAPM also assumes segmented capital markets. In effect, the Officer CAPM is the standard Sharpe-Lintner CAPM adjusted to incorporate imputation credits.</w:t>
      </w:r>
    </w:p>
  </w:footnote>
  <w:footnote w:id="408">
    <w:p w14:paraId="239D63E9" w14:textId="77777777" w:rsidR="00CF4D6D" w:rsidRDefault="00CF4D6D"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3.</w:t>
      </w:r>
    </w:p>
  </w:footnote>
  <w:footnote w:id="409">
    <w:p w14:paraId="680EB0FE" w14:textId="77777777" w:rsidR="00CF4D6D" w:rsidRDefault="00CF4D6D" w:rsidP="00CD23CD">
      <w:pPr>
        <w:pStyle w:val="FootnoteText"/>
      </w:pPr>
      <w:r>
        <w:rPr>
          <w:rStyle w:val="FootnoteReference"/>
        </w:rPr>
        <w:footnoteRef/>
      </w:r>
      <w:r>
        <w:t xml:space="preserve"> </w:t>
      </w:r>
      <w:r>
        <w:tab/>
      </w:r>
      <w:r w:rsidRPr="002B01D6">
        <w:t xml:space="preserve">Lally, </w:t>
      </w:r>
      <w:r w:rsidRPr="00A70E2C">
        <w:rPr>
          <w:rStyle w:val="AERtextitalic"/>
        </w:rPr>
        <w:t>The estimation of gamma</w:t>
      </w:r>
      <w:r>
        <w:t>, 23 November 2013, pp. 3 and 4.</w:t>
      </w:r>
    </w:p>
  </w:footnote>
  <w:footnote w:id="410">
    <w:p w14:paraId="16A8E7D4" w14:textId="77777777" w:rsidR="00CF4D6D" w:rsidRDefault="00CF4D6D"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14.</w:t>
      </w:r>
    </w:p>
  </w:footnote>
  <w:footnote w:id="411">
    <w:p w14:paraId="68D2648A" w14:textId="77777777" w:rsidR="00CF4D6D" w:rsidRDefault="00CF4D6D"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38.</w:t>
      </w:r>
    </w:p>
  </w:footnote>
  <w:footnote w:id="412">
    <w:p w14:paraId="6A67E8A2" w14:textId="77777777" w:rsidR="00CF4D6D" w:rsidRDefault="00CF4D6D"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pp. 38–47.</w:t>
      </w:r>
    </w:p>
  </w:footnote>
  <w:footnote w:id="413">
    <w:p w14:paraId="2F547B46" w14:textId="77777777" w:rsidR="00CF4D6D" w:rsidRDefault="00CF4D6D"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pp. 46–47.</w:t>
      </w:r>
    </w:p>
  </w:footnote>
  <w:footnote w:id="414">
    <w:p w14:paraId="5709FFE6" w14:textId="77777777" w:rsidR="00CF4D6D" w:rsidRDefault="00CF4D6D"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pp. 31–32.</w:t>
      </w:r>
    </w:p>
  </w:footnote>
  <w:footnote w:id="415">
    <w:p w14:paraId="35AB01BB" w14:textId="77777777" w:rsidR="00CF4D6D" w:rsidRDefault="00CF4D6D"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23.</w:t>
      </w:r>
    </w:p>
  </w:footnote>
  <w:footnote w:id="416">
    <w:p w14:paraId="7C6E4157" w14:textId="77777777" w:rsidR="00CF4D6D" w:rsidRDefault="00CF4D6D"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pp. 3 and 32.</w:t>
      </w:r>
    </w:p>
  </w:footnote>
  <w:footnote w:id="417">
    <w:p w14:paraId="2CCDA1B7" w14:textId="77777777" w:rsidR="00CF4D6D" w:rsidRDefault="00CF4D6D" w:rsidP="00CD23CD">
      <w:pPr>
        <w:pStyle w:val="FootnoteText"/>
      </w:pPr>
      <w:r>
        <w:rPr>
          <w:rStyle w:val="FootnoteReference"/>
        </w:rPr>
        <w:footnoteRef/>
      </w:r>
      <w:r>
        <w:t xml:space="preserve"> </w:t>
      </w:r>
      <w:r>
        <w:tab/>
      </w:r>
      <w:r w:rsidRPr="00FC33A4">
        <w:t xml:space="preserve">SFG, </w:t>
      </w:r>
      <w:r w:rsidRPr="00FC33A4">
        <w:rPr>
          <w:rStyle w:val="AERtextitalic"/>
        </w:rPr>
        <w:t>An appropriate regulatory estimate of gamma</w:t>
      </w:r>
      <w:r>
        <w:t>, 21 May 2014,</w:t>
      </w:r>
      <w:r w:rsidRPr="00FC33A4">
        <w:t xml:space="preserve"> </w:t>
      </w:r>
      <w:r>
        <w:t xml:space="preserve">pp. 88–93; </w:t>
      </w:r>
      <w:r w:rsidRPr="00FC33A4">
        <w:t xml:space="preserve">M. Lally, </w:t>
      </w:r>
      <w:r w:rsidRPr="00FC33A4">
        <w:rPr>
          <w:rStyle w:val="AERtextitalic"/>
        </w:rPr>
        <w:t>Review of submissions to the QCA on the MRP, risk-free rate and gamma</w:t>
      </w:r>
      <w:r>
        <w:t>, 12 March 2014, pp. 31</w:t>
      </w:r>
      <w:r w:rsidRPr="00FC33A4">
        <w:t>–</w:t>
      </w:r>
      <w:r>
        <w:t>33.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3">
    <w:nsid w:val="1C3F44DE"/>
    <w:multiLevelType w:val="multilevel"/>
    <w:tmpl w:val="950A1C52"/>
    <w:numStyleLink w:val="AERHeadings"/>
  </w:abstractNum>
  <w:abstractNum w:abstractNumId="14">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5">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592056E"/>
    <w:multiLevelType w:val="multilevel"/>
    <w:tmpl w:val="950A1C52"/>
    <w:numStyleLink w:val="AERHeadings"/>
  </w:abstractNum>
  <w:abstractNum w:abstractNumId="18">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95C7239"/>
    <w:multiLevelType w:val="multilevel"/>
    <w:tmpl w:val="950A1C52"/>
    <w:numStyleLink w:val="AERHeadings"/>
  </w:abstractNum>
  <w:abstractNum w:abstractNumId="21">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3">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F5F4FFC"/>
    <w:multiLevelType w:val="multilevel"/>
    <w:tmpl w:val="950A1C52"/>
    <w:numStyleLink w:val="AERHeadings"/>
  </w:abstractNum>
  <w:abstractNum w:abstractNumId="27">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41A80E45"/>
    <w:multiLevelType w:val="multilevel"/>
    <w:tmpl w:val="950A1C52"/>
    <w:numStyleLink w:val="AERHeadings"/>
  </w:abstractNum>
  <w:abstractNum w:abstractNumId="29">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30">
    <w:nsid w:val="487C7731"/>
    <w:multiLevelType w:val="multilevel"/>
    <w:tmpl w:val="950A1C52"/>
    <w:numStyleLink w:val="AERHeadings"/>
  </w:abstractNum>
  <w:abstractNum w:abstractNumId="31">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4">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6">
    <w:nsid w:val="5ECE4384"/>
    <w:multiLevelType w:val="multilevel"/>
    <w:tmpl w:val="63FE7DBA"/>
    <w:lvl w:ilvl="0">
      <w:start w:val="4"/>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8">
    <w:nsid w:val="6DE36827"/>
    <w:multiLevelType w:val="multilevel"/>
    <w:tmpl w:val="950A1C52"/>
    <w:numStyleLink w:val="AERHeadings"/>
  </w:abstractNum>
  <w:abstractNum w:abstractNumId="39">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41"/>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7"/>
  </w:num>
  <w:num w:numId="13">
    <w:abstractNumId w:val="24"/>
  </w:num>
  <w:num w:numId="14">
    <w:abstractNumId w:val="11"/>
  </w:num>
  <w:num w:numId="15">
    <w:abstractNumId w:val="14"/>
  </w:num>
  <w:num w:numId="16">
    <w:abstractNumId w:val="31"/>
  </w:num>
  <w:num w:numId="17">
    <w:abstractNumId w:val="10"/>
  </w:num>
  <w:num w:numId="18">
    <w:abstractNumId w:val="19"/>
  </w:num>
  <w:num w:numId="19">
    <w:abstractNumId w:val="32"/>
  </w:num>
  <w:num w:numId="20">
    <w:abstractNumId w:val="39"/>
  </w:num>
  <w:num w:numId="21">
    <w:abstractNumId w:val="15"/>
  </w:num>
  <w:num w:numId="22">
    <w:abstractNumId w:val="35"/>
  </w:num>
  <w:num w:numId="23">
    <w:abstractNumId w:val="33"/>
  </w:num>
  <w:num w:numId="24">
    <w:abstractNumId w:val="22"/>
  </w:num>
  <w:num w:numId="25">
    <w:abstractNumId w:val="34"/>
  </w:num>
  <w:num w:numId="26">
    <w:abstractNumId w:val="36"/>
  </w:num>
  <w:num w:numId="27">
    <w:abstractNumId w:val="23"/>
  </w:num>
  <w:num w:numId="28">
    <w:abstractNumId w:val="21"/>
  </w:num>
  <w:num w:numId="29">
    <w:abstractNumId w:val="18"/>
  </w:num>
  <w:num w:numId="30">
    <w:abstractNumId w:val="40"/>
  </w:num>
  <w:num w:numId="31">
    <w:abstractNumId w:val="16"/>
  </w:num>
  <w:num w:numId="32">
    <w:abstractNumId w:val="27"/>
  </w:num>
  <w:num w:numId="33">
    <w:abstractNumId w:val="22"/>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38"/>
  </w:num>
  <w:num w:numId="37">
    <w:abstractNumId w:val="30"/>
  </w:num>
  <w:num w:numId="38">
    <w:abstractNumId w:val="26"/>
  </w:num>
  <w:num w:numId="39">
    <w:abstractNumId w:val="13"/>
  </w:num>
  <w:num w:numId="40">
    <w:abstractNumId w:val="36"/>
  </w:num>
  <w:num w:numId="41">
    <w:abstractNumId w:val="36"/>
  </w:num>
  <w:num w:numId="42">
    <w:abstractNumId w:val="28"/>
  </w:num>
  <w:num w:numId="43">
    <w:abstractNumId w:val="17"/>
  </w:num>
  <w:num w:numId="44">
    <w:abstractNumId w:val="29"/>
  </w:num>
  <w:num w:numId="45">
    <w:abstractNumId w:val="25"/>
  </w:num>
  <w:num w:numId="46">
    <w:abstractNumId w:val="9"/>
  </w:num>
  <w:num w:numId="47">
    <w:abstractNumId w:val="20"/>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kpqbDraztaxnB9eEtharXIgyZsRTBnX+WaFiRJwArlU=" w:saltValue="73J4DsVEg9nNon6bbRyKSw==" w:algorithmName="SHA-256"/>
  <w:defaultTabStop w:val="340"/>
  <w:characterSpacingControl w:val="doNotCompress"/>
  <w:hdrShapeDefaults>
    <o:shapedefaults v:ext="edit" spidmax="757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7940\AER15 4205  Final decision SAPN - draft - value of imputation credits - changes draft tracked to JGN final.DOCX"/>
  </w:docVars>
  <w:rsids>
    <w:rsidRoot w:val="00961A4A"/>
    <w:rsid w:val="00000225"/>
    <w:rsid w:val="00005796"/>
    <w:rsid w:val="000066F6"/>
    <w:rsid w:val="00006EFD"/>
    <w:rsid w:val="0000771B"/>
    <w:rsid w:val="00011245"/>
    <w:rsid w:val="0001233B"/>
    <w:rsid w:val="00013714"/>
    <w:rsid w:val="00014D1C"/>
    <w:rsid w:val="00014EAB"/>
    <w:rsid w:val="00016F8E"/>
    <w:rsid w:val="00021202"/>
    <w:rsid w:val="00021C02"/>
    <w:rsid w:val="00021C2B"/>
    <w:rsid w:val="000222ED"/>
    <w:rsid w:val="00022375"/>
    <w:rsid w:val="000228A2"/>
    <w:rsid w:val="00024EA4"/>
    <w:rsid w:val="0002517F"/>
    <w:rsid w:val="00025203"/>
    <w:rsid w:val="00025DC4"/>
    <w:rsid w:val="00025F6F"/>
    <w:rsid w:val="000308B5"/>
    <w:rsid w:val="00033005"/>
    <w:rsid w:val="0003311D"/>
    <w:rsid w:val="0003430E"/>
    <w:rsid w:val="00034B5D"/>
    <w:rsid w:val="0003578C"/>
    <w:rsid w:val="00035C8E"/>
    <w:rsid w:val="00035CF5"/>
    <w:rsid w:val="000364F9"/>
    <w:rsid w:val="000365BE"/>
    <w:rsid w:val="000401B4"/>
    <w:rsid w:val="00040E5F"/>
    <w:rsid w:val="00041485"/>
    <w:rsid w:val="00041E36"/>
    <w:rsid w:val="000420EA"/>
    <w:rsid w:val="00042A44"/>
    <w:rsid w:val="00043921"/>
    <w:rsid w:val="00044F9D"/>
    <w:rsid w:val="00045C83"/>
    <w:rsid w:val="00045DD9"/>
    <w:rsid w:val="00047615"/>
    <w:rsid w:val="00050D76"/>
    <w:rsid w:val="00051598"/>
    <w:rsid w:val="000515FE"/>
    <w:rsid w:val="0005360D"/>
    <w:rsid w:val="0005367F"/>
    <w:rsid w:val="00053F84"/>
    <w:rsid w:val="000555BB"/>
    <w:rsid w:val="00055B09"/>
    <w:rsid w:val="00056E10"/>
    <w:rsid w:val="00057160"/>
    <w:rsid w:val="00057D4F"/>
    <w:rsid w:val="00057E61"/>
    <w:rsid w:val="0006055D"/>
    <w:rsid w:val="00060B47"/>
    <w:rsid w:val="00060BA5"/>
    <w:rsid w:val="00060F5E"/>
    <w:rsid w:val="0006168A"/>
    <w:rsid w:val="0006207D"/>
    <w:rsid w:val="00062164"/>
    <w:rsid w:val="0006219D"/>
    <w:rsid w:val="00062777"/>
    <w:rsid w:val="0006280F"/>
    <w:rsid w:val="000628AA"/>
    <w:rsid w:val="00062AC8"/>
    <w:rsid w:val="00063247"/>
    <w:rsid w:val="00063611"/>
    <w:rsid w:val="000637AF"/>
    <w:rsid w:val="00064FE8"/>
    <w:rsid w:val="00065075"/>
    <w:rsid w:val="00067873"/>
    <w:rsid w:val="00070475"/>
    <w:rsid w:val="00070F9F"/>
    <w:rsid w:val="00071146"/>
    <w:rsid w:val="0007137B"/>
    <w:rsid w:val="00071484"/>
    <w:rsid w:val="00071AFB"/>
    <w:rsid w:val="00071CD2"/>
    <w:rsid w:val="0007292A"/>
    <w:rsid w:val="00072EB6"/>
    <w:rsid w:val="0007480D"/>
    <w:rsid w:val="00074F5F"/>
    <w:rsid w:val="00074FD1"/>
    <w:rsid w:val="00075197"/>
    <w:rsid w:val="00076A67"/>
    <w:rsid w:val="00076E11"/>
    <w:rsid w:val="00077580"/>
    <w:rsid w:val="00080933"/>
    <w:rsid w:val="00081917"/>
    <w:rsid w:val="000819E1"/>
    <w:rsid w:val="00082AC5"/>
    <w:rsid w:val="00083F7D"/>
    <w:rsid w:val="00085663"/>
    <w:rsid w:val="00085EBF"/>
    <w:rsid w:val="000905E4"/>
    <w:rsid w:val="00090D47"/>
    <w:rsid w:val="00090E98"/>
    <w:rsid w:val="00091B15"/>
    <w:rsid w:val="00092473"/>
    <w:rsid w:val="000926C0"/>
    <w:rsid w:val="0009456D"/>
    <w:rsid w:val="00094AA1"/>
    <w:rsid w:val="000950A5"/>
    <w:rsid w:val="000950EE"/>
    <w:rsid w:val="000957E9"/>
    <w:rsid w:val="000968C4"/>
    <w:rsid w:val="000A247D"/>
    <w:rsid w:val="000A26C4"/>
    <w:rsid w:val="000A3020"/>
    <w:rsid w:val="000A331E"/>
    <w:rsid w:val="000A442D"/>
    <w:rsid w:val="000A4A5A"/>
    <w:rsid w:val="000A539A"/>
    <w:rsid w:val="000A6351"/>
    <w:rsid w:val="000A65E3"/>
    <w:rsid w:val="000A6BA0"/>
    <w:rsid w:val="000A6C7B"/>
    <w:rsid w:val="000A75BE"/>
    <w:rsid w:val="000B0043"/>
    <w:rsid w:val="000B1FB9"/>
    <w:rsid w:val="000B5240"/>
    <w:rsid w:val="000B5C47"/>
    <w:rsid w:val="000B65E0"/>
    <w:rsid w:val="000B7BB5"/>
    <w:rsid w:val="000C07D1"/>
    <w:rsid w:val="000C2A56"/>
    <w:rsid w:val="000C2B40"/>
    <w:rsid w:val="000C2FAB"/>
    <w:rsid w:val="000C33D0"/>
    <w:rsid w:val="000C3752"/>
    <w:rsid w:val="000C394C"/>
    <w:rsid w:val="000C3E94"/>
    <w:rsid w:val="000C4F1E"/>
    <w:rsid w:val="000C7128"/>
    <w:rsid w:val="000D0BA1"/>
    <w:rsid w:val="000D1220"/>
    <w:rsid w:val="000D122C"/>
    <w:rsid w:val="000D1E3A"/>
    <w:rsid w:val="000D21E6"/>
    <w:rsid w:val="000D24AE"/>
    <w:rsid w:val="000D2DBF"/>
    <w:rsid w:val="000D40E3"/>
    <w:rsid w:val="000D5ED8"/>
    <w:rsid w:val="000D6352"/>
    <w:rsid w:val="000D67D1"/>
    <w:rsid w:val="000D6A3C"/>
    <w:rsid w:val="000D7365"/>
    <w:rsid w:val="000D7B2D"/>
    <w:rsid w:val="000D7C93"/>
    <w:rsid w:val="000E0997"/>
    <w:rsid w:val="000E1819"/>
    <w:rsid w:val="000E181F"/>
    <w:rsid w:val="000E3BA4"/>
    <w:rsid w:val="000E4821"/>
    <w:rsid w:val="000E5AD5"/>
    <w:rsid w:val="000E66D8"/>
    <w:rsid w:val="000E6C72"/>
    <w:rsid w:val="000E79B3"/>
    <w:rsid w:val="000F0BB8"/>
    <w:rsid w:val="000F2352"/>
    <w:rsid w:val="000F2CE8"/>
    <w:rsid w:val="000F3267"/>
    <w:rsid w:val="000F5162"/>
    <w:rsid w:val="000F6CD8"/>
    <w:rsid w:val="000F793A"/>
    <w:rsid w:val="000F79D6"/>
    <w:rsid w:val="001029F3"/>
    <w:rsid w:val="00103C71"/>
    <w:rsid w:val="0010455B"/>
    <w:rsid w:val="00106C16"/>
    <w:rsid w:val="00107FC5"/>
    <w:rsid w:val="00112FED"/>
    <w:rsid w:val="0011590A"/>
    <w:rsid w:val="0011669D"/>
    <w:rsid w:val="001169CA"/>
    <w:rsid w:val="00116EB2"/>
    <w:rsid w:val="00116F0B"/>
    <w:rsid w:val="00117D8D"/>
    <w:rsid w:val="001208C3"/>
    <w:rsid w:val="00120980"/>
    <w:rsid w:val="00120E2C"/>
    <w:rsid w:val="00121190"/>
    <w:rsid w:val="00122745"/>
    <w:rsid w:val="00123C40"/>
    <w:rsid w:val="00124609"/>
    <w:rsid w:val="001246EA"/>
    <w:rsid w:val="00125A4B"/>
    <w:rsid w:val="00126528"/>
    <w:rsid w:val="0012691B"/>
    <w:rsid w:val="00126A4C"/>
    <w:rsid w:val="001272D5"/>
    <w:rsid w:val="001311D0"/>
    <w:rsid w:val="001315AD"/>
    <w:rsid w:val="00131F1D"/>
    <w:rsid w:val="00133DB9"/>
    <w:rsid w:val="001345D0"/>
    <w:rsid w:val="00134C81"/>
    <w:rsid w:val="00135513"/>
    <w:rsid w:val="001365AD"/>
    <w:rsid w:val="001379E9"/>
    <w:rsid w:val="00140344"/>
    <w:rsid w:val="0014196F"/>
    <w:rsid w:val="001434F7"/>
    <w:rsid w:val="00144841"/>
    <w:rsid w:val="00144963"/>
    <w:rsid w:val="00144D81"/>
    <w:rsid w:val="0014573B"/>
    <w:rsid w:val="001460E5"/>
    <w:rsid w:val="001463BC"/>
    <w:rsid w:val="00146C6B"/>
    <w:rsid w:val="00146FCD"/>
    <w:rsid w:val="00147F8E"/>
    <w:rsid w:val="00150117"/>
    <w:rsid w:val="00150BF7"/>
    <w:rsid w:val="00150E76"/>
    <w:rsid w:val="00151FE7"/>
    <w:rsid w:val="00152536"/>
    <w:rsid w:val="0015261E"/>
    <w:rsid w:val="001530F9"/>
    <w:rsid w:val="001534F5"/>
    <w:rsid w:val="00154821"/>
    <w:rsid w:val="001550E5"/>
    <w:rsid w:val="00155A26"/>
    <w:rsid w:val="001568FE"/>
    <w:rsid w:val="001573AB"/>
    <w:rsid w:val="001573E4"/>
    <w:rsid w:val="00157B48"/>
    <w:rsid w:val="0016005F"/>
    <w:rsid w:val="00160756"/>
    <w:rsid w:val="00160C27"/>
    <w:rsid w:val="00163568"/>
    <w:rsid w:val="00163AC7"/>
    <w:rsid w:val="00165520"/>
    <w:rsid w:val="00165758"/>
    <w:rsid w:val="0016622B"/>
    <w:rsid w:val="0016706E"/>
    <w:rsid w:val="00167469"/>
    <w:rsid w:val="001674B1"/>
    <w:rsid w:val="0017232E"/>
    <w:rsid w:val="00172780"/>
    <w:rsid w:val="00173633"/>
    <w:rsid w:val="00173FB4"/>
    <w:rsid w:val="00174102"/>
    <w:rsid w:val="001745C8"/>
    <w:rsid w:val="001754EE"/>
    <w:rsid w:val="00177488"/>
    <w:rsid w:val="001776CA"/>
    <w:rsid w:val="00177F0B"/>
    <w:rsid w:val="00180157"/>
    <w:rsid w:val="00180297"/>
    <w:rsid w:val="00181D6F"/>
    <w:rsid w:val="00182E64"/>
    <w:rsid w:val="00182FCB"/>
    <w:rsid w:val="001830C5"/>
    <w:rsid w:val="00183CBF"/>
    <w:rsid w:val="00184B67"/>
    <w:rsid w:val="001853F1"/>
    <w:rsid w:val="00185CB9"/>
    <w:rsid w:val="00186F77"/>
    <w:rsid w:val="001909BF"/>
    <w:rsid w:val="00191633"/>
    <w:rsid w:val="00191688"/>
    <w:rsid w:val="001926A4"/>
    <w:rsid w:val="00192A3E"/>
    <w:rsid w:val="00192AD5"/>
    <w:rsid w:val="00193A89"/>
    <w:rsid w:val="00193E3A"/>
    <w:rsid w:val="001943F7"/>
    <w:rsid w:val="00194992"/>
    <w:rsid w:val="00194C1A"/>
    <w:rsid w:val="00195DBC"/>
    <w:rsid w:val="0019613E"/>
    <w:rsid w:val="001966E3"/>
    <w:rsid w:val="00196FC6"/>
    <w:rsid w:val="00197B69"/>
    <w:rsid w:val="00197FE3"/>
    <w:rsid w:val="001A0AD5"/>
    <w:rsid w:val="001A130F"/>
    <w:rsid w:val="001A233B"/>
    <w:rsid w:val="001A2498"/>
    <w:rsid w:val="001A29C8"/>
    <w:rsid w:val="001A2B61"/>
    <w:rsid w:val="001A3A0B"/>
    <w:rsid w:val="001A4F7C"/>
    <w:rsid w:val="001A7E18"/>
    <w:rsid w:val="001B0396"/>
    <w:rsid w:val="001B054B"/>
    <w:rsid w:val="001B05B4"/>
    <w:rsid w:val="001B1D7E"/>
    <w:rsid w:val="001B1D8E"/>
    <w:rsid w:val="001B45A0"/>
    <w:rsid w:val="001B5324"/>
    <w:rsid w:val="001B5415"/>
    <w:rsid w:val="001B6BD3"/>
    <w:rsid w:val="001B77CE"/>
    <w:rsid w:val="001C0460"/>
    <w:rsid w:val="001C0549"/>
    <w:rsid w:val="001C1CFF"/>
    <w:rsid w:val="001C1EBE"/>
    <w:rsid w:val="001C24A0"/>
    <w:rsid w:val="001C274C"/>
    <w:rsid w:val="001C3E2B"/>
    <w:rsid w:val="001C5163"/>
    <w:rsid w:val="001C5CFF"/>
    <w:rsid w:val="001C72D6"/>
    <w:rsid w:val="001D055E"/>
    <w:rsid w:val="001D2269"/>
    <w:rsid w:val="001D2419"/>
    <w:rsid w:val="001D2C85"/>
    <w:rsid w:val="001D46FE"/>
    <w:rsid w:val="001D4E2C"/>
    <w:rsid w:val="001D4E56"/>
    <w:rsid w:val="001D62E9"/>
    <w:rsid w:val="001D659B"/>
    <w:rsid w:val="001D76D4"/>
    <w:rsid w:val="001E0741"/>
    <w:rsid w:val="001E0AE9"/>
    <w:rsid w:val="001E1424"/>
    <w:rsid w:val="001E1745"/>
    <w:rsid w:val="001E1823"/>
    <w:rsid w:val="001E2164"/>
    <w:rsid w:val="001E4012"/>
    <w:rsid w:val="001F05A4"/>
    <w:rsid w:val="001F1D40"/>
    <w:rsid w:val="001F2C5D"/>
    <w:rsid w:val="001F3170"/>
    <w:rsid w:val="001F3615"/>
    <w:rsid w:val="001F492E"/>
    <w:rsid w:val="001F5131"/>
    <w:rsid w:val="001F5837"/>
    <w:rsid w:val="001F5AF0"/>
    <w:rsid w:val="001F6270"/>
    <w:rsid w:val="001F6A3E"/>
    <w:rsid w:val="001F6DA3"/>
    <w:rsid w:val="0020044C"/>
    <w:rsid w:val="0020052E"/>
    <w:rsid w:val="00200AC8"/>
    <w:rsid w:val="00200E7D"/>
    <w:rsid w:val="002010BC"/>
    <w:rsid w:val="002016E7"/>
    <w:rsid w:val="002025C3"/>
    <w:rsid w:val="00202E03"/>
    <w:rsid w:val="002030C9"/>
    <w:rsid w:val="00203B96"/>
    <w:rsid w:val="00204858"/>
    <w:rsid w:val="002048E1"/>
    <w:rsid w:val="0020492C"/>
    <w:rsid w:val="00205605"/>
    <w:rsid w:val="00205A12"/>
    <w:rsid w:val="00206294"/>
    <w:rsid w:val="002062DF"/>
    <w:rsid w:val="00207189"/>
    <w:rsid w:val="00207318"/>
    <w:rsid w:val="00207CDF"/>
    <w:rsid w:val="00207E2C"/>
    <w:rsid w:val="00210B31"/>
    <w:rsid w:val="002113E4"/>
    <w:rsid w:val="00212850"/>
    <w:rsid w:val="00212CFB"/>
    <w:rsid w:val="002155A2"/>
    <w:rsid w:val="0021566A"/>
    <w:rsid w:val="002157C2"/>
    <w:rsid w:val="00215D70"/>
    <w:rsid w:val="00217066"/>
    <w:rsid w:val="002207E5"/>
    <w:rsid w:val="00220FF2"/>
    <w:rsid w:val="002212D2"/>
    <w:rsid w:val="00221D7D"/>
    <w:rsid w:val="0022220C"/>
    <w:rsid w:val="002231B2"/>
    <w:rsid w:val="00223316"/>
    <w:rsid w:val="00223923"/>
    <w:rsid w:val="00224B56"/>
    <w:rsid w:val="00224DB9"/>
    <w:rsid w:val="00225435"/>
    <w:rsid w:val="0023002F"/>
    <w:rsid w:val="0023004F"/>
    <w:rsid w:val="00230165"/>
    <w:rsid w:val="0023068C"/>
    <w:rsid w:val="00231B23"/>
    <w:rsid w:val="00231C11"/>
    <w:rsid w:val="00232176"/>
    <w:rsid w:val="00233775"/>
    <w:rsid w:val="002339AE"/>
    <w:rsid w:val="002344B4"/>
    <w:rsid w:val="002345E2"/>
    <w:rsid w:val="00234EDA"/>
    <w:rsid w:val="002356A3"/>
    <w:rsid w:val="002370AA"/>
    <w:rsid w:val="00237419"/>
    <w:rsid w:val="002379AA"/>
    <w:rsid w:val="00240132"/>
    <w:rsid w:val="00240569"/>
    <w:rsid w:val="00240C12"/>
    <w:rsid w:val="00241B8E"/>
    <w:rsid w:val="00241DFB"/>
    <w:rsid w:val="002424BE"/>
    <w:rsid w:val="00242B75"/>
    <w:rsid w:val="00242BC8"/>
    <w:rsid w:val="00242C5C"/>
    <w:rsid w:val="0024321E"/>
    <w:rsid w:val="002435BC"/>
    <w:rsid w:val="0024385A"/>
    <w:rsid w:val="00244338"/>
    <w:rsid w:val="00245902"/>
    <w:rsid w:val="00246058"/>
    <w:rsid w:val="0024692C"/>
    <w:rsid w:val="0025055F"/>
    <w:rsid w:val="00251745"/>
    <w:rsid w:val="002519FD"/>
    <w:rsid w:val="00252549"/>
    <w:rsid w:val="00253C46"/>
    <w:rsid w:val="00254F30"/>
    <w:rsid w:val="00256041"/>
    <w:rsid w:val="002564C1"/>
    <w:rsid w:val="00256619"/>
    <w:rsid w:val="00257FBE"/>
    <w:rsid w:val="00261628"/>
    <w:rsid w:val="002630C5"/>
    <w:rsid w:val="00263AC0"/>
    <w:rsid w:val="00264264"/>
    <w:rsid w:val="0026524C"/>
    <w:rsid w:val="00265983"/>
    <w:rsid w:val="002671BD"/>
    <w:rsid w:val="00267663"/>
    <w:rsid w:val="0026772D"/>
    <w:rsid w:val="00270474"/>
    <w:rsid w:val="0027049E"/>
    <w:rsid w:val="00270CE0"/>
    <w:rsid w:val="00270E6E"/>
    <w:rsid w:val="002711F2"/>
    <w:rsid w:val="00271E09"/>
    <w:rsid w:val="00271F25"/>
    <w:rsid w:val="0027315E"/>
    <w:rsid w:val="002742BA"/>
    <w:rsid w:val="00277D14"/>
    <w:rsid w:val="00280044"/>
    <w:rsid w:val="002805E2"/>
    <w:rsid w:val="002829F1"/>
    <w:rsid w:val="0028481C"/>
    <w:rsid w:val="00284A7F"/>
    <w:rsid w:val="00284D6A"/>
    <w:rsid w:val="00286874"/>
    <w:rsid w:val="00286B3E"/>
    <w:rsid w:val="002877E9"/>
    <w:rsid w:val="00287969"/>
    <w:rsid w:val="00290201"/>
    <w:rsid w:val="00290879"/>
    <w:rsid w:val="00290A02"/>
    <w:rsid w:val="00290C63"/>
    <w:rsid w:val="00291E95"/>
    <w:rsid w:val="002928A4"/>
    <w:rsid w:val="00292ECF"/>
    <w:rsid w:val="002939DB"/>
    <w:rsid w:val="00293B86"/>
    <w:rsid w:val="00293DF3"/>
    <w:rsid w:val="00296B65"/>
    <w:rsid w:val="00297C4E"/>
    <w:rsid w:val="00297CB4"/>
    <w:rsid w:val="002A0549"/>
    <w:rsid w:val="002A0FA0"/>
    <w:rsid w:val="002A17A7"/>
    <w:rsid w:val="002A458B"/>
    <w:rsid w:val="002A4ED6"/>
    <w:rsid w:val="002A51CC"/>
    <w:rsid w:val="002A5BA9"/>
    <w:rsid w:val="002A5D7C"/>
    <w:rsid w:val="002A5F9A"/>
    <w:rsid w:val="002A6968"/>
    <w:rsid w:val="002A7DEF"/>
    <w:rsid w:val="002B0240"/>
    <w:rsid w:val="002B0A70"/>
    <w:rsid w:val="002B0F5E"/>
    <w:rsid w:val="002B1173"/>
    <w:rsid w:val="002B1F73"/>
    <w:rsid w:val="002B23F7"/>
    <w:rsid w:val="002B24B7"/>
    <w:rsid w:val="002B2AC7"/>
    <w:rsid w:val="002B2B81"/>
    <w:rsid w:val="002B2C56"/>
    <w:rsid w:val="002B6B6D"/>
    <w:rsid w:val="002B72E9"/>
    <w:rsid w:val="002C0A37"/>
    <w:rsid w:val="002C0E99"/>
    <w:rsid w:val="002C1CFB"/>
    <w:rsid w:val="002C233C"/>
    <w:rsid w:val="002C25C3"/>
    <w:rsid w:val="002C25CF"/>
    <w:rsid w:val="002C2610"/>
    <w:rsid w:val="002C28FE"/>
    <w:rsid w:val="002C2D1A"/>
    <w:rsid w:val="002C3021"/>
    <w:rsid w:val="002C45CC"/>
    <w:rsid w:val="002C46E3"/>
    <w:rsid w:val="002C640C"/>
    <w:rsid w:val="002C6AF7"/>
    <w:rsid w:val="002C7412"/>
    <w:rsid w:val="002C75FE"/>
    <w:rsid w:val="002D1CB7"/>
    <w:rsid w:val="002D23E3"/>
    <w:rsid w:val="002D2DE1"/>
    <w:rsid w:val="002D3EB3"/>
    <w:rsid w:val="002D42E1"/>
    <w:rsid w:val="002D46D2"/>
    <w:rsid w:val="002D637F"/>
    <w:rsid w:val="002D72E8"/>
    <w:rsid w:val="002E1251"/>
    <w:rsid w:val="002E1BBD"/>
    <w:rsid w:val="002E21E3"/>
    <w:rsid w:val="002E2AB9"/>
    <w:rsid w:val="002E321B"/>
    <w:rsid w:val="002E3FBF"/>
    <w:rsid w:val="002E4B63"/>
    <w:rsid w:val="002E61A2"/>
    <w:rsid w:val="002E76F0"/>
    <w:rsid w:val="002E772A"/>
    <w:rsid w:val="002E7B22"/>
    <w:rsid w:val="002E7B33"/>
    <w:rsid w:val="002F28E0"/>
    <w:rsid w:val="002F42B8"/>
    <w:rsid w:val="002F5023"/>
    <w:rsid w:val="002F50B7"/>
    <w:rsid w:val="002F6A93"/>
    <w:rsid w:val="002F6F2E"/>
    <w:rsid w:val="002F7986"/>
    <w:rsid w:val="00300299"/>
    <w:rsid w:val="00300843"/>
    <w:rsid w:val="003009F6"/>
    <w:rsid w:val="00301B40"/>
    <w:rsid w:val="003029EE"/>
    <w:rsid w:val="00305358"/>
    <w:rsid w:val="00305CC8"/>
    <w:rsid w:val="0030777D"/>
    <w:rsid w:val="00307F6D"/>
    <w:rsid w:val="00310914"/>
    <w:rsid w:val="0031160A"/>
    <w:rsid w:val="0031164D"/>
    <w:rsid w:val="00311850"/>
    <w:rsid w:val="00311927"/>
    <w:rsid w:val="00311C26"/>
    <w:rsid w:val="0031248F"/>
    <w:rsid w:val="00312607"/>
    <w:rsid w:val="00312D30"/>
    <w:rsid w:val="00313C79"/>
    <w:rsid w:val="0031438A"/>
    <w:rsid w:val="00315256"/>
    <w:rsid w:val="00315858"/>
    <w:rsid w:val="00316050"/>
    <w:rsid w:val="003160FF"/>
    <w:rsid w:val="00316AC2"/>
    <w:rsid w:val="00317058"/>
    <w:rsid w:val="003173E1"/>
    <w:rsid w:val="00317576"/>
    <w:rsid w:val="003177A2"/>
    <w:rsid w:val="0031795F"/>
    <w:rsid w:val="00320DFC"/>
    <w:rsid w:val="00322B99"/>
    <w:rsid w:val="00324032"/>
    <w:rsid w:val="00324438"/>
    <w:rsid w:val="003259A3"/>
    <w:rsid w:val="003266F4"/>
    <w:rsid w:val="00326BF7"/>
    <w:rsid w:val="003271B5"/>
    <w:rsid w:val="00327774"/>
    <w:rsid w:val="00327A1E"/>
    <w:rsid w:val="00331264"/>
    <w:rsid w:val="00332087"/>
    <w:rsid w:val="0033258C"/>
    <w:rsid w:val="00332A53"/>
    <w:rsid w:val="00332C7E"/>
    <w:rsid w:val="00332E89"/>
    <w:rsid w:val="00332F8F"/>
    <w:rsid w:val="0033300F"/>
    <w:rsid w:val="0033341B"/>
    <w:rsid w:val="00333F6F"/>
    <w:rsid w:val="00334C8D"/>
    <w:rsid w:val="0033521E"/>
    <w:rsid w:val="00335E54"/>
    <w:rsid w:val="00340378"/>
    <w:rsid w:val="00340B37"/>
    <w:rsid w:val="0034249A"/>
    <w:rsid w:val="00342F27"/>
    <w:rsid w:val="0034337A"/>
    <w:rsid w:val="00343A18"/>
    <w:rsid w:val="00343B1C"/>
    <w:rsid w:val="003443F7"/>
    <w:rsid w:val="00344F8E"/>
    <w:rsid w:val="003504FC"/>
    <w:rsid w:val="003518B3"/>
    <w:rsid w:val="00351C95"/>
    <w:rsid w:val="0035243C"/>
    <w:rsid w:val="00352736"/>
    <w:rsid w:val="00352983"/>
    <w:rsid w:val="00352DBF"/>
    <w:rsid w:val="00355B65"/>
    <w:rsid w:val="00355B77"/>
    <w:rsid w:val="00355D42"/>
    <w:rsid w:val="00361EF1"/>
    <w:rsid w:val="00362B16"/>
    <w:rsid w:val="00362F8C"/>
    <w:rsid w:val="00364352"/>
    <w:rsid w:val="00364692"/>
    <w:rsid w:val="003658B2"/>
    <w:rsid w:val="0036613F"/>
    <w:rsid w:val="00366244"/>
    <w:rsid w:val="003663DE"/>
    <w:rsid w:val="00367EDE"/>
    <w:rsid w:val="003710E9"/>
    <w:rsid w:val="003713AB"/>
    <w:rsid w:val="0037145F"/>
    <w:rsid w:val="00371865"/>
    <w:rsid w:val="00371C1E"/>
    <w:rsid w:val="00371DBB"/>
    <w:rsid w:val="00375483"/>
    <w:rsid w:val="00376B16"/>
    <w:rsid w:val="0037770A"/>
    <w:rsid w:val="0038032B"/>
    <w:rsid w:val="003803A3"/>
    <w:rsid w:val="00380B80"/>
    <w:rsid w:val="003817F2"/>
    <w:rsid w:val="003822C4"/>
    <w:rsid w:val="00384402"/>
    <w:rsid w:val="003846F1"/>
    <w:rsid w:val="00384981"/>
    <w:rsid w:val="00386FCB"/>
    <w:rsid w:val="003873C7"/>
    <w:rsid w:val="00391221"/>
    <w:rsid w:val="00391493"/>
    <w:rsid w:val="003914B5"/>
    <w:rsid w:val="0039184D"/>
    <w:rsid w:val="003918B4"/>
    <w:rsid w:val="00392C0E"/>
    <w:rsid w:val="00392DDE"/>
    <w:rsid w:val="0039342E"/>
    <w:rsid w:val="003940CD"/>
    <w:rsid w:val="00394553"/>
    <w:rsid w:val="00394590"/>
    <w:rsid w:val="00394742"/>
    <w:rsid w:val="00396D7C"/>
    <w:rsid w:val="003972DD"/>
    <w:rsid w:val="00397527"/>
    <w:rsid w:val="003A079E"/>
    <w:rsid w:val="003A0A60"/>
    <w:rsid w:val="003A381F"/>
    <w:rsid w:val="003A4060"/>
    <w:rsid w:val="003A41F1"/>
    <w:rsid w:val="003A4A61"/>
    <w:rsid w:val="003A55CA"/>
    <w:rsid w:val="003A55DC"/>
    <w:rsid w:val="003A5A7F"/>
    <w:rsid w:val="003A5CF8"/>
    <w:rsid w:val="003A769D"/>
    <w:rsid w:val="003B0C3D"/>
    <w:rsid w:val="003B16C3"/>
    <w:rsid w:val="003B1A41"/>
    <w:rsid w:val="003B1F07"/>
    <w:rsid w:val="003B29E9"/>
    <w:rsid w:val="003B2FA1"/>
    <w:rsid w:val="003B3322"/>
    <w:rsid w:val="003B3BB6"/>
    <w:rsid w:val="003B4139"/>
    <w:rsid w:val="003B484F"/>
    <w:rsid w:val="003B66B5"/>
    <w:rsid w:val="003B6A25"/>
    <w:rsid w:val="003B771F"/>
    <w:rsid w:val="003B7BA4"/>
    <w:rsid w:val="003B7FBA"/>
    <w:rsid w:val="003C0026"/>
    <w:rsid w:val="003C19B5"/>
    <w:rsid w:val="003C23B4"/>
    <w:rsid w:val="003C2C75"/>
    <w:rsid w:val="003C38FE"/>
    <w:rsid w:val="003C7914"/>
    <w:rsid w:val="003C7B9C"/>
    <w:rsid w:val="003D0809"/>
    <w:rsid w:val="003D173A"/>
    <w:rsid w:val="003D1DC3"/>
    <w:rsid w:val="003D1F3A"/>
    <w:rsid w:val="003D2313"/>
    <w:rsid w:val="003D29A2"/>
    <w:rsid w:val="003D310B"/>
    <w:rsid w:val="003D3385"/>
    <w:rsid w:val="003D3D89"/>
    <w:rsid w:val="003D495E"/>
    <w:rsid w:val="003D4D99"/>
    <w:rsid w:val="003D59ED"/>
    <w:rsid w:val="003D6A3C"/>
    <w:rsid w:val="003D6DCD"/>
    <w:rsid w:val="003E00A4"/>
    <w:rsid w:val="003E0367"/>
    <w:rsid w:val="003E0AD9"/>
    <w:rsid w:val="003E1DBF"/>
    <w:rsid w:val="003E2CEA"/>
    <w:rsid w:val="003E2CFF"/>
    <w:rsid w:val="003E38A3"/>
    <w:rsid w:val="003E4445"/>
    <w:rsid w:val="003E4F74"/>
    <w:rsid w:val="003E6B35"/>
    <w:rsid w:val="003E7CEB"/>
    <w:rsid w:val="003F04C0"/>
    <w:rsid w:val="003F174D"/>
    <w:rsid w:val="003F1C59"/>
    <w:rsid w:val="003F2309"/>
    <w:rsid w:val="003F30E2"/>
    <w:rsid w:val="003F34C6"/>
    <w:rsid w:val="003F3788"/>
    <w:rsid w:val="003F4E76"/>
    <w:rsid w:val="003F5B81"/>
    <w:rsid w:val="003F7E3A"/>
    <w:rsid w:val="00402335"/>
    <w:rsid w:val="00402A80"/>
    <w:rsid w:val="00405040"/>
    <w:rsid w:val="0040548D"/>
    <w:rsid w:val="004056F3"/>
    <w:rsid w:val="004060BE"/>
    <w:rsid w:val="00406B74"/>
    <w:rsid w:val="00406E58"/>
    <w:rsid w:val="00407BEB"/>
    <w:rsid w:val="00412ED4"/>
    <w:rsid w:val="0041319C"/>
    <w:rsid w:val="004136CE"/>
    <w:rsid w:val="00413AC3"/>
    <w:rsid w:val="004144BF"/>
    <w:rsid w:val="004145CB"/>
    <w:rsid w:val="004152B3"/>
    <w:rsid w:val="00415BFD"/>
    <w:rsid w:val="00415DA8"/>
    <w:rsid w:val="00415F31"/>
    <w:rsid w:val="00416B6D"/>
    <w:rsid w:val="00417647"/>
    <w:rsid w:val="004179E8"/>
    <w:rsid w:val="00420456"/>
    <w:rsid w:val="004224A2"/>
    <w:rsid w:val="004224DB"/>
    <w:rsid w:val="00422781"/>
    <w:rsid w:val="004235C1"/>
    <w:rsid w:val="00423A77"/>
    <w:rsid w:val="0042476A"/>
    <w:rsid w:val="00424E33"/>
    <w:rsid w:val="004261EE"/>
    <w:rsid w:val="00426C80"/>
    <w:rsid w:val="00427B26"/>
    <w:rsid w:val="00430293"/>
    <w:rsid w:val="00433E7B"/>
    <w:rsid w:val="00434292"/>
    <w:rsid w:val="0043534D"/>
    <w:rsid w:val="00435D64"/>
    <w:rsid w:val="004362BB"/>
    <w:rsid w:val="004373C4"/>
    <w:rsid w:val="004374B5"/>
    <w:rsid w:val="004379A0"/>
    <w:rsid w:val="00440267"/>
    <w:rsid w:val="0044032A"/>
    <w:rsid w:val="004412C4"/>
    <w:rsid w:val="0044152D"/>
    <w:rsid w:val="0044181C"/>
    <w:rsid w:val="004442D2"/>
    <w:rsid w:val="00444456"/>
    <w:rsid w:val="00444B5D"/>
    <w:rsid w:val="0044559A"/>
    <w:rsid w:val="00445966"/>
    <w:rsid w:val="004459E3"/>
    <w:rsid w:val="00446098"/>
    <w:rsid w:val="0044623D"/>
    <w:rsid w:val="00446536"/>
    <w:rsid w:val="00446B6C"/>
    <w:rsid w:val="004478BB"/>
    <w:rsid w:val="004510F7"/>
    <w:rsid w:val="004510FE"/>
    <w:rsid w:val="004516D5"/>
    <w:rsid w:val="0045219F"/>
    <w:rsid w:val="00452573"/>
    <w:rsid w:val="00453364"/>
    <w:rsid w:val="00453BD1"/>
    <w:rsid w:val="00455715"/>
    <w:rsid w:val="004569D9"/>
    <w:rsid w:val="0045743A"/>
    <w:rsid w:val="0045777E"/>
    <w:rsid w:val="004604E6"/>
    <w:rsid w:val="004614D0"/>
    <w:rsid w:val="00461725"/>
    <w:rsid w:val="00462E01"/>
    <w:rsid w:val="00463243"/>
    <w:rsid w:val="00463624"/>
    <w:rsid w:val="0046390C"/>
    <w:rsid w:val="004643C3"/>
    <w:rsid w:val="0046783C"/>
    <w:rsid w:val="00467CCF"/>
    <w:rsid w:val="0047186A"/>
    <w:rsid w:val="00472DCE"/>
    <w:rsid w:val="00473169"/>
    <w:rsid w:val="00473E0B"/>
    <w:rsid w:val="004749DC"/>
    <w:rsid w:val="00474BFD"/>
    <w:rsid w:val="0048014E"/>
    <w:rsid w:val="004807E2"/>
    <w:rsid w:val="00480B4B"/>
    <w:rsid w:val="00480E3F"/>
    <w:rsid w:val="00481511"/>
    <w:rsid w:val="00481B0E"/>
    <w:rsid w:val="00481B86"/>
    <w:rsid w:val="0048512F"/>
    <w:rsid w:val="00485DC4"/>
    <w:rsid w:val="00485FF7"/>
    <w:rsid w:val="00486A2F"/>
    <w:rsid w:val="00486FC1"/>
    <w:rsid w:val="00490637"/>
    <w:rsid w:val="00490C29"/>
    <w:rsid w:val="00491828"/>
    <w:rsid w:val="00494584"/>
    <w:rsid w:val="00494C30"/>
    <w:rsid w:val="00495EA5"/>
    <w:rsid w:val="004A0169"/>
    <w:rsid w:val="004A21A8"/>
    <w:rsid w:val="004A2574"/>
    <w:rsid w:val="004A2B49"/>
    <w:rsid w:val="004A345B"/>
    <w:rsid w:val="004A38D4"/>
    <w:rsid w:val="004A3BA8"/>
    <w:rsid w:val="004A43D1"/>
    <w:rsid w:val="004A4790"/>
    <w:rsid w:val="004A4E86"/>
    <w:rsid w:val="004A53D2"/>
    <w:rsid w:val="004A56A1"/>
    <w:rsid w:val="004A6D94"/>
    <w:rsid w:val="004A70E0"/>
    <w:rsid w:val="004A726F"/>
    <w:rsid w:val="004B0FAE"/>
    <w:rsid w:val="004B182E"/>
    <w:rsid w:val="004B2373"/>
    <w:rsid w:val="004B343B"/>
    <w:rsid w:val="004B3DBD"/>
    <w:rsid w:val="004B4412"/>
    <w:rsid w:val="004B6775"/>
    <w:rsid w:val="004B6789"/>
    <w:rsid w:val="004B6D07"/>
    <w:rsid w:val="004B6FED"/>
    <w:rsid w:val="004C125F"/>
    <w:rsid w:val="004C12E0"/>
    <w:rsid w:val="004C1F8C"/>
    <w:rsid w:val="004C2A51"/>
    <w:rsid w:val="004C348C"/>
    <w:rsid w:val="004C4ECA"/>
    <w:rsid w:val="004C5678"/>
    <w:rsid w:val="004C5EC7"/>
    <w:rsid w:val="004C6664"/>
    <w:rsid w:val="004C71D5"/>
    <w:rsid w:val="004C7303"/>
    <w:rsid w:val="004C7CD9"/>
    <w:rsid w:val="004C7D6F"/>
    <w:rsid w:val="004D16B8"/>
    <w:rsid w:val="004D1A69"/>
    <w:rsid w:val="004D2B94"/>
    <w:rsid w:val="004D40C0"/>
    <w:rsid w:val="004D44E4"/>
    <w:rsid w:val="004D4F86"/>
    <w:rsid w:val="004D5136"/>
    <w:rsid w:val="004D55BA"/>
    <w:rsid w:val="004D6693"/>
    <w:rsid w:val="004D7477"/>
    <w:rsid w:val="004E0B5D"/>
    <w:rsid w:val="004E172F"/>
    <w:rsid w:val="004E22EC"/>
    <w:rsid w:val="004E2511"/>
    <w:rsid w:val="004E30F8"/>
    <w:rsid w:val="004E3E86"/>
    <w:rsid w:val="004E4BF6"/>
    <w:rsid w:val="004E4F29"/>
    <w:rsid w:val="004E5A52"/>
    <w:rsid w:val="004F0A01"/>
    <w:rsid w:val="004F15DE"/>
    <w:rsid w:val="004F290A"/>
    <w:rsid w:val="004F311F"/>
    <w:rsid w:val="004F3A30"/>
    <w:rsid w:val="004F40A2"/>
    <w:rsid w:val="004F46B8"/>
    <w:rsid w:val="004F5973"/>
    <w:rsid w:val="004F6A0E"/>
    <w:rsid w:val="0050152B"/>
    <w:rsid w:val="00502349"/>
    <w:rsid w:val="0050279A"/>
    <w:rsid w:val="00504808"/>
    <w:rsid w:val="00507D00"/>
    <w:rsid w:val="00507DED"/>
    <w:rsid w:val="005101EF"/>
    <w:rsid w:val="005105C7"/>
    <w:rsid w:val="0051069B"/>
    <w:rsid w:val="0051087C"/>
    <w:rsid w:val="00510DA0"/>
    <w:rsid w:val="00511750"/>
    <w:rsid w:val="00511C9E"/>
    <w:rsid w:val="00512BEA"/>
    <w:rsid w:val="00512D10"/>
    <w:rsid w:val="005144CD"/>
    <w:rsid w:val="00514A0A"/>
    <w:rsid w:val="00516132"/>
    <w:rsid w:val="0051644C"/>
    <w:rsid w:val="005166CA"/>
    <w:rsid w:val="00516B92"/>
    <w:rsid w:val="005170E4"/>
    <w:rsid w:val="0052084F"/>
    <w:rsid w:val="00520C80"/>
    <w:rsid w:val="00521767"/>
    <w:rsid w:val="00521D96"/>
    <w:rsid w:val="00522309"/>
    <w:rsid w:val="00525909"/>
    <w:rsid w:val="005260A3"/>
    <w:rsid w:val="00526307"/>
    <w:rsid w:val="005265FB"/>
    <w:rsid w:val="00526A4B"/>
    <w:rsid w:val="00527378"/>
    <w:rsid w:val="005276FD"/>
    <w:rsid w:val="0052772E"/>
    <w:rsid w:val="00530128"/>
    <w:rsid w:val="00530BB8"/>
    <w:rsid w:val="00530F0A"/>
    <w:rsid w:val="0053193C"/>
    <w:rsid w:val="0053195A"/>
    <w:rsid w:val="00532467"/>
    <w:rsid w:val="00533922"/>
    <w:rsid w:val="00533BA4"/>
    <w:rsid w:val="00535167"/>
    <w:rsid w:val="005358A4"/>
    <w:rsid w:val="005401BC"/>
    <w:rsid w:val="00542703"/>
    <w:rsid w:val="005436C8"/>
    <w:rsid w:val="005453BB"/>
    <w:rsid w:val="00545B75"/>
    <w:rsid w:val="00545E09"/>
    <w:rsid w:val="00545E37"/>
    <w:rsid w:val="0055021B"/>
    <w:rsid w:val="00550F32"/>
    <w:rsid w:val="0055160E"/>
    <w:rsid w:val="0055244B"/>
    <w:rsid w:val="00552640"/>
    <w:rsid w:val="00552777"/>
    <w:rsid w:val="00555DC4"/>
    <w:rsid w:val="00555FE2"/>
    <w:rsid w:val="00557D9E"/>
    <w:rsid w:val="005612D9"/>
    <w:rsid w:val="005622AD"/>
    <w:rsid w:val="00563AB6"/>
    <w:rsid w:val="00564A4D"/>
    <w:rsid w:val="005650DB"/>
    <w:rsid w:val="0056542E"/>
    <w:rsid w:val="005662F3"/>
    <w:rsid w:val="005666AD"/>
    <w:rsid w:val="005668B8"/>
    <w:rsid w:val="00566A62"/>
    <w:rsid w:val="00566AE2"/>
    <w:rsid w:val="00566C70"/>
    <w:rsid w:val="00566D1D"/>
    <w:rsid w:val="00566FF4"/>
    <w:rsid w:val="005676FF"/>
    <w:rsid w:val="00567904"/>
    <w:rsid w:val="00567BA5"/>
    <w:rsid w:val="005703B2"/>
    <w:rsid w:val="005706E0"/>
    <w:rsid w:val="005709DA"/>
    <w:rsid w:val="00570EA2"/>
    <w:rsid w:val="005713BE"/>
    <w:rsid w:val="00571B35"/>
    <w:rsid w:val="00571D57"/>
    <w:rsid w:val="00573623"/>
    <w:rsid w:val="00573C3B"/>
    <w:rsid w:val="005741A1"/>
    <w:rsid w:val="0057454B"/>
    <w:rsid w:val="0057496F"/>
    <w:rsid w:val="005749E3"/>
    <w:rsid w:val="00574A38"/>
    <w:rsid w:val="0057544B"/>
    <w:rsid w:val="00576498"/>
    <w:rsid w:val="00576550"/>
    <w:rsid w:val="00577A09"/>
    <w:rsid w:val="00577CEA"/>
    <w:rsid w:val="00580B7E"/>
    <w:rsid w:val="0058150D"/>
    <w:rsid w:val="005819A7"/>
    <w:rsid w:val="00581D5B"/>
    <w:rsid w:val="0058252B"/>
    <w:rsid w:val="0058278F"/>
    <w:rsid w:val="00582799"/>
    <w:rsid w:val="005828FB"/>
    <w:rsid w:val="005829C2"/>
    <w:rsid w:val="00582C62"/>
    <w:rsid w:val="00583E9F"/>
    <w:rsid w:val="005843B2"/>
    <w:rsid w:val="00584D8F"/>
    <w:rsid w:val="00585426"/>
    <w:rsid w:val="0058574D"/>
    <w:rsid w:val="0059112F"/>
    <w:rsid w:val="00592FD8"/>
    <w:rsid w:val="00593797"/>
    <w:rsid w:val="005941AB"/>
    <w:rsid w:val="005947EE"/>
    <w:rsid w:val="005979D5"/>
    <w:rsid w:val="005A0758"/>
    <w:rsid w:val="005A0CCF"/>
    <w:rsid w:val="005A184F"/>
    <w:rsid w:val="005A3896"/>
    <w:rsid w:val="005A404D"/>
    <w:rsid w:val="005A4352"/>
    <w:rsid w:val="005A4862"/>
    <w:rsid w:val="005A5371"/>
    <w:rsid w:val="005A6A8F"/>
    <w:rsid w:val="005A7C5B"/>
    <w:rsid w:val="005A7EB8"/>
    <w:rsid w:val="005A7FDD"/>
    <w:rsid w:val="005B011C"/>
    <w:rsid w:val="005B075B"/>
    <w:rsid w:val="005B1345"/>
    <w:rsid w:val="005B1D22"/>
    <w:rsid w:val="005B1E3C"/>
    <w:rsid w:val="005B201F"/>
    <w:rsid w:val="005B2D94"/>
    <w:rsid w:val="005B339B"/>
    <w:rsid w:val="005B33F5"/>
    <w:rsid w:val="005B539D"/>
    <w:rsid w:val="005B61AD"/>
    <w:rsid w:val="005B6EE2"/>
    <w:rsid w:val="005B704A"/>
    <w:rsid w:val="005B7CF2"/>
    <w:rsid w:val="005C0ACE"/>
    <w:rsid w:val="005C26CC"/>
    <w:rsid w:val="005C27F7"/>
    <w:rsid w:val="005C2D54"/>
    <w:rsid w:val="005C3213"/>
    <w:rsid w:val="005C3685"/>
    <w:rsid w:val="005C3962"/>
    <w:rsid w:val="005C42B2"/>
    <w:rsid w:val="005C4983"/>
    <w:rsid w:val="005C4C1D"/>
    <w:rsid w:val="005C5BA5"/>
    <w:rsid w:val="005C7134"/>
    <w:rsid w:val="005C74F4"/>
    <w:rsid w:val="005C7BE1"/>
    <w:rsid w:val="005D14A0"/>
    <w:rsid w:val="005D2A97"/>
    <w:rsid w:val="005D3D33"/>
    <w:rsid w:val="005D46A7"/>
    <w:rsid w:val="005D4939"/>
    <w:rsid w:val="005D5322"/>
    <w:rsid w:val="005D54B2"/>
    <w:rsid w:val="005D57FC"/>
    <w:rsid w:val="005D59BA"/>
    <w:rsid w:val="005D5D6D"/>
    <w:rsid w:val="005D5EA2"/>
    <w:rsid w:val="005D6B4F"/>
    <w:rsid w:val="005D795E"/>
    <w:rsid w:val="005D7BA2"/>
    <w:rsid w:val="005D7E69"/>
    <w:rsid w:val="005D7F83"/>
    <w:rsid w:val="005E0668"/>
    <w:rsid w:val="005E1689"/>
    <w:rsid w:val="005E1F91"/>
    <w:rsid w:val="005E32FB"/>
    <w:rsid w:val="005E36C2"/>
    <w:rsid w:val="005E424C"/>
    <w:rsid w:val="005E50C1"/>
    <w:rsid w:val="005E5D9D"/>
    <w:rsid w:val="005E5FA5"/>
    <w:rsid w:val="005E63F7"/>
    <w:rsid w:val="005E65FB"/>
    <w:rsid w:val="005E7F5E"/>
    <w:rsid w:val="005F066A"/>
    <w:rsid w:val="005F0A6F"/>
    <w:rsid w:val="005F1463"/>
    <w:rsid w:val="005F1845"/>
    <w:rsid w:val="005F1F34"/>
    <w:rsid w:val="005F282B"/>
    <w:rsid w:val="005F5F69"/>
    <w:rsid w:val="00600543"/>
    <w:rsid w:val="0060222E"/>
    <w:rsid w:val="0060266A"/>
    <w:rsid w:val="00602CA1"/>
    <w:rsid w:val="00603831"/>
    <w:rsid w:val="00604705"/>
    <w:rsid w:val="00604706"/>
    <w:rsid w:val="00604A26"/>
    <w:rsid w:val="00605B17"/>
    <w:rsid w:val="00605EF2"/>
    <w:rsid w:val="0060605B"/>
    <w:rsid w:val="00606BA9"/>
    <w:rsid w:val="0061019B"/>
    <w:rsid w:val="006105F9"/>
    <w:rsid w:val="00610EF9"/>
    <w:rsid w:val="00611E02"/>
    <w:rsid w:val="00612949"/>
    <w:rsid w:val="00612C68"/>
    <w:rsid w:val="00612F4F"/>
    <w:rsid w:val="006138FF"/>
    <w:rsid w:val="00615BED"/>
    <w:rsid w:val="00615C6B"/>
    <w:rsid w:val="00615CE6"/>
    <w:rsid w:val="00615E45"/>
    <w:rsid w:val="00617153"/>
    <w:rsid w:val="006178F5"/>
    <w:rsid w:val="00617F8A"/>
    <w:rsid w:val="006201C9"/>
    <w:rsid w:val="0062032A"/>
    <w:rsid w:val="006205BB"/>
    <w:rsid w:val="00621744"/>
    <w:rsid w:val="0062184D"/>
    <w:rsid w:val="00621DCE"/>
    <w:rsid w:val="00623505"/>
    <w:rsid w:val="0062492D"/>
    <w:rsid w:val="00624BED"/>
    <w:rsid w:val="00625179"/>
    <w:rsid w:val="00625D91"/>
    <w:rsid w:val="00626887"/>
    <w:rsid w:val="006278E3"/>
    <w:rsid w:val="00627928"/>
    <w:rsid w:val="006300B4"/>
    <w:rsid w:val="006312C7"/>
    <w:rsid w:val="00631904"/>
    <w:rsid w:val="00632C60"/>
    <w:rsid w:val="00632D6D"/>
    <w:rsid w:val="00634E0F"/>
    <w:rsid w:val="006357E0"/>
    <w:rsid w:val="006366C5"/>
    <w:rsid w:val="006402DC"/>
    <w:rsid w:val="00640550"/>
    <w:rsid w:val="00640B54"/>
    <w:rsid w:val="00641251"/>
    <w:rsid w:val="0064251C"/>
    <w:rsid w:val="00642C3E"/>
    <w:rsid w:val="00645407"/>
    <w:rsid w:val="00645444"/>
    <w:rsid w:val="0064546B"/>
    <w:rsid w:val="0064645C"/>
    <w:rsid w:val="00646595"/>
    <w:rsid w:val="00647254"/>
    <w:rsid w:val="006479AE"/>
    <w:rsid w:val="00647E2E"/>
    <w:rsid w:val="006508E8"/>
    <w:rsid w:val="00650925"/>
    <w:rsid w:val="00650984"/>
    <w:rsid w:val="00650D22"/>
    <w:rsid w:val="006526FE"/>
    <w:rsid w:val="00652824"/>
    <w:rsid w:val="00652A46"/>
    <w:rsid w:val="006535B3"/>
    <w:rsid w:val="00655F54"/>
    <w:rsid w:val="00656B47"/>
    <w:rsid w:val="006607B2"/>
    <w:rsid w:val="0066104A"/>
    <w:rsid w:val="0066139F"/>
    <w:rsid w:val="00661E72"/>
    <w:rsid w:val="006628CF"/>
    <w:rsid w:val="00663DAD"/>
    <w:rsid w:val="00664462"/>
    <w:rsid w:val="00665932"/>
    <w:rsid w:val="00666C5C"/>
    <w:rsid w:val="006709F8"/>
    <w:rsid w:val="0067120C"/>
    <w:rsid w:val="00671C74"/>
    <w:rsid w:val="00672143"/>
    <w:rsid w:val="00672505"/>
    <w:rsid w:val="006734AB"/>
    <w:rsid w:val="00674847"/>
    <w:rsid w:val="00675214"/>
    <w:rsid w:val="00675E20"/>
    <w:rsid w:val="0067614A"/>
    <w:rsid w:val="00676679"/>
    <w:rsid w:val="006806DF"/>
    <w:rsid w:val="00680B58"/>
    <w:rsid w:val="00680EF4"/>
    <w:rsid w:val="006824AD"/>
    <w:rsid w:val="0068291C"/>
    <w:rsid w:val="00682BBC"/>
    <w:rsid w:val="00683A41"/>
    <w:rsid w:val="00683C89"/>
    <w:rsid w:val="006841DC"/>
    <w:rsid w:val="00684460"/>
    <w:rsid w:val="0068466A"/>
    <w:rsid w:val="0068763F"/>
    <w:rsid w:val="006878CF"/>
    <w:rsid w:val="00690365"/>
    <w:rsid w:val="00690713"/>
    <w:rsid w:val="0069090B"/>
    <w:rsid w:val="00691112"/>
    <w:rsid w:val="00691305"/>
    <w:rsid w:val="00692599"/>
    <w:rsid w:val="00693024"/>
    <w:rsid w:val="00693FAB"/>
    <w:rsid w:val="0069434E"/>
    <w:rsid w:val="00694D8D"/>
    <w:rsid w:val="006950D4"/>
    <w:rsid w:val="00696CB8"/>
    <w:rsid w:val="00697232"/>
    <w:rsid w:val="00697799"/>
    <w:rsid w:val="006979C8"/>
    <w:rsid w:val="006A0E27"/>
    <w:rsid w:val="006A1579"/>
    <w:rsid w:val="006A1984"/>
    <w:rsid w:val="006A22AB"/>
    <w:rsid w:val="006A237E"/>
    <w:rsid w:val="006A4B77"/>
    <w:rsid w:val="006A4F4B"/>
    <w:rsid w:val="006A5C87"/>
    <w:rsid w:val="006A60B8"/>
    <w:rsid w:val="006A61BE"/>
    <w:rsid w:val="006A6A65"/>
    <w:rsid w:val="006A7BBB"/>
    <w:rsid w:val="006B0A57"/>
    <w:rsid w:val="006B0DA0"/>
    <w:rsid w:val="006B1012"/>
    <w:rsid w:val="006B2395"/>
    <w:rsid w:val="006B28F5"/>
    <w:rsid w:val="006B3A71"/>
    <w:rsid w:val="006B3E5C"/>
    <w:rsid w:val="006B4CF9"/>
    <w:rsid w:val="006B6E4A"/>
    <w:rsid w:val="006B7702"/>
    <w:rsid w:val="006B7AC8"/>
    <w:rsid w:val="006B7D63"/>
    <w:rsid w:val="006C07EA"/>
    <w:rsid w:val="006C0A85"/>
    <w:rsid w:val="006C1736"/>
    <w:rsid w:val="006C1FFB"/>
    <w:rsid w:val="006C499C"/>
    <w:rsid w:val="006C4AE8"/>
    <w:rsid w:val="006C5380"/>
    <w:rsid w:val="006C6748"/>
    <w:rsid w:val="006C6D18"/>
    <w:rsid w:val="006C7923"/>
    <w:rsid w:val="006D1352"/>
    <w:rsid w:val="006D1B7D"/>
    <w:rsid w:val="006D296A"/>
    <w:rsid w:val="006D29E1"/>
    <w:rsid w:val="006D2F15"/>
    <w:rsid w:val="006D4F26"/>
    <w:rsid w:val="006D550F"/>
    <w:rsid w:val="006D5D8E"/>
    <w:rsid w:val="006D712C"/>
    <w:rsid w:val="006D771F"/>
    <w:rsid w:val="006E0DD4"/>
    <w:rsid w:val="006E1716"/>
    <w:rsid w:val="006E31DA"/>
    <w:rsid w:val="006E3A04"/>
    <w:rsid w:val="006E3EA6"/>
    <w:rsid w:val="006E4661"/>
    <w:rsid w:val="006E587D"/>
    <w:rsid w:val="006F05EF"/>
    <w:rsid w:val="006F0830"/>
    <w:rsid w:val="006F0FAC"/>
    <w:rsid w:val="006F283D"/>
    <w:rsid w:val="006F2F17"/>
    <w:rsid w:val="006F3583"/>
    <w:rsid w:val="006F37D6"/>
    <w:rsid w:val="006F41AD"/>
    <w:rsid w:val="006F4EB9"/>
    <w:rsid w:val="006F670B"/>
    <w:rsid w:val="0070011E"/>
    <w:rsid w:val="00700D28"/>
    <w:rsid w:val="00700E74"/>
    <w:rsid w:val="007017ED"/>
    <w:rsid w:val="00701BF2"/>
    <w:rsid w:val="00701CAB"/>
    <w:rsid w:val="00702609"/>
    <w:rsid w:val="00703B9F"/>
    <w:rsid w:val="00703CBC"/>
    <w:rsid w:val="0070570B"/>
    <w:rsid w:val="00706DA4"/>
    <w:rsid w:val="00707563"/>
    <w:rsid w:val="00711F8C"/>
    <w:rsid w:val="00712389"/>
    <w:rsid w:val="00712924"/>
    <w:rsid w:val="00713CA9"/>
    <w:rsid w:val="00713D13"/>
    <w:rsid w:val="00713EDC"/>
    <w:rsid w:val="00714FCB"/>
    <w:rsid w:val="00715F1D"/>
    <w:rsid w:val="00716D12"/>
    <w:rsid w:val="00720F9C"/>
    <w:rsid w:val="00722823"/>
    <w:rsid w:val="007233A4"/>
    <w:rsid w:val="0072348C"/>
    <w:rsid w:val="007240A6"/>
    <w:rsid w:val="00724A37"/>
    <w:rsid w:val="00724D0B"/>
    <w:rsid w:val="007254ED"/>
    <w:rsid w:val="0072581E"/>
    <w:rsid w:val="00725A26"/>
    <w:rsid w:val="00725AD4"/>
    <w:rsid w:val="007263E1"/>
    <w:rsid w:val="00727C79"/>
    <w:rsid w:val="00727CC1"/>
    <w:rsid w:val="007303C3"/>
    <w:rsid w:val="00730504"/>
    <w:rsid w:val="00730AF7"/>
    <w:rsid w:val="00733809"/>
    <w:rsid w:val="00733A84"/>
    <w:rsid w:val="0073464A"/>
    <w:rsid w:val="007402EC"/>
    <w:rsid w:val="00740380"/>
    <w:rsid w:val="00740D27"/>
    <w:rsid w:val="00741647"/>
    <w:rsid w:val="007429BE"/>
    <w:rsid w:val="00743223"/>
    <w:rsid w:val="007442F4"/>
    <w:rsid w:val="00746E01"/>
    <w:rsid w:val="00746FBC"/>
    <w:rsid w:val="007472A2"/>
    <w:rsid w:val="00751D26"/>
    <w:rsid w:val="00753939"/>
    <w:rsid w:val="00754223"/>
    <w:rsid w:val="00755206"/>
    <w:rsid w:val="007553E9"/>
    <w:rsid w:val="00755AD8"/>
    <w:rsid w:val="0075677D"/>
    <w:rsid w:val="00756785"/>
    <w:rsid w:val="00756996"/>
    <w:rsid w:val="00756D5F"/>
    <w:rsid w:val="00757364"/>
    <w:rsid w:val="00757BDF"/>
    <w:rsid w:val="007606EA"/>
    <w:rsid w:val="007609D0"/>
    <w:rsid w:val="00761492"/>
    <w:rsid w:val="0076230C"/>
    <w:rsid w:val="00762979"/>
    <w:rsid w:val="007629CB"/>
    <w:rsid w:val="007632C9"/>
    <w:rsid w:val="00763E5D"/>
    <w:rsid w:val="00764017"/>
    <w:rsid w:val="007651D1"/>
    <w:rsid w:val="00765A31"/>
    <w:rsid w:val="007661C9"/>
    <w:rsid w:val="00766333"/>
    <w:rsid w:val="00766B3F"/>
    <w:rsid w:val="00767740"/>
    <w:rsid w:val="00767F4B"/>
    <w:rsid w:val="00770A2A"/>
    <w:rsid w:val="00771934"/>
    <w:rsid w:val="00773310"/>
    <w:rsid w:val="00774060"/>
    <w:rsid w:val="007742D3"/>
    <w:rsid w:val="00776237"/>
    <w:rsid w:val="00777581"/>
    <w:rsid w:val="00777A49"/>
    <w:rsid w:val="00777CAF"/>
    <w:rsid w:val="00777EE6"/>
    <w:rsid w:val="00777EFC"/>
    <w:rsid w:val="007801A5"/>
    <w:rsid w:val="00780A03"/>
    <w:rsid w:val="00780F18"/>
    <w:rsid w:val="00781295"/>
    <w:rsid w:val="0078255A"/>
    <w:rsid w:val="00782EEA"/>
    <w:rsid w:val="007845BA"/>
    <w:rsid w:val="00785C3F"/>
    <w:rsid w:val="00786C2B"/>
    <w:rsid w:val="00786E7E"/>
    <w:rsid w:val="007873AE"/>
    <w:rsid w:val="007921FD"/>
    <w:rsid w:val="007923B3"/>
    <w:rsid w:val="00792483"/>
    <w:rsid w:val="0079277D"/>
    <w:rsid w:val="00792BF5"/>
    <w:rsid w:val="0079377E"/>
    <w:rsid w:val="007938F1"/>
    <w:rsid w:val="007942D0"/>
    <w:rsid w:val="00796AA5"/>
    <w:rsid w:val="00797099"/>
    <w:rsid w:val="007A0FE7"/>
    <w:rsid w:val="007A16ED"/>
    <w:rsid w:val="007A2B49"/>
    <w:rsid w:val="007A37FD"/>
    <w:rsid w:val="007A3ED8"/>
    <w:rsid w:val="007A49B2"/>
    <w:rsid w:val="007A4EF0"/>
    <w:rsid w:val="007A5DF9"/>
    <w:rsid w:val="007A66EF"/>
    <w:rsid w:val="007A6C22"/>
    <w:rsid w:val="007B067C"/>
    <w:rsid w:val="007B0943"/>
    <w:rsid w:val="007B186E"/>
    <w:rsid w:val="007B2C72"/>
    <w:rsid w:val="007B336F"/>
    <w:rsid w:val="007B50F3"/>
    <w:rsid w:val="007B51B6"/>
    <w:rsid w:val="007B6EFF"/>
    <w:rsid w:val="007B7543"/>
    <w:rsid w:val="007B763B"/>
    <w:rsid w:val="007B7C96"/>
    <w:rsid w:val="007B7CC9"/>
    <w:rsid w:val="007C1387"/>
    <w:rsid w:val="007C1C53"/>
    <w:rsid w:val="007C38AD"/>
    <w:rsid w:val="007C4236"/>
    <w:rsid w:val="007C48BA"/>
    <w:rsid w:val="007C58C6"/>
    <w:rsid w:val="007C5918"/>
    <w:rsid w:val="007C6522"/>
    <w:rsid w:val="007C6807"/>
    <w:rsid w:val="007C6D31"/>
    <w:rsid w:val="007C6F92"/>
    <w:rsid w:val="007C74BB"/>
    <w:rsid w:val="007C7663"/>
    <w:rsid w:val="007C7DB6"/>
    <w:rsid w:val="007D06B6"/>
    <w:rsid w:val="007D1441"/>
    <w:rsid w:val="007D19F6"/>
    <w:rsid w:val="007D27DC"/>
    <w:rsid w:val="007D3EF5"/>
    <w:rsid w:val="007D4339"/>
    <w:rsid w:val="007D456E"/>
    <w:rsid w:val="007D46CC"/>
    <w:rsid w:val="007D50C6"/>
    <w:rsid w:val="007D78F2"/>
    <w:rsid w:val="007D7B91"/>
    <w:rsid w:val="007E1258"/>
    <w:rsid w:val="007E2325"/>
    <w:rsid w:val="007E2B2D"/>
    <w:rsid w:val="007E4904"/>
    <w:rsid w:val="007E4A0C"/>
    <w:rsid w:val="007E4A93"/>
    <w:rsid w:val="007E4CB5"/>
    <w:rsid w:val="007E4FA2"/>
    <w:rsid w:val="007E7E78"/>
    <w:rsid w:val="007F066B"/>
    <w:rsid w:val="007F075B"/>
    <w:rsid w:val="007F0D3C"/>
    <w:rsid w:val="007F230D"/>
    <w:rsid w:val="007F3085"/>
    <w:rsid w:val="007F34BC"/>
    <w:rsid w:val="007F3F8A"/>
    <w:rsid w:val="007F5442"/>
    <w:rsid w:val="007F56E6"/>
    <w:rsid w:val="007F65BA"/>
    <w:rsid w:val="007F6FE2"/>
    <w:rsid w:val="008006B0"/>
    <w:rsid w:val="008008F6"/>
    <w:rsid w:val="00800C8B"/>
    <w:rsid w:val="0080290B"/>
    <w:rsid w:val="008033C4"/>
    <w:rsid w:val="0080443B"/>
    <w:rsid w:val="00804BB8"/>
    <w:rsid w:val="008061F1"/>
    <w:rsid w:val="00806C88"/>
    <w:rsid w:val="00806F4F"/>
    <w:rsid w:val="0080798E"/>
    <w:rsid w:val="0081034E"/>
    <w:rsid w:val="00811D6B"/>
    <w:rsid w:val="0081211C"/>
    <w:rsid w:val="0081214E"/>
    <w:rsid w:val="00814197"/>
    <w:rsid w:val="00814EEE"/>
    <w:rsid w:val="0081578F"/>
    <w:rsid w:val="0081589C"/>
    <w:rsid w:val="00815DDD"/>
    <w:rsid w:val="00817DCC"/>
    <w:rsid w:val="008201BC"/>
    <w:rsid w:val="0082105A"/>
    <w:rsid w:val="0082160C"/>
    <w:rsid w:val="0082200E"/>
    <w:rsid w:val="00822463"/>
    <w:rsid w:val="00823112"/>
    <w:rsid w:val="00823705"/>
    <w:rsid w:val="00823EBA"/>
    <w:rsid w:val="00824677"/>
    <w:rsid w:val="00826B31"/>
    <w:rsid w:val="00826CF1"/>
    <w:rsid w:val="00827A8B"/>
    <w:rsid w:val="00827F1B"/>
    <w:rsid w:val="00830471"/>
    <w:rsid w:val="00831776"/>
    <w:rsid w:val="00831F0B"/>
    <w:rsid w:val="00832DB7"/>
    <w:rsid w:val="00833625"/>
    <w:rsid w:val="0083423A"/>
    <w:rsid w:val="008344F6"/>
    <w:rsid w:val="0083510F"/>
    <w:rsid w:val="00835B21"/>
    <w:rsid w:val="00836289"/>
    <w:rsid w:val="00836555"/>
    <w:rsid w:val="00836DA3"/>
    <w:rsid w:val="00841278"/>
    <w:rsid w:val="00841282"/>
    <w:rsid w:val="008418C9"/>
    <w:rsid w:val="00842206"/>
    <w:rsid w:val="0084249F"/>
    <w:rsid w:val="0084307D"/>
    <w:rsid w:val="00843AA2"/>
    <w:rsid w:val="00844051"/>
    <w:rsid w:val="00845104"/>
    <w:rsid w:val="00845565"/>
    <w:rsid w:val="00845DE5"/>
    <w:rsid w:val="00846525"/>
    <w:rsid w:val="0084784F"/>
    <w:rsid w:val="00847E2B"/>
    <w:rsid w:val="00847F09"/>
    <w:rsid w:val="0085051F"/>
    <w:rsid w:val="00851209"/>
    <w:rsid w:val="00852196"/>
    <w:rsid w:val="00852D20"/>
    <w:rsid w:val="008542CA"/>
    <w:rsid w:val="00855DD3"/>
    <w:rsid w:val="008563E4"/>
    <w:rsid w:val="00856DDF"/>
    <w:rsid w:val="00857647"/>
    <w:rsid w:val="0086055D"/>
    <w:rsid w:val="0086108A"/>
    <w:rsid w:val="00861BAC"/>
    <w:rsid w:val="00862982"/>
    <w:rsid w:val="008639A0"/>
    <w:rsid w:val="00863D70"/>
    <w:rsid w:val="00864629"/>
    <w:rsid w:val="008662BD"/>
    <w:rsid w:val="00867115"/>
    <w:rsid w:val="00870597"/>
    <w:rsid w:val="008705A5"/>
    <w:rsid w:val="00871D70"/>
    <w:rsid w:val="00872109"/>
    <w:rsid w:val="00873AF3"/>
    <w:rsid w:val="00874839"/>
    <w:rsid w:val="00875DE3"/>
    <w:rsid w:val="00880298"/>
    <w:rsid w:val="00881A31"/>
    <w:rsid w:val="008829EA"/>
    <w:rsid w:val="008837AC"/>
    <w:rsid w:val="00884B75"/>
    <w:rsid w:val="00885D6D"/>
    <w:rsid w:val="00885F90"/>
    <w:rsid w:val="00887F2D"/>
    <w:rsid w:val="00892201"/>
    <w:rsid w:val="008928B0"/>
    <w:rsid w:val="00895E9C"/>
    <w:rsid w:val="0089793A"/>
    <w:rsid w:val="00897CEC"/>
    <w:rsid w:val="008A0008"/>
    <w:rsid w:val="008A3558"/>
    <w:rsid w:val="008A369B"/>
    <w:rsid w:val="008A3987"/>
    <w:rsid w:val="008A403F"/>
    <w:rsid w:val="008A4877"/>
    <w:rsid w:val="008A587D"/>
    <w:rsid w:val="008A59DC"/>
    <w:rsid w:val="008A6898"/>
    <w:rsid w:val="008A7005"/>
    <w:rsid w:val="008A70BF"/>
    <w:rsid w:val="008A73F5"/>
    <w:rsid w:val="008B16A9"/>
    <w:rsid w:val="008B1B32"/>
    <w:rsid w:val="008B1CC6"/>
    <w:rsid w:val="008B35CD"/>
    <w:rsid w:val="008B5041"/>
    <w:rsid w:val="008B516F"/>
    <w:rsid w:val="008B5404"/>
    <w:rsid w:val="008B5FCC"/>
    <w:rsid w:val="008B661B"/>
    <w:rsid w:val="008B66B8"/>
    <w:rsid w:val="008B773E"/>
    <w:rsid w:val="008B7B67"/>
    <w:rsid w:val="008C053C"/>
    <w:rsid w:val="008C1870"/>
    <w:rsid w:val="008C2052"/>
    <w:rsid w:val="008C5486"/>
    <w:rsid w:val="008C6974"/>
    <w:rsid w:val="008C7338"/>
    <w:rsid w:val="008C744F"/>
    <w:rsid w:val="008D0136"/>
    <w:rsid w:val="008D1661"/>
    <w:rsid w:val="008D1665"/>
    <w:rsid w:val="008D17D5"/>
    <w:rsid w:val="008D20A2"/>
    <w:rsid w:val="008D32C8"/>
    <w:rsid w:val="008D330C"/>
    <w:rsid w:val="008D3927"/>
    <w:rsid w:val="008D3ED0"/>
    <w:rsid w:val="008D59B7"/>
    <w:rsid w:val="008D6800"/>
    <w:rsid w:val="008D729A"/>
    <w:rsid w:val="008D7EEE"/>
    <w:rsid w:val="008E03C8"/>
    <w:rsid w:val="008E1CD0"/>
    <w:rsid w:val="008E2948"/>
    <w:rsid w:val="008E3B4F"/>
    <w:rsid w:val="008E408D"/>
    <w:rsid w:val="008E57A0"/>
    <w:rsid w:val="008E654A"/>
    <w:rsid w:val="008E6820"/>
    <w:rsid w:val="008E7031"/>
    <w:rsid w:val="008E74FF"/>
    <w:rsid w:val="008E77DE"/>
    <w:rsid w:val="008F07A3"/>
    <w:rsid w:val="008F101D"/>
    <w:rsid w:val="008F2991"/>
    <w:rsid w:val="008F34DD"/>
    <w:rsid w:val="008F44A1"/>
    <w:rsid w:val="008F5248"/>
    <w:rsid w:val="008F5443"/>
    <w:rsid w:val="008F5722"/>
    <w:rsid w:val="008F5CC1"/>
    <w:rsid w:val="008F6CCB"/>
    <w:rsid w:val="008F710E"/>
    <w:rsid w:val="009001B6"/>
    <w:rsid w:val="00900771"/>
    <w:rsid w:val="00900A09"/>
    <w:rsid w:val="00900E1B"/>
    <w:rsid w:val="0090116D"/>
    <w:rsid w:val="00902809"/>
    <w:rsid w:val="00902DB6"/>
    <w:rsid w:val="00903798"/>
    <w:rsid w:val="00903E4D"/>
    <w:rsid w:val="009058A2"/>
    <w:rsid w:val="00905F96"/>
    <w:rsid w:val="00906B59"/>
    <w:rsid w:val="00907570"/>
    <w:rsid w:val="0091090D"/>
    <w:rsid w:val="00912014"/>
    <w:rsid w:val="0091227E"/>
    <w:rsid w:val="00913061"/>
    <w:rsid w:val="009132FD"/>
    <w:rsid w:val="009138A1"/>
    <w:rsid w:val="00913C57"/>
    <w:rsid w:val="00914265"/>
    <w:rsid w:val="00915740"/>
    <w:rsid w:val="0091576E"/>
    <w:rsid w:val="00916682"/>
    <w:rsid w:val="00916AB9"/>
    <w:rsid w:val="00916CF5"/>
    <w:rsid w:val="00916E0B"/>
    <w:rsid w:val="00917F65"/>
    <w:rsid w:val="00920059"/>
    <w:rsid w:val="009206AF"/>
    <w:rsid w:val="009211EF"/>
    <w:rsid w:val="00922ABC"/>
    <w:rsid w:val="00922E05"/>
    <w:rsid w:val="009233EE"/>
    <w:rsid w:val="00924584"/>
    <w:rsid w:val="00925205"/>
    <w:rsid w:val="0092541D"/>
    <w:rsid w:val="0093066A"/>
    <w:rsid w:val="009320CE"/>
    <w:rsid w:val="009329B8"/>
    <w:rsid w:val="00933E11"/>
    <w:rsid w:val="009346EA"/>
    <w:rsid w:val="00937536"/>
    <w:rsid w:val="00937B90"/>
    <w:rsid w:val="0094112A"/>
    <w:rsid w:val="0094160D"/>
    <w:rsid w:val="009421FF"/>
    <w:rsid w:val="00943109"/>
    <w:rsid w:val="00943F7A"/>
    <w:rsid w:val="00944253"/>
    <w:rsid w:val="00945253"/>
    <w:rsid w:val="009453F0"/>
    <w:rsid w:val="009456E9"/>
    <w:rsid w:val="009460AA"/>
    <w:rsid w:val="00946639"/>
    <w:rsid w:val="00951318"/>
    <w:rsid w:val="00951501"/>
    <w:rsid w:val="00951978"/>
    <w:rsid w:val="00952246"/>
    <w:rsid w:val="00954895"/>
    <w:rsid w:val="00954B48"/>
    <w:rsid w:val="00955275"/>
    <w:rsid w:val="00955482"/>
    <w:rsid w:val="00955DFE"/>
    <w:rsid w:val="009563DA"/>
    <w:rsid w:val="009568E2"/>
    <w:rsid w:val="00957226"/>
    <w:rsid w:val="00957968"/>
    <w:rsid w:val="00960EBC"/>
    <w:rsid w:val="00960F6E"/>
    <w:rsid w:val="00961A4A"/>
    <w:rsid w:val="00963A8F"/>
    <w:rsid w:val="00963EFB"/>
    <w:rsid w:val="009661BA"/>
    <w:rsid w:val="009661DE"/>
    <w:rsid w:val="00966578"/>
    <w:rsid w:val="009673FC"/>
    <w:rsid w:val="00967FFA"/>
    <w:rsid w:val="00970353"/>
    <w:rsid w:val="00970771"/>
    <w:rsid w:val="00970FCF"/>
    <w:rsid w:val="0097120F"/>
    <w:rsid w:val="00971DD7"/>
    <w:rsid w:val="00971F3A"/>
    <w:rsid w:val="009723CE"/>
    <w:rsid w:val="0097471D"/>
    <w:rsid w:val="00974D4F"/>
    <w:rsid w:val="0097527D"/>
    <w:rsid w:val="00975A16"/>
    <w:rsid w:val="00975C30"/>
    <w:rsid w:val="00976FE8"/>
    <w:rsid w:val="0097715F"/>
    <w:rsid w:val="009771BB"/>
    <w:rsid w:val="00977220"/>
    <w:rsid w:val="00977B6B"/>
    <w:rsid w:val="00977EFF"/>
    <w:rsid w:val="00982793"/>
    <w:rsid w:val="0098360C"/>
    <w:rsid w:val="00983C25"/>
    <w:rsid w:val="00984362"/>
    <w:rsid w:val="0098437A"/>
    <w:rsid w:val="009855E7"/>
    <w:rsid w:val="009856B7"/>
    <w:rsid w:val="00985C86"/>
    <w:rsid w:val="00986CC3"/>
    <w:rsid w:val="00987687"/>
    <w:rsid w:val="00987FA7"/>
    <w:rsid w:val="00990F02"/>
    <w:rsid w:val="00990FD9"/>
    <w:rsid w:val="00991EC1"/>
    <w:rsid w:val="0099223C"/>
    <w:rsid w:val="009928D7"/>
    <w:rsid w:val="00992993"/>
    <w:rsid w:val="00992DFE"/>
    <w:rsid w:val="00993877"/>
    <w:rsid w:val="00995370"/>
    <w:rsid w:val="0099577C"/>
    <w:rsid w:val="00997F72"/>
    <w:rsid w:val="009A0FED"/>
    <w:rsid w:val="009A2292"/>
    <w:rsid w:val="009A2D83"/>
    <w:rsid w:val="009A3578"/>
    <w:rsid w:val="009A3916"/>
    <w:rsid w:val="009A3ED2"/>
    <w:rsid w:val="009A4376"/>
    <w:rsid w:val="009A4592"/>
    <w:rsid w:val="009A4A80"/>
    <w:rsid w:val="009A53F8"/>
    <w:rsid w:val="009A5E98"/>
    <w:rsid w:val="009A5FC3"/>
    <w:rsid w:val="009B01C0"/>
    <w:rsid w:val="009B202B"/>
    <w:rsid w:val="009B2ABF"/>
    <w:rsid w:val="009B2B2A"/>
    <w:rsid w:val="009B303B"/>
    <w:rsid w:val="009B30D4"/>
    <w:rsid w:val="009B55D2"/>
    <w:rsid w:val="009B6E05"/>
    <w:rsid w:val="009B6F84"/>
    <w:rsid w:val="009B7005"/>
    <w:rsid w:val="009B74B0"/>
    <w:rsid w:val="009B7E6E"/>
    <w:rsid w:val="009C0307"/>
    <w:rsid w:val="009C0F2A"/>
    <w:rsid w:val="009C10CF"/>
    <w:rsid w:val="009C12C9"/>
    <w:rsid w:val="009C1402"/>
    <w:rsid w:val="009C20EE"/>
    <w:rsid w:val="009C266A"/>
    <w:rsid w:val="009C2B8E"/>
    <w:rsid w:val="009C2C65"/>
    <w:rsid w:val="009C3AC6"/>
    <w:rsid w:val="009C48F7"/>
    <w:rsid w:val="009C4BAF"/>
    <w:rsid w:val="009C5A79"/>
    <w:rsid w:val="009C61F8"/>
    <w:rsid w:val="009D05E8"/>
    <w:rsid w:val="009D11C4"/>
    <w:rsid w:val="009D1474"/>
    <w:rsid w:val="009D2ABC"/>
    <w:rsid w:val="009D300F"/>
    <w:rsid w:val="009D3906"/>
    <w:rsid w:val="009D487B"/>
    <w:rsid w:val="009D6B46"/>
    <w:rsid w:val="009D7071"/>
    <w:rsid w:val="009D7171"/>
    <w:rsid w:val="009D7B99"/>
    <w:rsid w:val="009E2088"/>
    <w:rsid w:val="009E2B76"/>
    <w:rsid w:val="009E33FF"/>
    <w:rsid w:val="009E40F2"/>
    <w:rsid w:val="009E4E4A"/>
    <w:rsid w:val="009E4F6C"/>
    <w:rsid w:val="009E5663"/>
    <w:rsid w:val="009E59CE"/>
    <w:rsid w:val="009E6854"/>
    <w:rsid w:val="009E6B5D"/>
    <w:rsid w:val="009E7BA2"/>
    <w:rsid w:val="009E7EF6"/>
    <w:rsid w:val="009E7EFB"/>
    <w:rsid w:val="009F3339"/>
    <w:rsid w:val="009F47F4"/>
    <w:rsid w:val="009F4940"/>
    <w:rsid w:val="009F49E6"/>
    <w:rsid w:val="009F4D7E"/>
    <w:rsid w:val="009F549A"/>
    <w:rsid w:val="009F549C"/>
    <w:rsid w:val="009F5BA1"/>
    <w:rsid w:val="009F5D7E"/>
    <w:rsid w:val="009F6A0B"/>
    <w:rsid w:val="009F6D3F"/>
    <w:rsid w:val="009F76C4"/>
    <w:rsid w:val="00A00887"/>
    <w:rsid w:val="00A009E2"/>
    <w:rsid w:val="00A015CD"/>
    <w:rsid w:val="00A02A88"/>
    <w:rsid w:val="00A02DC2"/>
    <w:rsid w:val="00A0562E"/>
    <w:rsid w:val="00A067BD"/>
    <w:rsid w:val="00A069C3"/>
    <w:rsid w:val="00A0726D"/>
    <w:rsid w:val="00A075FC"/>
    <w:rsid w:val="00A07CD5"/>
    <w:rsid w:val="00A1081D"/>
    <w:rsid w:val="00A10F19"/>
    <w:rsid w:val="00A11953"/>
    <w:rsid w:val="00A11ECF"/>
    <w:rsid w:val="00A12627"/>
    <w:rsid w:val="00A12A0E"/>
    <w:rsid w:val="00A15048"/>
    <w:rsid w:val="00A160BA"/>
    <w:rsid w:val="00A16433"/>
    <w:rsid w:val="00A1785E"/>
    <w:rsid w:val="00A20056"/>
    <w:rsid w:val="00A20883"/>
    <w:rsid w:val="00A20CC4"/>
    <w:rsid w:val="00A221C0"/>
    <w:rsid w:val="00A221E7"/>
    <w:rsid w:val="00A22AC1"/>
    <w:rsid w:val="00A22B66"/>
    <w:rsid w:val="00A23155"/>
    <w:rsid w:val="00A23477"/>
    <w:rsid w:val="00A2424E"/>
    <w:rsid w:val="00A24531"/>
    <w:rsid w:val="00A24755"/>
    <w:rsid w:val="00A2493B"/>
    <w:rsid w:val="00A24B51"/>
    <w:rsid w:val="00A2507E"/>
    <w:rsid w:val="00A250EC"/>
    <w:rsid w:val="00A26B13"/>
    <w:rsid w:val="00A275B2"/>
    <w:rsid w:val="00A31A88"/>
    <w:rsid w:val="00A32FBB"/>
    <w:rsid w:val="00A33583"/>
    <w:rsid w:val="00A34FE2"/>
    <w:rsid w:val="00A3557D"/>
    <w:rsid w:val="00A35A6E"/>
    <w:rsid w:val="00A35AE7"/>
    <w:rsid w:val="00A35C46"/>
    <w:rsid w:val="00A36459"/>
    <w:rsid w:val="00A368C5"/>
    <w:rsid w:val="00A3725A"/>
    <w:rsid w:val="00A37907"/>
    <w:rsid w:val="00A40349"/>
    <w:rsid w:val="00A4070F"/>
    <w:rsid w:val="00A427FF"/>
    <w:rsid w:val="00A428EE"/>
    <w:rsid w:val="00A4478A"/>
    <w:rsid w:val="00A44852"/>
    <w:rsid w:val="00A46783"/>
    <w:rsid w:val="00A50502"/>
    <w:rsid w:val="00A507B8"/>
    <w:rsid w:val="00A50AE3"/>
    <w:rsid w:val="00A513C2"/>
    <w:rsid w:val="00A51AC4"/>
    <w:rsid w:val="00A51C21"/>
    <w:rsid w:val="00A52613"/>
    <w:rsid w:val="00A531BC"/>
    <w:rsid w:val="00A54EFC"/>
    <w:rsid w:val="00A55AE7"/>
    <w:rsid w:val="00A55C1E"/>
    <w:rsid w:val="00A5740F"/>
    <w:rsid w:val="00A57464"/>
    <w:rsid w:val="00A57BA6"/>
    <w:rsid w:val="00A57D04"/>
    <w:rsid w:val="00A60A26"/>
    <w:rsid w:val="00A61598"/>
    <w:rsid w:val="00A62897"/>
    <w:rsid w:val="00A62899"/>
    <w:rsid w:val="00A644CA"/>
    <w:rsid w:val="00A6605F"/>
    <w:rsid w:val="00A7103E"/>
    <w:rsid w:val="00A712E1"/>
    <w:rsid w:val="00A71BEC"/>
    <w:rsid w:val="00A72155"/>
    <w:rsid w:val="00A72430"/>
    <w:rsid w:val="00A7255F"/>
    <w:rsid w:val="00A7274C"/>
    <w:rsid w:val="00A7288F"/>
    <w:rsid w:val="00A736D1"/>
    <w:rsid w:val="00A73C1C"/>
    <w:rsid w:val="00A756AB"/>
    <w:rsid w:val="00A75C76"/>
    <w:rsid w:val="00A76A5A"/>
    <w:rsid w:val="00A7708F"/>
    <w:rsid w:val="00A77091"/>
    <w:rsid w:val="00A83DC4"/>
    <w:rsid w:val="00A8436C"/>
    <w:rsid w:val="00A84A99"/>
    <w:rsid w:val="00A84F46"/>
    <w:rsid w:val="00A87014"/>
    <w:rsid w:val="00A871F4"/>
    <w:rsid w:val="00A8725D"/>
    <w:rsid w:val="00A87E3B"/>
    <w:rsid w:val="00A90D90"/>
    <w:rsid w:val="00A910D2"/>
    <w:rsid w:val="00A91589"/>
    <w:rsid w:val="00A92655"/>
    <w:rsid w:val="00A94D97"/>
    <w:rsid w:val="00A96BBA"/>
    <w:rsid w:val="00A96CF2"/>
    <w:rsid w:val="00A96DA6"/>
    <w:rsid w:val="00A971D2"/>
    <w:rsid w:val="00A97288"/>
    <w:rsid w:val="00A97748"/>
    <w:rsid w:val="00AA00B7"/>
    <w:rsid w:val="00AA0E9F"/>
    <w:rsid w:val="00AA1441"/>
    <w:rsid w:val="00AA1539"/>
    <w:rsid w:val="00AA229B"/>
    <w:rsid w:val="00AA2B22"/>
    <w:rsid w:val="00AA374A"/>
    <w:rsid w:val="00AA493E"/>
    <w:rsid w:val="00AA4945"/>
    <w:rsid w:val="00AA4E4D"/>
    <w:rsid w:val="00AA5FA5"/>
    <w:rsid w:val="00AA5FAB"/>
    <w:rsid w:val="00AA71CA"/>
    <w:rsid w:val="00AB00D4"/>
    <w:rsid w:val="00AB06BE"/>
    <w:rsid w:val="00AB3E09"/>
    <w:rsid w:val="00AB3E6D"/>
    <w:rsid w:val="00AB4B7B"/>
    <w:rsid w:val="00AB755D"/>
    <w:rsid w:val="00AC1B2C"/>
    <w:rsid w:val="00AC26A5"/>
    <w:rsid w:val="00AC2D5B"/>
    <w:rsid w:val="00AC3264"/>
    <w:rsid w:val="00AC4E21"/>
    <w:rsid w:val="00AC6EFD"/>
    <w:rsid w:val="00AC6F43"/>
    <w:rsid w:val="00AC7018"/>
    <w:rsid w:val="00AC7B62"/>
    <w:rsid w:val="00AC7E23"/>
    <w:rsid w:val="00AD0AE8"/>
    <w:rsid w:val="00AD1275"/>
    <w:rsid w:val="00AD276E"/>
    <w:rsid w:val="00AD2808"/>
    <w:rsid w:val="00AD2B57"/>
    <w:rsid w:val="00AD351F"/>
    <w:rsid w:val="00AD436D"/>
    <w:rsid w:val="00AD45FF"/>
    <w:rsid w:val="00AD67D9"/>
    <w:rsid w:val="00AE0135"/>
    <w:rsid w:val="00AE042D"/>
    <w:rsid w:val="00AE07D8"/>
    <w:rsid w:val="00AE15C1"/>
    <w:rsid w:val="00AE17FD"/>
    <w:rsid w:val="00AE18CF"/>
    <w:rsid w:val="00AE1BF1"/>
    <w:rsid w:val="00AE4657"/>
    <w:rsid w:val="00AE5BF4"/>
    <w:rsid w:val="00AE6040"/>
    <w:rsid w:val="00AE7532"/>
    <w:rsid w:val="00AE7786"/>
    <w:rsid w:val="00AF040A"/>
    <w:rsid w:val="00AF0C0E"/>
    <w:rsid w:val="00AF0DD2"/>
    <w:rsid w:val="00AF1508"/>
    <w:rsid w:val="00AF1A4A"/>
    <w:rsid w:val="00AF1D81"/>
    <w:rsid w:val="00AF31D2"/>
    <w:rsid w:val="00AF3603"/>
    <w:rsid w:val="00AF3A97"/>
    <w:rsid w:val="00AF5164"/>
    <w:rsid w:val="00AF6196"/>
    <w:rsid w:val="00AF6C11"/>
    <w:rsid w:val="00AF7182"/>
    <w:rsid w:val="00AF7793"/>
    <w:rsid w:val="00B01263"/>
    <w:rsid w:val="00B01373"/>
    <w:rsid w:val="00B023BF"/>
    <w:rsid w:val="00B027E1"/>
    <w:rsid w:val="00B029E5"/>
    <w:rsid w:val="00B03641"/>
    <w:rsid w:val="00B04133"/>
    <w:rsid w:val="00B05B53"/>
    <w:rsid w:val="00B06845"/>
    <w:rsid w:val="00B07419"/>
    <w:rsid w:val="00B10699"/>
    <w:rsid w:val="00B110E4"/>
    <w:rsid w:val="00B13048"/>
    <w:rsid w:val="00B135C0"/>
    <w:rsid w:val="00B13B83"/>
    <w:rsid w:val="00B13BDC"/>
    <w:rsid w:val="00B1492F"/>
    <w:rsid w:val="00B14B88"/>
    <w:rsid w:val="00B14CAA"/>
    <w:rsid w:val="00B158D1"/>
    <w:rsid w:val="00B168A4"/>
    <w:rsid w:val="00B16D33"/>
    <w:rsid w:val="00B1716D"/>
    <w:rsid w:val="00B17A1D"/>
    <w:rsid w:val="00B20311"/>
    <w:rsid w:val="00B207A0"/>
    <w:rsid w:val="00B20B5D"/>
    <w:rsid w:val="00B20D89"/>
    <w:rsid w:val="00B21144"/>
    <w:rsid w:val="00B21884"/>
    <w:rsid w:val="00B227B7"/>
    <w:rsid w:val="00B23437"/>
    <w:rsid w:val="00B239C6"/>
    <w:rsid w:val="00B26301"/>
    <w:rsid w:val="00B27E42"/>
    <w:rsid w:val="00B300C6"/>
    <w:rsid w:val="00B30B6D"/>
    <w:rsid w:val="00B30E4A"/>
    <w:rsid w:val="00B32987"/>
    <w:rsid w:val="00B336A6"/>
    <w:rsid w:val="00B34D36"/>
    <w:rsid w:val="00B3659B"/>
    <w:rsid w:val="00B36753"/>
    <w:rsid w:val="00B36F42"/>
    <w:rsid w:val="00B370E9"/>
    <w:rsid w:val="00B378AD"/>
    <w:rsid w:val="00B40843"/>
    <w:rsid w:val="00B40D7B"/>
    <w:rsid w:val="00B40F68"/>
    <w:rsid w:val="00B41D32"/>
    <w:rsid w:val="00B41DD9"/>
    <w:rsid w:val="00B422CD"/>
    <w:rsid w:val="00B45876"/>
    <w:rsid w:val="00B45F6D"/>
    <w:rsid w:val="00B466E8"/>
    <w:rsid w:val="00B46702"/>
    <w:rsid w:val="00B4676D"/>
    <w:rsid w:val="00B468B2"/>
    <w:rsid w:val="00B50449"/>
    <w:rsid w:val="00B514DD"/>
    <w:rsid w:val="00B526E5"/>
    <w:rsid w:val="00B52AF0"/>
    <w:rsid w:val="00B535FE"/>
    <w:rsid w:val="00B5371C"/>
    <w:rsid w:val="00B539CD"/>
    <w:rsid w:val="00B545D7"/>
    <w:rsid w:val="00B54D30"/>
    <w:rsid w:val="00B561BD"/>
    <w:rsid w:val="00B56451"/>
    <w:rsid w:val="00B56748"/>
    <w:rsid w:val="00B56E03"/>
    <w:rsid w:val="00B56F09"/>
    <w:rsid w:val="00B577BD"/>
    <w:rsid w:val="00B57CC1"/>
    <w:rsid w:val="00B61A9F"/>
    <w:rsid w:val="00B63676"/>
    <w:rsid w:val="00B63956"/>
    <w:rsid w:val="00B64945"/>
    <w:rsid w:val="00B65F1A"/>
    <w:rsid w:val="00B67C84"/>
    <w:rsid w:val="00B71AA2"/>
    <w:rsid w:val="00B71ABF"/>
    <w:rsid w:val="00B7259E"/>
    <w:rsid w:val="00B740D8"/>
    <w:rsid w:val="00B749E0"/>
    <w:rsid w:val="00B765CA"/>
    <w:rsid w:val="00B7668A"/>
    <w:rsid w:val="00B776F2"/>
    <w:rsid w:val="00B8080B"/>
    <w:rsid w:val="00B80AE9"/>
    <w:rsid w:val="00B813DD"/>
    <w:rsid w:val="00B81EAE"/>
    <w:rsid w:val="00B82166"/>
    <w:rsid w:val="00B82223"/>
    <w:rsid w:val="00B838B5"/>
    <w:rsid w:val="00B83A4C"/>
    <w:rsid w:val="00B84CBC"/>
    <w:rsid w:val="00B85A95"/>
    <w:rsid w:val="00B8664E"/>
    <w:rsid w:val="00B870C4"/>
    <w:rsid w:val="00B87BA5"/>
    <w:rsid w:val="00B87C39"/>
    <w:rsid w:val="00B9057D"/>
    <w:rsid w:val="00B935D2"/>
    <w:rsid w:val="00B93D6C"/>
    <w:rsid w:val="00B954AB"/>
    <w:rsid w:val="00B9562D"/>
    <w:rsid w:val="00B95699"/>
    <w:rsid w:val="00B965F2"/>
    <w:rsid w:val="00B96ABE"/>
    <w:rsid w:val="00BA0686"/>
    <w:rsid w:val="00BA0C40"/>
    <w:rsid w:val="00BA153F"/>
    <w:rsid w:val="00BA3CD6"/>
    <w:rsid w:val="00BA4665"/>
    <w:rsid w:val="00BA6364"/>
    <w:rsid w:val="00BA7B2E"/>
    <w:rsid w:val="00BB0325"/>
    <w:rsid w:val="00BB1615"/>
    <w:rsid w:val="00BB2FB2"/>
    <w:rsid w:val="00BB3304"/>
    <w:rsid w:val="00BB3C6E"/>
    <w:rsid w:val="00BB4507"/>
    <w:rsid w:val="00BB533D"/>
    <w:rsid w:val="00BB5D41"/>
    <w:rsid w:val="00BB6681"/>
    <w:rsid w:val="00BB7352"/>
    <w:rsid w:val="00BC20A5"/>
    <w:rsid w:val="00BC2E57"/>
    <w:rsid w:val="00BC2F08"/>
    <w:rsid w:val="00BC2F8D"/>
    <w:rsid w:val="00BC3784"/>
    <w:rsid w:val="00BC4484"/>
    <w:rsid w:val="00BC57BA"/>
    <w:rsid w:val="00BC5CB4"/>
    <w:rsid w:val="00BC681D"/>
    <w:rsid w:val="00BD1CE0"/>
    <w:rsid w:val="00BD2387"/>
    <w:rsid w:val="00BD2B34"/>
    <w:rsid w:val="00BD315D"/>
    <w:rsid w:val="00BD3446"/>
    <w:rsid w:val="00BD6358"/>
    <w:rsid w:val="00BD732B"/>
    <w:rsid w:val="00BD7A68"/>
    <w:rsid w:val="00BE171B"/>
    <w:rsid w:val="00BE1E99"/>
    <w:rsid w:val="00BE1F1B"/>
    <w:rsid w:val="00BE1FD8"/>
    <w:rsid w:val="00BE3934"/>
    <w:rsid w:val="00BE43BB"/>
    <w:rsid w:val="00BE47B5"/>
    <w:rsid w:val="00BE4EF1"/>
    <w:rsid w:val="00BE589D"/>
    <w:rsid w:val="00BE5924"/>
    <w:rsid w:val="00BE5ACA"/>
    <w:rsid w:val="00BE6222"/>
    <w:rsid w:val="00BE6F6E"/>
    <w:rsid w:val="00BF03FB"/>
    <w:rsid w:val="00BF0AFF"/>
    <w:rsid w:val="00BF0CA2"/>
    <w:rsid w:val="00BF174C"/>
    <w:rsid w:val="00BF256A"/>
    <w:rsid w:val="00BF3B92"/>
    <w:rsid w:val="00BF4B0E"/>
    <w:rsid w:val="00BF7E1D"/>
    <w:rsid w:val="00C0111F"/>
    <w:rsid w:val="00C01A21"/>
    <w:rsid w:val="00C01AAA"/>
    <w:rsid w:val="00C0259E"/>
    <w:rsid w:val="00C02961"/>
    <w:rsid w:val="00C03880"/>
    <w:rsid w:val="00C038D8"/>
    <w:rsid w:val="00C04223"/>
    <w:rsid w:val="00C04B23"/>
    <w:rsid w:val="00C04CC4"/>
    <w:rsid w:val="00C054E0"/>
    <w:rsid w:val="00C05785"/>
    <w:rsid w:val="00C0699F"/>
    <w:rsid w:val="00C06B80"/>
    <w:rsid w:val="00C07166"/>
    <w:rsid w:val="00C074ED"/>
    <w:rsid w:val="00C07F0C"/>
    <w:rsid w:val="00C10EC6"/>
    <w:rsid w:val="00C1112D"/>
    <w:rsid w:val="00C12621"/>
    <w:rsid w:val="00C17027"/>
    <w:rsid w:val="00C17494"/>
    <w:rsid w:val="00C17711"/>
    <w:rsid w:val="00C20980"/>
    <w:rsid w:val="00C20C67"/>
    <w:rsid w:val="00C20D54"/>
    <w:rsid w:val="00C21567"/>
    <w:rsid w:val="00C233FC"/>
    <w:rsid w:val="00C250BF"/>
    <w:rsid w:val="00C25FA6"/>
    <w:rsid w:val="00C2621C"/>
    <w:rsid w:val="00C2670E"/>
    <w:rsid w:val="00C26A14"/>
    <w:rsid w:val="00C27B59"/>
    <w:rsid w:val="00C309E4"/>
    <w:rsid w:val="00C31432"/>
    <w:rsid w:val="00C31B22"/>
    <w:rsid w:val="00C32554"/>
    <w:rsid w:val="00C3272D"/>
    <w:rsid w:val="00C34462"/>
    <w:rsid w:val="00C3589F"/>
    <w:rsid w:val="00C35DCF"/>
    <w:rsid w:val="00C36177"/>
    <w:rsid w:val="00C42DAA"/>
    <w:rsid w:val="00C441F6"/>
    <w:rsid w:val="00C449C9"/>
    <w:rsid w:val="00C468CA"/>
    <w:rsid w:val="00C477A7"/>
    <w:rsid w:val="00C47CCD"/>
    <w:rsid w:val="00C5087B"/>
    <w:rsid w:val="00C5107A"/>
    <w:rsid w:val="00C514E6"/>
    <w:rsid w:val="00C52F4D"/>
    <w:rsid w:val="00C531B4"/>
    <w:rsid w:val="00C538A9"/>
    <w:rsid w:val="00C53B5A"/>
    <w:rsid w:val="00C54835"/>
    <w:rsid w:val="00C54F5A"/>
    <w:rsid w:val="00C569B4"/>
    <w:rsid w:val="00C56D48"/>
    <w:rsid w:val="00C579B7"/>
    <w:rsid w:val="00C600C4"/>
    <w:rsid w:val="00C60B6F"/>
    <w:rsid w:val="00C627BA"/>
    <w:rsid w:val="00C66028"/>
    <w:rsid w:val="00C66D02"/>
    <w:rsid w:val="00C67A92"/>
    <w:rsid w:val="00C7082E"/>
    <w:rsid w:val="00C71C38"/>
    <w:rsid w:val="00C730B2"/>
    <w:rsid w:val="00C730ED"/>
    <w:rsid w:val="00C7355B"/>
    <w:rsid w:val="00C73E51"/>
    <w:rsid w:val="00C7425E"/>
    <w:rsid w:val="00C74B98"/>
    <w:rsid w:val="00C74F83"/>
    <w:rsid w:val="00C75DDD"/>
    <w:rsid w:val="00C7783C"/>
    <w:rsid w:val="00C8161F"/>
    <w:rsid w:val="00C81CE9"/>
    <w:rsid w:val="00C823CA"/>
    <w:rsid w:val="00C824A4"/>
    <w:rsid w:val="00C827CC"/>
    <w:rsid w:val="00C82B86"/>
    <w:rsid w:val="00C82CF0"/>
    <w:rsid w:val="00C82DBF"/>
    <w:rsid w:val="00C84560"/>
    <w:rsid w:val="00C86679"/>
    <w:rsid w:val="00C87763"/>
    <w:rsid w:val="00C8790E"/>
    <w:rsid w:val="00C87D8D"/>
    <w:rsid w:val="00C903FF"/>
    <w:rsid w:val="00C912BB"/>
    <w:rsid w:val="00C91626"/>
    <w:rsid w:val="00C91AAE"/>
    <w:rsid w:val="00C92457"/>
    <w:rsid w:val="00C925F8"/>
    <w:rsid w:val="00C9278D"/>
    <w:rsid w:val="00C93C4D"/>
    <w:rsid w:val="00C95042"/>
    <w:rsid w:val="00C954B5"/>
    <w:rsid w:val="00C959B8"/>
    <w:rsid w:val="00C95D9F"/>
    <w:rsid w:val="00C9626B"/>
    <w:rsid w:val="00C9636D"/>
    <w:rsid w:val="00CA2ABE"/>
    <w:rsid w:val="00CA3013"/>
    <w:rsid w:val="00CA32AF"/>
    <w:rsid w:val="00CA39FE"/>
    <w:rsid w:val="00CA489E"/>
    <w:rsid w:val="00CA6F3F"/>
    <w:rsid w:val="00CA7764"/>
    <w:rsid w:val="00CA7B5B"/>
    <w:rsid w:val="00CB0279"/>
    <w:rsid w:val="00CB2128"/>
    <w:rsid w:val="00CB42DF"/>
    <w:rsid w:val="00CB444E"/>
    <w:rsid w:val="00CB4A4D"/>
    <w:rsid w:val="00CB59C0"/>
    <w:rsid w:val="00CB622C"/>
    <w:rsid w:val="00CB666B"/>
    <w:rsid w:val="00CC09CE"/>
    <w:rsid w:val="00CC16CF"/>
    <w:rsid w:val="00CC1C95"/>
    <w:rsid w:val="00CC4265"/>
    <w:rsid w:val="00CC5A62"/>
    <w:rsid w:val="00CC5AF2"/>
    <w:rsid w:val="00CC70EE"/>
    <w:rsid w:val="00CC7F1D"/>
    <w:rsid w:val="00CD06D5"/>
    <w:rsid w:val="00CD0AF9"/>
    <w:rsid w:val="00CD0F98"/>
    <w:rsid w:val="00CD1BFE"/>
    <w:rsid w:val="00CD2030"/>
    <w:rsid w:val="00CD23CD"/>
    <w:rsid w:val="00CD4E54"/>
    <w:rsid w:val="00CD5D5C"/>
    <w:rsid w:val="00CD6563"/>
    <w:rsid w:val="00CD6F28"/>
    <w:rsid w:val="00CE166E"/>
    <w:rsid w:val="00CE2DEA"/>
    <w:rsid w:val="00CE3A3F"/>
    <w:rsid w:val="00CE3D09"/>
    <w:rsid w:val="00CE4426"/>
    <w:rsid w:val="00CE484B"/>
    <w:rsid w:val="00CE4AE5"/>
    <w:rsid w:val="00CE4FA6"/>
    <w:rsid w:val="00CE52F5"/>
    <w:rsid w:val="00CE55B5"/>
    <w:rsid w:val="00CE6F1C"/>
    <w:rsid w:val="00CE6FC4"/>
    <w:rsid w:val="00CE7BF5"/>
    <w:rsid w:val="00CE7C3A"/>
    <w:rsid w:val="00CE7EDF"/>
    <w:rsid w:val="00CE7F4B"/>
    <w:rsid w:val="00CF0DEE"/>
    <w:rsid w:val="00CF1131"/>
    <w:rsid w:val="00CF18B6"/>
    <w:rsid w:val="00CF4164"/>
    <w:rsid w:val="00CF4D6D"/>
    <w:rsid w:val="00CF54F7"/>
    <w:rsid w:val="00CF5D53"/>
    <w:rsid w:val="00CF7C05"/>
    <w:rsid w:val="00CF7CCA"/>
    <w:rsid w:val="00D006AE"/>
    <w:rsid w:val="00D01050"/>
    <w:rsid w:val="00D011D4"/>
    <w:rsid w:val="00D0138E"/>
    <w:rsid w:val="00D01CF0"/>
    <w:rsid w:val="00D02BD1"/>
    <w:rsid w:val="00D02FB0"/>
    <w:rsid w:val="00D03122"/>
    <w:rsid w:val="00D0442A"/>
    <w:rsid w:val="00D05C2A"/>
    <w:rsid w:val="00D07EBF"/>
    <w:rsid w:val="00D104AA"/>
    <w:rsid w:val="00D10A69"/>
    <w:rsid w:val="00D11729"/>
    <w:rsid w:val="00D13AD4"/>
    <w:rsid w:val="00D1409A"/>
    <w:rsid w:val="00D1413F"/>
    <w:rsid w:val="00D14616"/>
    <w:rsid w:val="00D14DE4"/>
    <w:rsid w:val="00D15210"/>
    <w:rsid w:val="00D15D53"/>
    <w:rsid w:val="00D179C0"/>
    <w:rsid w:val="00D20204"/>
    <w:rsid w:val="00D21843"/>
    <w:rsid w:val="00D21B03"/>
    <w:rsid w:val="00D229CE"/>
    <w:rsid w:val="00D23317"/>
    <w:rsid w:val="00D236C4"/>
    <w:rsid w:val="00D24944"/>
    <w:rsid w:val="00D25EE1"/>
    <w:rsid w:val="00D26DA8"/>
    <w:rsid w:val="00D277A9"/>
    <w:rsid w:val="00D27991"/>
    <w:rsid w:val="00D279FE"/>
    <w:rsid w:val="00D31F44"/>
    <w:rsid w:val="00D33983"/>
    <w:rsid w:val="00D34564"/>
    <w:rsid w:val="00D34D38"/>
    <w:rsid w:val="00D36390"/>
    <w:rsid w:val="00D3675C"/>
    <w:rsid w:val="00D37196"/>
    <w:rsid w:val="00D373D1"/>
    <w:rsid w:val="00D37541"/>
    <w:rsid w:val="00D37E2A"/>
    <w:rsid w:val="00D40C02"/>
    <w:rsid w:val="00D41102"/>
    <w:rsid w:val="00D41318"/>
    <w:rsid w:val="00D416EC"/>
    <w:rsid w:val="00D41DE3"/>
    <w:rsid w:val="00D43BAB"/>
    <w:rsid w:val="00D44750"/>
    <w:rsid w:val="00D44A47"/>
    <w:rsid w:val="00D4511C"/>
    <w:rsid w:val="00D463CA"/>
    <w:rsid w:val="00D505B1"/>
    <w:rsid w:val="00D50B24"/>
    <w:rsid w:val="00D50D70"/>
    <w:rsid w:val="00D5135B"/>
    <w:rsid w:val="00D516A1"/>
    <w:rsid w:val="00D51F71"/>
    <w:rsid w:val="00D52BA6"/>
    <w:rsid w:val="00D535D7"/>
    <w:rsid w:val="00D53B3F"/>
    <w:rsid w:val="00D53DBD"/>
    <w:rsid w:val="00D54762"/>
    <w:rsid w:val="00D550EB"/>
    <w:rsid w:val="00D5740B"/>
    <w:rsid w:val="00D57DE0"/>
    <w:rsid w:val="00D60D4D"/>
    <w:rsid w:val="00D61249"/>
    <w:rsid w:val="00D61388"/>
    <w:rsid w:val="00D61A54"/>
    <w:rsid w:val="00D623A2"/>
    <w:rsid w:val="00D637C0"/>
    <w:rsid w:val="00D63F1F"/>
    <w:rsid w:val="00D64449"/>
    <w:rsid w:val="00D64DEA"/>
    <w:rsid w:val="00D65619"/>
    <w:rsid w:val="00D65DB1"/>
    <w:rsid w:val="00D66291"/>
    <w:rsid w:val="00D66A91"/>
    <w:rsid w:val="00D67B35"/>
    <w:rsid w:val="00D67BE2"/>
    <w:rsid w:val="00D70130"/>
    <w:rsid w:val="00D70292"/>
    <w:rsid w:val="00D70A27"/>
    <w:rsid w:val="00D70B03"/>
    <w:rsid w:val="00D712D1"/>
    <w:rsid w:val="00D7168E"/>
    <w:rsid w:val="00D71B80"/>
    <w:rsid w:val="00D71DDD"/>
    <w:rsid w:val="00D71E57"/>
    <w:rsid w:val="00D720A3"/>
    <w:rsid w:val="00D72907"/>
    <w:rsid w:val="00D73907"/>
    <w:rsid w:val="00D746F7"/>
    <w:rsid w:val="00D75F7A"/>
    <w:rsid w:val="00D762F0"/>
    <w:rsid w:val="00D76FC4"/>
    <w:rsid w:val="00D77130"/>
    <w:rsid w:val="00D80637"/>
    <w:rsid w:val="00D80893"/>
    <w:rsid w:val="00D81099"/>
    <w:rsid w:val="00D83801"/>
    <w:rsid w:val="00D843AD"/>
    <w:rsid w:val="00D84854"/>
    <w:rsid w:val="00D86C4C"/>
    <w:rsid w:val="00D903FB"/>
    <w:rsid w:val="00D91188"/>
    <w:rsid w:val="00D92251"/>
    <w:rsid w:val="00D924AB"/>
    <w:rsid w:val="00D92A6A"/>
    <w:rsid w:val="00D92BA6"/>
    <w:rsid w:val="00D92CF1"/>
    <w:rsid w:val="00D92D38"/>
    <w:rsid w:val="00D93A8B"/>
    <w:rsid w:val="00D94302"/>
    <w:rsid w:val="00D950F5"/>
    <w:rsid w:val="00D96826"/>
    <w:rsid w:val="00D96C92"/>
    <w:rsid w:val="00DA124F"/>
    <w:rsid w:val="00DA1396"/>
    <w:rsid w:val="00DA15EE"/>
    <w:rsid w:val="00DA1C41"/>
    <w:rsid w:val="00DA2269"/>
    <w:rsid w:val="00DA3718"/>
    <w:rsid w:val="00DA4752"/>
    <w:rsid w:val="00DA5DCC"/>
    <w:rsid w:val="00DA61F3"/>
    <w:rsid w:val="00DA68FA"/>
    <w:rsid w:val="00DA76A4"/>
    <w:rsid w:val="00DB0F93"/>
    <w:rsid w:val="00DB127F"/>
    <w:rsid w:val="00DB1A67"/>
    <w:rsid w:val="00DB2DDA"/>
    <w:rsid w:val="00DB3908"/>
    <w:rsid w:val="00DB3BB0"/>
    <w:rsid w:val="00DB4B76"/>
    <w:rsid w:val="00DB4BDD"/>
    <w:rsid w:val="00DB4ED4"/>
    <w:rsid w:val="00DB5074"/>
    <w:rsid w:val="00DB5519"/>
    <w:rsid w:val="00DB5B21"/>
    <w:rsid w:val="00DB70E3"/>
    <w:rsid w:val="00DB721E"/>
    <w:rsid w:val="00DC013A"/>
    <w:rsid w:val="00DC10FF"/>
    <w:rsid w:val="00DC15A2"/>
    <w:rsid w:val="00DC1EBA"/>
    <w:rsid w:val="00DC2735"/>
    <w:rsid w:val="00DC2743"/>
    <w:rsid w:val="00DC2BE0"/>
    <w:rsid w:val="00DC3E3C"/>
    <w:rsid w:val="00DC44C3"/>
    <w:rsid w:val="00DC4B28"/>
    <w:rsid w:val="00DC6340"/>
    <w:rsid w:val="00DC6620"/>
    <w:rsid w:val="00DC7981"/>
    <w:rsid w:val="00DD289E"/>
    <w:rsid w:val="00DD2ADD"/>
    <w:rsid w:val="00DD2EA6"/>
    <w:rsid w:val="00DD48C9"/>
    <w:rsid w:val="00DD4B8D"/>
    <w:rsid w:val="00DD577F"/>
    <w:rsid w:val="00DD7B9A"/>
    <w:rsid w:val="00DE0079"/>
    <w:rsid w:val="00DE1093"/>
    <w:rsid w:val="00DE138E"/>
    <w:rsid w:val="00DE1F0A"/>
    <w:rsid w:val="00DE2065"/>
    <w:rsid w:val="00DE2894"/>
    <w:rsid w:val="00DE3057"/>
    <w:rsid w:val="00DE4B9F"/>
    <w:rsid w:val="00DE4EFA"/>
    <w:rsid w:val="00DE5520"/>
    <w:rsid w:val="00DE563D"/>
    <w:rsid w:val="00DE5C2A"/>
    <w:rsid w:val="00DE66B5"/>
    <w:rsid w:val="00DE7437"/>
    <w:rsid w:val="00DE78B8"/>
    <w:rsid w:val="00DF0574"/>
    <w:rsid w:val="00DF0B5D"/>
    <w:rsid w:val="00DF17E4"/>
    <w:rsid w:val="00DF258F"/>
    <w:rsid w:val="00DF3162"/>
    <w:rsid w:val="00DF35D9"/>
    <w:rsid w:val="00DF3CF9"/>
    <w:rsid w:val="00DF43F9"/>
    <w:rsid w:val="00DF50F3"/>
    <w:rsid w:val="00DF722A"/>
    <w:rsid w:val="00DF7286"/>
    <w:rsid w:val="00DF756A"/>
    <w:rsid w:val="00DF7897"/>
    <w:rsid w:val="00E00708"/>
    <w:rsid w:val="00E00716"/>
    <w:rsid w:val="00E03521"/>
    <w:rsid w:val="00E03834"/>
    <w:rsid w:val="00E03FB9"/>
    <w:rsid w:val="00E04818"/>
    <w:rsid w:val="00E049E5"/>
    <w:rsid w:val="00E04C49"/>
    <w:rsid w:val="00E05D4A"/>
    <w:rsid w:val="00E062F0"/>
    <w:rsid w:val="00E06442"/>
    <w:rsid w:val="00E069DC"/>
    <w:rsid w:val="00E07815"/>
    <w:rsid w:val="00E079BB"/>
    <w:rsid w:val="00E1018A"/>
    <w:rsid w:val="00E115BA"/>
    <w:rsid w:val="00E117A1"/>
    <w:rsid w:val="00E11A4B"/>
    <w:rsid w:val="00E11FEA"/>
    <w:rsid w:val="00E12486"/>
    <w:rsid w:val="00E13071"/>
    <w:rsid w:val="00E14D49"/>
    <w:rsid w:val="00E16C35"/>
    <w:rsid w:val="00E206E8"/>
    <w:rsid w:val="00E21D11"/>
    <w:rsid w:val="00E21DC8"/>
    <w:rsid w:val="00E21E1D"/>
    <w:rsid w:val="00E21F6C"/>
    <w:rsid w:val="00E22691"/>
    <w:rsid w:val="00E238B0"/>
    <w:rsid w:val="00E23993"/>
    <w:rsid w:val="00E23ACA"/>
    <w:rsid w:val="00E23B3F"/>
    <w:rsid w:val="00E24213"/>
    <w:rsid w:val="00E253F7"/>
    <w:rsid w:val="00E25B8C"/>
    <w:rsid w:val="00E26282"/>
    <w:rsid w:val="00E27AAF"/>
    <w:rsid w:val="00E30084"/>
    <w:rsid w:val="00E30C68"/>
    <w:rsid w:val="00E30CA5"/>
    <w:rsid w:val="00E310AD"/>
    <w:rsid w:val="00E3221A"/>
    <w:rsid w:val="00E323D7"/>
    <w:rsid w:val="00E32943"/>
    <w:rsid w:val="00E34483"/>
    <w:rsid w:val="00E356F9"/>
    <w:rsid w:val="00E36DF4"/>
    <w:rsid w:val="00E373C8"/>
    <w:rsid w:val="00E37B79"/>
    <w:rsid w:val="00E424CC"/>
    <w:rsid w:val="00E425A1"/>
    <w:rsid w:val="00E437AB"/>
    <w:rsid w:val="00E452F1"/>
    <w:rsid w:val="00E468B0"/>
    <w:rsid w:val="00E46C85"/>
    <w:rsid w:val="00E470C3"/>
    <w:rsid w:val="00E478F1"/>
    <w:rsid w:val="00E47E6D"/>
    <w:rsid w:val="00E50184"/>
    <w:rsid w:val="00E50C64"/>
    <w:rsid w:val="00E5367E"/>
    <w:rsid w:val="00E547E2"/>
    <w:rsid w:val="00E54936"/>
    <w:rsid w:val="00E5555B"/>
    <w:rsid w:val="00E5577D"/>
    <w:rsid w:val="00E566E1"/>
    <w:rsid w:val="00E574A4"/>
    <w:rsid w:val="00E57690"/>
    <w:rsid w:val="00E57E05"/>
    <w:rsid w:val="00E6113E"/>
    <w:rsid w:val="00E61699"/>
    <w:rsid w:val="00E6180D"/>
    <w:rsid w:val="00E63610"/>
    <w:rsid w:val="00E64F30"/>
    <w:rsid w:val="00E65C85"/>
    <w:rsid w:val="00E66041"/>
    <w:rsid w:val="00E66199"/>
    <w:rsid w:val="00E713FC"/>
    <w:rsid w:val="00E72935"/>
    <w:rsid w:val="00E73355"/>
    <w:rsid w:val="00E7346E"/>
    <w:rsid w:val="00E73D85"/>
    <w:rsid w:val="00E755EC"/>
    <w:rsid w:val="00E75754"/>
    <w:rsid w:val="00E759DB"/>
    <w:rsid w:val="00E75BCC"/>
    <w:rsid w:val="00E7624D"/>
    <w:rsid w:val="00E7661A"/>
    <w:rsid w:val="00E76C30"/>
    <w:rsid w:val="00E770A9"/>
    <w:rsid w:val="00E777A9"/>
    <w:rsid w:val="00E77E30"/>
    <w:rsid w:val="00E81009"/>
    <w:rsid w:val="00E82B50"/>
    <w:rsid w:val="00E83279"/>
    <w:rsid w:val="00E838B8"/>
    <w:rsid w:val="00E83B83"/>
    <w:rsid w:val="00E849A8"/>
    <w:rsid w:val="00E84BF8"/>
    <w:rsid w:val="00E851A6"/>
    <w:rsid w:val="00E86394"/>
    <w:rsid w:val="00E86DD9"/>
    <w:rsid w:val="00E8749E"/>
    <w:rsid w:val="00E874BD"/>
    <w:rsid w:val="00E92D10"/>
    <w:rsid w:val="00E92E9F"/>
    <w:rsid w:val="00E9305C"/>
    <w:rsid w:val="00E93F4A"/>
    <w:rsid w:val="00E9408C"/>
    <w:rsid w:val="00E97261"/>
    <w:rsid w:val="00E97C81"/>
    <w:rsid w:val="00EA00CC"/>
    <w:rsid w:val="00EA086D"/>
    <w:rsid w:val="00EA1DDB"/>
    <w:rsid w:val="00EA2806"/>
    <w:rsid w:val="00EA284E"/>
    <w:rsid w:val="00EA3D42"/>
    <w:rsid w:val="00EA3DE0"/>
    <w:rsid w:val="00EA4309"/>
    <w:rsid w:val="00EA4C8F"/>
    <w:rsid w:val="00EA4F04"/>
    <w:rsid w:val="00EA524C"/>
    <w:rsid w:val="00EA6667"/>
    <w:rsid w:val="00EA6B1B"/>
    <w:rsid w:val="00EA6B60"/>
    <w:rsid w:val="00EA6D49"/>
    <w:rsid w:val="00EA6FAD"/>
    <w:rsid w:val="00EA7DA9"/>
    <w:rsid w:val="00EB09CB"/>
    <w:rsid w:val="00EB09DD"/>
    <w:rsid w:val="00EB10C5"/>
    <w:rsid w:val="00EB16EF"/>
    <w:rsid w:val="00EB1D7C"/>
    <w:rsid w:val="00EB21FE"/>
    <w:rsid w:val="00EB355F"/>
    <w:rsid w:val="00EB47DF"/>
    <w:rsid w:val="00EB4959"/>
    <w:rsid w:val="00EB5FC9"/>
    <w:rsid w:val="00EB61EA"/>
    <w:rsid w:val="00EB6C91"/>
    <w:rsid w:val="00EC01BD"/>
    <w:rsid w:val="00EC04F1"/>
    <w:rsid w:val="00EC069E"/>
    <w:rsid w:val="00EC0AD1"/>
    <w:rsid w:val="00EC0B07"/>
    <w:rsid w:val="00EC2604"/>
    <w:rsid w:val="00EC3159"/>
    <w:rsid w:val="00EC3176"/>
    <w:rsid w:val="00EC3873"/>
    <w:rsid w:val="00EC4849"/>
    <w:rsid w:val="00EC5D62"/>
    <w:rsid w:val="00EC5EB8"/>
    <w:rsid w:val="00EC6F76"/>
    <w:rsid w:val="00EC7B42"/>
    <w:rsid w:val="00EC7BCF"/>
    <w:rsid w:val="00ED0B08"/>
    <w:rsid w:val="00ED0EF0"/>
    <w:rsid w:val="00ED1C77"/>
    <w:rsid w:val="00ED35C0"/>
    <w:rsid w:val="00ED3B44"/>
    <w:rsid w:val="00ED498D"/>
    <w:rsid w:val="00ED54F2"/>
    <w:rsid w:val="00ED6A81"/>
    <w:rsid w:val="00ED7323"/>
    <w:rsid w:val="00EE0ABB"/>
    <w:rsid w:val="00EE0E91"/>
    <w:rsid w:val="00EE2593"/>
    <w:rsid w:val="00EE263C"/>
    <w:rsid w:val="00EE28F3"/>
    <w:rsid w:val="00EE2D04"/>
    <w:rsid w:val="00EE3EF9"/>
    <w:rsid w:val="00EE3FE0"/>
    <w:rsid w:val="00EE4E88"/>
    <w:rsid w:val="00EE50D1"/>
    <w:rsid w:val="00EE5D10"/>
    <w:rsid w:val="00EE762A"/>
    <w:rsid w:val="00EF0918"/>
    <w:rsid w:val="00EF37FC"/>
    <w:rsid w:val="00EF4237"/>
    <w:rsid w:val="00EF42E6"/>
    <w:rsid w:val="00EF4770"/>
    <w:rsid w:val="00EF5110"/>
    <w:rsid w:val="00EF5861"/>
    <w:rsid w:val="00EF5E4A"/>
    <w:rsid w:val="00EF7CEA"/>
    <w:rsid w:val="00EF7EC0"/>
    <w:rsid w:val="00F00DD2"/>
    <w:rsid w:val="00F022DB"/>
    <w:rsid w:val="00F02448"/>
    <w:rsid w:val="00F04FB9"/>
    <w:rsid w:val="00F05353"/>
    <w:rsid w:val="00F06C60"/>
    <w:rsid w:val="00F07148"/>
    <w:rsid w:val="00F07264"/>
    <w:rsid w:val="00F0737A"/>
    <w:rsid w:val="00F1028F"/>
    <w:rsid w:val="00F10411"/>
    <w:rsid w:val="00F10D01"/>
    <w:rsid w:val="00F118F5"/>
    <w:rsid w:val="00F11DE9"/>
    <w:rsid w:val="00F11F67"/>
    <w:rsid w:val="00F130EF"/>
    <w:rsid w:val="00F13198"/>
    <w:rsid w:val="00F13C7C"/>
    <w:rsid w:val="00F14F00"/>
    <w:rsid w:val="00F15882"/>
    <w:rsid w:val="00F163CD"/>
    <w:rsid w:val="00F167FE"/>
    <w:rsid w:val="00F1706D"/>
    <w:rsid w:val="00F171E0"/>
    <w:rsid w:val="00F17452"/>
    <w:rsid w:val="00F17734"/>
    <w:rsid w:val="00F17A22"/>
    <w:rsid w:val="00F17B34"/>
    <w:rsid w:val="00F17E37"/>
    <w:rsid w:val="00F20BD3"/>
    <w:rsid w:val="00F21A67"/>
    <w:rsid w:val="00F2235A"/>
    <w:rsid w:val="00F240E1"/>
    <w:rsid w:val="00F27BB2"/>
    <w:rsid w:val="00F27FC0"/>
    <w:rsid w:val="00F30705"/>
    <w:rsid w:val="00F30931"/>
    <w:rsid w:val="00F3131B"/>
    <w:rsid w:val="00F3154C"/>
    <w:rsid w:val="00F315A8"/>
    <w:rsid w:val="00F31D12"/>
    <w:rsid w:val="00F34665"/>
    <w:rsid w:val="00F34737"/>
    <w:rsid w:val="00F34E74"/>
    <w:rsid w:val="00F36FE9"/>
    <w:rsid w:val="00F373A5"/>
    <w:rsid w:val="00F37AA0"/>
    <w:rsid w:val="00F40A85"/>
    <w:rsid w:val="00F42728"/>
    <w:rsid w:val="00F42924"/>
    <w:rsid w:val="00F430C2"/>
    <w:rsid w:val="00F43C4C"/>
    <w:rsid w:val="00F44DE9"/>
    <w:rsid w:val="00F453ED"/>
    <w:rsid w:val="00F467D0"/>
    <w:rsid w:val="00F470A2"/>
    <w:rsid w:val="00F47559"/>
    <w:rsid w:val="00F50A24"/>
    <w:rsid w:val="00F50B4B"/>
    <w:rsid w:val="00F50D64"/>
    <w:rsid w:val="00F5141D"/>
    <w:rsid w:val="00F518EB"/>
    <w:rsid w:val="00F52478"/>
    <w:rsid w:val="00F53895"/>
    <w:rsid w:val="00F53B7E"/>
    <w:rsid w:val="00F5429B"/>
    <w:rsid w:val="00F54673"/>
    <w:rsid w:val="00F55728"/>
    <w:rsid w:val="00F559E5"/>
    <w:rsid w:val="00F56EED"/>
    <w:rsid w:val="00F60E41"/>
    <w:rsid w:val="00F622DF"/>
    <w:rsid w:val="00F6250E"/>
    <w:rsid w:val="00F64C7B"/>
    <w:rsid w:val="00F650D2"/>
    <w:rsid w:val="00F6529E"/>
    <w:rsid w:val="00F6552D"/>
    <w:rsid w:val="00F66519"/>
    <w:rsid w:val="00F674BC"/>
    <w:rsid w:val="00F676DD"/>
    <w:rsid w:val="00F707CD"/>
    <w:rsid w:val="00F70E61"/>
    <w:rsid w:val="00F72575"/>
    <w:rsid w:val="00F73160"/>
    <w:rsid w:val="00F73B34"/>
    <w:rsid w:val="00F7541E"/>
    <w:rsid w:val="00F75A26"/>
    <w:rsid w:val="00F76706"/>
    <w:rsid w:val="00F77A67"/>
    <w:rsid w:val="00F80D91"/>
    <w:rsid w:val="00F815FE"/>
    <w:rsid w:val="00F8294A"/>
    <w:rsid w:val="00F83FAD"/>
    <w:rsid w:val="00F848BC"/>
    <w:rsid w:val="00F8556F"/>
    <w:rsid w:val="00F864E6"/>
    <w:rsid w:val="00F8653A"/>
    <w:rsid w:val="00F86B8F"/>
    <w:rsid w:val="00F87A62"/>
    <w:rsid w:val="00F907EA"/>
    <w:rsid w:val="00F93616"/>
    <w:rsid w:val="00F9512C"/>
    <w:rsid w:val="00F952A0"/>
    <w:rsid w:val="00F9593C"/>
    <w:rsid w:val="00F96291"/>
    <w:rsid w:val="00F97576"/>
    <w:rsid w:val="00F97A9B"/>
    <w:rsid w:val="00F97E3D"/>
    <w:rsid w:val="00F97F03"/>
    <w:rsid w:val="00FA1E6D"/>
    <w:rsid w:val="00FA2331"/>
    <w:rsid w:val="00FA2F53"/>
    <w:rsid w:val="00FA3A98"/>
    <w:rsid w:val="00FA3C7F"/>
    <w:rsid w:val="00FA47B8"/>
    <w:rsid w:val="00FA54C8"/>
    <w:rsid w:val="00FA5E9C"/>
    <w:rsid w:val="00FA68C2"/>
    <w:rsid w:val="00FA6E24"/>
    <w:rsid w:val="00FA6E29"/>
    <w:rsid w:val="00FA6E98"/>
    <w:rsid w:val="00FA7E87"/>
    <w:rsid w:val="00FB0FF5"/>
    <w:rsid w:val="00FB232A"/>
    <w:rsid w:val="00FB35A9"/>
    <w:rsid w:val="00FB3802"/>
    <w:rsid w:val="00FB4886"/>
    <w:rsid w:val="00FB4ADF"/>
    <w:rsid w:val="00FB4F6C"/>
    <w:rsid w:val="00FB59E0"/>
    <w:rsid w:val="00FB5F32"/>
    <w:rsid w:val="00FB5F7C"/>
    <w:rsid w:val="00FB60FE"/>
    <w:rsid w:val="00FB634A"/>
    <w:rsid w:val="00FB6971"/>
    <w:rsid w:val="00FB6DB6"/>
    <w:rsid w:val="00FB6FD6"/>
    <w:rsid w:val="00FB70E8"/>
    <w:rsid w:val="00FB731E"/>
    <w:rsid w:val="00FB74E2"/>
    <w:rsid w:val="00FB7FCD"/>
    <w:rsid w:val="00FC04ED"/>
    <w:rsid w:val="00FC0662"/>
    <w:rsid w:val="00FC1C7C"/>
    <w:rsid w:val="00FC5C0E"/>
    <w:rsid w:val="00FD000C"/>
    <w:rsid w:val="00FD09CE"/>
    <w:rsid w:val="00FD2399"/>
    <w:rsid w:val="00FD2B42"/>
    <w:rsid w:val="00FD3811"/>
    <w:rsid w:val="00FD4722"/>
    <w:rsid w:val="00FD5614"/>
    <w:rsid w:val="00FD5BE7"/>
    <w:rsid w:val="00FD5CB6"/>
    <w:rsid w:val="00FD5E78"/>
    <w:rsid w:val="00FD5EB2"/>
    <w:rsid w:val="00FD6816"/>
    <w:rsid w:val="00FD6B8C"/>
    <w:rsid w:val="00FD6EFE"/>
    <w:rsid w:val="00FD7FDB"/>
    <w:rsid w:val="00FE0BE1"/>
    <w:rsid w:val="00FE0CA4"/>
    <w:rsid w:val="00FE1608"/>
    <w:rsid w:val="00FE182A"/>
    <w:rsid w:val="00FE1DE9"/>
    <w:rsid w:val="00FE1E1F"/>
    <w:rsid w:val="00FE2616"/>
    <w:rsid w:val="00FE2C3D"/>
    <w:rsid w:val="00FE3331"/>
    <w:rsid w:val="00FE339F"/>
    <w:rsid w:val="00FE3450"/>
    <w:rsid w:val="00FE35D2"/>
    <w:rsid w:val="00FE36AF"/>
    <w:rsid w:val="00FE391A"/>
    <w:rsid w:val="00FE39C2"/>
    <w:rsid w:val="00FE3C32"/>
    <w:rsid w:val="00FE3C8D"/>
    <w:rsid w:val="00FE404A"/>
    <w:rsid w:val="00FE445D"/>
    <w:rsid w:val="00FE64AE"/>
    <w:rsid w:val="00FE64B7"/>
    <w:rsid w:val="00FE72CD"/>
    <w:rsid w:val="00FE7452"/>
    <w:rsid w:val="00FE7DEB"/>
    <w:rsid w:val="00FF0DA8"/>
    <w:rsid w:val="00FF2341"/>
    <w:rsid w:val="00FF2854"/>
    <w:rsid w:val="00FF2AD0"/>
    <w:rsid w:val="00FF3A60"/>
    <w:rsid w:val="00FF41BC"/>
    <w:rsid w:val="00FF61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31BA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857647"/>
    <w:pPr>
      <w:keepNext/>
      <w:numPr>
        <w:ilvl w:val="1"/>
        <w:numId w:val="26"/>
      </w:numPr>
      <w:tabs>
        <w:tab w:val="left" w:pos="680"/>
      </w:tabs>
      <w:spacing w:line="240" w:lineRule="atLeast"/>
      <w:ind w:left="578" w:hanging="578"/>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91B"/>
    <w:pPr>
      <w:keepNext/>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12691B"/>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12691B"/>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857647"/>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91B"/>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12691B"/>
    <w:pPr>
      <w:numPr>
        <w:ilvl w:val="0"/>
        <w:numId w:val="0"/>
      </w:numPr>
    </w:pPr>
  </w:style>
  <w:style w:type="paragraph" w:customStyle="1" w:styleId="HeadingBoldItalic">
    <w:name w:val="Heading Bold Italic"/>
    <w:basedOn w:val="Heading4"/>
    <w:qFormat/>
    <w:rsid w:val="00857647"/>
    <w:pPr>
      <w:keepNext/>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12691B"/>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12691B"/>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91B"/>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857647"/>
    <w:pPr>
      <w:keepNext/>
      <w:numPr>
        <w:ilvl w:val="1"/>
        <w:numId w:val="26"/>
      </w:numPr>
      <w:tabs>
        <w:tab w:val="left" w:pos="680"/>
      </w:tabs>
      <w:spacing w:line="240" w:lineRule="atLeast"/>
      <w:ind w:left="578" w:hanging="578"/>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91B"/>
    <w:pPr>
      <w:keepNext/>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12691B"/>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12691B"/>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857647"/>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91B"/>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12691B"/>
    <w:pPr>
      <w:numPr>
        <w:ilvl w:val="0"/>
        <w:numId w:val="0"/>
      </w:numPr>
    </w:pPr>
  </w:style>
  <w:style w:type="paragraph" w:customStyle="1" w:styleId="HeadingBoldItalic">
    <w:name w:val="Heading Bold Italic"/>
    <w:basedOn w:val="Heading4"/>
    <w:qFormat/>
    <w:rsid w:val="00857647"/>
    <w:pPr>
      <w:keepNext/>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12691B"/>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12691B"/>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91B"/>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em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5" Type="http://schemas.microsoft.com/office/2007/relationships/stylesWithEffects" Target="stylesWithEffects.xml"/><Relationship Id="rId15"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Listed equity</c:v>
          </c:tx>
          <c:marker>
            <c:symbol val="none"/>
          </c:marker>
          <c:cat>
            <c:numRef>
              <c:f>'12. Total refined'!$AY$1:$DE$1</c:f>
              <c:numCache>
                <c:formatCode>mmm\-yyyy</c:formatCode>
                <c:ptCount val="59"/>
                <c:pt idx="0">
                  <c:v>36770</c:v>
                </c:pt>
                <c:pt idx="1">
                  <c:v>36861</c:v>
                </c:pt>
                <c:pt idx="2">
                  <c:v>36951</c:v>
                </c:pt>
                <c:pt idx="3">
                  <c:v>37043</c:v>
                </c:pt>
                <c:pt idx="4">
                  <c:v>37135</c:v>
                </c:pt>
                <c:pt idx="5">
                  <c:v>37226</c:v>
                </c:pt>
                <c:pt idx="6">
                  <c:v>37316</c:v>
                </c:pt>
                <c:pt idx="7">
                  <c:v>37408</c:v>
                </c:pt>
                <c:pt idx="8">
                  <c:v>37500</c:v>
                </c:pt>
                <c:pt idx="9">
                  <c:v>37591</c:v>
                </c:pt>
                <c:pt idx="10">
                  <c:v>37681</c:v>
                </c:pt>
                <c:pt idx="11">
                  <c:v>37773</c:v>
                </c:pt>
                <c:pt idx="12">
                  <c:v>37865</c:v>
                </c:pt>
                <c:pt idx="13">
                  <c:v>37956</c:v>
                </c:pt>
                <c:pt idx="14">
                  <c:v>38047</c:v>
                </c:pt>
                <c:pt idx="15">
                  <c:v>38139</c:v>
                </c:pt>
                <c:pt idx="16">
                  <c:v>38231</c:v>
                </c:pt>
                <c:pt idx="17">
                  <c:v>38322</c:v>
                </c:pt>
                <c:pt idx="18">
                  <c:v>38412</c:v>
                </c:pt>
                <c:pt idx="19">
                  <c:v>38504</c:v>
                </c:pt>
                <c:pt idx="20">
                  <c:v>38596</c:v>
                </c:pt>
                <c:pt idx="21">
                  <c:v>38687</c:v>
                </c:pt>
                <c:pt idx="22">
                  <c:v>38777</c:v>
                </c:pt>
                <c:pt idx="23">
                  <c:v>38869</c:v>
                </c:pt>
                <c:pt idx="24">
                  <c:v>38961</c:v>
                </c:pt>
                <c:pt idx="25">
                  <c:v>39052</c:v>
                </c:pt>
                <c:pt idx="26">
                  <c:v>39142</c:v>
                </c:pt>
                <c:pt idx="27">
                  <c:v>39234</c:v>
                </c:pt>
                <c:pt idx="28">
                  <c:v>39326</c:v>
                </c:pt>
                <c:pt idx="29">
                  <c:v>39417</c:v>
                </c:pt>
                <c:pt idx="30">
                  <c:v>39508</c:v>
                </c:pt>
                <c:pt idx="31">
                  <c:v>39600</c:v>
                </c:pt>
                <c:pt idx="32">
                  <c:v>39692</c:v>
                </c:pt>
                <c:pt idx="33">
                  <c:v>39783</c:v>
                </c:pt>
                <c:pt idx="34">
                  <c:v>39873</c:v>
                </c:pt>
                <c:pt idx="35">
                  <c:v>39965</c:v>
                </c:pt>
                <c:pt idx="36">
                  <c:v>40057</c:v>
                </c:pt>
                <c:pt idx="37">
                  <c:v>40148</c:v>
                </c:pt>
                <c:pt idx="38">
                  <c:v>40238</c:v>
                </c:pt>
                <c:pt idx="39">
                  <c:v>40330</c:v>
                </c:pt>
                <c:pt idx="40">
                  <c:v>40422</c:v>
                </c:pt>
                <c:pt idx="41">
                  <c:v>40513</c:v>
                </c:pt>
                <c:pt idx="42">
                  <c:v>40603</c:v>
                </c:pt>
                <c:pt idx="43">
                  <c:v>40695</c:v>
                </c:pt>
                <c:pt idx="44">
                  <c:v>40787</c:v>
                </c:pt>
                <c:pt idx="45">
                  <c:v>40878</c:v>
                </c:pt>
                <c:pt idx="46">
                  <c:v>40969</c:v>
                </c:pt>
                <c:pt idx="47">
                  <c:v>41061</c:v>
                </c:pt>
                <c:pt idx="48">
                  <c:v>41153</c:v>
                </c:pt>
                <c:pt idx="49">
                  <c:v>41244</c:v>
                </c:pt>
                <c:pt idx="50">
                  <c:v>41334</c:v>
                </c:pt>
                <c:pt idx="51">
                  <c:v>41426</c:v>
                </c:pt>
                <c:pt idx="52">
                  <c:v>41518</c:v>
                </c:pt>
                <c:pt idx="53">
                  <c:v>41609</c:v>
                </c:pt>
                <c:pt idx="54">
                  <c:v>41699</c:v>
                </c:pt>
                <c:pt idx="55">
                  <c:v>41791</c:v>
                </c:pt>
                <c:pt idx="56">
                  <c:v>41883</c:v>
                </c:pt>
                <c:pt idx="57">
                  <c:v>41974</c:v>
                </c:pt>
                <c:pt idx="58">
                  <c:v>42064</c:v>
                </c:pt>
              </c:numCache>
            </c:numRef>
          </c:cat>
          <c:val>
            <c:numRef>
              <c:f>'10. Total listed'!$AY$22:$DE$22</c:f>
              <c:numCache>
                <c:formatCode>General</c:formatCode>
                <c:ptCount val="59"/>
                <c:pt idx="0">
                  <c:v>0.51331445057490632</c:v>
                </c:pt>
                <c:pt idx="1">
                  <c:v>0.54740179008912082</c:v>
                </c:pt>
                <c:pt idx="2">
                  <c:v>0.54310171127191231</c:v>
                </c:pt>
                <c:pt idx="3">
                  <c:v>0.53875567644088151</c:v>
                </c:pt>
                <c:pt idx="4">
                  <c:v>0.51811696504201321</c:v>
                </c:pt>
                <c:pt idx="5">
                  <c:v>0.52607619800155792</c:v>
                </c:pt>
                <c:pt idx="6">
                  <c:v>0.53580042518168736</c:v>
                </c:pt>
                <c:pt idx="7">
                  <c:v>0.5267941424621374</c:v>
                </c:pt>
                <c:pt idx="8">
                  <c:v>0.50738287658747039</c:v>
                </c:pt>
                <c:pt idx="9">
                  <c:v>0.4949847392152148</c:v>
                </c:pt>
                <c:pt idx="10">
                  <c:v>0.48632985120039407</c:v>
                </c:pt>
                <c:pt idx="11">
                  <c:v>0.48046657766441003</c:v>
                </c:pt>
                <c:pt idx="12">
                  <c:v>0.48121142657072408</c:v>
                </c:pt>
                <c:pt idx="13">
                  <c:v>0.48297981379279192</c:v>
                </c:pt>
                <c:pt idx="14">
                  <c:v>0.49225038368125401</c:v>
                </c:pt>
                <c:pt idx="15">
                  <c:v>0.49178262124711314</c:v>
                </c:pt>
                <c:pt idx="16">
                  <c:v>0.50714313460001781</c:v>
                </c:pt>
                <c:pt idx="17">
                  <c:v>0.54665246613076113</c:v>
                </c:pt>
                <c:pt idx="18">
                  <c:v>0.54442826845200165</c:v>
                </c:pt>
                <c:pt idx="19">
                  <c:v>0.54528860416761127</c:v>
                </c:pt>
                <c:pt idx="20">
                  <c:v>0.55002511606485549</c:v>
                </c:pt>
                <c:pt idx="21">
                  <c:v>0.54618689642612106</c:v>
                </c:pt>
                <c:pt idx="22">
                  <c:v>0.54941445210130901</c:v>
                </c:pt>
                <c:pt idx="23">
                  <c:v>0.54639100487001557</c:v>
                </c:pt>
                <c:pt idx="24">
                  <c:v>0.54088739492994631</c:v>
                </c:pt>
                <c:pt idx="25">
                  <c:v>0.54784288148077342</c:v>
                </c:pt>
                <c:pt idx="26">
                  <c:v>0.54698404663904909</c:v>
                </c:pt>
                <c:pt idx="27">
                  <c:v>0.54839503960161373</c:v>
                </c:pt>
                <c:pt idx="28">
                  <c:v>0.54862432239755754</c:v>
                </c:pt>
                <c:pt idx="29">
                  <c:v>0.54581431321268947</c:v>
                </c:pt>
                <c:pt idx="30">
                  <c:v>0.50080266551432184</c:v>
                </c:pt>
                <c:pt idx="31">
                  <c:v>0.49310591510999369</c:v>
                </c:pt>
                <c:pt idx="32">
                  <c:v>0.47518261512886678</c:v>
                </c:pt>
                <c:pt idx="33">
                  <c:v>0.4400887438346871</c:v>
                </c:pt>
                <c:pt idx="34">
                  <c:v>0.42028507683039051</c:v>
                </c:pt>
                <c:pt idx="35">
                  <c:v>0.43888922149010823</c:v>
                </c:pt>
                <c:pt idx="36">
                  <c:v>0.4688934244047932</c:v>
                </c:pt>
                <c:pt idx="37">
                  <c:v>0.46857039216103596</c:v>
                </c:pt>
                <c:pt idx="38">
                  <c:v>0.46569326706426883</c:v>
                </c:pt>
                <c:pt idx="39">
                  <c:v>0.4517250628939764</c:v>
                </c:pt>
                <c:pt idx="40">
                  <c:v>0.45701627138621825</c:v>
                </c:pt>
                <c:pt idx="41">
                  <c:v>0.46077574179146125</c:v>
                </c:pt>
                <c:pt idx="42">
                  <c:v>0.46704651190893381</c:v>
                </c:pt>
                <c:pt idx="43">
                  <c:v>0.43321316580584668</c:v>
                </c:pt>
                <c:pt idx="44">
                  <c:v>0.39981986179384588</c:v>
                </c:pt>
                <c:pt idx="45">
                  <c:v>0.38751660367156199</c:v>
                </c:pt>
                <c:pt idx="46">
                  <c:v>0.39348450468888263</c:v>
                </c:pt>
                <c:pt idx="47">
                  <c:v>0.38140367071081299</c:v>
                </c:pt>
                <c:pt idx="48">
                  <c:v>0.40376886071257589</c:v>
                </c:pt>
                <c:pt idx="49">
                  <c:v>0.4138337284716439</c:v>
                </c:pt>
                <c:pt idx="50">
                  <c:v>0.42786885386043005</c:v>
                </c:pt>
                <c:pt idx="51">
                  <c:v>0.41498289694910112</c:v>
                </c:pt>
                <c:pt idx="52">
                  <c:v>0.44026546701705938</c:v>
                </c:pt>
                <c:pt idx="53">
                  <c:v>0.44814370053539776</c:v>
                </c:pt>
                <c:pt idx="54">
                  <c:v>0.4483091563189045</c:v>
                </c:pt>
                <c:pt idx="55">
                  <c:v>0.45261707271484908</c:v>
                </c:pt>
                <c:pt idx="56">
                  <c:v>0.44105057325344288</c:v>
                </c:pt>
                <c:pt idx="57">
                  <c:v>0.44995620754313781</c:v>
                </c:pt>
                <c:pt idx="58">
                  <c:v>0.46316326282814058</c:v>
                </c:pt>
              </c:numCache>
            </c:numRef>
          </c:val>
          <c:smooth val="0"/>
        </c:ser>
        <c:ser>
          <c:idx val="1"/>
          <c:order val="1"/>
          <c:tx>
            <c:v>Total equity</c:v>
          </c:tx>
          <c:marker>
            <c:symbol val="none"/>
          </c:marker>
          <c:cat>
            <c:numRef>
              <c:f>'12. Total refined'!$AY$1:$DE$1</c:f>
              <c:numCache>
                <c:formatCode>mmm\-yyyy</c:formatCode>
                <c:ptCount val="59"/>
                <c:pt idx="0">
                  <c:v>36770</c:v>
                </c:pt>
                <c:pt idx="1">
                  <c:v>36861</c:v>
                </c:pt>
                <c:pt idx="2">
                  <c:v>36951</c:v>
                </c:pt>
                <c:pt idx="3">
                  <c:v>37043</c:v>
                </c:pt>
                <c:pt idx="4">
                  <c:v>37135</c:v>
                </c:pt>
                <c:pt idx="5">
                  <c:v>37226</c:v>
                </c:pt>
                <c:pt idx="6">
                  <c:v>37316</c:v>
                </c:pt>
                <c:pt idx="7">
                  <c:v>37408</c:v>
                </c:pt>
                <c:pt idx="8">
                  <c:v>37500</c:v>
                </c:pt>
                <c:pt idx="9">
                  <c:v>37591</c:v>
                </c:pt>
                <c:pt idx="10">
                  <c:v>37681</c:v>
                </c:pt>
                <c:pt idx="11">
                  <c:v>37773</c:v>
                </c:pt>
                <c:pt idx="12">
                  <c:v>37865</c:v>
                </c:pt>
                <c:pt idx="13">
                  <c:v>37956</c:v>
                </c:pt>
                <c:pt idx="14">
                  <c:v>38047</c:v>
                </c:pt>
                <c:pt idx="15">
                  <c:v>38139</c:v>
                </c:pt>
                <c:pt idx="16">
                  <c:v>38231</c:v>
                </c:pt>
                <c:pt idx="17">
                  <c:v>38322</c:v>
                </c:pt>
                <c:pt idx="18">
                  <c:v>38412</c:v>
                </c:pt>
                <c:pt idx="19">
                  <c:v>38504</c:v>
                </c:pt>
                <c:pt idx="20">
                  <c:v>38596</c:v>
                </c:pt>
                <c:pt idx="21">
                  <c:v>38687</c:v>
                </c:pt>
                <c:pt idx="22">
                  <c:v>38777</c:v>
                </c:pt>
                <c:pt idx="23">
                  <c:v>38869</c:v>
                </c:pt>
                <c:pt idx="24">
                  <c:v>38961</c:v>
                </c:pt>
                <c:pt idx="25">
                  <c:v>39052</c:v>
                </c:pt>
                <c:pt idx="26">
                  <c:v>39142</c:v>
                </c:pt>
                <c:pt idx="27">
                  <c:v>39234</c:v>
                </c:pt>
                <c:pt idx="28">
                  <c:v>39326</c:v>
                </c:pt>
                <c:pt idx="29">
                  <c:v>39417</c:v>
                </c:pt>
                <c:pt idx="30">
                  <c:v>39508</c:v>
                </c:pt>
                <c:pt idx="31">
                  <c:v>39600</c:v>
                </c:pt>
                <c:pt idx="32">
                  <c:v>39692</c:v>
                </c:pt>
                <c:pt idx="33">
                  <c:v>39783</c:v>
                </c:pt>
                <c:pt idx="34">
                  <c:v>39873</c:v>
                </c:pt>
                <c:pt idx="35">
                  <c:v>39965</c:v>
                </c:pt>
                <c:pt idx="36">
                  <c:v>40057</c:v>
                </c:pt>
                <c:pt idx="37">
                  <c:v>40148</c:v>
                </c:pt>
                <c:pt idx="38">
                  <c:v>40238</c:v>
                </c:pt>
                <c:pt idx="39">
                  <c:v>40330</c:v>
                </c:pt>
                <c:pt idx="40">
                  <c:v>40422</c:v>
                </c:pt>
                <c:pt idx="41">
                  <c:v>40513</c:v>
                </c:pt>
                <c:pt idx="42">
                  <c:v>40603</c:v>
                </c:pt>
                <c:pt idx="43">
                  <c:v>40695</c:v>
                </c:pt>
                <c:pt idx="44">
                  <c:v>40787</c:v>
                </c:pt>
                <c:pt idx="45">
                  <c:v>40878</c:v>
                </c:pt>
                <c:pt idx="46">
                  <c:v>40969</c:v>
                </c:pt>
                <c:pt idx="47">
                  <c:v>41061</c:v>
                </c:pt>
                <c:pt idx="48">
                  <c:v>41153</c:v>
                </c:pt>
                <c:pt idx="49">
                  <c:v>41244</c:v>
                </c:pt>
                <c:pt idx="50">
                  <c:v>41334</c:v>
                </c:pt>
                <c:pt idx="51">
                  <c:v>41426</c:v>
                </c:pt>
                <c:pt idx="52">
                  <c:v>41518</c:v>
                </c:pt>
                <c:pt idx="53">
                  <c:v>41609</c:v>
                </c:pt>
                <c:pt idx="54">
                  <c:v>41699</c:v>
                </c:pt>
                <c:pt idx="55">
                  <c:v>41791</c:v>
                </c:pt>
                <c:pt idx="56">
                  <c:v>41883</c:v>
                </c:pt>
                <c:pt idx="57">
                  <c:v>41974</c:v>
                </c:pt>
                <c:pt idx="58">
                  <c:v>42064</c:v>
                </c:pt>
              </c:numCache>
            </c:numRef>
          </c:cat>
          <c:val>
            <c:numRef>
              <c:f>'12. Total refined'!$AY$21:$DE$21</c:f>
              <c:numCache>
                <c:formatCode>General</c:formatCode>
                <c:ptCount val="59"/>
                <c:pt idx="0">
                  <c:v>0.58425201354567091</c:v>
                </c:pt>
                <c:pt idx="1">
                  <c:v>0.60569815065071397</c:v>
                </c:pt>
                <c:pt idx="2">
                  <c:v>0.60585932636479833</c:v>
                </c:pt>
                <c:pt idx="3">
                  <c:v>0.60411136464342363</c:v>
                </c:pt>
                <c:pt idx="4">
                  <c:v>0.59600586521449883</c:v>
                </c:pt>
                <c:pt idx="5">
                  <c:v>0.59914602920931159</c:v>
                </c:pt>
                <c:pt idx="6">
                  <c:v>0.61036165613900506</c:v>
                </c:pt>
                <c:pt idx="7">
                  <c:v>0.60607191119291004</c:v>
                </c:pt>
                <c:pt idx="8">
                  <c:v>0.60124506132103772</c:v>
                </c:pt>
                <c:pt idx="9">
                  <c:v>0.58628237752466172</c:v>
                </c:pt>
                <c:pt idx="10">
                  <c:v>0.58746355213379808</c:v>
                </c:pt>
                <c:pt idx="11">
                  <c:v>0.58404309773350904</c:v>
                </c:pt>
                <c:pt idx="12">
                  <c:v>0.58115942028985512</c:v>
                </c:pt>
                <c:pt idx="13">
                  <c:v>0.58447012205323123</c:v>
                </c:pt>
                <c:pt idx="14">
                  <c:v>0.59983973280644987</c:v>
                </c:pt>
                <c:pt idx="15">
                  <c:v>0.6093910163636469</c:v>
                </c:pt>
                <c:pt idx="16">
                  <c:v>0.61943081095565988</c:v>
                </c:pt>
                <c:pt idx="17">
                  <c:v>0.6231669790248916</c:v>
                </c:pt>
                <c:pt idx="18">
                  <c:v>0.63606341769160424</c:v>
                </c:pt>
                <c:pt idx="19">
                  <c:v>0.67538619366119979</c:v>
                </c:pt>
                <c:pt idx="20">
                  <c:v>0.67567348433165919</c:v>
                </c:pt>
                <c:pt idx="21">
                  <c:v>0.67147220720107614</c:v>
                </c:pt>
                <c:pt idx="22">
                  <c:v>0.66250234450862655</c:v>
                </c:pt>
                <c:pt idx="23">
                  <c:v>0.66774648596032493</c:v>
                </c:pt>
                <c:pt idx="24">
                  <c:v>0.66579368560086194</c:v>
                </c:pt>
                <c:pt idx="25">
                  <c:v>0.66250703930813359</c:v>
                </c:pt>
                <c:pt idx="26">
                  <c:v>0.65222264149974718</c:v>
                </c:pt>
                <c:pt idx="27">
                  <c:v>0.64801594602580037</c:v>
                </c:pt>
                <c:pt idx="28">
                  <c:v>0.64219582047024315</c:v>
                </c:pt>
                <c:pt idx="29">
                  <c:v>0.64199405052179848</c:v>
                </c:pt>
                <c:pt idx="30">
                  <c:v>0.62525118389789125</c:v>
                </c:pt>
                <c:pt idx="31">
                  <c:v>0.61844866856343517</c:v>
                </c:pt>
                <c:pt idx="32">
                  <c:v>0.61941034964637787</c:v>
                </c:pt>
                <c:pt idx="33">
                  <c:v>0.59912025856652684</c:v>
                </c:pt>
                <c:pt idx="34">
                  <c:v>0.58989934731681193</c:v>
                </c:pt>
                <c:pt idx="35">
                  <c:v>0.59010157700773058</c:v>
                </c:pt>
                <c:pt idx="36">
                  <c:v>0.59097963446241641</c:v>
                </c:pt>
                <c:pt idx="37">
                  <c:v>0.59132725785343854</c:v>
                </c:pt>
                <c:pt idx="38">
                  <c:v>0.58815798155776733</c:v>
                </c:pt>
                <c:pt idx="39">
                  <c:v>0.58690759525051373</c:v>
                </c:pt>
                <c:pt idx="40">
                  <c:v>0.58698907949536139</c:v>
                </c:pt>
                <c:pt idx="41">
                  <c:v>0.58006919492542774</c:v>
                </c:pt>
                <c:pt idx="42">
                  <c:v>0.57699228785063705</c:v>
                </c:pt>
                <c:pt idx="43">
                  <c:v>0.5784555901055225</c:v>
                </c:pt>
                <c:pt idx="44">
                  <c:v>0.56951813720994227</c:v>
                </c:pt>
                <c:pt idx="45">
                  <c:v>0.56822126132486173</c:v>
                </c:pt>
                <c:pt idx="46">
                  <c:v>0.56590682555469629</c:v>
                </c:pt>
                <c:pt idx="47">
                  <c:v>0.56454692343951118</c:v>
                </c:pt>
                <c:pt idx="48">
                  <c:v>0.57371444732039523</c:v>
                </c:pt>
                <c:pt idx="49">
                  <c:v>0.57942706426858781</c:v>
                </c:pt>
                <c:pt idx="50">
                  <c:v>0.58609759235195569</c:v>
                </c:pt>
                <c:pt idx="51">
                  <c:v>0.585479463093316</c:v>
                </c:pt>
                <c:pt idx="52">
                  <c:v>0.59518791951840733</c:v>
                </c:pt>
                <c:pt idx="53">
                  <c:v>0.601051625409178</c:v>
                </c:pt>
                <c:pt idx="54">
                  <c:v>0.59958270984574558</c:v>
                </c:pt>
                <c:pt idx="55">
                  <c:v>0.60171725683844857</c:v>
                </c:pt>
                <c:pt idx="56">
                  <c:v>0.59868685371266761</c:v>
                </c:pt>
                <c:pt idx="57">
                  <c:v>0.60398631594317775</c:v>
                </c:pt>
                <c:pt idx="58">
                  <c:v>0.60764263324855139</c:v>
                </c:pt>
              </c:numCache>
            </c:numRef>
          </c:val>
          <c:smooth val="0"/>
        </c:ser>
        <c:dLbls>
          <c:showLegendKey val="0"/>
          <c:showVal val="0"/>
          <c:showCatName val="0"/>
          <c:showSerName val="0"/>
          <c:showPercent val="0"/>
          <c:showBubbleSize val="0"/>
        </c:dLbls>
        <c:marker val="1"/>
        <c:smooth val="0"/>
        <c:axId val="255933056"/>
        <c:axId val="262791552"/>
      </c:lineChart>
      <c:dateAx>
        <c:axId val="255933056"/>
        <c:scaling>
          <c:orientation val="minMax"/>
        </c:scaling>
        <c:delete val="0"/>
        <c:axPos val="b"/>
        <c:numFmt formatCode="mmm\-yyyy" sourceLinked="1"/>
        <c:majorTickMark val="out"/>
        <c:minorTickMark val="none"/>
        <c:tickLblPos val="nextTo"/>
        <c:crossAx val="262791552"/>
        <c:crosses val="autoZero"/>
        <c:auto val="0"/>
        <c:lblOffset val="100"/>
        <c:baseTimeUnit val="months"/>
        <c:majorUnit val="12"/>
        <c:majorTimeUnit val="months"/>
      </c:dateAx>
      <c:valAx>
        <c:axId val="262791552"/>
        <c:scaling>
          <c:orientation val="minMax"/>
          <c:max val="0.70000000000000007"/>
          <c:min val="0.30000000000000004"/>
        </c:scaling>
        <c:delete val="0"/>
        <c:axPos val="l"/>
        <c:majorGridlines/>
        <c:title>
          <c:tx>
            <c:rich>
              <a:bodyPr rot="0" vert="horz"/>
              <a:lstStyle/>
              <a:p>
                <a:pPr>
                  <a:defRPr/>
                </a:pPr>
                <a:r>
                  <a:rPr lang="en-AU"/>
                  <a:t>Refined domestic ownership</a:t>
                </a:r>
                <a:r>
                  <a:rPr lang="en-AU" baseline="0"/>
                  <a:t> share of Australian equity </a:t>
                </a:r>
              </a:p>
            </c:rich>
          </c:tx>
          <c:overlay val="0"/>
        </c:title>
        <c:numFmt formatCode="General" sourceLinked="1"/>
        <c:majorTickMark val="out"/>
        <c:minorTickMark val="none"/>
        <c:tickLblPos val="nextTo"/>
        <c:crossAx val="255933056"/>
        <c:crossesAt val="36770"/>
        <c:crossBetween val="midCat"/>
        <c:majorUnit val="5.000000000000001E-2"/>
        <c:minorUnit val="4.000000000000001E-3"/>
      </c:valAx>
    </c:plotArea>
    <c:legend>
      <c:legendPos val="b"/>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1F15B7-B8EF-4E96-B87C-AFDC0C7BC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D75BC56B</Template>
  <TotalTime>0</TotalTime>
  <Pages>122</Pages>
  <Words>39160</Words>
  <Characters>223218</Characters>
  <Application>Microsoft Office Word</Application>
  <DocSecurity>0</DocSecurity>
  <Lines>1860</Lines>
  <Paragraphs>523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261855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2015-10-26T23:50:00Z</dcterms:created>
  <dcterms:modified xsi:type="dcterms:W3CDTF">2015-10-26T23:50:00Z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8555759</vt:lpwstr>
  </property>
  <property fmtid="{D5CDD505-2E9C-101B-9397-08002B2CF9AE}" pid="3" name="_MarkAsFinal">
    <vt:bool>true</vt:bool>
  </property>
</Properties>
</file>