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9D5C540" wp14:editId="58FD096E">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E5FB15A" wp14:editId="3823B53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B47C99"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3F2346">
            <w:t>2</w:t>
          </w:r>
          <w:r w:rsidR="000474DF">
            <w:t xml:space="preserve"> </w:t>
          </w:r>
          <w:r w:rsidR="00185BA5">
            <w:t>–</w:t>
          </w:r>
          <w:r w:rsidR="000474DF">
            <w:t xml:space="preserve"> </w:t>
          </w:r>
          <w:r w:rsidR="000F65B0">
            <w:t>R</w:t>
          </w:r>
          <w:r w:rsidR="003F2346">
            <w:t>egulatory asset base</w:t>
          </w:r>
        </w:p>
        <w:p w:rsidR="000A6C7B" w:rsidRPr="00327A1E" w:rsidRDefault="00ED42BD"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4537"/>
      <w:r>
        <w:lastRenderedPageBreak/>
        <w:t>Note</w:t>
      </w:r>
      <w:bookmarkEnd w:id="2"/>
      <w:bookmarkEnd w:id="3"/>
      <w:bookmarkEnd w:id="4"/>
    </w:p>
    <w:p w:rsidR="00761454" w:rsidRDefault="00761454" w:rsidP="00761454">
      <w:pPr>
        <w:numPr>
          <w:ilvl w:val="0"/>
          <w:numId w:val="24"/>
        </w:numPr>
      </w:pPr>
      <w:r>
        <w:t xml:space="preserve">This </w:t>
      </w:r>
      <w:r w:rsidR="00ED42BD">
        <w:t xml:space="preserve">attachment </w:t>
      </w:r>
      <w:r>
        <w:t xml:space="preserve">forms part of the AER's </w:t>
      </w:r>
      <w:r w:rsidR="00DB4E34">
        <w:t>final</w:t>
      </w:r>
      <w:r w:rsidR="000474DF">
        <w:t xml:space="preserve"> </w:t>
      </w:r>
      <w:r>
        <w:t xml:space="preserve">decision on </w:t>
      </w:r>
      <w:r w:rsidR="00B47C99">
        <w:t>Powercor</w:t>
      </w:r>
      <w:r w:rsidR="005E0E1B">
        <w:t>'s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453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BB654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4537" w:history="1">
            <w:r w:rsidR="00BB6547" w:rsidRPr="00ED7427">
              <w:rPr>
                <w:rStyle w:val="Hyperlink"/>
              </w:rPr>
              <w:t>Note</w:t>
            </w:r>
            <w:r w:rsidR="00BB6547">
              <w:rPr>
                <w:webHidden/>
              </w:rPr>
              <w:tab/>
            </w:r>
            <w:r w:rsidR="00BB6547">
              <w:rPr>
                <w:webHidden/>
              </w:rPr>
              <w:fldChar w:fldCharType="begin"/>
            </w:r>
            <w:r w:rsidR="00BB6547">
              <w:rPr>
                <w:webHidden/>
              </w:rPr>
              <w:instrText xml:space="preserve"> PAGEREF _Toc451284537 \h </w:instrText>
            </w:r>
            <w:r w:rsidR="00BB6547">
              <w:rPr>
                <w:webHidden/>
              </w:rPr>
            </w:r>
            <w:r w:rsidR="00BB6547">
              <w:rPr>
                <w:webHidden/>
              </w:rPr>
              <w:fldChar w:fldCharType="separate"/>
            </w:r>
            <w:r w:rsidR="00BB6547">
              <w:rPr>
                <w:webHidden/>
              </w:rPr>
              <w:t>2-2</w:t>
            </w:r>
            <w:r w:rsidR="00BB6547">
              <w:rPr>
                <w:webHidden/>
              </w:rPr>
              <w:fldChar w:fldCharType="end"/>
            </w:r>
          </w:hyperlink>
        </w:p>
        <w:p w:rsidR="00BB6547" w:rsidRDefault="00826BBA">
          <w:pPr>
            <w:pStyle w:val="TOC1"/>
            <w:rPr>
              <w:rFonts w:asciiTheme="minorHAnsi" w:eastAsiaTheme="minorEastAsia" w:hAnsiTheme="minorHAnsi"/>
              <w:b w:val="0"/>
              <w:color w:val="auto"/>
              <w:sz w:val="22"/>
              <w:lang w:val="en-AU" w:eastAsia="en-AU"/>
            </w:rPr>
          </w:pPr>
          <w:hyperlink w:anchor="_Toc451284538" w:history="1">
            <w:r w:rsidR="00BB6547" w:rsidRPr="00ED7427">
              <w:rPr>
                <w:rStyle w:val="Hyperlink"/>
              </w:rPr>
              <w:t>Contents</w:t>
            </w:r>
            <w:r w:rsidR="00BB6547">
              <w:rPr>
                <w:webHidden/>
              </w:rPr>
              <w:tab/>
            </w:r>
            <w:r w:rsidR="00BB6547">
              <w:rPr>
                <w:webHidden/>
              </w:rPr>
              <w:fldChar w:fldCharType="begin"/>
            </w:r>
            <w:r w:rsidR="00BB6547">
              <w:rPr>
                <w:webHidden/>
              </w:rPr>
              <w:instrText xml:space="preserve"> PAGEREF _Toc451284538 \h </w:instrText>
            </w:r>
            <w:r w:rsidR="00BB6547">
              <w:rPr>
                <w:webHidden/>
              </w:rPr>
            </w:r>
            <w:r w:rsidR="00BB6547">
              <w:rPr>
                <w:webHidden/>
              </w:rPr>
              <w:fldChar w:fldCharType="separate"/>
            </w:r>
            <w:r w:rsidR="00BB6547">
              <w:rPr>
                <w:webHidden/>
              </w:rPr>
              <w:t>2-3</w:t>
            </w:r>
            <w:r w:rsidR="00BB6547">
              <w:rPr>
                <w:webHidden/>
              </w:rPr>
              <w:fldChar w:fldCharType="end"/>
            </w:r>
          </w:hyperlink>
        </w:p>
        <w:p w:rsidR="00BB6547" w:rsidRDefault="00826BBA">
          <w:pPr>
            <w:pStyle w:val="TOC1"/>
            <w:rPr>
              <w:rFonts w:asciiTheme="minorHAnsi" w:eastAsiaTheme="minorEastAsia" w:hAnsiTheme="minorHAnsi"/>
              <w:b w:val="0"/>
              <w:color w:val="auto"/>
              <w:sz w:val="22"/>
              <w:lang w:val="en-AU" w:eastAsia="en-AU"/>
            </w:rPr>
          </w:pPr>
          <w:hyperlink w:anchor="_Toc451284539" w:history="1">
            <w:r w:rsidR="00BB6547" w:rsidRPr="00ED7427">
              <w:rPr>
                <w:rStyle w:val="Hyperlink"/>
              </w:rPr>
              <w:t>Shortened forms</w:t>
            </w:r>
            <w:r w:rsidR="00BB6547">
              <w:rPr>
                <w:webHidden/>
              </w:rPr>
              <w:tab/>
            </w:r>
            <w:r w:rsidR="00BB6547">
              <w:rPr>
                <w:webHidden/>
              </w:rPr>
              <w:fldChar w:fldCharType="begin"/>
            </w:r>
            <w:r w:rsidR="00BB6547">
              <w:rPr>
                <w:webHidden/>
              </w:rPr>
              <w:instrText xml:space="preserve"> PAGEREF _Toc451284539 \h </w:instrText>
            </w:r>
            <w:r w:rsidR="00BB6547">
              <w:rPr>
                <w:webHidden/>
              </w:rPr>
            </w:r>
            <w:r w:rsidR="00BB6547">
              <w:rPr>
                <w:webHidden/>
              </w:rPr>
              <w:fldChar w:fldCharType="separate"/>
            </w:r>
            <w:r w:rsidR="00BB6547">
              <w:rPr>
                <w:webHidden/>
              </w:rPr>
              <w:t>2-4</w:t>
            </w:r>
            <w:r w:rsidR="00BB6547">
              <w:rPr>
                <w:webHidden/>
              </w:rPr>
              <w:fldChar w:fldCharType="end"/>
            </w:r>
          </w:hyperlink>
        </w:p>
        <w:p w:rsidR="00BB6547" w:rsidRDefault="00826BBA">
          <w:pPr>
            <w:pStyle w:val="TOC1"/>
            <w:rPr>
              <w:rFonts w:asciiTheme="minorHAnsi" w:eastAsiaTheme="minorEastAsia" w:hAnsiTheme="minorHAnsi"/>
              <w:b w:val="0"/>
              <w:color w:val="auto"/>
              <w:sz w:val="22"/>
              <w:lang w:val="en-AU" w:eastAsia="en-AU"/>
            </w:rPr>
          </w:pPr>
          <w:hyperlink w:anchor="_Toc451284540" w:history="1">
            <w:r w:rsidR="00BB6547" w:rsidRPr="00ED7427">
              <w:rPr>
                <w:rStyle w:val="Hyperlink"/>
              </w:rPr>
              <w:t>2</w:t>
            </w:r>
            <w:r w:rsidR="00BB6547">
              <w:rPr>
                <w:rFonts w:asciiTheme="minorHAnsi" w:eastAsiaTheme="minorEastAsia" w:hAnsiTheme="minorHAnsi"/>
                <w:b w:val="0"/>
                <w:color w:val="auto"/>
                <w:sz w:val="22"/>
                <w:lang w:val="en-AU" w:eastAsia="en-AU"/>
              </w:rPr>
              <w:tab/>
            </w:r>
            <w:r w:rsidR="00BB6547" w:rsidRPr="00ED7427">
              <w:rPr>
                <w:rStyle w:val="Hyperlink"/>
              </w:rPr>
              <w:t>Regulatory asset base</w:t>
            </w:r>
            <w:r w:rsidR="00BB6547">
              <w:rPr>
                <w:webHidden/>
              </w:rPr>
              <w:tab/>
            </w:r>
            <w:r w:rsidR="00BB6547">
              <w:rPr>
                <w:webHidden/>
              </w:rPr>
              <w:fldChar w:fldCharType="begin"/>
            </w:r>
            <w:r w:rsidR="00BB6547">
              <w:rPr>
                <w:webHidden/>
              </w:rPr>
              <w:instrText xml:space="preserve"> PAGEREF _Toc451284540 \h </w:instrText>
            </w:r>
            <w:r w:rsidR="00BB6547">
              <w:rPr>
                <w:webHidden/>
              </w:rPr>
            </w:r>
            <w:r w:rsidR="00BB6547">
              <w:rPr>
                <w:webHidden/>
              </w:rPr>
              <w:fldChar w:fldCharType="separate"/>
            </w:r>
            <w:r w:rsidR="00BB6547">
              <w:rPr>
                <w:webHidden/>
              </w:rPr>
              <w:t>2-6</w:t>
            </w:r>
            <w:r w:rsidR="00BB6547">
              <w:rPr>
                <w:webHidden/>
              </w:rPr>
              <w:fldChar w:fldCharType="end"/>
            </w:r>
          </w:hyperlink>
        </w:p>
        <w:p w:rsidR="00BB6547" w:rsidRDefault="00826BBA">
          <w:pPr>
            <w:pStyle w:val="TOC2"/>
            <w:rPr>
              <w:rFonts w:asciiTheme="minorHAnsi" w:eastAsiaTheme="minorEastAsia" w:hAnsiTheme="minorHAnsi"/>
              <w:b w:val="0"/>
              <w:color w:val="auto"/>
              <w:sz w:val="22"/>
              <w:lang w:eastAsia="en-AU"/>
            </w:rPr>
          </w:pPr>
          <w:hyperlink w:anchor="_Toc451284541" w:history="1">
            <w:r w:rsidR="00BB6547" w:rsidRPr="00ED7427">
              <w:rPr>
                <w:rStyle w:val="Hyperlink"/>
              </w:rPr>
              <w:t>2.1</w:t>
            </w:r>
            <w:r w:rsidR="00BB6547">
              <w:rPr>
                <w:rFonts w:asciiTheme="minorHAnsi" w:eastAsiaTheme="minorEastAsia" w:hAnsiTheme="minorHAnsi"/>
                <w:b w:val="0"/>
                <w:color w:val="auto"/>
                <w:sz w:val="22"/>
                <w:lang w:eastAsia="en-AU"/>
              </w:rPr>
              <w:tab/>
            </w:r>
            <w:r w:rsidR="00BB6547" w:rsidRPr="00ED7427">
              <w:rPr>
                <w:rStyle w:val="Hyperlink"/>
              </w:rPr>
              <w:t>Final decision</w:t>
            </w:r>
            <w:r w:rsidR="00BB6547">
              <w:rPr>
                <w:webHidden/>
              </w:rPr>
              <w:tab/>
            </w:r>
            <w:r w:rsidR="00BB6547">
              <w:rPr>
                <w:webHidden/>
              </w:rPr>
              <w:fldChar w:fldCharType="begin"/>
            </w:r>
            <w:r w:rsidR="00BB6547">
              <w:rPr>
                <w:webHidden/>
              </w:rPr>
              <w:instrText xml:space="preserve"> PAGEREF _Toc451284541 \h </w:instrText>
            </w:r>
            <w:r w:rsidR="00BB6547">
              <w:rPr>
                <w:webHidden/>
              </w:rPr>
            </w:r>
            <w:r w:rsidR="00BB6547">
              <w:rPr>
                <w:webHidden/>
              </w:rPr>
              <w:fldChar w:fldCharType="separate"/>
            </w:r>
            <w:r w:rsidR="00BB6547">
              <w:rPr>
                <w:webHidden/>
              </w:rPr>
              <w:t>2-6</w:t>
            </w:r>
            <w:r w:rsidR="00BB6547">
              <w:rPr>
                <w:webHidden/>
              </w:rPr>
              <w:fldChar w:fldCharType="end"/>
            </w:r>
          </w:hyperlink>
        </w:p>
        <w:p w:rsidR="00BB6547" w:rsidRDefault="00826BBA">
          <w:pPr>
            <w:pStyle w:val="TOC2"/>
            <w:rPr>
              <w:rFonts w:asciiTheme="minorHAnsi" w:eastAsiaTheme="minorEastAsia" w:hAnsiTheme="minorHAnsi"/>
              <w:b w:val="0"/>
              <w:color w:val="auto"/>
              <w:sz w:val="22"/>
              <w:lang w:eastAsia="en-AU"/>
            </w:rPr>
          </w:pPr>
          <w:hyperlink w:anchor="_Toc451284542" w:history="1">
            <w:r w:rsidR="00BB6547" w:rsidRPr="00ED7427">
              <w:rPr>
                <w:rStyle w:val="Hyperlink"/>
              </w:rPr>
              <w:t>2.2</w:t>
            </w:r>
            <w:r w:rsidR="00BB6547">
              <w:rPr>
                <w:rFonts w:asciiTheme="minorHAnsi" w:eastAsiaTheme="minorEastAsia" w:hAnsiTheme="minorHAnsi"/>
                <w:b w:val="0"/>
                <w:color w:val="auto"/>
                <w:sz w:val="22"/>
                <w:lang w:eastAsia="en-AU"/>
              </w:rPr>
              <w:tab/>
            </w:r>
            <w:r w:rsidR="00BB6547" w:rsidRPr="00ED7427">
              <w:rPr>
                <w:rStyle w:val="Hyperlink"/>
              </w:rPr>
              <w:t>Powercor's revised proposal</w:t>
            </w:r>
            <w:r w:rsidR="00BB6547">
              <w:rPr>
                <w:webHidden/>
              </w:rPr>
              <w:tab/>
            </w:r>
            <w:r w:rsidR="00BB6547">
              <w:rPr>
                <w:webHidden/>
              </w:rPr>
              <w:fldChar w:fldCharType="begin"/>
            </w:r>
            <w:r w:rsidR="00BB6547">
              <w:rPr>
                <w:webHidden/>
              </w:rPr>
              <w:instrText xml:space="preserve"> PAGEREF _Toc451284542 \h </w:instrText>
            </w:r>
            <w:r w:rsidR="00BB6547">
              <w:rPr>
                <w:webHidden/>
              </w:rPr>
            </w:r>
            <w:r w:rsidR="00BB6547">
              <w:rPr>
                <w:webHidden/>
              </w:rPr>
              <w:fldChar w:fldCharType="separate"/>
            </w:r>
            <w:r w:rsidR="00BB6547">
              <w:rPr>
                <w:webHidden/>
              </w:rPr>
              <w:t>2-7</w:t>
            </w:r>
            <w:r w:rsidR="00BB6547">
              <w:rPr>
                <w:webHidden/>
              </w:rPr>
              <w:fldChar w:fldCharType="end"/>
            </w:r>
          </w:hyperlink>
        </w:p>
        <w:p w:rsidR="00BB6547" w:rsidRDefault="00826BBA">
          <w:pPr>
            <w:pStyle w:val="TOC2"/>
            <w:rPr>
              <w:rFonts w:asciiTheme="minorHAnsi" w:eastAsiaTheme="minorEastAsia" w:hAnsiTheme="minorHAnsi"/>
              <w:b w:val="0"/>
              <w:color w:val="auto"/>
              <w:sz w:val="22"/>
              <w:lang w:eastAsia="en-AU"/>
            </w:rPr>
          </w:pPr>
          <w:hyperlink w:anchor="_Toc451284543" w:history="1">
            <w:r w:rsidR="00BB6547" w:rsidRPr="00ED7427">
              <w:rPr>
                <w:rStyle w:val="Hyperlink"/>
              </w:rPr>
              <w:t>2.3</w:t>
            </w:r>
            <w:r w:rsidR="00BB6547">
              <w:rPr>
                <w:rFonts w:asciiTheme="minorHAnsi" w:eastAsiaTheme="minorEastAsia" w:hAnsiTheme="minorHAnsi"/>
                <w:b w:val="0"/>
                <w:color w:val="auto"/>
                <w:sz w:val="22"/>
                <w:lang w:eastAsia="en-AU"/>
              </w:rPr>
              <w:tab/>
            </w:r>
            <w:r w:rsidR="00BB6547" w:rsidRPr="00ED7427">
              <w:rPr>
                <w:rStyle w:val="Hyperlink"/>
              </w:rPr>
              <w:t>Assessment approach</w:t>
            </w:r>
            <w:r w:rsidR="00BB6547">
              <w:rPr>
                <w:webHidden/>
              </w:rPr>
              <w:tab/>
            </w:r>
            <w:r w:rsidR="00BB6547">
              <w:rPr>
                <w:webHidden/>
              </w:rPr>
              <w:fldChar w:fldCharType="begin"/>
            </w:r>
            <w:r w:rsidR="00BB6547">
              <w:rPr>
                <w:webHidden/>
              </w:rPr>
              <w:instrText xml:space="preserve"> PAGEREF _Toc451284543 \h </w:instrText>
            </w:r>
            <w:r w:rsidR="00BB6547">
              <w:rPr>
                <w:webHidden/>
              </w:rPr>
            </w:r>
            <w:r w:rsidR="00BB6547">
              <w:rPr>
                <w:webHidden/>
              </w:rPr>
              <w:fldChar w:fldCharType="separate"/>
            </w:r>
            <w:r w:rsidR="00BB6547">
              <w:rPr>
                <w:webHidden/>
              </w:rPr>
              <w:t>2-9</w:t>
            </w:r>
            <w:r w:rsidR="00BB6547">
              <w:rPr>
                <w:webHidden/>
              </w:rPr>
              <w:fldChar w:fldCharType="end"/>
            </w:r>
          </w:hyperlink>
        </w:p>
        <w:p w:rsidR="00BB6547" w:rsidRDefault="00826BBA">
          <w:pPr>
            <w:pStyle w:val="TOC2"/>
            <w:rPr>
              <w:rFonts w:asciiTheme="minorHAnsi" w:eastAsiaTheme="minorEastAsia" w:hAnsiTheme="minorHAnsi"/>
              <w:b w:val="0"/>
              <w:color w:val="auto"/>
              <w:sz w:val="22"/>
              <w:lang w:eastAsia="en-AU"/>
            </w:rPr>
          </w:pPr>
          <w:hyperlink w:anchor="_Toc451284544" w:history="1">
            <w:r w:rsidR="00BB6547" w:rsidRPr="00ED7427">
              <w:rPr>
                <w:rStyle w:val="Hyperlink"/>
              </w:rPr>
              <w:t>2.4</w:t>
            </w:r>
            <w:r w:rsidR="00BB6547">
              <w:rPr>
                <w:rFonts w:asciiTheme="minorHAnsi" w:eastAsiaTheme="minorEastAsia" w:hAnsiTheme="minorHAnsi"/>
                <w:b w:val="0"/>
                <w:color w:val="auto"/>
                <w:sz w:val="22"/>
                <w:lang w:eastAsia="en-AU"/>
              </w:rPr>
              <w:tab/>
            </w:r>
            <w:r w:rsidR="00BB6547" w:rsidRPr="00ED7427">
              <w:rPr>
                <w:rStyle w:val="Hyperlink"/>
              </w:rPr>
              <w:t>Reasons for final decision</w:t>
            </w:r>
            <w:r w:rsidR="00BB6547">
              <w:rPr>
                <w:webHidden/>
              </w:rPr>
              <w:tab/>
            </w:r>
            <w:r w:rsidR="00BB6547">
              <w:rPr>
                <w:webHidden/>
              </w:rPr>
              <w:fldChar w:fldCharType="begin"/>
            </w:r>
            <w:r w:rsidR="00BB6547">
              <w:rPr>
                <w:webHidden/>
              </w:rPr>
              <w:instrText xml:space="preserve"> PAGEREF _Toc451284544 \h </w:instrText>
            </w:r>
            <w:r w:rsidR="00BB6547">
              <w:rPr>
                <w:webHidden/>
              </w:rPr>
            </w:r>
            <w:r w:rsidR="00BB6547">
              <w:rPr>
                <w:webHidden/>
              </w:rPr>
              <w:fldChar w:fldCharType="separate"/>
            </w:r>
            <w:r w:rsidR="00BB6547">
              <w:rPr>
                <w:webHidden/>
              </w:rPr>
              <w:t>2-9</w:t>
            </w:r>
            <w:r w:rsidR="00BB6547">
              <w:rPr>
                <w:webHidden/>
              </w:rPr>
              <w:fldChar w:fldCharType="end"/>
            </w:r>
          </w:hyperlink>
        </w:p>
        <w:p w:rsidR="00BB6547" w:rsidRDefault="00826BBA">
          <w:pPr>
            <w:pStyle w:val="TOC3"/>
            <w:rPr>
              <w:rFonts w:asciiTheme="minorHAnsi" w:eastAsiaTheme="minorEastAsia" w:hAnsiTheme="minorHAnsi"/>
              <w:lang w:eastAsia="en-AU"/>
            </w:rPr>
          </w:pPr>
          <w:hyperlink w:anchor="_Toc451284545" w:history="1">
            <w:r w:rsidR="00BB6547" w:rsidRPr="00ED7427">
              <w:rPr>
                <w:rStyle w:val="Hyperlink"/>
              </w:rPr>
              <w:t>2.4.1</w:t>
            </w:r>
            <w:r w:rsidR="00BB6547">
              <w:rPr>
                <w:rFonts w:asciiTheme="minorHAnsi" w:eastAsiaTheme="minorEastAsia" w:hAnsiTheme="minorHAnsi"/>
                <w:lang w:eastAsia="en-AU"/>
              </w:rPr>
              <w:tab/>
            </w:r>
            <w:r w:rsidR="00BB6547" w:rsidRPr="00ED7427">
              <w:rPr>
                <w:rStyle w:val="Hyperlink"/>
              </w:rPr>
              <w:t>Opening RAB as at 1 January 2016</w:t>
            </w:r>
            <w:r w:rsidR="00BB6547">
              <w:rPr>
                <w:webHidden/>
              </w:rPr>
              <w:tab/>
            </w:r>
            <w:r w:rsidR="00BB6547">
              <w:rPr>
                <w:webHidden/>
              </w:rPr>
              <w:fldChar w:fldCharType="begin"/>
            </w:r>
            <w:r w:rsidR="00BB6547">
              <w:rPr>
                <w:webHidden/>
              </w:rPr>
              <w:instrText xml:space="preserve"> PAGEREF _Toc451284545 \h </w:instrText>
            </w:r>
            <w:r w:rsidR="00BB6547">
              <w:rPr>
                <w:webHidden/>
              </w:rPr>
            </w:r>
            <w:r w:rsidR="00BB6547">
              <w:rPr>
                <w:webHidden/>
              </w:rPr>
              <w:fldChar w:fldCharType="separate"/>
            </w:r>
            <w:r w:rsidR="00BB6547">
              <w:rPr>
                <w:webHidden/>
              </w:rPr>
              <w:t>2-9</w:t>
            </w:r>
            <w:r w:rsidR="00BB6547">
              <w:rPr>
                <w:webHidden/>
              </w:rPr>
              <w:fldChar w:fldCharType="end"/>
            </w:r>
          </w:hyperlink>
        </w:p>
        <w:p w:rsidR="00BB6547" w:rsidRDefault="00826BBA">
          <w:pPr>
            <w:pStyle w:val="TOC3"/>
            <w:rPr>
              <w:rFonts w:asciiTheme="minorHAnsi" w:eastAsiaTheme="minorEastAsia" w:hAnsiTheme="minorHAnsi"/>
              <w:lang w:eastAsia="en-AU"/>
            </w:rPr>
          </w:pPr>
          <w:hyperlink w:anchor="_Toc451284546" w:history="1">
            <w:r w:rsidR="00BB6547" w:rsidRPr="00ED7427">
              <w:rPr>
                <w:rStyle w:val="Hyperlink"/>
              </w:rPr>
              <w:t>2.4.2</w:t>
            </w:r>
            <w:r w:rsidR="00BB6547">
              <w:rPr>
                <w:rFonts w:asciiTheme="minorHAnsi" w:eastAsiaTheme="minorEastAsia" w:hAnsiTheme="minorHAnsi"/>
                <w:lang w:eastAsia="en-AU"/>
              </w:rPr>
              <w:tab/>
            </w:r>
            <w:r w:rsidR="00BB6547" w:rsidRPr="00ED7427">
              <w:rPr>
                <w:rStyle w:val="Hyperlink"/>
              </w:rPr>
              <w:t>Forecast closing RAB as at 31 December 2020</w:t>
            </w:r>
            <w:r w:rsidR="00BB6547">
              <w:rPr>
                <w:webHidden/>
              </w:rPr>
              <w:tab/>
            </w:r>
            <w:r w:rsidR="00BB6547">
              <w:rPr>
                <w:webHidden/>
              </w:rPr>
              <w:fldChar w:fldCharType="begin"/>
            </w:r>
            <w:r w:rsidR="00BB6547">
              <w:rPr>
                <w:webHidden/>
              </w:rPr>
              <w:instrText xml:space="preserve"> PAGEREF _Toc451284546 \h </w:instrText>
            </w:r>
            <w:r w:rsidR="00BB6547">
              <w:rPr>
                <w:webHidden/>
              </w:rPr>
            </w:r>
            <w:r w:rsidR="00BB6547">
              <w:rPr>
                <w:webHidden/>
              </w:rPr>
              <w:fldChar w:fldCharType="separate"/>
            </w:r>
            <w:r w:rsidR="00BB6547">
              <w:rPr>
                <w:webHidden/>
              </w:rPr>
              <w:t>2-12</w:t>
            </w:r>
            <w:r w:rsidR="00BB6547">
              <w:rPr>
                <w:webHidden/>
              </w:rPr>
              <w:fldChar w:fldCharType="end"/>
            </w:r>
          </w:hyperlink>
        </w:p>
        <w:p w:rsidR="00BB6547" w:rsidRDefault="00826BBA">
          <w:pPr>
            <w:pStyle w:val="TOC3"/>
            <w:rPr>
              <w:rFonts w:asciiTheme="minorHAnsi" w:eastAsiaTheme="minorEastAsia" w:hAnsiTheme="minorHAnsi"/>
              <w:lang w:eastAsia="en-AU"/>
            </w:rPr>
          </w:pPr>
          <w:hyperlink w:anchor="_Toc451284547" w:history="1">
            <w:r w:rsidR="00BB6547" w:rsidRPr="00ED7427">
              <w:rPr>
                <w:rStyle w:val="Hyperlink"/>
              </w:rPr>
              <w:t>2.4.3</w:t>
            </w:r>
            <w:r w:rsidR="00BB6547">
              <w:rPr>
                <w:rFonts w:asciiTheme="minorHAnsi" w:eastAsiaTheme="minorEastAsia" w:hAnsiTheme="minorHAnsi"/>
                <w:lang w:eastAsia="en-AU"/>
              </w:rPr>
              <w:tab/>
            </w:r>
            <w:r w:rsidR="00BB6547" w:rsidRPr="00ED7427">
              <w:rPr>
                <w:rStyle w:val="Hyperlink"/>
              </w:rPr>
              <w:t>Application of depreciation approach in RAB roll forward for next reset</w:t>
            </w:r>
            <w:r w:rsidR="00BB6547">
              <w:rPr>
                <w:webHidden/>
              </w:rPr>
              <w:tab/>
            </w:r>
            <w:r w:rsidR="00BB6547">
              <w:rPr>
                <w:webHidden/>
              </w:rPr>
              <w:tab/>
            </w:r>
            <w:r w:rsidR="00BB6547">
              <w:rPr>
                <w:webHidden/>
              </w:rPr>
              <w:fldChar w:fldCharType="begin"/>
            </w:r>
            <w:r w:rsidR="00BB6547">
              <w:rPr>
                <w:webHidden/>
              </w:rPr>
              <w:instrText xml:space="preserve"> PAGEREF _Toc451284547 \h </w:instrText>
            </w:r>
            <w:r w:rsidR="00BB6547">
              <w:rPr>
                <w:webHidden/>
              </w:rPr>
            </w:r>
            <w:r w:rsidR="00BB6547">
              <w:rPr>
                <w:webHidden/>
              </w:rPr>
              <w:fldChar w:fldCharType="separate"/>
            </w:r>
            <w:r w:rsidR="00BB6547">
              <w:rPr>
                <w:webHidden/>
              </w:rPr>
              <w:t>2-13</w:t>
            </w:r>
            <w:r w:rsidR="00BB6547">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4539"/>
      <w:r>
        <w:lastRenderedPageBreak/>
        <w:t>Shortened forms</w:t>
      </w:r>
      <w:bookmarkEnd w:id="11"/>
      <w:bookmarkEnd w:id="12"/>
    </w:p>
    <w:tbl>
      <w:tblPr>
        <w:tblStyle w:val="AERtable-text0"/>
        <w:tblW w:w="0" w:type="auto"/>
        <w:tblLook w:val="04A0" w:firstRow="1" w:lastRow="0" w:firstColumn="1" w:lastColumn="0" w:noHBand="0" w:noVBand="1"/>
      </w:tblPr>
      <w:tblGrid>
        <w:gridCol w:w="3369"/>
        <w:gridCol w:w="5324"/>
      </w:tblGrid>
      <w:tr w:rsidR="0053603C" w:rsidRPr="0087648F" w:rsidTr="00E95AF4">
        <w:trPr>
          <w:cnfStyle w:val="100000000000" w:firstRow="1" w:lastRow="0" w:firstColumn="0" w:lastColumn="0" w:oddVBand="0" w:evenVBand="0" w:oddHBand="0" w:evenHBand="0" w:firstRowFirstColumn="0" w:firstRowLastColumn="0" w:lastRowFirstColumn="0" w:lastRowLastColumn="0"/>
          <w:tblHeader/>
        </w:trPr>
        <w:tc>
          <w:tcPr>
            <w:tcW w:w="3369" w:type="dxa"/>
          </w:tcPr>
          <w:p w:rsidR="0053603C" w:rsidRPr="0087648F" w:rsidRDefault="0087648F" w:rsidP="0087648F">
            <w:r>
              <w:t>Shortened form</w:t>
            </w:r>
          </w:p>
        </w:tc>
        <w:tc>
          <w:tcPr>
            <w:tcW w:w="5324" w:type="dxa"/>
          </w:tcPr>
          <w:p w:rsidR="0053603C" w:rsidRPr="0087648F" w:rsidRDefault="0087648F" w:rsidP="0087648F">
            <w:r>
              <w:t>Extended form</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AEMC</w:t>
            </w:r>
          </w:p>
        </w:tc>
        <w:tc>
          <w:tcPr>
            <w:tcW w:w="5324"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AEMO</w:t>
            </w:r>
          </w:p>
        </w:tc>
        <w:tc>
          <w:tcPr>
            <w:tcW w:w="5324"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AER</w:t>
            </w:r>
          </w:p>
        </w:tc>
        <w:tc>
          <w:tcPr>
            <w:tcW w:w="5324"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0F0F0A" w:rsidRPr="00712239" w:rsidRDefault="000F0F0A" w:rsidP="004523B2">
            <w:pPr>
              <w:pStyle w:val="AERtabletextleft"/>
              <w:rPr>
                <w:rStyle w:val="AERtextsize8"/>
              </w:rPr>
            </w:pPr>
            <w:r>
              <w:rPr>
                <w:rStyle w:val="AERtextsize8"/>
              </w:rPr>
              <w:t>AMI</w:t>
            </w:r>
          </w:p>
        </w:tc>
        <w:tc>
          <w:tcPr>
            <w:tcW w:w="5324" w:type="dxa"/>
          </w:tcPr>
          <w:p w:rsidR="000F0F0A" w:rsidRPr="00712239" w:rsidRDefault="000F0F0A" w:rsidP="004523B2">
            <w:pPr>
              <w:pStyle w:val="AERtabletextleft"/>
              <w:rPr>
                <w:rStyle w:val="AERtextsize8"/>
              </w:rPr>
            </w:pPr>
            <w:r>
              <w:rPr>
                <w:rStyle w:val="AERtextsize8"/>
              </w:rPr>
              <w:t>Advanced metering infrastructure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augex</w:t>
            </w:r>
          </w:p>
        </w:tc>
        <w:tc>
          <w:tcPr>
            <w:tcW w:w="5324"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capex</w:t>
            </w:r>
          </w:p>
        </w:tc>
        <w:tc>
          <w:tcPr>
            <w:tcW w:w="5324"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CCP</w:t>
            </w:r>
          </w:p>
        </w:tc>
        <w:tc>
          <w:tcPr>
            <w:tcW w:w="5324"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CESS</w:t>
            </w:r>
          </w:p>
        </w:tc>
        <w:tc>
          <w:tcPr>
            <w:tcW w:w="5324"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CPI</w:t>
            </w:r>
          </w:p>
        </w:tc>
        <w:tc>
          <w:tcPr>
            <w:tcW w:w="5324"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DRP</w:t>
            </w:r>
          </w:p>
        </w:tc>
        <w:tc>
          <w:tcPr>
            <w:tcW w:w="5324"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DMIA</w:t>
            </w:r>
          </w:p>
        </w:tc>
        <w:tc>
          <w:tcPr>
            <w:tcW w:w="5324"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DMIS</w:t>
            </w:r>
          </w:p>
        </w:tc>
        <w:tc>
          <w:tcPr>
            <w:tcW w:w="5324"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distributor</w:t>
            </w:r>
          </w:p>
        </w:tc>
        <w:tc>
          <w:tcPr>
            <w:tcW w:w="5324"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DUoS</w:t>
            </w:r>
          </w:p>
        </w:tc>
        <w:tc>
          <w:tcPr>
            <w:tcW w:w="5324"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EBSS</w:t>
            </w:r>
          </w:p>
        </w:tc>
        <w:tc>
          <w:tcPr>
            <w:tcW w:w="5324"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ERP</w:t>
            </w:r>
          </w:p>
        </w:tc>
        <w:tc>
          <w:tcPr>
            <w:tcW w:w="5324"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324"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F&amp;A</w:t>
            </w:r>
          </w:p>
        </w:tc>
        <w:tc>
          <w:tcPr>
            <w:tcW w:w="5324"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MRP</w:t>
            </w:r>
          </w:p>
        </w:tc>
        <w:tc>
          <w:tcPr>
            <w:tcW w:w="5324"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NEL</w:t>
            </w:r>
          </w:p>
        </w:tc>
        <w:tc>
          <w:tcPr>
            <w:tcW w:w="5324"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NEM</w:t>
            </w:r>
          </w:p>
        </w:tc>
        <w:tc>
          <w:tcPr>
            <w:tcW w:w="5324"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NEO</w:t>
            </w:r>
          </w:p>
        </w:tc>
        <w:tc>
          <w:tcPr>
            <w:tcW w:w="5324"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NER</w:t>
            </w:r>
          </w:p>
        </w:tc>
        <w:tc>
          <w:tcPr>
            <w:tcW w:w="5324"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NSP</w:t>
            </w:r>
          </w:p>
        </w:tc>
        <w:tc>
          <w:tcPr>
            <w:tcW w:w="5324"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opex</w:t>
            </w:r>
          </w:p>
        </w:tc>
        <w:tc>
          <w:tcPr>
            <w:tcW w:w="5324"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PPI</w:t>
            </w:r>
          </w:p>
        </w:tc>
        <w:tc>
          <w:tcPr>
            <w:tcW w:w="5324"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PTRM</w:t>
            </w:r>
          </w:p>
        </w:tc>
        <w:tc>
          <w:tcPr>
            <w:tcW w:w="5324"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RAB</w:t>
            </w:r>
          </w:p>
        </w:tc>
        <w:tc>
          <w:tcPr>
            <w:tcW w:w="5324"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RBA</w:t>
            </w:r>
          </w:p>
        </w:tc>
        <w:tc>
          <w:tcPr>
            <w:tcW w:w="5324"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repex</w:t>
            </w:r>
          </w:p>
        </w:tc>
        <w:tc>
          <w:tcPr>
            <w:tcW w:w="5324"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lastRenderedPageBreak/>
              <w:t>RFM</w:t>
            </w:r>
          </w:p>
        </w:tc>
        <w:tc>
          <w:tcPr>
            <w:tcW w:w="5324"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RIN</w:t>
            </w:r>
          </w:p>
        </w:tc>
        <w:tc>
          <w:tcPr>
            <w:tcW w:w="5324"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RPP</w:t>
            </w:r>
          </w:p>
        </w:tc>
        <w:tc>
          <w:tcPr>
            <w:tcW w:w="5324"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SAIDI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SAIFI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SLCAPM</w:t>
            </w:r>
          </w:p>
        </w:tc>
        <w:tc>
          <w:tcPr>
            <w:tcW w:w="5324"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E95AF4">
        <w:tc>
          <w:tcPr>
            <w:tcW w:w="3369" w:type="dxa"/>
          </w:tcPr>
          <w:p w:rsidR="004523B2" w:rsidRPr="004523B2" w:rsidRDefault="004523B2" w:rsidP="004523B2">
            <w:pPr>
              <w:pStyle w:val="AERtabletextleft"/>
              <w:rPr>
                <w:rStyle w:val="AERtextsize8"/>
              </w:rPr>
            </w:pPr>
            <w:r w:rsidRPr="00712239">
              <w:rPr>
                <w:rStyle w:val="AERtextsize8"/>
              </w:rPr>
              <w:t>STPIS</w:t>
            </w:r>
          </w:p>
        </w:tc>
        <w:tc>
          <w:tcPr>
            <w:tcW w:w="5324"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E95AF4">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WACC</w:t>
            </w:r>
          </w:p>
        </w:tc>
        <w:tc>
          <w:tcPr>
            <w:tcW w:w="5324"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F2346" w:rsidP="003F23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454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CB622D" w:rsidRPr="00132D43" w:rsidRDefault="00CB622D" w:rsidP="00CB622D">
      <w:r w:rsidRPr="009D678A">
        <w:t xml:space="preserve">We are required to make a decision on </w:t>
      </w:r>
      <w:r w:rsidR="00B47C99">
        <w:t>Powercor</w:t>
      </w:r>
      <w:r w:rsidRPr="009D678A">
        <w:t>'s opening regulatory asset base (RAB) as at 1 January 2016.</w:t>
      </w:r>
      <w:r>
        <w:rPr>
          <w:rStyle w:val="FootnoteReference"/>
        </w:rPr>
        <w:footnoteReference w:id="1"/>
      </w:r>
      <w:r w:rsidRPr="009D678A">
        <w:t xml:space="preserve">  We use the RAB at the start of each regulatory year to determine the return of capital (regulatory depreciation) and return on capital building block allowances. This attachment presents our </w:t>
      </w:r>
      <w:r>
        <w:t>final</w:t>
      </w:r>
      <w:r w:rsidRPr="009D678A">
        <w:t xml:space="preserve"> decision on the opening RAB value as at 1 January 2016 for </w:t>
      </w:r>
      <w:r w:rsidR="00B47C99">
        <w:t>Powercor</w:t>
      </w:r>
      <w:r w:rsidRPr="009D678A">
        <w:t xml:space="preserve"> and roll forward of the forecast RAB over the 2016–20 regulatory control period.</w:t>
      </w:r>
    </w:p>
    <w:p w:rsidR="00132D43" w:rsidRDefault="00DB4E34" w:rsidP="00132D43">
      <w:pPr>
        <w:pStyle w:val="Heading2"/>
      </w:pPr>
      <w:bookmarkStart w:id="72" w:name="_Toc451284541"/>
      <w:r>
        <w:t>Final</w:t>
      </w:r>
      <w:r w:rsidR="00132D43">
        <w:t xml:space="preserve"> decision</w:t>
      </w:r>
      <w:bookmarkEnd w:id="72"/>
    </w:p>
    <w:p w:rsidR="00CB622D" w:rsidRDefault="00CB622D" w:rsidP="00EE6503">
      <w:r>
        <w:t xml:space="preserve">We do not accept </w:t>
      </w:r>
      <w:r w:rsidR="00B47C99">
        <w:t>Powercor</w:t>
      </w:r>
      <w:r>
        <w:t>'s revised proposed opening RAB value of $</w:t>
      </w:r>
      <w:r w:rsidR="00A04FAC">
        <w:t>33</w:t>
      </w:r>
      <w:r w:rsidR="00B47C99">
        <w:t>57</w:t>
      </w:r>
      <w:r w:rsidR="00A04FAC">
        <w:t>.</w:t>
      </w:r>
      <w:r w:rsidR="00B47C99">
        <w:t>6</w:t>
      </w:r>
      <w:r>
        <w:t xml:space="preserve"> million ($ nominal). Instead, we determine an opening RAB value </w:t>
      </w:r>
      <w:r w:rsidRPr="00EE6503">
        <w:t>of $</w:t>
      </w:r>
      <w:r w:rsidR="00A04FAC" w:rsidRPr="00EE6503">
        <w:t>3307.0</w:t>
      </w:r>
      <w:r w:rsidRPr="00EE6503">
        <w:t xml:space="preserve"> million ($ nominal) as at 1 January 2016. This is a decrease of $</w:t>
      </w:r>
      <w:r w:rsidR="00B47C99" w:rsidRPr="00EE6503">
        <w:t xml:space="preserve">50.6 </w:t>
      </w:r>
      <w:r w:rsidRPr="00EE6503">
        <w:t xml:space="preserve">million (or </w:t>
      </w:r>
      <w:r w:rsidR="00A04FAC" w:rsidRPr="00EE6503">
        <w:t>1</w:t>
      </w:r>
      <w:r w:rsidRPr="00EE6503">
        <w:t>.</w:t>
      </w:r>
      <w:r w:rsidR="00B47C99" w:rsidRPr="00EE6503">
        <w:t>5</w:t>
      </w:r>
      <w:r w:rsidRPr="00EE6503">
        <w:t> per cent)</w:t>
      </w:r>
      <w:r w:rsidRPr="009D678A">
        <w:t xml:space="preserve"> compared </w:t>
      </w:r>
      <w:r>
        <w:t xml:space="preserve">to </w:t>
      </w:r>
      <w:r w:rsidR="00B47C99">
        <w:t>Powercor</w:t>
      </w:r>
      <w:r w:rsidRPr="009D678A">
        <w:t xml:space="preserve">'s </w:t>
      </w:r>
      <w:r>
        <w:t xml:space="preserve">revised </w:t>
      </w:r>
      <w:r w:rsidRPr="009D678A">
        <w:t xml:space="preserve">proposed opening RAB </w:t>
      </w:r>
      <w:r>
        <w:t>value</w:t>
      </w:r>
      <w:r w:rsidRPr="009D678A">
        <w:t>.</w:t>
      </w:r>
      <w:r>
        <w:t xml:space="preserve"> In coming to this decision:</w:t>
      </w:r>
    </w:p>
    <w:p w:rsidR="00CB622D" w:rsidRDefault="00CB622D" w:rsidP="00CB622D">
      <w:pPr>
        <w:pStyle w:val="AERbulletlistfirststyle"/>
      </w:pPr>
      <w:r>
        <w:t xml:space="preserve">We accept </w:t>
      </w:r>
      <w:r w:rsidR="00B47C99">
        <w:t>Powercor</w:t>
      </w:r>
      <w:r>
        <w:t xml:space="preserve">'s revised proposed approach to RAB indexation using </w:t>
      </w:r>
      <w:r w:rsidRPr="00C44BC0">
        <w:t xml:space="preserve">annual actual </w:t>
      </w:r>
      <w:r>
        <w:t xml:space="preserve">(one-year lagged) </w:t>
      </w:r>
      <w:r w:rsidRPr="00C44BC0">
        <w:t>inflation inputs</w:t>
      </w:r>
      <w:r>
        <w:t>.</w:t>
      </w:r>
    </w:p>
    <w:p w:rsidR="00CB622D" w:rsidRDefault="00CB622D" w:rsidP="00CB622D">
      <w:pPr>
        <w:pStyle w:val="AERbulletlistfirststyle"/>
      </w:pPr>
      <w:r>
        <w:t xml:space="preserve">We updated the 2015 capex estimate with a more recent estimate provided by </w:t>
      </w:r>
      <w:r w:rsidR="00B47C99">
        <w:t>Powercor</w:t>
      </w:r>
      <w:r>
        <w:t>.</w:t>
      </w:r>
    </w:p>
    <w:p w:rsidR="00CB622D" w:rsidRDefault="004A1CEB" w:rsidP="00CB622D">
      <w:r>
        <w:fldChar w:fldCharType="begin"/>
      </w:r>
      <w:r>
        <w:instrText xml:space="preserve"> REF _Ref449615599 \h </w:instrText>
      </w:r>
      <w:r>
        <w:fldChar w:fldCharType="separate"/>
      </w:r>
      <w:r w:rsidR="00BB6547">
        <w:t xml:space="preserve">Table </w:t>
      </w:r>
      <w:r w:rsidR="00BB6547">
        <w:rPr>
          <w:noProof/>
        </w:rPr>
        <w:t>2</w:t>
      </w:r>
      <w:r w:rsidR="00BB6547">
        <w:t>.</w:t>
      </w:r>
      <w:r w:rsidR="00BB6547">
        <w:rPr>
          <w:noProof/>
        </w:rPr>
        <w:t>1</w:t>
      </w:r>
      <w:r>
        <w:fldChar w:fldCharType="end"/>
      </w:r>
      <w:r>
        <w:t xml:space="preserve"> </w:t>
      </w:r>
      <w:r w:rsidR="00CB622D" w:rsidRPr="009D678A">
        <w:t xml:space="preserve">sets out our </w:t>
      </w:r>
      <w:r w:rsidR="00CB622D">
        <w:t>final</w:t>
      </w:r>
      <w:r w:rsidR="00CB622D" w:rsidRPr="009D678A">
        <w:t xml:space="preserve"> decision on the roll forward of the RAB values for the 2011–15 regulatory control period.</w:t>
      </w:r>
    </w:p>
    <w:p w:rsidR="00651040" w:rsidRDefault="00651040" w:rsidP="00EE6503">
      <w:bookmarkStart w:id="73" w:name="_Ref441132885"/>
      <w:r w:rsidRPr="009D678A">
        <w:t xml:space="preserve">We determine a forecast closing RAB value at 31 December 2020 of </w:t>
      </w:r>
      <w:r w:rsidRPr="00EE6503">
        <w:t>$</w:t>
      </w:r>
      <w:r w:rsidR="007F7638" w:rsidRPr="00EE6503">
        <w:t>4519.3</w:t>
      </w:r>
      <w:r w:rsidRPr="00EE6503">
        <w:t> million ($ nominal). This is $</w:t>
      </w:r>
      <w:r w:rsidR="007F7638" w:rsidRPr="00EE6503">
        <w:t>270.4</w:t>
      </w:r>
      <w:r w:rsidR="00EE46F1" w:rsidRPr="00EE6503">
        <w:t xml:space="preserve"> </w:t>
      </w:r>
      <w:r w:rsidRPr="00EE6503">
        <w:t xml:space="preserve">million (or </w:t>
      </w:r>
      <w:r w:rsidR="007F7638" w:rsidRPr="00EE6503">
        <w:t>5.6</w:t>
      </w:r>
      <w:r w:rsidRPr="00EE6503">
        <w:t> per cent) lower than the amount of $4789.6 million ($ nominal) in Powercor's revised proposal. Our final decision</w:t>
      </w:r>
      <w:r w:rsidRPr="009D678A">
        <w:t xml:space="preserve"> on the forecast closing RAB reflects the amended opening RAB as at 1 January 2016, and our </w:t>
      </w:r>
      <w:r>
        <w:t>final</w:t>
      </w:r>
      <w:r w:rsidRPr="009D678A">
        <w:t xml:space="preserve"> decisions on</w:t>
      </w:r>
      <w:r>
        <w:t xml:space="preserve"> the </w:t>
      </w:r>
      <w:r w:rsidR="00597F51">
        <w:t xml:space="preserve">expected </w:t>
      </w:r>
      <w:r>
        <w:t>inflation rate (attachment 3),</w:t>
      </w:r>
      <w:r w:rsidRPr="009D678A">
        <w:t xml:space="preserve"> forecast capex (attachment 6) and forecast regulatory depreciation (attachment 5).</w:t>
      </w:r>
    </w:p>
    <w:p w:rsidR="00651040" w:rsidRPr="009D678A" w:rsidRDefault="00651040" w:rsidP="00651040">
      <w:r>
        <w:rPr>
          <w:rStyle w:val="AERbody"/>
        </w:rPr>
        <w:t xml:space="preserve">Our final decision also </w:t>
      </w:r>
      <w:r w:rsidRPr="00D5100F">
        <w:rPr>
          <w:rStyle w:val="AERbody"/>
        </w:rPr>
        <w:t>maintain</w:t>
      </w:r>
      <w:r>
        <w:rPr>
          <w:rStyle w:val="AERbody"/>
        </w:rPr>
        <w:t>s</w:t>
      </w:r>
      <w:r w:rsidRPr="00D5100F">
        <w:rPr>
          <w:rStyle w:val="AERbody"/>
        </w:rPr>
        <w:t xml:space="preserve"> our preliminary decision position on the use of forecast depreciation for establishing the RAB at the commencement of the regulatory control period from 1 </w:t>
      </w:r>
      <w:r>
        <w:rPr>
          <w:rStyle w:val="AERbody"/>
        </w:rPr>
        <w:t>January</w:t>
      </w:r>
      <w:r w:rsidRPr="00D5100F">
        <w:rPr>
          <w:rStyle w:val="AERbody"/>
        </w:rPr>
        <w:t xml:space="preserve"> 202</w:t>
      </w:r>
      <w:r>
        <w:rPr>
          <w:rStyle w:val="AERbody"/>
        </w:rPr>
        <w:t>1</w:t>
      </w:r>
      <w:r w:rsidRPr="00D5100F">
        <w:rPr>
          <w:rStyle w:val="AERbody"/>
        </w:rPr>
        <w:t>.</w:t>
      </w:r>
      <w:r>
        <w:rPr>
          <w:rStyle w:val="FootnoteReference"/>
        </w:rPr>
        <w:footnoteReference w:id="2"/>
      </w:r>
      <w:r w:rsidRPr="00D5100F">
        <w:rPr>
          <w:rStyle w:val="AERbody"/>
        </w:rPr>
        <w:t xml:space="preserve"> </w:t>
      </w:r>
      <w:r>
        <w:rPr>
          <w:rStyle w:val="AERbody"/>
        </w:rPr>
        <w:t>Powercor</w:t>
      </w:r>
      <w:r w:rsidRPr="00D5100F">
        <w:rPr>
          <w:rStyle w:val="AERbody"/>
        </w:rPr>
        <w:t xml:space="preserve">'s revised proposal </w:t>
      </w:r>
      <w:r>
        <w:rPr>
          <w:rStyle w:val="AERbody"/>
        </w:rPr>
        <w:t>adopted our preliminary decision on this issue</w:t>
      </w:r>
      <w:r w:rsidRPr="00D5100F">
        <w:rPr>
          <w:rStyle w:val="AERbody"/>
        </w:rPr>
        <w:t>.</w:t>
      </w:r>
      <w:r>
        <w:rPr>
          <w:rStyle w:val="FootnoteReference"/>
        </w:rPr>
        <w:footnoteReference w:id="3"/>
      </w:r>
    </w:p>
    <w:p w:rsidR="00651040" w:rsidRDefault="00651040" w:rsidP="00651040">
      <w:r>
        <w:fldChar w:fldCharType="begin"/>
      </w:r>
      <w:r>
        <w:instrText xml:space="preserve"> REF _Ref441132878 \h </w:instrText>
      </w:r>
      <w:r>
        <w:fldChar w:fldCharType="separate"/>
      </w:r>
      <w:r w:rsidR="00BB6547">
        <w:t xml:space="preserve">Table </w:t>
      </w:r>
      <w:r w:rsidR="00BB6547">
        <w:rPr>
          <w:noProof/>
        </w:rPr>
        <w:t>2</w:t>
      </w:r>
      <w:r w:rsidR="00BB6547">
        <w:t>.</w:t>
      </w:r>
      <w:r w:rsidR="00BB6547">
        <w:rPr>
          <w:noProof/>
        </w:rPr>
        <w:t>2</w:t>
      </w:r>
      <w:r>
        <w:fldChar w:fldCharType="end"/>
      </w:r>
      <w:r w:rsidRPr="009D678A">
        <w:t xml:space="preserve"> sets out our </w:t>
      </w:r>
      <w:r>
        <w:t>final</w:t>
      </w:r>
      <w:r w:rsidRPr="009D678A">
        <w:t xml:space="preserve"> decision on the forecast RAB values for </w:t>
      </w:r>
      <w:r>
        <w:t>Powercor</w:t>
      </w:r>
      <w:r w:rsidRPr="009D678A">
        <w:t xml:space="preserve"> over the 2016–20 regulatory control period.</w:t>
      </w:r>
    </w:p>
    <w:p w:rsidR="00CB622D" w:rsidRDefault="00CB622D" w:rsidP="00CB622D">
      <w:pPr>
        <w:pStyle w:val="Caption"/>
      </w:pPr>
      <w:bookmarkStart w:id="74" w:name="_Ref449615599"/>
      <w:r>
        <w:lastRenderedPageBreak/>
        <w:t xml:space="preserve">Table </w:t>
      </w:r>
      <w:r w:rsidRPr="00457B65">
        <w:fldChar w:fldCharType="begin"/>
      </w:r>
      <w:r>
        <w:instrText xml:space="preserve"> STYLEREF 1 \s </w:instrText>
      </w:r>
      <w:r w:rsidRPr="00457B65">
        <w:fldChar w:fldCharType="separate"/>
      </w:r>
      <w:r w:rsidR="00BB6547">
        <w:rPr>
          <w:noProof/>
        </w:rPr>
        <w:t>2</w:t>
      </w:r>
      <w:r w:rsidRPr="00457B65">
        <w:fldChar w:fldCharType="end"/>
      </w:r>
      <w:r>
        <w:t>.</w:t>
      </w:r>
      <w:r w:rsidRPr="00457B65">
        <w:fldChar w:fldCharType="begin"/>
      </w:r>
      <w:r>
        <w:instrText xml:space="preserve"> SEQ Table \* ARABIC \s 1 </w:instrText>
      </w:r>
      <w:r w:rsidRPr="00457B65">
        <w:fldChar w:fldCharType="separate"/>
      </w:r>
      <w:r w:rsidR="00BB6547">
        <w:rPr>
          <w:noProof/>
        </w:rPr>
        <w:t>1</w:t>
      </w:r>
      <w:r w:rsidRPr="00457B65">
        <w:fldChar w:fldCharType="end"/>
      </w:r>
      <w:bookmarkEnd w:id="73"/>
      <w:bookmarkEnd w:id="74"/>
      <w:r>
        <w:tab/>
      </w:r>
      <w:r w:rsidRPr="009D678A">
        <w:t xml:space="preserve">AER's </w:t>
      </w:r>
      <w:r>
        <w:t>final</w:t>
      </w:r>
      <w:r w:rsidRPr="009D678A">
        <w:t xml:space="preserve"> decision on </w:t>
      </w:r>
      <w:r w:rsidR="00B47C99">
        <w:t>Powercor</w:t>
      </w:r>
      <w:r w:rsidRPr="009D678A">
        <w:t>'s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CB622D" w:rsidRPr="00237902" w:rsidTr="00A04FA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B622D" w:rsidRPr="00CB622D" w:rsidRDefault="00CB622D" w:rsidP="00CB622D">
            <w:r w:rsidRPr="00237902">
              <w:t> </w:t>
            </w:r>
          </w:p>
        </w:tc>
        <w:tc>
          <w:tcPr>
            <w:tcW w:w="566"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w:t>
            </w:r>
            <w:r w:rsidRPr="00CB622D">
              <w:t>12</w:t>
            </w:r>
          </w:p>
        </w:tc>
        <w:tc>
          <w:tcPr>
            <w:tcW w:w="567"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201</w:t>
            </w:r>
            <w:r w:rsidRPr="00CB622D">
              <w:t>3</w:t>
            </w:r>
          </w:p>
        </w:tc>
        <w:tc>
          <w:tcPr>
            <w:tcW w:w="566"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201</w:t>
            </w:r>
            <w:r w:rsidRPr="00CB622D">
              <w:t>4</w:t>
            </w:r>
          </w:p>
        </w:tc>
        <w:tc>
          <w:tcPr>
            <w:tcW w:w="567"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201</w:t>
            </w:r>
            <w:r w:rsidRPr="00CB622D">
              <w:t>5</w:t>
            </w:r>
            <w:r w:rsidRPr="00CB622D">
              <w:rPr>
                <w:rStyle w:val="AERsuperscript"/>
              </w:rPr>
              <w:t>a</w:t>
            </w:r>
          </w:p>
        </w:tc>
      </w:tr>
      <w:tr w:rsidR="001E2DEC" w:rsidRPr="000663D7" w:rsidTr="00A04FAC">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1E2DEC" w:rsidRPr="001E2DEC" w:rsidRDefault="001E2DEC" w:rsidP="001E2DEC">
            <w:r w:rsidRPr="001E2DEC">
              <w:t>Opening RAB</w:t>
            </w:r>
          </w:p>
        </w:tc>
        <w:tc>
          <w:tcPr>
            <w:tcW w:w="566" w:type="pct"/>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2212.8</w:t>
            </w:r>
          </w:p>
        </w:tc>
        <w:tc>
          <w:tcPr>
            <w:tcW w:w="566" w:type="pct"/>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2397.9</w:t>
            </w:r>
          </w:p>
        </w:tc>
        <w:tc>
          <w:tcPr>
            <w:tcW w:w="567" w:type="pct"/>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2621.0</w:t>
            </w:r>
          </w:p>
        </w:tc>
        <w:tc>
          <w:tcPr>
            <w:tcW w:w="566" w:type="pct"/>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2832.6</w:t>
            </w:r>
          </w:p>
        </w:tc>
        <w:tc>
          <w:tcPr>
            <w:tcW w:w="567" w:type="pct"/>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3086.1</w:t>
            </w:r>
          </w:p>
        </w:tc>
      </w:tr>
      <w:tr w:rsidR="006B1A51" w:rsidRPr="00237902" w:rsidTr="00A04FA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B1A51" w:rsidRPr="006B1A51" w:rsidRDefault="006B1A51" w:rsidP="006B1A51">
            <w:r w:rsidRPr="006B1A51">
              <w:t>Capital expenditure</w:t>
            </w:r>
            <w:r w:rsidRPr="006B1A51">
              <w:rPr>
                <w:rStyle w:val="AERsuperscript"/>
              </w:rPr>
              <w:t>b</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242.7</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270.9</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302.1</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347.8</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325.1</w:t>
            </w:r>
          </w:p>
        </w:tc>
      </w:tr>
      <w:tr w:rsidR="006B1A51" w:rsidRPr="00237902" w:rsidTr="00A04FAC">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B1A51" w:rsidRPr="006B1A51" w:rsidRDefault="006B1A51" w:rsidP="006B1A51">
            <w:r w:rsidRPr="006B1A51">
              <w:t>Inflation indexation on opening RAB</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61.7</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84.4</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52.5</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61.2</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71.2</w:t>
            </w:r>
          </w:p>
        </w:tc>
      </w:tr>
      <w:tr w:rsidR="006B1A51" w:rsidRPr="00237902" w:rsidTr="00A04FA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B1A51" w:rsidRPr="006B1A51" w:rsidRDefault="006B1A51" w:rsidP="006B1A51">
            <w:r w:rsidRPr="006B1A51">
              <w:rPr>
                <w:rStyle w:val="AERtextitalic"/>
              </w:rPr>
              <w:t>Less</w:t>
            </w:r>
            <w:r w:rsidRPr="006B1A51">
              <w:t>: straight-line depreciation</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119.3</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132.2</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143.1</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155.5</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171.6</w:t>
            </w:r>
          </w:p>
        </w:tc>
      </w:tr>
      <w:tr w:rsidR="006B1A51" w:rsidRPr="008978BA" w:rsidTr="00A04FAC">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B1A51" w:rsidRPr="006B1A51" w:rsidRDefault="006B1A51" w:rsidP="006B1A51">
            <w:r w:rsidRPr="006B1A51">
              <w:t>Closing RAB</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2397.9</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2621.0</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2832.6</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3086.1</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3310.8</w:t>
            </w:r>
          </w:p>
        </w:tc>
      </w:tr>
      <w:tr w:rsidR="006B1A51" w:rsidRPr="00237902" w:rsidTr="00A04FAC">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6B1A51" w:rsidRPr="006B1A51" w:rsidRDefault="006B1A51" w:rsidP="006B1A51">
            <w:r w:rsidRPr="006B1A51">
              <w:t>Difference between estimated and actual 2010 capex (1 January 2010 to 31 December 2010)</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 </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 </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 </w:t>
            </w:r>
          </w:p>
        </w:tc>
        <w:tc>
          <w:tcPr>
            <w:tcW w:w="566"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rsidRPr="006B1A51">
              <w:t> </w:t>
            </w:r>
          </w:p>
        </w:tc>
        <w:tc>
          <w:tcPr>
            <w:tcW w:w="567" w:type="pct"/>
            <w:noWrap/>
            <w:vAlign w:val="bottom"/>
          </w:tcPr>
          <w:p w:rsidR="006B1A51" w:rsidRPr="006B1A51" w:rsidRDefault="006B1A51" w:rsidP="006B1A51">
            <w:pPr>
              <w:cnfStyle w:val="000000010000" w:firstRow="0" w:lastRow="0" w:firstColumn="0" w:lastColumn="0" w:oddVBand="0" w:evenVBand="0" w:oddHBand="0" w:evenHBand="1" w:firstRowFirstColumn="0" w:firstRowLastColumn="0" w:lastRowFirstColumn="0" w:lastRowLastColumn="0"/>
            </w:pPr>
            <w:r>
              <w:t>–</w:t>
            </w:r>
            <w:r w:rsidRPr="006B1A51">
              <w:t>18.7</w:t>
            </w:r>
          </w:p>
        </w:tc>
      </w:tr>
      <w:tr w:rsidR="006B1A51" w:rsidRPr="00237902" w:rsidTr="00A04FAC">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6B1A51" w:rsidRPr="006B1A51" w:rsidRDefault="006B1A51" w:rsidP="006B1A51">
            <w:r w:rsidRPr="006B1A51">
              <w:t>Return on difference for 2010 capex</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 </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 </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 </w:t>
            </w:r>
          </w:p>
        </w:tc>
        <w:tc>
          <w:tcPr>
            <w:tcW w:w="566"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rsidRPr="006B1A51">
              <w:t> </w:t>
            </w:r>
          </w:p>
        </w:tc>
        <w:tc>
          <w:tcPr>
            <w:tcW w:w="567" w:type="pct"/>
            <w:noWrap/>
            <w:vAlign w:val="bottom"/>
          </w:tcPr>
          <w:p w:rsidR="006B1A51" w:rsidRPr="006B1A51" w:rsidRDefault="006B1A51" w:rsidP="006B1A51">
            <w:pPr>
              <w:cnfStyle w:val="000000000000" w:firstRow="0" w:lastRow="0" w:firstColumn="0" w:lastColumn="0" w:oddVBand="0" w:evenVBand="0" w:oddHBand="0" w:evenHBand="0" w:firstRowFirstColumn="0" w:firstRowLastColumn="0" w:lastRowFirstColumn="0" w:lastRowLastColumn="0"/>
            </w:pPr>
            <w:r>
              <w:t>–</w:t>
            </w:r>
            <w:r w:rsidRPr="006B1A51">
              <w:t>10.7</w:t>
            </w:r>
          </w:p>
        </w:tc>
      </w:tr>
      <w:tr w:rsidR="00CB622D" w:rsidRPr="003D02A8" w:rsidTr="00A04FA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tcPr>
          <w:p w:rsidR="00CB622D" w:rsidRPr="00CB622D" w:rsidRDefault="00CB622D" w:rsidP="00CB622D">
            <w:r w:rsidRPr="007B4FF7">
              <w:t xml:space="preserve">Six months CPI </w:t>
            </w:r>
            <w:r w:rsidRPr="00CB622D">
              <w:t>adjustment</w:t>
            </w:r>
          </w:p>
        </w:tc>
        <w:tc>
          <w:tcPr>
            <w:tcW w:w="566" w:type="pct"/>
            <w:noWrap/>
            <w:vAlign w:val="bottom"/>
          </w:tcPr>
          <w:p w:rsidR="00CB622D" w:rsidRPr="007B4FF7" w:rsidRDefault="00CB622D" w:rsidP="00CB622D">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CB622D" w:rsidRPr="007B4FF7" w:rsidRDefault="00CB622D" w:rsidP="00CB622D">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CB622D" w:rsidRPr="007B4FF7" w:rsidRDefault="00CB622D" w:rsidP="00CB622D">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tcPr>
          <w:p w:rsidR="00CB622D" w:rsidRPr="007B4FF7" w:rsidRDefault="00CB622D" w:rsidP="00CB622D">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CB622D" w:rsidRPr="00CB622D" w:rsidRDefault="00A04FAC" w:rsidP="00A04FAC">
            <w:pPr>
              <w:cnfStyle w:val="000000010000" w:firstRow="0" w:lastRow="0" w:firstColumn="0" w:lastColumn="0" w:oddVBand="0" w:evenVBand="0" w:oddHBand="0" w:evenHBand="1" w:firstRowFirstColumn="0" w:firstRowLastColumn="0" w:lastRowFirstColumn="0" w:lastRowLastColumn="0"/>
            </w:pPr>
            <w:r w:rsidRPr="00A04FAC">
              <w:t>25.5</w:t>
            </w:r>
          </w:p>
        </w:tc>
      </w:tr>
      <w:tr w:rsidR="00CB622D" w:rsidRPr="007B4FF7" w:rsidTr="00A04FAC">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B622D" w:rsidRPr="00CB622D" w:rsidRDefault="00CB622D" w:rsidP="00CB622D">
            <w:pPr>
              <w:rPr>
                <w:rStyle w:val="Strong"/>
              </w:rPr>
            </w:pPr>
            <w:r w:rsidRPr="007B4FF7">
              <w:rPr>
                <w:rStyle w:val="Strong"/>
              </w:rPr>
              <w:t>Closing RAB as at 31 December 2015</w:t>
            </w:r>
          </w:p>
        </w:tc>
        <w:tc>
          <w:tcPr>
            <w:tcW w:w="566" w:type="pct"/>
            <w:noWrap/>
            <w:vAlign w:val="bottom"/>
          </w:tcPr>
          <w:p w:rsidR="00CB622D" w:rsidRPr="007B4FF7" w:rsidRDefault="00CB622D" w:rsidP="00CB622D">
            <w:pPr>
              <w:cnfStyle w:val="000000000000" w:firstRow="0" w:lastRow="0" w:firstColumn="0" w:lastColumn="0" w:oddVBand="0" w:evenVBand="0" w:oddHBand="0" w:evenHBand="0" w:firstRowFirstColumn="0" w:firstRowLastColumn="0" w:lastRowFirstColumn="0" w:lastRowLastColumn="0"/>
              <w:rPr>
                <w:rStyle w:val="Strong"/>
              </w:rPr>
            </w:pPr>
          </w:p>
        </w:tc>
        <w:tc>
          <w:tcPr>
            <w:tcW w:w="566" w:type="pct"/>
            <w:noWrap/>
            <w:vAlign w:val="bottom"/>
          </w:tcPr>
          <w:p w:rsidR="00CB622D" w:rsidRPr="007B4FF7" w:rsidRDefault="00CB622D" w:rsidP="00CB622D">
            <w:pPr>
              <w:cnfStyle w:val="000000000000" w:firstRow="0" w:lastRow="0" w:firstColumn="0" w:lastColumn="0" w:oddVBand="0" w:evenVBand="0" w:oddHBand="0" w:evenHBand="0" w:firstRowFirstColumn="0" w:firstRowLastColumn="0" w:lastRowFirstColumn="0" w:lastRowLastColumn="0"/>
              <w:rPr>
                <w:rStyle w:val="Strong"/>
              </w:rPr>
            </w:pPr>
          </w:p>
        </w:tc>
        <w:tc>
          <w:tcPr>
            <w:tcW w:w="567" w:type="pct"/>
            <w:noWrap/>
            <w:vAlign w:val="bottom"/>
          </w:tcPr>
          <w:p w:rsidR="00CB622D" w:rsidRPr="007B4FF7" w:rsidRDefault="00CB622D" w:rsidP="00CB622D">
            <w:pPr>
              <w:cnfStyle w:val="000000000000" w:firstRow="0" w:lastRow="0" w:firstColumn="0" w:lastColumn="0" w:oddVBand="0" w:evenVBand="0" w:oddHBand="0" w:evenHBand="0" w:firstRowFirstColumn="0" w:firstRowLastColumn="0" w:lastRowFirstColumn="0" w:lastRowLastColumn="0"/>
              <w:rPr>
                <w:rStyle w:val="Strong"/>
              </w:rPr>
            </w:pPr>
          </w:p>
        </w:tc>
        <w:tc>
          <w:tcPr>
            <w:tcW w:w="566" w:type="pct"/>
            <w:noWrap/>
            <w:vAlign w:val="bottom"/>
          </w:tcPr>
          <w:p w:rsidR="00CB622D" w:rsidRPr="007B4FF7" w:rsidRDefault="00CB622D" w:rsidP="00CB622D">
            <w:pPr>
              <w:cnfStyle w:val="000000000000" w:firstRow="0" w:lastRow="0" w:firstColumn="0" w:lastColumn="0" w:oddVBand="0" w:evenVBand="0" w:oddHBand="0" w:evenHBand="0" w:firstRowFirstColumn="0" w:firstRowLastColumn="0" w:lastRowFirstColumn="0" w:lastRowLastColumn="0"/>
              <w:rPr>
                <w:rStyle w:val="Strong"/>
              </w:rPr>
            </w:pPr>
          </w:p>
        </w:tc>
        <w:tc>
          <w:tcPr>
            <w:tcW w:w="567" w:type="pct"/>
            <w:noWrap/>
            <w:vAlign w:val="bottom"/>
          </w:tcPr>
          <w:p w:rsidR="00CB622D" w:rsidRPr="00CB622D" w:rsidRDefault="001E2DEC" w:rsidP="00CB622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3307.0</w:t>
            </w:r>
          </w:p>
        </w:tc>
      </w:tr>
    </w:tbl>
    <w:p w:rsidR="00CB622D" w:rsidRPr="009D678A" w:rsidRDefault="00CB622D" w:rsidP="00CB622D">
      <w:pPr>
        <w:pStyle w:val="AERtablesource"/>
      </w:pPr>
      <w:r w:rsidRPr="009D678A">
        <w:t>Source:</w:t>
      </w:r>
      <w:r w:rsidRPr="009D678A">
        <w:tab/>
        <w:t>AER analysis.</w:t>
      </w:r>
    </w:p>
    <w:p w:rsidR="00CB622D" w:rsidRPr="009D678A" w:rsidRDefault="009F5546" w:rsidP="00CB622D">
      <w:pPr>
        <w:pStyle w:val="AERtablesource"/>
      </w:pPr>
      <w:r>
        <w:t>(a)</w:t>
      </w:r>
      <w:r w:rsidR="00CB622D" w:rsidRPr="009D678A">
        <w:tab/>
        <w:t xml:space="preserve">Based on estimated capex. </w:t>
      </w:r>
    </w:p>
    <w:p w:rsidR="00CB622D" w:rsidRDefault="00CB622D" w:rsidP="00CB622D">
      <w:pPr>
        <w:pStyle w:val="AERtablesource"/>
      </w:pPr>
      <w:r w:rsidRPr="009D678A">
        <w:t>(b)</w:t>
      </w:r>
      <w:r w:rsidRPr="009D678A">
        <w:tab/>
      </w:r>
      <w:r w:rsidR="00E95AF4" w:rsidRPr="009D678A">
        <w:t>Net of disposals and capital contributions, and adjusted for CPI.</w:t>
      </w:r>
    </w:p>
    <w:p w:rsidR="00CB622D" w:rsidRDefault="00CB622D" w:rsidP="00CB622D">
      <w:pPr>
        <w:pStyle w:val="Caption"/>
      </w:pPr>
      <w:bookmarkStart w:id="75" w:name="_Ref441132878"/>
      <w:r>
        <w:t xml:space="preserve">Table </w:t>
      </w:r>
      <w:r w:rsidRPr="00457B65">
        <w:fldChar w:fldCharType="begin"/>
      </w:r>
      <w:r>
        <w:instrText xml:space="preserve"> STYLEREF 1 \s </w:instrText>
      </w:r>
      <w:r w:rsidRPr="00457B65">
        <w:fldChar w:fldCharType="separate"/>
      </w:r>
      <w:r w:rsidR="00BB6547">
        <w:rPr>
          <w:noProof/>
        </w:rPr>
        <w:t>2</w:t>
      </w:r>
      <w:r w:rsidRPr="00457B65">
        <w:fldChar w:fldCharType="end"/>
      </w:r>
      <w:r>
        <w:t>.</w:t>
      </w:r>
      <w:r w:rsidRPr="00457B65">
        <w:fldChar w:fldCharType="begin"/>
      </w:r>
      <w:r>
        <w:instrText xml:space="preserve"> SEQ Table \* ARABIC \s 1 </w:instrText>
      </w:r>
      <w:r w:rsidRPr="00457B65">
        <w:fldChar w:fldCharType="separate"/>
      </w:r>
      <w:r w:rsidR="00BB6547">
        <w:rPr>
          <w:noProof/>
        </w:rPr>
        <w:t>2</w:t>
      </w:r>
      <w:r w:rsidRPr="00457B65">
        <w:fldChar w:fldCharType="end"/>
      </w:r>
      <w:bookmarkEnd w:id="75"/>
      <w:r>
        <w:tab/>
      </w:r>
      <w:r w:rsidRPr="009D678A">
        <w:t xml:space="preserve">AER's </w:t>
      </w:r>
      <w:r>
        <w:t>final</w:t>
      </w:r>
      <w:r w:rsidRPr="009D678A">
        <w:t xml:space="preserve"> decision on </w:t>
      </w:r>
      <w:r w:rsidR="00B47C99">
        <w:t>Powercor</w:t>
      </w:r>
      <w:r w:rsidRPr="009D678A">
        <w:t>'s RAB for the 2016–20 regulatory control period ($ million, nominal)</w:t>
      </w:r>
    </w:p>
    <w:tbl>
      <w:tblPr>
        <w:tblStyle w:val="AERtable-numbers"/>
        <w:tblW w:w="5000" w:type="pct"/>
        <w:tblLayout w:type="fixed"/>
        <w:tblLook w:val="04A0" w:firstRow="1" w:lastRow="0" w:firstColumn="1" w:lastColumn="0" w:noHBand="0" w:noVBand="1"/>
      </w:tblPr>
      <w:tblGrid>
        <w:gridCol w:w="2944"/>
        <w:gridCol w:w="995"/>
        <w:gridCol w:w="1189"/>
        <w:gridCol w:w="1189"/>
        <w:gridCol w:w="1189"/>
        <w:gridCol w:w="1187"/>
      </w:tblGrid>
      <w:tr w:rsidR="00CB622D" w:rsidRPr="00237902" w:rsidTr="001A02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CB622D" w:rsidRPr="00CB622D" w:rsidRDefault="00CB622D" w:rsidP="00CB622D">
            <w:r w:rsidRPr="00237902">
              <w:t> </w:t>
            </w:r>
          </w:p>
        </w:tc>
        <w:tc>
          <w:tcPr>
            <w:tcW w:w="572"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t>201</w:t>
            </w:r>
            <w:r w:rsidRPr="00CB622D">
              <w:t>6</w:t>
            </w:r>
          </w:p>
        </w:tc>
        <w:tc>
          <w:tcPr>
            <w:tcW w:w="684"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rsidRPr="00237902">
              <w:t>2017</w:t>
            </w:r>
          </w:p>
        </w:tc>
        <w:tc>
          <w:tcPr>
            <w:tcW w:w="684"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rsidRPr="00237902">
              <w:t>2018</w:t>
            </w:r>
          </w:p>
        </w:tc>
        <w:tc>
          <w:tcPr>
            <w:tcW w:w="684"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rsidRPr="00237902">
              <w:t>2019</w:t>
            </w:r>
          </w:p>
        </w:tc>
        <w:tc>
          <w:tcPr>
            <w:tcW w:w="683" w:type="pct"/>
            <w:noWrap/>
            <w:hideMark/>
          </w:tcPr>
          <w:p w:rsidR="00CB622D" w:rsidRPr="00CB622D" w:rsidRDefault="00CB622D" w:rsidP="00CB622D">
            <w:pPr>
              <w:cnfStyle w:val="100000000000" w:firstRow="1" w:lastRow="0" w:firstColumn="0" w:lastColumn="0" w:oddVBand="0" w:evenVBand="0" w:oddHBand="0" w:evenHBand="0" w:firstRowFirstColumn="0" w:firstRowLastColumn="0" w:lastRowFirstColumn="0" w:lastRowLastColumn="0"/>
            </w:pPr>
            <w:r w:rsidRPr="00237902">
              <w:t>2020</w:t>
            </w:r>
          </w:p>
        </w:tc>
      </w:tr>
      <w:tr w:rsidR="007F7638" w:rsidRPr="00237902" w:rsidTr="001A0298">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7F7638" w:rsidRPr="007F7638" w:rsidRDefault="007F7638" w:rsidP="007F7638">
            <w:r w:rsidRPr="007F7638">
              <w:t>Opening RAB</w:t>
            </w:r>
          </w:p>
        </w:tc>
        <w:tc>
          <w:tcPr>
            <w:tcW w:w="572" w:type="pct"/>
            <w:noWrap/>
            <w:vAlign w:val="bottom"/>
          </w:tcPr>
          <w:p w:rsidR="007F7638" w:rsidRPr="007F7638" w:rsidRDefault="007F7638" w:rsidP="007F7638">
            <w:pPr>
              <w:cnfStyle w:val="000000000000" w:firstRow="0" w:lastRow="0" w:firstColumn="0" w:lastColumn="0" w:oddVBand="0" w:evenVBand="0" w:oddHBand="0" w:evenHBand="0" w:firstRowFirstColumn="0" w:firstRowLastColumn="0" w:lastRowFirstColumn="0" w:lastRowLastColumn="0"/>
            </w:pPr>
            <w:r w:rsidRPr="007F7638">
              <w:t>3307.0</w:t>
            </w:r>
          </w:p>
        </w:tc>
        <w:tc>
          <w:tcPr>
            <w:tcW w:w="684" w:type="pct"/>
            <w:noWrap/>
            <w:vAlign w:val="bottom"/>
          </w:tcPr>
          <w:p w:rsidR="007F7638" w:rsidRPr="007F7638" w:rsidRDefault="007F7638" w:rsidP="007F7638">
            <w:pPr>
              <w:cnfStyle w:val="000000000000" w:firstRow="0" w:lastRow="0" w:firstColumn="0" w:lastColumn="0" w:oddVBand="0" w:evenVBand="0" w:oddHBand="0" w:evenHBand="0" w:firstRowFirstColumn="0" w:firstRowLastColumn="0" w:lastRowFirstColumn="0" w:lastRowLastColumn="0"/>
            </w:pPr>
            <w:r w:rsidRPr="007F7638">
              <w:t>3558.5</w:t>
            </w:r>
          </w:p>
        </w:tc>
        <w:tc>
          <w:tcPr>
            <w:tcW w:w="684" w:type="pct"/>
            <w:noWrap/>
            <w:vAlign w:val="bottom"/>
          </w:tcPr>
          <w:p w:rsidR="007F7638" w:rsidRPr="007F7638" w:rsidRDefault="007F7638" w:rsidP="007F7638">
            <w:pPr>
              <w:cnfStyle w:val="000000000000" w:firstRow="0" w:lastRow="0" w:firstColumn="0" w:lastColumn="0" w:oddVBand="0" w:evenVBand="0" w:oddHBand="0" w:evenHBand="0" w:firstRowFirstColumn="0" w:firstRowLastColumn="0" w:lastRowFirstColumn="0" w:lastRowLastColumn="0"/>
            </w:pPr>
            <w:r w:rsidRPr="007F7638">
              <w:t>3819.1</w:t>
            </w:r>
          </w:p>
        </w:tc>
        <w:tc>
          <w:tcPr>
            <w:tcW w:w="684" w:type="pct"/>
            <w:noWrap/>
            <w:vAlign w:val="bottom"/>
          </w:tcPr>
          <w:p w:rsidR="007F7638" w:rsidRPr="007F7638" w:rsidRDefault="007F7638" w:rsidP="007F7638">
            <w:pPr>
              <w:cnfStyle w:val="000000000000" w:firstRow="0" w:lastRow="0" w:firstColumn="0" w:lastColumn="0" w:oddVBand="0" w:evenVBand="0" w:oddHBand="0" w:evenHBand="0" w:firstRowFirstColumn="0" w:firstRowLastColumn="0" w:lastRowFirstColumn="0" w:lastRowLastColumn="0"/>
            </w:pPr>
            <w:r w:rsidRPr="007F7638">
              <w:t>4048.9</w:t>
            </w:r>
          </w:p>
        </w:tc>
        <w:tc>
          <w:tcPr>
            <w:tcW w:w="683" w:type="pct"/>
            <w:noWrap/>
            <w:vAlign w:val="bottom"/>
          </w:tcPr>
          <w:p w:rsidR="007F7638" w:rsidRPr="007F7638" w:rsidRDefault="007F7638" w:rsidP="007F7638">
            <w:pPr>
              <w:cnfStyle w:val="000000000000" w:firstRow="0" w:lastRow="0" w:firstColumn="0" w:lastColumn="0" w:oddVBand="0" w:evenVBand="0" w:oddHBand="0" w:evenHBand="0" w:firstRowFirstColumn="0" w:firstRowLastColumn="0" w:lastRowFirstColumn="0" w:lastRowLastColumn="0"/>
            </w:pPr>
            <w:r w:rsidRPr="007F7638">
              <w:t>4283.8</w:t>
            </w:r>
          </w:p>
        </w:tc>
      </w:tr>
      <w:tr w:rsidR="007F7638" w:rsidRPr="00237902" w:rsidTr="001A029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7F7638" w:rsidRPr="007F7638" w:rsidRDefault="007F7638" w:rsidP="007F7638">
            <w:r w:rsidRPr="007F7638">
              <w:t>Capital expenditure</w:t>
            </w:r>
            <w:r w:rsidRPr="007F7638">
              <w:rPr>
                <w:rStyle w:val="AERsuperscript"/>
              </w:rPr>
              <w:t>a</w:t>
            </w:r>
          </w:p>
        </w:tc>
        <w:tc>
          <w:tcPr>
            <w:tcW w:w="572" w:type="pct"/>
            <w:noWrap/>
            <w:vAlign w:val="bottom"/>
          </w:tcPr>
          <w:p w:rsidR="007F7638" w:rsidRPr="007F7638" w:rsidRDefault="007F7638" w:rsidP="007F7638">
            <w:pPr>
              <w:cnfStyle w:val="000000010000" w:firstRow="0" w:lastRow="0" w:firstColumn="0" w:lastColumn="0" w:oddVBand="0" w:evenVBand="0" w:oddHBand="0" w:evenHBand="1" w:firstRowFirstColumn="0" w:firstRowLastColumn="0" w:lastRowFirstColumn="0" w:lastRowLastColumn="0"/>
            </w:pPr>
            <w:r w:rsidRPr="007F7638">
              <w:t>361.9</w:t>
            </w:r>
          </w:p>
        </w:tc>
        <w:tc>
          <w:tcPr>
            <w:tcW w:w="684" w:type="pct"/>
            <w:noWrap/>
            <w:vAlign w:val="bottom"/>
          </w:tcPr>
          <w:p w:rsidR="007F7638" w:rsidRPr="007F7638" w:rsidRDefault="007F7638" w:rsidP="007F7638">
            <w:pPr>
              <w:cnfStyle w:val="000000010000" w:firstRow="0" w:lastRow="0" w:firstColumn="0" w:lastColumn="0" w:oddVBand="0" w:evenVBand="0" w:oddHBand="0" w:evenHBand="1" w:firstRowFirstColumn="0" w:firstRowLastColumn="0" w:lastRowFirstColumn="0" w:lastRowLastColumn="0"/>
            </w:pPr>
            <w:r w:rsidRPr="007F7638">
              <w:t>359.8</w:t>
            </w:r>
          </w:p>
        </w:tc>
        <w:tc>
          <w:tcPr>
            <w:tcW w:w="684" w:type="pct"/>
            <w:noWrap/>
            <w:vAlign w:val="bottom"/>
          </w:tcPr>
          <w:p w:rsidR="007F7638" w:rsidRPr="007F7638" w:rsidRDefault="007F7638" w:rsidP="007F7638">
            <w:pPr>
              <w:cnfStyle w:val="000000010000" w:firstRow="0" w:lastRow="0" w:firstColumn="0" w:lastColumn="0" w:oddVBand="0" w:evenVBand="0" w:oddHBand="0" w:evenHBand="1" w:firstRowFirstColumn="0" w:firstRowLastColumn="0" w:lastRowFirstColumn="0" w:lastRowLastColumn="0"/>
            </w:pPr>
            <w:r w:rsidRPr="007F7638">
              <w:t>338.0</w:t>
            </w:r>
          </w:p>
        </w:tc>
        <w:tc>
          <w:tcPr>
            <w:tcW w:w="684" w:type="pct"/>
            <w:noWrap/>
            <w:vAlign w:val="bottom"/>
          </w:tcPr>
          <w:p w:rsidR="007F7638" w:rsidRPr="007F7638" w:rsidRDefault="007F7638" w:rsidP="007F7638">
            <w:pPr>
              <w:cnfStyle w:val="000000010000" w:firstRow="0" w:lastRow="0" w:firstColumn="0" w:lastColumn="0" w:oddVBand="0" w:evenVBand="0" w:oddHBand="0" w:evenHBand="1" w:firstRowFirstColumn="0" w:firstRowLastColumn="0" w:lastRowFirstColumn="0" w:lastRowLastColumn="0"/>
            </w:pPr>
            <w:r w:rsidRPr="007F7638">
              <w:t>353.3</w:t>
            </w:r>
          </w:p>
        </w:tc>
        <w:tc>
          <w:tcPr>
            <w:tcW w:w="683" w:type="pct"/>
            <w:noWrap/>
            <w:vAlign w:val="bottom"/>
          </w:tcPr>
          <w:p w:rsidR="007F7638" w:rsidRPr="007F7638" w:rsidRDefault="007F7638" w:rsidP="007F7638">
            <w:pPr>
              <w:cnfStyle w:val="000000010000" w:firstRow="0" w:lastRow="0" w:firstColumn="0" w:lastColumn="0" w:oddVBand="0" w:evenVBand="0" w:oddHBand="0" w:evenHBand="1" w:firstRowFirstColumn="0" w:firstRowLastColumn="0" w:lastRowFirstColumn="0" w:lastRowLastColumn="0"/>
            </w:pPr>
            <w:r w:rsidRPr="007F7638">
              <w:t>357.9</w:t>
            </w:r>
          </w:p>
        </w:tc>
      </w:tr>
      <w:tr w:rsidR="001A0298" w:rsidRPr="00237902" w:rsidTr="001A0298">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1A0298" w:rsidRPr="001A0298" w:rsidRDefault="001A0298" w:rsidP="001A0298">
            <w:r w:rsidRPr="001A0298">
              <w:t>Inflation indexation on opening RAB</w:t>
            </w:r>
          </w:p>
        </w:tc>
        <w:tc>
          <w:tcPr>
            <w:tcW w:w="572" w:type="pct"/>
            <w:noWrap/>
            <w:vAlign w:val="bottom"/>
          </w:tcPr>
          <w:p w:rsidR="001A0298" w:rsidRPr="001A0298" w:rsidRDefault="001A0298" w:rsidP="001A0298">
            <w:pPr>
              <w:cnfStyle w:val="000000000000" w:firstRow="0" w:lastRow="0" w:firstColumn="0" w:lastColumn="0" w:oddVBand="0" w:evenVBand="0" w:oddHBand="0" w:evenHBand="0" w:firstRowFirstColumn="0" w:firstRowLastColumn="0" w:lastRowFirstColumn="0" w:lastRowLastColumn="0"/>
            </w:pPr>
            <w:r w:rsidRPr="001A0298">
              <w:t>76.8</w:t>
            </w:r>
          </w:p>
        </w:tc>
        <w:tc>
          <w:tcPr>
            <w:tcW w:w="684" w:type="pct"/>
            <w:noWrap/>
            <w:vAlign w:val="bottom"/>
          </w:tcPr>
          <w:p w:rsidR="001A0298" w:rsidRPr="001A0298" w:rsidRDefault="001A0298" w:rsidP="001A0298">
            <w:pPr>
              <w:cnfStyle w:val="000000000000" w:firstRow="0" w:lastRow="0" w:firstColumn="0" w:lastColumn="0" w:oddVBand="0" w:evenVBand="0" w:oddHBand="0" w:evenHBand="0" w:firstRowFirstColumn="0" w:firstRowLastColumn="0" w:lastRowFirstColumn="0" w:lastRowLastColumn="0"/>
            </w:pPr>
            <w:r w:rsidRPr="001A0298">
              <w:t>82.7</w:t>
            </w:r>
          </w:p>
        </w:tc>
        <w:tc>
          <w:tcPr>
            <w:tcW w:w="684" w:type="pct"/>
            <w:noWrap/>
            <w:vAlign w:val="bottom"/>
          </w:tcPr>
          <w:p w:rsidR="001A0298" w:rsidRPr="001A0298" w:rsidRDefault="001A0298" w:rsidP="001A0298">
            <w:pPr>
              <w:cnfStyle w:val="000000000000" w:firstRow="0" w:lastRow="0" w:firstColumn="0" w:lastColumn="0" w:oddVBand="0" w:evenVBand="0" w:oddHBand="0" w:evenHBand="0" w:firstRowFirstColumn="0" w:firstRowLastColumn="0" w:lastRowFirstColumn="0" w:lastRowLastColumn="0"/>
            </w:pPr>
            <w:r w:rsidRPr="001A0298">
              <w:t>88.7</w:t>
            </w:r>
          </w:p>
        </w:tc>
        <w:tc>
          <w:tcPr>
            <w:tcW w:w="684" w:type="pct"/>
            <w:noWrap/>
            <w:vAlign w:val="bottom"/>
          </w:tcPr>
          <w:p w:rsidR="001A0298" w:rsidRPr="001A0298" w:rsidRDefault="001A0298" w:rsidP="001A0298">
            <w:pPr>
              <w:cnfStyle w:val="000000000000" w:firstRow="0" w:lastRow="0" w:firstColumn="0" w:lastColumn="0" w:oddVBand="0" w:evenVBand="0" w:oddHBand="0" w:evenHBand="0" w:firstRowFirstColumn="0" w:firstRowLastColumn="0" w:lastRowFirstColumn="0" w:lastRowLastColumn="0"/>
            </w:pPr>
            <w:r w:rsidRPr="001A0298">
              <w:t>94.1</w:t>
            </w:r>
          </w:p>
        </w:tc>
        <w:tc>
          <w:tcPr>
            <w:tcW w:w="683" w:type="pct"/>
            <w:noWrap/>
            <w:vAlign w:val="bottom"/>
          </w:tcPr>
          <w:p w:rsidR="001A0298" w:rsidRPr="001A0298" w:rsidRDefault="001A0298" w:rsidP="001A0298">
            <w:pPr>
              <w:cnfStyle w:val="000000000000" w:firstRow="0" w:lastRow="0" w:firstColumn="0" w:lastColumn="0" w:oddVBand="0" w:evenVBand="0" w:oddHBand="0" w:evenHBand="0" w:firstRowFirstColumn="0" w:firstRowLastColumn="0" w:lastRowFirstColumn="0" w:lastRowLastColumn="0"/>
            </w:pPr>
            <w:r w:rsidRPr="001A0298">
              <w:t>99.5</w:t>
            </w:r>
          </w:p>
        </w:tc>
      </w:tr>
      <w:tr w:rsidR="001A0298" w:rsidRPr="00237902" w:rsidTr="001A029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1A0298" w:rsidRPr="001A0298" w:rsidRDefault="001A0298" w:rsidP="001A0298">
            <w:r w:rsidRPr="001A0298">
              <w:rPr>
                <w:rStyle w:val="AERtextitalic"/>
              </w:rPr>
              <w:t>Less</w:t>
            </w:r>
            <w:r w:rsidRPr="001A0298">
              <w:t>: straight-line depreciation</w:t>
            </w:r>
          </w:p>
        </w:tc>
        <w:tc>
          <w:tcPr>
            <w:tcW w:w="572" w:type="pct"/>
            <w:noWrap/>
            <w:vAlign w:val="bottom"/>
          </w:tcPr>
          <w:p w:rsidR="001A0298" w:rsidRPr="001A0298" w:rsidRDefault="001A0298" w:rsidP="001A0298">
            <w:pPr>
              <w:cnfStyle w:val="000000010000" w:firstRow="0" w:lastRow="0" w:firstColumn="0" w:lastColumn="0" w:oddVBand="0" w:evenVBand="0" w:oddHBand="0" w:evenHBand="1" w:firstRowFirstColumn="0" w:firstRowLastColumn="0" w:lastRowFirstColumn="0" w:lastRowLastColumn="0"/>
            </w:pPr>
            <w:r w:rsidRPr="001A0298">
              <w:t>187.2</w:t>
            </w:r>
          </w:p>
        </w:tc>
        <w:tc>
          <w:tcPr>
            <w:tcW w:w="684" w:type="pct"/>
            <w:noWrap/>
            <w:vAlign w:val="bottom"/>
          </w:tcPr>
          <w:p w:rsidR="001A0298" w:rsidRPr="001A0298" w:rsidRDefault="001A0298" w:rsidP="001A0298">
            <w:pPr>
              <w:cnfStyle w:val="000000010000" w:firstRow="0" w:lastRow="0" w:firstColumn="0" w:lastColumn="0" w:oddVBand="0" w:evenVBand="0" w:oddHBand="0" w:evenHBand="1" w:firstRowFirstColumn="0" w:firstRowLastColumn="0" w:lastRowFirstColumn="0" w:lastRowLastColumn="0"/>
            </w:pPr>
            <w:r w:rsidRPr="001A0298">
              <w:t>181.9</w:t>
            </w:r>
          </w:p>
        </w:tc>
        <w:tc>
          <w:tcPr>
            <w:tcW w:w="684" w:type="pct"/>
            <w:noWrap/>
            <w:vAlign w:val="bottom"/>
          </w:tcPr>
          <w:p w:rsidR="001A0298" w:rsidRPr="001A0298" w:rsidRDefault="001A0298" w:rsidP="001A0298">
            <w:pPr>
              <w:cnfStyle w:val="000000010000" w:firstRow="0" w:lastRow="0" w:firstColumn="0" w:lastColumn="0" w:oddVBand="0" w:evenVBand="0" w:oddHBand="0" w:evenHBand="1" w:firstRowFirstColumn="0" w:firstRowLastColumn="0" w:lastRowFirstColumn="0" w:lastRowLastColumn="0"/>
            </w:pPr>
            <w:r w:rsidRPr="001A0298">
              <w:t>196.9</w:t>
            </w:r>
          </w:p>
        </w:tc>
        <w:tc>
          <w:tcPr>
            <w:tcW w:w="684" w:type="pct"/>
            <w:noWrap/>
            <w:vAlign w:val="bottom"/>
          </w:tcPr>
          <w:p w:rsidR="001A0298" w:rsidRPr="001A0298" w:rsidRDefault="001A0298" w:rsidP="001A0298">
            <w:pPr>
              <w:cnfStyle w:val="000000010000" w:firstRow="0" w:lastRow="0" w:firstColumn="0" w:lastColumn="0" w:oddVBand="0" w:evenVBand="0" w:oddHBand="0" w:evenHBand="1" w:firstRowFirstColumn="0" w:firstRowLastColumn="0" w:lastRowFirstColumn="0" w:lastRowLastColumn="0"/>
            </w:pPr>
            <w:r w:rsidRPr="001A0298">
              <w:t>212.4</w:t>
            </w:r>
          </w:p>
        </w:tc>
        <w:tc>
          <w:tcPr>
            <w:tcW w:w="683" w:type="pct"/>
            <w:noWrap/>
            <w:vAlign w:val="bottom"/>
          </w:tcPr>
          <w:p w:rsidR="001A0298" w:rsidRPr="001A0298" w:rsidRDefault="001A0298" w:rsidP="001A0298">
            <w:pPr>
              <w:cnfStyle w:val="000000010000" w:firstRow="0" w:lastRow="0" w:firstColumn="0" w:lastColumn="0" w:oddVBand="0" w:evenVBand="0" w:oddHBand="0" w:evenHBand="1" w:firstRowFirstColumn="0" w:firstRowLastColumn="0" w:lastRowFirstColumn="0" w:lastRowLastColumn="0"/>
            </w:pPr>
            <w:r w:rsidRPr="001A0298">
              <w:t>222.0</w:t>
            </w:r>
          </w:p>
        </w:tc>
      </w:tr>
      <w:tr w:rsidR="007F7638" w:rsidRPr="007F7638" w:rsidTr="001A0298">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7F7638" w:rsidRPr="000B1293" w:rsidRDefault="007F7638" w:rsidP="007F7638">
            <w:pPr>
              <w:rPr>
                <w:rStyle w:val="Strong"/>
              </w:rPr>
            </w:pPr>
            <w:r w:rsidRPr="000B1293">
              <w:rPr>
                <w:rStyle w:val="Strong"/>
              </w:rPr>
              <w:t>Closing RAB</w:t>
            </w:r>
          </w:p>
        </w:tc>
        <w:tc>
          <w:tcPr>
            <w:tcW w:w="572" w:type="pct"/>
            <w:noWrap/>
            <w:vAlign w:val="bottom"/>
          </w:tcPr>
          <w:p w:rsidR="007F7638" w:rsidRPr="000B1293" w:rsidRDefault="007F7638" w:rsidP="007F7638">
            <w:pPr>
              <w:cnfStyle w:val="000000000000" w:firstRow="0" w:lastRow="0" w:firstColumn="0" w:lastColumn="0" w:oddVBand="0" w:evenVBand="0" w:oddHBand="0" w:evenHBand="0" w:firstRowFirstColumn="0" w:firstRowLastColumn="0" w:lastRowFirstColumn="0" w:lastRowLastColumn="0"/>
              <w:rPr>
                <w:rStyle w:val="Strong"/>
              </w:rPr>
            </w:pPr>
            <w:r w:rsidRPr="000B1293">
              <w:rPr>
                <w:rStyle w:val="Strong"/>
              </w:rPr>
              <w:t>3558.5</w:t>
            </w:r>
          </w:p>
        </w:tc>
        <w:tc>
          <w:tcPr>
            <w:tcW w:w="684" w:type="pct"/>
            <w:noWrap/>
            <w:vAlign w:val="bottom"/>
          </w:tcPr>
          <w:p w:rsidR="007F7638" w:rsidRPr="000B1293" w:rsidRDefault="007F7638" w:rsidP="007F7638">
            <w:pPr>
              <w:cnfStyle w:val="000000000000" w:firstRow="0" w:lastRow="0" w:firstColumn="0" w:lastColumn="0" w:oddVBand="0" w:evenVBand="0" w:oddHBand="0" w:evenHBand="0" w:firstRowFirstColumn="0" w:firstRowLastColumn="0" w:lastRowFirstColumn="0" w:lastRowLastColumn="0"/>
              <w:rPr>
                <w:rStyle w:val="Strong"/>
              </w:rPr>
            </w:pPr>
            <w:r w:rsidRPr="000B1293">
              <w:rPr>
                <w:rStyle w:val="Strong"/>
              </w:rPr>
              <w:t>3819.1</w:t>
            </w:r>
          </w:p>
        </w:tc>
        <w:tc>
          <w:tcPr>
            <w:tcW w:w="684" w:type="pct"/>
            <w:noWrap/>
            <w:vAlign w:val="bottom"/>
          </w:tcPr>
          <w:p w:rsidR="007F7638" w:rsidRPr="000B1293" w:rsidRDefault="007F7638" w:rsidP="007F7638">
            <w:pPr>
              <w:cnfStyle w:val="000000000000" w:firstRow="0" w:lastRow="0" w:firstColumn="0" w:lastColumn="0" w:oddVBand="0" w:evenVBand="0" w:oddHBand="0" w:evenHBand="0" w:firstRowFirstColumn="0" w:firstRowLastColumn="0" w:lastRowFirstColumn="0" w:lastRowLastColumn="0"/>
              <w:rPr>
                <w:rStyle w:val="Strong"/>
              </w:rPr>
            </w:pPr>
            <w:r w:rsidRPr="000B1293">
              <w:rPr>
                <w:rStyle w:val="Strong"/>
              </w:rPr>
              <w:t>4048.9</w:t>
            </w:r>
          </w:p>
        </w:tc>
        <w:tc>
          <w:tcPr>
            <w:tcW w:w="684" w:type="pct"/>
            <w:noWrap/>
            <w:vAlign w:val="bottom"/>
          </w:tcPr>
          <w:p w:rsidR="007F7638" w:rsidRPr="000B1293" w:rsidRDefault="007F7638" w:rsidP="007F7638">
            <w:pPr>
              <w:cnfStyle w:val="000000000000" w:firstRow="0" w:lastRow="0" w:firstColumn="0" w:lastColumn="0" w:oddVBand="0" w:evenVBand="0" w:oddHBand="0" w:evenHBand="0" w:firstRowFirstColumn="0" w:firstRowLastColumn="0" w:lastRowFirstColumn="0" w:lastRowLastColumn="0"/>
              <w:rPr>
                <w:rStyle w:val="Strong"/>
              </w:rPr>
            </w:pPr>
            <w:r w:rsidRPr="000B1293">
              <w:rPr>
                <w:rStyle w:val="Strong"/>
              </w:rPr>
              <w:t>4283.8</w:t>
            </w:r>
          </w:p>
        </w:tc>
        <w:tc>
          <w:tcPr>
            <w:tcW w:w="683" w:type="pct"/>
            <w:noWrap/>
            <w:vAlign w:val="bottom"/>
          </w:tcPr>
          <w:p w:rsidR="007F7638" w:rsidRPr="000B1293" w:rsidRDefault="007F7638" w:rsidP="007F7638">
            <w:pPr>
              <w:cnfStyle w:val="000000000000" w:firstRow="0" w:lastRow="0" w:firstColumn="0" w:lastColumn="0" w:oddVBand="0" w:evenVBand="0" w:oddHBand="0" w:evenHBand="0" w:firstRowFirstColumn="0" w:firstRowLastColumn="0" w:lastRowFirstColumn="0" w:lastRowLastColumn="0"/>
              <w:rPr>
                <w:rStyle w:val="Strong"/>
              </w:rPr>
            </w:pPr>
            <w:r w:rsidRPr="000B1293">
              <w:rPr>
                <w:rStyle w:val="Strong"/>
              </w:rPr>
              <w:t>4519.3</w:t>
            </w:r>
          </w:p>
        </w:tc>
      </w:tr>
    </w:tbl>
    <w:p w:rsidR="00CB622D" w:rsidRPr="00C37607" w:rsidRDefault="00CB622D" w:rsidP="00CB622D">
      <w:pPr>
        <w:pStyle w:val="AERtablesource"/>
      </w:pPr>
      <w:r w:rsidRPr="00C37607">
        <w:t>Source:</w:t>
      </w:r>
      <w:r w:rsidRPr="00C37607">
        <w:tab/>
        <w:t>AER analysis.</w:t>
      </w:r>
    </w:p>
    <w:p w:rsidR="00CB622D" w:rsidRDefault="009F5546" w:rsidP="00CB622D">
      <w:pPr>
        <w:pStyle w:val="AERtablesource"/>
      </w:pPr>
      <w:r>
        <w:t>(a)</w:t>
      </w:r>
      <w:r w:rsidR="00CB622D" w:rsidRPr="00C37607">
        <w:tab/>
      </w:r>
      <w:r w:rsidR="00E95AF4" w:rsidRPr="009A523C">
        <w:t>Net of disposals and capital contributions.</w:t>
      </w:r>
      <w:r w:rsidR="00E95AF4">
        <w:t xml:space="preserve"> Inclusive of </w:t>
      </w:r>
      <w:r w:rsidR="00E95AF4" w:rsidRPr="00356705">
        <w:t>equity raising costs and the half-WACC to account for the timing assumptions in the PTRM.</w:t>
      </w:r>
    </w:p>
    <w:p w:rsidR="00132D43" w:rsidRDefault="00B47C99" w:rsidP="00132D43">
      <w:pPr>
        <w:pStyle w:val="Heading2"/>
      </w:pPr>
      <w:bookmarkStart w:id="76" w:name="_Toc451284542"/>
      <w:r>
        <w:t>Powercor</w:t>
      </w:r>
      <w:r w:rsidR="005E0E1B">
        <w:t>'s</w:t>
      </w:r>
      <w:r w:rsidR="00132D43">
        <w:t xml:space="preserve"> </w:t>
      </w:r>
      <w:r w:rsidR="000F0F0A">
        <w:t xml:space="preserve">revised </w:t>
      </w:r>
      <w:r w:rsidR="00132D43">
        <w:t>proposal</w:t>
      </w:r>
      <w:bookmarkEnd w:id="76"/>
    </w:p>
    <w:p w:rsidR="001E2DEC" w:rsidRPr="001E2DEC" w:rsidRDefault="00B47C99" w:rsidP="001E2DEC">
      <w:r>
        <w:t>Powercor</w:t>
      </w:r>
      <w:r w:rsidR="001E2DEC" w:rsidRPr="001E2DEC">
        <w:t>'s revised proposal used our RFM to establish an opening RAB as at 1</w:t>
      </w:r>
      <w:r w:rsidR="000B1293">
        <w:t> </w:t>
      </w:r>
      <w:r w:rsidR="001E2DEC" w:rsidRPr="001E2DEC">
        <w:t xml:space="preserve">January 2016 and our PTRM to roll forward the RAB over the 2016–20 regulatory </w:t>
      </w:r>
      <w:r w:rsidR="001E2DEC" w:rsidRPr="001E2DEC">
        <w:lastRenderedPageBreak/>
        <w:t>control period. Its revised proposal submitted an opening RAB value as at 1 January 2016 of $</w:t>
      </w:r>
      <w:r w:rsidR="001E2DEC">
        <w:t>33</w:t>
      </w:r>
      <w:r>
        <w:t>57</w:t>
      </w:r>
      <w:r w:rsidR="001E2DEC">
        <w:t>.</w:t>
      </w:r>
      <w:r>
        <w:t xml:space="preserve">6 </w:t>
      </w:r>
      <w:r w:rsidR="001E2DEC" w:rsidRPr="001E2DEC">
        <w:t>million ($ nominal).</w:t>
      </w:r>
      <w:r w:rsidR="001E2DEC" w:rsidRPr="001E2DEC">
        <w:rPr>
          <w:rStyle w:val="FootnoteReference"/>
        </w:rPr>
        <w:footnoteReference w:id="4"/>
      </w:r>
      <w:r w:rsidR="001E2DEC" w:rsidRPr="001E2DEC">
        <w:t xml:space="preserve">  It adopted the preliminary decision</w:t>
      </w:r>
      <w:r w:rsidR="00ED42BD">
        <w:t>'s</w:t>
      </w:r>
      <w:r w:rsidR="001E2DEC" w:rsidRPr="001E2DEC">
        <w:t>:</w:t>
      </w:r>
      <w:r w:rsidR="001E2DEC" w:rsidRPr="001E2DEC">
        <w:rPr>
          <w:rStyle w:val="FootnoteReference"/>
        </w:rPr>
        <w:footnoteReference w:id="5"/>
      </w:r>
      <w:r w:rsidR="001E2DEC" w:rsidRPr="001E2DEC">
        <w:t xml:space="preserve"> </w:t>
      </w:r>
    </w:p>
    <w:p w:rsidR="001E2DEC" w:rsidRPr="001E2DEC" w:rsidRDefault="001E2DEC" w:rsidP="001E2DEC">
      <w:pPr>
        <w:pStyle w:val="AERbulletlistfirststyle"/>
      </w:pPr>
      <w:r w:rsidRPr="001E2DEC">
        <w:t xml:space="preserve">amendment to the allowed equity raising costs value </w:t>
      </w:r>
    </w:p>
    <w:p w:rsidR="001E2DEC" w:rsidRPr="001E2DEC" w:rsidRDefault="001E2DEC" w:rsidP="001E2DEC">
      <w:pPr>
        <w:pStyle w:val="AERbulletlistfirststyle"/>
      </w:pPr>
      <w:r w:rsidRPr="001E2DEC">
        <w:t>approach to calculating the required 6</w:t>
      </w:r>
      <w:r w:rsidR="00DC2675">
        <w:t>-</w:t>
      </w:r>
      <w:r w:rsidRPr="001E2DEC">
        <w:t xml:space="preserve">month indexation adjustment to the RAB. </w:t>
      </w:r>
    </w:p>
    <w:p w:rsidR="001E2DEC" w:rsidRPr="001E2DEC" w:rsidRDefault="001E2DEC" w:rsidP="00BF6456">
      <w:pPr>
        <w:pStyle w:val="AERbulletlistfirststyle"/>
        <w:numPr>
          <w:ilvl w:val="0"/>
          <w:numId w:val="0"/>
        </w:numPr>
      </w:pPr>
      <w:r w:rsidRPr="001E2DEC">
        <w:t xml:space="preserve">However, </w:t>
      </w:r>
      <w:r w:rsidR="00C96658">
        <w:t>it</w:t>
      </w:r>
      <w:r w:rsidRPr="001E2DEC">
        <w:t xml:space="preserve"> did not adopt the preliminary decision approach to indexing the RAB for actual inflation. </w:t>
      </w:r>
      <w:r w:rsidR="00B47C99">
        <w:t>Powercor</w:t>
      </w:r>
      <w:r w:rsidRPr="001E2DEC">
        <w:t>'s revised proposal applies a one-year lagged actual inflation rate across all components of the RAB roll forward.</w:t>
      </w:r>
      <w:r w:rsidRPr="001E2DEC">
        <w:rPr>
          <w:rStyle w:val="FootnoteReference"/>
        </w:rPr>
        <w:footnoteReference w:id="6"/>
      </w:r>
      <w:r w:rsidRPr="001E2DEC">
        <w:t xml:space="preserve"> </w:t>
      </w:r>
    </w:p>
    <w:p w:rsidR="001E2DEC" w:rsidRPr="001E2DEC" w:rsidRDefault="001E2DEC" w:rsidP="001E2DEC">
      <w:r w:rsidRPr="001E2DEC">
        <w:fldChar w:fldCharType="begin"/>
      </w:r>
      <w:r w:rsidRPr="001E2DEC">
        <w:instrText xml:space="preserve"> REF _Ref441133981 \h </w:instrText>
      </w:r>
      <w:r w:rsidRPr="001E2DEC">
        <w:fldChar w:fldCharType="separate"/>
      </w:r>
      <w:r w:rsidR="00BB6547" w:rsidRPr="001E2DEC">
        <w:t xml:space="preserve">Table </w:t>
      </w:r>
      <w:r w:rsidR="00BB6547">
        <w:rPr>
          <w:noProof/>
        </w:rPr>
        <w:t>2</w:t>
      </w:r>
      <w:r w:rsidR="00BB6547" w:rsidRPr="001E2DEC">
        <w:t>.</w:t>
      </w:r>
      <w:r w:rsidR="00BB6547">
        <w:rPr>
          <w:noProof/>
        </w:rPr>
        <w:t>3</w:t>
      </w:r>
      <w:r w:rsidRPr="001E2DEC">
        <w:fldChar w:fldCharType="end"/>
      </w:r>
      <w:r w:rsidRPr="001E2DEC">
        <w:t xml:space="preserve"> presents </w:t>
      </w:r>
      <w:r w:rsidR="00B47C99">
        <w:t>Powercor</w:t>
      </w:r>
      <w:r w:rsidRPr="001E2DEC">
        <w:t>'s revised proposed roll forward of its RAB during the 2011–15 regulatory control period.</w:t>
      </w:r>
    </w:p>
    <w:p w:rsidR="001E2DEC" w:rsidRPr="001E2DEC" w:rsidRDefault="001E2DEC" w:rsidP="001E2DEC">
      <w:pPr>
        <w:pStyle w:val="Caption"/>
      </w:pPr>
      <w:bookmarkStart w:id="77" w:name="_Ref441133981"/>
      <w:r w:rsidRPr="001E2DEC">
        <w:t xml:space="preserve">Table </w:t>
      </w:r>
      <w:r w:rsidR="00826BBA">
        <w:fldChar w:fldCharType="begin"/>
      </w:r>
      <w:r w:rsidR="00826BBA">
        <w:instrText xml:space="preserve"> STYLEREF 1 \s </w:instrText>
      </w:r>
      <w:r w:rsidR="00826BBA">
        <w:fldChar w:fldCharType="separate"/>
      </w:r>
      <w:r w:rsidR="00BB6547">
        <w:rPr>
          <w:noProof/>
        </w:rPr>
        <w:t>2</w:t>
      </w:r>
      <w:r w:rsidR="00826BBA">
        <w:rPr>
          <w:noProof/>
        </w:rPr>
        <w:fldChar w:fldCharType="end"/>
      </w:r>
      <w:r w:rsidRPr="001E2DEC">
        <w:t>.</w:t>
      </w:r>
      <w:fldSimple w:instr=" SEQ Table \* ARABIC \s 1 ">
        <w:r w:rsidR="00BB6547">
          <w:rPr>
            <w:noProof/>
          </w:rPr>
          <w:t>3</w:t>
        </w:r>
      </w:fldSimple>
      <w:bookmarkEnd w:id="77"/>
      <w:r w:rsidRPr="001E2DEC">
        <w:tab/>
      </w:r>
      <w:r w:rsidR="00B47C99">
        <w:t>Powercor</w:t>
      </w:r>
      <w:r w:rsidRPr="001E2DEC">
        <w:t>'s revised 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1034"/>
        <w:gridCol w:w="1034"/>
        <w:gridCol w:w="1034"/>
        <w:gridCol w:w="1034"/>
      </w:tblGrid>
      <w:tr w:rsidR="001E2DEC" w:rsidRPr="0011410F" w:rsidTr="009F554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 </w:t>
            </w:r>
          </w:p>
        </w:tc>
        <w:tc>
          <w:tcPr>
            <w:tcW w:w="1033"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2011</w:t>
            </w:r>
          </w:p>
        </w:tc>
        <w:tc>
          <w:tcPr>
            <w:tcW w:w="1034"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2012</w:t>
            </w:r>
          </w:p>
        </w:tc>
        <w:tc>
          <w:tcPr>
            <w:tcW w:w="1034"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2013</w:t>
            </w:r>
          </w:p>
        </w:tc>
        <w:tc>
          <w:tcPr>
            <w:tcW w:w="1034"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2014</w:t>
            </w:r>
          </w:p>
        </w:tc>
        <w:tc>
          <w:tcPr>
            <w:tcW w:w="1034"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2015</w:t>
            </w:r>
            <w:r w:rsidRPr="001E2DEC">
              <w:rPr>
                <w:rStyle w:val="AERsuperscript"/>
              </w:rPr>
              <w:t>a</w:t>
            </w:r>
          </w:p>
        </w:tc>
      </w:tr>
      <w:tr w:rsidR="001E2DEC" w:rsidRPr="00F30662" w:rsidTr="009F554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Opening RAB</w:t>
            </w:r>
          </w:p>
        </w:tc>
        <w:tc>
          <w:tcPr>
            <w:tcW w:w="1033"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2212.8</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2397.9</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2621.0</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2832.6</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3086.1</w:t>
            </w:r>
          </w:p>
        </w:tc>
      </w:tr>
      <w:tr w:rsidR="001E2DEC" w:rsidRPr="00F30662" w:rsidTr="009F554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Capital expenditure</w:t>
            </w:r>
            <w:r w:rsidRPr="001E2DEC">
              <w:rPr>
                <w:rStyle w:val="AERsuperscript"/>
              </w:rPr>
              <w:t>b</w:t>
            </w:r>
          </w:p>
        </w:tc>
        <w:tc>
          <w:tcPr>
            <w:tcW w:w="1033"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242.7</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270.9</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302.1</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347.8</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375.7</w:t>
            </w:r>
          </w:p>
        </w:tc>
      </w:tr>
      <w:tr w:rsidR="001E2DEC" w:rsidRPr="00F30662" w:rsidTr="009F554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Inflation indexation on opening RAB</w:t>
            </w:r>
          </w:p>
        </w:tc>
        <w:tc>
          <w:tcPr>
            <w:tcW w:w="1033"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61.7</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84.4</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52.5</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61.2</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71.2</w:t>
            </w:r>
          </w:p>
        </w:tc>
      </w:tr>
      <w:tr w:rsidR="001E2DEC" w:rsidRPr="00F30662" w:rsidTr="009F554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rPr>
                <w:rStyle w:val="AERtextitalic"/>
              </w:rPr>
              <w:t>Less</w:t>
            </w:r>
            <w:r w:rsidRPr="001E2DEC">
              <w:t>: straight-line depreciation</w:t>
            </w:r>
          </w:p>
        </w:tc>
        <w:tc>
          <w:tcPr>
            <w:tcW w:w="1033"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119.3</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132.2</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143.1</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155.5</w:t>
            </w: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171.6</w:t>
            </w:r>
          </w:p>
        </w:tc>
      </w:tr>
      <w:tr w:rsidR="001E2DEC" w:rsidRPr="008978BA" w:rsidTr="009F554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Closing RAB</w:t>
            </w:r>
          </w:p>
        </w:tc>
        <w:tc>
          <w:tcPr>
            <w:tcW w:w="1033"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2397.9</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2621.0</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2832.6</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3086.1</w:t>
            </w: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3361.4</w:t>
            </w:r>
          </w:p>
        </w:tc>
      </w:tr>
      <w:tr w:rsidR="001E2DEC" w:rsidRPr="00F30662" w:rsidTr="009F554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Difference between estimated and actual 2010 capex (1 January 2010 to 31 December 2010)</w:t>
            </w:r>
          </w:p>
        </w:tc>
        <w:tc>
          <w:tcPr>
            <w:tcW w:w="1033" w:type="dxa"/>
            <w:vAlign w:val="bottom"/>
          </w:tcPr>
          <w:p w:rsidR="001E2DEC" w:rsidRPr="001E2DEC" w:rsidRDefault="001E2DEC">
            <w:pPr>
              <w:cnfStyle w:val="000000010000" w:firstRow="0" w:lastRow="0" w:firstColumn="0" w:lastColumn="0" w:oddVBand="0" w:evenVBand="0" w:oddHBand="0" w:evenHBand="1" w:firstRowFirstColumn="0" w:firstRowLastColumn="0" w:lastRowFirstColumn="0" w:lastRowLastColumn="0"/>
            </w:pPr>
            <w:r w:rsidRPr="001E2DEC">
              <w:t> </w:t>
            </w:r>
          </w:p>
        </w:tc>
        <w:tc>
          <w:tcPr>
            <w:tcW w:w="1034" w:type="dxa"/>
            <w:vAlign w:val="bottom"/>
          </w:tcPr>
          <w:p w:rsidR="001E2DEC" w:rsidRPr="001E2DEC" w:rsidRDefault="001E2DEC">
            <w:pPr>
              <w:cnfStyle w:val="000000010000" w:firstRow="0" w:lastRow="0" w:firstColumn="0" w:lastColumn="0" w:oddVBand="0" w:evenVBand="0" w:oddHBand="0" w:evenHBand="1" w:firstRowFirstColumn="0" w:firstRowLastColumn="0" w:lastRowFirstColumn="0" w:lastRowLastColumn="0"/>
            </w:pPr>
            <w:r w:rsidRPr="001E2DEC">
              <w:t> </w:t>
            </w:r>
          </w:p>
        </w:tc>
        <w:tc>
          <w:tcPr>
            <w:tcW w:w="1034" w:type="dxa"/>
            <w:vAlign w:val="bottom"/>
          </w:tcPr>
          <w:p w:rsidR="001E2DEC" w:rsidRPr="001E2DEC" w:rsidRDefault="001E2DEC">
            <w:pPr>
              <w:cnfStyle w:val="000000010000" w:firstRow="0" w:lastRow="0" w:firstColumn="0" w:lastColumn="0" w:oddVBand="0" w:evenVBand="0" w:oddHBand="0" w:evenHBand="1" w:firstRowFirstColumn="0" w:firstRowLastColumn="0" w:lastRowFirstColumn="0" w:lastRowLastColumn="0"/>
            </w:pPr>
            <w:r w:rsidRPr="001E2DEC">
              <w:t> </w:t>
            </w:r>
          </w:p>
        </w:tc>
        <w:tc>
          <w:tcPr>
            <w:tcW w:w="1034" w:type="dxa"/>
            <w:vAlign w:val="bottom"/>
          </w:tcPr>
          <w:p w:rsidR="001E2DEC" w:rsidRPr="001E2DEC" w:rsidRDefault="001E2DEC">
            <w:pPr>
              <w:cnfStyle w:val="000000010000" w:firstRow="0" w:lastRow="0" w:firstColumn="0" w:lastColumn="0" w:oddVBand="0" w:evenVBand="0" w:oddHBand="0" w:evenHBand="1" w:firstRowFirstColumn="0" w:firstRowLastColumn="0" w:lastRowFirstColumn="0" w:lastRowLastColumn="0"/>
            </w:pPr>
            <w:r w:rsidRPr="001E2DEC">
              <w:t> </w:t>
            </w:r>
          </w:p>
        </w:tc>
        <w:tc>
          <w:tcPr>
            <w:tcW w:w="1034" w:type="dxa"/>
            <w:vAlign w:val="bottom"/>
          </w:tcPr>
          <w:p w:rsidR="001E2DEC" w:rsidRPr="001E2DEC" w:rsidRDefault="00C96658" w:rsidP="001E2DEC">
            <w:pPr>
              <w:cnfStyle w:val="000000010000" w:firstRow="0" w:lastRow="0" w:firstColumn="0" w:lastColumn="0" w:oddVBand="0" w:evenVBand="0" w:oddHBand="0" w:evenHBand="1" w:firstRowFirstColumn="0" w:firstRowLastColumn="0" w:lastRowFirstColumn="0" w:lastRowLastColumn="0"/>
            </w:pPr>
            <w:r>
              <w:t>–</w:t>
            </w:r>
            <w:r w:rsidR="001E2DEC" w:rsidRPr="001E2DEC">
              <w:t>18.7</w:t>
            </w:r>
          </w:p>
        </w:tc>
      </w:tr>
      <w:tr w:rsidR="001E2DEC" w:rsidRPr="00F30662" w:rsidTr="009F554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r w:rsidRPr="001E2DEC">
              <w:t>Return on difference for 2010  capex</w:t>
            </w:r>
          </w:p>
        </w:tc>
        <w:tc>
          <w:tcPr>
            <w:tcW w:w="1033" w:type="dxa"/>
            <w:vAlign w:val="bottom"/>
          </w:tcPr>
          <w:p w:rsidR="001E2DEC" w:rsidRPr="001E2DEC" w:rsidRDefault="001E2DEC">
            <w:pPr>
              <w:cnfStyle w:val="000000000000" w:firstRow="0" w:lastRow="0" w:firstColumn="0" w:lastColumn="0" w:oddVBand="0" w:evenVBand="0" w:oddHBand="0" w:evenHBand="0" w:firstRowFirstColumn="0" w:firstRowLastColumn="0" w:lastRowFirstColumn="0" w:lastRowLastColumn="0"/>
            </w:pPr>
            <w:r w:rsidRPr="001E2DEC">
              <w:t> </w:t>
            </w:r>
          </w:p>
        </w:tc>
        <w:tc>
          <w:tcPr>
            <w:tcW w:w="1034" w:type="dxa"/>
            <w:vAlign w:val="bottom"/>
          </w:tcPr>
          <w:p w:rsidR="001E2DEC" w:rsidRPr="001E2DEC" w:rsidRDefault="001E2DEC">
            <w:pPr>
              <w:cnfStyle w:val="000000000000" w:firstRow="0" w:lastRow="0" w:firstColumn="0" w:lastColumn="0" w:oddVBand="0" w:evenVBand="0" w:oddHBand="0" w:evenHBand="0" w:firstRowFirstColumn="0" w:firstRowLastColumn="0" w:lastRowFirstColumn="0" w:lastRowLastColumn="0"/>
            </w:pPr>
            <w:r w:rsidRPr="001E2DEC">
              <w:t> </w:t>
            </w:r>
          </w:p>
        </w:tc>
        <w:tc>
          <w:tcPr>
            <w:tcW w:w="1034" w:type="dxa"/>
            <w:vAlign w:val="bottom"/>
          </w:tcPr>
          <w:p w:rsidR="001E2DEC" w:rsidRPr="001E2DEC" w:rsidRDefault="001E2DEC">
            <w:pPr>
              <w:cnfStyle w:val="000000000000" w:firstRow="0" w:lastRow="0" w:firstColumn="0" w:lastColumn="0" w:oddVBand="0" w:evenVBand="0" w:oddHBand="0" w:evenHBand="0" w:firstRowFirstColumn="0" w:firstRowLastColumn="0" w:lastRowFirstColumn="0" w:lastRowLastColumn="0"/>
            </w:pPr>
            <w:r w:rsidRPr="001E2DEC">
              <w:t> </w:t>
            </w:r>
          </w:p>
        </w:tc>
        <w:tc>
          <w:tcPr>
            <w:tcW w:w="1034" w:type="dxa"/>
            <w:vAlign w:val="bottom"/>
          </w:tcPr>
          <w:p w:rsidR="001E2DEC" w:rsidRPr="001E2DEC" w:rsidRDefault="001E2DEC">
            <w:pPr>
              <w:cnfStyle w:val="000000000000" w:firstRow="0" w:lastRow="0" w:firstColumn="0" w:lastColumn="0" w:oddVBand="0" w:evenVBand="0" w:oddHBand="0" w:evenHBand="0" w:firstRowFirstColumn="0" w:firstRowLastColumn="0" w:lastRowFirstColumn="0" w:lastRowLastColumn="0"/>
            </w:pPr>
            <w:r w:rsidRPr="001E2DEC">
              <w:t> </w:t>
            </w:r>
          </w:p>
        </w:tc>
        <w:tc>
          <w:tcPr>
            <w:tcW w:w="1034" w:type="dxa"/>
            <w:vAlign w:val="bottom"/>
          </w:tcPr>
          <w:p w:rsidR="001E2DEC" w:rsidRPr="001E2DEC" w:rsidRDefault="00C96658" w:rsidP="001E2DEC">
            <w:pPr>
              <w:cnfStyle w:val="000000000000" w:firstRow="0" w:lastRow="0" w:firstColumn="0" w:lastColumn="0" w:oddVBand="0" w:evenVBand="0" w:oddHBand="0" w:evenHBand="0" w:firstRowFirstColumn="0" w:firstRowLastColumn="0" w:lastRowFirstColumn="0" w:lastRowLastColumn="0"/>
            </w:pPr>
            <w:r>
              <w:t>–</w:t>
            </w:r>
            <w:r w:rsidR="001E2DEC" w:rsidRPr="001E2DEC">
              <w:t>10.7</w:t>
            </w:r>
          </w:p>
        </w:tc>
      </w:tr>
      <w:tr w:rsidR="001E2DEC" w:rsidRPr="009A523C" w:rsidTr="009F554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1E2DEC" w:rsidRPr="001E2DEC" w:rsidRDefault="001E2DEC" w:rsidP="001E2DEC">
            <w:r w:rsidRPr="001E2DEC">
              <w:t>Six month CPI adjustment</w:t>
            </w:r>
          </w:p>
        </w:tc>
        <w:tc>
          <w:tcPr>
            <w:tcW w:w="1033" w:type="dxa"/>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t>25.5</w:t>
            </w:r>
          </w:p>
        </w:tc>
      </w:tr>
      <w:tr w:rsidR="001E2DEC" w:rsidRPr="00063DD0" w:rsidTr="009F554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1E2DEC" w:rsidRPr="001E2DEC" w:rsidRDefault="001E2DEC" w:rsidP="001E2DEC">
            <w:pPr>
              <w:rPr>
                <w:rStyle w:val="Strong"/>
              </w:rPr>
            </w:pPr>
            <w:r w:rsidRPr="001E2DEC">
              <w:rPr>
                <w:rStyle w:val="Strong"/>
              </w:rPr>
              <w:t>Closing RAB as at 31 December 2015</w:t>
            </w:r>
          </w:p>
        </w:tc>
        <w:tc>
          <w:tcPr>
            <w:tcW w:w="1033" w:type="dxa"/>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p>
        </w:tc>
        <w:tc>
          <w:tcPr>
            <w:tcW w:w="1034"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3357.6</w:t>
            </w:r>
          </w:p>
        </w:tc>
      </w:tr>
    </w:tbl>
    <w:p w:rsidR="001E2DEC" w:rsidRPr="001E2DEC" w:rsidRDefault="001E2DEC" w:rsidP="001E2DEC">
      <w:pPr>
        <w:pStyle w:val="AERtablesource"/>
      </w:pPr>
      <w:r w:rsidRPr="001E2DEC">
        <w:t>Source:</w:t>
      </w:r>
      <w:r w:rsidRPr="001E2DEC">
        <w:tab/>
      </w:r>
      <w:r w:rsidR="00B47C99">
        <w:t>Powercor</w:t>
      </w:r>
      <w:r w:rsidRPr="001E2DEC">
        <w:t xml:space="preserve">, </w:t>
      </w:r>
      <w:r w:rsidRPr="001E2DEC">
        <w:rPr>
          <w:rStyle w:val="AERtextitalic"/>
        </w:rPr>
        <w:t>Revised regulatory proposal</w:t>
      </w:r>
      <w:r w:rsidRPr="001E2DEC">
        <w:t xml:space="preserve">, </w:t>
      </w:r>
      <w:r w:rsidR="00ED42BD" w:rsidRPr="00E95AF4">
        <w:rPr>
          <w:rStyle w:val="Emphasis"/>
        </w:rPr>
        <w:t>Roll forward model</w:t>
      </w:r>
      <w:r w:rsidR="00ED42BD">
        <w:t>,</w:t>
      </w:r>
      <w:r w:rsidR="00ED42BD" w:rsidRPr="00ED42BD">
        <w:t xml:space="preserve"> </w:t>
      </w:r>
      <w:r w:rsidRPr="001E2DEC">
        <w:t>January 2016</w:t>
      </w:r>
      <w:r w:rsidR="00ED42BD">
        <w:t>.</w:t>
      </w:r>
    </w:p>
    <w:p w:rsidR="001E2DEC" w:rsidRPr="001E2DEC" w:rsidRDefault="001E2DEC" w:rsidP="001E2DEC">
      <w:pPr>
        <w:pStyle w:val="AERtablesource"/>
      </w:pPr>
      <w:r w:rsidRPr="001E2DEC">
        <w:t>(a)</w:t>
      </w:r>
      <w:r w:rsidRPr="001E2DEC">
        <w:tab/>
        <w:t>Based on estimated capex.</w:t>
      </w:r>
    </w:p>
    <w:p w:rsidR="001E2DEC" w:rsidRPr="001E2DEC" w:rsidRDefault="001E2DEC" w:rsidP="001E2DEC">
      <w:pPr>
        <w:pStyle w:val="AERtablesource"/>
      </w:pPr>
      <w:r w:rsidRPr="001E2DEC">
        <w:t>(b)</w:t>
      </w:r>
      <w:r w:rsidRPr="001E2DEC">
        <w:tab/>
        <w:t>Net of disposals and capital contributions, and adjusted for CPI.</w:t>
      </w:r>
    </w:p>
    <w:p w:rsidR="001E2DEC" w:rsidRPr="001E2DEC" w:rsidRDefault="00B47C99" w:rsidP="001E2DEC">
      <w:r>
        <w:t>Powercor</w:t>
      </w:r>
      <w:r w:rsidR="001E2DEC" w:rsidRPr="001E2DEC">
        <w:t xml:space="preserve"> proposed a revised closing forecast RAB as at 31 December 2020 of $</w:t>
      </w:r>
      <w:r w:rsidR="001E2DEC">
        <w:t>4789.6</w:t>
      </w:r>
      <w:r w:rsidR="001E2DEC" w:rsidRPr="001E2DEC">
        <w:t> million ($ nominal). This value reflects its revised proposed opening RAB at 1 January 2016, forecast capex (inclusive of some asset reallocation between asset classes),</w:t>
      </w:r>
      <w:r w:rsidR="001E2DEC" w:rsidRPr="001E2DEC">
        <w:rPr>
          <w:rStyle w:val="FootnoteReference"/>
        </w:rPr>
        <w:footnoteReference w:id="7"/>
      </w:r>
      <w:r w:rsidR="001E2DEC" w:rsidRPr="001E2DEC">
        <w:t xml:space="preserve"> </w:t>
      </w:r>
      <w:r w:rsidR="00E044FB">
        <w:t>expected</w:t>
      </w:r>
      <w:r w:rsidR="001E2DEC" w:rsidRPr="001E2DEC">
        <w:t xml:space="preserve"> inflation, and depreciation (based on forecast capex) over the </w:t>
      </w:r>
      <w:r w:rsidR="001E2DEC" w:rsidRPr="001E2DEC">
        <w:lastRenderedPageBreak/>
        <w:t xml:space="preserve">2016–20 regulatory control period. Its projected RAB over the 2016–20 regulatory control period is shown in </w:t>
      </w:r>
      <w:r w:rsidR="001E2DEC" w:rsidRPr="001E2DEC">
        <w:fldChar w:fldCharType="begin"/>
      </w:r>
      <w:r w:rsidR="001E2DEC" w:rsidRPr="001E2DEC">
        <w:instrText xml:space="preserve"> REF _Ref441134358 \h </w:instrText>
      </w:r>
      <w:r w:rsidR="001E2DEC" w:rsidRPr="001E2DEC">
        <w:fldChar w:fldCharType="separate"/>
      </w:r>
      <w:r w:rsidR="00BB6547" w:rsidRPr="001E2DEC">
        <w:t xml:space="preserve">Table </w:t>
      </w:r>
      <w:r w:rsidR="00BB6547">
        <w:rPr>
          <w:noProof/>
        </w:rPr>
        <w:t>2</w:t>
      </w:r>
      <w:r w:rsidR="00BB6547" w:rsidRPr="001E2DEC">
        <w:t>.</w:t>
      </w:r>
      <w:r w:rsidR="00BB6547">
        <w:rPr>
          <w:noProof/>
        </w:rPr>
        <w:t>4</w:t>
      </w:r>
      <w:r w:rsidR="001E2DEC" w:rsidRPr="001E2DEC">
        <w:fldChar w:fldCharType="end"/>
      </w:r>
      <w:r w:rsidR="001E2DEC" w:rsidRPr="001E2DEC">
        <w:t>.</w:t>
      </w:r>
    </w:p>
    <w:p w:rsidR="001E2DEC" w:rsidRPr="001E2DEC" w:rsidRDefault="001E2DEC" w:rsidP="001E2DEC">
      <w:pPr>
        <w:pStyle w:val="Caption"/>
      </w:pPr>
      <w:bookmarkStart w:id="78" w:name="_Ref441134358"/>
      <w:r w:rsidRPr="001E2DEC">
        <w:t xml:space="preserve">Table </w:t>
      </w:r>
      <w:r w:rsidR="00826BBA">
        <w:fldChar w:fldCharType="begin"/>
      </w:r>
      <w:r w:rsidR="00826BBA">
        <w:instrText xml:space="preserve"> STYLEREF 1 \s </w:instrText>
      </w:r>
      <w:r w:rsidR="00826BBA">
        <w:fldChar w:fldCharType="separate"/>
      </w:r>
      <w:r w:rsidR="00BB6547">
        <w:rPr>
          <w:noProof/>
        </w:rPr>
        <w:t>2</w:t>
      </w:r>
      <w:r w:rsidR="00826BBA">
        <w:rPr>
          <w:noProof/>
        </w:rPr>
        <w:fldChar w:fldCharType="end"/>
      </w:r>
      <w:r w:rsidRPr="001E2DEC">
        <w:t>.</w:t>
      </w:r>
      <w:fldSimple w:instr=" SEQ Table \* ARABIC \s 1 ">
        <w:r w:rsidR="00BB6547">
          <w:rPr>
            <w:noProof/>
          </w:rPr>
          <w:t>4</w:t>
        </w:r>
      </w:fldSimple>
      <w:bookmarkEnd w:id="78"/>
      <w:r w:rsidRPr="001E2DEC">
        <w:tab/>
      </w:r>
      <w:r w:rsidR="00B47C99">
        <w:t>Powercor</w:t>
      </w:r>
      <w:r w:rsidRPr="001E2DEC">
        <w:t>'s revised proposed RAB for the 2016–20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1E2DEC" w:rsidRPr="00237902" w:rsidTr="009F554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1E2DEC" w:rsidRDefault="001E2DEC" w:rsidP="001E2DEC">
            <w:r w:rsidRPr="001E2DEC">
              <w:t> </w:t>
            </w:r>
          </w:p>
        </w:tc>
        <w:tc>
          <w:tcPr>
            <w:tcW w:w="1067"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2016</w:t>
            </w:r>
          </w:p>
        </w:tc>
        <w:tc>
          <w:tcPr>
            <w:tcW w:w="1068"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2017</w:t>
            </w:r>
          </w:p>
        </w:tc>
        <w:tc>
          <w:tcPr>
            <w:tcW w:w="1068"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2018</w:t>
            </w:r>
          </w:p>
        </w:tc>
        <w:tc>
          <w:tcPr>
            <w:tcW w:w="1068"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2019</w:t>
            </w:r>
          </w:p>
        </w:tc>
        <w:tc>
          <w:tcPr>
            <w:tcW w:w="1068" w:type="dxa"/>
            <w:noWrap/>
            <w:hideMark/>
          </w:tcPr>
          <w:p w:rsidR="001E2DEC" w:rsidRPr="001E2DEC" w:rsidRDefault="001E2DEC" w:rsidP="001E2DEC">
            <w:pPr>
              <w:cnfStyle w:val="100000000000" w:firstRow="1" w:lastRow="0" w:firstColumn="0" w:lastColumn="0" w:oddVBand="0" w:evenVBand="0" w:oddHBand="0" w:evenHBand="0" w:firstRowFirstColumn="0" w:firstRowLastColumn="0" w:lastRowFirstColumn="0" w:lastRowLastColumn="0"/>
            </w:pPr>
            <w:r w:rsidRPr="001E2DEC">
              <w:t>2020</w:t>
            </w:r>
          </w:p>
        </w:tc>
      </w:tr>
      <w:tr w:rsidR="001E2DEC" w:rsidRPr="00237902" w:rsidTr="009F554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1E2DEC" w:rsidRDefault="001E2DEC" w:rsidP="001E2DEC">
            <w:r w:rsidRPr="001E2DEC">
              <w:t>Opening RAB</w:t>
            </w:r>
          </w:p>
        </w:tc>
        <w:tc>
          <w:tcPr>
            <w:tcW w:w="1067"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3357.6</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3637.6</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3937.2</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4224.4</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4505.0</w:t>
            </w:r>
          </w:p>
        </w:tc>
      </w:tr>
      <w:tr w:rsidR="001E2DEC" w:rsidRPr="00237902" w:rsidTr="009F554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1E2DEC" w:rsidRDefault="001E2DEC" w:rsidP="001E2DEC">
            <w:r w:rsidRPr="001E2DEC">
              <w:t>Capital expenditure</w:t>
            </w:r>
            <w:r w:rsidRPr="001E2DEC">
              <w:rPr>
                <w:rStyle w:val="AERsuperscript"/>
              </w:rPr>
              <w:t>a</w:t>
            </w:r>
          </w:p>
        </w:tc>
        <w:tc>
          <w:tcPr>
            <w:tcW w:w="1067"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382.9</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391.7</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388.9</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393.3</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402.1</w:t>
            </w:r>
          </w:p>
        </w:tc>
      </w:tr>
      <w:tr w:rsidR="001E2DEC" w:rsidRPr="00237902" w:rsidTr="009F554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1E2DEC" w:rsidRDefault="001E2DEC" w:rsidP="001E2DEC">
            <w:r w:rsidRPr="001E2DEC">
              <w:t>Inflation indexation on opening RAB</w:t>
            </w:r>
          </w:p>
        </w:tc>
        <w:tc>
          <w:tcPr>
            <w:tcW w:w="1067"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83.9</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90.9</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98.4</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105.6</w:t>
            </w:r>
          </w:p>
        </w:tc>
        <w:tc>
          <w:tcPr>
            <w:tcW w:w="1068" w:type="dxa"/>
            <w:noWrap/>
            <w:vAlign w:val="bottom"/>
          </w:tcPr>
          <w:p w:rsidR="001E2DEC" w:rsidRPr="001E2DEC" w:rsidRDefault="001E2DEC" w:rsidP="001E2DEC">
            <w:pPr>
              <w:cnfStyle w:val="000000000000" w:firstRow="0" w:lastRow="0" w:firstColumn="0" w:lastColumn="0" w:oddVBand="0" w:evenVBand="0" w:oddHBand="0" w:evenHBand="0" w:firstRowFirstColumn="0" w:firstRowLastColumn="0" w:lastRowFirstColumn="0" w:lastRowLastColumn="0"/>
            </w:pPr>
            <w:r w:rsidRPr="001E2DEC">
              <w:t>112.6</w:t>
            </w:r>
          </w:p>
        </w:tc>
      </w:tr>
      <w:tr w:rsidR="001E2DEC" w:rsidRPr="00237902" w:rsidTr="009F554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1E2DEC" w:rsidRDefault="001E2DEC" w:rsidP="001E2DEC">
            <w:r w:rsidRPr="001E2DEC">
              <w:rPr>
                <w:rStyle w:val="AERtextitalic"/>
              </w:rPr>
              <w:t>Less</w:t>
            </w:r>
            <w:r w:rsidRPr="001E2DEC">
              <w:t>: straight-line depreciation</w:t>
            </w:r>
          </w:p>
        </w:tc>
        <w:tc>
          <w:tcPr>
            <w:tcW w:w="1067"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186.9</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183.1</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200.1</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218.3</w:t>
            </w:r>
          </w:p>
        </w:tc>
        <w:tc>
          <w:tcPr>
            <w:tcW w:w="1068" w:type="dxa"/>
            <w:noWrap/>
            <w:vAlign w:val="bottom"/>
          </w:tcPr>
          <w:p w:rsidR="001E2DEC" w:rsidRPr="001E2DEC" w:rsidRDefault="001E2DEC" w:rsidP="001E2DEC">
            <w:pPr>
              <w:cnfStyle w:val="000000010000" w:firstRow="0" w:lastRow="0" w:firstColumn="0" w:lastColumn="0" w:oddVBand="0" w:evenVBand="0" w:oddHBand="0" w:evenHBand="1" w:firstRowFirstColumn="0" w:firstRowLastColumn="0" w:lastRowFirstColumn="0" w:lastRowLastColumn="0"/>
            </w:pPr>
            <w:r w:rsidRPr="001E2DEC">
              <w:t>230.0</w:t>
            </w:r>
          </w:p>
        </w:tc>
      </w:tr>
      <w:tr w:rsidR="001E2DEC" w:rsidRPr="006B1A51" w:rsidTr="009F554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1E2DEC" w:rsidRPr="006B1A51" w:rsidRDefault="001E2DEC" w:rsidP="00C96658">
            <w:pPr>
              <w:pStyle w:val="ListContinue"/>
              <w:ind w:left="0"/>
              <w:rPr>
                <w:rStyle w:val="Strong"/>
              </w:rPr>
            </w:pPr>
            <w:r w:rsidRPr="006B1A51">
              <w:rPr>
                <w:rStyle w:val="Strong"/>
              </w:rPr>
              <w:t>Closing RAB</w:t>
            </w:r>
          </w:p>
        </w:tc>
        <w:tc>
          <w:tcPr>
            <w:tcW w:w="1067" w:type="dxa"/>
            <w:noWrap/>
            <w:vAlign w:val="bottom"/>
          </w:tcPr>
          <w:p w:rsidR="001E2DEC" w:rsidRPr="006B1A51" w:rsidRDefault="001E2DEC" w:rsidP="00C96658">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6B1A51">
              <w:rPr>
                <w:rStyle w:val="Strong"/>
              </w:rPr>
              <w:t>3637.6</w:t>
            </w:r>
          </w:p>
        </w:tc>
        <w:tc>
          <w:tcPr>
            <w:tcW w:w="1068" w:type="dxa"/>
            <w:noWrap/>
            <w:vAlign w:val="bottom"/>
          </w:tcPr>
          <w:p w:rsidR="001E2DEC" w:rsidRPr="006B1A51" w:rsidRDefault="001E2DEC" w:rsidP="00C96658">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6B1A51">
              <w:rPr>
                <w:rStyle w:val="Strong"/>
              </w:rPr>
              <w:t>3937.2</w:t>
            </w:r>
          </w:p>
        </w:tc>
        <w:tc>
          <w:tcPr>
            <w:tcW w:w="1068" w:type="dxa"/>
            <w:noWrap/>
            <w:vAlign w:val="bottom"/>
          </w:tcPr>
          <w:p w:rsidR="001E2DEC" w:rsidRPr="006B1A51" w:rsidRDefault="001E2DEC" w:rsidP="00C96658">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6B1A51">
              <w:rPr>
                <w:rStyle w:val="Strong"/>
              </w:rPr>
              <w:t>4224.4</w:t>
            </w:r>
          </w:p>
        </w:tc>
        <w:tc>
          <w:tcPr>
            <w:tcW w:w="1068" w:type="dxa"/>
            <w:noWrap/>
            <w:vAlign w:val="bottom"/>
          </w:tcPr>
          <w:p w:rsidR="001E2DEC" w:rsidRPr="006B1A51" w:rsidRDefault="001E2DEC" w:rsidP="00C96658">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6B1A51">
              <w:rPr>
                <w:rStyle w:val="Strong"/>
              </w:rPr>
              <w:t>4505.0</w:t>
            </w:r>
          </w:p>
        </w:tc>
        <w:tc>
          <w:tcPr>
            <w:tcW w:w="1068" w:type="dxa"/>
            <w:noWrap/>
            <w:vAlign w:val="bottom"/>
          </w:tcPr>
          <w:p w:rsidR="001E2DEC" w:rsidRPr="006B1A51" w:rsidRDefault="001E2DEC" w:rsidP="00C96658">
            <w:pPr>
              <w:pStyle w:val="ListContinue"/>
              <w:cnfStyle w:val="000000000000" w:firstRow="0" w:lastRow="0" w:firstColumn="0" w:lastColumn="0" w:oddVBand="0" w:evenVBand="0" w:oddHBand="0" w:evenHBand="0" w:firstRowFirstColumn="0" w:firstRowLastColumn="0" w:lastRowFirstColumn="0" w:lastRowLastColumn="0"/>
              <w:rPr>
                <w:rStyle w:val="Strong"/>
              </w:rPr>
            </w:pPr>
            <w:r w:rsidRPr="006B1A51">
              <w:rPr>
                <w:rStyle w:val="Strong"/>
              </w:rPr>
              <w:t>4789.6</w:t>
            </w:r>
          </w:p>
        </w:tc>
      </w:tr>
    </w:tbl>
    <w:p w:rsidR="001E2DEC" w:rsidRPr="001E2DEC" w:rsidRDefault="001E2DEC" w:rsidP="001E2DEC">
      <w:pPr>
        <w:pStyle w:val="AERtablesource"/>
      </w:pPr>
      <w:r w:rsidRPr="001E2DEC">
        <w:t>Source:</w:t>
      </w:r>
      <w:r w:rsidRPr="001E2DEC">
        <w:tab/>
      </w:r>
      <w:r w:rsidR="00B47C99">
        <w:t>Powercor</w:t>
      </w:r>
      <w:r w:rsidRPr="001E2DEC">
        <w:t xml:space="preserve">, </w:t>
      </w:r>
      <w:r w:rsidRPr="001E2DEC">
        <w:rPr>
          <w:rStyle w:val="AERtextitalic"/>
        </w:rPr>
        <w:t>Revised regulatory proposal</w:t>
      </w:r>
      <w:r w:rsidRPr="001E2DEC">
        <w:t xml:space="preserve">, </w:t>
      </w:r>
      <w:r w:rsidR="00ED42BD" w:rsidRPr="00E95AF4">
        <w:rPr>
          <w:rStyle w:val="Emphasis"/>
        </w:rPr>
        <w:t>Post-tax revenue model</w:t>
      </w:r>
      <w:r w:rsidR="00ED42BD">
        <w:t>,</w:t>
      </w:r>
      <w:r w:rsidR="00ED42BD" w:rsidRPr="00ED42BD">
        <w:t xml:space="preserve"> </w:t>
      </w:r>
      <w:r w:rsidRPr="001E2DEC">
        <w:t>January 2016</w:t>
      </w:r>
      <w:r w:rsidR="00ED42BD">
        <w:t>.</w:t>
      </w:r>
    </w:p>
    <w:p w:rsidR="001E2DEC" w:rsidRPr="001E2DEC" w:rsidRDefault="001E2DEC" w:rsidP="001E2DEC">
      <w:pPr>
        <w:pStyle w:val="AERtablesource"/>
      </w:pPr>
      <w:r w:rsidRPr="001E2DEC">
        <w:t>(a)</w:t>
      </w:r>
      <w:r w:rsidRPr="001E2DEC">
        <w:tab/>
      </w:r>
      <w:r w:rsidR="00E95AF4" w:rsidRPr="009A523C">
        <w:t>Net of disposals and capital contributions.</w:t>
      </w:r>
      <w:r w:rsidR="00E95AF4">
        <w:t xml:space="preserve"> </w:t>
      </w:r>
      <w:r w:rsidR="00E95AF4" w:rsidRPr="003438BE">
        <w:t>Inclusive of equ</w:t>
      </w:r>
      <w:r w:rsidR="00E95AF4">
        <w:t>ity raising costs and the half-</w:t>
      </w:r>
      <w:r w:rsidR="00E95AF4" w:rsidRPr="003438BE">
        <w:t>WACC to account for the timing assumptions in the PTRM.</w:t>
      </w:r>
    </w:p>
    <w:p w:rsidR="00132D43" w:rsidRDefault="00132D43" w:rsidP="00132D43">
      <w:pPr>
        <w:pStyle w:val="Heading2"/>
      </w:pPr>
      <w:bookmarkStart w:id="79" w:name="_Toc451284543"/>
      <w:r>
        <w:t>Assessment approach</w:t>
      </w:r>
      <w:bookmarkEnd w:id="79"/>
    </w:p>
    <w:p w:rsidR="00132D43" w:rsidRDefault="00CB622D" w:rsidP="00132D43">
      <w:r>
        <w:t>Many aspects of</w:t>
      </w:r>
      <w:r w:rsidRPr="00C7256C">
        <w:t xml:space="preserve"> our assessment approach for </w:t>
      </w:r>
      <w:r>
        <w:t>the RAB</w:t>
      </w:r>
      <w:r w:rsidRPr="00C7256C">
        <w:t xml:space="preserve"> from our preliminary</w:t>
      </w:r>
      <w:r>
        <w:t xml:space="preserve"> decision remain unchanged. </w:t>
      </w:r>
      <w:r w:rsidRPr="00E004A9">
        <w:t xml:space="preserve">Section </w:t>
      </w:r>
      <w:r>
        <w:t>2</w:t>
      </w:r>
      <w:r w:rsidRPr="00E004A9">
        <w:t>.3 of our preliminary decision details th</w:t>
      </w:r>
      <w:r>
        <w:t>e general</w:t>
      </w:r>
      <w:r w:rsidRPr="00E004A9">
        <w:t xml:space="preserve"> approach.</w:t>
      </w:r>
      <w:r w:rsidRPr="00AA46DB">
        <w:rPr>
          <w:rStyle w:val="FootnoteReference"/>
        </w:rPr>
        <w:t xml:space="preserve"> </w:t>
      </w:r>
      <w:r>
        <w:rPr>
          <w:rStyle w:val="FootnoteReference"/>
        </w:rPr>
        <w:footnoteReference w:id="8"/>
      </w:r>
      <w:r>
        <w:t xml:space="preserve"> However, we have accepted a change to the approach for indexation of the opening RAB for </w:t>
      </w:r>
      <w:r w:rsidR="00B47C99">
        <w:t>Powercor</w:t>
      </w:r>
      <w:r>
        <w:t xml:space="preserve">. Section 2.4.1 discusses this change as it affects </w:t>
      </w:r>
      <w:r w:rsidR="00B47C99">
        <w:t>Powercor</w:t>
      </w:r>
      <w:r>
        <w:t>.</w:t>
      </w:r>
    </w:p>
    <w:p w:rsidR="00132D43" w:rsidRDefault="00132D43" w:rsidP="00132D43">
      <w:pPr>
        <w:pStyle w:val="Heading2"/>
      </w:pPr>
      <w:bookmarkStart w:id="80" w:name="_Toc451284544"/>
      <w:r>
        <w:t xml:space="preserve">Reasons for </w:t>
      </w:r>
      <w:r w:rsidR="00DB4E34">
        <w:t>final</w:t>
      </w:r>
      <w:r>
        <w:t xml:space="preserve"> decision</w:t>
      </w:r>
      <w:bookmarkEnd w:id="80"/>
    </w:p>
    <w:p w:rsidR="00B47C99" w:rsidRPr="00EE6503" w:rsidRDefault="00B47C99" w:rsidP="00EE6503">
      <w:r w:rsidRPr="00B47C99">
        <w:t xml:space="preserve">We determine an opening RAB value for </w:t>
      </w:r>
      <w:r>
        <w:t>Powercor</w:t>
      </w:r>
      <w:r w:rsidRPr="00B47C99">
        <w:t xml:space="preserve"> </w:t>
      </w:r>
      <w:r w:rsidRPr="00EE6503">
        <w:t xml:space="preserve">of $3307.0 million ($ nominal) as at 1 January 2016, a decrease of $50.6 million ($ nominal) or 1.5 per cent from the revised proposed value. This difference is due to our update of the 2015 inputs in the RAB roll forward for a revised estimate of capex. </w:t>
      </w:r>
    </w:p>
    <w:p w:rsidR="00B47C99" w:rsidRPr="00EE6503" w:rsidRDefault="00B47C99" w:rsidP="00EE6503">
      <w:r w:rsidRPr="00B47C99">
        <w:t xml:space="preserve">Based on the approved opening RAB we forecast a closing RAB value </w:t>
      </w:r>
      <w:r w:rsidRPr="00EE6503">
        <w:t>of $</w:t>
      </w:r>
      <w:r w:rsidR="007F7638" w:rsidRPr="00EE6503">
        <w:t>4519.3</w:t>
      </w:r>
      <w:r w:rsidRPr="00EE6503">
        <w:t> million by 31 December 2020. This represents a reduction of $</w:t>
      </w:r>
      <w:r w:rsidR="007F7638" w:rsidRPr="00EE6503">
        <w:t>270.4</w:t>
      </w:r>
      <w:r w:rsidRPr="00EE6503">
        <w:t xml:space="preserve"> million, or </w:t>
      </w:r>
      <w:r w:rsidR="007F7638" w:rsidRPr="00EE6503">
        <w:t>5.6</w:t>
      </w:r>
      <w:r w:rsidRPr="00EE6503">
        <w:t> per cent compared to the revised proposal. The reasons for our decision are discussed below.</w:t>
      </w:r>
    </w:p>
    <w:p w:rsidR="00B47C99" w:rsidRPr="00B47C99" w:rsidRDefault="00B47C99" w:rsidP="00E95AF4">
      <w:pPr>
        <w:pStyle w:val="Heading3"/>
        <w:ind w:left="578" w:hanging="578"/>
      </w:pPr>
      <w:bookmarkStart w:id="81" w:name="_Toc445465300"/>
      <w:bookmarkStart w:id="82" w:name="_Toc451284545"/>
      <w:r w:rsidRPr="00B47C99">
        <w:t>Opening RAB as at 1 January 2016</w:t>
      </w:r>
      <w:bookmarkEnd w:id="81"/>
      <w:bookmarkEnd w:id="82"/>
    </w:p>
    <w:p w:rsidR="00B47C99" w:rsidRPr="00B47C99" w:rsidRDefault="00B47C99" w:rsidP="00EE6503">
      <w:r w:rsidRPr="00B47C99">
        <w:t xml:space="preserve">We determine </w:t>
      </w:r>
      <w:r>
        <w:t>Powercor</w:t>
      </w:r>
      <w:r w:rsidRPr="00B47C99">
        <w:t xml:space="preserve">'s opening RAB value as at 1 January 2016 to be </w:t>
      </w:r>
      <w:r w:rsidRPr="00EE6503">
        <w:t>$3307.0 million ($ nominal). This amount is $50.6 million (or 1.5 per cent)</w:t>
      </w:r>
      <w:r w:rsidRPr="00B47C99">
        <w:t xml:space="preserve"> lower than </w:t>
      </w:r>
      <w:r>
        <w:lastRenderedPageBreak/>
        <w:t>Powercor</w:t>
      </w:r>
      <w:r w:rsidRPr="00B47C99">
        <w:t>'s value of $</w:t>
      </w:r>
      <w:r w:rsidR="005D729D">
        <w:t>3357.6</w:t>
      </w:r>
      <w:r w:rsidRPr="00B47C99">
        <w:t xml:space="preserve"> million in its revised proposal. Our final decision on </w:t>
      </w:r>
      <w:r>
        <w:t>Powercor</w:t>
      </w:r>
      <w:r w:rsidRPr="00B47C99">
        <w:t>'s opening RAB as at 1 January 2016 reflects:</w:t>
      </w:r>
    </w:p>
    <w:p w:rsidR="00B47C99" w:rsidRPr="00B47C99" w:rsidRDefault="00ED42BD" w:rsidP="00B47C99">
      <w:pPr>
        <w:pStyle w:val="AERbulletlistfirststyle"/>
      </w:pPr>
      <w:r>
        <w:t>u</w:t>
      </w:r>
      <w:r w:rsidR="00B47C99" w:rsidRPr="00B47C99">
        <w:t xml:space="preserve">pdated 2015 capex estimate using revised estimates provided by </w:t>
      </w:r>
      <w:r w:rsidR="00B47C99">
        <w:t>Powercor</w:t>
      </w:r>
    </w:p>
    <w:p w:rsidR="00B47C99" w:rsidRPr="00B47C99" w:rsidRDefault="00ED42BD" w:rsidP="00B47C99">
      <w:pPr>
        <w:pStyle w:val="AERbulletlistfirststyle"/>
      </w:pPr>
      <w:r>
        <w:t>a</w:t>
      </w:r>
      <w:r w:rsidR="00B47C99" w:rsidRPr="00B47C99">
        <w:t xml:space="preserve"> change in approach from the preliminary decision to the indexation of the RAB for actual inflation. Our final decision is to accept the approach in </w:t>
      </w:r>
      <w:r w:rsidR="00B47C99">
        <w:t>Powercor</w:t>
      </w:r>
      <w:r w:rsidR="00B47C99" w:rsidRPr="00B47C99">
        <w:t>'s revised proposal.</w:t>
      </w:r>
    </w:p>
    <w:p w:rsidR="00B47C99" w:rsidRPr="00B47C99" w:rsidRDefault="00B47C99" w:rsidP="00B47C99">
      <w:pPr>
        <w:rPr>
          <w:rStyle w:val="AERbody"/>
        </w:rPr>
      </w:pPr>
      <w:r w:rsidRPr="00B47C99">
        <w:rPr>
          <w:rStyle w:val="AERbody"/>
        </w:rPr>
        <w:t xml:space="preserve">In the preliminary decision, we made certain amendments to </w:t>
      </w:r>
      <w:r>
        <w:rPr>
          <w:rStyle w:val="AERbody"/>
        </w:rPr>
        <w:t>Powercor</w:t>
      </w:r>
      <w:r w:rsidRPr="00B47C99">
        <w:rPr>
          <w:rStyle w:val="AERbody"/>
        </w:rPr>
        <w:t xml:space="preserve">'s proposed roll forward of its RAB over the 2011–15 regulatory control period which </w:t>
      </w:r>
      <w:r>
        <w:rPr>
          <w:rStyle w:val="AERbody"/>
        </w:rPr>
        <w:t>Powercor</w:t>
      </w:r>
      <w:r w:rsidRPr="00B47C99">
        <w:rPr>
          <w:rStyle w:val="AERbody"/>
        </w:rPr>
        <w:t xml:space="preserve"> adopted in its revised proposal. These amendments included:</w:t>
      </w:r>
    </w:p>
    <w:p w:rsidR="00B47C99" w:rsidRPr="00B47C99" w:rsidRDefault="00B47C99" w:rsidP="00B47C99">
      <w:pPr>
        <w:pStyle w:val="AERbulletlistfirststyle"/>
        <w:rPr>
          <w:rStyle w:val="AERbody"/>
        </w:rPr>
      </w:pPr>
      <w:r w:rsidRPr="00B47C99">
        <w:rPr>
          <w:rStyle w:val="AERbody"/>
        </w:rPr>
        <w:t>amending the proposed approach to the 6-month indexation adjustment required in the RAB</w:t>
      </w:r>
    </w:p>
    <w:p w:rsidR="00B47C99" w:rsidRPr="00B47C99" w:rsidRDefault="00B47C99" w:rsidP="00B47C99">
      <w:pPr>
        <w:pStyle w:val="AERbulletlistfirststyle"/>
        <w:rPr>
          <w:rStyle w:val="AERbody"/>
        </w:rPr>
      </w:pPr>
      <w:r w:rsidRPr="00B47C99">
        <w:rPr>
          <w:rStyle w:val="AERbody"/>
        </w:rPr>
        <w:t>adjusting allowed equity raising costs to the correct dollar terms</w:t>
      </w:r>
      <w:r w:rsidR="00DC2675">
        <w:rPr>
          <w:rStyle w:val="AERbody"/>
        </w:rPr>
        <w:t>.</w:t>
      </w:r>
    </w:p>
    <w:p w:rsidR="00B47C99" w:rsidRPr="00B47C99" w:rsidRDefault="00B47C99" w:rsidP="00B47C99">
      <w:pPr>
        <w:rPr>
          <w:rStyle w:val="AERbody"/>
        </w:rPr>
      </w:pPr>
      <w:r w:rsidRPr="00B47C99">
        <w:rPr>
          <w:rStyle w:val="AERbody"/>
        </w:rPr>
        <w:t xml:space="preserve">We also noted the roll forward of </w:t>
      </w:r>
      <w:r>
        <w:rPr>
          <w:rStyle w:val="AERbody"/>
        </w:rPr>
        <w:t>Powercor</w:t>
      </w:r>
      <w:r w:rsidRPr="00B47C99">
        <w:rPr>
          <w:rStyle w:val="AERbody"/>
        </w:rPr>
        <w:t>'s RAB included an estimated capex value for 2015</w:t>
      </w:r>
      <w:r w:rsidR="00A130C9">
        <w:rPr>
          <w:rStyle w:val="AERbody"/>
        </w:rPr>
        <w:t>, because actual capex was not yet available</w:t>
      </w:r>
      <w:r w:rsidRPr="00B47C99">
        <w:rPr>
          <w:rStyle w:val="AERbody"/>
        </w:rPr>
        <w:t>.</w:t>
      </w:r>
      <w:r w:rsidR="00A130C9">
        <w:rPr>
          <w:rStyle w:val="FootnoteReference"/>
        </w:rPr>
        <w:footnoteReference w:id="9"/>
      </w:r>
      <w:r w:rsidRPr="00B47C99">
        <w:rPr>
          <w:rStyle w:val="AERbody"/>
        </w:rPr>
        <w:t xml:space="preserve"> We stated we would update the 2015 estimated capex value for the final decision.</w:t>
      </w:r>
    </w:p>
    <w:p w:rsidR="00B47C99" w:rsidRPr="00B47C99" w:rsidRDefault="00B47C99" w:rsidP="00A56B65">
      <w:pPr>
        <w:pStyle w:val="AERbulletlistfirststyle"/>
        <w:numPr>
          <w:ilvl w:val="0"/>
          <w:numId w:val="0"/>
        </w:numPr>
        <w:rPr>
          <w:rStyle w:val="AERbody"/>
        </w:rPr>
      </w:pPr>
      <w:r>
        <w:t>Powercor</w:t>
      </w:r>
      <w:r w:rsidRPr="00B47C99">
        <w:t>'s revised proposal did not adopt the preliminary decision approach to indexing the RAB for actual inflation.</w:t>
      </w:r>
    </w:p>
    <w:p w:rsidR="00B47C99" w:rsidRPr="00B47C99" w:rsidRDefault="00B47C99" w:rsidP="00B47C99">
      <w:pPr>
        <w:rPr>
          <w:rStyle w:val="AERbody"/>
        </w:rPr>
      </w:pPr>
      <w:r w:rsidRPr="00B47C99">
        <w:rPr>
          <w:rStyle w:val="AERbody"/>
        </w:rPr>
        <w:t>These two issues are discussed in turn below.</w:t>
      </w:r>
    </w:p>
    <w:p w:rsidR="005864AF" w:rsidRDefault="00EE6503" w:rsidP="005864AF">
      <w:pPr>
        <w:rPr>
          <w:rStyle w:val="AERbody"/>
        </w:rPr>
      </w:pPr>
      <w:r>
        <w:rPr>
          <w:rStyle w:val="AERbody"/>
        </w:rPr>
        <w:t>We are required to consider the extent to which our roll forward of the RAB to 1 January 2016 contributes to the achievement of the capital expenditure incentive objective.</w:t>
      </w:r>
      <w:r>
        <w:rPr>
          <w:rStyle w:val="FootnoteReference"/>
        </w:rPr>
        <w:footnoteReference w:id="10"/>
      </w:r>
      <w:r>
        <w:rPr>
          <w:rStyle w:val="AERbody"/>
        </w:rPr>
        <w:t xml:space="preserve"> </w:t>
      </w:r>
      <w:r w:rsidR="005864AF" w:rsidRPr="00DB1673">
        <w:rPr>
          <w:rStyle w:val="AERbody"/>
        </w:rPr>
        <w:t>We note that under the transitional rules, in making this distribution determination we do not have the power to determine whether past capex should be excluded for inefficiency reasons</w:t>
      </w:r>
      <w:r w:rsidR="005864AF">
        <w:rPr>
          <w:rStyle w:val="AERbody"/>
        </w:rPr>
        <w:t>.</w:t>
      </w:r>
      <w:r w:rsidR="005864AF">
        <w:rPr>
          <w:rStyle w:val="FootnoteReference"/>
        </w:rPr>
        <w:footnoteReference w:id="11"/>
      </w:r>
      <w:r w:rsidR="005864AF">
        <w:rPr>
          <w:rStyle w:val="AERbody"/>
        </w:rPr>
        <w:t xml:space="preserve"> </w:t>
      </w:r>
      <w:r w:rsidR="005864AF" w:rsidRPr="00DB1673">
        <w:rPr>
          <w:rStyle w:val="AERbody"/>
        </w:rPr>
        <w:t xml:space="preserve">Therefore, for the purposes of this final decision, we have included </w:t>
      </w:r>
      <w:r w:rsidR="005864AF">
        <w:rPr>
          <w:rStyle w:val="AERbody"/>
        </w:rPr>
        <w:t>Powercor</w:t>
      </w:r>
      <w:r w:rsidR="005864AF" w:rsidRPr="00DB1673">
        <w:rPr>
          <w:rStyle w:val="AERbody"/>
        </w:rPr>
        <w:t>'</w:t>
      </w:r>
      <w:r w:rsidR="005864AF">
        <w:rPr>
          <w:rStyle w:val="AERbody"/>
        </w:rPr>
        <w:t>s</w:t>
      </w:r>
      <w:r w:rsidR="005864AF" w:rsidRPr="00DB1673">
        <w:rPr>
          <w:rStyle w:val="AERbody"/>
        </w:rPr>
        <w:t xml:space="preserve"> actual or estimated capex in the 2011–15 regulatory control period </w:t>
      </w:r>
      <w:r w:rsidR="005864AF">
        <w:rPr>
          <w:rStyle w:val="AERbody"/>
        </w:rPr>
        <w:t>when rolling forward the RAB to 1 January 2016</w:t>
      </w:r>
      <w:r w:rsidR="005864AF" w:rsidRPr="00DB1673">
        <w:rPr>
          <w:rStyle w:val="AERbody"/>
        </w:rPr>
        <w:t>. In future determinations, the NER allow us to review a service provider's past capex and exclude inefficient past capex from being rolled into the</w:t>
      </w:r>
      <w:r w:rsidR="005864AF">
        <w:rPr>
          <w:rStyle w:val="AERbody"/>
        </w:rPr>
        <w:t xml:space="preserve"> RAB.</w:t>
      </w:r>
      <w:r w:rsidR="005864AF">
        <w:rPr>
          <w:rStyle w:val="FootnoteReference"/>
        </w:rPr>
        <w:footnoteReference w:id="12"/>
      </w:r>
      <w:r w:rsidR="005864AF" w:rsidRPr="00DB1673">
        <w:rPr>
          <w:rStyle w:val="AERbody"/>
        </w:rPr>
        <w:t xml:space="preserve"> </w:t>
      </w:r>
      <w:r w:rsidR="005864AF">
        <w:rPr>
          <w:rStyle w:val="AERbody"/>
        </w:rPr>
        <w:t>Our RAB roll forward applies the incentive framework approved in the previous distribution determination</w:t>
      </w:r>
      <w:r>
        <w:rPr>
          <w:rStyle w:val="AERbody"/>
        </w:rPr>
        <w:t xml:space="preserve">, which </w:t>
      </w:r>
      <w:r>
        <w:t>included the use of an actual depreciation approach</w:t>
      </w:r>
      <w:r w:rsidR="005864AF">
        <w:rPr>
          <w:rStyle w:val="AERbody"/>
        </w:rPr>
        <w:t>.</w:t>
      </w:r>
      <w:r w:rsidR="005864AF">
        <w:rPr>
          <w:rStyle w:val="FootnoteReference"/>
        </w:rPr>
        <w:footnoteReference w:id="13"/>
      </w:r>
      <w:r w:rsidR="005864AF">
        <w:rPr>
          <w:rStyle w:val="AERbody"/>
        </w:rPr>
        <w:t xml:space="preserve"> As such, we consider that it contributes to an opening RAB that includes capex that reflects prudent and efficient costs, in accordance with the capital expenditure criteria.</w:t>
      </w:r>
      <w:r w:rsidR="005864AF">
        <w:rPr>
          <w:rStyle w:val="FootnoteReference"/>
        </w:rPr>
        <w:footnoteReference w:id="14"/>
      </w:r>
    </w:p>
    <w:p w:rsidR="00B47C99" w:rsidRPr="00B47C99" w:rsidRDefault="00B47C99" w:rsidP="00B47C99">
      <w:pPr>
        <w:pStyle w:val="HeadingBoldBlue"/>
      </w:pPr>
      <w:r w:rsidRPr="00B47C99">
        <w:lastRenderedPageBreak/>
        <w:t>Indexing the RAB for actual inflation inputs</w:t>
      </w:r>
    </w:p>
    <w:p w:rsidR="002F4180" w:rsidRPr="00693505" w:rsidRDefault="002F4180" w:rsidP="002F4180">
      <w:r w:rsidRPr="00693505">
        <w:t xml:space="preserve">Our final decision is to accept </w:t>
      </w:r>
      <w:r>
        <w:t>Powercor's</w:t>
      </w:r>
      <w:r w:rsidRPr="00693505">
        <w:t xml:space="preserve"> revised proposed approach to RAB indexation, known as the 'all-lagged' approach. Under this approach, a one-year lagged inflation series is used to index all components of the RAB roll forward.</w:t>
      </w:r>
      <w:r w:rsidRPr="00693505">
        <w:rPr>
          <w:rStyle w:val="FootnoteReference"/>
        </w:rPr>
        <w:footnoteReference w:id="15"/>
      </w:r>
      <w:r w:rsidRPr="00693505">
        <w:t xml:space="preserve"> This is a departure from our preliminary decision, which used our standard 'partially-lagged' approach.</w:t>
      </w:r>
      <w:r w:rsidRPr="00693505">
        <w:rPr>
          <w:rStyle w:val="FootnoteReference"/>
        </w:rPr>
        <w:footnoteReference w:id="16"/>
      </w:r>
    </w:p>
    <w:p w:rsidR="002F4180" w:rsidRPr="00693505" w:rsidRDefault="002F4180" w:rsidP="002F4180">
      <w:r w:rsidRPr="00693505">
        <w:t xml:space="preserve">We have had regard to the indexation approach used in previous </w:t>
      </w:r>
      <w:r>
        <w:t>Victorian distribution</w:t>
      </w:r>
      <w:r w:rsidRPr="00693505">
        <w:t xml:space="preserve"> determinations, where the Essential Services Commission (ESC) applied the all-lagged approach prior to 2010.</w:t>
      </w:r>
      <w:r w:rsidRPr="00693505">
        <w:rPr>
          <w:rStyle w:val="FootnoteReference"/>
        </w:rPr>
        <w:footnoteReference w:id="17"/>
      </w:r>
      <w:r w:rsidRPr="00693505">
        <w:t xml:space="preserve"> </w:t>
      </w:r>
      <w:r>
        <w:t>Each of the five Victorian service providers, including Powercor,</w:t>
      </w:r>
      <w:r w:rsidRPr="00693505">
        <w:t xml:space="preserve"> submitted that we should apply the same unbroken inflation series to preserve the real value of its assets.</w:t>
      </w:r>
      <w:r>
        <w:rPr>
          <w:rStyle w:val="FootnoteReference"/>
        </w:rPr>
        <w:footnoteReference w:id="18"/>
      </w:r>
      <w:r w:rsidRPr="00693505">
        <w:t xml:space="preserve"> We agree that this consistency is desirable. </w:t>
      </w:r>
      <w:r>
        <w:t>To</w:t>
      </w:r>
      <w:r w:rsidRPr="00693505">
        <w:t xml:space="preserve"> this</w:t>
      </w:r>
      <w:r>
        <w:t xml:space="preserve"> end</w:t>
      </w:r>
      <w:r w:rsidRPr="00693505">
        <w:t xml:space="preserve">, </w:t>
      </w:r>
      <w:r>
        <w:t xml:space="preserve">the Victorian service providers' </w:t>
      </w:r>
      <w:r w:rsidRPr="00693505">
        <w:t xml:space="preserve">historical indexation differs from the standard approach applied to other non-Victorian networks in previous determinations. </w:t>
      </w:r>
    </w:p>
    <w:p w:rsidR="002F4180" w:rsidRDefault="002F4180" w:rsidP="002F4180">
      <w:r w:rsidRPr="00693505">
        <w:t xml:space="preserve">More broadly, </w:t>
      </w:r>
      <w:r>
        <w:t>Powercor</w:t>
      </w:r>
      <w:r w:rsidRPr="00693505">
        <w:t xml:space="preserve"> also submitted a number of reasons why the all-lagged approach should be used, regardless of the previous approach to indexation.</w:t>
      </w:r>
      <w:r w:rsidRPr="00693505">
        <w:rPr>
          <w:rStyle w:val="FootnoteReference"/>
        </w:rPr>
        <w:footnoteReference w:id="19"/>
      </w:r>
      <w:r w:rsidRPr="00693505">
        <w:t xml:space="preserve"> </w:t>
      </w:r>
      <w:r>
        <w:t>We have reviewed this material together with the submissions on this common issue from the four other Victorian service providers.</w:t>
      </w:r>
      <w:r>
        <w:rPr>
          <w:rStyle w:val="FootnoteReference"/>
        </w:rPr>
        <w:footnoteReference w:id="20"/>
      </w:r>
      <w:r>
        <w:t xml:space="preserve"> </w:t>
      </w:r>
      <w:r w:rsidRPr="00693505">
        <w:t xml:space="preserve">While we agree with elements of this reasoning, there are several areas where we disagree or where the available evidence is inconclusive. </w:t>
      </w:r>
      <w:r>
        <w:t>Our views have been informed by consideration of this issue in our recent update of the RFM template for transmission service providers.</w:t>
      </w:r>
      <w:r>
        <w:rPr>
          <w:rStyle w:val="FootnoteReference"/>
        </w:rPr>
        <w:footnoteReference w:id="21"/>
      </w:r>
      <w:r>
        <w:t xml:space="preserve"> </w:t>
      </w:r>
      <w:r w:rsidR="00A130C9" w:rsidRPr="00A130C9">
        <w:t>In that update, we decided to maintain applying the partially-lagged approach for indexation. However, the Victorian service providers have raised several new issues that were not before us at that time.</w:t>
      </w:r>
    </w:p>
    <w:p w:rsidR="002F4180" w:rsidRPr="00693505" w:rsidRDefault="002F4180" w:rsidP="002F4180">
      <w:r w:rsidRPr="00693505">
        <w:lastRenderedPageBreak/>
        <w:t xml:space="preserve">These conceptual issues relating to indexation in the RAB roll forward are relevant for all </w:t>
      </w:r>
      <w:r>
        <w:t>distribution service providers</w:t>
      </w:r>
      <w:r w:rsidRPr="00693505">
        <w:t xml:space="preserve">, not just </w:t>
      </w:r>
      <w:r>
        <w:t>Powercor</w:t>
      </w:r>
      <w:r w:rsidRPr="00693505">
        <w:t xml:space="preserve"> or the Victorian </w:t>
      </w:r>
      <w:r>
        <w:t xml:space="preserve">service providers </w:t>
      </w:r>
      <w:r w:rsidRPr="00693505">
        <w:t xml:space="preserve">as a group. We </w:t>
      </w:r>
      <w:r>
        <w:t>expect to</w:t>
      </w:r>
      <w:r w:rsidRPr="00693505">
        <w:t xml:space="preserve"> commence a formal update of the AER's standard RFM </w:t>
      </w:r>
      <w:r>
        <w:t xml:space="preserve">template for distribution networks </w:t>
      </w:r>
      <w:r w:rsidRPr="00693505">
        <w:t>later this year.</w:t>
      </w:r>
      <w:r w:rsidRPr="00693505">
        <w:rPr>
          <w:rStyle w:val="FootnoteReference"/>
        </w:rPr>
        <w:footnoteReference w:id="22"/>
      </w:r>
      <w:r w:rsidRPr="00693505">
        <w:t xml:space="preserve"> That process will allow us to </w:t>
      </w:r>
      <w:r>
        <w:t>further</w:t>
      </w:r>
      <w:r w:rsidRPr="00693505">
        <w:t xml:space="preserve"> evaluate the strengths and weaknesses of both indexation approaches (and any other alternatives). It will also </w:t>
      </w:r>
      <w:r w:rsidR="00A130C9">
        <w:t xml:space="preserve">allow </w:t>
      </w:r>
      <w:r w:rsidRPr="00693505">
        <w:t>affected stakeholders, including other service providers and consumers, to comment.</w:t>
      </w:r>
      <w:r w:rsidRPr="00693505">
        <w:rPr>
          <w:rStyle w:val="FootnoteReference"/>
        </w:rPr>
        <w:footnoteReference w:id="23"/>
      </w:r>
      <w:r w:rsidRPr="00693505">
        <w:t xml:space="preserve"> </w:t>
      </w:r>
    </w:p>
    <w:p w:rsidR="002F4180" w:rsidRDefault="002F4180" w:rsidP="00B47C99">
      <w:r w:rsidRPr="00693505">
        <w:t xml:space="preserve">Our decision to accept </w:t>
      </w:r>
      <w:r>
        <w:t>Powercor</w:t>
      </w:r>
      <w:r w:rsidRPr="00693505">
        <w:t>'</w:t>
      </w:r>
      <w:r>
        <w:t>s</w:t>
      </w:r>
      <w:r w:rsidRPr="00693505">
        <w:t xml:space="preserve"> revised proposed approach, therefore, reflects the specific history of the Victorian </w:t>
      </w:r>
      <w:r>
        <w:t>service providers</w:t>
      </w:r>
      <w:r w:rsidRPr="00693505">
        <w:t xml:space="preserve"> and the current mixed state of evidence for the partially-lagged and all-lagged </w:t>
      </w:r>
      <w:r>
        <w:t xml:space="preserve">indexation </w:t>
      </w:r>
      <w:r w:rsidRPr="00693505">
        <w:t>approaches.</w:t>
      </w:r>
      <w:r w:rsidRPr="00693505">
        <w:rPr>
          <w:rStyle w:val="FootnoteReference"/>
        </w:rPr>
        <w:footnoteReference w:id="24"/>
      </w:r>
      <w:r w:rsidRPr="00693505">
        <w:t xml:space="preserve"> </w:t>
      </w:r>
      <w:r>
        <w:t>As part of this, we accept the RFM</w:t>
      </w:r>
      <w:r w:rsidRPr="00693505">
        <w:t xml:space="preserve"> implementation</w:t>
      </w:r>
      <w:r>
        <w:t xml:space="preserve"> in</w:t>
      </w:r>
      <w:r w:rsidRPr="00693505">
        <w:t xml:space="preserve"> </w:t>
      </w:r>
      <w:r>
        <w:t>Powercor</w:t>
      </w:r>
      <w:r w:rsidRPr="00693505">
        <w:t>'</w:t>
      </w:r>
      <w:r>
        <w:t>s</w:t>
      </w:r>
      <w:r w:rsidRPr="00693505">
        <w:t xml:space="preserve"> revised proposal, where the inflation inputs are lagged by one year and formulae in the RFM are adjusted so that this one-year lag then flows through to </w:t>
      </w:r>
      <w:r>
        <w:t xml:space="preserve">the </w:t>
      </w:r>
      <w:r w:rsidRPr="00693505">
        <w:t>inflation index construction.</w:t>
      </w:r>
      <w:r w:rsidRPr="00693505">
        <w:rPr>
          <w:rStyle w:val="FootnoteReference"/>
        </w:rPr>
        <w:footnoteReference w:id="25"/>
      </w:r>
    </w:p>
    <w:p w:rsidR="00B47C99" w:rsidRPr="00B47C99" w:rsidRDefault="00B47C99" w:rsidP="00B47C99">
      <w:pPr>
        <w:pStyle w:val="HeadingBoldBlue"/>
      </w:pPr>
      <w:r w:rsidRPr="00B47C99">
        <w:t>Update to 2015 estimated capex</w:t>
      </w:r>
    </w:p>
    <w:p w:rsidR="00B47C99" w:rsidRPr="00B47C99" w:rsidRDefault="00B47C99" w:rsidP="00B47C99">
      <w:r>
        <w:rPr>
          <w:rStyle w:val="AERbody"/>
        </w:rPr>
        <w:t>Powercor</w:t>
      </w:r>
      <w:r w:rsidRPr="00B47C99">
        <w:rPr>
          <w:rStyle w:val="AERbody"/>
        </w:rPr>
        <w:t>'s revised proposal did not include an update for 2015 estimated capex</w:t>
      </w:r>
      <w:r w:rsidR="00ED42BD">
        <w:rPr>
          <w:rStyle w:val="AERbody"/>
        </w:rPr>
        <w:t>;</w:t>
      </w:r>
      <w:r w:rsidR="00ED42BD" w:rsidRPr="00B47C99">
        <w:rPr>
          <w:rStyle w:val="AERbody"/>
        </w:rPr>
        <w:t xml:space="preserve"> </w:t>
      </w:r>
      <w:r w:rsidRPr="00B47C99">
        <w:rPr>
          <w:rStyle w:val="AERbody"/>
        </w:rPr>
        <w:t>however, a revised estimate was provided following an information request.</w:t>
      </w:r>
      <w:r w:rsidRPr="00B47C99">
        <w:rPr>
          <w:rStyle w:val="FootnoteReference"/>
        </w:rPr>
        <w:footnoteReference w:id="26"/>
      </w:r>
      <w:r w:rsidRPr="00B47C99">
        <w:rPr>
          <w:rStyle w:val="AERbody"/>
        </w:rPr>
        <w:t xml:space="preserve"> We accept </w:t>
      </w:r>
      <w:r>
        <w:rPr>
          <w:rStyle w:val="AERbody"/>
        </w:rPr>
        <w:t>Powercor</w:t>
      </w:r>
      <w:r w:rsidRPr="00B47C99">
        <w:rPr>
          <w:rStyle w:val="AERbody"/>
        </w:rPr>
        <w:t>'s revision to the net capex estimate for 2015 of $311.1 million ($ nominal).</w:t>
      </w:r>
      <w:r w:rsidRPr="00B47C99">
        <w:rPr>
          <w:rStyle w:val="FootnoteReference"/>
        </w:rPr>
        <w:footnoteReference w:id="27"/>
      </w:r>
      <w:r w:rsidRPr="00B47C99">
        <w:rPr>
          <w:rStyle w:val="AERbody"/>
        </w:rPr>
        <w:t xml:space="preserve"> This amount is lower than in the </w:t>
      </w:r>
      <w:r w:rsidR="00A56B65">
        <w:rPr>
          <w:rStyle w:val="AERbody"/>
        </w:rPr>
        <w:t>revised</w:t>
      </w:r>
      <w:r w:rsidRPr="00B47C99">
        <w:rPr>
          <w:rStyle w:val="AERbody"/>
        </w:rPr>
        <w:t xml:space="preserve"> proposal and reflects more up-to-date data, and therefore is the best forecast available. We note that the financial impact of any difference between actual and estimated capex for 2015 will be accounted for at the next reset.</w:t>
      </w:r>
      <w:r w:rsidRPr="00B47C99">
        <w:rPr>
          <w:rStyle w:val="FootnoteReference"/>
        </w:rPr>
        <w:footnoteReference w:id="28"/>
      </w:r>
    </w:p>
    <w:p w:rsidR="00B47C99" w:rsidRPr="00B47C99" w:rsidRDefault="00B47C99" w:rsidP="00E95AF4">
      <w:pPr>
        <w:pStyle w:val="Heading3"/>
        <w:ind w:left="578" w:hanging="578"/>
      </w:pPr>
      <w:bookmarkStart w:id="83" w:name="_Toc445203752"/>
      <w:bookmarkStart w:id="84" w:name="_Toc445465301"/>
      <w:bookmarkStart w:id="85" w:name="_Toc451284546"/>
      <w:r w:rsidRPr="00B47C99">
        <w:t>Forecast closing RAB as at 31 December 2020</w:t>
      </w:r>
      <w:bookmarkEnd w:id="83"/>
      <w:bookmarkEnd w:id="84"/>
      <w:bookmarkEnd w:id="85"/>
    </w:p>
    <w:p w:rsidR="00B47C99" w:rsidRPr="00B47C99" w:rsidRDefault="00B47C99" w:rsidP="00EE6503">
      <w:pPr>
        <w:rPr>
          <w:rStyle w:val="AERbody"/>
        </w:rPr>
      </w:pPr>
      <w:r w:rsidRPr="00B47C99">
        <w:rPr>
          <w:rStyle w:val="AERbody"/>
        </w:rPr>
        <w:t xml:space="preserve">We forecast a closing RAB value of </w:t>
      </w:r>
      <w:r w:rsidRPr="00EE6503">
        <w:t>$</w:t>
      </w:r>
      <w:r w:rsidR="007F7638" w:rsidRPr="00EE6503">
        <w:t>4519.3</w:t>
      </w:r>
      <w:r w:rsidRPr="00EE6503">
        <w:t> million by 31 December 2020 for Powercor. This represents a reduction of $</w:t>
      </w:r>
      <w:r w:rsidR="007F7638" w:rsidRPr="00EE6503">
        <w:t>270.4</w:t>
      </w:r>
      <w:r w:rsidRPr="00EE6503">
        <w:t xml:space="preserve"> million, or </w:t>
      </w:r>
      <w:r w:rsidR="007F7638" w:rsidRPr="00EE6503">
        <w:t>5.6</w:t>
      </w:r>
      <w:r w:rsidRPr="00EE6503">
        <w:t> per cent</w:t>
      </w:r>
      <w:r w:rsidRPr="00B47C99">
        <w:rPr>
          <w:rStyle w:val="AERbody"/>
        </w:rPr>
        <w:t xml:space="preserve"> to </w:t>
      </w:r>
      <w:r>
        <w:rPr>
          <w:rStyle w:val="AERbody"/>
        </w:rPr>
        <w:t>Powercor</w:t>
      </w:r>
      <w:r w:rsidRPr="00B47C99">
        <w:rPr>
          <w:rStyle w:val="AERbody"/>
        </w:rPr>
        <w:t>'s revised proposal. This reduction reflects our final decision on the required inputs for determining the forecast RAB in the PTRM. To determine the forecast RAB value, we have amended the PTRM inputs as a result of the following changes:</w:t>
      </w:r>
    </w:p>
    <w:p w:rsidR="00B47C99" w:rsidRPr="00B47C99" w:rsidRDefault="00B47C99" w:rsidP="00B47C99">
      <w:pPr>
        <w:pStyle w:val="AERbulletlistfirststyle"/>
        <w:rPr>
          <w:rStyle w:val="AERbody"/>
        </w:rPr>
      </w:pPr>
      <w:r w:rsidRPr="00B47C99">
        <w:rPr>
          <w:rStyle w:val="AERbody"/>
        </w:rPr>
        <w:lastRenderedPageBreak/>
        <w:t xml:space="preserve">We </w:t>
      </w:r>
      <w:r w:rsidR="00A56B65">
        <w:rPr>
          <w:rStyle w:val="AERbody"/>
        </w:rPr>
        <w:t>reduced</w:t>
      </w:r>
      <w:r w:rsidRPr="00B47C99">
        <w:rPr>
          <w:rStyle w:val="AERbody"/>
        </w:rPr>
        <w:t xml:space="preserve"> </w:t>
      </w:r>
      <w:r>
        <w:rPr>
          <w:rStyle w:val="AERbody"/>
        </w:rPr>
        <w:t>Powercor</w:t>
      </w:r>
      <w:r w:rsidRPr="00B47C99">
        <w:rPr>
          <w:rStyle w:val="AERbody"/>
        </w:rPr>
        <w:t>'s revised proposed opening RAB as at 1 January 2016 by $</w:t>
      </w:r>
      <w:r w:rsidR="00A56B65">
        <w:rPr>
          <w:rStyle w:val="AERbody"/>
        </w:rPr>
        <w:t>50.6</w:t>
      </w:r>
      <w:r w:rsidRPr="00B47C99">
        <w:rPr>
          <w:rStyle w:val="AERbody"/>
        </w:rPr>
        <w:t xml:space="preserve"> million or </w:t>
      </w:r>
      <w:r w:rsidR="00A56B65">
        <w:rPr>
          <w:rStyle w:val="AERbody"/>
        </w:rPr>
        <w:t>1.5</w:t>
      </w:r>
      <w:r w:rsidRPr="00B47C99">
        <w:rPr>
          <w:rStyle w:val="AERbody"/>
        </w:rPr>
        <w:t> per cent (section 2.4.1).</w:t>
      </w:r>
    </w:p>
    <w:p w:rsidR="00B47C99" w:rsidRPr="00B47C99" w:rsidRDefault="00B47C99" w:rsidP="00B47C99">
      <w:pPr>
        <w:pStyle w:val="AERbulletlistfirststyle"/>
        <w:rPr>
          <w:rStyle w:val="AERbody"/>
        </w:rPr>
      </w:pPr>
      <w:r w:rsidRPr="00B47C99">
        <w:rPr>
          <w:rStyle w:val="AERbody"/>
        </w:rPr>
        <w:t xml:space="preserve">We reduced </w:t>
      </w:r>
      <w:r>
        <w:rPr>
          <w:rStyle w:val="AERbody"/>
        </w:rPr>
        <w:t>Powercor</w:t>
      </w:r>
      <w:r w:rsidRPr="00B47C99">
        <w:rPr>
          <w:rStyle w:val="AERbody"/>
        </w:rPr>
        <w:t>'s revised proposed forecast capex for the 2016–20 regulatory control period by $</w:t>
      </w:r>
      <w:r w:rsidR="00E95AF4">
        <w:rPr>
          <w:rStyle w:val="AERbody"/>
        </w:rPr>
        <w:t>187.9</w:t>
      </w:r>
      <w:r w:rsidRPr="00B47C99">
        <w:rPr>
          <w:rStyle w:val="AERbody"/>
        </w:rPr>
        <w:t xml:space="preserve"> million ($ 2015) or </w:t>
      </w:r>
      <w:r w:rsidR="00E95AF4">
        <w:rPr>
          <w:rStyle w:val="AERbody"/>
        </w:rPr>
        <w:t>9.6</w:t>
      </w:r>
      <w:r w:rsidR="003B4FE3">
        <w:rPr>
          <w:rStyle w:val="AERbody"/>
        </w:rPr>
        <w:t xml:space="preserve"> </w:t>
      </w:r>
      <w:r w:rsidRPr="00B47C99">
        <w:rPr>
          <w:rStyle w:val="AERbody"/>
        </w:rPr>
        <w:t>per cent (attachment 6).</w:t>
      </w:r>
      <w:r w:rsidR="003B4FE3">
        <w:rPr>
          <w:rStyle w:val="FootnoteReference"/>
        </w:rPr>
        <w:footnoteReference w:id="29"/>
      </w:r>
    </w:p>
    <w:p w:rsidR="005A44E7" w:rsidRPr="00EE6503" w:rsidRDefault="005A44E7" w:rsidP="00EE6503">
      <w:pPr>
        <w:pStyle w:val="AERbulletlistfirststyle"/>
      </w:pPr>
      <w:r w:rsidRPr="00EE6503">
        <w:t xml:space="preserve">We reduced Powercor's revised proposed </w:t>
      </w:r>
      <w:r w:rsidR="008C3A78">
        <w:t xml:space="preserve">expected </w:t>
      </w:r>
      <w:r w:rsidRPr="00EE6503">
        <w:t xml:space="preserve">inflation </w:t>
      </w:r>
      <w:r w:rsidR="00463600">
        <w:t xml:space="preserve">rate </w:t>
      </w:r>
      <w:r w:rsidRPr="00EE6503">
        <w:t>from 2.5</w:t>
      </w:r>
      <w:r w:rsidR="00DD533C">
        <w:t>0</w:t>
      </w:r>
      <w:r w:rsidRPr="00EE6503">
        <w:t xml:space="preserve"> per cent to 2.32 per cent (attachment 3). This results in a decrease to the indexation of the RAB component for the 2015–20 regulatory control period by $</w:t>
      </w:r>
      <w:r w:rsidR="007F7638" w:rsidRPr="00EE6503">
        <w:t xml:space="preserve">49.8 </w:t>
      </w:r>
      <w:r w:rsidRPr="00EE6503">
        <w:t>million ($</w:t>
      </w:r>
      <w:r w:rsidR="00F26748">
        <w:t> </w:t>
      </w:r>
      <w:r w:rsidRPr="00EE6503">
        <w:t xml:space="preserve">nominal) or </w:t>
      </w:r>
      <w:r w:rsidR="007F7638" w:rsidRPr="00EE6503">
        <w:t xml:space="preserve">10.1 </w:t>
      </w:r>
      <w:r w:rsidRPr="00EE6503">
        <w:t>per cent.</w:t>
      </w:r>
    </w:p>
    <w:p w:rsidR="00B47C99" w:rsidRPr="00B47C99" w:rsidRDefault="00B47C99" w:rsidP="00B47C99">
      <w:pPr>
        <w:pStyle w:val="AERbulletlistfirststyle"/>
        <w:rPr>
          <w:rStyle w:val="AERbody"/>
        </w:rPr>
      </w:pPr>
      <w:r w:rsidRPr="00B47C99">
        <w:rPr>
          <w:rStyle w:val="AERbody"/>
        </w:rPr>
        <w:t xml:space="preserve">We reduced </w:t>
      </w:r>
      <w:r>
        <w:rPr>
          <w:rStyle w:val="AERbody"/>
        </w:rPr>
        <w:t>Powercor</w:t>
      </w:r>
      <w:r w:rsidRPr="00B47C99">
        <w:rPr>
          <w:rStyle w:val="AERbody"/>
        </w:rPr>
        <w:t xml:space="preserve">'s revised proposed forecast </w:t>
      </w:r>
      <w:r w:rsidR="005A44E7">
        <w:rPr>
          <w:rStyle w:val="AERbody"/>
        </w:rPr>
        <w:t>straight-line</w:t>
      </w:r>
      <w:r w:rsidRPr="00B47C99">
        <w:rPr>
          <w:rStyle w:val="AERbody"/>
        </w:rPr>
        <w:t xml:space="preserve"> depreciation for the 201</w:t>
      </w:r>
      <w:r w:rsidR="009C71BF">
        <w:rPr>
          <w:rStyle w:val="AERbody"/>
        </w:rPr>
        <w:t>6</w:t>
      </w:r>
      <w:r w:rsidRPr="00B47C99">
        <w:rPr>
          <w:rStyle w:val="AERbody"/>
        </w:rPr>
        <w:t>–20 regulatory control period by $</w:t>
      </w:r>
      <w:r w:rsidR="00E95AF4">
        <w:rPr>
          <w:rStyle w:val="AERbody"/>
        </w:rPr>
        <w:t>17.9</w:t>
      </w:r>
      <w:r w:rsidR="006B1A51">
        <w:rPr>
          <w:rStyle w:val="AERbody"/>
        </w:rPr>
        <w:t> </w:t>
      </w:r>
      <w:r w:rsidRPr="00B47C99">
        <w:rPr>
          <w:rStyle w:val="AERbody"/>
        </w:rPr>
        <w:t xml:space="preserve">million ($ nominal) or </w:t>
      </w:r>
      <w:r w:rsidR="00E95AF4">
        <w:rPr>
          <w:rStyle w:val="AERbody"/>
        </w:rPr>
        <w:t>1.8</w:t>
      </w:r>
      <w:r w:rsidRPr="00B47C99">
        <w:rPr>
          <w:rStyle w:val="AERbody"/>
        </w:rPr>
        <w:t> per cent (attachment 5).</w:t>
      </w:r>
    </w:p>
    <w:p w:rsidR="00B47C99" w:rsidRPr="00B47C99" w:rsidRDefault="00B47C99" w:rsidP="00E95AF4">
      <w:pPr>
        <w:pStyle w:val="Heading3"/>
        <w:ind w:left="1021" w:hanging="1021"/>
      </w:pPr>
      <w:bookmarkStart w:id="86" w:name="_Toc445203753"/>
      <w:bookmarkStart w:id="87" w:name="_Toc445465302"/>
      <w:bookmarkStart w:id="88" w:name="_Toc451284547"/>
      <w:r w:rsidRPr="00B47C99">
        <w:t>Application of depreciation approach in RAB roll forward for next reset</w:t>
      </w:r>
      <w:bookmarkEnd w:id="86"/>
      <w:bookmarkEnd w:id="87"/>
      <w:bookmarkEnd w:id="88"/>
    </w:p>
    <w:p w:rsidR="007A0E2B" w:rsidRDefault="00B47C99" w:rsidP="00132D43">
      <w:r w:rsidRPr="00B47C99">
        <w:t xml:space="preserve">Our final decision </w:t>
      </w:r>
      <w:r w:rsidR="00596911">
        <w:t>accepts Powercor's revised proposal</w:t>
      </w:r>
      <w:r w:rsidRPr="00B47C99">
        <w:t xml:space="preserve"> to roll forward </w:t>
      </w:r>
      <w:r w:rsidR="00596911">
        <w:t>its</w:t>
      </w:r>
      <w:r w:rsidRPr="00B47C99">
        <w:t xml:space="preserve"> RAB for the commencement of </w:t>
      </w:r>
      <w:r w:rsidR="00596911">
        <w:t>the</w:t>
      </w:r>
      <w:r w:rsidRPr="00B47C99">
        <w:t xml:space="preserve"> 2021–25 regulatory control period using depreciation based on forecast capex (updated for actual inflation).</w:t>
      </w:r>
      <w:r w:rsidRPr="00B47C99">
        <w:rPr>
          <w:rStyle w:val="FootnoteReference"/>
        </w:rPr>
        <w:footnoteReference w:id="30"/>
      </w:r>
      <w:r w:rsidRPr="00B47C99">
        <w:t xml:space="preserve"> </w:t>
      </w:r>
      <w:r w:rsidR="003148FC">
        <w:t xml:space="preserve">This approach is consistent with our preliminary decision, Powercor's </w:t>
      </w:r>
      <w:r w:rsidR="00511639">
        <w:t>init</w:t>
      </w:r>
      <w:r w:rsidR="003B1E65">
        <w:t>i</w:t>
      </w:r>
      <w:r w:rsidR="00511639">
        <w:t>al</w:t>
      </w:r>
      <w:r w:rsidR="003148FC">
        <w:t xml:space="preserve"> proposal and </w:t>
      </w:r>
      <w:r w:rsidR="003148FC" w:rsidRPr="00BC2C2F">
        <w:t>the framework and approach.</w:t>
      </w:r>
      <w:r w:rsidRPr="00B47C99">
        <w:rPr>
          <w:rStyle w:val="FootnoteReference"/>
        </w:rPr>
        <w:footnoteReference w:id="31"/>
      </w:r>
      <w:r w:rsidRPr="00B47C99">
        <w:t xml:space="preserve"> </w:t>
      </w:r>
    </w:p>
    <w:sectPr w:rsidR="007A0E2B"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3D" w:rsidRPr="00290C63" w:rsidRDefault="0063263D" w:rsidP="00290C63">
      <w:r>
        <w:separator/>
      </w:r>
    </w:p>
    <w:p w:rsidR="0063263D" w:rsidRDefault="0063263D"/>
  </w:endnote>
  <w:endnote w:type="continuationSeparator" w:id="0">
    <w:p w:rsidR="0063263D" w:rsidRPr="00290C63" w:rsidRDefault="0063263D" w:rsidP="00290C63">
      <w:r>
        <w:continuationSeparator/>
      </w:r>
    </w:p>
    <w:p w:rsidR="0063263D" w:rsidRDefault="00632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3D" w:rsidRPr="00290C63" w:rsidRDefault="006326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3263D" w:rsidRDefault="0063263D"/>
  <w:p w:rsidR="0063263D" w:rsidRDefault="0063263D"/>
  <w:p w:rsidR="0063263D" w:rsidRDefault="0063263D"/>
  <w:p w:rsidR="0063263D" w:rsidRDefault="0063263D"/>
  <w:p w:rsidR="0063263D" w:rsidRDefault="0063263D"/>
  <w:p w:rsidR="0063263D" w:rsidRDefault="0063263D"/>
  <w:p w:rsidR="0063263D" w:rsidRDefault="00632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3263D" w:rsidRPr="009B6F84" w:rsidRDefault="0063263D">
        <w:pPr>
          <w:pStyle w:val="Footer"/>
          <w:rPr>
            <w:sz w:val="20"/>
          </w:rPr>
        </w:pPr>
        <w:r>
          <w:fldChar w:fldCharType="begin"/>
        </w:r>
        <w:r>
          <w:instrText xml:space="preserve"> PAGE   \* MERGEFORMAT </w:instrText>
        </w:r>
        <w:r>
          <w:fldChar w:fldCharType="separate"/>
        </w:r>
        <w:r w:rsidR="00826BBA">
          <w:rPr>
            <w:noProof/>
          </w:rPr>
          <w:t>2-0</w:t>
        </w:r>
        <w:r>
          <w:rPr>
            <w:noProof/>
          </w:rPr>
          <w:fldChar w:fldCharType="end"/>
        </w:r>
        <w:r>
          <w:rPr>
            <w:noProof/>
          </w:rPr>
          <w:t xml:space="preserve">  </w:t>
        </w:r>
        <w:r w:rsidRPr="008F78AD">
          <w:t xml:space="preserve">Attachment </w:t>
        </w:r>
        <w:r>
          <w:t>2</w:t>
        </w:r>
        <w:r w:rsidRPr="008F78AD">
          <w:t xml:space="preserve"> – </w:t>
        </w:r>
        <w:r>
          <w:t xml:space="preserve">Regulatory asset base </w:t>
        </w:r>
        <w:r w:rsidRPr="004523B2">
          <w:t xml:space="preserve">| </w:t>
        </w:r>
        <w:r>
          <w:t>Powercor distribution determination final decision</w:t>
        </w:r>
        <w:r w:rsidRPr="004523B2">
          <w:t xml:space="preserve"> 201</w:t>
        </w:r>
        <w:r>
          <w:t>6</w:t>
        </w:r>
        <w:r w:rsidRPr="004523B2">
          <w:t>–</w:t>
        </w:r>
        <w:r>
          <w:t>20</w:t>
        </w:r>
      </w:p>
    </w:sdtContent>
  </w:sdt>
  <w:p w:rsidR="0063263D" w:rsidRDefault="00632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3D" w:rsidRPr="00290C63" w:rsidRDefault="006326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3263D" w:rsidRDefault="0063263D">
    <w:pPr>
      <w:pStyle w:val="Footer"/>
    </w:pPr>
  </w:p>
  <w:p w:rsidR="0063263D" w:rsidRDefault="0063263D"/>
  <w:p w:rsidR="0063263D" w:rsidRDefault="0063263D"/>
  <w:p w:rsidR="0063263D" w:rsidRDefault="0063263D"/>
  <w:p w:rsidR="0063263D" w:rsidRDefault="0063263D"/>
  <w:p w:rsidR="0063263D" w:rsidRDefault="0063263D"/>
  <w:p w:rsidR="0063263D" w:rsidRDefault="0063263D"/>
  <w:p w:rsidR="0063263D" w:rsidRDefault="006326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3D" w:rsidRPr="00290C63" w:rsidRDefault="006326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3263D" w:rsidRDefault="0063263D"/>
  <w:p w:rsidR="0063263D" w:rsidRDefault="0063263D"/>
  <w:p w:rsidR="0063263D" w:rsidRDefault="0063263D"/>
  <w:p w:rsidR="0063263D" w:rsidRDefault="0063263D"/>
  <w:p w:rsidR="0063263D" w:rsidRDefault="0063263D"/>
  <w:p w:rsidR="0063263D" w:rsidRDefault="0063263D"/>
  <w:p w:rsidR="0063263D" w:rsidRDefault="0063263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3D" w:rsidRPr="00290C63" w:rsidRDefault="006326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3263D" w:rsidRDefault="0063263D">
    <w:pPr>
      <w:pStyle w:val="Footer"/>
    </w:pPr>
  </w:p>
  <w:p w:rsidR="0063263D" w:rsidRDefault="0063263D"/>
  <w:p w:rsidR="0063263D" w:rsidRDefault="0063263D"/>
  <w:p w:rsidR="0063263D" w:rsidRDefault="0063263D"/>
  <w:p w:rsidR="0063263D" w:rsidRDefault="0063263D"/>
  <w:p w:rsidR="0063263D" w:rsidRDefault="0063263D"/>
  <w:p w:rsidR="0063263D" w:rsidRDefault="0063263D"/>
  <w:p w:rsidR="0063263D" w:rsidRDefault="00632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3D" w:rsidRPr="00290C63" w:rsidRDefault="0063263D" w:rsidP="00290C63">
      <w:r>
        <w:separator/>
      </w:r>
    </w:p>
    <w:p w:rsidR="0063263D" w:rsidRDefault="0063263D"/>
  </w:footnote>
  <w:footnote w:type="continuationSeparator" w:id="0">
    <w:p w:rsidR="0063263D" w:rsidRPr="00290C63" w:rsidRDefault="0063263D" w:rsidP="00290C63">
      <w:r>
        <w:continuationSeparator/>
      </w:r>
    </w:p>
    <w:p w:rsidR="0063263D" w:rsidRDefault="0063263D"/>
  </w:footnote>
  <w:footnote w:id="1">
    <w:p w:rsidR="0063263D" w:rsidRDefault="0063263D" w:rsidP="00CB622D">
      <w:pPr>
        <w:pStyle w:val="FootnoteText"/>
      </w:pPr>
      <w:r>
        <w:rPr>
          <w:rStyle w:val="FootnoteReference"/>
        </w:rPr>
        <w:footnoteRef/>
      </w:r>
      <w:r>
        <w:t xml:space="preserve"> </w:t>
      </w:r>
      <w:r>
        <w:tab/>
      </w:r>
      <w:r w:rsidRPr="00C37607">
        <w:t>NER, cl. 6.12.1(6).</w:t>
      </w:r>
    </w:p>
  </w:footnote>
  <w:footnote w:id="2">
    <w:p w:rsidR="0063263D" w:rsidRDefault="0063263D" w:rsidP="00651040">
      <w:pPr>
        <w:pStyle w:val="FootnoteText"/>
      </w:pPr>
      <w:r>
        <w:rPr>
          <w:rStyle w:val="FootnoteReference"/>
        </w:rPr>
        <w:footnoteRef/>
      </w:r>
      <w:r>
        <w:t xml:space="preserve"> </w:t>
      </w:r>
      <w:r>
        <w:tab/>
      </w:r>
      <w:r w:rsidRPr="00CA76D5">
        <w:t>NER, cl. 6.12.1(18).</w:t>
      </w:r>
    </w:p>
  </w:footnote>
  <w:footnote w:id="3">
    <w:p w:rsidR="0063263D" w:rsidRDefault="0063263D" w:rsidP="00651040">
      <w:pPr>
        <w:pStyle w:val="FootnoteText"/>
      </w:pPr>
      <w:r>
        <w:rPr>
          <w:rStyle w:val="FootnoteReference"/>
        </w:rPr>
        <w:footnoteRef/>
      </w:r>
      <w:r>
        <w:t xml:space="preserve"> </w:t>
      </w:r>
      <w:r>
        <w:tab/>
        <w:t>Powercor</w:t>
      </w:r>
      <w:r w:rsidRPr="00923AF2">
        <w:t xml:space="preserve">, </w:t>
      </w:r>
      <w:r w:rsidRPr="00923AF2">
        <w:rPr>
          <w:rStyle w:val="AERtextitalic"/>
        </w:rPr>
        <w:t>Revised regulatory proposal</w:t>
      </w:r>
      <w:r w:rsidRPr="00923AF2">
        <w:t xml:space="preserve">, January 2016, p. </w:t>
      </w:r>
      <w:r>
        <w:t>245</w:t>
      </w:r>
      <w:r w:rsidRPr="00923AF2">
        <w:t>.</w:t>
      </w:r>
    </w:p>
  </w:footnote>
  <w:footnote w:id="4">
    <w:p w:rsidR="0063263D" w:rsidRDefault="0063263D" w:rsidP="001E2DEC">
      <w:pPr>
        <w:pStyle w:val="FootnoteText"/>
      </w:pPr>
      <w:r>
        <w:rPr>
          <w:rStyle w:val="FootnoteReference"/>
        </w:rPr>
        <w:footnoteRef/>
      </w:r>
      <w:r>
        <w:t xml:space="preserve"> </w:t>
      </w:r>
      <w:r>
        <w:tab/>
        <w:t>Powercor</w:t>
      </w:r>
      <w:r w:rsidRPr="00CA76D5">
        <w:t xml:space="preserve">, </w:t>
      </w:r>
      <w:r w:rsidRPr="008268F7">
        <w:rPr>
          <w:rStyle w:val="AERtextitalic"/>
        </w:rPr>
        <w:t>Revised regulatory proposal</w:t>
      </w:r>
      <w:r w:rsidRPr="00CA76D5">
        <w:t xml:space="preserve">, January 2016, </w:t>
      </w:r>
      <w:r>
        <w:t>p. 243.</w:t>
      </w:r>
    </w:p>
  </w:footnote>
  <w:footnote w:id="5">
    <w:p w:rsidR="0063263D" w:rsidRDefault="0063263D" w:rsidP="001E2DEC">
      <w:pPr>
        <w:pStyle w:val="FootnoteText"/>
      </w:pPr>
      <w:r>
        <w:rPr>
          <w:rStyle w:val="FootnoteReference"/>
        </w:rPr>
        <w:footnoteRef/>
      </w:r>
      <w:r>
        <w:t xml:space="preserve"> </w:t>
      </w:r>
      <w:r>
        <w:tab/>
        <w:t>Powercor</w:t>
      </w:r>
      <w:r w:rsidRPr="00CA76D5">
        <w:t xml:space="preserve">, </w:t>
      </w:r>
      <w:r w:rsidRPr="008268F7">
        <w:rPr>
          <w:rStyle w:val="AERtextitalic"/>
        </w:rPr>
        <w:t>Revised regulatory proposal</w:t>
      </w:r>
      <w:r w:rsidRPr="00CA76D5">
        <w:t xml:space="preserve">, January 2016, </w:t>
      </w:r>
      <w:r>
        <w:t>p. 246.</w:t>
      </w:r>
    </w:p>
  </w:footnote>
  <w:footnote w:id="6">
    <w:p w:rsidR="0063263D" w:rsidRDefault="0063263D" w:rsidP="001E2DEC">
      <w:pPr>
        <w:pStyle w:val="FootnoteText"/>
      </w:pPr>
      <w:r>
        <w:rPr>
          <w:rStyle w:val="FootnoteReference"/>
        </w:rPr>
        <w:footnoteRef/>
      </w:r>
      <w:r>
        <w:t xml:space="preserve"> </w:t>
      </w:r>
      <w:r>
        <w:tab/>
        <w:t>Powercor</w:t>
      </w:r>
      <w:r w:rsidRPr="00CA76D5">
        <w:t xml:space="preserve">, </w:t>
      </w:r>
      <w:r w:rsidRPr="008268F7">
        <w:rPr>
          <w:rStyle w:val="AERtextitalic"/>
        </w:rPr>
        <w:t>Revised regulatory proposal</w:t>
      </w:r>
      <w:r w:rsidRPr="00CA76D5">
        <w:t xml:space="preserve">, January 2016, </w:t>
      </w:r>
      <w:r>
        <w:t xml:space="preserve">p. 251. </w:t>
      </w:r>
    </w:p>
  </w:footnote>
  <w:footnote w:id="7">
    <w:p w:rsidR="0063263D" w:rsidRDefault="0063263D" w:rsidP="001E2DEC">
      <w:pPr>
        <w:pStyle w:val="FootnoteText"/>
      </w:pPr>
      <w:r>
        <w:rPr>
          <w:rStyle w:val="FootnoteReference"/>
        </w:rPr>
        <w:footnoteRef/>
      </w:r>
      <w:r>
        <w:t xml:space="preserve"> </w:t>
      </w:r>
      <w:r>
        <w:tab/>
        <w:t>The asset reallocation is related to the movement of some assets out of the 'Victorian Bushfire Royal Commission' asset class to the 'Distribution System Assets' asset class and 'SCADA/Network control' asset classes. We consider this issue in attachment 5 of this final decision.</w:t>
      </w:r>
    </w:p>
  </w:footnote>
  <w:footnote w:id="8">
    <w:p w:rsidR="0063263D" w:rsidRDefault="0063263D" w:rsidP="00CB622D">
      <w:pPr>
        <w:pStyle w:val="FootnoteText"/>
      </w:pPr>
      <w:r>
        <w:rPr>
          <w:rStyle w:val="FootnoteReference"/>
        </w:rPr>
        <w:footnoteRef/>
      </w:r>
      <w:r>
        <w:t xml:space="preserve"> </w:t>
      </w:r>
      <w:r>
        <w:tab/>
      </w:r>
      <w:r w:rsidRPr="00D033BE">
        <w:t xml:space="preserve">AER, </w:t>
      </w:r>
      <w:r w:rsidRPr="008268F7">
        <w:rPr>
          <w:rStyle w:val="AERtextitalic"/>
        </w:rPr>
        <w:t xml:space="preserve">Preliminary decision, </w:t>
      </w:r>
      <w:r>
        <w:rPr>
          <w:rStyle w:val="AERtextitalic"/>
        </w:rPr>
        <w:t>Powercor</w:t>
      </w:r>
      <w:r w:rsidRPr="008268F7">
        <w:rPr>
          <w:rStyle w:val="AERtextitalic"/>
        </w:rPr>
        <w:t xml:space="preserve"> determination 2016 to 2020: Attachment 2 – Regulatory asset base</w:t>
      </w:r>
      <w:r w:rsidRPr="00D033BE">
        <w:t xml:space="preserve">, </w:t>
      </w:r>
      <w:r>
        <w:t>October</w:t>
      </w:r>
      <w:r w:rsidRPr="00D033BE">
        <w:t xml:space="preserve"> 2015, pp. 9–1</w:t>
      </w:r>
      <w:r>
        <w:t>1</w:t>
      </w:r>
      <w:r w:rsidRPr="00D033BE">
        <w:t>.</w:t>
      </w:r>
    </w:p>
  </w:footnote>
  <w:footnote w:id="9">
    <w:p w:rsidR="0063263D" w:rsidRDefault="0063263D">
      <w:pPr>
        <w:pStyle w:val="FootnoteText"/>
      </w:pPr>
      <w:r>
        <w:rPr>
          <w:rStyle w:val="FootnoteReference"/>
        </w:rPr>
        <w:footnoteRef/>
      </w:r>
      <w:r>
        <w:t xml:space="preserve"> </w:t>
      </w:r>
      <w:r>
        <w:tab/>
      </w:r>
      <w:r w:rsidRPr="00A130C9">
        <w:t>NER, cl S6.2.1(e)(2).</w:t>
      </w:r>
    </w:p>
  </w:footnote>
  <w:footnote w:id="10">
    <w:p w:rsidR="0063263D" w:rsidRDefault="0063263D" w:rsidP="00EE6503">
      <w:pPr>
        <w:pStyle w:val="FootnoteText"/>
      </w:pPr>
      <w:r>
        <w:rPr>
          <w:rStyle w:val="FootnoteReference"/>
        </w:rPr>
        <w:footnoteRef/>
      </w:r>
      <w:r>
        <w:t xml:space="preserve"> </w:t>
      </w:r>
      <w:r>
        <w:tab/>
        <w:t>NER, cl. 6.12.2(b).</w:t>
      </w:r>
    </w:p>
  </w:footnote>
  <w:footnote w:id="11">
    <w:p w:rsidR="0063263D" w:rsidRDefault="0063263D" w:rsidP="005864AF">
      <w:pPr>
        <w:pStyle w:val="FootnoteText"/>
      </w:pPr>
      <w:r>
        <w:rPr>
          <w:rStyle w:val="FootnoteReference"/>
        </w:rPr>
        <w:footnoteRef/>
      </w:r>
      <w:r>
        <w:t xml:space="preserve"> </w:t>
      </w:r>
      <w:r>
        <w:tab/>
        <w:t>NER, cl. 11.60.5.</w:t>
      </w:r>
    </w:p>
  </w:footnote>
  <w:footnote w:id="12">
    <w:p w:rsidR="0063263D" w:rsidRDefault="0063263D" w:rsidP="005864AF">
      <w:pPr>
        <w:pStyle w:val="FootnoteText"/>
      </w:pPr>
      <w:r>
        <w:rPr>
          <w:rStyle w:val="FootnoteReference"/>
        </w:rPr>
        <w:footnoteRef/>
      </w:r>
      <w:r>
        <w:t xml:space="preserve"> </w:t>
      </w:r>
      <w:r>
        <w:tab/>
        <w:t xml:space="preserve">Here, 'inefficient' past capex refers to three specific assessments (labelled the overspending, margin and capitalisation requirements) detailed in NER, cl. S6.2.2A. The details of our assessment approach for inefficient capex are set out in AER, </w:t>
      </w:r>
      <w:r w:rsidRPr="00965D78">
        <w:rPr>
          <w:rStyle w:val="Emphasis"/>
        </w:rPr>
        <w:t>Capital expenditure incentive guideline</w:t>
      </w:r>
      <w:r>
        <w:t>, November 2013, pp. 12–20.</w:t>
      </w:r>
    </w:p>
  </w:footnote>
  <w:footnote w:id="13">
    <w:p w:rsidR="0063263D" w:rsidRDefault="0063263D" w:rsidP="005864AF">
      <w:pPr>
        <w:pStyle w:val="FootnoteText"/>
      </w:pPr>
      <w:r>
        <w:rPr>
          <w:rStyle w:val="FootnoteReference"/>
        </w:rPr>
        <w:footnoteRef/>
      </w:r>
      <w:r>
        <w:t xml:space="preserve"> </w:t>
      </w:r>
      <w:r>
        <w:tab/>
        <w:t xml:space="preserve">See </w:t>
      </w:r>
      <w:r w:rsidRPr="001A00C0">
        <w:t xml:space="preserve">AER, </w:t>
      </w:r>
      <w:r w:rsidRPr="001A00C0">
        <w:rPr>
          <w:rStyle w:val="Emphasis"/>
        </w:rPr>
        <w:t>Final decision, Victorian electricity distribution network service providers, Distribution determination 2011–15</w:t>
      </w:r>
      <w:r w:rsidRPr="001A00C0">
        <w:t>, October 2010, pp. 459–462.</w:t>
      </w:r>
    </w:p>
  </w:footnote>
  <w:footnote w:id="14">
    <w:p w:rsidR="0063263D" w:rsidRDefault="0063263D" w:rsidP="005864AF">
      <w:pPr>
        <w:pStyle w:val="FootnoteText"/>
      </w:pPr>
      <w:r>
        <w:rPr>
          <w:rStyle w:val="FootnoteReference"/>
        </w:rPr>
        <w:footnoteRef/>
      </w:r>
      <w:r>
        <w:t xml:space="preserve"> </w:t>
      </w:r>
      <w:r>
        <w:tab/>
        <w:t>NER, cll. 6.5.7(a) and (c).</w:t>
      </w:r>
    </w:p>
  </w:footnote>
  <w:footnote w:id="15">
    <w:p w:rsidR="0063263D" w:rsidRDefault="0063263D" w:rsidP="002F4180">
      <w:pPr>
        <w:pStyle w:val="FootnoteText"/>
      </w:pPr>
      <w:r>
        <w:rPr>
          <w:rStyle w:val="FootnoteReference"/>
        </w:rPr>
        <w:footnoteRef/>
      </w:r>
      <w:r>
        <w:t xml:space="preserve"> </w:t>
      </w:r>
      <w:r>
        <w:tab/>
        <w:t xml:space="preserve">Although we describe this as one-year lag (as does Powercor), the series is lagged by one year and three months. The additional three months reflects a practical delay to allow for the publication of CPI data and implementation in the annual pricing approval process. This additional three month delay is accepted by both parties and not considered contentious. </w:t>
      </w:r>
    </w:p>
  </w:footnote>
  <w:footnote w:id="16">
    <w:p w:rsidR="0063263D" w:rsidRDefault="0063263D" w:rsidP="002F4180">
      <w:pPr>
        <w:pStyle w:val="FootnoteText"/>
      </w:pPr>
      <w:r>
        <w:rPr>
          <w:rStyle w:val="FootnoteReference"/>
        </w:rPr>
        <w:footnoteRef/>
      </w:r>
      <w:r>
        <w:t xml:space="preserve"> </w:t>
      </w:r>
      <w:r>
        <w:tab/>
      </w:r>
      <w:r w:rsidRPr="00F54A21">
        <w:t xml:space="preserve">Under </w:t>
      </w:r>
      <w:r>
        <w:t>the partially lagged approach, two</w:t>
      </w:r>
      <w:r w:rsidRPr="00F54A21">
        <w:t xml:space="preserve"> aspects of</w:t>
      </w:r>
      <w:r>
        <w:t xml:space="preserve"> the</w:t>
      </w:r>
      <w:r w:rsidRPr="00F54A21">
        <w:t xml:space="preserve"> RFM indexation use a one-year lagged inflation series</w:t>
      </w:r>
      <w:r>
        <w:t xml:space="preserve"> (straight line depreciation and new capex)</w:t>
      </w:r>
      <w:r w:rsidRPr="00F54A21">
        <w:t xml:space="preserve">, but </w:t>
      </w:r>
      <w:r>
        <w:t>one aspect</w:t>
      </w:r>
      <w:r w:rsidRPr="00F54A21">
        <w:t xml:space="preserve"> use</w:t>
      </w:r>
      <w:r>
        <w:t>s</w:t>
      </w:r>
      <w:r w:rsidRPr="00F54A21">
        <w:t xml:space="preserve"> the actual (</w:t>
      </w:r>
      <w:r>
        <w:t>non</w:t>
      </w:r>
      <w:r w:rsidRPr="00F54A21">
        <w:t>-lagged) inflation outcomes</w:t>
      </w:r>
      <w:r>
        <w:t xml:space="preserve"> (opening RAB). Note that, as per the previous footnote, the actual (non-</w:t>
      </w:r>
      <w:r w:rsidRPr="00F54A21">
        <w:t>lagged) inflation series is lagged by three months</w:t>
      </w:r>
      <w:r>
        <w:t xml:space="preserve"> to allow for publication of CPI data and pricing implementation</w:t>
      </w:r>
      <w:r w:rsidRPr="00F54A21">
        <w:t>.</w:t>
      </w:r>
    </w:p>
  </w:footnote>
  <w:footnote w:id="17">
    <w:p w:rsidR="0063263D" w:rsidRDefault="0063263D" w:rsidP="002F4180">
      <w:pPr>
        <w:pStyle w:val="FootnoteText"/>
      </w:pPr>
      <w:r>
        <w:rPr>
          <w:rStyle w:val="FootnoteReference"/>
        </w:rPr>
        <w:footnoteRef/>
      </w:r>
      <w:r>
        <w:t xml:space="preserve"> </w:t>
      </w:r>
      <w:r>
        <w:tab/>
        <w:t xml:space="preserve">In our 2010 determination for Powercor we applied the RAB roll forward from 2006 to 2010 in accordance with the ESC approach under transitional rules. AER, </w:t>
      </w:r>
      <w:r w:rsidRPr="009C6132">
        <w:rPr>
          <w:rStyle w:val="AERtextitalic"/>
        </w:rPr>
        <w:t>Final decision, Victorian electricity distribution network service providers, Distribution determination 2011–2015</w:t>
      </w:r>
      <w:r>
        <w:t xml:space="preserve">, </w:t>
      </w:r>
      <w:r w:rsidRPr="00E95AF4">
        <w:rPr>
          <w:rStyle w:val="Emphasis"/>
        </w:rPr>
        <w:t>attachment 'Powercor RFM Final Decision.xls'</w:t>
      </w:r>
      <w:r>
        <w:t xml:space="preserve">, October 2010. </w:t>
      </w:r>
    </w:p>
  </w:footnote>
  <w:footnote w:id="18">
    <w:p w:rsidR="0063263D" w:rsidRDefault="0063263D" w:rsidP="002F4180">
      <w:pPr>
        <w:pStyle w:val="FootnoteText"/>
      </w:pPr>
      <w:r>
        <w:rPr>
          <w:rStyle w:val="FootnoteReference"/>
        </w:rPr>
        <w:footnoteRef/>
      </w:r>
      <w:r>
        <w:t xml:space="preserve"> </w:t>
      </w:r>
      <w:r>
        <w:tab/>
        <w:t xml:space="preserve">Powercor, </w:t>
      </w:r>
      <w:r w:rsidRPr="00333053">
        <w:rPr>
          <w:rStyle w:val="AERtextitalic"/>
        </w:rPr>
        <w:t>Revised regulatory proposal</w:t>
      </w:r>
      <w:r>
        <w:t xml:space="preserve">, 6 January 2016, pp. 250–251; AusNet Services, </w:t>
      </w:r>
      <w:r w:rsidRPr="009C653F">
        <w:rPr>
          <w:rStyle w:val="AERtextitalic"/>
        </w:rPr>
        <w:t>Revised regulatory proposal</w:t>
      </w:r>
      <w:r>
        <w:t xml:space="preserve">, 6 January 2016, pp. 8-7 to 8-8; CitiPower, </w:t>
      </w:r>
      <w:r w:rsidRPr="00333053">
        <w:rPr>
          <w:rStyle w:val="AERtextitalic"/>
        </w:rPr>
        <w:t>Revised regulatory proposal</w:t>
      </w:r>
      <w:r>
        <w:t xml:space="preserve">, 6 January 2016, pp. 256–257; Jemena, </w:t>
      </w:r>
      <w:r>
        <w:rPr>
          <w:rStyle w:val="AERtextitalic"/>
        </w:rPr>
        <w:t>Revised r</w:t>
      </w:r>
      <w:r w:rsidRPr="00333053">
        <w:rPr>
          <w:rStyle w:val="AERtextitalic"/>
        </w:rPr>
        <w:t>egulatory proposal, Attachment 5-4 Asset base roll-forward and depreciation</w:t>
      </w:r>
      <w:r>
        <w:t xml:space="preserve">, 6 January 2016, pp. 2–3; and United Energy, </w:t>
      </w:r>
      <w:r w:rsidRPr="00333053">
        <w:rPr>
          <w:rStyle w:val="AERtextitalic"/>
        </w:rPr>
        <w:t>Revised regulatory proposal</w:t>
      </w:r>
      <w:r>
        <w:t>, 6 January 2016, pp. 72–73.</w:t>
      </w:r>
    </w:p>
  </w:footnote>
  <w:footnote w:id="19">
    <w:p w:rsidR="0063263D" w:rsidRDefault="0063263D" w:rsidP="002F4180">
      <w:pPr>
        <w:pStyle w:val="FootnoteText"/>
      </w:pPr>
      <w:r>
        <w:rPr>
          <w:rStyle w:val="FootnoteReference"/>
        </w:rPr>
        <w:footnoteRef/>
      </w:r>
      <w:r>
        <w:t xml:space="preserve"> </w:t>
      </w:r>
      <w:r>
        <w:tab/>
        <w:t xml:space="preserve">Powercor, </w:t>
      </w:r>
      <w:r w:rsidRPr="00333053">
        <w:rPr>
          <w:rStyle w:val="AERtextitalic"/>
        </w:rPr>
        <w:t>Revised regulatory proposal</w:t>
      </w:r>
      <w:r>
        <w:t>, 6 January 2016, pp. 248–252.</w:t>
      </w:r>
    </w:p>
  </w:footnote>
  <w:footnote w:id="20">
    <w:p w:rsidR="0063263D" w:rsidRDefault="0063263D" w:rsidP="002F4180">
      <w:pPr>
        <w:pStyle w:val="FootnoteText"/>
      </w:pPr>
      <w:r>
        <w:rPr>
          <w:rStyle w:val="FootnoteReference"/>
        </w:rPr>
        <w:footnoteRef/>
      </w:r>
      <w:r>
        <w:t xml:space="preserve"> </w:t>
      </w:r>
      <w:r>
        <w:tab/>
        <w:t xml:space="preserve">AusNet Services, </w:t>
      </w:r>
      <w:r w:rsidRPr="00107D90">
        <w:rPr>
          <w:rStyle w:val="AERtextitalic"/>
        </w:rPr>
        <w:t>Revised regulatory proposal</w:t>
      </w:r>
      <w:r>
        <w:t>, 6 January 2016, pp. 8-6 to 8-9;</w:t>
      </w:r>
      <w:r w:rsidRPr="002F4180">
        <w:t xml:space="preserve"> </w:t>
      </w:r>
      <w:r>
        <w:t xml:space="preserve">CitiPower, </w:t>
      </w:r>
      <w:r w:rsidRPr="00333053">
        <w:rPr>
          <w:rStyle w:val="AERtextitalic"/>
        </w:rPr>
        <w:t>Revised regulatory proposal</w:t>
      </w:r>
      <w:r>
        <w:t xml:space="preserve">, 6 January 2016, pp. 254–258; Jemena, </w:t>
      </w:r>
      <w:r>
        <w:rPr>
          <w:rStyle w:val="AERtextitalic"/>
        </w:rPr>
        <w:t>Revised regulatory proposal</w:t>
      </w:r>
      <w:r w:rsidRPr="00333053">
        <w:rPr>
          <w:rStyle w:val="AERtextitalic"/>
        </w:rPr>
        <w:t>, Attachment 5-4 Asset base roll-forward and depreciation</w:t>
      </w:r>
      <w:r>
        <w:t xml:space="preserve">, 6 January 2016, pp. 1–6; and United Energy, </w:t>
      </w:r>
      <w:r w:rsidRPr="00333053">
        <w:rPr>
          <w:rStyle w:val="AERtextitalic"/>
        </w:rPr>
        <w:t>Revised regulatory proposal</w:t>
      </w:r>
      <w:r>
        <w:t>, 6 January 2016, pp. 72–73.</w:t>
      </w:r>
    </w:p>
  </w:footnote>
  <w:footnote w:id="21">
    <w:p w:rsidR="0063263D" w:rsidRDefault="0063263D" w:rsidP="002F4180">
      <w:pPr>
        <w:pStyle w:val="FootnoteText"/>
      </w:pPr>
      <w:r>
        <w:rPr>
          <w:rStyle w:val="FootnoteReference"/>
        </w:rPr>
        <w:footnoteRef/>
      </w:r>
      <w:r>
        <w:t xml:space="preserve"> </w:t>
      </w:r>
      <w:r>
        <w:tab/>
        <w:t xml:space="preserve">AER, </w:t>
      </w:r>
      <w:r w:rsidRPr="00107D90">
        <w:rPr>
          <w:rStyle w:val="AERtextitalic"/>
        </w:rPr>
        <w:t>Final decision, Amendment, Electricity transmission network service providers, Roll forward model (version 3)</w:t>
      </w:r>
      <w:r>
        <w:t>, 23 October 2015, p. 11–12.</w:t>
      </w:r>
    </w:p>
  </w:footnote>
  <w:footnote w:id="22">
    <w:p w:rsidR="0063263D" w:rsidRDefault="0063263D" w:rsidP="002F4180">
      <w:pPr>
        <w:pStyle w:val="FootnoteText"/>
      </w:pPr>
      <w:r>
        <w:rPr>
          <w:rStyle w:val="FootnoteReference"/>
        </w:rPr>
        <w:footnoteRef/>
      </w:r>
      <w:r>
        <w:t xml:space="preserve"> </w:t>
      </w:r>
      <w:r>
        <w:tab/>
        <w:t>NER, cl. 6.5.1(b)–(d).</w:t>
      </w:r>
    </w:p>
  </w:footnote>
  <w:footnote w:id="23">
    <w:p w:rsidR="0063263D" w:rsidRDefault="0063263D" w:rsidP="002F4180">
      <w:pPr>
        <w:pStyle w:val="FootnoteText"/>
      </w:pPr>
      <w:r>
        <w:rPr>
          <w:rStyle w:val="FootnoteReference"/>
        </w:rPr>
        <w:footnoteRef/>
      </w:r>
      <w:r>
        <w:t xml:space="preserve"> </w:t>
      </w:r>
      <w:r>
        <w:tab/>
        <w:t xml:space="preserve">We note that the AER's current approach had support from service providers when the current RFM template was developed in 2008. See the submissions available online at </w:t>
      </w:r>
      <w:hyperlink r:id="rId1" w:history="1">
        <w:r w:rsidRPr="00491162">
          <w:rPr>
            <w:rStyle w:val="Hyperlink"/>
            <w:sz w:val="16"/>
          </w:rPr>
          <w:t>http://www.aer.gov.au/networks-pipelines/guidelines-schemes-models-reviews/roll-forward-model-2008/draft-decision</w:t>
        </w:r>
      </w:hyperlink>
      <w:r>
        <w:t>.</w:t>
      </w:r>
    </w:p>
  </w:footnote>
  <w:footnote w:id="24">
    <w:p w:rsidR="0063263D" w:rsidRDefault="0063263D" w:rsidP="002F4180">
      <w:pPr>
        <w:pStyle w:val="FootnoteText"/>
      </w:pPr>
      <w:r>
        <w:rPr>
          <w:rStyle w:val="FootnoteReference"/>
        </w:rPr>
        <w:footnoteRef/>
      </w:r>
      <w:r>
        <w:t xml:space="preserve"> </w:t>
      </w:r>
      <w:r>
        <w:tab/>
      </w:r>
      <w:r w:rsidRPr="00C113FF">
        <w:t>Further, it is likely that there would not be a material difference in revenue outcomes</w:t>
      </w:r>
      <w:r>
        <w:t xml:space="preserve"> even if we were to change our final decision from all-lagged to the partially-lagged approach. This is because, when changing from one inflation series to another, we would give consideration to a transitional adjustment reflecting the impact of the change.</w:t>
      </w:r>
    </w:p>
  </w:footnote>
  <w:footnote w:id="25">
    <w:p w:rsidR="0063263D" w:rsidRDefault="0063263D" w:rsidP="002F4180">
      <w:pPr>
        <w:pStyle w:val="FootnoteText"/>
      </w:pPr>
      <w:r>
        <w:rPr>
          <w:rStyle w:val="FootnoteReference"/>
        </w:rPr>
        <w:footnoteRef/>
      </w:r>
      <w:r>
        <w:t xml:space="preserve"> </w:t>
      </w:r>
      <w:r>
        <w:tab/>
        <w:t xml:space="preserve">In contrast, Powercor's initial proposal used lagged inputs but did not adjust the formulae. This meant it applied a two-year lag to some RFM components. Powercor no longer proposes this approach. </w:t>
      </w:r>
    </w:p>
  </w:footnote>
  <w:footnote w:id="26">
    <w:p w:rsidR="0063263D" w:rsidRDefault="0063263D" w:rsidP="00B47C99">
      <w:pPr>
        <w:pStyle w:val="FootnoteText"/>
      </w:pPr>
      <w:r>
        <w:rPr>
          <w:rStyle w:val="FootnoteReference"/>
        </w:rPr>
        <w:footnoteRef/>
      </w:r>
      <w:r>
        <w:t xml:space="preserve"> </w:t>
      </w:r>
      <w:r>
        <w:tab/>
        <w:t xml:space="preserve">Powercor, </w:t>
      </w:r>
      <w:r w:rsidRPr="007A0E2B">
        <w:rPr>
          <w:rStyle w:val="AERtextitalic"/>
        </w:rPr>
        <w:t xml:space="preserve">RE: AER information request - </w:t>
      </w:r>
      <w:r>
        <w:rPr>
          <w:rStyle w:val="AERtextitalic"/>
        </w:rPr>
        <w:t>CitiPower</w:t>
      </w:r>
      <w:r w:rsidRPr="007A0E2B">
        <w:rPr>
          <w:rStyle w:val="AERtextitalic"/>
        </w:rPr>
        <w:t xml:space="preserve"> #033 and </w:t>
      </w:r>
      <w:r>
        <w:rPr>
          <w:rStyle w:val="AERtextitalic"/>
        </w:rPr>
        <w:t>Powercor</w:t>
      </w:r>
      <w:r w:rsidRPr="007A0E2B">
        <w:rPr>
          <w:rStyle w:val="AERtextitalic"/>
        </w:rPr>
        <w:t xml:space="preserve"> #034 – 2015 estimated capex update</w:t>
      </w:r>
      <w:r>
        <w:rPr>
          <w:rStyle w:val="AERtextitalic"/>
        </w:rPr>
        <w:t xml:space="preserve"> </w:t>
      </w:r>
      <w:r w:rsidRPr="00E95AF4">
        <w:rPr>
          <w:rStyle w:val="AERtextsize8"/>
        </w:rPr>
        <w:t>[email to AER]</w:t>
      </w:r>
      <w:r>
        <w:t>, 3 March 2016.</w:t>
      </w:r>
    </w:p>
  </w:footnote>
  <w:footnote w:id="27">
    <w:p w:rsidR="0063263D" w:rsidRDefault="0063263D" w:rsidP="00B47C99">
      <w:pPr>
        <w:pStyle w:val="FootnoteText"/>
      </w:pPr>
      <w:r>
        <w:rPr>
          <w:rStyle w:val="FootnoteReference"/>
        </w:rPr>
        <w:footnoteRef/>
      </w:r>
      <w:r>
        <w:t xml:space="preserve"> </w:t>
      </w:r>
      <w:r>
        <w:tab/>
      </w:r>
      <w:r w:rsidRPr="00CF0900">
        <w:t xml:space="preserve">This amount is </w:t>
      </w:r>
      <w:r>
        <w:t xml:space="preserve">adjusted for the movement in capitalised provisions and </w:t>
      </w:r>
      <w:r w:rsidRPr="00CF0900">
        <w:t>before adjusting for the half-WACC to account for the timing assumption in the PTRM.</w:t>
      </w:r>
    </w:p>
  </w:footnote>
  <w:footnote w:id="28">
    <w:p w:rsidR="0063263D" w:rsidRDefault="0063263D" w:rsidP="00B47C99">
      <w:pPr>
        <w:pStyle w:val="FootnoteText"/>
      </w:pPr>
      <w:r>
        <w:rPr>
          <w:rStyle w:val="FootnoteReference"/>
        </w:rPr>
        <w:footnoteRef/>
      </w:r>
      <w:r>
        <w:t xml:space="preserve"> </w:t>
      </w:r>
      <w:r>
        <w:tab/>
      </w:r>
      <w:r w:rsidRPr="00CF0900">
        <w:t>NER, cl. S6.2.1(e)(3).</w:t>
      </w:r>
    </w:p>
  </w:footnote>
  <w:footnote w:id="29">
    <w:p w:rsidR="0063263D" w:rsidRDefault="0063263D">
      <w:pPr>
        <w:pStyle w:val="FootnoteText"/>
      </w:pPr>
      <w:r>
        <w:rPr>
          <w:rStyle w:val="FootnoteReference"/>
        </w:rPr>
        <w:footnoteRef/>
      </w:r>
      <w:r>
        <w:t xml:space="preserve"> </w:t>
      </w:r>
      <w:r>
        <w:tab/>
      </w:r>
      <w:r w:rsidRPr="003B4FE3">
        <w:t>This capex amount is inclusive of equity raising costs and after adjusting for the half-WACC to account for the timing assumption in the PTRM</w:t>
      </w:r>
    </w:p>
  </w:footnote>
  <w:footnote w:id="30">
    <w:p w:rsidR="0063263D" w:rsidRDefault="0063263D" w:rsidP="00B47C99">
      <w:pPr>
        <w:pStyle w:val="FootnoteText"/>
      </w:pPr>
      <w:r>
        <w:rPr>
          <w:rStyle w:val="FootnoteReference"/>
        </w:rPr>
        <w:footnoteRef/>
      </w:r>
      <w:r>
        <w:t xml:space="preserve"> </w:t>
      </w:r>
      <w:r>
        <w:tab/>
        <w:t xml:space="preserve">Powercor, </w:t>
      </w:r>
      <w:r w:rsidRPr="00923AF2">
        <w:rPr>
          <w:rStyle w:val="AERtextitalic"/>
        </w:rPr>
        <w:t>Revised regulatory proposal</w:t>
      </w:r>
      <w:r w:rsidRPr="00923AF2">
        <w:t>, January 2016, p.</w:t>
      </w:r>
      <w:r>
        <w:t xml:space="preserve"> 238</w:t>
      </w:r>
      <w:r>
        <w:rPr>
          <w:rStyle w:val="AERtextitalic"/>
        </w:rPr>
        <w:t>.</w:t>
      </w:r>
    </w:p>
  </w:footnote>
  <w:footnote w:id="31">
    <w:p w:rsidR="0063263D" w:rsidRDefault="0063263D" w:rsidP="004A78FC">
      <w:pPr>
        <w:pStyle w:val="FootnoteText"/>
      </w:pPr>
      <w:r>
        <w:rPr>
          <w:rStyle w:val="FootnoteReference"/>
        </w:rPr>
        <w:footnoteRef/>
      </w:r>
      <w:r>
        <w:t xml:space="preserve"> </w:t>
      </w:r>
      <w:r>
        <w:tab/>
        <w:t xml:space="preserve">AER, </w:t>
      </w:r>
      <w:r w:rsidRPr="002D64E3">
        <w:rPr>
          <w:rStyle w:val="AERtextitalic"/>
        </w:rPr>
        <w:t xml:space="preserve">Preliminary decision </w:t>
      </w:r>
      <w:r>
        <w:rPr>
          <w:rStyle w:val="AERtextitalic"/>
        </w:rPr>
        <w:t xml:space="preserve">Powercor </w:t>
      </w:r>
      <w:r w:rsidRPr="002D64E3">
        <w:rPr>
          <w:rStyle w:val="AERtextitalic"/>
        </w:rPr>
        <w:t>distribution determination - Attachment 2 - Regulatory asset base</w:t>
      </w:r>
      <w:r>
        <w:t xml:space="preserve">, </w:t>
      </w:r>
      <w:r w:rsidRPr="002D64E3">
        <w:t>October 2015</w:t>
      </w:r>
      <w:r w:rsidRPr="004A78FC">
        <w:rPr>
          <w:rStyle w:val="AERtextitalic"/>
          <w:i w:val="0"/>
        </w:rPr>
        <w:t xml:space="preserve">, </w:t>
      </w:r>
      <w:r w:rsidRPr="00E95AF4">
        <w:rPr>
          <w:rStyle w:val="AERtextsize8"/>
        </w:rPr>
        <w:t>pp. 16–17</w:t>
      </w:r>
      <w:r>
        <w:rPr>
          <w:rStyle w:val="AERtextitalic"/>
        </w:rPr>
        <w:t xml:space="preserve">; </w:t>
      </w:r>
      <w:r>
        <w:t>Powercor</w:t>
      </w:r>
      <w:r w:rsidRPr="009E311A">
        <w:t xml:space="preserve">, </w:t>
      </w:r>
      <w:r w:rsidRPr="00DE351E">
        <w:rPr>
          <w:rStyle w:val="AERtextitalic"/>
        </w:rPr>
        <w:t>Regulatory proposal</w:t>
      </w:r>
      <w:r>
        <w:t xml:space="preserve">, April 2015, p. 193; AER, </w:t>
      </w:r>
      <w:r w:rsidRPr="00BC2C2F">
        <w:rPr>
          <w:rStyle w:val="AERtextitalic"/>
        </w:rPr>
        <w:t>Final Framework and Approach for the Victorian Electricity Distributors</w:t>
      </w:r>
      <w:r>
        <w:t>,</w:t>
      </w:r>
      <w:r w:rsidRPr="00BC2C2F">
        <w:t xml:space="preserve"> October 2014</w:t>
      </w:r>
      <w:r>
        <w:t>, pp. 121–126.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3D" w:rsidRDefault="00632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65AAAF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r1MPpgBGlBS7dVZyZctS9EvMU8uLDameoxaTLDjSfY=" w:saltValue="i7LazsO+CSyACiRy/yKL0w==" w:algorithmName="SHA-256"/>
  <w:defaultTabStop w:val="34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288\AER15 4380  AER - Final decision AusNet distribution determination - Attachment 2 - Regulatory asset base - April 2016.DOCX"/>
  </w:docVars>
  <w:rsids>
    <w:rsidRoot w:val="00961A4A"/>
    <w:rsid w:val="000051DC"/>
    <w:rsid w:val="0000658F"/>
    <w:rsid w:val="00014668"/>
    <w:rsid w:val="0001507B"/>
    <w:rsid w:val="00020016"/>
    <w:rsid w:val="00021202"/>
    <w:rsid w:val="00021C2B"/>
    <w:rsid w:val="0002498B"/>
    <w:rsid w:val="0002517F"/>
    <w:rsid w:val="00026187"/>
    <w:rsid w:val="000266FC"/>
    <w:rsid w:val="000273B3"/>
    <w:rsid w:val="00027E2D"/>
    <w:rsid w:val="0003578C"/>
    <w:rsid w:val="000364FB"/>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129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0298"/>
    <w:rsid w:val="001A530D"/>
    <w:rsid w:val="001A5FB3"/>
    <w:rsid w:val="001A7155"/>
    <w:rsid w:val="001B45A0"/>
    <w:rsid w:val="001B680E"/>
    <w:rsid w:val="001D055E"/>
    <w:rsid w:val="001E1B3F"/>
    <w:rsid w:val="001E2DEC"/>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4B4F"/>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4180"/>
    <w:rsid w:val="002F7986"/>
    <w:rsid w:val="00301B40"/>
    <w:rsid w:val="00301C82"/>
    <w:rsid w:val="003029EE"/>
    <w:rsid w:val="00304D38"/>
    <w:rsid w:val="00305CC8"/>
    <w:rsid w:val="00307F6D"/>
    <w:rsid w:val="003148FC"/>
    <w:rsid w:val="00314D83"/>
    <w:rsid w:val="0031571F"/>
    <w:rsid w:val="003177A2"/>
    <w:rsid w:val="00317E02"/>
    <w:rsid w:val="003271B5"/>
    <w:rsid w:val="00327200"/>
    <w:rsid w:val="00327A1E"/>
    <w:rsid w:val="00327E28"/>
    <w:rsid w:val="00331264"/>
    <w:rsid w:val="0033218A"/>
    <w:rsid w:val="00334C8D"/>
    <w:rsid w:val="003378BD"/>
    <w:rsid w:val="003424EA"/>
    <w:rsid w:val="00342C2F"/>
    <w:rsid w:val="003436EB"/>
    <w:rsid w:val="00343A18"/>
    <w:rsid w:val="00345744"/>
    <w:rsid w:val="003518B3"/>
    <w:rsid w:val="00353E79"/>
    <w:rsid w:val="00364EA0"/>
    <w:rsid w:val="00366981"/>
    <w:rsid w:val="00370678"/>
    <w:rsid w:val="0037214E"/>
    <w:rsid w:val="003721EB"/>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2E"/>
    <w:rsid w:val="003A59CD"/>
    <w:rsid w:val="003A6B00"/>
    <w:rsid w:val="003B0460"/>
    <w:rsid w:val="003B1E65"/>
    <w:rsid w:val="003B30B2"/>
    <w:rsid w:val="003B3307"/>
    <w:rsid w:val="003B484F"/>
    <w:rsid w:val="003B4FE3"/>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2346"/>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3600"/>
    <w:rsid w:val="00465258"/>
    <w:rsid w:val="00471BC6"/>
    <w:rsid w:val="00476221"/>
    <w:rsid w:val="004766F5"/>
    <w:rsid w:val="00480B4B"/>
    <w:rsid w:val="004838D8"/>
    <w:rsid w:val="00485DC4"/>
    <w:rsid w:val="00494D04"/>
    <w:rsid w:val="004A1CEB"/>
    <w:rsid w:val="004A40BA"/>
    <w:rsid w:val="004A43D1"/>
    <w:rsid w:val="004A492B"/>
    <w:rsid w:val="004A78FC"/>
    <w:rsid w:val="004B4412"/>
    <w:rsid w:val="004B6269"/>
    <w:rsid w:val="004C1597"/>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1639"/>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2AD7"/>
    <w:rsid w:val="00573A3B"/>
    <w:rsid w:val="00577716"/>
    <w:rsid w:val="00577A09"/>
    <w:rsid w:val="005829C2"/>
    <w:rsid w:val="00584D8F"/>
    <w:rsid w:val="005864AF"/>
    <w:rsid w:val="00587A18"/>
    <w:rsid w:val="00587ADE"/>
    <w:rsid w:val="00596911"/>
    <w:rsid w:val="00597F51"/>
    <w:rsid w:val="005A0BEC"/>
    <w:rsid w:val="005A404D"/>
    <w:rsid w:val="005A44E7"/>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29D"/>
    <w:rsid w:val="005D7BA2"/>
    <w:rsid w:val="005E0E1B"/>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63D"/>
    <w:rsid w:val="00632D6D"/>
    <w:rsid w:val="0063506F"/>
    <w:rsid w:val="00636569"/>
    <w:rsid w:val="00636EF9"/>
    <w:rsid w:val="00642C3E"/>
    <w:rsid w:val="00644A01"/>
    <w:rsid w:val="00651040"/>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55A8"/>
    <w:rsid w:val="006A66A1"/>
    <w:rsid w:val="006B032D"/>
    <w:rsid w:val="006B1A51"/>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0A2E"/>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0E2B"/>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6DF6"/>
    <w:rsid w:val="007C74BB"/>
    <w:rsid w:val="007C7F64"/>
    <w:rsid w:val="007D0A95"/>
    <w:rsid w:val="007D0EB5"/>
    <w:rsid w:val="007D456E"/>
    <w:rsid w:val="007D5837"/>
    <w:rsid w:val="007D7AB7"/>
    <w:rsid w:val="007E4904"/>
    <w:rsid w:val="007E4CB5"/>
    <w:rsid w:val="007E4DAE"/>
    <w:rsid w:val="007F066B"/>
    <w:rsid w:val="007F4EAB"/>
    <w:rsid w:val="007F5B16"/>
    <w:rsid w:val="007F7638"/>
    <w:rsid w:val="007F7C9D"/>
    <w:rsid w:val="008033C4"/>
    <w:rsid w:val="00806731"/>
    <w:rsid w:val="00806C88"/>
    <w:rsid w:val="0081034E"/>
    <w:rsid w:val="00810806"/>
    <w:rsid w:val="00815882"/>
    <w:rsid w:val="00820454"/>
    <w:rsid w:val="00822AC7"/>
    <w:rsid w:val="00822E86"/>
    <w:rsid w:val="00826BBA"/>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3A78"/>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141C"/>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135"/>
    <w:rsid w:val="009A5FC3"/>
    <w:rsid w:val="009B6F84"/>
    <w:rsid w:val="009B74B0"/>
    <w:rsid w:val="009C0152"/>
    <w:rsid w:val="009C1A74"/>
    <w:rsid w:val="009C3D42"/>
    <w:rsid w:val="009C491E"/>
    <w:rsid w:val="009C71BF"/>
    <w:rsid w:val="009D0DF1"/>
    <w:rsid w:val="009D22D6"/>
    <w:rsid w:val="009D2C84"/>
    <w:rsid w:val="009D3906"/>
    <w:rsid w:val="009D5E35"/>
    <w:rsid w:val="009D6B46"/>
    <w:rsid w:val="009E35B6"/>
    <w:rsid w:val="009E5ABC"/>
    <w:rsid w:val="009F3BBA"/>
    <w:rsid w:val="009F43B4"/>
    <w:rsid w:val="009F4940"/>
    <w:rsid w:val="009F5546"/>
    <w:rsid w:val="009F5BA1"/>
    <w:rsid w:val="00A02A88"/>
    <w:rsid w:val="00A04012"/>
    <w:rsid w:val="00A046FA"/>
    <w:rsid w:val="00A04FAC"/>
    <w:rsid w:val="00A0562E"/>
    <w:rsid w:val="00A0726D"/>
    <w:rsid w:val="00A073AE"/>
    <w:rsid w:val="00A12204"/>
    <w:rsid w:val="00A12750"/>
    <w:rsid w:val="00A130C9"/>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6B65"/>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17BC"/>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47C99"/>
    <w:rsid w:val="00B5084F"/>
    <w:rsid w:val="00B514DD"/>
    <w:rsid w:val="00B52AF0"/>
    <w:rsid w:val="00B53D5F"/>
    <w:rsid w:val="00B54051"/>
    <w:rsid w:val="00B561BD"/>
    <w:rsid w:val="00B56E03"/>
    <w:rsid w:val="00B62765"/>
    <w:rsid w:val="00B65DF5"/>
    <w:rsid w:val="00B7679F"/>
    <w:rsid w:val="00B77159"/>
    <w:rsid w:val="00B8080B"/>
    <w:rsid w:val="00B82223"/>
    <w:rsid w:val="00B87444"/>
    <w:rsid w:val="00B87BA5"/>
    <w:rsid w:val="00B87C39"/>
    <w:rsid w:val="00B93891"/>
    <w:rsid w:val="00B9562D"/>
    <w:rsid w:val="00BA21DA"/>
    <w:rsid w:val="00BA2B60"/>
    <w:rsid w:val="00BA3C93"/>
    <w:rsid w:val="00BA4665"/>
    <w:rsid w:val="00BA7FD7"/>
    <w:rsid w:val="00BB1681"/>
    <w:rsid w:val="00BB2FB2"/>
    <w:rsid w:val="00BB3304"/>
    <w:rsid w:val="00BB6547"/>
    <w:rsid w:val="00BB6551"/>
    <w:rsid w:val="00BC4A10"/>
    <w:rsid w:val="00BC7001"/>
    <w:rsid w:val="00BD30F4"/>
    <w:rsid w:val="00BD3446"/>
    <w:rsid w:val="00BD59CF"/>
    <w:rsid w:val="00BE1312"/>
    <w:rsid w:val="00BE1F1B"/>
    <w:rsid w:val="00BE3F89"/>
    <w:rsid w:val="00BE47B5"/>
    <w:rsid w:val="00BE5FCE"/>
    <w:rsid w:val="00BF6456"/>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96658"/>
    <w:rsid w:val="00CA2D1B"/>
    <w:rsid w:val="00CA489E"/>
    <w:rsid w:val="00CB0279"/>
    <w:rsid w:val="00CB622D"/>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5D3C"/>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2675"/>
    <w:rsid w:val="00DC4DBF"/>
    <w:rsid w:val="00DC4E19"/>
    <w:rsid w:val="00DC65FE"/>
    <w:rsid w:val="00DC7981"/>
    <w:rsid w:val="00DD4C07"/>
    <w:rsid w:val="00DD533C"/>
    <w:rsid w:val="00DD577D"/>
    <w:rsid w:val="00DD5ADC"/>
    <w:rsid w:val="00DE1093"/>
    <w:rsid w:val="00DE2E42"/>
    <w:rsid w:val="00DE4EFA"/>
    <w:rsid w:val="00DE5520"/>
    <w:rsid w:val="00DE563D"/>
    <w:rsid w:val="00DE7AB5"/>
    <w:rsid w:val="00DF0152"/>
    <w:rsid w:val="00DF1958"/>
    <w:rsid w:val="00E044FB"/>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1DFD"/>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5AF4"/>
    <w:rsid w:val="00E966BF"/>
    <w:rsid w:val="00EA0C04"/>
    <w:rsid w:val="00EA3D42"/>
    <w:rsid w:val="00EA6B1B"/>
    <w:rsid w:val="00EB1CBD"/>
    <w:rsid w:val="00EB3A34"/>
    <w:rsid w:val="00EB3C3F"/>
    <w:rsid w:val="00EB6A19"/>
    <w:rsid w:val="00EC04F1"/>
    <w:rsid w:val="00EC237F"/>
    <w:rsid w:val="00EC573A"/>
    <w:rsid w:val="00ED35C8"/>
    <w:rsid w:val="00ED3968"/>
    <w:rsid w:val="00ED42BD"/>
    <w:rsid w:val="00ED7323"/>
    <w:rsid w:val="00EE28F3"/>
    <w:rsid w:val="00EE46F1"/>
    <w:rsid w:val="00EE50D1"/>
    <w:rsid w:val="00EE6503"/>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6748"/>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9611068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7085978">
      <w:bodyDiv w:val="1"/>
      <w:marLeft w:val="0"/>
      <w:marRight w:val="0"/>
      <w:marTop w:val="0"/>
      <w:marBottom w:val="0"/>
      <w:divBdr>
        <w:top w:val="none" w:sz="0" w:space="0" w:color="auto"/>
        <w:left w:val="none" w:sz="0" w:space="0" w:color="auto"/>
        <w:bottom w:val="none" w:sz="0" w:space="0" w:color="auto"/>
        <w:right w:val="none" w:sz="0" w:space="0" w:color="auto"/>
      </w:divBdr>
    </w:div>
    <w:div w:id="162280543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guidelines-schemes-models-reviews/roll-forward-model-2008/draft-decis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9B9CA3-31D6-4631-9C34-2051DC73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6BDECCD6</Template>
  <TotalTime>0</TotalTime>
  <Pages>14</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2016-05-20T09:34:00Z</dcterms:created>
  <dcterms:modified xsi:type="dcterms:W3CDTF">2016-05-20T09:34:00Z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8591330</vt:lpwstr>
  </property>
</Properties>
</file>