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CF00C66" wp14:editId="5018A4CF">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C77677F" wp14:editId="6BCA6C3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08430B"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C75E3E">
            <w:t>6</w:t>
          </w:r>
          <w:r w:rsidR="000474DF">
            <w:t xml:space="preserve"> </w:t>
          </w:r>
          <w:r w:rsidR="00185BA5">
            <w:t>–</w:t>
          </w:r>
          <w:r w:rsidR="000474DF">
            <w:t xml:space="preserve"> </w:t>
          </w:r>
          <w:r w:rsidR="00C75E3E">
            <w:t>Alternative control services</w:t>
          </w:r>
        </w:p>
        <w:p w:rsidR="000A6C7B" w:rsidRPr="00327A1E" w:rsidRDefault="007C767F"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441221"/>
      <w:r>
        <w:lastRenderedPageBreak/>
        <w:t>Note</w:t>
      </w:r>
      <w:bookmarkEnd w:id="2"/>
      <w:bookmarkEnd w:id="3"/>
      <w:bookmarkEnd w:id="4"/>
    </w:p>
    <w:p w:rsidR="00761454" w:rsidRDefault="00761454" w:rsidP="00761454">
      <w:pPr>
        <w:numPr>
          <w:ilvl w:val="0"/>
          <w:numId w:val="24"/>
        </w:numPr>
      </w:pPr>
      <w:r>
        <w:t xml:space="preserve">This </w:t>
      </w:r>
      <w:r w:rsidR="00E21125">
        <w:t xml:space="preserve">attachment </w:t>
      </w:r>
      <w:r>
        <w:t xml:space="preserve">forms part of the AER's </w:t>
      </w:r>
      <w:r w:rsidR="00DB4E34">
        <w:t>final</w:t>
      </w:r>
      <w:r w:rsidR="000474DF">
        <w:t xml:space="preserve"> </w:t>
      </w:r>
      <w:r>
        <w:t xml:space="preserve">decision on </w:t>
      </w:r>
      <w:r w:rsidR="0008430B">
        <w:t>Powercor's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44122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7C767F" w:rsidRDefault="007C767F">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51441221" w:history="1">
            <w:r w:rsidRPr="00BC31EB">
              <w:rPr>
                <w:rStyle w:val="Hyperlink"/>
              </w:rPr>
              <w:t>Note</w:t>
            </w:r>
            <w:r>
              <w:rPr>
                <w:webHidden/>
              </w:rPr>
              <w:tab/>
            </w:r>
            <w:r>
              <w:rPr>
                <w:webHidden/>
              </w:rPr>
              <w:fldChar w:fldCharType="begin"/>
            </w:r>
            <w:r>
              <w:rPr>
                <w:webHidden/>
              </w:rPr>
              <w:instrText xml:space="preserve"> PAGEREF _Toc451441221 \h </w:instrText>
            </w:r>
            <w:r>
              <w:rPr>
                <w:webHidden/>
              </w:rPr>
            </w:r>
            <w:r>
              <w:rPr>
                <w:webHidden/>
              </w:rPr>
              <w:fldChar w:fldCharType="separate"/>
            </w:r>
            <w:r w:rsidR="00B1103A">
              <w:rPr>
                <w:webHidden/>
              </w:rPr>
              <w:t>16-2</w:t>
            </w:r>
            <w:r>
              <w:rPr>
                <w:webHidden/>
              </w:rPr>
              <w:fldChar w:fldCharType="end"/>
            </w:r>
          </w:hyperlink>
        </w:p>
        <w:p w:rsidR="007C767F" w:rsidRDefault="00D74854">
          <w:pPr>
            <w:pStyle w:val="TOC1"/>
            <w:rPr>
              <w:rFonts w:asciiTheme="minorHAnsi" w:eastAsiaTheme="minorEastAsia" w:hAnsiTheme="minorHAnsi"/>
              <w:b w:val="0"/>
              <w:color w:val="auto"/>
              <w:sz w:val="22"/>
              <w:lang w:val="en-AU" w:eastAsia="en-AU"/>
            </w:rPr>
          </w:pPr>
          <w:hyperlink w:anchor="_Toc451441222" w:history="1">
            <w:r w:rsidR="007C767F" w:rsidRPr="00BC31EB">
              <w:rPr>
                <w:rStyle w:val="Hyperlink"/>
              </w:rPr>
              <w:t>Contents</w:t>
            </w:r>
            <w:r w:rsidR="007C767F">
              <w:rPr>
                <w:webHidden/>
              </w:rPr>
              <w:tab/>
            </w:r>
            <w:r w:rsidR="007C767F">
              <w:rPr>
                <w:webHidden/>
              </w:rPr>
              <w:fldChar w:fldCharType="begin"/>
            </w:r>
            <w:r w:rsidR="007C767F">
              <w:rPr>
                <w:webHidden/>
              </w:rPr>
              <w:instrText xml:space="preserve"> PAGEREF _Toc451441222 \h </w:instrText>
            </w:r>
            <w:r w:rsidR="007C767F">
              <w:rPr>
                <w:webHidden/>
              </w:rPr>
            </w:r>
            <w:r w:rsidR="007C767F">
              <w:rPr>
                <w:webHidden/>
              </w:rPr>
              <w:fldChar w:fldCharType="separate"/>
            </w:r>
            <w:r w:rsidR="00B1103A">
              <w:rPr>
                <w:webHidden/>
              </w:rPr>
              <w:t>16-3</w:t>
            </w:r>
            <w:r w:rsidR="007C767F">
              <w:rPr>
                <w:webHidden/>
              </w:rPr>
              <w:fldChar w:fldCharType="end"/>
            </w:r>
          </w:hyperlink>
        </w:p>
        <w:p w:rsidR="007C767F" w:rsidRDefault="00D74854">
          <w:pPr>
            <w:pStyle w:val="TOC1"/>
            <w:rPr>
              <w:rFonts w:asciiTheme="minorHAnsi" w:eastAsiaTheme="minorEastAsia" w:hAnsiTheme="minorHAnsi"/>
              <w:b w:val="0"/>
              <w:color w:val="auto"/>
              <w:sz w:val="22"/>
              <w:lang w:val="en-AU" w:eastAsia="en-AU"/>
            </w:rPr>
          </w:pPr>
          <w:hyperlink w:anchor="_Toc451441223" w:history="1">
            <w:r w:rsidR="007C767F" w:rsidRPr="00BC31EB">
              <w:rPr>
                <w:rStyle w:val="Hyperlink"/>
              </w:rPr>
              <w:t>Shortened forms</w:t>
            </w:r>
            <w:r w:rsidR="007C767F">
              <w:rPr>
                <w:webHidden/>
              </w:rPr>
              <w:tab/>
            </w:r>
            <w:r w:rsidR="007C767F">
              <w:rPr>
                <w:webHidden/>
              </w:rPr>
              <w:fldChar w:fldCharType="begin"/>
            </w:r>
            <w:r w:rsidR="007C767F">
              <w:rPr>
                <w:webHidden/>
              </w:rPr>
              <w:instrText xml:space="preserve"> PAGEREF _Toc451441223 \h </w:instrText>
            </w:r>
            <w:r w:rsidR="007C767F">
              <w:rPr>
                <w:webHidden/>
              </w:rPr>
            </w:r>
            <w:r w:rsidR="007C767F">
              <w:rPr>
                <w:webHidden/>
              </w:rPr>
              <w:fldChar w:fldCharType="separate"/>
            </w:r>
            <w:r w:rsidR="00B1103A">
              <w:rPr>
                <w:webHidden/>
              </w:rPr>
              <w:t>16-4</w:t>
            </w:r>
            <w:r w:rsidR="007C767F">
              <w:rPr>
                <w:webHidden/>
              </w:rPr>
              <w:fldChar w:fldCharType="end"/>
            </w:r>
          </w:hyperlink>
        </w:p>
        <w:p w:rsidR="007C767F" w:rsidRDefault="00D74854">
          <w:pPr>
            <w:pStyle w:val="TOC1"/>
            <w:rPr>
              <w:rFonts w:asciiTheme="minorHAnsi" w:eastAsiaTheme="minorEastAsia" w:hAnsiTheme="minorHAnsi"/>
              <w:b w:val="0"/>
              <w:color w:val="auto"/>
              <w:sz w:val="22"/>
              <w:lang w:val="en-AU" w:eastAsia="en-AU"/>
            </w:rPr>
          </w:pPr>
          <w:hyperlink w:anchor="_Toc451441224" w:history="1">
            <w:r w:rsidR="007C767F" w:rsidRPr="00BC31EB">
              <w:rPr>
                <w:rStyle w:val="Hyperlink"/>
              </w:rPr>
              <w:t>16</w:t>
            </w:r>
            <w:r w:rsidR="007C767F">
              <w:rPr>
                <w:rFonts w:asciiTheme="minorHAnsi" w:eastAsiaTheme="minorEastAsia" w:hAnsiTheme="minorHAnsi"/>
                <w:b w:val="0"/>
                <w:color w:val="auto"/>
                <w:sz w:val="22"/>
                <w:lang w:val="en-AU" w:eastAsia="en-AU"/>
              </w:rPr>
              <w:tab/>
            </w:r>
            <w:r w:rsidR="007C767F" w:rsidRPr="00BC31EB">
              <w:rPr>
                <w:rStyle w:val="Hyperlink"/>
              </w:rPr>
              <w:t>Alternative control services</w:t>
            </w:r>
            <w:r w:rsidR="007C767F">
              <w:rPr>
                <w:webHidden/>
              </w:rPr>
              <w:tab/>
            </w:r>
            <w:r w:rsidR="007C767F">
              <w:rPr>
                <w:webHidden/>
              </w:rPr>
              <w:fldChar w:fldCharType="begin"/>
            </w:r>
            <w:r w:rsidR="007C767F">
              <w:rPr>
                <w:webHidden/>
              </w:rPr>
              <w:instrText xml:space="preserve"> PAGEREF _Toc451441224 \h </w:instrText>
            </w:r>
            <w:r w:rsidR="007C767F">
              <w:rPr>
                <w:webHidden/>
              </w:rPr>
            </w:r>
            <w:r w:rsidR="007C767F">
              <w:rPr>
                <w:webHidden/>
              </w:rPr>
              <w:fldChar w:fldCharType="separate"/>
            </w:r>
            <w:r w:rsidR="00B1103A">
              <w:rPr>
                <w:webHidden/>
              </w:rPr>
              <w:t>16-6</w:t>
            </w:r>
            <w:r w:rsidR="007C767F">
              <w:rPr>
                <w:webHidden/>
              </w:rPr>
              <w:fldChar w:fldCharType="end"/>
            </w:r>
          </w:hyperlink>
        </w:p>
        <w:p w:rsidR="007C767F" w:rsidRDefault="00D74854">
          <w:pPr>
            <w:pStyle w:val="TOC2"/>
            <w:tabs>
              <w:tab w:val="left" w:pos="1276"/>
            </w:tabs>
            <w:rPr>
              <w:rFonts w:asciiTheme="minorHAnsi" w:eastAsiaTheme="minorEastAsia" w:hAnsiTheme="minorHAnsi"/>
              <w:b w:val="0"/>
              <w:color w:val="auto"/>
              <w:sz w:val="22"/>
              <w:lang w:eastAsia="en-AU"/>
            </w:rPr>
          </w:pPr>
          <w:hyperlink w:anchor="_Toc451441225" w:history="1">
            <w:r w:rsidR="007C767F" w:rsidRPr="00BC31EB">
              <w:rPr>
                <w:rStyle w:val="Hyperlink"/>
              </w:rPr>
              <w:t>16.1</w:t>
            </w:r>
            <w:r w:rsidR="007C767F">
              <w:rPr>
                <w:rFonts w:asciiTheme="minorHAnsi" w:eastAsiaTheme="minorEastAsia" w:hAnsiTheme="minorHAnsi"/>
                <w:b w:val="0"/>
                <w:color w:val="auto"/>
                <w:sz w:val="22"/>
                <w:lang w:eastAsia="en-AU"/>
              </w:rPr>
              <w:tab/>
            </w:r>
            <w:r w:rsidR="007C767F" w:rsidRPr="00BC31EB">
              <w:rPr>
                <w:rStyle w:val="Hyperlink"/>
              </w:rPr>
              <w:t>Ancillary network services</w:t>
            </w:r>
            <w:r w:rsidR="007C767F">
              <w:rPr>
                <w:webHidden/>
              </w:rPr>
              <w:tab/>
            </w:r>
            <w:r w:rsidR="007C767F">
              <w:rPr>
                <w:webHidden/>
              </w:rPr>
              <w:fldChar w:fldCharType="begin"/>
            </w:r>
            <w:r w:rsidR="007C767F">
              <w:rPr>
                <w:webHidden/>
              </w:rPr>
              <w:instrText xml:space="preserve"> PAGEREF _Toc451441225 \h </w:instrText>
            </w:r>
            <w:r w:rsidR="007C767F">
              <w:rPr>
                <w:webHidden/>
              </w:rPr>
            </w:r>
            <w:r w:rsidR="007C767F">
              <w:rPr>
                <w:webHidden/>
              </w:rPr>
              <w:fldChar w:fldCharType="separate"/>
            </w:r>
            <w:r w:rsidR="00B1103A">
              <w:rPr>
                <w:webHidden/>
              </w:rPr>
              <w:t>16-6</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26" w:history="1">
            <w:r w:rsidR="007C767F" w:rsidRPr="00BC31EB">
              <w:rPr>
                <w:rStyle w:val="Hyperlink"/>
              </w:rPr>
              <w:t>16.1.1</w:t>
            </w:r>
            <w:r w:rsidR="007C767F">
              <w:rPr>
                <w:rFonts w:asciiTheme="minorHAnsi" w:eastAsiaTheme="minorEastAsia" w:hAnsiTheme="minorHAnsi"/>
                <w:lang w:eastAsia="en-AU"/>
              </w:rPr>
              <w:tab/>
            </w:r>
            <w:r w:rsidR="007C767F" w:rsidRPr="00BC31EB">
              <w:rPr>
                <w:rStyle w:val="Hyperlink"/>
              </w:rPr>
              <w:t>Final decision</w:t>
            </w:r>
            <w:r w:rsidR="007C767F">
              <w:rPr>
                <w:webHidden/>
              </w:rPr>
              <w:tab/>
            </w:r>
            <w:r w:rsidR="007C767F">
              <w:rPr>
                <w:webHidden/>
              </w:rPr>
              <w:fldChar w:fldCharType="begin"/>
            </w:r>
            <w:r w:rsidR="007C767F">
              <w:rPr>
                <w:webHidden/>
              </w:rPr>
              <w:instrText xml:space="preserve"> PAGEREF _Toc451441226 \h </w:instrText>
            </w:r>
            <w:r w:rsidR="007C767F">
              <w:rPr>
                <w:webHidden/>
              </w:rPr>
            </w:r>
            <w:r w:rsidR="007C767F">
              <w:rPr>
                <w:webHidden/>
              </w:rPr>
              <w:fldChar w:fldCharType="separate"/>
            </w:r>
            <w:r w:rsidR="00B1103A">
              <w:rPr>
                <w:webHidden/>
              </w:rPr>
              <w:t>16-6</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27" w:history="1">
            <w:r w:rsidR="007C767F" w:rsidRPr="00BC31EB">
              <w:rPr>
                <w:rStyle w:val="Hyperlink"/>
              </w:rPr>
              <w:t>16.1.2</w:t>
            </w:r>
            <w:r w:rsidR="007C767F">
              <w:rPr>
                <w:rFonts w:asciiTheme="minorHAnsi" w:eastAsiaTheme="minorEastAsia" w:hAnsiTheme="minorHAnsi"/>
                <w:lang w:eastAsia="en-AU"/>
              </w:rPr>
              <w:tab/>
            </w:r>
            <w:r w:rsidR="007C767F" w:rsidRPr="00BC31EB">
              <w:rPr>
                <w:rStyle w:val="Hyperlink"/>
              </w:rPr>
              <w:t>Powercor's revised proposal</w:t>
            </w:r>
            <w:r w:rsidR="007C767F">
              <w:rPr>
                <w:webHidden/>
              </w:rPr>
              <w:tab/>
            </w:r>
            <w:r w:rsidR="007C767F">
              <w:rPr>
                <w:webHidden/>
              </w:rPr>
              <w:fldChar w:fldCharType="begin"/>
            </w:r>
            <w:r w:rsidR="007C767F">
              <w:rPr>
                <w:webHidden/>
              </w:rPr>
              <w:instrText xml:space="preserve"> PAGEREF _Toc451441227 \h </w:instrText>
            </w:r>
            <w:r w:rsidR="007C767F">
              <w:rPr>
                <w:webHidden/>
              </w:rPr>
            </w:r>
            <w:r w:rsidR="007C767F">
              <w:rPr>
                <w:webHidden/>
              </w:rPr>
              <w:fldChar w:fldCharType="separate"/>
            </w:r>
            <w:r w:rsidR="00B1103A">
              <w:rPr>
                <w:webHidden/>
              </w:rPr>
              <w:t>16-10</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28" w:history="1">
            <w:r w:rsidR="007C767F" w:rsidRPr="00BC31EB">
              <w:rPr>
                <w:rStyle w:val="Hyperlink"/>
              </w:rPr>
              <w:t>16.1.3</w:t>
            </w:r>
            <w:r w:rsidR="007C767F">
              <w:rPr>
                <w:rFonts w:asciiTheme="minorHAnsi" w:eastAsiaTheme="minorEastAsia" w:hAnsiTheme="minorHAnsi"/>
                <w:lang w:eastAsia="en-AU"/>
              </w:rPr>
              <w:tab/>
            </w:r>
            <w:r w:rsidR="007C767F" w:rsidRPr="00BC31EB">
              <w:rPr>
                <w:rStyle w:val="Hyperlink"/>
              </w:rPr>
              <w:t>Assessment approach</w:t>
            </w:r>
            <w:r w:rsidR="007C767F">
              <w:rPr>
                <w:webHidden/>
              </w:rPr>
              <w:tab/>
            </w:r>
            <w:r w:rsidR="007C767F">
              <w:rPr>
                <w:webHidden/>
              </w:rPr>
              <w:fldChar w:fldCharType="begin"/>
            </w:r>
            <w:r w:rsidR="007C767F">
              <w:rPr>
                <w:webHidden/>
              </w:rPr>
              <w:instrText xml:space="preserve"> PAGEREF _Toc451441228 \h </w:instrText>
            </w:r>
            <w:r w:rsidR="007C767F">
              <w:rPr>
                <w:webHidden/>
              </w:rPr>
            </w:r>
            <w:r w:rsidR="007C767F">
              <w:rPr>
                <w:webHidden/>
              </w:rPr>
              <w:fldChar w:fldCharType="separate"/>
            </w:r>
            <w:r w:rsidR="00B1103A">
              <w:rPr>
                <w:webHidden/>
              </w:rPr>
              <w:t>16-10</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29" w:history="1">
            <w:r w:rsidR="007C767F" w:rsidRPr="00BC31EB">
              <w:rPr>
                <w:rStyle w:val="Hyperlink"/>
              </w:rPr>
              <w:t>16.1.4</w:t>
            </w:r>
            <w:r w:rsidR="007C767F">
              <w:rPr>
                <w:rFonts w:asciiTheme="minorHAnsi" w:eastAsiaTheme="minorEastAsia" w:hAnsiTheme="minorHAnsi"/>
                <w:lang w:eastAsia="en-AU"/>
              </w:rPr>
              <w:tab/>
            </w:r>
            <w:r w:rsidR="007C767F" w:rsidRPr="00BC31EB">
              <w:rPr>
                <w:rStyle w:val="Hyperlink"/>
              </w:rPr>
              <w:t>Reasons for final decision</w:t>
            </w:r>
            <w:r w:rsidR="007C767F">
              <w:rPr>
                <w:webHidden/>
              </w:rPr>
              <w:tab/>
            </w:r>
            <w:r w:rsidR="007C767F">
              <w:rPr>
                <w:webHidden/>
              </w:rPr>
              <w:fldChar w:fldCharType="begin"/>
            </w:r>
            <w:r w:rsidR="007C767F">
              <w:rPr>
                <w:webHidden/>
              </w:rPr>
              <w:instrText xml:space="preserve"> PAGEREF _Toc451441229 \h </w:instrText>
            </w:r>
            <w:r w:rsidR="007C767F">
              <w:rPr>
                <w:webHidden/>
              </w:rPr>
            </w:r>
            <w:r w:rsidR="007C767F">
              <w:rPr>
                <w:webHidden/>
              </w:rPr>
              <w:fldChar w:fldCharType="separate"/>
            </w:r>
            <w:r w:rsidR="00B1103A">
              <w:rPr>
                <w:webHidden/>
              </w:rPr>
              <w:t>16-11</w:t>
            </w:r>
            <w:r w:rsidR="007C767F">
              <w:rPr>
                <w:webHidden/>
              </w:rPr>
              <w:fldChar w:fldCharType="end"/>
            </w:r>
          </w:hyperlink>
        </w:p>
        <w:p w:rsidR="007C767F" w:rsidRDefault="00D74854">
          <w:pPr>
            <w:pStyle w:val="TOC2"/>
            <w:tabs>
              <w:tab w:val="left" w:pos="1276"/>
            </w:tabs>
            <w:rPr>
              <w:rFonts w:asciiTheme="minorHAnsi" w:eastAsiaTheme="minorEastAsia" w:hAnsiTheme="minorHAnsi"/>
              <w:b w:val="0"/>
              <w:color w:val="auto"/>
              <w:sz w:val="22"/>
              <w:lang w:eastAsia="en-AU"/>
            </w:rPr>
          </w:pPr>
          <w:hyperlink w:anchor="_Toc451441230" w:history="1">
            <w:r w:rsidR="007C767F" w:rsidRPr="00BC31EB">
              <w:rPr>
                <w:rStyle w:val="Hyperlink"/>
              </w:rPr>
              <w:t>16.2</w:t>
            </w:r>
            <w:r w:rsidR="007C767F">
              <w:rPr>
                <w:rFonts w:asciiTheme="minorHAnsi" w:eastAsiaTheme="minorEastAsia" w:hAnsiTheme="minorHAnsi"/>
                <w:b w:val="0"/>
                <w:color w:val="auto"/>
                <w:sz w:val="22"/>
                <w:lang w:eastAsia="en-AU"/>
              </w:rPr>
              <w:tab/>
            </w:r>
            <w:r w:rsidR="007C767F" w:rsidRPr="00BC31EB">
              <w:rPr>
                <w:rStyle w:val="Hyperlink"/>
              </w:rPr>
              <w:t>Public Lighting</w:t>
            </w:r>
            <w:r w:rsidR="007C767F">
              <w:rPr>
                <w:webHidden/>
              </w:rPr>
              <w:tab/>
            </w:r>
            <w:r w:rsidR="007C767F">
              <w:rPr>
                <w:webHidden/>
              </w:rPr>
              <w:fldChar w:fldCharType="begin"/>
            </w:r>
            <w:r w:rsidR="007C767F">
              <w:rPr>
                <w:webHidden/>
              </w:rPr>
              <w:instrText xml:space="preserve"> PAGEREF _Toc451441230 \h </w:instrText>
            </w:r>
            <w:r w:rsidR="007C767F">
              <w:rPr>
                <w:webHidden/>
              </w:rPr>
            </w:r>
            <w:r w:rsidR="007C767F">
              <w:rPr>
                <w:webHidden/>
              </w:rPr>
              <w:fldChar w:fldCharType="separate"/>
            </w:r>
            <w:r w:rsidR="00B1103A">
              <w:rPr>
                <w:webHidden/>
              </w:rPr>
              <w:t>16-12</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31" w:history="1">
            <w:r w:rsidR="007C767F" w:rsidRPr="00BC31EB">
              <w:rPr>
                <w:rStyle w:val="Hyperlink"/>
              </w:rPr>
              <w:t>16.2.1</w:t>
            </w:r>
            <w:r w:rsidR="007C767F">
              <w:rPr>
                <w:rFonts w:asciiTheme="minorHAnsi" w:eastAsiaTheme="minorEastAsia" w:hAnsiTheme="minorHAnsi"/>
                <w:lang w:eastAsia="en-AU"/>
              </w:rPr>
              <w:tab/>
            </w:r>
            <w:r w:rsidR="007C767F" w:rsidRPr="00BC31EB">
              <w:rPr>
                <w:rStyle w:val="Hyperlink"/>
              </w:rPr>
              <w:t>Final decision</w:t>
            </w:r>
            <w:r w:rsidR="007C767F">
              <w:rPr>
                <w:webHidden/>
              </w:rPr>
              <w:tab/>
            </w:r>
            <w:r w:rsidR="007C767F">
              <w:rPr>
                <w:webHidden/>
              </w:rPr>
              <w:fldChar w:fldCharType="begin"/>
            </w:r>
            <w:r w:rsidR="007C767F">
              <w:rPr>
                <w:webHidden/>
              </w:rPr>
              <w:instrText xml:space="preserve"> PAGEREF _Toc451441231 \h </w:instrText>
            </w:r>
            <w:r w:rsidR="007C767F">
              <w:rPr>
                <w:webHidden/>
              </w:rPr>
            </w:r>
            <w:r w:rsidR="007C767F">
              <w:rPr>
                <w:webHidden/>
              </w:rPr>
              <w:fldChar w:fldCharType="separate"/>
            </w:r>
            <w:r w:rsidR="00B1103A">
              <w:rPr>
                <w:webHidden/>
              </w:rPr>
              <w:t>16-12</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32" w:history="1">
            <w:r w:rsidR="007C767F" w:rsidRPr="00BC31EB">
              <w:rPr>
                <w:rStyle w:val="Hyperlink"/>
              </w:rPr>
              <w:t>16.2.2</w:t>
            </w:r>
            <w:r w:rsidR="007C767F">
              <w:rPr>
                <w:rFonts w:asciiTheme="minorHAnsi" w:eastAsiaTheme="minorEastAsia" w:hAnsiTheme="minorHAnsi"/>
                <w:lang w:eastAsia="en-AU"/>
              </w:rPr>
              <w:tab/>
            </w:r>
            <w:r w:rsidR="007C767F" w:rsidRPr="00BC31EB">
              <w:rPr>
                <w:rStyle w:val="Hyperlink"/>
              </w:rPr>
              <w:t>Powercor's revised proposal</w:t>
            </w:r>
            <w:r w:rsidR="007C767F">
              <w:rPr>
                <w:webHidden/>
              </w:rPr>
              <w:tab/>
            </w:r>
            <w:r w:rsidR="007C767F">
              <w:rPr>
                <w:webHidden/>
              </w:rPr>
              <w:fldChar w:fldCharType="begin"/>
            </w:r>
            <w:r w:rsidR="007C767F">
              <w:rPr>
                <w:webHidden/>
              </w:rPr>
              <w:instrText xml:space="preserve"> PAGEREF _Toc451441232 \h </w:instrText>
            </w:r>
            <w:r w:rsidR="007C767F">
              <w:rPr>
                <w:webHidden/>
              </w:rPr>
            </w:r>
            <w:r w:rsidR="007C767F">
              <w:rPr>
                <w:webHidden/>
              </w:rPr>
              <w:fldChar w:fldCharType="separate"/>
            </w:r>
            <w:r w:rsidR="00B1103A">
              <w:rPr>
                <w:webHidden/>
              </w:rPr>
              <w:t>16-13</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33" w:history="1">
            <w:r w:rsidR="007C767F" w:rsidRPr="00BC31EB">
              <w:rPr>
                <w:rStyle w:val="Hyperlink"/>
              </w:rPr>
              <w:t>16.2.3</w:t>
            </w:r>
            <w:r w:rsidR="007C767F">
              <w:rPr>
                <w:rFonts w:asciiTheme="minorHAnsi" w:eastAsiaTheme="minorEastAsia" w:hAnsiTheme="minorHAnsi"/>
                <w:lang w:eastAsia="en-AU"/>
              </w:rPr>
              <w:tab/>
            </w:r>
            <w:r w:rsidR="007C767F" w:rsidRPr="00BC31EB">
              <w:rPr>
                <w:rStyle w:val="Hyperlink"/>
              </w:rPr>
              <w:t>Assessment approach</w:t>
            </w:r>
            <w:r w:rsidR="007C767F">
              <w:rPr>
                <w:webHidden/>
              </w:rPr>
              <w:tab/>
            </w:r>
            <w:r w:rsidR="007C767F">
              <w:rPr>
                <w:webHidden/>
              </w:rPr>
              <w:fldChar w:fldCharType="begin"/>
            </w:r>
            <w:r w:rsidR="007C767F">
              <w:rPr>
                <w:webHidden/>
              </w:rPr>
              <w:instrText xml:space="preserve"> PAGEREF _Toc451441233 \h </w:instrText>
            </w:r>
            <w:r w:rsidR="007C767F">
              <w:rPr>
                <w:webHidden/>
              </w:rPr>
            </w:r>
            <w:r w:rsidR="007C767F">
              <w:rPr>
                <w:webHidden/>
              </w:rPr>
              <w:fldChar w:fldCharType="separate"/>
            </w:r>
            <w:r w:rsidR="00B1103A">
              <w:rPr>
                <w:webHidden/>
              </w:rPr>
              <w:t>16-13</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34" w:history="1">
            <w:r w:rsidR="007C767F" w:rsidRPr="00BC31EB">
              <w:rPr>
                <w:rStyle w:val="Hyperlink"/>
              </w:rPr>
              <w:t>16.2.4</w:t>
            </w:r>
            <w:r w:rsidR="007C767F">
              <w:rPr>
                <w:rFonts w:asciiTheme="minorHAnsi" w:eastAsiaTheme="minorEastAsia" w:hAnsiTheme="minorHAnsi"/>
                <w:lang w:eastAsia="en-AU"/>
              </w:rPr>
              <w:tab/>
            </w:r>
            <w:r w:rsidR="007C767F" w:rsidRPr="00BC31EB">
              <w:rPr>
                <w:rStyle w:val="Hyperlink"/>
              </w:rPr>
              <w:t>Reasons for final decision</w:t>
            </w:r>
            <w:r w:rsidR="007C767F">
              <w:rPr>
                <w:webHidden/>
              </w:rPr>
              <w:tab/>
            </w:r>
            <w:r w:rsidR="007C767F">
              <w:rPr>
                <w:webHidden/>
              </w:rPr>
              <w:fldChar w:fldCharType="begin"/>
            </w:r>
            <w:r w:rsidR="007C767F">
              <w:rPr>
                <w:webHidden/>
              </w:rPr>
              <w:instrText xml:space="preserve"> PAGEREF _Toc451441234 \h </w:instrText>
            </w:r>
            <w:r w:rsidR="007C767F">
              <w:rPr>
                <w:webHidden/>
              </w:rPr>
            </w:r>
            <w:r w:rsidR="007C767F">
              <w:rPr>
                <w:webHidden/>
              </w:rPr>
              <w:fldChar w:fldCharType="separate"/>
            </w:r>
            <w:r w:rsidR="00B1103A">
              <w:rPr>
                <w:webHidden/>
              </w:rPr>
              <w:t>16-13</w:t>
            </w:r>
            <w:r w:rsidR="007C767F">
              <w:rPr>
                <w:webHidden/>
              </w:rPr>
              <w:fldChar w:fldCharType="end"/>
            </w:r>
          </w:hyperlink>
        </w:p>
        <w:p w:rsidR="007C767F" w:rsidRDefault="00D74854">
          <w:pPr>
            <w:pStyle w:val="TOC2"/>
            <w:tabs>
              <w:tab w:val="left" w:pos="1276"/>
            </w:tabs>
            <w:rPr>
              <w:rFonts w:asciiTheme="minorHAnsi" w:eastAsiaTheme="minorEastAsia" w:hAnsiTheme="minorHAnsi"/>
              <w:b w:val="0"/>
              <w:color w:val="auto"/>
              <w:sz w:val="22"/>
              <w:lang w:eastAsia="en-AU"/>
            </w:rPr>
          </w:pPr>
          <w:hyperlink w:anchor="_Toc451441235" w:history="1">
            <w:r w:rsidR="007C767F" w:rsidRPr="00BC31EB">
              <w:rPr>
                <w:rStyle w:val="Hyperlink"/>
              </w:rPr>
              <w:t>16.3</w:t>
            </w:r>
            <w:r w:rsidR="007C767F">
              <w:rPr>
                <w:rFonts w:asciiTheme="minorHAnsi" w:eastAsiaTheme="minorEastAsia" w:hAnsiTheme="minorHAnsi"/>
                <w:b w:val="0"/>
                <w:color w:val="auto"/>
                <w:sz w:val="22"/>
                <w:lang w:eastAsia="en-AU"/>
              </w:rPr>
              <w:tab/>
            </w:r>
            <w:r w:rsidR="007C767F" w:rsidRPr="00BC31EB">
              <w:rPr>
                <w:rStyle w:val="Hyperlink"/>
              </w:rPr>
              <w:t>Metering</w:t>
            </w:r>
            <w:r w:rsidR="007C767F">
              <w:rPr>
                <w:webHidden/>
              </w:rPr>
              <w:tab/>
            </w:r>
            <w:r w:rsidR="007C767F">
              <w:rPr>
                <w:webHidden/>
              </w:rPr>
              <w:fldChar w:fldCharType="begin"/>
            </w:r>
            <w:r w:rsidR="007C767F">
              <w:rPr>
                <w:webHidden/>
              </w:rPr>
              <w:instrText xml:space="preserve"> PAGEREF _Toc451441235 \h </w:instrText>
            </w:r>
            <w:r w:rsidR="007C767F">
              <w:rPr>
                <w:webHidden/>
              </w:rPr>
            </w:r>
            <w:r w:rsidR="007C767F">
              <w:rPr>
                <w:webHidden/>
              </w:rPr>
              <w:fldChar w:fldCharType="separate"/>
            </w:r>
            <w:r w:rsidR="00B1103A">
              <w:rPr>
                <w:webHidden/>
              </w:rPr>
              <w:t>16-16</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36" w:history="1">
            <w:r w:rsidR="007C767F" w:rsidRPr="00BC31EB">
              <w:rPr>
                <w:rStyle w:val="Hyperlink"/>
              </w:rPr>
              <w:t>16.3.1</w:t>
            </w:r>
            <w:r w:rsidR="007C767F">
              <w:rPr>
                <w:rFonts w:asciiTheme="minorHAnsi" w:eastAsiaTheme="minorEastAsia" w:hAnsiTheme="minorHAnsi"/>
                <w:lang w:eastAsia="en-AU"/>
              </w:rPr>
              <w:tab/>
            </w:r>
            <w:r w:rsidR="007C767F" w:rsidRPr="00BC31EB">
              <w:rPr>
                <w:rStyle w:val="Hyperlink"/>
              </w:rPr>
              <w:t>Final decision</w:t>
            </w:r>
            <w:r w:rsidR="007C767F">
              <w:rPr>
                <w:webHidden/>
              </w:rPr>
              <w:tab/>
            </w:r>
            <w:r w:rsidR="007C767F">
              <w:rPr>
                <w:webHidden/>
              </w:rPr>
              <w:fldChar w:fldCharType="begin"/>
            </w:r>
            <w:r w:rsidR="007C767F">
              <w:rPr>
                <w:webHidden/>
              </w:rPr>
              <w:instrText xml:space="preserve"> PAGEREF _Toc451441236 \h </w:instrText>
            </w:r>
            <w:r w:rsidR="007C767F">
              <w:rPr>
                <w:webHidden/>
              </w:rPr>
            </w:r>
            <w:r w:rsidR="007C767F">
              <w:rPr>
                <w:webHidden/>
              </w:rPr>
              <w:fldChar w:fldCharType="separate"/>
            </w:r>
            <w:r w:rsidR="00B1103A">
              <w:rPr>
                <w:webHidden/>
              </w:rPr>
              <w:t>16-17</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37" w:history="1">
            <w:r w:rsidR="007C767F" w:rsidRPr="00BC31EB">
              <w:rPr>
                <w:rStyle w:val="Hyperlink"/>
              </w:rPr>
              <w:t>16.3.2</w:t>
            </w:r>
            <w:r w:rsidR="007C767F">
              <w:rPr>
                <w:rFonts w:asciiTheme="minorHAnsi" w:eastAsiaTheme="minorEastAsia" w:hAnsiTheme="minorHAnsi"/>
                <w:lang w:eastAsia="en-AU"/>
              </w:rPr>
              <w:tab/>
            </w:r>
            <w:r w:rsidR="007C767F" w:rsidRPr="00BC31EB">
              <w:rPr>
                <w:rStyle w:val="Hyperlink"/>
              </w:rPr>
              <w:t>Powercor's revised proposal</w:t>
            </w:r>
            <w:r w:rsidR="007C767F">
              <w:rPr>
                <w:webHidden/>
              </w:rPr>
              <w:tab/>
            </w:r>
            <w:r w:rsidR="007C767F">
              <w:rPr>
                <w:webHidden/>
              </w:rPr>
              <w:fldChar w:fldCharType="begin"/>
            </w:r>
            <w:r w:rsidR="007C767F">
              <w:rPr>
                <w:webHidden/>
              </w:rPr>
              <w:instrText xml:space="preserve"> PAGEREF _Toc451441237 \h </w:instrText>
            </w:r>
            <w:r w:rsidR="007C767F">
              <w:rPr>
                <w:webHidden/>
              </w:rPr>
            </w:r>
            <w:r w:rsidR="007C767F">
              <w:rPr>
                <w:webHidden/>
              </w:rPr>
              <w:fldChar w:fldCharType="separate"/>
            </w:r>
            <w:r w:rsidR="00B1103A">
              <w:rPr>
                <w:webHidden/>
              </w:rPr>
              <w:t>16-22</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38" w:history="1">
            <w:r w:rsidR="007C767F" w:rsidRPr="00BC31EB">
              <w:rPr>
                <w:rStyle w:val="Hyperlink"/>
              </w:rPr>
              <w:t>16.3.3</w:t>
            </w:r>
            <w:r w:rsidR="007C767F">
              <w:rPr>
                <w:rFonts w:asciiTheme="minorHAnsi" w:eastAsiaTheme="minorEastAsia" w:hAnsiTheme="minorHAnsi"/>
                <w:lang w:eastAsia="en-AU"/>
              </w:rPr>
              <w:tab/>
            </w:r>
            <w:r w:rsidR="007C767F" w:rsidRPr="00BC31EB">
              <w:rPr>
                <w:rStyle w:val="Hyperlink"/>
              </w:rPr>
              <w:t>Assessment Approach</w:t>
            </w:r>
            <w:r w:rsidR="007C767F">
              <w:rPr>
                <w:webHidden/>
              </w:rPr>
              <w:tab/>
            </w:r>
            <w:r w:rsidR="007C767F">
              <w:rPr>
                <w:webHidden/>
              </w:rPr>
              <w:fldChar w:fldCharType="begin"/>
            </w:r>
            <w:r w:rsidR="007C767F">
              <w:rPr>
                <w:webHidden/>
              </w:rPr>
              <w:instrText xml:space="preserve"> PAGEREF _Toc451441238 \h </w:instrText>
            </w:r>
            <w:r w:rsidR="007C767F">
              <w:rPr>
                <w:webHidden/>
              </w:rPr>
            </w:r>
            <w:r w:rsidR="007C767F">
              <w:rPr>
                <w:webHidden/>
              </w:rPr>
              <w:fldChar w:fldCharType="separate"/>
            </w:r>
            <w:r w:rsidR="00B1103A">
              <w:rPr>
                <w:webHidden/>
              </w:rPr>
              <w:t>16-24</w:t>
            </w:r>
            <w:r w:rsidR="007C767F">
              <w:rPr>
                <w:webHidden/>
              </w:rPr>
              <w:fldChar w:fldCharType="end"/>
            </w:r>
          </w:hyperlink>
        </w:p>
        <w:p w:rsidR="007C767F" w:rsidRDefault="00D74854">
          <w:pPr>
            <w:pStyle w:val="TOC3"/>
            <w:rPr>
              <w:rFonts w:asciiTheme="minorHAnsi" w:eastAsiaTheme="minorEastAsia" w:hAnsiTheme="minorHAnsi"/>
              <w:lang w:eastAsia="en-AU"/>
            </w:rPr>
          </w:pPr>
          <w:hyperlink w:anchor="_Toc451441239" w:history="1">
            <w:r w:rsidR="007C767F" w:rsidRPr="00BC31EB">
              <w:rPr>
                <w:rStyle w:val="Hyperlink"/>
              </w:rPr>
              <w:t>16.3.4</w:t>
            </w:r>
            <w:r w:rsidR="007C767F">
              <w:rPr>
                <w:rFonts w:asciiTheme="minorHAnsi" w:eastAsiaTheme="minorEastAsia" w:hAnsiTheme="minorHAnsi"/>
                <w:lang w:eastAsia="en-AU"/>
              </w:rPr>
              <w:tab/>
            </w:r>
            <w:r w:rsidR="007C767F" w:rsidRPr="00BC31EB">
              <w:rPr>
                <w:rStyle w:val="Hyperlink"/>
              </w:rPr>
              <w:t>Reasons for final decision</w:t>
            </w:r>
            <w:r w:rsidR="007C767F">
              <w:rPr>
                <w:webHidden/>
              </w:rPr>
              <w:tab/>
            </w:r>
            <w:r w:rsidR="007C767F">
              <w:rPr>
                <w:webHidden/>
              </w:rPr>
              <w:fldChar w:fldCharType="begin"/>
            </w:r>
            <w:r w:rsidR="007C767F">
              <w:rPr>
                <w:webHidden/>
              </w:rPr>
              <w:instrText xml:space="preserve"> PAGEREF _Toc451441239 \h </w:instrText>
            </w:r>
            <w:r w:rsidR="007C767F">
              <w:rPr>
                <w:webHidden/>
              </w:rPr>
            </w:r>
            <w:r w:rsidR="007C767F">
              <w:rPr>
                <w:webHidden/>
              </w:rPr>
              <w:fldChar w:fldCharType="separate"/>
            </w:r>
            <w:r w:rsidR="00B1103A">
              <w:rPr>
                <w:webHidden/>
              </w:rPr>
              <w:t>16-26</w:t>
            </w:r>
            <w:r w:rsidR="007C767F">
              <w:rPr>
                <w:webHidden/>
              </w:rPr>
              <w:fldChar w:fldCharType="end"/>
            </w:r>
          </w:hyperlink>
        </w:p>
        <w:p w:rsidR="007C767F" w:rsidRDefault="00D74854">
          <w:pPr>
            <w:pStyle w:val="TOC1"/>
            <w:rPr>
              <w:rFonts w:asciiTheme="minorHAnsi" w:eastAsiaTheme="minorEastAsia" w:hAnsiTheme="minorHAnsi"/>
              <w:b w:val="0"/>
              <w:color w:val="auto"/>
              <w:sz w:val="22"/>
              <w:lang w:val="en-AU" w:eastAsia="en-AU"/>
            </w:rPr>
          </w:pPr>
          <w:hyperlink w:anchor="_Toc451441240" w:history="1">
            <w:r w:rsidR="007C767F" w:rsidRPr="00BC31EB">
              <w:rPr>
                <w:rStyle w:val="Hyperlink"/>
              </w:rPr>
              <w:t>A</w:t>
            </w:r>
            <w:r w:rsidR="007C767F">
              <w:rPr>
                <w:rFonts w:asciiTheme="minorHAnsi" w:eastAsiaTheme="minorEastAsia" w:hAnsiTheme="minorHAnsi"/>
                <w:b w:val="0"/>
                <w:color w:val="auto"/>
                <w:sz w:val="22"/>
                <w:lang w:val="en-AU" w:eastAsia="en-AU"/>
              </w:rPr>
              <w:tab/>
            </w:r>
            <w:r w:rsidR="007C767F" w:rsidRPr="00BC31EB">
              <w:rPr>
                <w:rStyle w:val="Hyperlink"/>
              </w:rPr>
              <w:t>Ancillary network services prices</w:t>
            </w:r>
            <w:r w:rsidR="007C767F">
              <w:rPr>
                <w:webHidden/>
              </w:rPr>
              <w:tab/>
            </w:r>
            <w:r w:rsidR="007C767F">
              <w:rPr>
                <w:webHidden/>
              </w:rPr>
              <w:fldChar w:fldCharType="begin"/>
            </w:r>
            <w:r w:rsidR="007C767F">
              <w:rPr>
                <w:webHidden/>
              </w:rPr>
              <w:instrText xml:space="preserve"> PAGEREF _Toc451441240 \h </w:instrText>
            </w:r>
            <w:r w:rsidR="007C767F">
              <w:rPr>
                <w:webHidden/>
              </w:rPr>
            </w:r>
            <w:r w:rsidR="007C767F">
              <w:rPr>
                <w:webHidden/>
              </w:rPr>
              <w:fldChar w:fldCharType="separate"/>
            </w:r>
            <w:r w:rsidR="00B1103A">
              <w:rPr>
                <w:webHidden/>
              </w:rPr>
              <w:t>16-37</w:t>
            </w:r>
            <w:r w:rsidR="007C767F">
              <w:rPr>
                <w:webHidden/>
              </w:rPr>
              <w:fldChar w:fldCharType="end"/>
            </w:r>
          </w:hyperlink>
        </w:p>
        <w:p w:rsidR="007C767F" w:rsidRDefault="00D74854">
          <w:pPr>
            <w:pStyle w:val="TOC1"/>
            <w:rPr>
              <w:rFonts w:asciiTheme="minorHAnsi" w:eastAsiaTheme="minorEastAsia" w:hAnsiTheme="minorHAnsi"/>
              <w:b w:val="0"/>
              <w:color w:val="auto"/>
              <w:sz w:val="22"/>
              <w:lang w:val="en-AU" w:eastAsia="en-AU"/>
            </w:rPr>
          </w:pPr>
          <w:hyperlink w:anchor="_Toc451441241" w:history="1">
            <w:r w:rsidR="007C767F" w:rsidRPr="00BC31EB">
              <w:rPr>
                <w:rStyle w:val="Hyperlink"/>
              </w:rPr>
              <w:t>B</w:t>
            </w:r>
            <w:r w:rsidR="007C767F">
              <w:rPr>
                <w:rFonts w:asciiTheme="minorHAnsi" w:eastAsiaTheme="minorEastAsia" w:hAnsiTheme="minorHAnsi"/>
                <w:b w:val="0"/>
                <w:color w:val="auto"/>
                <w:sz w:val="22"/>
                <w:lang w:val="en-AU" w:eastAsia="en-AU"/>
              </w:rPr>
              <w:tab/>
            </w:r>
            <w:r w:rsidR="007C767F" w:rsidRPr="00BC31EB">
              <w:rPr>
                <w:rStyle w:val="Hyperlink"/>
              </w:rPr>
              <w:t>Annual metering charges unders and overs account</w:t>
            </w:r>
            <w:r w:rsidR="007C767F">
              <w:rPr>
                <w:webHidden/>
              </w:rPr>
              <w:tab/>
            </w:r>
            <w:r w:rsidR="007C767F">
              <w:rPr>
                <w:webHidden/>
              </w:rPr>
              <w:fldChar w:fldCharType="begin"/>
            </w:r>
            <w:r w:rsidR="007C767F">
              <w:rPr>
                <w:webHidden/>
              </w:rPr>
              <w:instrText xml:space="preserve"> PAGEREF _Toc451441241 \h </w:instrText>
            </w:r>
            <w:r w:rsidR="007C767F">
              <w:rPr>
                <w:webHidden/>
              </w:rPr>
            </w:r>
            <w:r w:rsidR="007C767F">
              <w:rPr>
                <w:webHidden/>
              </w:rPr>
              <w:fldChar w:fldCharType="separate"/>
            </w:r>
            <w:r w:rsidR="00B1103A">
              <w:rPr>
                <w:webHidden/>
              </w:rPr>
              <w:t>16-39</w:t>
            </w:r>
            <w:r w:rsidR="007C767F">
              <w:rPr>
                <w:webHidden/>
              </w:rPr>
              <w:fldChar w:fldCharType="end"/>
            </w:r>
          </w:hyperlink>
        </w:p>
        <w:p w:rsidR="00CE2A23" w:rsidRDefault="007C767F" w:rsidP="007C767F">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44122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75E3E" w:rsidP="00C75E3E">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44122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Alternative control services</w:t>
      </w:r>
      <w:bookmarkEnd w:id="71"/>
    </w:p>
    <w:p w:rsidR="0007340D" w:rsidRDefault="0007340D" w:rsidP="0007340D">
      <w:bookmarkStart w:id="72" w:name="_Toc403144136"/>
      <w:bookmarkStart w:id="73" w:name="_Toc417927185"/>
      <w:r w:rsidRPr="00D33C4E">
        <w:t>Alternative control services are services provided by distributors to specific customers. They do not form part of the distribution use of system revenue allowance approved by us for each distributor. Rather, distributors recover the costs of providing alternative control services through a selection of prices with most charged on a ‘user pays’ basis.</w:t>
      </w:r>
    </w:p>
    <w:p w:rsidR="0007340D" w:rsidRDefault="0007340D" w:rsidP="0007340D">
      <w:r w:rsidRPr="009F6DC8">
        <w:t xml:space="preserve">In this attachment, we set out our </w:t>
      </w:r>
      <w:r>
        <w:t>final</w:t>
      </w:r>
      <w:r w:rsidRPr="009F6DC8">
        <w:t xml:space="preserve"> decision on the prices</w:t>
      </w:r>
      <w:r>
        <w:t xml:space="preserve"> Powercor</w:t>
      </w:r>
      <w:r w:rsidRPr="009F6DC8">
        <w:t xml:space="preserve"> is allowed to charge customers for the provision of </w:t>
      </w:r>
      <w:r w:rsidR="005B6161">
        <w:t>alternative control services (</w:t>
      </w:r>
      <w:r w:rsidRPr="009F6DC8">
        <w:t>ancillary network services, public lighting and metering</w:t>
      </w:r>
      <w:r w:rsidR="005B6161">
        <w:t>)</w:t>
      </w:r>
      <w:r w:rsidRPr="009F6DC8">
        <w:t>.</w:t>
      </w:r>
    </w:p>
    <w:p w:rsidR="0007340D" w:rsidRDefault="0007340D" w:rsidP="0007340D">
      <w:pPr>
        <w:pStyle w:val="Heading2"/>
      </w:pPr>
      <w:bookmarkStart w:id="74" w:name="_Ref449972616"/>
      <w:bookmarkStart w:id="75" w:name="_Toc451441225"/>
      <w:bookmarkEnd w:id="72"/>
      <w:bookmarkEnd w:id="73"/>
      <w:r>
        <w:t>Ancillary network services</w:t>
      </w:r>
      <w:bookmarkEnd w:id="74"/>
      <w:bookmarkEnd w:id="75"/>
    </w:p>
    <w:p w:rsidR="0007340D" w:rsidRPr="009F6DC8" w:rsidRDefault="0007340D" w:rsidP="0007340D">
      <w:r w:rsidRPr="009F6DC8">
        <w:t xml:space="preserve">For the purposes of this </w:t>
      </w:r>
      <w:r>
        <w:t>final</w:t>
      </w:r>
      <w:r w:rsidRPr="009F6DC8">
        <w:t xml:space="preserve"> decision, we refer to the service groups previously identified as 'fee based services' and 'quoted services' collectively as a single group called 'ancillary network services'.</w:t>
      </w:r>
      <w:r w:rsidRPr="009F6DC8">
        <w:rPr>
          <w:rStyle w:val="FootnoteReference"/>
        </w:rPr>
        <w:footnoteReference w:id="1"/>
      </w:r>
    </w:p>
    <w:p w:rsidR="0007340D" w:rsidRDefault="0007340D" w:rsidP="0007340D">
      <w:r w:rsidRPr="009F6DC8">
        <w:t>Ancillary network services share the common characteristic of being non-routine services provided to individual customers on an as requested basis.</w:t>
      </w:r>
      <w:r w:rsidRPr="009F6DC8">
        <w:rPr>
          <w:rStyle w:val="FootnoteReference"/>
        </w:rPr>
        <w:footnoteReference w:id="2"/>
      </w:r>
      <w:r w:rsidRPr="009F6DC8">
        <w:t xml:space="preserve"> The existing fee based services and quoted services groupings describe the basis on which service prices are determined.</w:t>
      </w:r>
      <w:r w:rsidRPr="009F6DC8">
        <w:rPr>
          <w:rStyle w:val="FootnoteReference"/>
        </w:rPr>
        <w:footnoteReference w:id="3"/>
      </w:r>
    </w:p>
    <w:p w:rsidR="0007340D" w:rsidRPr="0066046B" w:rsidRDefault="0007340D" w:rsidP="0007340D">
      <w:r w:rsidRPr="0066046B">
        <w:t>Prices for fee based services are predetermined, based on the cost of providing the service and the average time taken to perform it. These services tend to be homogenous in nature and scope, and can be costed in advance of supply with reasonable certainty.</w:t>
      </w:r>
    </w:p>
    <w:p w:rsidR="0007340D" w:rsidRPr="009F6DC8" w:rsidRDefault="0007340D" w:rsidP="0007340D">
      <w:r w:rsidRPr="0066046B">
        <w:t>By comparison, prices for quoted services are based on quantities of labour and materials, with the quantities dependent on a particular task. Prices for quoted services are determined at the time of a customer's enquiry and reflect the individual requirements of the customer and service requested. It is not possible to list prices for quoted services in this decision (any such list would only be for illustrative purposes).</w:t>
      </w:r>
    </w:p>
    <w:p w:rsidR="0007340D" w:rsidRPr="00F4046E" w:rsidRDefault="0007340D" w:rsidP="00297833">
      <w:pPr>
        <w:pStyle w:val="Heading3"/>
        <w:ind w:left="720"/>
      </w:pPr>
      <w:bookmarkStart w:id="76" w:name="_Toc451441226"/>
      <w:r>
        <w:t>Final decision</w:t>
      </w:r>
      <w:bookmarkEnd w:id="76"/>
      <w:r>
        <w:t xml:space="preserve">  </w:t>
      </w:r>
    </w:p>
    <w:p w:rsidR="002C67CB" w:rsidRDefault="00402773" w:rsidP="00402773">
      <w:r>
        <w:t>We generally accept Powercor's revised proposal for ancillary network services. For these services, Powercor's proposed prices for 2016 do not exceed prices based on maximum labour rates (for the distributor's labour types) and times taken to perform the service, which we consider efficient in th</w:t>
      </w:r>
      <w:r w:rsidR="00C03404">
        <w:t xml:space="preserve">e provision of these services. </w:t>
      </w:r>
    </w:p>
    <w:p w:rsidR="00402773" w:rsidRDefault="006111C5" w:rsidP="006111C5">
      <w:r w:rsidRPr="006111C5">
        <w:lastRenderedPageBreak/>
        <w:t>Our pr</w:t>
      </w:r>
      <w:r>
        <w:t xml:space="preserve">eliminary decision approved </w:t>
      </w:r>
      <w:r w:rsidRPr="006111C5">
        <w:t>Power</w:t>
      </w:r>
      <w:r>
        <w:t>cor</w:t>
      </w:r>
      <w:r w:rsidRPr="006111C5">
        <w:t>'s prices for 2016 in $2015 terms and noted that these were to be e</w:t>
      </w:r>
      <w:r>
        <w:t xml:space="preserve">scalated into $2016 terms in </w:t>
      </w:r>
      <w:r w:rsidRPr="006111C5">
        <w:t>Power</w:t>
      </w:r>
      <w:r>
        <w:t>cor</w:t>
      </w:r>
      <w:r w:rsidRPr="006111C5">
        <w:t>'s 2016 pricing proposal using the approved CPI adjustment.</w:t>
      </w:r>
      <w:r>
        <w:rPr>
          <w:rStyle w:val="FootnoteReference"/>
        </w:rPr>
        <w:footnoteReference w:id="4"/>
      </w:r>
      <w:r w:rsidRPr="006111C5">
        <w:t xml:space="preserve"> </w:t>
      </w:r>
      <w:r>
        <w:t xml:space="preserve">We approved </w:t>
      </w:r>
      <w:r w:rsidRPr="006111C5">
        <w:t>Power</w:t>
      </w:r>
      <w:r>
        <w:t>cor</w:t>
      </w:r>
      <w:r w:rsidRPr="006111C5">
        <w:t xml:space="preserve">'s 2016 pricing </w:t>
      </w:r>
      <w:r>
        <w:t>proposal in December 2015.</w:t>
      </w:r>
      <w:r>
        <w:rPr>
          <w:rStyle w:val="FootnoteReference"/>
        </w:rPr>
        <w:footnoteReference w:id="5"/>
      </w:r>
      <w:r>
        <w:t xml:space="preserve"> </w:t>
      </w:r>
      <w:r w:rsidRPr="006111C5">
        <w:t>Power</w:t>
      </w:r>
      <w:r>
        <w:t>cor</w:t>
      </w:r>
      <w:r w:rsidRPr="006111C5">
        <w:t xml:space="preserve">'s revised proposal </w:t>
      </w:r>
      <w:r w:rsidR="00C03404">
        <w:t xml:space="preserve">prices are the same as those we approved in Powercor's </w:t>
      </w:r>
      <w:r w:rsidR="002357C1">
        <w:t>2016 pricing proposal.</w:t>
      </w:r>
      <w:r w:rsidR="002357C1">
        <w:rPr>
          <w:rStyle w:val="FootnoteReference"/>
        </w:rPr>
        <w:footnoteReference w:id="6"/>
      </w:r>
    </w:p>
    <w:p w:rsidR="00402773" w:rsidRDefault="00402773" w:rsidP="00402773">
      <w:r>
        <w:t>However, we do not accept Powercor's revised proposals on labour price growth. We</w:t>
      </w:r>
      <w:r w:rsidRPr="00E60F8A">
        <w:t xml:space="preserve"> </w:t>
      </w:r>
      <w:r>
        <w:t xml:space="preserve">have applied our final decision (updated) labour price growth, which is set out in </w:t>
      </w:r>
      <w:r w:rsidR="006111C5">
        <w:fldChar w:fldCharType="begin"/>
      </w:r>
      <w:r w:rsidR="006111C5">
        <w:instrText xml:space="preserve"> REF  _Ref441762819 \* Lower \h </w:instrText>
      </w:r>
      <w:r w:rsidR="006111C5">
        <w:fldChar w:fldCharType="separate"/>
      </w:r>
      <w:r w:rsidR="00B1103A">
        <w:t xml:space="preserve">table </w:t>
      </w:r>
      <w:r w:rsidR="00B1103A">
        <w:rPr>
          <w:noProof/>
        </w:rPr>
        <w:t>16</w:t>
      </w:r>
      <w:r w:rsidR="00B1103A">
        <w:t>.</w:t>
      </w:r>
      <w:r w:rsidR="00B1103A">
        <w:rPr>
          <w:noProof/>
        </w:rPr>
        <w:t>1</w:t>
      </w:r>
      <w:r w:rsidR="006111C5">
        <w:fldChar w:fldCharType="end"/>
      </w:r>
      <w:r>
        <w:t xml:space="preserve"> and is discussed in attachment 7—operating expenditure.</w:t>
      </w:r>
    </w:p>
    <w:p w:rsidR="0064295F" w:rsidRDefault="0064295F" w:rsidP="0064295F">
      <w:r w:rsidRPr="006111C5">
        <w:t>We also note that our preliminary decision inadvertently published a price for reserve feeder maintenance as a fee based service when this service is classified as a quoted se</w:t>
      </w:r>
      <w:r>
        <w:t xml:space="preserve">rvice. In consultation with </w:t>
      </w:r>
      <w:r w:rsidRPr="006111C5">
        <w:t>Power</w:t>
      </w:r>
      <w:r>
        <w:t>cor</w:t>
      </w:r>
      <w:r w:rsidRPr="006111C5">
        <w:t>, thi</w:t>
      </w:r>
      <w:r>
        <w:t xml:space="preserve">s error was corrected for in </w:t>
      </w:r>
      <w:r w:rsidRPr="006111C5">
        <w:t>Power</w:t>
      </w:r>
      <w:r>
        <w:t>cor</w:t>
      </w:r>
      <w:r w:rsidRPr="006111C5">
        <w:t>'s 2016 pricing proposal.</w:t>
      </w:r>
      <w:r>
        <w:rPr>
          <w:rStyle w:val="FootnoteReference"/>
        </w:rPr>
        <w:footnoteReference w:id="7"/>
      </w:r>
      <w:r w:rsidRPr="006111C5">
        <w:t xml:space="preserve"> Our final decision has reflected this correction in table 16.5 in appendix A.1.</w:t>
      </w:r>
    </w:p>
    <w:p w:rsidR="00091B2E" w:rsidRDefault="00091B2E" w:rsidP="00091B2E">
      <w:r>
        <w:t>For 2017 and for each subsequent year of the 2016–20 regulatory control period, the prices for ancillary network services will be determined by applying our final decision forms of control, which are set out below.</w:t>
      </w:r>
    </w:p>
    <w:p w:rsidR="0007340D" w:rsidRDefault="0007340D" w:rsidP="0007340D">
      <w:pPr>
        <w:pStyle w:val="HeadingBoldBlue"/>
      </w:pPr>
      <w:r>
        <w:t>Form of control</w:t>
      </w:r>
    </w:p>
    <w:p w:rsidR="00091B2E" w:rsidRDefault="00091B2E" w:rsidP="00091B2E">
      <w:r>
        <w:t xml:space="preserve">Our final decision is to apply price caps as the forms of control to ancillary network services. </w:t>
      </w:r>
      <w:r w:rsidR="007C0209">
        <w:fldChar w:fldCharType="begin"/>
      </w:r>
      <w:r w:rsidR="007C0209">
        <w:instrText xml:space="preserve"> REF _Ref442297652 \h </w:instrText>
      </w:r>
      <w:r w:rsidR="007C0209">
        <w:fldChar w:fldCharType="separate"/>
      </w:r>
      <w:r w:rsidR="00B1103A">
        <w:t xml:space="preserve">Figure </w:t>
      </w:r>
      <w:r w:rsidR="00B1103A">
        <w:rPr>
          <w:noProof/>
        </w:rPr>
        <w:t>16</w:t>
      </w:r>
      <w:r w:rsidR="00B1103A">
        <w:t>.</w:t>
      </w:r>
      <w:r w:rsidR="00B1103A">
        <w:rPr>
          <w:noProof/>
        </w:rPr>
        <w:t>1</w:t>
      </w:r>
      <w:r w:rsidR="007C0209">
        <w:fldChar w:fldCharType="end"/>
      </w:r>
      <w:r>
        <w:t xml:space="preserve"> and</w:t>
      </w:r>
      <w:r w:rsidR="00112B9F">
        <w:t xml:space="preserve"> </w:t>
      </w:r>
      <w:r w:rsidR="00112B9F">
        <w:fldChar w:fldCharType="begin"/>
      </w:r>
      <w:r w:rsidR="00112B9F">
        <w:instrText xml:space="preserve"> REF  _Ref442435264 \* Lower \h </w:instrText>
      </w:r>
      <w:r w:rsidR="00112B9F">
        <w:fldChar w:fldCharType="separate"/>
      </w:r>
      <w:r w:rsidR="00B1103A">
        <w:t xml:space="preserve">figure </w:t>
      </w:r>
      <w:r w:rsidR="00B1103A">
        <w:rPr>
          <w:noProof/>
        </w:rPr>
        <w:t>16</w:t>
      </w:r>
      <w:r w:rsidR="00B1103A">
        <w:t>.</w:t>
      </w:r>
      <w:r w:rsidR="00B1103A">
        <w:rPr>
          <w:noProof/>
        </w:rPr>
        <w:t>2</w:t>
      </w:r>
      <w:r w:rsidR="00112B9F">
        <w:fldChar w:fldCharType="end"/>
      </w:r>
      <w:r>
        <w:t xml:space="preserve"> set out the control mechanism formula</w:t>
      </w:r>
      <w:r w:rsidR="00112B9F">
        <w:t>s</w:t>
      </w:r>
      <w:r>
        <w:t xml:space="preserve"> for fee based and quoted services, respectively. They are consistent with our final framework and approach</w:t>
      </w:r>
      <w:r w:rsidR="00893BDE">
        <w:t xml:space="preserve">, </w:t>
      </w:r>
      <w:r w:rsidRPr="00653161">
        <w:rPr>
          <w:rStyle w:val="FootnoteReference"/>
        </w:rPr>
        <w:footnoteReference w:id="8"/>
      </w:r>
      <w:r>
        <w:rPr>
          <w:rStyle w:val="FootnoteReference"/>
        </w:rPr>
        <w:t xml:space="preserve"> </w:t>
      </w:r>
      <w:r>
        <w:t>and our preliminary decision.</w:t>
      </w:r>
      <w:r>
        <w:rPr>
          <w:rStyle w:val="FootnoteReference"/>
        </w:rPr>
        <w:footnoteReference w:id="9"/>
      </w:r>
      <w:r>
        <w:t xml:space="preserve"> Power</w:t>
      </w:r>
      <w:r w:rsidR="003D3559">
        <w:t>cor</w:t>
      </w:r>
      <w:r>
        <w:t xml:space="preserve"> accepted these formulas in its revised regulatory proposal.</w:t>
      </w:r>
      <w:r>
        <w:rPr>
          <w:rStyle w:val="FootnoteReference"/>
        </w:rPr>
        <w:footnoteReference w:id="10"/>
      </w:r>
      <w:r w:rsidR="00BC2453">
        <w:t xml:space="preserve"> </w:t>
      </w:r>
    </w:p>
    <w:p w:rsidR="0007340D" w:rsidRDefault="0007340D" w:rsidP="0007340D">
      <w:pPr>
        <w:pStyle w:val="HeadingBoldBlue"/>
      </w:pPr>
      <w:r>
        <w:t>Form of control—fee based services</w:t>
      </w:r>
    </w:p>
    <w:p w:rsidR="003D3559" w:rsidRPr="00E24F68" w:rsidRDefault="003D3559" w:rsidP="003D3559">
      <w:pPr>
        <w:pStyle w:val="ListParagraph"/>
        <w:numPr>
          <w:ilvl w:val="0"/>
          <w:numId w:val="24"/>
        </w:numPr>
      </w:pPr>
      <w:r>
        <w:t xml:space="preserve">Our final decision applies a price cap form of control for fee based services. </w:t>
      </w:r>
      <w:r w:rsidRPr="00E24F68">
        <w:t xml:space="preserve">Under this form of control, we set a schedule of prices for </w:t>
      </w:r>
      <w:r>
        <w:t xml:space="preserve">2016 which are set out in </w:t>
      </w:r>
      <w:r w:rsidR="00112B9F">
        <w:fldChar w:fldCharType="begin"/>
      </w:r>
      <w:r w:rsidR="00112B9F">
        <w:instrText xml:space="preserve"> REF  _Ref442295784 \* Lower \h </w:instrText>
      </w:r>
      <w:r w:rsidR="00112B9F">
        <w:fldChar w:fldCharType="separate"/>
      </w:r>
      <w:r w:rsidR="00B1103A">
        <w:t xml:space="preserve">table </w:t>
      </w:r>
      <w:r w:rsidR="00B1103A">
        <w:rPr>
          <w:noProof/>
        </w:rPr>
        <w:t>16</w:t>
      </w:r>
      <w:r w:rsidR="00B1103A">
        <w:t>.</w:t>
      </w:r>
      <w:r w:rsidR="00B1103A">
        <w:rPr>
          <w:noProof/>
        </w:rPr>
        <w:t>13</w:t>
      </w:r>
      <w:r w:rsidR="00112B9F">
        <w:fldChar w:fldCharType="end"/>
      </w:r>
      <w:r>
        <w:t xml:space="preserve"> of appendix </w:t>
      </w:r>
      <w:r w:rsidR="00642FB7">
        <w:fldChar w:fldCharType="begin"/>
      </w:r>
      <w:r w:rsidR="00642FB7">
        <w:instrText xml:space="preserve"> REF _Ref441662476 \r \h </w:instrText>
      </w:r>
      <w:r w:rsidR="00642FB7">
        <w:fldChar w:fldCharType="separate"/>
      </w:r>
      <w:r w:rsidR="00B1103A">
        <w:t>A.1</w:t>
      </w:r>
      <w:r w:rsidR="00642FB7">
        <w:fldChar w:fldCharType="end"/>
      </w:r>
      <w:r w:rsidRPr="00E24F68">
        <w:t xml:space="preserve">. </w:t>
      </w:r>
      <w:r>
        <w:t>For 2017 and f</w:t>
      </w:r>
      <w:r w:rsidRPr="00E24F68">
        <w:t>or</w:t>
      </w:r>
      <w:r>
        <w:t xml:space="preserve"> each subsequent year of the 2016–20 regulatory control period,</w:t>
      </w:r>
      <w:r w:rsidRPr="00E24F68">
        <w:t xml:space="preserve"> </w:t>
      </w:r>
      <w:r>
        <w:t xml:space="preserve">the prices for ancillary network services are determined by adjusting </w:t>
      </w:r>
      <w:r w:rsidRPr="00E24F68">
        <w:t xml:space="preserve">the </w:t>
      </w:r>
      <w:r w:rsidRPr="00E24F68">
        <w:lastRenderedPageBreak/>
        <w:t>previous year's prices</w:t>
      </w:r>
      <w:r>
        <w:t xml:space="preserve"> by the formula in </w:t>
      </w:r>
      <w:r w:rsidR="00112B9F">
        <w:fldChar w:fldCharType="begin"/>
      </w:r>
      <w:r w:rsidR="00112B9F">
        <w:instrText xml:space="preserve"> REF  _Ref442297652 \* Lower \h </w:instrText>
      </w:r>
      <w:r w:rsidR="00112B9F">
        <w:fldChar w:fldCharType="separate"/>
      </w:r>
      <w:r w:rsidR="00B1103A">
        <w:t xml:space="preserve">figure </w:t>
      </w:r>
      <w:r w:rsidR="00B1103A">
        <w:rPr>
          <w:noProof/>
        </w:rPr>
        <w:t>16</w:t>
      </w:r>
      <w:r w:rsidR="00B1103A">
        <w:t>.</w:t>
      </w:r>
      <w:r w:rsidR="00B1103A">
        <w:rPr>
          <w:noProof/>
        </w:rPr>
        <w:t>1</w:t>
      </w:r>
      <w:r w:rsidR="00112B9F">
        <w:fldChar w:fldCharType="end"/>
      </w:r>
      <w:r>
        <w:t>.</w:t>
      </w:r>
      <w:r w:rsidRPr="00E24F68">
        <w:t xml:space="preserve"> </w:t>
      </w:r>
      <w:r>
        <w:t>The X factors in this formula adjust for annual labour price growth.</w:t>
      </w:r>
      <w:r w:rsidR="005143FD">
        <w:t xml:space="preserve"> </w:t>
      </w:r>
    </w:p>
    <w:p w:rsidR="005143FD" w:rsidRDefault="005143FD" w:rsidP="005143FD">
      <w:pPr>
        <w:pStyle w:val="Caption"/>
      </w:pPr>
      <w:bookmarkStart w:id="77" w:name="_Ref442297652"/>
      <w:r>
        <w:t xml:space="preserve">Figure </w:t>
      </w:r>
      <w:r w:rsidRPr="00DD4C3A">
        <w:fldChar w:fldCharType="begin"/>
      </w:r>
      <w:r>
        <w:instrText xml:space="preserve"> STYLEREF 1 \s </w:instrText>
      </w:r>
      <w:r w:rsidRPr="00DD4C3A">
        <w:fldChar w:fldCharType="separate"/>
      </w:r>
      <w:r w:rsidR="00B1103A">
        <w:rPr>
          <w:noProof/>
        </w:rPr>
        <w:t>16</w:t>
      </w:r>
      <w:r w:rsidRPr="00DD4C3A">
        <w:fldChar w:fldCharType="end"/>
      </w:r>
      <w:r>
        <w:t>.</w:t>
      </w:r>
      <w:r w:rsidRPr="00DD4C3A">
        <w:fldChar w:fldCharType="begin"/>
      </w:r>
      <w:r>
        <w:instrText xml:space="preserve"> SEQ Figure \* ARABIC \s 1 </w:instrText>
      </w:r>
      <w:r w:rsidRPr="00DD4C3A">
        <w:fldChar w:fldCharType="separate"/>
      </w:r>
      <w:r w:rsidR="00B1103A">
        <w:rPr>
          <w:noProof/>
        </w:rPr>
        <w:t>1</w:t>
      </w:r>
      <w:r w:rsidRPr="00DD4C3A">
        <w:fldChar w:fldCharType="end"/>
      </w:r>
      <w:bookmarkEnd w:id="77"/>
      <w:r>
        <w:tab/>
        <w:t>Fee based ancillary network services formula</w:t>
      </w:r>
    </w:p>
    <w:p w:rsidR="005143FD" w:rsidRPr="001C4D2E" w:rsidRDefault="005143FD" w:rsidP="005143FD">
      <w:pPr>
        <w:numPr>
          <w:ilvl w:val="0"/>
          <w:numId w:val="24"/>
        </w:numPr>
      </w:pPr>
      <w:r w:rsidRPr="00DD4C3A">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6" o:title=""/>
          </v:shape>
          <o:OLEObject Type="Embed" ProgID="Equation.3" ShapeID="_x0000_i1025" DrawAspect="Content" ObjectID="_1525279102" r:id="rId17"/>
        </w:object>
      </w:r>
      <w:r>
        <w:tab/>
      </w:r>
      <w:r>
        <w:tab/>
      </w:r>
      <w:r>
        <w:tab/>
      </w:r>
      <w:r>
        <w:tab/>
      </w:r>
      <w:r>
        <w:tab/>
      </w:r>
      <w:r>
        <w:tab/>
      </w:r>
      <w:r>
        <w:tab/>
      </w:r>
      <w:r>
        <w:tab/>
        <w:t>i=1,...,n and t=</w:t>
      </w:r>
      <w:r w:rsidRPr="001C4D2E">
        <w:t>2,3,4</w:t>
      </w:r>
      <w:r>
        <w:t>,5</w:t>
      </w:r>
    </w:p>
    <w:p w:rsidR="005143FD" w:rsidRPr="001C4D2E" w:rsidRDefault="005143FD" w:rsidP="005143FD">
      <w:pPr>
        <w:numPr>
          <w:ilvl w:val="0"/>
          <w:numId w:val="24"/>
        </w:numPr>
      </w:pPr>
      <w:r w:rsidRPr="00DD4C3A">
        <w:object w:dxaOrig="2580" w:dyaOrig="380">
          <v:shape id="_x0000_i1026" type="#_x0000_t75" style="width:129.75pt;height:19.5pt" o:ole="">
            <v:imagedata r:id="rId18" o:title=""/>
          </v:shape>
          <o:OLEObject Type="Embed" ProgID="Equation.3" ShapeID="_x0000_i1026" DrawAspect="Content" ObjectID="_1525279103" r:id="rId19"/>
        </w:object>
      </w:r>
    </w:p>
    <w:p w:rsidR="005143FD" w:rsidRPr="001C4D2E" w:rsidRDefault="005143FD" w:rsidP="005143FD">
      <w:pPr>
        <w:numPr>
          <w:ilvl w:val="0"/>
          <w:numId w:val="24"/>
        </w:numPr>
      </w:pPr>
      <w:r w:rsidRPr="001C4D2E">
        <w:t>Where:</w:t>
      </w:r>
    </w:p>
    <w:p w:rsidR="005143FD" w:rsidRPr="001C4D2E" w:rsidRDefault="005143FD" w:rsidP="005143FD">
      <w:pPr>
        <w:numPr>
          <w:ilvl w:val="0"/>
          <w:numId w:val="24"/>
        </w:numPr>
      </w:pPr>
      <w:r w:rsidRPr="00DD4C3A">
        <w:object w:dxaOrig="279" w:dyaOrig="380">
          <v:shape id="_x0000_i1027" type="#_x0000_t75" style="width:13.5pt;height:19.5pt" o:ole="">
            <v:imagedata r:id="rId20" o:title=""/>
          </v:shape>
          <o:OLEObject Type="Embed" ProgID="Equation.3" ShapeID="_x0000_i1027" DrawAspect="Content" ObjectID="_1525279104" r:id="rId21"/>
        </w:object>
      </w:r>
      <w:r>
        <w:tab/>
      </w:r>
      <w:r>
        <w:tab/>
      </w:r>
      <w:r w:rsidRPr="001C4D2E">
        <w:t>is the cap on the price of service i in year t</w:t>
      </w:r>
    </w:p>
    <w:p w:rsidR="005143FD" w:rsidRDefault="005143FD" w:rsidP="005143FD">
      <w:pPr>
        <w:numPr>
          <w:ilvl w:val="0"/>
          <w:numId w:val="24"/>
        </w:numPr>
      </w:pPr>
      <w:r w:rsidRPr="00DD4C3A">
        <w:object w:dxaOrig="279" w:dyaOrig="380">
          <v:shape id="_x0000_i1028" type="#_x0000_t75" style="width:13.5pt;height:19.5pt" o:ole="">
            <v:imagedata r:id="rId22" o:title=""/>
          </v:shape>
          <o:OLEObject Type="Embed" ProgID="Equation.3" ShapeID="_x0000_i1028" DrawAspect="Content" ObjectID="_1525279105" r:id="rId23"/>
        </w:object>
      </w:r>
      <w:r>
        <w:tab/>
      </w:r>
      <w:r>
        <w:tab/>
      </w:r>
      <w:r w:rsidRPr="001C4D2E">
        <w:t>is t</w:t>
      </w:r>
      <w:r w:rsidR="003E7148">
        <w:t>he price of service i in year t</w:t>
      </w:r>
    </w:p>
    <w:p w:rsidR="003E7148" w:rsidRDefault="003E7148" w:rsidP="003E7148">
      <w:pPr>
        <w:numPr>
          <w:ilvl w:val="0"/>
          <w:numId w:val="24"/>
        </w:numPr>
      </w:pPr>
      <w:r w:rsidRPr="00867FCE">
        <w:object w:dxaOrig="420" w:dyaOrig="380">
          <v:shape id="_x0000_i1029" type="#_x0000_t75" style="width:18.75pt;height:18.75pt" o:ole="">
            <v:imagedata r:id="rId24" o:title=""/>
          </v:shape>
          <o:OLEObject Type="Embed" ProgID="Equation.3" ShapeID="_x0000_i1029" DrawAspect="Content" ObjectID="_1525279106" r:id="rId25"/>
        </w:object>
      </w:r>
      <w:r>
        <w:tab/>
      </w:r>
      <w:r w:rsidRPr="001C4D2E">
        <w:t>is the cap on the price of service i in year t</w:t>
      </w:r>
      <w:r>
        <w:t>–1</w:t>
      </w:r>
    </w:p>
    <w:p w:rsidR="003E7148" w:rsidRPr="001C4D2E" w:rsidRDefault="003E7148" w:rsidP="005143FD">
      <w:pPr>
        <w:numPr>
          <w:ilvl w:val="0"/>
          <w:numId w:val="24"/>
        </w:numPr>
      </w:pPr>
      <w:r>
        <w:t xml:space="preserve">t </w:t>
      </w:r>
      <w:r>
        <w:tab/>
      </w:r>
      <w:r>
        <w:tab/>
        <w:t>is the regulatory</w:t>
      </w:r>
      <w:r w:rsidRPr="0072224B">
        <w:t xml:space="preserve"> year</w:t>
      </w:r>
    </w:p>
    <w:p w:rsidR="005143FD" w:rsidRPr="001C4D2E" w:rsidRDefault="00334DA3" w:rsidP="005143FD">
      <w:pPr>
        <w:numPr>
          <w:ilvl w:val="0"/>
          <w:numId w:val="24"/>
        </w:numPr>
      </w:pPr>
      <w:r w:rsidRPr="00334DA3">
        <w:rPr>
          <w:position w:val="-12"/>
        </w:rPr>
        <w:object w:dxaOrig="580" w:dyaOrig="380">
          <v:shape id="_x0000_i1030" type="#_x0000_t75" style="width:30.75pt;height:19.5pt" o:ole="">
            <v:imagedata r:id="rId26" o:title=""/>
          </v:shape>
          <o:OLEObject Type="Embed" ProgID="Equation.3" ShapeID="_x0000_i1030" DrawAspect="Content" ObjectID="_1525279107" r:id="rId27"/>
        </w:object>
      </w:r>
      <w:r w:rsidR="005143FD" w:rsidRPr="001C4D2E">
        <w:t xml:space="preserve"> </w:t>
      </w:r>
      <w:r w:rsidR="005143FD">
        <w:tab/>
      </w:r>
      <w:r w:rsidR="005143FD" w:rsidRPr="001C4D2E">
        <w:t>is the annual percentage change in the ABS consumer price index (CPI) All Groups, Weighted Average of Eight Capital Cities</w:t>
      </w:r>
      <w:r w:rsidR="005143FD">
        <w:rPr>
          <w:rStyle w:val="FootnoteReference"/>
        </w:rPr>
        <w:footnoteReference w:id="11"/>
      </w:r>
      <w:r w:rsidR="005143FD" w:rsidRPr="001C4D2E">
        <w:t xml:space="preserve"> from the June quarter in year t–2 to the June quarter in year t–1, calcul</w:t>
      </w:r>
      <w:r w:rsidR="005143FD">
        <w:t>ated using the following method:</w:t>
      </w:r>
    </w:p>
    <w:p w:rsidR="005143FD" w:rsidRPr="001C4D2E" w:rsidRDefault="005143FD" w:rsidP="005143FD">
      <w:pPr>
        <w:pStyle w:val="ListContinue"/>
      </w:pPr>
      <w:r w:rsidRPr="001C4D2E">
        <w:t>The ABS CPI All Groups, Weighted Average of Eight Capital Cities for the June quarter in regulatory year t–1</w:t>
      </w:r>
    </w:p>
    <w:p w:rsidR="005143FD" w:rsidRPr="001C4D2E" w:rsidRDefault="005143FD" w:rsidP="005143FD">
      <w:pPr>
        <w:pStyle w:val="ListContinue"/>
      </w:pPr>
      <w:r w:rsidRPr="001C4D2E">
        <w:t>divided by</w:t>
      </w:r>
    </w:p>
    <w:p w:rsidR="005143FD" w:rsidRPr="001C4D2E" w:rsidRDefault="005143FD" w:rsidP="005143FD">
      <w:pPr>
        <w:pStyle w:val="ListContinue"/>
      </w:pPr>
      <w:r w:rsidRPr="001C4D2E">
        <w:t>The ABS CPI All Groups, Weighted Average of Eight Capital Cities for the June quarter in regulatory year t–2</w:t>
      </w:r>
    </w:p>
    <w:p w:rsidR="005143FD" w:rsidRPr="001C4D2E" w:rsidRDefault="005143FD" w:rsidP="005143FD">
      <w:pPr>
        <w:pStyle w:val="ListContinue"/>
      </w:pPr>
      <w:r w:rsidRPr="001C4D2E">
        <w:t>minus one.</w:t>
      </w:r>
    </w:p>
    <w:p w:rsidR="005143FD" w:rsidRPr="001C4D2E" w:rsidRDefault="005143FD" w:rsidP="005143FD">
      <w:pPr>
        <w:numPr>
          <w:ilvl w:val="0"/>
          <w:numId w:val="24"/>
        </w:numPr>
      </w:pPr>
      <w:r w:rsidRPr="001C4D2E">
        <w:t>For example, for the 2017 year, t–2 is the June quarter 2015 and t–1 is the June quarter 2016 and in the 2018 year, t–2 is the June quarter 2016 and t–1 is the June quarter 2017 and so on.</w:t>
      </w:r>
    </w:p>
    <w:p w:rsidR="005143FD" w:rsidRDefault="00334DA3" w:rsidP="005143FD">
      <w:pPr>
        <w:numPr>
          <w:ilvl w:val="0"/>
          <w:numId w:val="24"/>
        </w:numPr>
      </w:pPr>
      <w:r w:rsidRPr="00334DA3">
        <w:rPr>
          <w:position w:val="-12"/>
        </w:rPr>
        <w:object w:dxaOrig="340" w:dyaOrig="380">
          <v:shape id="_x0000_i1031" type="#_x0000_t75" style="width:19.5pt;height:19.5pt" o:ole="">
            <v:imagedata r:id="rId28" o:title=""/>
          </v:shape>
          <o:OLEObject Type="Embed" ProgID="Equation.3" ShapeID="_x0000_i1031" DrawAspect="Content" ObjectID="_1525279108" r:id="rId29"/>
        </w:object>
      </w:r>
      <w:r w:rsidR="005143FD">
        <w:tab/>
      </w:r>
      <w:r w:rsidR="005143FD" w:rsidRPr="001C4D2E">
        <w:t>is the X</w:t>
      </w:r>
      <w:r w:rsidR="005143FD">
        <w:t> </w:t>
      </w:r>
      <w:r w:rsidR="005143FD" w:rsidRPr="001C4D2E">
        <w:t xml:space="preserve">factor for service i in year t, </w:t>
      </w:r>
      <w:r w:rsidR="005143FD">
        <w:t xml:space="preserve">as set out in </w:t>
      </w:r>
      <w:r w:rsidR="005143FD">
        <w:fldChar w:fldCharType="begin"/>
      </w:r>
      <w:r w:rsidR="005143FD">
        <w:instrText xml:space="preserve"> REF  _Ref430936816 \* Lower \h </w:instrText>
      </w:r>
      <w:r w:rsidR="005143FD">
        <w:fldChar w:fldCharType="separate"/>
      </w:r>
      <w:r w:rsidR="00B1103A">
        <w:t xml:space="preserve">table </w:t>
      </w:r>
      <w:r w:rsidR="00B1103A">
        <w:rPr>
          <w:noProof/>
        </w:rPr>
        <w:t>16</w:t>
      </w:r>
      <w:r w:rsidR="00B1103A">
        <w:t>.</w:t>
      </w:r>
      <w:r w:rsidR="00B1103A">
        <w:rPr>
          <w:noProof/>
        </w:rPr>
        <w:t>1</w:t>
      </w:r>
      <w:r w:rsidR="005143FD">
        <w:fldChar w:fldCharType="end"/>
      </w:r>
      <w:r w:rsidR="005143FD">
        <w:t>.</w:t>
      </w:r>
      <w:r w:rsidR="005143FD">
        <w:rPr>
          <w:rStyle w:val="FootnoteReference"/>
        </w:rPr>
        <w:footnoteReference w:id="12"/>
      </w:r>
      <w:r w:rsidR="00CC7869">
        <w:t xml:space="preserve"> </w:t>
      </w:r>
    </w:p>
    <w:p w:rsidR="005143FD" w:rsidRDefault="005143FD" w:rsidP="005143FD">
      <w:pPr>
        <w:pStyle w:val="Caption"/>
      </w:pPr>
      <w:bookmarkStart w:id="78" w:name="_Ref441762819"/>
      <w:bookmarkStart w:id="79" w:name="_Ref430936816"/>
      <w:r>
        <w:lastRenderedPageBreak/>
        <w:t xml:space="preserve">Table </w:t>
      </w:r>
      <w:r w:rsidR="008572AB">
        <w:fldChar w:fldCharType="begin"/>
      </w:r>
      <w:r w:rsidR="008572AB">
        <w:instrText xml:space="preserve"> STYLEREF 1 \s </w:instrText>
      </w:r>
      <w:r w:rsidR="008572AB">
        <w:fldChar w:fldCharType="separate"/>
      </w:r>
      <w:r w:rsidR="00E21125">
        <w:rPr>
          <w:noProof/>
        </w:rPr>
        <w:t>16</w:t>
      </w:r>
      <w:r w:rsidR="008572AB">
        <w:rPr>
          <w:noProof/>
        </w:rPr>
        <w:fldChar w:fldCharType="end"/>
      </w:r>
      <w:r w:rsidR="00884CF6">
        <w:t>.</w:t>
      </w:r>
      <w:r w:rsidR="008572AB">
        <w:fldChar w:fldCharType="begin"/>
      </w:r>
      <w:r w:rsidR="008572AB">
        <w:instrText xml:space="preserve"> SEQ Table \* ARABIC \s 1 </w:instrText>
      </w:r>
      <w:r w:rsidR="008572AB">
        <w:fldChar w:fldCharType="separate"/>
      </w:r>
      <w:r w:rsidR="00E21125">
        <w:rPr>
          <w:noProof/>
        </w:rPr>
        <w:t>1</w:t>
      </w:r>
      <w:r w:rsidR="008572AB">
        <w:rPr>
          <w:noProof/>
        </w:rPr>
        <w:fldChar w:fldCharType="end"/>
      </w:r>
      <w:bookmarkEnd w:id="78"/>
      <w:bookmarkEnd w:id="79"/>
      <w:r>
        <w:t xml:space="preserve"> </w:t>
      </w:r>
      <w:r w:rsidR="00E21125">
        <w:tab/>
      </w:r>
      <w:r>
        <w:t>AER final decision on X factors for each year of the 2016–20 regulatory control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5143FD" w:rsidTr="00B21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5143FD" w:rsidRDefault="005143FD" w:rsidP="005143FD"/>
        </w:tc>
        <w:tc>
          <w:tcPr>
            <w:tcW w:w="1738" w:type="dxa"/>
          </w:tcPr>
          <w:p w:rsidR="005143FD" w:rsidRPr="005143FD" w:rsidRDefault="005143FD" w:rsidP="005143FD">
            <w:pPr>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5143FD" w:rsidRPr="005143FD" w:rsidRDefault="005143FD" w:rsidP="005143FD">
            <w:pPr>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5143FD" w:rsidRPr="005143FD" w:rsidRDefault="005143FD" w:rsidP="005143FD">
            <w:pPr>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5143FD" w:rsidRPr="005143FD" w:rsidRDefault="005143FD" w:rsidP="005143FD">
            <w:pPr>
              <w:cnfStyle w:val="100000000000" w:firstRow="1" w:lastRow="0" w:firstColumn="0" w:lastColumn="0" w:oddVBand="0" w:evenVBand="0" w:oddHBand="0" w:evenHBand="0" w:firstRowFirstColumn="0" w:firstRowLastColumn="0" w:lastRowFirstColumn="0" w:lastRowLastColumn="0"/>
            </w:pPr>
            <w:r>
              <w:t>2020</w:t>
            </w:r>
          </w:p>
        </w:tc>
      </w:tr>
      <w:tr w:rsidR="00CC7869" w:rsidTr="00B21C48">
        <w:tc>
          <w:tcPr>
            <w:cnfStyle w:val="001000000000" w:firstRow="0" w:lastRow="0" w:firstColumn="1" w:lastColumn="0" w:oddVBand="0" w:evenVBand="0" w:oddHBand="0" w:evenHBand="0" w:firstRowFirstColumn="0" w:firstRowLastColumn="0" w:lastRowFirstColumn="0" w:lastRowLastColumn="0"/>
            <w:tcW w:w="1738" w:type="dxa"/>
          </w:tcPr>
          <w:p w:rsidR="00CC7869" w:rsidRPr="00CC7869" w:rsidRDefault="00CC7869" w:rsidP="00CC7869">
            <w:r>
              <w:t>X factor</w:t>
            </w:r>
          </w:p>
        </w:tc>
        <w:tc>
          <w:tcPr>
            <w:tcW w:w="1738" w:type="dxa"/>
          </w:tcPr>
          <w:p w:rsidR="00CC7869" w:rsidRPr="00CC7869" w:rsidRDefault="00CC7869" w:rsidP="00CC7869">
            <w:pPr>
              <w:cnfStyle w:val="000000000000" w:firstRow="0" w:lastRow="0" w:firstColumn="0" w:lastColumn="0" w:oddVBand="0" w:evenVBand="0" w:oddHBand="0" w:evenHBand="0" w:firstRowFirstColumn="0" w:firstRowLastColumn="0" w:lastRowFirstColumn="0" w:lastRowLastColumn="0"/>
            </w:pPr>
            <w:r w:rsidRPr="00CE233E">
              <w:t xml:space="preserve"> </w:t>
            </w:r>
            <w:r w:rsidR="003E7148">
              <w:t>–</w:t>
            </w:r>
            <w:r w:rsidRPr="00CC7869">
              <w:t>0.37</w:t>
            </w:r>
          </w:p>
        </w:tc>
        <w:tc>
          <w:tcPr>
            <w:tcW w:w="1739" w:type="dxa"/>
          </w:tcPr>
          <w:p w:rsidR="00CC7869" w:rsidRPr="00CC7869" w:rsidRDefault="003E7148" w:rsidP="00CC7869">
            <w:pPr>
              <w:cnfStyle w:val="000000000000" w:firstRow="0" w:lastRow="0" w:firstColumn="0" w:lastColumn="0" w:oddVBand="0" w:evenVBand="0" w:oddHBand="0" w:evenHBand="0" w:firstRowFirstColumn="0" w:firstRowLastColumn="0" w:lastRowFirstColumn="0" w:lastRowLastColumn="0"/>
            </w:pPr>
            <w:r>
              <w:t>–</w:t>
            </w:r>
            <w:r w:rsidR="00CC7869">
              <w:t>0.79</w:t>
            </w:r>
          </w:p>
        </w:tc>
        <w:tc>
          <w:tcPr>
            <w:tcW w:w="1739" w:type="dxa"/>
          </w:tcPr>
          <w:p w:rsidR="00CC7869" w:rsidRPr="00CC7869" w:rsidRDefault="003E7148" w:rsidP="00CC7869">
            <w:pPr>
              <w:cnfStyle w:val="000000000000" w:firstRow="0" w:lastRow="0" w:firstColumn="0" w:lastColumn="0" w:oddVBand="0" w:evenVBand="0" w:oddHBand="0" w:evenHBand="0" w:firstRowFirstColumn="0" w:firstRowLastColumn="0" w:lastRowFirstColumn="0" w:lastRowLastColumn="0"/>
            </w:pPr>
            <w:r>
              <w:t>–</w:t>
            </w:r>
            <w:r w:rsidR="00CC7869">
              <w:t>0.96</w:t>
            </w:r>
          </w:p>
        </w:tc>
        <w:tc>
          <w:tcPr>
            <w:tcW w:w="1739" w:type="dxa"/>
          </w:tcPr>
          <w:p w:rsidR="00CC7869" w:rsidRPr="00CC7869" w:rsidRDefault="003E7148" w:rsidP="00CC7869">
            <w:pPr>
              <w:cnfStyle w:val="000000000000" w:firstRow="0" w:lastRow="0" w:firstColumn="0" w:lastColumn="0" w:oddVBand="0" w:evenVBand="0" w:oddHBand="0" w:evenHBand="0" w:firstRowFirstColumn="0" w:firstRowLastColumn="0" w:lastRowFirstColumn="0" w:lastRowLastColumn="0"/>
            </w:pPr>
            <w:r>
              <w:t>–</w:t>
            </w:r>
            <w:r w:rsidR="00CC7869">
              <w:t>1.02</w:t>
            </w:r>
          </w:p>
        </w:tc>
      </w:tr>
    </w:tbl>
    <w:p w:rsidR="005143FD" w:rsidRPr="004D48E1" w:rsidRDefault="005143FD" w:rsidP="005143FD">
      <w:pPr>
        <w:pStyle w:val="AERtablesource"/>
        <w:rPr>
          <w:rStyle w:val="CommentReference"/>
        </w:rPr>
      </w:pPr>
      <w:r w:rsidRPr="004D48E1">
        <w:rPr>
          <w:rStyle w:val="CommentReference"/>
        </w:rPr>
        <w:t xml:space="preserve">Source: </w:t>
      </w:r>
      <w:r w:rsidRPr="004D48E1">
        <w:rPr>
          <w:rStyle w:val="CommentReference"/>
        </w:rPr>
        <w:tab/>
        <w:t>AER analysis.</w:t>
      </w:r>
    </w:p>
    <w:p w:rsidR="005143FD" w:rsidRPr="001C4D2E" w:rsidRDefault="005143FD" w:rsidP="005143FD">
      <w:pPr>
        <w:pStyle w:val="AERtablesource"/>
      </w:pPr>
      <w:r w:rsidRPr="004D48E1">
        <w:rPr>
          <w:rStyle w:val="CommentReference"/>
        </w:rPr>
        <w:t>Note:</w:t>
      </w:r>
      <w:r w:rsidRPr="004D48E1">
        <w:rPr>
          <w:rStyle w:val="CommentReference"/>
        </w:rPr>
        <w:tab/>
      </w:r>
      <w:r w:rsidRPr="00653161">
        <w:rPr>
          <w:rStyle w:val="CommentReference"/>
        </w:rPr>
        <w:t>To be clear, the labour price growth is positive for each year of the regulatory control period. However, in operating as de facto X factors in the price caps, positive labour price growth is presented as a negative value.</w:t>
      </w:r>
    </w:p>
    <w:p w:rsidR="005143FD" w:rsidRDefault="005143FD" w:rsidP="005143FD">
      <w:pPr>
        <w:pStyle w:val="HeadingBoldBlue"/>
      </w:pPr>
      <w:r>
        <w:t>Form of control—quoted services</w:t>
      </w:r>
    </w:p>
    <w:p w:rsidR="005143FD" w:rsidRPr="001C4D2E" w:rsidRDefault="005143FD" w:rsidP="005143FD">
      <w:bookmarkStart w:id="80" w:name="_Ref430952706"/>
      <w:r w:rsidRPr="001C4D2E">
        <w:t xml:space="preserve">Our </w:t>
      </w:r>
      <w:r>
        <w:t>final</w:t>
      </w:r>
      <w:r w:rsidRPr="001C4D2E">
        <w:t xml:space="preserve"> decision applies a </w:t>
      </w:r>
      <w:r>
        <w:t xml:space="preserve">price cap </w:t>
      </w:r>
      <w:r w:rsidRPr="001C4D2E">
        <w:t>formula to determine the cost build-up of services that are priced on a ‘quoted’ basis.</w:t>
      </w:r>
      <w:r w:rsidRPr="001C4D2E">
        <w:rPr>
          <w:rStyle w:val="FootnoteReference"/>
        </w:rPr>
        <w:footnoteReference w:id="13"/>
      </w:r>
      <w:r w:rsidRPr="001C4D2E">
        <w:t xml:space="preserve"> </w:t>
      </w:r>
      <w:r w:rsidR="00E87A52">
        <w:fldChar w:fldCharType="begin"/>
      </w:r>
      <w:r w:rsidR="00E87A52">
        <w:instrText xml:space="preserve"> REF _Ref442435264 \h </w:instrText>
      </w:r>
      <w:r w:rsidR="00E87A52">
        <w:fldChar w:fldCharType="separate"/>
      </w:r>
      <w:r w:rsidR="00E21125">
        <w:t xml:space="preserve">Figure </w:t>
      </w:r>
      <w:r w:rsidR="00E21125">
        <w:rPr>
          <w:noProof/>
        </w:rPr>
        <w:t>16</w:t>
      </w:r>
      <w:r w:rsidR="00E21125">
        <w:t>.</w:t>
      </w:r>
      <w:r w:rsidR="00E21125">
        <w:rPr>
          <w:noProof/>
        </w:rPr>
        <w:t>2</w:t>
      </w:r>
      <w:r w:rsidR="00E87A52">
        <w:fldChar w:fldCharType="end"/>
      </w:r>
      <w:r w:rsidR="00E87A52">
        <w:t xml:space="preserve"> </w:t>
      </w:r>
      <w:r>
        <w:t xml:space="preserve">sets out the price cap formula and </w:t>
      </w:r>
      <w:r w:rsidR="00E87A52">
        <w:fldChar w:fldCharType="begin"/>
      </w:r>
      <w:r w:rsidR="00E87A52">
        <w:instrText xml:space="preserve"> REF  _Ref442295855 \* Lower \h </w:instrText>
      </w:r>
      <w:r w:rsidR="00E87A52">
        <w:fldChar w:fldCharType="separate"/>
      </w:r>
      <w:r w:rsidR="00E21125">
        <w:t xml:space="preserve">table </w:t>
      </w:r>
      <w:r w:rsidR="00E21125">
        <w:rPr>
          <w:noProof/>
        </w:rPr>
        <w:t>16</w:t>
      </w:r>
      <w:r w:rsidR="00E21125">
        <w:t>.</w:t>
      </w:r>
      <w:r w:rsidR="00E21125">
        <w:rPr>
          <w:noProof/>
        </w:rPr>
        <w:t>14</w:t>
      </w:r>
      <w:r w:rsidR="00E87A52">
        <w:fldChar w:fldCharType="end"/>
      </w:r>
      <w:r>
        <w:t xml:space="preserve"> </w:t>
      </w:r>
      <w:r w:rsidRPr="001C4D2E">
        <w:t>in appendix</w:t>
      </w:r>
      <w:r>
        <w:t xml:space="preserve"> </w:t>
      </w:r>
      <w:r w:rsidR="009E6589">
        <w:fldChar w:fldCharType="begin"/>
      </w:r>
      <w:r w:rsidR="009E6589">
        <w:instrText xml:space="preserve"> REF _Ref441662476 \r \h </w:instrText>
      </w:r>
      <w:r w:rsidR="009E6589">
        <w:fldChar w:fldCharType="separate"/>
      </w:r>
      <w:r w:rsidR="00E21125">
        <w:t>A.1</w:t>
      </w:r>
      <w:r w:rsidR="009E6589">
        <w:fldChar w:fldCharType="end"/>
      </w:r>
      <w:r>
        <w:t xml:space="preserve"> </w:t>
      </w:r>
      <w:r w:rsidRPr="001C4D2E">
        <w:t>sets out the approved 2016 labour rates for quoted services.</w:t>
      </w:r>
    </w:p>
    <w:p w:rsidR="005143FD" w:rsidRDefault="005143FD" w:rsidP="005143FD">
      <w:pPr>
        <w:pStyle w:val="Caption"/>
      </w:pPr>
      <w:bookmarkStart w:id="81" w:name="_Ref442435264"/>
      <w:r>
        <w:t xml:space="preserve">Figure </w:t>
      </w:r>
      <w:r w:rsidRPr="005078EF">
        <w:fldChar w:fldCharType="begin"/>
      </w:r>
      <w:r>
        <w:instrText xml:space="preserve"> STYLEREF 1 \s </w:instrText>
      </w:r>
      <w:r w:rsidRPr="005078EF">
        <w:fldChar w:fldCharType="separate"/>
      </w:r>
      <w:r w:rsidR="00B1103A">
        <w:rPr>
          <w:noProof/>
        </w:rPr>
        <w:t>16</w:t>
      </w:r>
      <w:r w:rsidRPr="005078EF">
        <w:fldChar w:fldCharType="end"/>
      </w:r>
      <w:r>
        <w:t>.</w:t>
      </w:r>
      <w:r w:rsidRPr="005078EF">
        <w:fldChar w:fldCharType="begin"/>
      </w:r>
      <w:r>
        <w:instrText xml:space="preserve"> SEQ Figure \* ARABIC \s 1 </w:instrText>
      </w:r>
      <w:r w:rsidRPr="005078EF">
        <w:fldChar w:fldCharType="separate"/>
      </w:r>
      <w:r w:rsidR="00B1103A">
        <w:rPr>
          <w:noProof/>
        </w:rPr>
        <w:t>2</w:t>
      </w:r>
      <w:r w:rsidRPr="005078EF">
        <w:fldChar w:fldCharType="end"/>
      </w:r>
      <w:bookmarkEnd w:id="80"/>
      <w:bookmarkEnd w:id="81"/>
      <w:r>
        <w:t xml:space="preserve"> </w:t>
      </w:r>
      <w:r>
        <w:tab/>
      </w:r>
      <w:r>
        <w:tab/>
        <w:t>Quoted services formula</w:t>
      </w:r>
    </w:p>
    <w:p w:rsidR="005143FD" w:rsidRPr="005143FD" w:rsidRDefault="005143FD" w:rsidP="005143FD">
      <m:oMathPara>
        <m:oMathParaPr>
          <m:jc m:val="left"/>
        </m:oMathParaPr>
        <m:oMath>
          <m:r>
            <w:rPr>
              <w:rFonts w:ascii="Cambria Math" w:hAnsi="Cambria Math"/>
            </w:rPr>
            <m:t>Price=Labour+Contractor Services+Materials</m:t>
          </m:r>
        </m:oMath>
      </m:oMathPara>
    </w:p>
    <w:p w:rsidR="005143FD" w:rsidRPr="001C4D2E" w:rsidRDefault="005143FD" w:rsidP="005143FD">
      <w:r w:rsidRPr="001C4D2E">
        <w:t>Where:</w:t>
      </w:r>
    </w:p>
    <w:p w:rsidR="005143FD" w:rsidRPr="001C4D2E" w:rsidRDefault="005143FD" w:rsidP="005143FD">
      <m:oMath>
        <m:r>
          <w:rPr>
            <w:rFonts w:ascii="Cambria Math" w:hAnsi="Cambria Math"/>
          </w:rPr>
          <m:t>Labour</m:t>
        </m:r>
      </m:oMath>
      <w:r w:rsidRPr="001C4D2E">
        <w:t xml:space="preserve"> consists of all labour costs directly incurred in the provision of the service which may include labour on-costs, fleet on-costs and overheads. Labour is escalated annually by </w:t>
      </w:r>
      <w:r w:rsidR="006111C5" w:rsidRPr="006111C5">
        <w:rPr>
          <w:position w:val="-12"/>
        </w:rPr>
        <w:object w:dxaOrig="1719" w:dyaOrig="380">
          <v:shape id="_x0000_i1032" type="#_x0000_t75" style="width:85.5pt;height:19.5pt" o:ole="">
            <v:imagedata r:id="rId30" o:title=""/>
          </v:shape>
          <o:OLEObject Type="Embed" ProgID="Equation.3" ShapeID="_x0000_i1032" DrawAspect="Content" ObjectID="_1525279109" r:id="rId31"/>
        </w:object>
      </w:r>
      <w:r w:rsidR="006111C5">
        <w:t xml:space="preserve"> </w:t>
      </w:r>
      <w:r w:rsidRPr="001C4D2E">
        <w:t>where:</w:t>
      </w:r>
    </w:p>
    <w:p w:rsidR="005143FD" w:rsidRPr="001C4D2E" w:rsidRDefault="00E87A52" w:rsidP="005143FD">
      <w:pPr>
        <w:pStyle w:val="ListContinue"/>
      </w:pPr>
      <w:r w:rsidRPr="00E87A52">
        <w:rPr>
          <w:position w:val="-12"/>
        </w:rPr>
        <w:object w:dxaOrig="580" w:dyaOrig="380">
          <v:shape id="_x0000_i1033" type="#_x0000_t75" style="width:30.75pt;height:16.5pt" o:ole="">
            <v:imagedata r:id="rId32" o:title=""/>
          </v:shape>
          <o:OLEObject Type="Embed" ProgID="Equation.3" ShapeID="_x0000_i1033" DrawAspect="Content" ObjectID="_1525279110" r:id="rId33"/>
        </w:object>
      </w:r>
      <w:r w:rsidR="005143FD" w:rsidRPr="001C4D2E">
        <w:t>is the annual percentage change in the ABS CPI All Groups, Weighted Average of Eight Capital Cities</w:t>
      </w:r>
      <w:r w:rsidR="005143FD" w:rsidRPr="00661E11">
        <w:rPr>
          <w:rStyle w:val="FootnoteReference"/>
        </w:rPr>
        <w:footnoteReference w:id="14"/>
      </w:r>
      <w:r w:rsidR="005143FD" w:rsidRPr="001C4D2E">
        <w:t xml:space="preserve"> from the June quarter in year t–2 to the June quarter in year t–1, calculated using the following method:</w:t>
      </w:r>
    </w:p>
    <w:p w:rsidR="005143FD" w:rsidRPr="001C4D2E" w:rsidRDefault="005143FD" w:rsidP="005143FD">
      <w:pPr>
        <w:pStyle w:val="ListContinue2"/>
      </w:pPr>
      <w:r w:rsidRPr="001C4D2E">
        <w:t>The ABS CPI All Groups, Weighted Average of Eight Capital Cities for the June quarter in regulatory year t–1</w:t>
      </w:r>
    </w:p>
    <w:p w:rsidR="005143FD" w:rsidRPr="001C4D2E" w:rsidRDefault="005143FD" w:rsidP="005143FD">
      <w:pPr>
        <w:pStyle w:val="ListContinue2"/>
      </w:pPr>
      <w:r w:rsidRPr="001C4D2E">
        <w:t>divided by</w:t>
      </w:r>
    </w:p>
    <w:p w:rsidR="005143FD" w:rsidRPr="001C4D2E" w:rsidRDefault="005143FD" w:rsidP="005143FD">
      <w:pPr>
        <w:pStyle w:val="ListContinue2"/>
      </w:pPr>
      <w:r w:rsidRPr="001C4D2E">
        <w:t>The ABS CPI All Groups, Weighted Average of Eight Capital Cities for the June quarter in regulatory year t–2</w:t>
      </w:r>
    </w:p>
    <w:p w:rsidR="005143FD" w:rsidRDefault="005143FD" w:rsidP="005143FD">
      <w:pPr>
        <w:pStyle w:val="ListContinue2"/>
      </w:pPr>
      <w:r w:rsidRPr="001C4D2E">
        <w:t>minus one.</w:t>
      </w:r>
    </w:p>
    <w:p w:rsidR="005143FD" w:rsidRPr="001C4D2E" w:rsidRDefault="005143FD" w:rsidP="005143FD">
      <w:pPr>
        <w:pStyle w:val="ListContinue"/>
      </w:pPr>
      <w:r w:rsidRPr="001C4D2E">
        <w:lastRenderedPageBreak/>
        <w:t>For example, for the 2017 year, t–2 is the June quarter 2015 and t–1 is the June quarter 2016 and in the 2018 year, t–2 is the June quarter 2016 and t–1 is the June quarter 2017 and so on.</w:t>
      </w:r>
    </w:p>
    <w:p w:rsidR="005143FD" w:rsidRPr="001C4D2E" w:rsidRDefault="00E87A52" w:rsidP="005143FD">
      <w:pPr>
        <w:pStyle w:val="ListContinue"/>
      </w:pPr>
      <w:r w:rsidRPr="00E87A52">
        <w:rPr>
          <w:position w:val="-12"/>
        </w:rPr>
        <w:object w:dxaOrig="340" w:dyaOrig="380">
          <v:shape id="_x0000_i1034" type="#_x0000_t75" style="width:19.5pt;height:16.5pt" o:ole="">
            <v:imagedata r:id="rId34" o:title=""/>
          </v:shape>
          <o:OLEObject Type="Embed" ProgID="Equation.3" ShapeID="_x0000_i1034" DrawAspect="Content" ObjectID="_1525279111" r:id="rId35"/>
        </w:object>
      </w:r>
      <w:r w:rsidR="005143FD" w:rsidRPr="001C4D2E">
        <w:t xml:space="preserve"> is the X factor for service i in year t, as set out in </w:t>
      </w:r>
      <w:r w:rsidR="005143FD">
        <w:fldChar w:fldCharType="begin"/>
      </w:r>
      <w:r w:rsidR="005143FD">
        <w:instrText xml:space="preserve"> REF  _Ref430936816 \* Lower \h </w:instrText>
      </w:r>
      <w:r w:rsidR="005143FD">
        <w:fldChar w:fldCharType="separate"/>
      </w:r>
      <w:r w:rsidR="00B1103A">
        <w:t xml:space="preserve">table </w:t>
      </w:r>
      <w:r w:rsidR="00B1103A">
        <w:rPr>
          <w:noProof/>
        </w:rPr>
        <w:t>16</w:t>
      </w:r>
      <w:r w:rsidR="00B1103A">
        <w:t>.</w:t>
      </w:r>
      <w:r w:rsidR="00B1103A">
        <w:rPr>
          <w:noProof/>
        </w:rPr>
        <w:t>1</w:t>
      </w:r>
      <w:r w:rsidR="005143FD">
        <w:fldChar w:fldCharType="end"/>
      </w:r>
      <w:r w:rsidR="005143FD">
        <w:t>.</w:t>
      </w:r>
      <w:r w:rsidR="005143FD">
        <w:rPr>
          <w:rStyle w:val="FootnoteReference"/>
        </w:rPr>
        <w:footnoteReference w:id="15"/>
      </w:r>
      <w:r w:rsidR="005143FD">
        <w:t xml:space="preserve"> </w:t>
      </w:r>
    </w:p>
    <w:p w:rsidR="005143FD" w:rsidRPr="001C4D2E" w:rsidRDefault="005143FD" w:rsidP="005143FD">
      <m:oMath>
        <m:r>
          <w:rPr>
            <w:rFonts w:ascii="Cambria Math" w:hAnsi="Cambria Math"/>
          </w:rPr>
          <m:t xml:space="preserve">Contractor Services </m:t>
        </m:r>
      </m:oMath>
      <w:r w:rsidRPr="001C4D2E">
        <w:tab/>
        <w:t>reflect all costs associated with the use of external labour including overheads and any direct costs incurred. The contracted services charge applies the rates under existing contractual arrangements. Direct costs incurred are passed on to the customer.</w:t>
      </w:r>
    </w:p>
    <w:p w:rsidR="005143FD" w:rsidRDefault="005143FD" w:rsidP="005143FD">
      <m:oMath>
        <m:r>
          <w:rPr>
            <w:rFonts w:ascii="Cambria Math" w:hAnsi="Cambria Math"/>
          </w:rPr>
          <m:t>Materials</m:t>
        </m:r>
      </m:oMath>
      <w:r w:rsidRPr="001C4D2E">
        <w:tab/>
        <w:t>reflect the cost of materials directly incurred in the provision of the service, material storage and logistics on-costs and overheads.</w:t>
      </w:r>
    </w:p>
    <w:p w:rsidR="0007340D" w:rsidRPr="0007340D" w:rsidRDefault="0007340D" w:rsidP="00297833">
      <w:pPr>
        <w:pStyle w:val="Heading3"/>
        <w:ind w:left="720"/>
      </w:pPr>
      <w:bookmarkStart w:id="82" w:name="_Toc451441227"/>
      <w:r>
        <w:t>Powercor's</w:t>
      </w:r>
      <w:r w:rsidRPr="0007340D">
        <w:t xml:space="preserve"> revised proposal</w:t>
      </w:r>
      <w:bookmarkEnd w:id="82"/>
      <w:r w:rsidRPr="0007340D">
        <w:t xml:space="preserve">  </w:t>
      </w:r>
    </w:p>
    <w:p w:rsidR="005143FD" w:rsidRDefault="00E87A52" w:rsidP="005143FD">
      <w:r>
        <w:t>Powercor generally accepted our preliminary decision on ancillary network services.</w:t>
      </w:r>
      <w:r>
        <w:rPr>
          <w:rStyle w:val="FootnoteReference"/>
        </w:rPr>
        <w:footnoteReference w:id="16"/>
      </w:r>
      <w:r>
        <w:t xml:space="preserve"> </w:t>
      </w:r>
      <w:r w:rsidR="005143FD">
        <w:t>In its revised proposal, Powercor accepted</w:t>
      </w:r>
      <w:r>
        <w:t xml:space="preserve"> the changes we made to its</w:t>
      </w:r>
      <w:r w:rsidR="005143FD">
        <w:t>:</w:t>
      </w:r>
    </w:p>
    <w:p w:rsidR="005143FD" w:rsidRDefault="005143FD" w:rsidP="005143FD">
      <w:pPr>
        <w:pStyle w:val="AERbulletlistfirststyle"/>
      </w:pPr>
      <w:r>
        <w:t>times taken to perform meter accuracy tests, and</w:t>
      </w:r>
    </w:p>
    <w:p w:rsidR="005143FD" w:rsidRDefault="00E87A52" w:rsidP="005143FD">
      <w:pPr>
        <w:pStyle w:val="AERbulletlistfirststyle"/>
      </w:pPr>
      <w:r>
        <w:t>calculation of</w:t>
      </w:r>
      <w:r w:rsidR="005143FD">
        <w:t xml:space="preserve"> the CPI escalator from 2014 to 2015.</w:t>
      </w:r>
      <w:r w:rsidR="005143FD">
        <w:rPr>
          <w:rStyle w:val="FootnoteReference"/>
        </w:rPr>
        <w:footnoteReference w:id="17"/>
      </w:r>
      <w:r w:rsidR="005143FD">
        <w:t xml:space="preserve"> </w:t>
      </w:r>
    </w:p>
    <w:p w:rsidR="005143FD" w:rsidRDefault="005143FD" w:rsidP="005143FD">
      <w:r>
        <w:t>However, Powercor did not accept our preliminary decision for labour price growth.</w:t>
      </w:r>
      <w:r>
        <w:rPr>
          <w:rStyle w:val="FootnoteReference"/>
        </w:rPr>
        <w:footnoteReference w:id="18"/>
      </w:r>
    </w:p>
    <w:p w:rsidR="0007340D" w:rsidRDefault="0007340D" w:rsidP="00297833">
      <w:pPr>
        <w:pStyle w:val="Heading3"/>
        <w:ind w:left="720"/>
      </w:pPr>
      <w:bookmarkStart w:id="83" w:name="_Toc433704557"/>
      <w:bookmarkStart w:id="84" w:name="_Toc451441228"/>
      <w:r>
        <w:t>Assessment approach</w:t>
      </w:r>
      <w:bookmarkEnd w:id="83"/>
      <w:bookmarkEnd w:id="84"/>
    </w:p>
    <w:p w:rsidR="00E87A52" w:rsidRDefault="00E87A52" w:rsidP="00EB15C9">
      <w:r>
        <w:t>As Powercor accepted our preliminary decision—with the exception of labour price growth—our final decision assessment approach is to ensure its revised proposal is compliant with our preliminary decision.</w:t>
      </w:r>
    </w:p>
    <w:p w:rsidR="00EB15C9" w:rsidRPr="00C31DC4" w:rsidRDefault="00EB15C9" w:rsidP="00EB15C9">
      <w:r>
        <w:t xml:space="preserve">Our preliminary decision undertook a detailed assessment of </w:t>
      </w:r>
      <w:r w:rsidR="008227D1">
        <w:t xml:space="preserve">Powercor's </w:t>
      </w:r>
      <w:r>
        <w:t>initial proposal by focussing on the key inputs in determining prices for ancillary network services. In summary, our preliminary decision</w:t>
      </w:r>
      <w:r w:rsidRPr="00C31DC4">
        <w:t xml:space="preserve"> considered:</w:t>
      </w:r>
      <w:r w:rsidR="008227D1">
        <w:t xml:space="preserve"> </w:t>
      </w:r>
    </w:p>
    <w:p w:rsidR="00EB15C9" w:rsidRPr="00C31DC4" w:rsidRDefault="00EB15C9" w:rsidP="00EB15C9">
      <w:pPr>
        <w:pStyle w:val="AERbulletlistfirststyle"/>
      </w:pPr>
      <w:r>
        <w:t>m</w:t>
      </w:r>
      <w:r w:rsidRPr="00C31DC4">
        <w:t>aximum total labour rates we developed</w:t>
      </w:r>
      <w:r>
        <w:t xml:space="preserve"> for Victoria</w:t>
      </w:r>
      <w:r w:rsidRPr="00C31DC4">
        <w:t xml:space="preserve">. </w:t>
      </w:r>
      <w:r>
        <w:t>O</w:t>
      </w:r>
      <w:r w:rsidRPr="00C31DC4">
        <w:t xml:space="preserve">ur findings </w:t>
      </w:r>
      <w:r>
        <w:t>were informed by</w:t>
      </w:r>
      <w:r w:rsidRPr="00C31DC4">
        <w:t xml:space="preserve"> our consultant</w:t>
      </w:r>
      <w:r w:rsidR="00BC2453">
        <w:t>'s</w:t>
      </w:r>
      <w:r w:rsidRPr="00C31DC4">
        <w:t>, Marsden Jacob</w:t>
      </w:r>
      <w:r>
        <w:t xml:space="preserve"> Associates', </w:t>
      </w:r>
      <w:r w:rsidRPr="00C31DC4">
        <w:t>analysis</w:t>
      </w:r>
      <w:r w:rsidRPr="00C31DC4">
        <w:rPr>
          <w:rStyle w:val="FootnoteReference"/>
        </w:rPr>
        <w:footnoteReference w:id="19"/>
      </w:r>
    </w:p>
    <w:p w:rsidR="00EB15C9" w:rsidRDefault="00EB15C9" w:rsidP="00EB15C9">
      <w:pPr>
        <w:pStyle w:val="AERbulletlistfirststyle"/>
      </w:pPr>
      <w:r>
        <w:t xml:space="preserve">since </w:t>
      </w:r>
      <w:r w:rsidRPr="00112A2D">
        <w:t>labour is the</w:t>
      </w:r>
      <w:r>
        <w:t xml:space="preserve"> </w:t>
      </w:r>
      <w:r w:rsidRPr="00112A2D">
        <w:t xml:space="preserve">key input in determining an efficient level of </w:t>
      </w:r>
      <w:r>
        <w:t>prices</w:t>
      </w:r>
      <w:r w:rsidRPr="00112A2D">
        <w:t xml:space="preserve"> for</w:t>
      </w:r>
      <w:r>
        <w:t xml:space="preserve"> </w:t>
      </w:r>
      <w:r w:rsidRPr="00112A2D">
        <w:t>ancillary network services</w:t>
      </w:r>
      <w:r>
        <w:t>, w</w:t>
      </w:r>
      <w:r w:rsidRPr="00112A2D">
        <w:t xml:space="preserve">e focused on comparing </w:t>
      </w:r>
      <w:r w:rsidR="008227D1">
        <w:t xml:space="preserve">Powercor's </w:t>
      </w:r>
      <w:r w:rsidRPr="00112A2D">
        <w:t>proposed total labour rates against</w:t>
      </w:r>
      <w:r>
        <w:t xml:space="preserve"> our developed</w:t>
      </w:r>
      <w:r w:rsidRPr="00112A2D">
        <w:t xml:space="preserve"> maximum total labour rates</w:t>
      </w:r>
    </w:p>
    <w:p w:rsidR="00EB15C9" w:rsidRDefault="00EB15C9" w:rsidP="00EB15C9">
      <w:pPr>
        <w:pStyle w:val="AERbulletlistfirststyle"/>
      </w:pPr>
      <w:r>
        <w:t>the other key inputs, being:</w:t>
      </w:r>
    </w:p>
    <w:p w:rsidR="00EB15C9" w:rsidRDefault="00EB15C9" w:rsidP="00EB15C9">
      <w:pPr>
        <w:pStyle w:val="AERbulletlistsecondstyle"/>
      </w:pPr>
      <w:r>
        <w:lastRenderedPageBreak/>
        <w:t>proposed times taken to perform the service, and</w:t>
      </w:r>
    </w:p>
    <w:p w:rsidR="00EB15C9" w:rsidRDefault="00EB15C9" w:rsidP="00EB15C9">
      <w:pPr>
        <w:pStyle w:val="AERbulletlistsecondstyle"/>
      </w:pPr>
      <w:r>
        <w:t>contractor rates.</w:t>
      </w:r>
    </w:p>
    <w:p w:rsidR="00EB15C9" w:rsidRPr="00311679" w:rsidRDefault="00EB15C9" w:rsidP="00EB15C9">
      <w:r>
        <w:t>As per section 16.1.4.1 of our preliminary decision, w</w:t>
      </w:r>
      <w:r w:rsidRPr="00C31DC4">
        <w:t xml:space="preserve">e obtained maximum rates for </w:t>
      </w:r>
      <w:r w:rsidRPr="00311679">
        <w:t>the following labour components</w:t>
      </w:r>
      <w:r>
        <w:t>:</w:t>
      </w:r>
    </w:p>
    <w:p w:rsidR="00EB15C9" w:rsidRPr="00C31DC4" w:rsidRDefault="00EB15C9" w:rsidP="00EB15C9">
      <w:pPr>
        <w:pStyle w:val="AERbulletlistfirststyle"/>
      </w:pPr>
      <w:r w:rsidRPr="00C31DC4">
        <w:t>a maximum raw labour rate</w:t>
      </w:r>
    </w:p>
    <w:p w:rsidR="00EB15C9" w:rsidRPr="00C31DC4" w:rsidRDefault="00EB15C9" w:rsidP="00EB15C9">
      <w:pPr>
        <w:pStyle w:val="AERbulletlistfirststyle"/>
      </w:pPr>
      <w:r w:rsidRPr="00C31DC4">
        <w:t>a maximum on-cost rate</w:t>
      </w:r>
    </w:p>
    <w:p w:rsidR="00EB15C9" w:rsidRPr="00C31DC4" w:rsidRDefault="00EB15C9" w:rsidP="00EB15C9">
      <w:pPr>
        <w:pStyle w:val="AERbulletlistfirststyle"/>
      </w:pPr>
      <w:r w:rsidRPr="00C31DC4">
        <w:t>a maximum overhead rate</w:t>
      </w:r>
      <w:r>
        <w:t>.</w:t>
      </w:r>
    </w:p>
    <w:p w:rsidR="00EB15C9" w:rsidRDefault="00EB15C9" w:rsidP="00EB15C9">
      <w:r w:rsidRPr="00C31DC4">
        <w:t>We applied these maximum (component) rates to derive maximum total labour rates</w:t>
      </w:r>
      <w:r>
        <w:t xml:space="preserve"> </w:t>
      </w:r>
      <w:r w:rsidRPr="00311679">
        <w:t>(for particular labour types)</w:t>
      </w:r>
      <w:r>
        <w:t xml:space="preserve"> which are presented in </w:t>
      </w:r>
      <w:r>
        <w:fldChar w:fldCharType="begin"/>
      </w:r>
      <w:r>
        <w:instrText xml:space="preserve"> REF _Ref430952223 \h </w:instrText>
      </w:r>
      <w:r>
        <w:fldChar w:fldCharType="separate"/>
      </w:r>
      <w:r w:rsidR="00B1103A">
        <w:t xml:space="preserve">Table </w:t>
      </w:r>
      <w:r w:rsidR="00B1103A">
        <w:rPr>
          <w:noProof/>
        </w:rPr>
        <w:t>16</w:t>
      </w:r>
      <w:r w:rsidR="00B1103A">
        <w:t>.</w:t>
      </w:r>
      <w:r w:rsidR="00B1103A">
        <w:rPr>
          <w:noProof/>
        </w:rPr>
        <w:t>2</w:t>
      </w:r>
      <w:r>
        <w:fldChar w:fldCharType="end"/>
      </w:r>
      <w:r w:rsidRPr="00C31DC4">
        <w:t xml:space="preserve">. </w:t>
      </w:r>
      <w:r>
        <w:t xml:space="preserve">We consider that using our maximum total labour rates to determine prices for services will provide </w:t>
      </w:r>
      <w:r w:rsidR="008227D1">
        <w:t>Powercor</w:t>
      </w:r>
      <w:r>
        <w:t xml:space="preserve">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Pr>
          <w:rStyle w:val="FootnoteReference"/>
        </w:rPr>
        <w:footnoteReference w:id="20"/>
      </w:r>
    </w:p>
    <w:p w:rsidR="00642FB7" w:rsidRPr="005E5049" w:rsidRDefault="00642FB7" w:rsidP="00642FB7">
      <w:pPr>
        <w:pStyle w:val="Tabletitle"/>
      </w:pPr>
      <w:bookmarkStart w:id="85" w:name="_Ref430952223"/>
      <w:r>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2</w:t>
      </w:r>
      <w:r w:rsidR="008572AB">
        <w:rPr>
          <w:noProof/>
        </w:rPr>
        <w:fldChar w:fldCharType="end"/>
      </w:r>
      <w:bookmarkEnd w:id="85"/>
      <w:r>
        <w:tab/>
        <w:t>Maximum allowed total labour rates</w:t>
      </w:r>
      <w:r w:rsidRPr="005E5049">
        <w:t xml:space="preserve"> </w:t>
      </w:r>
    </w:p>
    <w:tbl>
      <w:tblPr>
        <w:tblStyle w:val="AERtable-numbers"/>
        <w:tblW w:w="0" w:type="auto"/>
        <w:tblLook w:val="04A0" w:firstRow="1" w:lastRow="0" w:firstColumn="1" w:lastColumn="0" w:noHBand="0" w:noVBand="1"/>
      </w:tblPr>
      <w:tblGrid>
        <w:gridCol w:w="4346"/>
        <w:gridCol w:w="4347"/>
      </w:tblGrid>
      <w:tr w:rsidR="00642FB7" w:rsidRPr="005E5049" w:rsidTr="00C01C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642FB7" w:rsidRPr="00642FB7" w:rsidRDefault="00642FB7" w:rsidP="00642FB7">
            <w:r>
              <w:t>AER</w:t>
            </w:r>
            <w:r w:rsidRPr="00642FB7">
              <w:t xml:space="preserve"> labour category</w:t>
            </w:r>
          </w:p>
        </w:tc>
        <w:tc>
          <w:tcPr>
            <w:tcW w:w="4347" w:type="dxa"/>
          </w:tcPr>
          <w:p w:rsidR="00642FB7" w:rsidRPr="00642FB7" w:rsidRDefault="00642FB7" w:rsidP="00642FB7">
            <w:pPr>
              <w:cnfStyle w:val="100000000000" w:firstRow="1" w:lastRow="0" w:firstColumn="0" w:lastColumn="0" w:oddVBand="0" w:evenVBand="0" w:oddHBand="0" w:evenHBand="0" w:firstRowFirstColumn="0" w:firstRowLastColumn="0" w:lastRowFirstColumn="0" w:lastRowLastColumn="0"/>
            </w:pPr>
            <w:r w:rsidRPr="005E5049">
              <w:t>AER maximum total labour rates ($2014)</w:t>
            </w:r>
          </w:p>
        </w:tc>
      </w:tr>
      <w:tr w:rsidR="00642FB7" w:rsidRPr="005E5049" w:rsidTr="00C01C10">
        <w:tc>
          <w:tcPr>
            <w:cnfStyle w:val="001000000000" w:firstRow="0" w:lastRow="0" w:firstColumn="1" w:lastColumn="0" w:oddVBand="0" w:evenVBand="0" w:oddHBand="0" w:evenHBand="0" w:firstRowFirstColumn="0" w:firstRowLastColumn="0" w:lastRowFirstColumn="0" w:lastRowLastColumn="0"/>
            <w:tcW w:w="4346" w:type="dxa"/>
          </w:tcPr>
          <w:p w:rsidR="00642FB7" w:rsidRPr="00642FB7" w:rsidRDefault="00642FB7" w:rsidP="00642FB7">
            <w:r>
              <w:t>Administration</w:t>
            </w:r>
          </w:p>
        </w:tc>
        <w:tc>
          <w:tcPr>
            <w:tcW w:w="4347" w:type="dxa"/>
          </w:tcPr>
          <w:p w:rsidR="00642FB7" w:rsidRPr="00642FB7" w:rsidRDefault="00642FB7" w:rsidP="00642FB7">
            <w:pPr>
              <w:cnfStyle w:val="000000000000" w:firstRow="0" w:lastRow="0" w:firstColumn="0" w:lastColumn="0" w:oddVBand="0" w:evenVBand="0" w:oddHBand="0" w:evenHBand="0" w:firstRowFirstColumn="0" w:firstRowLastColumn="0" w:lastRowFirstColumn="0" w:lastRowLastColumn="0"/>
            </w:pPr>
            <w:r>
              <w:t>91.88</w:t>
            </w:r>
          </w:p>
        </w:tc>
      </w:tr>
      <w:tr w:rsidR="00642FB7" w:rsidRPr="005E5049" w:rsidTr="00C01C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642FB7" w:rsidRPr="00642FB7" w:rsidRDefault="00642FB7" w:rsidP="00642FB7">
            <w:r>
              <w:t>Technical</w:t>
            </w:r>
          </w:p>
        </w:tc>
        <w:tc>
          <w:tcPr>
            <w:tcW w:w="4347" w:type="dxa"/>
          </w:tcPr>
          <w:p w:rsidR="00642FB7" w:rsidRPr="00642FB7" w:rsidRDefault="00642FB7" w:rsidP="00642FB7">
            <w:pPr>
              <w:cnfStyle w:val="000000010000" w:firstRow="0" w:lastRow="0" w:firstColumn="0" w:lastColumn="0" w:oddVBand="0" w:evenVBand="0" w:oddHBand="0" w:evenHBand="1" w:firstRowFirstColumn="0" w:firstRowLastColumn="0" w:lastRowFirstColumn="0" w:lastRowLastColumn="0"/>
            </w:pPr>
            <w:r>
              <w:t>160.79</w:t>
            </w:r>
          </w:p>
        </w:tc>
      </w:tr>
      <w:tr w:rsidR="00642FB7" w:rsidRPr="005E5049" w:rsidTr="00C01C10">
        <w:tc>
          <w:tcPr>
            <w:cnfStyle w:val="001000000000" w:firstRow="0" w:lastRow="0" w:firstColumn="1" w:lastColumn="0" w:oddVBand="0" w:evenVBand="0" w:oddHBand="0" w:evenHBand="0" w:firstRowFirstColumn="0" w:firstRowLastColumn="0" w:lastRowFirstColumn="0" w:lastRowLastColumn="0"/>
            <w:tcW w:w="4346" w:type="dxa"/>
          </w:tcPr>
          <w:p w:rsidR="00642FB7" w:rsidRPr="00642FB7" w:rsidRDefault="00642FB7" w:rsidP="00642FB7">
            <w:r>
              <w:t>Engineer</w:t>
            </w:r>
          </w:p>
        </w:tc>
        <w:tc>
          <w:tcPr>
            <w:tcW w:w="4347" w:type="dxa"/>
          </w:tcPr>
          <w:p w:rsidR="00642FB7" w:rsidRPr="00642FB7" w:rsidRDefault="00642FB7" w:rsidP="00642FB7">
            <w:pPr>
              <w:cnfStyle w:val="000000000000" w:firstRow="0" w:lastRow="0" w:firstColumn="0" w:lastColumn="0" w:oddVBand="0" w:evenVBand="0" w:oddHBand="0" w:evenHBand="0" w:firstRowFirstColumn="0" w:firstRowLastColumn="0" w:lastRowFirstColumn="0" w:lastRowLastColumn="0"/>
            </w:pPr>
            <w:r>
              <w:t>172.28</w:t>
            </w:r>
          </w:p>
        </w:tc>
      </w:tr>
      <w:tr w:rsidR="00642FB7" w:rsidRPr="005E5049" w:rsidTr="00C01C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642FB7" w:rsidRPr="00642FB7" w:rsidRDefault="00642FB7" w:rsidP="00642FB7">
            <w:r>
              <w:t>Field worker</w:t>
            </w:r>
          </w:p>
        </w:tc>
        <w:tc>
          <w:tcPr>
            <w:tcW w:w="4347" w:type="dxa"/>
          </w:tcPr>
          <w:p w:rsidR="00642FB7" w:rsidRPr="00642FB7" w:rsidRDefault="00642FB7" w:rsidP="00642FB7">
            <w:pPr>
              <w:cnfStyle w:val="000000010000" w:firstRow="0" w:lastRow="0" w:firstColumn="0" w:lastColumn="0" w:oddVBand="0" w:evenVBand="0" w:oddHBand="0" w:evenHBand="1" w:firstRowFirstColumn="0" w:firstRowLastColumn="0" w:lastRowFirstColumn="0" w:lastRowLastColumn="0"/>
            </w:pPr>
            <w:r>
              <w:t>160.79</w:t>
            </w:r>
          </w:p>
        </w:tc>
      </w:tr>
      <w:tr w:rsidR="00642FB7" w:rsidRPr="005E5049" w:rsidTr="00C01C10">
        <w:tc>
          <w:tcPr>
            <w:cnfStyle w:val="001000000000" w:firstRow="0" w:lastRow="0" w:firstColumn="1" w:lastColumn="0" w:oddVBand="0" w:evenVBand="0" w:oddHBand="0" w:evenHBand="0" w:firstRowFirstColumn="0" w:firstRowLastColumn="0" w:lastRowFirstColumn="0" w:lastRowLastColumn="0"/>
            <w:tcW w:w="4346" w:type="dxa"/>
          </w:tcPr>
          <w:p w:rsidR="00642FB7" w:rsidRPr="00642FB7" w:rsidRDefault="00642FB7" w:rsidP="00642FB7">
            <w:r>
              <w:t>Senior engineer</w:t>
            </w:r>
          </w:p>
        </w:tc>
        <w:tc>
          <w:tcPr>
            <w:tcW w:w="4347" w:type="dxa"/>
          </w:tcPr>
          <w:p w:rsidR="00642FB7" w:rsidRPr="00642FB7" w:rsidRDefault="00642FB7" w:rsidP="00642FB7">
            <w:pPr>
              <w:cnfStyle w:val="000000000000" w:firstRow="0" w:lastRow="0" w:firstColumn="0" w:lastColumn="0" w:oddVBand="0" w:evenVBand="0" w:oddHBand="0" w:evenHBand="0" w:firstRowFirstColumn="0" w:firstRowLastColumn="0" w:lastRowFirstColumn="0" w:lastRowLastColumn="0"/>
            </w:pPr>
            <w:r>
              <w:t>229.70</w:t>
            </w:r>
          </w:p>
        </w:tc>
      </w:tr>
    </w:tbl>
    <w:p w:rsidR="00642FB7" w:rsidRPr="005E5049" w:rsidRDefault="00642FB7" w:rsidP="00642FB7">
      <w:pPr>
        <w:pStyle w:val="AERtablesource"/>
      </w:pPr>
      <w:r w:rsidRPr="005E5049">
        <w:t>Source:</w:t>
      </w:r>
      <w:r w:rsidRPr="005E5049">
        <w:tab/>
        <w:t>AER analysis.</w:t>
      </w:r>
    </w:p>
    <w:p w:rsidR="00E87A52" w:rsidRDefault="00E87A52" w:rsidP="00E87A52">
      <w:r w:rsidRPr="00B14AEE">
        <w:t>Our final decision assessment on labour price growth is discussed in attachment 7—operating expenditure.</w:t>
      </w:r>
    </w:p>
    <w:p w:rsidR="0007340D" w:rsidRDefault="0007340D" w:rsidP="00297833">
      <w:pPr>
        <w:pStyle w:val="Heading3"/>
        <w:ind w:left="720"/>
      </w:pPr>
      <w:bookmarkStart w:id="86" w:name="_Ref430936976"/>
      <w:bookmarkStart w:id="87" w:name="_Toc433704558"/>
      <w:bookmarkStart w:id="88" w:name="_Toc451441229"/>
      <w:r>
        <w:t>Reasons for final decision</w:t>
      </w:r>
      <w:bookmarkEnd w:id="86"/>
      <w:bookmarkEnd w:id="87"/>
      <w:bookmarkEnd w:id="88"/>
    </w:p>
    <w:p w:rsidR="00E81946" w:rsidRDefault="00D96553" w:rsidP="00D96553">
      <w:r>
        <w:t>We accept Powercor's revised proposal</w:t>
      </w:r>
      <w:r w:rsidR="00E81946">
        <w:t xml:space="preserve"> where it has accepted our preliminary </w:t>
      </w:r>
      <w:r>
        <w:t>decision.</w:t>
      </w:r>
      <w:r>
        <w:rPr>
          <w:rStyle w:val="FootnoteReference"/>
        </w:rPr>
        <w:footnoteReference w:id="21"/>
      </w:r>
      <w:r>
        <w:t xml:space="preserve"> </w:t>
      </w:r>
      <w:r w:rsidR="00E81946">
        <w:t>However, w</w:t>
      </w:r>
      <w:r>
        <w:t>e do not accep</w:t>
      </w:r>
      <w:r w:rsidR="00E81946">
        <w:t>t Powercor's revised proposal</w:t>
      </w:r>
      <w:r>
        <w:t xml:space="preserve"> labour price growth</w:t>
      </w:r>
      <w:r w:rsidR="00E81946">
        <w:t xml:space="preserve"> forecast. O</w:t>
      </w:r>
      <w:r>
        <w:t xml:space="preserve">ur reasons </w:t>
      </w:r>
      <w:r w:rsidR="00E81946">
        <w:t>are discussed in attachment 7—operating expenditure.</w:t>
      </w:r>
    </w:p>
    <w:p w:rsidR="00D96553" w:rsidRDefault="00D96553" w:rsidP="00D96553">
      <w:r>
        <w:t xml:space="preserve">Our preliminary decision accepted some aspects of Powercor's initial proposal, but made the following adjustments:  </w:t>
      </w:r>
    </w:p>
    <w:p w:rsidR="00D96553" w:rsidRDefault="00D96553" w:rsidP="00D96553">
      <w:pPr>
        <w:pStyle w:val="AERbulletlistfirststyle"/>
      </w:pPr>
      <w:r>
        <w:lastRenderedPageBreak/>
        <w:t>adjusted the CP</w:t>
      </w:r>
      <w:r w:rsidR="00E81946">
        <w:t>I</w:t>
      </w:r>
      <w:r>
        <w:t xml:space="preserve"> escalation from 2014 to 2015 to include the ABS published September 2014 quarter index</w:t>
      </w:r>
      <w:r>
        <w:rPr>
          <w:rStyle w:val="FootnoteReference"/>
        </w:rPr>
        <w:footnoteReference w:id="22"/>
      </w:r>
    </w:p>
    <w:p w:rsidR="00D96553" w:rsidRDefault="00E81946" w:rsidP="00D96553">
      <w:pPr>
        <w:pStyle w:val="AERbulletlistfirststyle"/>
      </w:pPr>
      <w:r>
        <w:t xml:space="preserve">substituted in </w:t>
      </w:r>
      <w:r w:rsidR="00D96553">
        <w:t>our preliminary decision labour price growth</w:t>
      </w:r>
      <w:r>
        <w:t xml:space="preserve"> forecast</w:t>
      </w:r>
      <w:r w:rsidR="00D96553">
        <w:rPr>
          <w:rStyle w:val="FootnoteReference"/>
        </w:rPr>
        <w:footnoteReference w:id="23"/>
      </w:r>
    </w:p>
    <w:p w:rsidR="00D96553" w:rsidRDefault="00D96553" w:rsidP="00D96553">
      <w:pPr>
        <w:pStyle w:val="AERbulletlistfirststyle"/>
      </w:pPr>
      <w:r>
        <w:t>adjusted times taken to perform some services based on benchmark times taken by other distributors</w:t>
      </w:r>
      <w:r w:rsidR="00E81946">
        <w:t>.</w:t>
      </w:r>
      <w:r>
        <w:rPr>
          <w:rStyle w:val="FootnoteReference"/>
        </w:rPr>
        <w:footnoteReference w:id="24"/>
      </w:r>
    </w:p>
    <w:p w:rsidR="00D96553" w:rsidRPr="00D96553" w:rsidRDefault="00D96553" w:rsidP="00D96553">
      <w:pPr>
        <w:pStyle w:val="AERbulletlistfirststyle"/>
        <w:numPr>
          <w:ilvl w:val="0"/>
          <w:numId w:val="0"/>
        </w:numPr>
        <w:rPr>
          <w:rStyle w:val="AERbody"/>
        </w:rPr>
      </w:pPr>
      <w:r w:rsidRPr="00C92D54">
        <w:rPr>
          <w:rStyle w:val="AERbody"/>
        </w:rPr>
        <w:t xml:space="preserve">Our preliminary decision considered these changes were necessary to determine an efficient level of prices for </w:t>
      </w:r>
      <w:r>
        <w:rPr>
          <w:rStyle w:val="AERbody"/>
        </w:rPr>
        <w:t>Powercor's</w:t>
      </w:r>
      <w:r w:rsidRPr="00D96553">
        <w:rPr>
          <w:rStyle w:val="AERbody"/>
        </w:rPr>
        <w:t xml:space="preserve"> ancillary network services.</w:t>
      </w:r>
    </w:p>
    <w:p w:rsidR="00D96553" w:rsidRDefault="00D96553" w:rsidP="00D96553">
      <w:r>
        <w:t>Powercor reflected our preliminary decision changes in its 2016 pricing proposal,</w:t>
      </w:r>
      <w:r>
        <w:rPr>
          <w:rStyle w:val="FootnoteReference"/>
        </w:rPr>
        <w:footnoteReference w:id="25"/>
      </w:r>
      <w:r>
        <w:t xml:space="preserve"> which we approved in December 2015. </w:t>
      </w:r>
      <w:r w:rsidR="00E81946">
        <w:t>Powercor accepted the approved 2016 prices in its revised proposal.</w:t>
      </w:r>
      <w:r w:rsidR="00E81946">
        <w:rPr>
          <w:rStyle w:val="FootnoteReference"/>
        </w:rPr>
        <w:footnoteReference w:id="26"/>
      </w:r>
      <w:r w:rsidR="00E81946">
        <w:t xml:space="preserve"> </w:t>
      </w:r>
      <w:r>
        <w:t xml:space="preserve">These approved 2016 prices are set out in </w:t>
      </w:r>
      <w:r w:rsidR="00E81946">
        <w:fldChar w:fldCharType="begin"/>
      </w:r>
      <w:r w:rsidR="00E81946">
        <w:instrText xml:space="preserve"> REF  _Ref442295784 \* Lower \h </w:instrText>
      </w:r>
      <w:r w:rsidR="00E81946">
        <w:fldChar w:fldCharType="separate"/>
      </w:r>
      <w:r w:rsidR="00E21125">
        <w:t xml:space="preserve">table </w:t>
      </w:r>
      <w:r w:rsidR="00E21125">
        <w:rPr>
          <w:noProof/>
        </w:rPr>
        <w:t>16</w:t>
      </w:r>
      <w:r w:rsidR="00E21125">
        <w:t>.</w:t>
      </w:r>
      <w:r w:rsidR="00E21125">
        <w:rPr>
          <w:noProof/>
        </w:rPr>
        <w:t>13</w:t>
      </w:r>
      <w:r w:rsidR="00E81946">
        <w:fldChar w:fldCharType="end"/>
      </w:r>
      <w:r>
        <w:t xml:space="preserve"> and </w:t>
      </w:r>
      <w:r w:rsidR="00E81946">
        <w:fldChar w:fldCharType="begin"/>
      </w:r>
      <w:r w:rsidR="00E81946">
        <w:instrText xml:space="preserve"> REF  _Ref442295855 \* Lower \h </w:instrText>
      </w:r>
      <w:r w:rsidR="00E81946">
        <w:fldChar w:fldCharType="separate"/>
      </w:r>
      <w:r w:rsidR="00E21125">
        <w:t xml:space="preserve">table </w:t>
      </w:r>
      <w:r w:rsidR="00E21125">
        <w:rPr>
          <w:noProof/>
        </w:rPr>
        <w:t>16</w:t>
      </w:r>
      <w:r w:rsidR="00E21125">
        <w:t>.</w:t>
      </w:r>
      <w:r w:rsidR="00E21125">
        <w:rPr>
          <w:noProof/>
        </w:rPr>
        <w:t>14</w:t>
      </w:r>
      <w:r w:rsidR="00E81946">
        <w:fldChar w:fldCharType="end"/>
      </w:r>
      <w:r w:rsidR="00213754">
        <w:t xml:space="preserve"> </w:t>
      </w:r>
      <w:r>
        <w:t>in appendix</w:t>
      </w:r>
      <w:r w:rsidR="00F1062B">
        <w:t xml:space="preserve"> </w:t>
      </w:r>
      <w:r w:rsidR="00F1062B">
        <w:fldChar w:fldCharType="begin"/>
      </w:r>
      <w:r w:rsidR="00F1062B">
        <w:instrText xml:space="preserve"> REF _Ref441662476 \r \h </w:instrText>
      </w:r>
      <w:r w:rsidR="00F1062B">
        <w:fldChar w:fldCharType="separate"/>
      </w:r>
      <w:r w:rsidR="00E21125">
        <w:t>A.1</w:t>
      </w:r>
      <w:r w:rsidR="00F1062B">
        <w:fldChar w:fldCharType="end"/>
      </w:r>
      <w:r>
        <w:t>.</w:t>
      </w:r>
    </w:p>
    <w:p w:rsidR="00B104A7" w:rsidRPr="00B104A7" w:rsidRDefault="00B104A7" w:rsidP="00B104A7">
      <w:pPr>
        <w:pStyle w:val="Heading2"/>
      </w:pPr>
      <w:bookmarkStart w:id="89" w:name="_Toc451441230"/>
      <w:r w:rsidRPr="00B104A7">
        <w:t>Public Lighting</w:t>
      </w:r>
      <w:bookmarkEnd w:id="89"/>
    </w:p>
    <w:p w:rsidR="00053407" w:rsidRPr="00B104A7" w:rsidRDefault="00053407" w:rsidP="00297833">
      <w:pPr>
        <w:pStyle w:val="Heading3"/>
        <w:ind w:left="720"/>
      </w:pPr>
      <w:bookmarkStart w:id="90" w:name="_Toc451441231"/>
      <w:r w:rsidRPr="00B104A7">
        <w:t>Final decision</w:t>
      </w:r>
      <w:bookmarkEnd w:id="90"/>
    </w:p>
    <w:p w:rsidR="00B104A7" w:rsidRPr="00B104A7" w:rsidRDefault="00B104A7" w:rsidP="00B104A7">
      <w:r w:rsidRPr="00B104A7">
        <w:t>We do not approve the proposed public lighting charges because we have determined;</w:t>
      </w:r>
    </w:p>
    <w:p w:rsidR="00B104A7" w:rsidRPr="00B104A7" w:rsidRDefault="00B104A7" w:rsidP="007366CA">
      <w:pPr>
        <w:pStyle w:val="AERbulletlistfirststyle"/>
      </w:pPr>
      <w:r w:rsidRPr="00B104A7">
        <w:t xml:space="preserve">a real pre-tax WACC of </w:t>
      </w:r>
      <w:r w:rsidR="007B23B5">
        <w:t>4</w:t>
      </w:r>
      <w:r w:rsidRPr="00B104A7">
        <w:t>.</w:t>
      </w:r>
      <w:r w:rsidR="00CF786F">
        <w:t>3</w:t>
      </w:r>
      <w:r w:rsidR="00464FED">
        <w:t>5</w:t>
      </w:r>
      <w:r w:rsidRPr="00B104A7">
        <w:t xml:space="preserve"> per cent instead of the proposed </w:t>
      </w:r>
      <w:r w:rsidR="008D6B4A">
        <w:t>4</w:t>
      </w:r>
      <w:r w:rsidRPr="00B104A7">
        <w:t>.</w:t>
      </w:r>
      <w:r w:rsidR="008D6B4A">
        <w:t>27</w:t>
      </w:r>
      <w:r w:rsidRPr="00B104A7">
        <w:t xml:space="preserve"> per cent</w:t>
      </w:r>
    </w:p>
    <w:p w:rsidR="00053407" w:rsidRPr="00AF26BA" w:rsidRDefault="00053407" w:rsidP="007366CA">
      <w:pPr>
        <w:pStyle w:val="AERbulletlistfirststyle"/>
      </w:pPr>
      <w:r w:rsidRPr="00AF26BA">
        <w:t xml:space="preserve">labour escalation of </w:t>
      </w:r>
      <w:r>
        <w:t>0</w:t>
      </w:r>
      <w:r w:rsidRPr="00AF26BA">
        <w:t>.</w:t>
      </w:r>
      <w:r w:rsidR="00F302D5">
        <w:t>37</w:t>
      </w:r>
      <w:r w:rsidRPr="00AF26BA">
        <w:t xml:space="preserve"> per cent instead of the proposed 1.</w:t>
      </w:r>
      <w:r w:rsidR="008D6B4A">
        <w:t>76</w:t>
      </w:r>
      <w:r w:rsidRPr="00AF26BA">
        <w:t xml:space="preserve"> per cent in 201</w:t>
      </w:r>
      <w:r w:rsidR="0075393C">
        <w:t>7</w:t>
      </w:r>
      <w:r w:rsidR="00B1103A">
        <w:t>.</w:t>
      </w:r>
    </w:p>
    <w:p w:rsidR="00B104A7" w:rsidRPr="00B104A7" w:rsidRDefault="00B104A7" w:rsidP="00B104A7">
      <w:r w:rsidRPr="00B104A7">
        <w:t>In all other respects we have approved the proposal.</w:t>
      </w:r>
    </w:p>
    <w:p w:rsidR="00492264" w:rsidRDefault="00492264" w:rsidP="00492264">
      <w:pPr>
        <w:pStyle w:val="HeadingBoldBlue"/>
      </w:pPr>
      <w:r>
        <w:t>Form of control</w:t>
      </w:r>
    </w:p>
    <w:p w:rsidR="00492264" w:rsidRPr="0046364A" w:rsidRDefault="00492264" w:rsidP="00492264">
      <w:pPr>
        <w:rPr>
          <w:rStyle w:val="AERbody"/>
        </w:rPr>
      </w:pPr>
      <w:r w:rsidRPr="0046364A">
        <w:rPr>
          <w:rStyle w:val="AERbody"/>
        </w:rPr>
        <w:t xml:space="preserve">We are applying caps on the </w:t>
      </w:r>
      <w:r w:rsidR="00F13965">
        <w:rPr>
          <w:rStyle w:val="AERbody"/>
        </w:rPr>
        <w:t>charges</w:t>
      </w:r>
      <w:r w:rsidRPr="0046364A">
        <w:rPr>
          <w:rStyle w:val="AERbody"/>
        </w:rPr>
        <w:t xml:space="preserve"> of individual services consistent with the current regulatory arrangements in Victoria. </w:t>
      </w:r>
    </w:p>
    <w:p w:rsidR="00492264" w:rsidRPr="00492264" w:rsidRDefault="00492264" w:rsidP="00492264">
      <w:r w:rsidRPr="00492264">
        <w:t>Although the public lighting service is subject to an alternative control classification the control mechanism is implemented through a public lighting model under a building block approach.</w:t>
      </w:r>
    </w:p>
    <w:p w:rsidR="00B104A7" w:rsidRPr="00B104A7" w:rsidRDefault="00492264" w:rsidP="00B104A7">
      <w:r w:rsidRPr="00492264">
        <w:t>Compliance with the control mechanism is to be demonstrated by the Victorian distributors through the annual pricing proposal, by updating the forecast CPI for the actual CPI each year.</w:t>
      </w:r>
    </w:p>
    <w:p w:rsidR="00151102" w:rsidRPr="00B104A7" w:rsidRDefault="00B104A7" w:rsidP="00297833">
      <w:pPr>
        <w:pStyle w:val="Heading3"/>
        <w:ind w:left="720"/>
      </w:pPr>
      <w:bookmarkStart w:id="91" w:name="_Toc451441232"/>
      <w:r>
        <w:lastRenderedPageBreak/>
        <w:t>Powercor</w:t>
      </w:r>
      <w:r w:rsidR="00151102" w:rsidRPr="00B104A7">
        <w:t>'s revised proposal</w:t>
      </w:r>
      <w:bookmarkEnd w:id="91"/>
    </w:p>
    <w:p w:rsidR="00492264" w:rsidRPr="00B104A7" w:rsidRDefault="00492264" w:rsidP="00B104A7">
      <w:r>
        <w:t>Powercor did not accept the AER's preliminary decision WACC or labour escalators</w:t>
      </w:r>
      <w:r w:rsidR="007366CA">
        <w:t xml:space="preserve"> but has</w:t>
      </w:r>
      <w:r>
        <w:t xml:space="preserve"> accepted all other aspects of the AER's preliminary decision.</w:t>
      </w:r>
      <w:r w:rsidR="008D6B4A">
        <w:rPr>
          <w:rStyle w:val="FootnoteReference"/>
        </w:rPr>
        <w:footnoteReference w:id="27"/>
      </w:r>
      <w:r>
        <w:t xml:space="preserve"> </w:t>
      </w:r>
    </w:p>
    <w:p w:rsidR="00151102" w:rsidRPr="00B104A7" w:rsidRDefault="00151102" w:rsidP="00297833">
      <w:pPr>
        <w:pStyle w:val="Heading3"/>
        <w:ind w:left="720"/>
      </w:pPr>
      <w:bookmarkStart w:id="92" w:name="_Toc451441233"/>
      <w:r w:rsidRPr="00B104A7">
        <w:t>Assessment approach</w:t>
      </w:r>
      <w:bookmarkEnd w:id="92"/>
    </w:p>
    <w:p w:rsidR="00B104A7" w:rsidRPr="00B104A7" w:rsidRDefault="00B104A7" w:rsidP="00B104A7">
      <w:r w:rsidRPr="00B104A7">
        <w:t xml:space="preserve">Our final decision assessment approach is the same as our preliminary decision. We have also considered </w:t>
      </w:r>
      <w:r w:rsidR="00151102">
        <w:t>Powercor's</w:t>
      </w:r>
      <w:r w:rsidRPr="00B104A7">
        <w:t xml:space="preserve"> revised regulatory proposal</w:t>
      </w:r>
      <w:r w:rsidR="00B1103A">
        <w:t>.</w:t>
      </w:r>
    </w:p>
    <w:p w:rsidR="007B6C2A" w:rsidRPr="007B6C2A" w:rsidRDefault="00B104A7" w:rsidP="007B6C2A">
      <w:r w:rsidRPr="00B104A7">
        <w:t xml:space="preserve">Our preliminary decision undertook a detailed assessment of </w:t>
      </w:r>
      <w:r w:rsidR="00151102">
        <w:t>Powercor's</w:t>
      </w:r>
      <w:r w:rsidRPr="00B104A7">
        <w:t xml:space="preserve"> initial proposal by focussing on the key inputs in determining prices for public lighting. </w:t>
      </w:r>
      <w:r w:rsidR="007B6C2A" w:rsidRPr="007B6C2A">
        <w:t>It benchmarked inputs and costs of Victorian distributors against their peers. We did this based on the inputs decided in the 2011</w:t>
      </w:r>
      <w:r w:rsidR="00E21125">
        <w:t>–</w:t>
      </w:r>
      <w:r w:rsidR="007B6C2A" w:rsidRPr="007B6C2A">
        <w:t>15 determination and included in the modelling. In this way we achieved consistency with the approach we adopted for the 2011 determination and by the State regulator before that.</w:t>
      </w:r>
      <w:r w:rsidR="007B6C2A">
        <w:rPr>
          <w:rStyle w:val="FootnoteReference"/>
        </w:rPr>
        <w:footnoteReference w:id="28"/>
      </w:r>
    </w:p>
    <w:p w:rsidR="00B104A7" w:rsidRPr="00B104A7" w:rsidRDefault="007B6C2A" w:rsidP="007B6C2A">
      <w:r w:rsidRPr="007B6C2A">
        <w:t xml:space="preserve">This approach achieves consistency in assumptions and costs across distributors; nonetheless public lighting </w:t>
      </w:r>
      <w:r w:rsidR="00F13965">
        <w:t>charges</w:t>
      </w:r>
      <w:r w:rsidRPr="007B6C2A">
        <w:t xml:space="preserve"> will always vary somewhat amongst the five Victorian distributors because of each distributor’s particular circumstances (size of asset base, geographic patch to cover, mix of luminaire types, among others). We have previously explained this in prior public lighting determinations.</w:t>
      </w:r>
      <w:r>
        <w:rPr>
          <w:rStyle w:val="FootnoteReference"/>
        </w:rPr>
        <w:footnoteReference w:id="29"/>
      </w:r>
    </w:p>
    <w:p w:rsidR="00151102" w:rsidRPr="00B104A7" w:rsidRDefault="00151102" w:rsidP="00297833">
      <w:pPr>
        <w:pStyle w:val="Heading3"/>
        <w:ind w:left="720"/>
      </w:pPr>
      <w:bookmarkStart w:id="93" w:name="_Toc451441234"/>
      <w:r w:rsidRPr="00B104A7">
        <w:t>Reasons for final decision</w:t>
      </w:r>
      <w:bookmarkEnd w:id="93"/>
    </w:p>
    <w:p w:rsidR="00B104A7" w:rsidRDefault="00B104A7" w:rsidP="00B104A7">
      <w:r w:rsidRPr="00B104A7">
        <w:t>We have adopted the same estimate of WACC as for standard control services. The reasons for the real pre-tax WACC are discussed in attachment 3 — Rate of return.</w:t>
      </w:r>
    </w:p>
    <w:p w:rsidR="00CD1E6D" w:rsidRDefault="00CD1E6D" w:rsidP="00CD1E6D">
      <w:r>
        <w:t>Our final</w:t>
      </w:r>
      <w:r w:rsidRPr="008B6E82">
        <w:t xml:space="preserve"> decision </w:t>
      </w:r>
      <w:r w:rsidRPr="007A07CE">
        <w:t>approv</w:t>
      </w:r>
      <w:r>
        <w:t>ed</w:t>
      </w:r>
      <w:r w:rsidRPr="007A07CE">
        <w:t xml:space="preserve"> labour escalation </w:t>
      </w:r>
      <w:r>
        <w:t>is</w:t>
      </w:r>
      <w:r w:rsidRPr="008B6E82">
        <w:t xml:space="preserve"> set out </w:t>
      </w:r>
      <w:r>
        <w:t xml:space="preserve">in attachment 7 — operating expenditure. The approved labour escalators are consistent with standard control services. </w:t>
      </w:r>
    </w:p>
    <w:p w:rsidR="0075393C" w:rsidRDefault="00F941E5" w:rsidP="00CD1E6D">
      <w:r>
        <w:t xml:space="preserve">We accept the materials prices proposed. </w:t>
      </w:r>
      <w:r w:rsidR="0064347A">
        <w:t xml:space="preserve">The Greenhouse Alliance submission </w:t>
      </w:r>
      <w:r>
        <w:t>argue</w:t>
      </w:r>
      <w:r w:rsidR="0064347A">
        <w:t>d</w:t>
      </w:r>
      <w:r>
        <w:t xml:space="preserve"> that the proposed materials prices are</w:t>
      </w:r>
      <w:r w:rsidR="001804C3">
        <w:t xml:space="preserve"> in some instances</w:t>
      </w:r>
      <w:r>
        <w:t xml:space="preserve"> excessive.</w:t>
      </w:r>
      <w:r>
        <w:rPr>
          <w:rStyle w:val="FootnoteReference"/>
        </w:rPr>
        <w:footnoteReference w:id="30"/>
      </w:r>
      <w:r>
        <w:t xml:space="preserve"> We however consider that the proposed prices are within the efficient range of prices that are available from suppliers in the market </w:t>
      </w:r>
      <w:r w:rsidR="0064347A">
        <w:t xml:space="preserve">place </w:t>
      </w:r>
      <w:r>
        <w:t>and that</w:t>
      </w:r>
      <w:r w:rsidR="0075393C">
        <w:t xml:space="preserve"> </w:t>
      </w:r>
      <w:r>
        <w:t>the least</w:t>
      </w:r>
      <w:r w:rsidR="007366CA">
        <w:t xml:space="preserve"> cost</w:t>
      </w:r>
      <w:r>
        <w:t xml:space="preserve"> product will not necessarily be the most efficient option</w:t>
      </w:r>
      <w:r w:rsidR="0064347A">
        <w:t xml:space="preserve"> for distributors</w:t>
      </w:r>
      <w:r>
        <w:t xml:space="preserve">. </w:t>
      </w:r>
    </w:p>
    <w:p w:rsidR="006A0ACB" w:rsidRPr="006A0ACB" w:rsidRDefault="006A0ACB" w:rsidP="006A0ACB">
      <w:r w:rsidRPr="006A0ACB">
        <w:t xml:space="preserve">The prices provided in Greenhouse Alliance submission were not at all dissimilar to those that have been provided by distributors, and we understand the Greenhouse Alliance recommends distributors select the cheapest face value material prices available. The least cost purchase price is not necessarily the most effective or efficient </w:t>
      </w:r>
      <w:r w:rsidRPr="006A0ACB">
        <w:lastRenderedPageBreak/>
        <w:t xml:space="preserve">for distributors, as distributors need to take into account the reliability of the supplier, the quality of the products that they supply and the total costs for distributors over the life of the materials. </w:t>
      </w:r>
    </w:p>
    <w:p w:rsidR="006A0ACB" w:rsidRPr="006A0ACB" w:rsidRDefault="006A0ACB" w:rsidP="006A0ACB">
      <w:r w:rsidRPr="006A0ACB">
        <w:t xml:space="preserve">Distributors may also want to source materials from more than one supplier, in order to ensure competitive tension in the market for public lighting inputs. To source from only one supplier runs the risk of supplier monopoly pricing and service quality issues. </w:t>
      </w:r>
    </w:p>
    <w:p w:rsidR="006A0ACB" w:rsidRPr="006A0ACB" w:rsidRDefault="006A0ACB" w:rsidP="006A0ACB">
      <w:r w:rsidRPr="006A0ACB">
        <w:t>For these reasons, we have decided not to simply go with the cheapest costs for public lighting inputs. We think the range of input costs set out by the distributors in their models—consistent with past practice—still provides the best estimate of materials costs over the 2016–20 regulatory control period. We accept that Power</w:t>
      </w:r>
      <w:r>
        <w:t>cor</w:t>
      </w:r>
      <w:r w:rsidRPr="006A0ACB">
        <w:t xml:space="preserve"> must and rightly has taken into account a range of factors in selecting efficient materials supplier's products such as the life time cost, reliability and quality of the material supplied. This is consistent with how Power</w:t>
      </w:r>
      <w:r>
        <w:t>cor</w:t>
      </w:r>
      <w:r w:rsidRPr="006A0ACB">
        <w:t xml:space="preserve"> has sought to procure public lighting cost inputs, and recovered them through the public lighting charges model.</w:t>
      </w:r>
    </w:p>
    <w:p w:rsidR="00B104A7" w:rsidRPr="00B104A7" w:rsidRDefault="00B104A7" w:rsidP="00B104A7">
      <w:r w:rsidRPr="00B104A7">
        <w:t xml:space="preserve">Final decision </w:t>
      </w:r>
      <w:r w:rsidR="00F13965">
        <w:t>charges</w:t>
      </w:r>
      <w:r w:rsidRPr="00B104A7">
        <w:t xml:space="preserve"> for each light type are set out in </w:t>
      </w:r>
      <w:r w:rsidR="00BB1F6D">
        <w:fldChar w:fldCharType="begin"/>
      </w:r>
      <w:r w:rsidR="00BB1F6D">
        <w:instrText xml:space="preserve"> REF _Ref446409772 \h </w:instrText>
      </w:r>
      <w:r w:rsidR="00BB1F6D">
        <w:fldChar w:fldCharType="separate"/>
      </w:r>
      <w:r w:rsidR="00B1103A" w:rsidRPr="00BB1F6D">
        <w:t xml:space="preserve">Table </w:t>
      </w:r>
      <w:r w:rsidR="00B1103A">
        <w:rPr>
          <w:noProof/>
        </w:rPr>
        <w:t>16</w:t>
      </w:r>
      <w:r w:rsidR="00B1103A">
        <w:t>.</w:t>
      </w:r>
      <w:r w:rsidR="00B1103A">
        <w:rPr>
          <w:noProof/>
        </w:rPr>
        <w:t>3</w:t>
      </w:r>
      <w:r w:rsidR="00BB1F6D">
        <w:fldChar w:fldCharType="end"/>
      </w:r>
      <w:r w:rsidRPr="00B104A7">
        <w:t>.</w:t>
      </w:r>
    </w:p>
    <w:p w:rsidR="001F5C1A" w:rsidRPr="007366CA" w:rsidRDefault="001F5C1A" w:rsidP="001F5C1A">
      <w:pPr>
        <w:pStyle w:val="HeadingItalic"/>
        <w:rPr>
          <w:rStyle w:val="AERtextorange"/>
        </w:rPr>
      </w:pPr>
      <w:r w:rsidRPr="007366CA">
        <w:rPr>
          <w:rStyle w:val="AERtextorange"/>
        </w:rPr>
        <w:t>Victorian Public Lighting Framework</w:t>
      </w:r>
    </w:p>
    <w:p w:rsidR="001F5C1A" w:rsidRDefault="001F5C1A" w:rsidP="001F5C1A">
      <w:r>
        <w:t>The framework for public lighting in Victoria is set out in the Victorian Public Lighting Code 2005 (the Code).</w:t>
      </w:r>
    </w:p>
    <w:p w:rsidR="001F5C1A" w:rsidRDefault="001F5C1A" w:rsidP="001F5C1A">
      <w:r>
        <w:t>Distributors</w:t>
      </w:r>
      <w:r w:rsidR="0081348E">
        <w:t>’</w:t>
      </w:r>
      <w:r>
        <w:t xml:space="preserve"> licences’ stipulate that the terms and conditions for providing public lighting services must be consistent with the Code. Importantly, the Code only extends to the provision by distributors of the ongoing operation, maintenance and replacement of public lighting assets that they own (clause 1.3).</w:t>
      </w:r>
    </w:p>
    <w:p w:rsidR="001F5C1A" w:rsidRDefault="001F5C1A" w:rsidP="001F5C1A">
      <w:r>
        <w:t>The explanatory note in clause 3 of the Code states that the distributor and the public lighting customer may agree that after the construction and commissioning of the assets, ownership of the assets will transfer to the distributor. Where such an agreement is made, the assets become subject to the applicable provisions of the Code. If no agreement is reached, asset ownership remains with the public lighting customer and are not subject to regulation under the Code.</w:t>
      </w:r>
    </w:p>
    <w:p w:rsidR="001F5C1A" w:rsidRDefault="001F5C1A" w:rsidP="001F5C1A">
      <w:r>
        <w:t>Our decision on public lighting charges is made in accordance with the Code and as such, we are only determining the charges to be levied by distributors for assets that they own.</w:t>
      </w:r>
    </w:p>
    <w:p w:rsidR="001F5C1A" w:rsidRPr="007366CA" w:rsidRDefault="001F5C1A" w:rsidP="001F5C1A">
      <w:pPr>
        <w:pStyle w:val="HeadingBoldItalic"/>
        <w:rPr>
          <w:rStyle w:val="AERtextorange"/>
        </w:rPr>
      </w:pPr>
      <w:r w:rsidRPr="007366CA">
        <w:rPr>
          <w:rStyle w:val="AERtextorange"/>
        </w:rPr>
        <w:t>Service Standards</w:t>
      </w:r>
    </w:p>
    <w:p w:rsidR="001F5C1A" w:rsidRPr="001F5C1A" w:rsidRDefault="001F5C1A" w:rsidP="001F5C1A">
      <w:r>
        <w:t xml:space="preserve">The Code sets out minimum levels of service from distribution businesses and protections for Councils for </w:t>
      </w:r>
      <w:r w:rsidRPr="001F5C1A">
        <w:t>public lighting in Victoria.</w:t>
      </w:r>
    </w:p>
    <w:p w:rsidR="001F5C1A" w:rsidRPr="00731319" w:rsidRDefault="001F5C1A" w:rsidP="001F5C1A">
      <w:pPr>
        <w:rPr>
          <w:rStyle w:val="AERbody"/>
        </w:rPr>
      </w:pPr>
      <w:r w:rsidRPr="00731319">
        <w:rPr>
          <w:rStyle w:val="AERbody"/>
        </w:rPr>
        <w:t xml:space="preserve">In relation to service standards we consider that there is a trade-off between the </w:t>
      </w:r>
      <w:r w:rsidR="00F13965">
        <w:rPr>
          <w:rStyle w:val="AERbody"/>
        </w:rPr>
        <w:t>charges</w:t>
      </w:r>
      <w:r w:rsidRPr="00731319">
        <w:rPr>
          <w:rStyle w:val="AERbody"/>
        </w:rPr>
        <w:t xml:space="preserve"> paid by </w:t>
      </w:r>
      <w:r>
        <w:rPr>
          <w:rStyle w:val="AERbody"/>
        </w:rPr>
        <w:t>C</w:t>
      </w:r>
      <w:r w:rsidRPr="00731319">
        <w:rPr>
          <w:rStyle w:val="AERbody"/>
        </w:rPr>
        <w:t xml:space="preserve">ouncils and the service provided by distribution businesses. </w:t>
      </w:r>
    </w:p>
    <w:p w:rsidR="0007340D" w:rsidRDefault="001F5C1A" w:rsidP="00132D43">
      <w:pPr>
        <w:rPr>
          <w:rStyle w:val="AERbody"/>
        </w:rPr>
      </w:pPr>
      <w:r w:rsidRPr="00731319">
        <w:rPr>
          <w:rStyle w:val="AERbody"/>
        </w:rPr>
        <w:t xml:space="preserve">We see our role as setting a minimum level of protection. </w:t>
      </w:r>
      <w:r>
        <w:rPr>
          <w:rStyle w:val="AERbody"/>
        </w:rPr>
        <w:t>C</w:t>
      </w:r>
      <w:r w:rsidRPr="00731319">
        <w:rPr>
          <w:rStyle w:val="AERbody"/>
        </w:rPr>
        <w:t xml:space="preserve">ouncils </w:t>
      </w:r>
      <w:r>
        <w:rPr>
          <w:rStyle w:val="AERbody"/>
        </w:rPr>
        <w:t>can seek to n</w:t>
      </w:r>
      <w:r w:rsidRPr="00731319">
        <w:rPr>
          <w:rStyle w:val="AERbody"/>
        </w:rPr>
        <w:t>egotiat</w:t>
      </w:r>
      <w:r>
        <w:rPr>
          <w:rStyle w:val="AERbody"/>
        </w:rPr>
        <w:t>e</w:t>
      </w:r>
      <w:r w:rsidRPr="00731319">
        <w:rPr>
          <w:rStyle w:val="AERbody"/>
        </w:rPr>
        <w:t xml:space="preserve"> </w:t>
      </w:r>
      <w:r>
        <w:rPr>
          <w:rStyle w:val="AERbody"/>
        </w:rPr>
        <w:t xml:space="preserve">with </w:t>
      </w:r>
      <w:r w:rsidRPr="00731319">
        <w:rPr>
          <w:rStyle w:val="AERbody"/>
        </w:rPr>
        <w:t xml:space="preserve">distributors </w:t>
      </w:r>
      <w:r>
        <w:rPr>
          <w:rStyle w:val="AERbody"/>
        </w:rPr>
        <w:t>to</w:t>
      </w:r>
      <w:r w:rsidRPr="00731319">
        <w:rPr>
          <w:rStyle w:val="AERbody"/>
        </w:rPr>
        <w:t xml:space="preserve"> secure lower </w:t>
      </w:r>
      <w:r w:rsidR="00F13965">
        <w:rPr>
          <w:rStyle w:val="AERbody"/>
        </w:rPr>
        <w:t>charges</w:t>
      </w:r>
      <w:r w:rsidRPr="00731319">
        <w:rPr>
          <w:rStyle w:val="AERbody"/>
        </w:rPr>
        <w:t xml:space="preserve"> than those set by our determination </w:t>
      </w:r>
      <w:r w:rsidRPr="00731319">
        <w:rPr>
          <w:rStyle w:val="AERbody"/>
        </w:rPr>
        <w:lastRenderedPageBreak/>
        <w:t>but the Code mandates minimum service</w:t>
      </w:r>
      <w:r>
        <w:rPr>
          <w:rStyle w:val="AERbody"/>
        </w:rPr>
        <w:t xml:space="preserve"> standards</w:t>
      </w:r>
      <w:r w:rsidRPr="00731319">
        <w:rPr>
          <w:rStyle w:val="AERbody"/>
        </w:rPr>
        <w:t>. Regulated charges are</w:t>
      </w:r>
      <w:r>
        <w:rPr>
          <w:rStyle w:val="AERbody"/>
        </w:rPr>
        <w:t xml:space="preserve"> set</w:t>
      </w:r>
      <w:r w:rsidRPr="00731319">
        <w:rPr>
          <w:rStyle w:val="AERbody"/>
        </w:rPr>
        <w:t xml:space="preserve"> for these minimums. Council</w:t>
      </w:r>
      <w:r>
        <w:rPr>
          <w:rStyle w:val="AERbody"/>
        </w:rPr>
        <w:t>s</w:t>
      </w:r>
      <w:r w:rsidRPr="00731319">
        <w:rPr>
          <w:rStyle w:val="AERbody"/>
        </w:rPr>
        <w:t xml:space="preserve"> can </w:t>
      </w:r>
      <w:r>
        <w:rPr>
          <w:rStyle w:val="AERbody"/>
        </w:rPr>
        <w:t>negotiate for</w:t>
      </w:r>
      <w:r w:rsidRPr="00731319">
        <w:rPr>
          <w:rStyle w:val="AERbody"/>
        </w:rPr>
        <w:t xml:space="preserve"> superior service but </w:t>
      </w:r>
      <w:r>
        <w:rPr>
          <w:rStyle w:val="AERbody"/>
        </w:rPr>
        <w:t xml:space="preserve">the </w:t>
      </w:r>
      <w:r w:rsidRPr="00731319">
        <w:rPr>
          <w:rStyle w:val="AERbody"/>
        </w:rPr>
        <w:t>trade</w:t>
      </w:r>
      <w:r>
        <w:rPr>
          <w:rStyle w:val="AERbody"/>
        </w:rPr>
        <w:t>-</w:t>
      </w:r>
      <w:r w:rsidRPr="00731319">
        <w:rPr>
          <w:rStyle w:val="AERbody"/>
        </w:rPr>
        <w:t>off is</w:t>
      </w:r>
      <w:r>
        <w:rPr>
          <w:rStyle w:val="AERbody"/>
        </w:rPr>
        <w:t xml:space="preserve"> likely to be</w:t>
      </w:r>
      <w:r w:rsidRPr="00731319">
        <w:rPr>
          <w:rStyle w:val="AERbody"/>
        </w:rPr>
        <w:t xml:space="preserve"> higher charges</w:t>
      </w:r>
      <w:r w:rsidRPr="00731319">
        <w:t xml:space="preserve"> </w:t>
      </w:r>
      <w:r>
        <w:t>for a customised service</w:t>
      </w:r>
      <w:r w:rsidRPr="00731319">
        <w:rPr>
          <w:rStyle w:val="AERbody"/>
        </w:rPr>
        <w:t>.</w:t>
      </w:r>
    </w:p>
    <w:p w:rsidR="0081348E" w:rsidRDefault="0081348E" w:rsidP="0081348E">
      <w:pPr>
        <w:pStyle w:val="Caption"/>
        <w:rPr>
          <w:rStyle w:val="AERbody"/>
        </w:rPr>
      </w:pPr>
      <w:r w:rsidRPr="00BB1F6D">
        <w:t xml:space="preserve">Table </w:t>
      </w:r>
      <w:r w:rsidR="00D74854">
        <w:fldChar w:fldCharType="begin"/>
      </w:r>
      <w:r w:rsidR="00D74854">
        <w:instrText xml:space="preserve"> STYLEREF 1 \s </w:instrText>
      </w:r>
      <w:r w:rsidR="00D74854">
        <w:fldChar w:fldCharType="separate"/>
      </w:r>
      <w:r>
        <w:rPr>
          <w:noProof/>
        </w:rPr>
        <w:t>16</w:t>
      </w:r>
      <w:r w:rsidR="00D74854">
        <w:rPr>
          <w:noProof/>
        </w:rPr>
        <w:fldChar w:fldCharType="end"/>
      </w:r>
      <w:r>
        <w:t>.</w:t>
      </w:r>
      <w:r w:rsidR="008572AB">
        <w:fldChar w:fldCharType="begin"/>
      </w:r>
      <w:r w:rsidR="008572AB">
        <w:instrText xml:space="preserve"> SEQ Table \* ARABIC \s 1 </w:instrText>
      </w:r>
      <w:r w:rsidR="008572AB">
        <w:fldChar w:fldCharType="separate"/>
      </w:r>
      <w:r>
        <w:rPr>
          <w:noProof/>
        </w:rPr>
        <w:t>3</w:t>
      </w:r>
      <w:r w:rsidR="008572AB">
        <w:rPr>
          <w:noProof/>
        </w:rPr>
        <w:fldChar w:fldCharType="end"/>
      </w:r>
      <w:r w:rsidRPr="00BB1F6D">
        <w:t xml:space="preserve"> Public Lighting Charges ($ nominal)</w:t>
      </w:r>
    </w:p>
    <w:tbl>
      <w:tblPr>
        <w:tblStyle w:val="AERtable-text1"/>
        <w:tblW w:w="5000" w:type="pct"/>
        <w:tblInd w:w="0" w:type="dxa"/>
        <w:tblLook w:val="0080" w:firstRow="0" w:lastRow="0" w:firstColumn="1" w:lastColumn="0" w:noHBand="0" w:noVBand="0"/>
      </w:tblPr>
      <w:tblGrid>
        <w:gridCol w:w="3061"/>
        <w:gridCol w:w="1126"/>
        <w:gridCol w:w="1127"/>
        <w:gridCol w:w="1127"/>
        <w:gridCol w:w="1127"/>
        <w:gridCol w:w="1125"/>
      </w:tblGrid>
      <w:tr w:rsidR="00464FED" w:rsidRPr="000309D6" w:rsidTr="00297833">
        <w:tc>
          <w:tcPr>
            <w:tcW w:w="1761" w:type="pct"/>
            <w:tcBorders>
              <w:bottom w:val="nil"/>
            </w:tcBorders>
            <w:shd w:val="clear" w:color="auto" w:fill="054E6D" w:themeFill="text1" w:themeFillShade="BF"/>
          </w:tcPr>
          <w:p w:rsidR="00BB1F6D" w:rsidRPr="00297833" w:rsidRDefault="00BB1F6D" w:rsidP="00464FED">
            <w:pPr>
              <w:rPr>
                <w:color w:val="FFFFFF"/>
              </w:rPr>
            </w:pPr>
          </w:p>
        </w:tc>
        <w:tc>
          <w:tcPr>
            <w:tcW w:w="648" w:type="pct"/>
            <w:tcBorders>
              <w:bottom w:val="nil"/>
            </w:tcBorders>
            <w:shd w:val="clear" w:color="auto" w:fill="054E6D" w:themeFill="text1" w:themeFillShade="BF"/>
          </w:tcPr>
          <w:p w:rsidR="00BB1F6D" w:rsidRPr="00297833" w:rsidRDefault="00BB1F6D" w:rsidP="00464FED">
            <w:pPr>
              <w:rPr>
                <w:color w:val="FFFFFF"/>
              </w:rPr>
            </w:pPr>
            <w:r w:rsidRPr="00297833">
              <w:rPr>
                <w:color w:val="FFFFFF"/>
              </w:rPr>
              <w:t>2016</w:t>
            </w:r>
          </w:p>
        </w:tc>
        <w:tc>
          <w:tcPr>
            <w:tcW w:w="648" w:type="pct"/>
            <w:tcBorders>
              <w:bottom w:val="nil"/>
            </w:tcBorders>
            <w:shd w:val="clear" w:color="auto" w:fill="054E6D" w:themeFill="text1" w:themeFillShade="BF"/>
          </w:tcPr>
          <w:p w:rsidR="00BB1F6D" w:rsidRPr="00297833" w:rsidRDefault="00BB1F6D" w:rsidP="00464FED">
            <w:pPr>
              <w:rPr>
                <w:color w:val="FFFFFF"/>
              </w:rPr>
            </w:pPr>
            <w:r w:rsidRPr="00297833">
              <w:rPr>
                <w:color w:val="FFFFFF"/>
              </w:rPr>
              <w:t>2017</w:t>
            </w:r>
          </w:p>
        </w:tc>
        <w:tc>
          <w:tcPr>
            <w:tcW w:w="648" w:type="pct"/>
            <w:tcBorders>
              <w:bottom w:val="nil"/>
            </w:tcBorders>
            <w:shd w:val="clear" w:color="auto" w:fill="054E6D" w:themeFill="text1" w:themeFillShade="BF"/>
          </w:tcPr>
          <w:p w:rsidR="00BB1F6D" w:rsidRPr="00297833" w:rsidRDefault="00BB1F6D" w:rsidP="00464FED">
            <w:pPr>
              <w:rPr>
                <w:color w:val="FFFFFF"/>
              </w:rPr>
            </w:pPr>
            <w:r w:rsidRPr="00297833">
              <w:rPr>
                <w:color w:val="FFFFFF"/>
              </w:rPr>
              <w:t>2018</w:t>
            </w:r>
          </w:p>
        </w:tc>
        <w:tc>
          <w:tcPr>
            <w:tcW w:w="648" w:type="pct"/>
            <w:tcBorders>
              <w:bottom w:val="nil"/>
            </w:tcBorders>
            <w:shd w:val="clear" w:color="auto" w:fill="054E6D" w:themeFill="text1" w:themeFillShade="BF"/>
          </w:tcPr>
          <w:p w:rsidR="00BB1F6D" w:rsidRPr="00297833" w:rsidRDefault="00BB1F6D" w:rsidP="00464FED">
            <w:pPr>
              <w:rPr>
                <w:color w:val="FFFFFF"/>
              </w:rPr>
            </w:pPr>
            <w:r w:rsidRPr="00297833">
              <w:rPr>
                <w:color w:val="FFFFFF"/>
              </w:rPr>
              <w:t>2019</w:t>
            </w:r>
          </w:p>
        </w:tc>
        <w:tc>
          <w:tcPr>
            <w:tcW w:w="647" w:type="pct"/>
            <w:tcBorders>
              <w:bottom w:val="nil"/>
            </w:tcBorders>
            <w:shd w:val="clear" w:color="auto" w:fill="054E6D" w:themeFill="text1" w:themeFillShade="BF"/>
          </w:tcPr>
          <w:p w:rsidR="00BB1F6D" w:rsidRPr="00297833" w:rsidRDefault="00BB1F6D" w:rsidP="00464FED">
            <w:pPr>
              <w:rPr>
                <w:color w:val="FFFFFF"/>
              </w:rPr>
            </w:pPr>
            <w:r w:rsidRPr="00297833">
              <w:rPr>
                <w:color w:val="FFFFFF"/>
              </w:rPr>
              <w:t>2020</w:t>
            </w:r>
          </w:p>
        </w:tc>
      </w:tr>
      <w:tr w:rsidR="00B976D8" w:rsidRPr="005B4148" w:rsidTr="00297833">
        <w:trPr>
          <w:cnfStyle w:val="000000010000" w:firstRow="0" w:lastRow="0" w:firstColumn="0" w:lastColumn="0" w:oddVBand="0" w:evenVBand="0" w:oddHBand="0" w:evenHBand="1" w:firstRowFirstColumn="0" w:firstRowLastColumn="0" w:lastRowFirstColumn="0" w:lastRowLastColumn="0"/>
          <w:trHeight w:val="231"/>
        </w:trPr>
        <w:tc>
          <w:tcPr>
            <w:tcW w:w="1761" w:type="pct"/>
            <w:tcBorders>
              <w:top w:val="nil"/>
            </w:tcBorders>
          </w:tcPr>
          <w:p w:rsidR="00B976D8" w:rsidRPr="00B976D8" w:rsidRDefault="00B976D8" w:rsidP="00B976D8">
            <w:r w:rsidRPr="00B976D8">
              <w:t>Mercury Vapour 80 watt</w:t>
            </w:r>
          </w:p>
        </w:tc>
        <w:tc>
          <w:tcPr>
            <w:tcW w:w="648" w:type="pct"/>
            <w:tcBorders>
              <w:top w:val="nil"/>
            </w:tcBorders>
            <w:vAlign w:val="bottom"/>
          </w:tcPr>
          <w:p w:rsidR="00B976D8" w:rsidRPr="00B976D8" w:rsidRDefault="00B976D8" w:rsidP="00B976D8">
            <w:r w:rsidRPr="00B976D8">
              <w:t>48.09</w:t>
            </w:r>
          </w:p>
        </w:tc>
        <w:tc>
          <w:tcPr>
            <w:tcW w:w="648" w:type="pct"/>
            <w:tcBorders>
              <w:top w:val="nil"/>
            </w:tcBorders>
            <w:vAlign w:val="bottom"/>
          </w:tcPr>
          <w:p w:rsidR="00B976D8" w:rsidRPr="00B976D8" w:rsidRDefault="00B976D8" w:rsidP="00B976D8">
            <w:r w:rsidRPr="00B976D8">
              <w:t>50.82</w:t>
            </w:r>
          </w:p>
        </w:tc>
        <w:tc>
          <w:tcPr>
            <w:tcW w:w="648" w:type="pct"/>
            <w:tcBorders>
              <w:top w:val="nil"/>
            </w:tcBorders>
            <w:vAlign w:val="bottom"/>
          </w:tcPr>
          <w:p w:rsidR="00B976D8" w:rsidRPr="00B976D8" w:rsidRDefault="00B976D8" w:rsidP="00B976D8">
            <w:r w:rsidRPr="00B976D8">
              <w:t>53.44</w:t>
            </w:r>
          </w:p>
        </w:tc>
        <w:tc>
          <w:tcPr>
            <w:tcW w:w="648" w:type="pct"/>
            <w:tcBorders>
              <w:top w:val="nil"/>
            </w:tcBorders>
            <w:vAlign w:val="bottom"/>
          </w:tcPr>
          <w:p w:rsidR="00B976D8" w:rsidRPr="00B976D8" w:rsidRDefault="00B976D8" w:rsidP="00B976D8">
            <w:r w:rsidRPr="00B976D8">
              <w:t>56.34</w:t>
            </w:r>
          </w:p>
        </w:tc>
        <w:tc>
          <w:tcPr>
            <w:tcW w:w="647" w:type="pct"/>
            <w:tcBorders>
              <w:top w:val="nil"/>
            </w:tcBorders>
            <w:vAlign w:val="bottom"/>
          </w:tcPr>
          <w:p w:rsidR="00B976D8" w:rsidRPr="00B976D8" w:rsidRDefault="00B976D8" w:rsidP="00B976D8">
            <w:r w:rsidRPr="00B976D8">
              <w:t>59.21</w:t>
            </w:r>
          </w:p>
        </w:tc>
      </w:tr>
      <w:tr w:rsidR="00B976D8" w:rsidRPr="005B4148" w:rsidTr="002C0192">
        <w:trPr>
          <w:trHeight w:val="230"/>
        </w:trPr>
        <w:tc>
          <w:tcPr>
            <w:tcW w:w="1761" w:type="pct"/>
          </w:tcPr>
          <w:p w:rsidR="00B976D8" w:rsidRPr="00B976D8" w:rsidRDefault="00B976D8" w:rsidP="00B976D8">
            <w:r w:rsidRPr="00B976D8">
              <w:t>Sodium High Pressure 150 watt</w:t>
            </w:r>
          </w:p>
        </w:tc>
        <w:tc>
          <w:tcPr>
            <w:tcW w:w="648" w:type="pct"/>
            <w:vAlign w:val="bottom"/>
          </w:tcPr>
          <w:p w:rsidR="00B976D8" w:rsidRPr="00B976D8" w:rsidRDefault="00B976D8" w:rsidP="00B976D8">
            <w:r w:rsidRPr="00B976D8">
              <w:t>90.64</w:t>
            </w:r>
          </w:p>
        </w:tc>
        <w:tc>
          <w:tcPr>
            <w:tcW w:w="648" w:type="pct"/>
            <w:vAlign w:val="bottom"/>
          </w:tcPr>
          <w:p w:rsidR="00B976D8" w:rsidRPr="00B976D8" w:rsidRDefault="00B976D8" w:rsidP="00B976D8">
            <w:r w:rsidRPr="00B976D8">
              <w:t>94.52</w:t>
            </w:r>
          </w:p>
        </w:tc>
        <w:tc>
          <w:tcPr>
            <w:tcW w:w="648" w:type="pct"/>
            <w:vAlign w:val="bottom"/>
          </w:tcPr>
          <w:p w:rsidR="00B976D8" w:rsidRPr="00B976D8" w:rsidRDefault="00B976D8" w:rsidP="00B976D8">
            <w:r w:rsidRPr="00B976D8">
              <w:t>98.48</w:t>
            </w:r>
          </w:p>
        </w:tc>
        <w:tc>
          <w:tcPr>
            <w:tcW w:w="648" w:type="pct"/>
            <w:vAlign w:val="bottom"/>
          </w:tcPr>
          <w:p w:rsidR="00B976D8" w:rsidRPr="00B976D8" w:rsidRDefault="00B976D8" w:rsidP="00B976D8">
            <w:r w:rsidRPr="00B976D8">
              <w:t>102.79</w:t>
            </w:r>
          </w:p>
        </w:tc>
        <w:tc>
          <w:tcPr>
            <w:tcW w:w="647" w:type="pct"/>
            <w:vAlign w:val="bottom"/>
          </w:tcPr>
          <w:p w:rsidR="00B976D8" w:rsidRPr="00B976D8" w:rsidRDefault="00B976D8" w:rsidP="00B976D8">
            <w:r w:rsidRPr="00B976D8">
              <w:t>107.12</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Sodium High Pressure 250 watt</w:t>
            </w:r>
          </w:p>
        </w:tc>
        <w:tc>
          <w:tcPr>
            <w:tcW w:w="648" w:type="pct"/>
            <w:vAlign w:val="bottom"/>
          </w:tcPr>
          <w:p w:rsidR="00B976D8" w:rsidRPr="00B976D8" w:rsidRDefault="00B976D8" w:rsidP="00B976D8">
            <w:r w:rsidRPr="00B976D8">
              <w:t>91.83</w:t>
            </w:r>
          </w:p>
        </w:tc>
        <w:tc>
          <w:tcPr>
            <w:tcW w:w="648" w:type="pct"/>
            <w:vAlign w:val="bottom"/>
          </w:tcPr>
          <w:p w:rsidR="00B976D8" w:rsidRPr="00B976D8" w:rsidRDefault="00B976D8" w:rsidP="00B976D8">
            <w:r w:rsidRPr="00B976D8">
              <w:t>95.91</w:t>
            </w:r>
          </w:p>
        </w:tc>
        <w:tc>
          <w:tcPr>
            <w:tcW w:w="648" w:type="pct"/>
            <w:vAlign w:val="bottom"/>
          </w:tcPr>
          <w:p w:rsidR="00B976D8" w:rsidRPr="00B976D8" w:rsidRDefault="00B976D8" w:rsidP="00B976D8">
            <w:r w:rsidRPr="00B976D8">
              <w:t>100.02</w:t>
            </w:r>
          </w:p>
        </w:tc>
        <w:tc>
          <w:tcPr>
            <w:tcW w:w="648" w:type="pct"/>
            <w:vAlign w:val="bottom"/>
          </w:tcPr>
          <w:p w:rsidR="00B976D8" w:rsidRPr="00B976D8" w:rsidRDefault="00B976D8" w:rsidP="00B976D8">
            <w:r w:rsidRPr="00B976D8">
              <w:t>104.51</w:t>
            </w:r>
          </w:p>
        </w:tc>
        <w:tc>
          <w:tcPr>
            <w:tcW w:w="647" w:type="pct"/>
            <w:vAlign w:val="bottom"/>
          </w:tcPr>
          <w:p w:rsidR="00B976D8" w:rsidRPr="00B976D8" w:rsidRDefault="00B976D8" w:rsidP="00B976D8">
            <w:r w:rsidRPr="00B976D8">
              <w:t>109.01</w:t>
            </w:r>
          </w:p>
        </w:tc>
      </w:tr>
      <w:tr w:rsidR="00B976D8" w:rsidRPr="005B4148" w:rsidTr="002C0192">
        <w:trPr>
          <w:trHeight w:val="230"/>
        </w:trPr>
        <w:tc>
          <w:tcPr>
            <w:tcW w:w="1761" w:type="pct"/>
          </w:tcPr>
          <w:p w:rsidR="00B976D8" w:rsidRPr="00B976D8" w:rsidRDefault="00B976D8" w:rsidP="00B976D8">
            <w:r w:rsidRPr="00B976D8">
              <w:t>Fluorescent 20 watt</w:t>
            </w:r>
          </w:p>
        </w:tc>
        <w:tc>
          <w:tcPr>
            <w:tcW w:w="648" w:type="pct"/>
            <w:vAlign w:val="bottom"/>
          </w:tcPr>
          <w:p w:rsidR="00B976D8" w:rsidRPr="00B976D8" w:rsidRDefault="00B976D8" w:rsidP="00B976D8">
            <w:r w:rsidRPr="00B976D8">
              <w:t>101.94</w:t>
            </w:r>
          </w:p>
        </w:tc>
        <w:tc>
          <w:tcPr>
            <w:tcW w:w="648" w:type="pct"/>
            <w:vAlign w:val="bottom"/>
          </w:tcPr>
          <w:p w:rsidR="00B976D8" w:rsidRPr="00B976D8" w:rsidRDefault="00B976D8" w:rsidP="00B976D8">
            <w:r w:rsidRPr="00B976D8">
              <w:t>107.74</w:t>
            </w:r>
          </w:p>
        </w:tc>
        <w:tc>
          <w:tcPr>
            <w:tcW w:w="648" w:type="pct"/>
            <w:vAlign w:val="bottom"/>
          </w:tcPr>
          <w:p w:rsidR="00B976D8" w:rsidRPr="00B976D8" w:rsidRDefault="00B976D8" w:rsidP="00B976D8">
            <w:r w:rsidRPr="00B976D8">
              <w:t>113.30</w:t>
            </w:r>
          </w:p>
        </w:tc>
        <w:tc>
          <w:tcPr>
            <w:tcW w:w="648" w:type="pct"/>
            <w:vAlign w:val="bottom"/>
          </w:tcPr>
          <w:p w:rsidR="00B976D8" w:rsidRPr="00B976D8" w:rsidRDefault="00B976D8" w:rsidP="00B976D8">
            <w:r w:rsidRPr="00B976D8">
              <w:t>119.44</w:t>
            </w:r>
          </w:p>
        </w:tc>
        <w:tc>
          <w:tcPr>
            <w:tcW w:w="647" w:type="pct"/>
            <w:vAlign w:val="bottom"/>
          </w:tcPr>
          <w:p w:rsidR="00B976D8" w:rsidRPr="00B976D8" w:rsidRDefault="00B976D8" w:rsidP="00B976D8">
            <w:r w:rsidRPr="00B976D8">
              <w:t>125.53</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Fluorescent 40 watt</w:t>
            </w:r>
          </w:p>
        </w:tc>
        <w:tc>
          <w:tcPr>
            <w:tcW w:w="648" w:type="pct"/>
            <w:vAlign w:val="bottom"/>
          </w:tcPr>
          <w:p w:rsidR="00B976D8" w:rsidRPr="00B976D8" w:rsidRDefault="00B976D8" w:rsidP="00B976D8">
            <w:r w:rsidRPr="00B976D8">
              <w:t>101.94</w:t>
            </w:r>
          </w:p>
        </w:tc>
        <w:tc>
          <w:tcPr>
            <w:tcW w:w="648" w:type="pct"/>
            <w:vAlign w:val="bottom"/>
          </w:tcPr>
          <w:p w:rsidR="00B976D8" w:rsidRPr="00B976D8" w:rsidRDefault="00B976D8" w:rsidP="00B976D8">
            <w:r w:rsidRPr="00B976D8">
              <w:t>107.74</w:t>
            </w:r>
          </w:p>
        </w:tc>
        <w:tc>
          <w:tcPr>
            <w:tcW w:w="648" w:type="pct"/>
            <w:vAlign w:val="bottom"/>
          </w:tcPr>
          <w:p w:rsidR="00B976D8" w:rsidRPr="00B976D8" w:rsidRDefault="00B976D8" w:rsidP="00B976D8">
            <w:r w:rsidRPr="00B976D8">
              <w:t>113.30</w:t>
            </w:r>
          </w:p>
        </w:tc>
        <w:tc>
          <w:tcPr>
            <w:tcW w:w="648" w:type="pct"/>
            <w:vAlign w:val="bottom"/>
          </w:tcPr>
          <w:p w:rsidR="00B976D8" w:rsidRPr="00B976D8" w:rsidRDefault="00B976D8" w:rsidP="00B976D8">
            <w:r w:rsidRPr="00B976D8">
              <w:t>119.44</w:t>
            </w:r>
          </w:p>
        </w:tc>
        <w:tc>
          <w:tcPr>
            <w:tcW w:w="647" w:type="pct"/>
            <w:vAlign w:val="bottom"/>
          </w:tcPr>
          <w:p w:rsidR="00B976D8" w:rsidRPr="00B976D8" w:rsidRDefault="00B976D8" w:rsidP="00B976D8">
            <w:r w:rsidRPr="00B976D8">
              <w:t>125.53</w:t>
            </w:r>
          </w:p>
        </w:tc>
      </w:tr>
      <w:tr w:rsidR="00B976D8" w:rsidRPr="005B4148" w:rsidTr="002C0192">
        <w:trPr>
          <w:trHeight w:val="230"/>
        </w:trPr>
        <w:tc>
          <w:tcPr>
            <w:tcW w:w="1761" w:type="pct"/>
          </w:tcPr>
          <w:p w:rsidR="00B976D8" w:rsidRPr="00B976D8" w:rsidRDefault="00B976D8" w:rsidP="00B976D8">
            <w:r w:rsidRPr="00B976D8">
              <w:t>Mercury Vapour 50 watt</w:t>
            </w:r>
          </w:p>
        </w:tc>
        <w:tc>
          <w:tcPr>
            <w:tcW w:w="648" w:type="pct"/>
            <w:vAlign w:val="bottom"/>
          </w:tcPr>
          <w:p w:rsidR="00B976D8" w:rsidRPr="00B976D8" w:rsidRDefault="00B976D8" w:rsidP="00B976D8">
            <w:r w:rsidRPr="00B976D8">
              <w:t>66.84</w:t>
            </w:r>
          </w:p>
        </w:tc>
        <w:tc>
          <w:tcPr>
            <w:tcW w:w="648" w:type="pct"/>
            <w:vAlign w:val="bottom"/>
          </w:tcPr>
          <w:p w:rsidR="00B976D8" w:rsidRPr="00B976D8" w:rsidRDefault="00B976D8" w:rsidP="00B976D8">
            <w:r w:rsidRPr="00B976D8">
              <w:t>70.64</w:t>
            </w:r>
          </w:p>
        </w:tc>
        <w:tc>
          <w:tcPr>
            <w:tcW w:w="648" w:type="pct"/>
            <w:vAlign w:val="bottom"/>
          </w:tcPr>
          <w:p w:rsidR="00B976D8" w:rsidRPr="00B976D8" w:rsidRDefault="00B976D8" w:rsidP="00B976D8">
            <w:r w:rsidRPr="00B976D8">
              <w:t>74.29</w:t>
            </w:r>
          </w:p>
        </w:tc>
        <w:tc>
          <w:tcPr>
            <w:tcW w:w="648" w:type="pct"/>
            <w:vAlign w:val="bottom"/>
          </w:tcPr>
          <w:p w:rsidR="00B976D8" w:rsidRPr="00B976D8" w:rsidRDefault="00B976D8" w:rsidP="00B976D8">
            <w:r w:rsidRPr="00B976D8">
              <w:t>78.31</w:t>
            </w:r>
          </w:p>
        </w:tc>
        <w:tc>
          <w:tcPr>
            <w:tcW w:w="647" w:type="pct"/>
            <w:vAlign w:val="bottom"/>
          </w:tcPr>
          <w:p w:rsidR="00B976D8" w:rsidRPr="00B976D8" w:rsidRDefault="00B976D8" w:rsidP="00B976D8">
            <w:r w:rsidRPr="00B976D8">
              <w:t>82.30</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Mercury Vapour 125 watt</w:t>
            </w:r>
          </w:p>
        </w:tc>
        <w:tc>
          <w:tcPr>
            <w:tcW w:w="648" w:type="pct"/>
            <w:vAlign w:val="bottom"/>
          </w:tcPr>
          <w:p w:rsidR="00B976D8" w:rsidRPr="00B976D8" w:rsidRDefault="00B976D8" w:rsidP="00B976D8">
            <w:r w:rsidRPr="00B976D8">
              <w:t>64.92</w:t>
            </w:r>
          </w:p>
        </w:tc>
        <w:tc>
          <w:tcPr>
            <w:tcW w:w="648" w:type="pct"/>
            <w:vAlign w:val="bottom"/>
          </w:tcPr>
          <w:p w:rsidR="00B976D8" w:rsidRPr="00B976D8" w:rsidRDefault="00B976D8" w:rsidP="00B976D8">
            <w:r w:rsidRPr="00B976D8">
              <w:t>68.61</w:t>
            </w:r>
          </w:p>
        </w:tc>
        <w:tc>
          <w:tcPr>
            <w:tcW w:w="648" w:type="pct"/>
            <w:vAlign w:val="bottom"/>
          </w:tcPr>
          <w:p w:rsidR="00B976D8" w:rsidRPr="00B976D8" w:rsidRDefault="00B976D8" w:rsidP="00B976D8">
            <w:r w:rsidRPr="00B976D8">
              <w:t>72.15</w:t>
            </w:r>
          </w:p>
        </w:tc>
        <w:tc>
          <w:tcPr>
            <w:tcW w:w="648" w:type="pct"/>
            <w:vAlign w:val="bottom"/>
          </w:tcPr>
          <w:p w:rsidR="00B976D8" w:rsidRPr="00B976D8" w:rsidRDefault="00B976D8" w:rsidP="00B976D8">
            <w:r w:rsidRPr="00B976D8">
              <w:t>76.06</w:t>
            </w:r>
          </w:p>
        </w:tc>
        <w:tc>
          <w:tcPr>
            <w:tcW w:w="647" w:type="pct"/>
            <w:vAlign w:val="bottom"/>
          </w:tcPr>
          <w:p w:rsidR="00B976D8" w:rsidRPr="00B976D8" w:rsidRDefault="00B976D8" w:rsidP="00B976D8">
            <w:r w:rsidRPr="00B976D8">
              <w:t>79.94</w:t>
            </w:r>
          </w:p>
        </w:tc>
      </w:tr>
      <w:tr w:rsidR="00B976D8" w:rsidRPr="005B4148" w:rsidTr="002C0192">
        <w:trPr>
          <w:trHeight w:val="230"/>
        </w:trPr>
        <w:tc>
          <w:tcPr>
            <w:tcW w:w="1761" w:type="pct"/>
          </w:tcPr>
          <w:p w:rsidR="00B976D8" w:rsidRPr="00B976D8" w:rsidRDefault="00B976D8" w:rsidP="00B976D8">
            <w:r w:rsidRPr="00B976D8">
              <w:t>Mercury Vapour 250 watt</w:t>
            </w:r>
          </w:p>
        </w:tc>
        <w:tc>
          <w:tcPr>
            <w:tcW w:w="648" w:type="pct"/>
            <w:vAlign w:val="bottom"/>
          </w:tcPr>
          <w:p w:rsidR="00B976D8" w:rsidRPr="00B976D8" w:rsidRDefault="00B976D8" w:rsidP="00B976D8">
            <w:r w:rsidRPr="00B976D8">
              <w:t>69.79</w:t>
            </w:r>
          </w:p>
        </w:tc>
        <w:tc>
          <w:tcPr>
            <w:tcW w:w="648" w:type="pct"/>
            <w:vAlign w:val="bottom"/>
          </w:tcPr>
          <w:p w:rsidR="00B976D8" w:rsidRPr="00B976D8" w:rsidRDefault="00B976D8" w:rsidP="00B976D8">
            <w:r w:rsidRPr="00B976D8">
              <w:t>72.89</w:t>
            </w:r>
          </w:p>
        </w:tc>
        <w:tc>
          <w:tcPr>
            <w:tcW w:w="648" w:type="pct"/>
            <w:vAlign w:val="bottom"/>
          </w:tcPr>
          <w:p w:rsidR="00B976D8" w:rsidRPr="00B976D8" w:rsidRDefault="00B976D8" w:rsidP="00B976D8">
            <w:r w:rsidRPr="00B976D8">
              <w:t>76.02</w:t>
            </w:r>
          </w:p>
        </w:tc>
        <w:tc>
          <w:tcPr>
            <w:tcW w:w="648" w:type="pct"/>
            <w:vAlign w:val="bottom"/>
          </w:tcPr>
          <w:p w:rsidR="00B976D8" w:rsidRPr="00B976D8" w:rsidRDefault="00B976D8" w:rsidP="00B976D8">
            <w:r w:rsidRPr="00B976D8">
              <w:t>79.43</w:t>
            </w:r>
          </w:p>
        </w:tc>
        <w:tc>
          <w:tcPr>
            <w:tcW w:w="647" w:type="pct"/>
            <w:vAlign w:val="bottom"/>
          </w:tcPr>
          <w:p w:rsidR="00B976D8" w:rsidRPr="00B976D8" w:rsidRDefault="00B976D8" w:rsidP="00B976D8">
            <w:r w:rsidRPr="00B976D8">
              <w:t>82.85</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Mercury Vapour 400 watt</w:t>
            </w:r>
          </w:p>
        </w:tc>
        <w:tc>
          <w:tcPr>
            <w:tcW w:w="648" w:type="pct"/>
            <w:vAlign w:val="bottom"/>
          </w:tcPr>
          <w:p w:rsidR="00B976D8" w:rsidRPr="00B976D8" w:rsidRDefault="00B976D8" w:rsidP="00B976D8">
            <w:r w:rsidRPr="00B976D8">
              <w:t>80.81</w:t>
            </w:r>
          </w:p>
        </w:tc>
        <w:tc>
          <w:tcPr>
            <w:tcW w:w="648" w:type="pct"/>
            <w:vAlign w:val="bottom"/>
          </w:tcPr>
          <w:p w:rsidR="00B976D8" w:rsidRPr="00B976D8" w:rsidRDefault="00B976D8" w:rsidP="00B976D8">
            <w:r w:rsidRPr="00B976D8">
              <w:t>84.40</w:t>
            </w:r>
          </w:p>
        </w:tc>
        <w:tc>
          <w:tcPr>
            <w:tcW w:w="648" w:type="pct"/>
            <w:vAlign w:val="bottom"/>
          </w:tcPr>
          <w:p w:rsidR="00B976D8" w:rsidRPr="00B976D8" w:rsidRDefault="00B976D8" w:rsidP="00B976D8">
            <w:r w:rsidRPr="00B976D8">
              <w:t>88.02</w:t>
            </w:r>
          </w:p>
        </w:tc>
        <w:tc>
          <w:tcPr>
            <w:tcW w:w="648" w:type="pct"/>
            <w:vAlign w:val="bottom"/>
          </w:tcPr>
          <w:p w:rsidR="00B976D8" w:rsidRPr="00B976D8" w:rsidRDefault="00B976D8" w:rsidP="00B976D8">
            <w:r w:rsidRPr="00B976D8">
              <w:t>91.97</w:t>
            </w:r>
          </w:p>
        </w:tc>
        <w:tc>
          <w:tcPr>
            <w:tcW w:w="647" w:type="pct"/>
            <w:vAlign w:val="bottom"/>
          </w:tcPr>
          <w:p w:rsidR="00B976D8" w:rsidRPr="00B976D8" w:rsidRDefault="00B976D8" w:rsidP="00B976D8">
            <w:r w:rsidRPr="00B976D8">
              <w:t>95.93</w:t>
            </w:r>
          </w:p>
        </w:tc>
      </w:tr>
      <w:tr w:rsidR="00B976D8" w:rsidRPr="005B4148" w:rsidTr="002C0192">
        <w:trPr>
          <w:trHeight w:val="230"/>
        </w:trPr>
        <w:tc>
          <w:tcPr>
            <w:tcW w:w="1761" w:type="pct"/>
          </w:tcPr>
          <w:p w:rsidR="00B976D8" w:rsidRPr="00B976D8" w:rsidRDefault="00B976D8" w:rsidP="00B976D8">
            <w:r w:rsidRPr="00B976D8">
              <w:t>Mercury Vapour 700 watt</w:t>
            </w:r>
            <w:r w:rsidRPr="00B976D8">
              <w:tab/>
            </w:r>
          </w:p>
        </w:tc>
        <w:tc>
          <w:tcPr>
            <w:tcW w:w="648" w:type="pct"/>
            <w:vAlign w:val="bottom"/>
          </w:tcPr>
          <w:p w:rsidR="00B976D8" w:rsidRPr="00B976D8" w:rsidRDefault="00B976D8" w:rsidP="00B976D8">
            <w:r w:rsidRPr="00B976D8">
              <w:t>122.13</w:t>
            </w:r>
          </w:p>
        </w:tc>
        <w:tc>
          <w:tcPr>
            <w:tcW w:w="648" w:type="pct"/>
            <w:vAlign w:val="bottom"/>
          </w:tcPr>
          <w:p w:rsidR="00B976D8" w:rsidRPr="00B976D8" w:rsidRDefault="00B976D8" w:rsidP="00B976D8">
            <w:r w:rsidRPr="00B976D8">
              <w:t>127.56</w:t>
            </w:r>
          </w:p>
        </w:tc>
        <w:tc>
          <w:tcPr>
            <w:tcW w:w="648" w:type="pct"/>
            <w:vAlign w:val="bottom"/>
          </w:tcPr>
          <w:p w:rsidR="00B976D8" w:rsidRPr="00B976D8" w:rsidRDefault="00B976D8" w:rsidP="00B976D8">
            <w:r w:rsidRPr="00B976D8">
              <w:t>133.03</w:t>
            </w:r>
          </w:p>
        </w:tc>
        <w:tc>
          <w:tcPr>
            <w:tcW w:w="648" w:type="pct"/>
            <w:vAlign w:val="bottom"/>
          </w:tcPr>
          <w:p w:rsidR="00B976D8" w:rsidRPr="00B976D8" w:rsidRDefault="00B976D8" w:rsidP="00B976D8">
            <w:r w:rsidRPr="00B976D8">
              <w:t>139.00</w:t>
            </w:r>
          </w:p>
        </w:tc>
        <w:tc>
          <w:tcPr>
            <w:tcW w:w="647" w:type="pct"/>
            <w:vAlign w:val="bottom"/>
          </w:tcPr>
          <w:p w:rsidR="00B976D8" w:rsidRPr="00B976D8" w:rsidRDefault="00B976D8" w:rsidP="00B976D8">
            <w:r w:rsidRPr="00B976D8">
              <w:t>144.99</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Sodium Low Pressure 90 watt</w:t>
            </w:r>
          </w:p>
        </w:tc>
        <w:tc>
          <w:tcPr>
            <w:tcW w:w="648" w:type="pct"/>
            <w:vAlign w:val="bottom"/>
          </w:tcPr>
          <w:p w:rsidR="00B976D8" w:rsidRPr="00B976D8" w:rsidRDefault="00B976D8" w:rsidP="00B976D8">
            <w:r w:rsidRPr="00B976D8">
              <w:t>122.37</w:t>
            </w:r>
          </w:p>
        </w:tc>
        <w:tc>
          <w:tcPr>
            <w:tcW w:w="648" w:type="pct"/>
            <w:vAlign w:val="bottom"/>
          </w:tcPr>
          <w:p w:rsidR="00B976D8" w:rsidRPr="00B976D8" w:rsidRDefault="00B976D8" w:rsidP="00B976D8">
            <w:r w:rsidRPr="00B976D8">
              <w:t>127.60</w:t>
            </w:r>
          </w:p>
        </w:tc>
        <w:tc>
          <w:tcPr>
            <w:tcW w:w="648" w:type="pct"/>
            <w:vAlign w:val="bottom"/>
          </w:tcPr>
          <w:p w:rsidR="00B976D8" w:rsidRPr="00B976D8" w:rsidRDefault="00B976D8" w:rsidP="00B976D8">
            <w:r w:rsidRPr="00B976D8">
              <w:t>132.95</w:t>
            </w:r>
          </w:p>
        </w:tc>
        <w:tc>
          <w:tcPr>
            <w:tcW w:w="648" w:type="pct"/>
            <w:vAlign w:val="bottom"/>
          </w:tcPr>
          <w:p w:rsidR="00B976D8" w:rsidRPr="00B976D8" w:rsidRDefault="00B976D8" w:rsidP="00B976D8">
            <w:r w:rsidRPr="00B976D8">
              <w:t>138.77</w:t>
            </w:r>
          </w:p>
        </w:tc>
        <w:tc>
          <w:tcPr>
            <w:tcW w:w="647" w:type="pct"/>
            <w:vAlign w:val="bottom"/>
          </w:tcPr>
          <w:p w:rsidR="00B976D8" w:rsidRPr="00B976D8" w:rsidRDefault="00B976D8" w:rsidP="00B976D8">
            <w:r w:rsidRPr="00B976D8">
              <w:t>144.61</w:t>
            </w:r>
          </w:p>
        </w:tc>
      </w:tr>
      <w:tr w:rsidR="00B976D8" w:rsidRPr="005B4148" w:rsidTr="002C0192">
        <w:trPr>
          <w:trHeight w:val="230"/>
        </w:trPr>
        <w:tc>
          <w:tcPr>
            <w:tcW w:w="1761" w:type="pct"/>
          </w:tcPr>
          <w:p w:rsidR="00B976D8" w:rsidRPr="00B976D8" w:rsidRDefault="00B976D8" w:rsidP="00B976D8">
            <w:r w:rsidRPr="00B976D8">
              <w:t>Sodium Low Pressure 180 watt</w:t>
            </w:r>
          </w:p>
        </w:tc>
        <w:tc>
          <w:tcPr>
            <w:tcW w:w="648" w:type="pct"/>
            <w:vAlign w:val="bottom"/>
          </w:tcPr>
          <w:p w:rsidR="00B976D8" w:rsidRPr="00B976D8" w:rsidRDefault="00B976D8" w:rsidP="00B976D8">
            <w:r w:rsidRPr="00B976D8">
              <w:t>122.37</w:t>
            </w:r>
          </w:p>
        </w:tc>
        <w:tc>
          <w:tcPr>
            <w:tcW w:w="648" w:type="pct"/>
            <w:vAlign w:val="bottom"/>
          </w:tcPr>
          <w:p w:rsidR="00B976D8" w:rsidRPr="00B976D8" w:rsidRDefault="00B976D8" w:rsidP="00B976D8">
            <w:r w:rsidRPr="00B976D8">
              <w:t>127.60</w:t>
            </w:r>
          </w:p>
        </w:tc>
        <w:tc>
          <w:tcPr>
            <w:tcW w:w="648" w:type="pct"/>
            <w:vAlign w:val="bottom"/>
          </w:tcPr>
          <w:p w:rsidR="00B976D8" w:rsidRPr="00B976D8" w:rsidRDefault="00B976D8" w:rsidP="00B976D8">
            <w:r w:rsidRPr="00B976D8">
              <w:t>132.95</w:t>
            </w:r>
          </w:p>
        </w:tc>
        <w:tc>
          <w:tcPr>
            <w:tcW w:w="648" w:type="pct"/>
            <w:vAlign w:val="bottom"/>
          </w:tcPr>
          <w:p w:rsidR="00B976D8" w:rsidRPr="00B976D8" w:rsidRDefault="00B976D8" w:rsidP="00B976D8">
            <w:r w:rsidRPr="00B976D8">
              <w:t>138.77</w:t>
            </w:r>
          </w:p>
        </w:tc>
        <w:tc>
          <w:tcPr>
            <w:tcW w:w="647" w:type="pct"/>
            <w:vAlign w:val="bottom"/>
          </w:tcPr>
          <w:p w:rsidR="00B976D8" w:rsidRPr="00B976D8" w:rsidRDefault="00B976D8" w:rsidP="00B976D8">
            <w:r w:rsidRPr="00B976D8">
              <w:t>144.61</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Sodium High Pressure 400 watt</w:t>
            </w:r>
          </w:p>
        </w:tc>
        <w:tc>
          <w:tcPr>
            <w:tcW w:w="648" w:type="pct"/>
            <w:vAlign w:val="bottom"/>
          </w:tcPr>
          <w:p w:rsidR="00B976D8" w:rsidRPr="00B976D8" w:rsidRDefault="00B976D8" w:rsidP="00B976D8">
            <w:r w:rsidRPr="00B976D8">
              <w:t>122.13</w:t>
            </w:r>
          </w:p>
        </w:tc>
        <w:tc>
          <w:tcPr>
            <w:tcW w:w="648" w:type="pct"/>
            <w:vAlign w:val="bottom"/>
          </w:tcPr>
          <w:p w:rsidR="00B976D8" w:rsidRPr="00B976D8" w:rsidRDefault="00B976D8" w:rsidP="00B976D8">
            <w:r w:rsidRPr="00B976D8">
              <w:t>127.56</w:t>
            </w:r>
          </w:p>
        </w:tc>
        <w:tc>
          <w:tcPr>
            <w:tcW w:w="648" w:type="pct"/>
            <w:vAlign w:val="bottom"/>
          </w:tcPr>
          <w:p w:rsidR="00B976D8" w:rsidRPr="00B976D8" w:rsidRDefault="00B976D8" w:rsidP="00B976D8">
            <w:r w:rsidRPr="00B976D8">
              <w:t>133.03</w:t>
            </w:r>
          </w:p>
        </w:tc>
        <w:tc>
          <w:tcPr>
            <w:tcW w:w="648" w:type="pct"/>
            <w:vAlign w:val="bottom"/>
          </w:tcPr>
          <w:p w:rsidR="00B976D8" w:rsidRPr="00B976D8" w:rsidRDefault="00B976D8" w:rsidP="00B976D8">
            <w:r w:rsidRPr="00B976D8">
              <w:t>139.00</w:t>
            </w:r>
          </w:p>
        </w:tc>
        <w:tc>
          <w:tcPr>
            <w:tcW w:w="647" w:type="pct"/>
            <w:vAlign w:val="bottom"/>
          </w:tcPr>
          <w:p w:rsidR="00B976D8" w:rsidRPr="00B976D8" w:rsidRDefault="00B976D8" w:rsidP="00B976D8">
            <w:r w:rsidRPr="00B976D8">
              <w:t>144.99</w:t>
            </w:r>
          </w:p>
        </w:tc>
      </w:tr>
      <w:tr w:rsidR="00B976D8" w:rsidRPr="005B4148" w:rsidTr="002C0192">
        <w:trPr>
          <w:trHeight w:val="230"/>
        </w:trPr>
        <w:tc>
          <w:tcPr>
            <w:tcW w:w="1761" w:type="pct"/>
          </w:tcPr>
          <w:p w:rsidR="00B976D8" w:rsidRPr="00B976D8" w:rsidRDefault="00B976D8" w:rsidP="00B976D8">
            <w:r w:rsidRPr="00B976D8">
              <w:t>Incandescent 100 watt</w:t>
            </w:r>
          </w:p>
        </w:tc>
        <w:tc>
          <w:tcPr>
            <w:tcW w:w="648" w:type="pct"/>
            <w:vAlign w:val="bottom"/>
          </w:tcPr>
          <w:p w:rsidR="00B976D8" w:rsidRPr="00B976D8" w:rsidRDefault="00B976D8" w:rsidP="00B976D8">
            <w:r w:rsidRPr="00B976D8">
              <w:t>133.68</w:t>
            </w:r>
          </w:p>
        </w:tc>
        <w:tc>
          <w:tcPr>
            <w:tcW w:w="648" w:type="pct"/>
            <w:vAlign w:val="bottom"/>
          </w:tcPr>
          <w:p w:rsidR="00B976D8" w:rsidRPr="00B976D8" w:rsidRDefault="00B976D8" w:rsidP="00B976D8">
            <w:r w:rsidRPr="00B976D8">
              <w:t>141.28</w:t>
            </w:r>
          </w:p>
        </w:tc>
        <w:tc>
          <w:tcPr>
            <w:tcW w:w="648" w:type="pct"/>
            <w:vAlign w:val="bottom"/>
          </w:tcPr>
          <w:p w:rsidR="00B976D8" w:rsidRPr="00B976D8" w:rsidRDefault="00B976D8" w:rsidP="00B976D8">
            <w:r w:rsidRPr="00B976D8">
              <w:t>148.57</w:t>
            </w:r>
          </w:p>
        </w:tc>
        <w:tc>
          <w:tcPr>
            <w:tcW w:w="648" w:type="pct"/>
            <w:vAlign w:val="bottom"/>
          </w:tcPr>
          <w:p w:rsidR="00B976D8" w:rsidRPr="00B976D8" w:rsidRDefault="00B976D8" w:rsidP="00B976D8">
            <w:r w:rsidRPr="00B976D8">
              <w:t>156.63</w:t>
            </w:r>
          </w:p>
        </w:tc>
        <w:tc>
          <w:tcPr>
            <w:tcW w:w="647" w:type="pct"/>
            <w:vAlign w:val="bottom"/>
          </w:tcPr>
          <w:p w:rsidR="00B976D8" w:rsidRPr="00B976D8" w:rsidRDefault="00B976D8" w:rsidP="00B976D8">
            <w:r w:rsidRPr="00B976D8">
              <w:t>164.61</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Incandescent 150 watt</w:t>
            </w:r>
          </w:p>
        </w:tc>
        <w:tc>
          <w:tcPr>
            <w:tcW w:w="648" w:type="pct"/>
            <w:vAlign w:val="bottom"/>
          </w:tcPr>
          <w:p w:rsidR="00B976D8" w:rsidRPr="00B976D8" w:rsidRDefault="00B976D8" w:rsidP="00B976D8">
            <w:r w:rsidRPr="00B976D8">
              <w:t>133.68</w:t>
            </w:r>
          </w:p>
        </w:tc>
        <w:tc>
          <w:tcPr>
            <w:tcW w:w="648" w:type="pct"/>
            <w:vAlign w:val="bottom"/>
          </w:tcPr>
          <w:p w:rsidR="00B976D8" w:rsidRPr="00B976D8" w:rsidRDefault="00B976D8" w:rsidP="00B976D8">
            <w:r w:rsidRPr="00B976D8">
              <w:t>141.28</w:t>
            </w:r>
          </w:p>
        </w:tc>
        <w:tc>
          <w:tcPr>
            <w:tcW w:w="648" w:type="pct"/>
            <w:vAlign w:val="bottom"/>
          </w:tcPr>
          <w:p w:rsidR="00B976D8" w:rsidRPr="00B976D8" w:rsidRDefault="00B976D8" w:rsidP="00B976D8">
            <w:r w:rsidRPr="00B976D8">
              <w:t>148.57</w:t>
            </w:r>
          </w:p>
        </w:tc>
        <w:tc>
          <w:tcPr>
            <w:tcW w:w="648" w:type="pct"/>
            <w:vAlign w:val="bottom"/>
          </w:tcPr>
          <w:p w:rsidR="00B976D8" w:rsidRPr="00B976D8" w:rsidRDefault="00B976D8" w:rsidP="00B976D8">
            <w:r w:rsidRPr="00B976D8">
              <w:t>156.63</w:t>
            </w:r>
          </w:p>
        </w:tc>
        <w:tc>
          <w:tcPr>
            <w:tcW w:w="647" w:type="pct"/>
            <w:vAlign w:val="bottom"/>
          </w:tcPr>
          <w:p w:rsidR="00B976D8" w:rsidRPr="00B976D8" w:rsidRDefault="00B976D8" w:rsidP="00B976D8">
            <w:r w:rsidRPr="00B976D8">
              <w:t>164.61</w:t>
            </w:r>
          </w:p>
        </w:tc>
      </w:tr>
      <w:tr w:rsidR="00B976D8" w:rsidRPr="005B4148" w:rsidTr="002C0192">
        <w:trPr>
          <w:trHeight w:val="230"/>
        </w:trPr>
        <w:tc>
          <w:tcPr>
            <w:tcW w:w="1761" w:type="pct"/>
          </w:tcPr>
          <w:p w:rsidR="00B976D8" w:rsidRPr="00B976D8" w:rsidRDefault="00B976D8" w:rsidP="00B976D8">
            <w:r w:rsidRPr="00B976D8">
              <w:t>Metal Halide 250 watt</w:t>
            </w:r>
          </w:p>
        </w:tc>
        <w:tc>
          <w:tcPr>
            <w:tcW w:w="648" w:type="pct"/>
            <w:vAlign w:val="bottom"/>
          </w:tcPr>
          <w:p w:rsidR="00B976D8" w:rsidRPr="00B976D8" w:rsidRDefault="00B976D8" w:rsidP="00B976D8">
            <w:r w:rsidRPr="00B976D8">
              <w:t>122.13</w:t>
            </w:r>
          </w:p>
        </w:tc>
        <w:tc>
          <w:tcPr>
            <w:tcW w:w="648" w:type="pct"/>
            <w:vAlign w:val="bottom"/>
          </w:tcPr>
          <w:p w:rsidR="00B976D8" w:rsidRPr="00B976D8" w:rsidRDefault="00B976D8" w:rsidP="00B976D8">
            <w:r w:rsidRPr="00B976D8">
              <w:t>127.56</w:t>
            </w:r>
          </w:p>
        </w:tc>
        <w:tc>
          <w:tcPr>
            <w:tcW w:w="648" w:type="pct"/>
            <w:vAlign w:val="bottom"/>
          </w:tcPr>
          <w:p w:rsidR="00B976D8" w:rsidRPr="00B976D8" w:rsidRDefault="00B976D8" w:rsidP="00B976D8">
            <w:r w:rsidRPr="00B976D8">
              <w:t>133.03</w:t>
            </w:r>
          </w:p>
        </w:tc>
        <w:tc>
          <w:tcPr>
            <w:tcW w:w="648" w:type="pct"/>
            <w:vAlign w:val="bottom"/>
          </w:tcPr>
          <w:p w:rsidR="00B976D8" w:rsidRPr="00B976D8" w:rsidRDefault="00B976D8" w:rsidP="00B976D8">
            <w:r w:rsidRPr="00B976D8">
              <w:t>139.00</w:t>
            </w:r>
          </w:p>
        </w:tc>
        <w:tc>
          <w:tcPr>
            <w:tcW w:w="647" w:type="pct"/>
            <w:vAlign w:val="bottom"/>
          </w:tcPr>
          <w:p w:rsidR="00B976D8" w:rsidRPr="00B976D8" w:rsidRDefault="00B976D8" w:rsidP="00B976D8">
            <w:r w:rsidRPr="00B976D8">
              <w:t>144.99</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Metal Halide 400 watt</w:t>
            </w:r>
          </w:p>
        </w:tc>
        <w:tc>
          <w:tcPr>
            <w:tcW w:w="648" w:type="pct"/>
            <w:vAlign w:val="bottom"/>
          </w:tcPr>
          <w:p w:rsidR="00B976D8" w:rsidRPr="00B976D8" w:rsidRDefault="00B976D8" w:rsidP="00B976D8">
            <w:r w:rsidRPr="00B976D8">
              <w:t>122.13</w:t>
            </w:r>
          </w:p>
        </w:tc>
        <w:tc>
          <w:tcPr>
            <w:tcW w:w="648" w:type="pct"/>
            <w:vAlign w:val="bottom"/>
          </w:tcPr>
          <w:p w:rsidR="00B976D8" w:rsidRPr="00B976D8" w:rsidRDefault="00B976D8" w:rsidP="00B976D8">
            <w:r w:rsidRPr="00B976D8">
              <w:t>127.56</w:t>
            </w:r>
          </w:p>
        </w:tc>
        <w:tc>
          <w:tcPr>
            <w:tcW w:w="648" w:type="pct"/>
            <w:vAlign w:val="bottom"/>
          </w:tcPr>
          <w:p w:rsidR="00B976D8" w:rsidRPr="00B976D8" w:rsidRDefault="00B976D8" w:rsidP="00B976D8">
            <w:r w:rsidRPr="00B976D8">
              <w:t>133.03</w:t>
            </w:r>
          </w:p>
        </w:tc>
        <w:tc>
          <w:tcPr>
            <w:tcW w:w="648" w:type="pct"/>
            <w:vAlign w:val="bottom"/>
          </w:tcPr>
          <w:p w:rsidR="00B976D8" w:rsidRPr="00B976D8" w:rsidRDefault="00B976D8" w:rsidP="00B976D8">
            <w:r w:rsidRPr="00B976D8">
              <w:t>139.00</w:t>
            </w:r>
          </w:p>
        </w:tc>
        <w:tc>
          <w:tcPr>
            <w:tcW w:w="647" w:type="pct"/>
            <w:vAlign w:val="bottom"/>
          </w:tcPr>
          <w:p w:rsidR="00B976D8" w:rsidRPr="00B976D8" w:rsidRDefault="00B976D8" w:rsidP="00B976D8">
            <w:r w:rsidRPr="00B976D8">
              <w:t>144.99</w:t>
            </w:r>
          </w:p>
        </w:tc>
      </w:tr>
      <w:tr w:rsidR="00B976D8" w:rsidRPr="005B4148" w:rsidTr="002C0192">
        <w:trPr>
          <w:trHeight w:val="230"/>
        </w:trPr>
        <w:tc>
          <w:tcPr>
            <w:tcW w:w="1761" w:type="pct"/>
          </w:tcPr>
          <w:p w:rsidR="00B976D8" w:rsidRPr="00B976D8" w:rsidRDefault="00B976D8" w:rsidP="00B976D8">
            <w:r w:rsidRPr="00B976D8">
              <w:t>Metal Halide 70 watt</w:t>
            </w:r>
          </w:p>
        </w:tc>
        <w:tc>
          <w:tcPr>
            <w:tcW w:w="648" w:type="pct"/>
            <w:vAlign w:val="bottom"/>
          </w:tcPr>
          <w:p w:rsidR="00B976D8" w:rsidRPr="00B976D8" w:rsidRDefault="00B976D8" w:rsidP="00B976D8">
            <w:r w:rsidRPr="00B976D8">
              <w:t>101.94</w:t>
            </w:r>
          </w:p>
        </w:tc>
        <w:tc>
          <w:tcPr>
            <w:tcW w:w="648" w:type="pct"/>
            <w:vAlign w:val="bottom"/>
          </w:tcPr>
          <w:p w:rsidR="00B976D8" w:rsidRPr="00B976D8" w:rsidRDefault="00B976D8" w:rsidP="00B976D8">
            <w:r w:rsidRPr="00B976D8">
              <w:t>107.74</w:t>
            </w:r>
          </w:p>
        </w:tc>
        <w:tc>
          <w:tcPr>
            <w:tcW w:w="648" w:type="pct"/>
            <w:vAlign w:val="bottom"/>
          </w:tcPr>
          <w:p w:rsidR="00B976D8" w:rsidRPr="00B976D8" w:rsidRDefault="00B976D8" w:rsidP="00B976D8">
            <w:r w:rsidRPr="00B976D8">
              <w:t>113.30</w:t>
            </w:r>
          </w:p>
        </w:tc>
        <w:tc>
          <w:tcPr>
            <w:tcW w:w="648" w:type="pct"/>
            <w:vAlign w:val="bottom"/>
          </w:tcPr>
          <w:p w:rsidR="00B976D8" w:rsidRPr="00B976D8" w:rsidRDefault="00B976D8" w:rsidP="00B976D8">
            <w:r w:rsidRPr="00B976D8">
              <w:t>119.44</w:t>
            </w:r>
          </w:p>
        </w:tc>
        <w:tc>
          <w:tcPr>
            <w:tcW w:w="647" w:type="pct"/>
            <w:vAlign w:val="bottom"/>
          </w:tcPr>
          <w:p w:rsidR="00B976D8" w:rsidRPr="00B976D8" w:rsidRDefault="00B976D8" w:rsidP="00B976D8">
            <w:r w:rsidRPr="00B976D8">
              <w:t>125.53</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Metal Halide 150 watt</w:t>
            </w:r>
          </w:p>
        </w:tc>
        <w:tc>
          <w:tcPr>
            <w:tcW w:w="648" w:type="pct"/>
            <w:vAlign w:val="bottom"/>
          </w:tcPr>
          <w:p w:rsidR="00B976D8" w:rsidRPr="00B976D8" w:rsidRDefault="00B976D8" w:rsidP="00B976D8">
            <w:r w:rsidRPr="00B976D8">
              <w:t>120.55</w:t>
            </w:r>
          </w:p>
        </w:tc>
        <w:tc>
          <w:tcPr>
            <w:tcW w:w="648" w:type="pct"/>
            <w:vAlign w:val="bottom"/>
          </w:tcPr>
          <w:p w:rsidR="00B976D8" w:rsidRPr="00B976D8" w:rsidRDefault="00B976D8" w:rsidP="00B976D8">
            <w:r w:rsidRPr="00B976D8">
              <w:t>125.71</w:t>
            </w:r>
          </w:p>
        </w:tc>
        <w:tc>
          <w:tcPr>
            <w:tcW w:w="648" w:type="pct"/>
            <w:vAlign w:val="bottom"/>
          </w:tcPr>
          <w:p w:rsidR="00B976D8" w:rsidRPr="00B976D8" w:rsidRDefault="00B976D8" w:rsidP="00B976D8">
            <w:r w:rsidRPr="00B976D8">
              <w:t>130.98</w:t>
            </w:r>
          </w:p>
        </w:tc>
        <w:tc>
          <w:tcPr>
            <w:tcW w:w="648" w:type="pct"/>
            <w:vAlign w:val="bottom"/>
          </w:tcPr>
          <w:p w:rsidR="00B976D8" w:rsidRPr="00B976D8" w:rsidRDefault="00B976D8" w:rsidP="00B976D8">
            <w:r w:rsidRPr="00B976D8">
              <w:t>136.71</w:t>
            </w:r>
          </w:p>
        </w:tc>
        <w:tc>
          <w:tcPr>
            <w:tcW w:w="647" w:type="pct"/>
            <w:vAlign w:val="bottom"/>
          </w:tcPr>
          <w:p w:rsidR="00B976D8" w:rsidRPr="00B976D8" w:rsidRDefault="00B976D8" w:rsidP="00B976D8">
            <w:r w:rsidRPr="00B976D8">
              <w:t>142.47</w:t>
            </w:r>
          </w:p>
        </w:tc>
      </w:tr>
      <w:tr w:rsidR="00B976D8" w:rsidRPr="005B4148" w:rsidTr="002C0192">
        <w:trPr>
          <w:trHeight w:val="230"/>
        </w:trPr>
        <w:tc>
          <w:tcPr>
            <w:tcW w:w="1761" w:type="pct"/>
          </w:tcPr>
          <w:p w:rsidR="00B976D8" w:rsidRPr="00B976D8" w:rsidRDefault="00B976D8" w:rsidP="00B976D8">
            <w:r w:rsidRPr="00B976D8">
              <w:t>T5 2X14W</w:t>
            </w:r>
          </w:p>
        </w:tc>
        <w:tc>
          <w:tcPr>
            <w:tcW w:w="648" w:type="pct"/>
            <w:vAlign w:val="bottom"/>
          </w:tcPr>
          <w:p w:rsidR="00B976D8" w:rsidRPr="00B976D8" w:rsidRDefault="00B976D8" w:rsidP="00B976D8">
            <w:r w:rsidRPr="00B976D8">
              <w:t>39.68</w:t>
            </w:r>
          </w:p>
        </w:tc>
        <w:tc>
          <w:tcPr>
            <w:tcW w:w="648" w:type="pct"/>
            <w:vAlign w:val="bottom"/>
          </w:tcPr>
          <w:p w:rsidR="00B976D8" w:rsidRPr="00B976D8" w:rsidRDefault="00B976D8" w:rsidP="00B976D8">
            <w:r w:rsidRPr="00B976D8">
              <w:t>39.43</w:t>
            </w:r>
          </w:p>
        </w:tc>
        <w:tc>
          <w:tcPr>
            <w:tcW w:w="648" w:type="pct"/>
            <w:vAlign w:val="bottom"/>
          </w:tcPr>
          <w:p w:rsidR="00B976D8" w:rsidRPr="00B976D8" w:rsidRDefault="00B976D8" w:rsidP="00B976D8">
            <w:r w:rsidRPr="00B976D8">
              <w:t>40.26</w:t>
            </w:r>
          </w:p>
        </w:tc>
        <w:tc>
          <w:tcPr>
            <w:tcW w:w="648" w:type="pct"/>
            <w:vAlign w:val="bottom"/>
          </w:tcPr>
          <w:p w:rsidR="00B976D8" w:rsidRPr="00B976D8" w:rsidRDefault="00B976D8" w:rsidP="00B976D8">
            <w:r w:rsidRPr="00B976D8">
              <w:t>41.06</w:t>
            </w:r>
          </w:p>
        </w:tc>
        <w:tc>
          <w:tcPr>
            <w:tcW w:w="647" w:type="pct"/>
            <w:vAlign w:val="bottom"/>
          </w:tcPr>
          <w:p w:rsidR="00B976D8" w:rsidRPr="00B976D8" w:rsidRDefault="00B976D8" w:rsidP="00B976D8">
            <w:r w:rsidRPr="00B976D8">
              <w:t>41.84</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T5 (2x24W)</w:t>
            </w:r>
          </w:p>
        </w:tc>
        <w:tc>
          <w:tcPr>
            <w:tcW w:w="648" w:type="pct"/>
            <w:vAlign w:val="bottom"/>
          </w:tcPr>
          <w:p w:rsidR="00B976D8" w:rsidRPr="00B976D8" w:rsidRDefault="00B976D8" w:rsidP="00B976D8">
            <w:r w:rsidRPr="00B976D8">
              <w:t>39.03</w:t>
            </w:r>
          </w:p>
        </w:tc>
        <w:tc>
          <w:tcPr>
            <w:tcW w:w="648" w:type="pct"/>
            <w:vAlign w:val="bottom"/>
          </w:tcPr>
          <w:p w:rsidR="00B976D8" w:rsidRPr="00B976D8" w:rsidRDefault="00B976D8" w:rsidP="00B976D8">
            <w:r w:rsidRPr="00B976D8">
              <w:t>38.79</w:t>
            </w:r>
          </w:p>
        </w:tc>
        <w:tc>
          <w:tcPr>
            <w:tcW w:w="648" w:type="pct"/>
            <w:vAlign w:val="bottom"/>
          </w:tcPr>
          <w:p w:rsidR="00B976D8" w:rsidRPr="00B976D8" w:rsidRDefault="00B976D8" w:rsidP="00B976D8">
            <w:r w:rsidRPr="00B976D8">
              <w:t>39.60</w:t>
            </w:r>
          </w:p>
        </w:tc>
        <w:tc>
          <w:tcPr>
            <w:tcW w:w="648" w:type="pct"/>
            <w:vAlign w:val="bottom"/>
          </w:tcPr>
          <w:p w:rsidR="00B976D8" w:rsidRPr="00B976D8" w:rsidRDefault="00B976D8" w:rsidP="00B976D8">
            <w:r w:rsidRPr="00B976D8">
              <w:t>40.40</w:t>
            </w:r>
          </w:p>
        </w:tc>
        <w:tc>
          <w:tcPr>
            <w:tcW w:w="647" w:type="pct"/>
            <w:vAlign w:val="bottom"/>
          </w:tcPr>
          <w:p w:rsidR="00B976D8" w:rsidRPr="00B976D8" w:rsidRDefault="00B976D8" w:rsidP="00B976D8">
            <w:r w:rsidRPr="00B976D8">
              <w:t>41.16</w:t>
            </w:r>
          </w:p>
        </w:tc>
      </w:tr>
      <w:tr w:rsidR="00B976D8" w:rsidRPr="005B4148" w:rsidTr="002C0192">
        <w:trPr>
          <w:trHeight w:val="230"/>
        </w:trPr>
        <w:tc>
          <w:tcPr>
            <w:tcW w:w="1761" w:type="pct"/>
          </w:tcPr>
          <w:p w:rsidR="00B976D8" w:rsidRPr="00B976D8" w:rsidRDefault="00B976D8" w:rsidP="00B976D8">
            <w:r w:rsidRPr="00B976D8">
              <w:t>Compact Fluoro 32W</w:t>
            </w:r>
          </w:p>
        </w:tc>
        <w:tc>
          <w:tcPr>
            <w:tcW w:w="648" w:type="pct"/>
            <w:vAlign w:val="bottom"/>
          </w:tcPr>
          <w:p w:rsidR="00B976D8" w:rsidRPr="00B976D8" w:rsidRDefault="00B976D8" w:rsidP="00B976D8">
            <w:r w:rsidRPr="00B976D8">
              <w:t>38.14</w:t>
            </w:r>
          </w:p>
        </w:tc>
        <w:tc>
          <w:tcPr>
            <w:tcW w:w="648" w:type="pct"/>
            <w:vAlign w:val="bottom"/>
          </w:tcPr>
          <w:p w:rsidR="00B976D8" w:rsidRPr="00B976D8" w:rsidRDefault="00B976D8" w:rsidP="00B976D8">
            <w:r w:rsidRPr="00B976D8">
              <w:t>37.91</w:t>
            </w:r>
          </w:p>
        </w:tc>
        <w:tc>
          <w:tcPr>
            <w:tcW w:w="648" w:type="pct"/>
            <w:vAlign w:val="bottom"/>
          </w:tcPr>
          <w:p w:rsidR="00B976D8" w:rsidRPr="00B976D8" w:rsidRDefault="00B976D8" w:rsidP="00B976D8">
            <w:r w:rsidRPr="00B976D8">
              <w:t>38.70</w:t>
            </w:r>
          </w:p>
        </w:tc>
        <w:tc>
          <w:tcPr>
            <w:tcW w:w="648" w:type="pct"/>
            <w:vAlign w:val="bottom"/>
          </w:tcPr>
          <w:p w:rsidR="00B976D8" w:rsidRPr="00B976D8" w:rsidRDefault="00B976D8" w:rsidP="00B976D8">
            <w:r w:rsidRPr="00B976D8">
              <w:t>39.47</w:t>
            </w:r>
          </w:p>
        </w:tc>
        <w:tc>
          <w:tcPr>
            <w:tcW w:w="647" w:type="pct"/>
            <w:vAlign w:val="bottom"/>
          </w:tcPr>
          <w:p w:rsidR="00B976D8" w:rsidRPr="00B976D8" w:rsidRDefault="00B976D8" w:rsidP="00B976D8">
            <w:r w:rsidRPr="00B976D8">
              <w:t>40.22</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Compact Fluoro 42W</w:t>
            </w:r>
          </w:p>
        </w:tc>
        <w:tc>
          <w:tcPr>
            <w:tcW w:w="648" w:type="pct"/>
            <w:vAlign w:val="bottom"/>
          </w:tcPr>
          <w:p w:rsidR="00B976D8" w:rsidRPr="00B976D8" w:rsidRDefault="00B976D8" w:rsidP="00B976D8">
            <w:r w:rsidRPr="00B976D8">
              <w:t>38.14</w:t>
            </w:r>
          </w:p>
        </w:tc>
        <w:tc>
          <w:tcPr>
            <w:tcW w:w="648" w:type="pct"/>
            <w:vAlign w:val="bottom"/>
          </w:tcPr>
          <w:p w:rsidR="00B976D8" w:rsidRPr="00B976D8" w:rsidRDefault="00B976D8" w:rsidP="00B976D8">
            <w:r w:rsidRPr="00B976D8">
              <w:t>37.91</w:t>
            </w:r>
          </w:p>
        </w:tc>
        <w:tc>
          <w:tcPr>
            <w:tcW w:w="648" w:type="pct"/>
            <w:vAlign w:val="bottom"/>
          </w:tcPr>
          <w:p w:rsidR="00B976D8" w:rsidRPr="00B976D8" w:rsidRDefault="00B976D8" w:rsidP="00B976D8">
            <w:r w:rsidRPr="00B976D8">
              <w:t>38.70</w:t>
            </w:r>
          </w:p>
        </w:tc>
        <w:tc>
          <w:tcPr>
            <w:tcW w:w="648" w:type="pct"/>
            <w:vAlign w:val="bottom"/>
          </w:tcPr>
          <w:p w:rsidR="00B976D8" w:rsidRPr="00B976D8" w:rsidRDefault="00B976D8" w:rsidP="00B976D8">
            <w:r w:rsidRPr="00B976D8">
              <w:t>39.47</w:t>
            </w:r>
          </w:p>
        </w:tc>
        <w:tc>
          <w:tcPr>
            <w:tcW w:w="647" w:type="pct"/>
            <w:vAlign w:val="bottom"/>
          </w:tcPr>
          <w:p w:rsidR="00B976D8" w:rsidRPr="00B976D8" w:rsidRDefault="00B976D8" w:rsidP="00B976D8">
            <w:r w:rsidRPr="00B976D8">
              <w:t>40.22</w:t>
            </w:r>
          </w:p>
        </w:tc>
      </w:tr>
      <w:tr w:rsidR="00B976D8" w:rsidRPr="005B4148" w:rsidTr="002C0192">
        <w:trPr>
          <w:trHeight w:val="230"/>
        </w:trPr>
        <w:tc>
          <w:tcPr>
            <w:tcW w:w="1761" w:type="pct"/>
          </w:tcPr>
          <w:p w:rsidR="00B976D8" w:rsidRPr="00B976D8" w:rsidRDefault="00B976D8" w:rsidP="00B976D8">
            <w:r w:rsidRPr="00B976D8">
              <w:t>LED 18W</w:t>
            </w:r>
          </w:p>
        </w:tc>
        <w:tc>
          <w:tcPr>
            <w:tcW w:w="648" w:type="pct"/>
            <w:vAlign w:val="bottom"/>
          </w:tcPr>
          <w:p w:rsidR="00B976D8" w:rsidRPr="00B976D8" w:rsidRDefault="00B976D8" w:rsidP="00B976D8">
            <w:r w:rsidRPr="00B976D8">
              <w:t>26.43</w:t>
            </w:r>
          </w:p>
        </w:tc>
        <w:tc>
          <w:tcPr>
            <w:tcW w:w="648" w:type="pct"/>
            <w:vAlign w:val="bottom"/>
          </w:tcPr>
          <w:p w:rsidR="00B976D8" w:rsidRPr="00B976D8" w:rsidRDefault="00B976D8" w:rsidP="00B976D8">
            <w:r w:rsidRPr="00B976D8">
              <w:t>25.73</w:t>
            </w:r>
          </w:p>
        </w:tc>
        <w:tc>
          <w:tcPr>
            <w:tcW w:w="648" w:type="pct"/>
            <w:vAlign w:val="bottom"/>
          </w:tcPr>
          <w:p w:rsidR="00B976D8" w:rsidRPr="00B976D8" w:rsidRDefault="00B976D8" w:rsidP="00B976D8">
            <w:r w:rsidRPr="00B976D8">
              <w:t>26.18</w:t>
            </w:r>
          </w:p>
        </w:tc>
        <w:tc>
          <w:tcPr>
            <w:tcW w:w="648" w:type="pct"/>
            <w:vAlign w:val="bottom"/>
          </w:tcPr>
          <w:p w:rsidR="00B976D8" w:rsidRPr="00B976D8" w:rsidRDefault="00B976D8" w:rsidP="00B976D8">
            <w:r w:rsidRPr="00B976D8">
              <w:t>26.57</w:t>
            </w:r>
          </w:p>
        </w:tc>
        <w:tc>
          <w:tcPr>
            <w:tcW w:w="647" w:type="pct"/>
            <w:vAlign w:val="bottom"/>
          </w:tcPr>
          <w:p w:rsidR="00B976D8" w:rsidRPr="00B976D8" w:rsidRDefault="00B976D8" w:rsidP="00B976D8">
            <w:r w:rsidRPr="00B976D8">
              <w:t>26.91</w:t>
            </w:r>
          </w:p>
        </w:tc>
      </w:tr>
      <w:tr w:rsidR="00B976D8" w:rsidRPr="005B4148" w:rsidTr="002C0192">
        <w:trPr>
          <w:cnfStyle w:val="000000010000" w:firstRow="0" w:lastRow="0" w:firstColumn="0" w:lastColumn="0" w:oddVBand="0" w:evenVBand="0" w:oddHBand="0" w:evenHBand="1" w:firstRowFirstColumn="0" w:firstRowLastColumn="0" w:lastRowFirstColumn="0" w:lastRowLastColumn="0"/>
          <w:trHeight w:val="230"/>
        </w:trPr>
        <w:tc>
          <w:tcPr>
            <w:tcW w:w="1761" w:type="pct"/>
          </w:tcPr>
          <w:p w:rsidR="00B976D8" w:rsidRPr="00B976D8" w:rsidRDefault="00B976D8" w:rsidP="00B976D8">
            <w:r w:rsidRPr="00B976D8">
              <w:t>LED 47W</w:t>
            </w:r>
          </w:p>
        </w:tc>
        <w:tc>
          <w:tcPr>
            <w:tcW w:w="648" w:type="pct"/>
            <w:vAlign w:val="bottom"/>
          </w:tcPr>
          <w:p w:rsidR="00B976D8" w:rsidRPr="00B976D8" w:rsidRDefault="00B976D8" w:rsidP="00B976D8">
            <w:r w:rsidRPr="00B976D8">
              <w:t>26.43</w:t>
            </w:r>
          </w:p>
        </w:tc>
        <w:tc>
          <w:tcPr>
            <w:tcW w:w="648" w:type="pct"/>
            <w:vAlign w:val="bottom"/>
          </w:tcPr>
          <w:p w:rsidR="00B976D8" w:rsidRPr="00B976D8" w:rsidRDefault="00B976D8" w:rsidP="00B976D8">
            <w:r w:rsidRPr="00B976D8">
              <w:t>25.73</w:t>
            </w:r>
          </w:p>
        </w:tc>
        <w:tc>
          <w:tcPr>
            <w:tcW w:w="648" w:type="pct"/>
            <w:vAlign w:val="bottom"/>
          </w:tcPr>
          <w:p w:rsidR="00B976D8" w:rsidRPr="00B976D8" w:rsidRDefault="00B976D8" w:rsidP="00B976D8">
            <w:r w:rsidRPr="00B976D8">
              <w:t>26.18</w:t>
            </w:r>
          </w:p>
        </w:tc>
        <w:tc>
          <w:tcPr>
            <w:tcW w:w="648" w:type="pct"/>
            <w:vAlign w:val="bottom"/>
          </w:tcPr>
          <w:p w:rsidR="00B976D8" w:rsidRPr="00B976D8" w:rsidRDefault="00B976D8" w:rsidP="00B976D8">
            <w:r w:rsidRPr="00B976D8">
              <w:t>26.57</w:t>
            </w:r>
          </w:p>
        </w:tc>
        <w:tc>
          <w:tcPr>
            <w:tcW w:w="647" w:type="pct"/>
            <w:vAlign w:val="bottom"/>
          </w:tcPr>
          <w:p w:rsidR="00B976D8" w:rsidRPr="00B976D8" w:rsidRDefault="00B976D8" w:rsidP="00B976D8">
            <w:r w:rsidRPr="00B976D8">
              <w:t>26.91</w:t>
            </w:r>
          </w:p>
        </w:tc>
      </w:tr>
    </w:tbl>
    <w:p w:rsidR="00BB1F6D" w:rsidRPr="00BB1F6D" w:rsidRDefault="00BB1F6D" w:rsidP="00BB1F6D">
      <w:pPr>
        <w:pStyle w:val="AERtablesource"/>
      </w:pPr>
      <w:r w:rsidRPr="00BB1F6D">
        <w:t xml:space="preserve">Source: </w:t>
      </w:r>
      <w:r w:rsidRPr="00BB1F6D">
        <w:tab/>
        <w:t xml:space="preserve">AER analysis. </w:t>
      </w:r>
    </w:p>
    <w:p w:rsidR="003E41E3" w:rsidRDefault="003E41E3" w:rsidP="00297833">
      <w:pPr>
        <w:pStyle w:val="Heading2"/>
        <w:keepNext/>
      </w:pPr>
      <w:bookmarkStart w:id="94" w:name="_Toc451441235"/>
      <w:r>
        <w:lastRenderedPageBreak/>
        <w:t>Metering</w:t>
      </w:r>
      <w:bookmarkEnd w:id="94"/>
    </w:p>
    <w:p w:rsidR="003E41E3" w:rsidRPr="003E41E3" w:rsidRDefault="003E41E3" w:rsidP="00297833">
      <w:pPr>
        <w:keepNext/>
        <w:numPr>
          <w:ilvl w:val="0"/>
          <w:numId w:val="24"/>
        </w:numPr>
      </w:pPr>
      <w:r w:rsidRPr="003E41E3">
        <w:t xml:space="preserve">We are responsible for the economic regulation of the regulated metering services provided by the Victorian distribution businesses. </w:t>
      </w:r>
    </w:p>
    <w:p w:rsidR="003E41E3" w:rsidRPr="003E41E3" w:rsidRDefault="003E41E3" w:rsidP="003E41E3">
      <w:pPr>
        <w:numPr>
          <w:ilvl w:val="0"/>
          <w:numId w:val="24"/>
        </w:numPr>
      </w:pPr>
      <w:r w:rsidRPr="003E41E3">
        <w:t>Type 1–4 (advanced) meters for large customers are competitively provided in Victoria and are therefore unregulated. We regulate all other metering in Victoria.</w:t>
      </w:r>
    </w:p>
    <w:p w:rsidR="003E41E3" w:rsidRPr="003E41E3" w:rsidRDefault="003E41E3" w:rsidP="003E41E3">
      <w:pPr>
        <w:numPr>
          <w:ilvl w:val="0"/>
          <w:numId w:val="24"/>
        </w:numPr>
      </w:pPr>
      <w:r w:rsidRPr="003E41E3">
        <w:t>Since 2009, there has been a derogation in Victoria which has meant that the scope of our regulation has been set under the Advanced Metering Infrastructure</w:t>
      </w:r>
      <w:r w:rsidR="0081348E">
        <w:t xml:space="preserve"> (AMI)</w:t>
      </w:r>
      <w:r w:rsidRPr="003E41E3">
        <w:t xml:space="preserve"> Cost Recovery Order-in-Council (the Order) made by the Victorian Government. The Order mandated distributors install advanced remotely read interval meters together with appropriate communications and information technology systems for all small electricity customers in Victoria. </w:t>
      </w:r>
    </w:p>
    <w:p w:rsidR="003E41E3" w:rsidRPr="003E41E3" w:rsidRDefault="003E41E3" w:rsidP="003E41E3">
      <w:pPr>
        <w:numPr>
          <w:ilvl w:val="0"/>
          <w:numId w:val="24"/>
        </w:numPr>
      </w:pPr>
      <w:r w:rsidRPr="003E41E3">
        <w:t>Our Framework and Approach Paper (F&amp;A) introduced the term 'smart meters' to refer to the advanced remotely read interval meters installed under the derogation.</w:t>
      </w:r>
      <w:r w:rsidR="00C11039">
        <w:rPr>
          <w:rStyle w:val="FootnoteReference"/>
        </w:rPr>
        <w:footnoteReference w:id="31"/>
      </w:r>
      <w:r w:rsidRPr="003E41E3">
        <w:t xml:space="preserve"> From 2009 to 2015, the Order directed the AER to set budgets and charges for the AMI rollout under a prescribed regime instead of the NER. </w:t>
      </w:r>
    </w:p>
    <w:p w:rsidR="003E41E3" w:rsidRPr="003E41E3" w:rsidRDefault="003E41E3" w:rsidP="003E41E3">
      <w:pPr>
        <w:numPr>
          <w:ilvl w:val="0"/>
          <w:numId w:val="24"/>
        </w:numPr>
      </w:pPr>
      <w:r w:rsidRPr="003E41E3">
        <w:t>The rollout of smart meters in Victoria is now effectively complete with almost 2.8 million meters installed across the state.</w:t>
      </w:r>
      <w:r w:rsidR="00C11039">
        <w:rPr>
          <w:rStyle w:val="FootnoteReference"/>
        </w:rPr>
        <w:footnoteReference w:id="32"/>
      </w:r>
      <w:r w:rsidRPr="003E41E3">
        <w:t xml:space="preserve"> As a result, metering in Victoria is entering a "business-as-usual" phase in the 2016</w:t>
      </w:r>
      <w:r w:rsidR="000E17FE">
        <w:noBreakHyphen/>
        <w:t xml:space="preserve">20 regulatory control period. </w:t>
      </w:r>
      <w:r w:rsidRPr="003E41E3">
        <w:t xml:space="preserve">To facilitate this transition, metering services will now be regulated under the NEL and NER, subject to certain modifications set out in the Order. </w:t>
      </w:r>
    </w:p>
    <w:p w:rsidR="003E41E3" w:rsidRPr="003E41E3" w:rsidRDefault="003E41E3" w:rsidP="003E41E3">
      <w:pPr>
        <w:numPr>
          <w:ilvl w:val="0"/>
          <w:numId w:val="24"/>
        </w:numPr>
      </w:pPr>
      <w:r w:rsidRPr="003E41E3">
        <w:t>The AEMC published its final rule change on expanding competition in metering on 26 November 2015.</w:t>
      </w:r>
      <w:r w:rsidR="00C11039">
        <w:rPr>
          <w:rStyle w:val="FootnoteReference"/>
        </w:rPr>
        <w:footnoteReference w:id="33"/>
      </w:r>
      <w:r w:rsidR="000E17FE">
        <w:t xml:space="preserve"> </w:t>
      </w:r>
      <w:r w:rsidRPr="003E41E3">
        <w:t>For jurisdictions that are part of the national metering framework, the new rules will take effect from 1 December 2017.</w:t>
      </w:r>
      <w:r w:rsidR="00C11039">
        <w:rPr>
          <w:rStyle w:val="FootnoteReference"/>
        </w:rPr>
        <w:footnoteReference w:id="34"/>
      </w:r>
      <w:r w:rsidR="00C11039" w:rsidRPr="003E41E3">
        <w:t xml:space="preserve"> </w:t>
      </w:r>
      <w:r w:rsidRPr="003E41E3">
        <w:t>It is not clear at this stage the extent to which the Victorian Government will adopt the national framework.</w:t>
      </w:r>
    </w:p>
    <w:p w:rsidR="003E41E3" w:rsidRPr="003E41E3" w:rsidRDefault="00AD5D70" w:rsidP="003E41E3">
      <w:pPr>
        <w:numPr>
          <w:ilvl w:val="0"/>
          <w:numId w:val="24"/>
        </w:numPr>
      </w:pPr>
      <w:r>
        <w:t>We make this final</w:t>
      </w:r>
      <w:r w:rsidR="003E41E3" w:rsidRPr="003E41E3">
        <w:t xml:space="preserve"> decision taking into account the current jurisdic</w:t>
      </w:r>
      <w:r>
        <w:t>tional context. This final</w:t>
      </w:r>
      <w:r w:rsidR="003E41E3" w:rsidRPr="003E41E3">
        <w:t xml:space="preserve"> decision focuses on facilitating smooth transition from the Order to the NER, noting the national context for introducing competition to metering. We have maintained many of the same elements currently in the Order: a revenue cap and recovering the capital for new and upgraded meters as part of the annual charge. However, the Order requires us to set restoration and exit fees in accordance with the Order and also provides additional factors we may have regard to when determining 2016</w:t>
      </w:r>
      <w:r w:rsidR="003E41E3" w:rsidRPr="003E41E3">
        <w:noBreakHyphen/>
        <w:t>20 metering service charges.</w:t>
      </w:r>
    </w:p>
    <w:p w:rsidR="003E41E3" w:rsidRPr="003E41E3" w:rsidRDefault="003E41E3" w:rsidP="003E41E3">
      <w:r w:rsidRPr="003E41E3">
        <w:lastRenderedPageBreak/>
        <w:t>In this section of the alte</w:t>
      </w:r>
      <w:r w:rsidR="008572AB">
        <w:t>rnative control services attachment</w:t>
      </w:r>
      <w:r w:rsidRPr="003E41E3">
        <w:t>, we explain our decision on 'default' metering services that are common to regulated metering customers:</w:t>
      </w:r>
    </w:p>
    <w:p w:rsidR="003E41E3" w:rsidRPr="003E41E3" w:rsidRDefault="003E41E3" w:rsidP="002A2D38">
      <w:pPr>
        <w:pStyle w:val="AERbulletlistfirststyle"/>
      </w:pPr>
      <w:r w:rsidRPr="003E41E3">
        <w:t>Type 5–6 and smart metering services (regulated service only), referred to as annual metering charges (revenue cap)</w:t>
      </w:r>
    </w:p>
    <w:p w:rsidR="003E41E3" w:rsidRPr="003E41E3" w:rsidRDefault="003E41E3" w:rsidP="002A2D38">
      <w:pPr>
        <w:pStyle w:val="AERbulletlistfirststyle"/>
      </w:pPr>
      <w:r w:rsidRPr="003E41E3">
        <w:t>Type 5–6 and smart metering exit fees (individual price caps)</w:t>
      </w:r>
    </w:p>
    <w:p w:rsidR="003E41E3" w:rsidRPr="003E41E3" w:rsidRDefault="003E41E3" w:rsidP="002A2D38">
      <w:pPr>
        <w:pStyle w:val="AERbulletlistfirststyle"/>
      </w:pPr>
      <w:r w:rsidRPr="003E41E3">
        <w:t>Type 7 metering charges (individual price caps)</w:t>
      </w:r>
      <w:r w:rsidR="008572AB">
        <w:t>.</w:t>
      </w:r>
    </w:p>
    <w:p w:rsidR="003E41E3" w:rsidRPr="003E41E3" w:rsidRDefault="003E41E3" w:rsidP="003E41E3">
      <w:r w:rsidRPr="003E41E3">
        <w:t xml:space="preserve">Our determination on ancillary metering services (specifically requested services) is set out in the ancillary network services section of this chapter (section </w:t>
      </w:r>
      <w:r w:rsidR="004E184C">
        <w:fldChar w:fldCharType="begin"/>
      </w:r>
      <w:r w:rsidR="004E184C">
        <w:instrText xml:space="preserve"> REF _Ref449972616 \n \h </w:instrText>
      </w:r>
      <w:r w:rsidR="004E184C">
        <w:fldChar w:fldCharType="separate"/>
      </w:r>
      <w:r w:rsidR="00B1103A">
        <w:t>16.1</w:t>
      </w:r>
      <w:r w:rsidR="004E184C">
        <w:fldChar w:fldCharType="end"/>
      </w:r>
      <w:r w:rsidR="004E184C">
        <w:t>)</w:t>
      </w:r>
    </w:p>
    <w:p w:rsidR="002A2D38" w:rsidRPr="002A2D38" w:rsidRDefault="002A2D38" w:rsidP="00297833">
      <w:pPr>
        <w:pStyle w:val="Heading3"/>
        <w:ind w:left="720"/>
      </w:pPr>
      <w:bookmarkStart w:id="95" w:name="_Toc444841403"/>
      <w:bookmarkStart w:id="96" w:name="_Toc444841546"/>
      <w:bookmarkStart w:id="97" w:name="_Toc451441236"/>
      <w:r w:rsidRPr="002A2D38">
        <w:t>Final decision</w:t>
      </w:r>
      <w:bookmarkEnd w:id="95"/>
      <w:bookmarkEnd w:id="96"/>
      <w:bookmarkEnd w:id="97"/>
    </w:p>
    <w:p w:rsidR="002A2D38" w:rsidRPr="002A2D38" w:rsidRDefault="002A2D38" w:rsidP="002A2D38">
      <w:pPr>
        <w:pStyle w:val="Heading4"/>
      </w:pPr>
      <w:bookmarkStart w:id="98" w:name="_Ref449974844"/>
      <w:r w:rsidRPr="002A2D38">
        <w:t>Cost Allocation</w:t>
      </w:r>
      <w:bookmarkEnd w:id="98"/>
    </w:p>
    <w:p w:rsidR="00614F31" w:rsidRPr="00614F31" w:rsidRDefault="00614F31" w:rsidP="00614F31">
      <w:r w:rsidRPr="00614F31">
        <w:t>Our final decision does not accept the advanced meter infrastructure (AMI) co</w:t>
      </w:r>
      <w:r w:rsidR="002F6CE5">
        <w:t>st allocation proposed by Powercor</w:t>
      </w:r>
      <w:r w:rsidRPr="00614F31">
        <w:t xml:space="preserve">. Our final decision on the allocation between alternative control services and standard control services is set out in </w:t>
      </w:r>
      <w:r w:rsidRPr="00614F31">
        <w:fldChar w:fldCharType="begin"/>
      </w:r>
      <w:r w:rsidRPr="00614F31">
        <w:instrText xml:space="preserve"> REF _Ref449603514 \h </w:instrText>
      </w:r>
      <w:r w:rsidRPr="00614F31">
        <w:fldChar w:fldCharType="separate"/>
      </w:r>
      <w:r w:rsidR="00B1103A" w:rsidRPr="00614F31">
        <w:t xml:space="preserve">Table </w:t>
      </w:r>
      <w:r w:rsidR="00B1103A">
        <w:rPr>
          <w:noProof/>
        </w:rPr>
        <w:t>16</w:t>
      </w:r>
      <w:r w:rsidR="00B1103A">
        <w:t>.</w:t>
      </w:r>
      <w:r w:rsidR="00B1103A">
        <w:rPr>
          <w:noProof/>
        </w:rPr>
        <w:t>4</w:t>
      </w:r>
      <w:r w:rsidRPr="00614F31">
        <w:fldChar w:fldCharType="end"/>
      </w:r>
      <w:r w:rsidRPr="00614F31">
        <w:t xml:space="preserve"> below.</w:t>
      </w:r>
    </w:p>
    <w:p w:rsidR="002A2D38" w:rsidRPr="004E184C" w:rsidRDefault="00614F31" w:rsidP="004E184C">
      <w:pPr>
        <w:pStyle w:val="Caption"/>
        <w:rPr>
          <w:rStyle w:val="AERtexthighlight"/>
          <w:shd w:val="clear" w:color="auto" w:fill="auto"/>
        </w:rPr>
      </w:pPr>
      <w:bookmarkStart w:id="99" w:name="_Ref449603514"/>
      <w:r w:rsidRPr="00614F31">
        <w:t xml:space="preserve">Table </w:t>
      </w:r>
      <w:r w:rsidR="00D74854">
        <w:fldChar w:fldCharType="begin"/>
      </w:r>
      <w:r w:rsidR="00D74854">
        <w:instrText xml:space="preserve"> STYLEREF </w:instrText>
      </w:r>
      <w:r w:rsidR="00D74854">
        <w:instrText xml:space="preserve">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4</w:t>
      </w:r>
      <w:r w:rsidR="008572AB">
        <w:rPr>
          <w:noProof/>
        </w:rPr>
        <w:fldChar w:fldCharType="end"/>
      </w:r>
      <w:bookmarkEnd w:id="99"/>
      <w:r w:rsidR="00E21125">
        <w:tab/>
      </w:r>
      <w:r w:rsidRPr="00614F31">
        <w:t xml:space="preserve">Final decision - </w:t>
      </w:r>
      <w:r>
        <w:t>Powercor</w:t>
      </w:r>
      <w:r w:rsidRPr="00614F31">
        <w:t>'s allocation of AMI IT and Comms (% allocated to ACS and SCS)</w:t>
      </w:r>
    </w:p>
    <w:tbl>
      <w:tblPr>
        <w:tblStyle w:val="AERtable-numbers"/>
        <w:tblW w:w="0" w:type="auto"/>
        <w:tblLook w:val="04A0" w:firstRow="1" w:lastRow="0" w:firstColumn="1" w:lastColumn="0" w:noHBand="0" w:noVBand="1"/>
      </w:tblPr>
      <w:tblGrid>
        <w:gridCol w:w="2897"/>
        <w:gridCol w:w="2898"/>
        <w:gridCol w:w="2898"/>
      </w:tblGrid>
      <w:tr w:rsidR="004E184C" w:rsidTr="004E1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4E184C" w:rsidRPr="004E184C" w:rsidRDefault="004E184C" w:rsidP="004E184C"/>
        </w:tc>
        <w:tc>
          <w:tcPr>
            <w:tcW w:w="2898" w:type="dxa"/>
          </w:tcPr>
          <w:p w:rsidR="004E184C" w:rsidRPr="004E184C" w:rsidRDefault="004E184C" w:rsidP="004E184C">
            <w:pPr>
              <w:cnfStyle w:val="100000000000" w:firstRow="1" w:lastRow="0" w:firstColumn="0" w:lastColumn="0" w:oddVBand="0" w:evenVBand="0" w:oddHBand="0" w:evenHBand="0" w:firstRowFirstColumn="0" w:firstRowLastColumn="0" w:lastRowFirstColumn="0" w:lastRowLastColumn="0"/>
            </w:pPr>
            <w:r>
              <w:t>Percentage allocated to ACS</w:t>
            </w:r>
          </w:p>
        </w:tc>
        <w:tc>
          <w:tcPr>
            <w:tcW w:w="2898" w:type="dxa"/>
          </w:tcPr>
          <w:p w:rsidR="004E184C" w:rsidRPr="004E184C" w:rsidRDefault="004E184C" w:rsidP="004E184C">
            <w:pPr>
              <w:cnfStyle w:val="100000000000" w:firstRow="1" w:lastRow="0" w:firstColumn="0" w:lastColumn="0" w:oddVBand="0" w:evenVBand="0" w:oddHBand="0" w:evenHBand="0" w:firstRowFirstColumn="0" w:firstRowLastColumn="0" w:lastRowFirstColumn="0" w:lastRowLastColumn="0"/>
            </w:pPr>
            <w:r>
              <w:t>Percentage allocated to SCS</w:t>
            </w:r>
          </w:p>
        </w:tc>
      </w:tr>
      <w:tr w:rsidR="004E184C" w:rsidTr="004E184C">
        <w:tc>
          <w:tcPr>
            <w:cnfStyle w:val="001000000000" w:firstRow="0" w:lastRow="0" w:firstColumn="1" w:lastColumn="0" w:oddVBand="0" w:evenVBand="0" w:oddHBand="0" w:evenHBand="0" w:firstRowFirstColumn="0" w:firstRowLastColumn="0" w:lastRowFirstColumn="0" w:lastRowLastColumn="0"/>
            <w:tcW w:w="2897" w:type="dxa"/>
          </w:tcPr>
          <w:p w:rsidR="004E184C" w:rsidRPr="004E184C" w:rsidRDefault="004E184C" w:rsidP="004E184C">
            <w:r w:rsidRPr="004E184C">
              <w:t>Initial proposal</w:t>
            </w:r>
          </w:p>
        </w:tc>
        <w:tc>
          <w:tcPr>
            <w:tcW w:w="2898" w:type="dxa"/>
          </w:tcPr>
          <w:p w:rsidR="004E184C" w:rsidRPr="004E184C" w:rsidRDefault="004E184C" w:rsidP="004E184C">
            <w:pPr>
              <w:cnfStyle w:val="000000000000" w:firstRow="0" w:lastRow="0" w:firstColumn="0" w:lastColumn="0" w:oddVBand="0" w:evenVBand="0" w:oddHBand="0" w:evenHBand="0" w:firstRowFirstColumn="0" w:firstRowLastColumn="0" w:lastRowFirstColumn="0" w:lastRowLastColumn="0"/>
            </w:pPr>
            <w:r>
              <w:t>33</w:t>
            </w:r>
          </w:p>
        </w:tc>
        <w:tc>
          <w:tcPr>
            <w:tcW w:w="2898" w:type="dxa"/>
          </w:tcPr>
          <w:p w:rsidR="004E184C" w:rsidRPr="004E184C" w:rsidRDefault="004E184C" w:rsidP="004E184C">
            <w:pPr>
              <w:cnfStyle w:val="000000000000" w:firstRow="0" w:lastRow="0" w:firstColumn="0" w:lastColumn="0" w:oddVBand="0" w:evenVBand="0" w:oddHBand="0" w:evenHBand="0" w:firstRowFirstColumn="0" w:firstRowLastColumn="0" w:lastRowFirstColumn="0" w:lastRowLastColumn="0"/>
            </w:pPr>
            <w:r>
              <w:t>67</w:t>
            </w:r>
          </w:p>
        </w:tc>
      </w:tr>
      <w:tr w:rsidR="004E184C" w:rsidTr="004E18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4E184C" w:rsidRPr="004E184C" w:rsidRDefault="004E184C" w:rsidP="004E184C">
            <w:r>
              <w:t>AER preliminary decision</w:t>
            </w:r>
          </w:p>
        </w:tc>
        <w:tc>
          <w:tcPr>
            <w:tcW w:w="2898" w:type="dxa"/>
          </w:tcPr>
          <w:p w:rsidR="004E184C" w:rsidRPr="004E184C" w:rsidRDefault="004E184C" w:rsidP="004E184C">
            <w:pPr>
              <w:cnfStyle w:val="000000010000" w:firstRow="0" w:lastRow="0" w:firstColumn="0" w:lastColumn="0" w:oddVBand="0" w:evenVBand="0" w:oddHBand="0" w:evenHBand="1" w:firstRowFirstColumn="0" w:firstRowLastColumn="0" w:lastRowFirstColumn="0" w:lastRowLastColumn="0"/>
            </w:pPr>
            <w:r>
              <w:t>100</w:t>
            </w:r>
          </w:p>
        </w:tc>
        <w:tc>
          <w:tcPr>
            <w:tcW w:w="2898" w:type="dxa"/>
          </w:tcPr>
          <w:p w:rsidR="004E184C" w:rsidRPr="004E184C" w:rsidRDefault="004E184C" w:rsidP="004E184C">
            <w:pPr>
              <w:cnfStyle w:val="000000010000" w:firstRow="0" w:lastRow="0" w:firstColumn="0" w:lastColumn="0" w:oddVBand="0" w:evenVBand="0" w:oddHBand="0" w:evenHBand="1" w:firstRowFirstColumn="0" w:firstRowLastColumn="0" w:lastRowFirstColumn="0" w:lastRowLastColumn="0"/>
            </w:pPr>
            <w:r>
              <w:t>0</w:t>
            </w:r>
          </w:p>
        </w:tc>
      </w:tr>
      <w:tr w:rsidR="004E184C" w:rsidTr="004E184C">
        <w:tc>
          <w:tcPr>
            <w:cnfStyle w:val="001000000000" w:firstRow="0" w:lastRow="0" w:firstColumn="1" w:lastColumn="0" w:oddVBand="0" w:evenVBand="0" w:oddHBand="0" w:evenHBand="0" w:firstRowFirstColumn="0" w:firstRowLastColumn="0" w:lastRowFirstColumn="0" w:lastRowLastColumn="0"/>
            <w:tcW w:w="2897" w:type="dxa"/>
          </w:tcPr>
          <w:p w:rsidR="004E184C" w:rsidRPr="004E184C" w:rsidRDefault="004E184C" w:rsidP="004E184C">
            <w:r>
              <w:t>Revised proposal</w:t>
            </w:r>
          </w:p>
        </w:tc>
        <w:tc>
          <w:tcPr>
            <w:tcW w:w="2898" w:type="dxa"/>
          </w:tcPr>
          <w:p w:rsidR="004E184C" w:rsidRPr="004E184C" w:rsidRDefault="004E184C" w:rsidP="004E184C">
            <w:pPr>
              <w:cnfStyle w:val="000000000000" w:firstRow="0" w:lastRow="0" w:firstColumn="0" w:lastColumn="0" w:oddVBand="0" w:evenVBand="0" w:oddHBand="0" w:evenHBand="0" w:firstRowFirstColumn="0" w:firstRowLastColumn="0" w:lastRowFirstColumn="0" w:lastRowLastColumn="0"/>
            </w:pPr>
            <w:r>
              <w:t>33</w:t>
            </w:r>
          </w:p>
        </w:tc>
        <w:tc>
          <w:tcPr>
            <w:tcW w:w="2898" w:type="dxa"/>
          </w:tcPr>
          <w:p w:rsidR="004E184C" w:rsidRPr="004E184C" w:rsidRDefault="004E184C" w:rsidP="004E184C">
            <w:pPr>
              <w:cnfStyle w:val="000000000000" w:firstRow="0" w:lastRow="0" w:firstColumn="0" w:lastColumn="0" w:oddVBand="0" w:evenVBand="0" w:oddHBand="0" w:evenHBand="0" w:firstRowFirstColumn="0" w:firstRowLastColumn="0" w:lastRowFirstColumn="0" w:lastRowLastColumn="0"/>
            </w:pPr>
            <w:r>
              <w:t>67</w:t>
            </w:r>
          </w:p>
        </w:tc>
      </w:tr>
      <w:tr w:rsidR="004E184C" w:rsidTr="004E18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4E184C" w:rsidRPr="004E184C" w:rsidRDefault="004E184C" w:rsidP="004E184C">
            <w:r>
              <w:t>AER final decision</w:t>
            </w:r>
          </w:p>
        </w:tc>
        <w:tc>
          <w:tcPr>
            <w:tcW w:w="2898" w:type="dxa"/>
          </w:tcPr>
          <w:p w:rsidR="004E184C" w:rsidRPr="004E184C" w:rsidRDefault="004E184C" w:rsidP="004E184C">
            <w:pPr>
              <w:cnfStyle w:val="000000010000" w:firstRow="0" w:lastRow="0" w:firstColumn="0" w:lastColumn="0" w:oddVBand="0" w:evenVBand="0" w:oddHBand="0" w:evenHBand="1" w:firstRowFirstColumn="0" w:firstRowLastColumn="0" w:lastRowFirstColumn="0" w:lastRowLastColumn="0"/>
            </w:pPr>
            <w:r>
              <w:t>57</w:t>
            </w:r>
          </w:p>
        </w:tc>
        <w:tc>
          <w:tcPr>
            <w:tcW w:w="2898" w:type="dxa"/>
          </w:tcPr>
          <w:p w:rsidR="004E184C" w:rsidRPr="004E184C" w:rsidRDefault="004E184C" w:rsidP="004E184C">
            <w:pPr>
              <w:cnfStyle w:val="000000010000" w:firstRow="0" w:lastRow="0" w:firstColumn="0" w:lastColumn="0" w:oddVBand="0" w:evenVBand="0" w:oddHBand="0" w:evenHBand="1" w:firstRowFirstColumn="0" w:firstRowLastColumn="0" w:lastRowFirstColumn="0" w:lastRowLastColumn="0"/>
            </w:pPr>
            <w:r>
              <w:t>43</w:t>
            </w:r>
          </w:p>
        </w:tc>
      </w:tr>
    </w:tbl>
    <w:p w:rsidR="004E184C" w:rsidRPr="002C0192" w:rsidRDefault="00E85E2B" w:rsidP="00E85E2B">
      <w:pPr>
        <w:pStyle w:val="AERtablesource"/>
      </w:pPr>
      <w:r>
        <w:t>Source:</w:t>
      </w:r>
      <w:r>
        <w:tab/>
        <w:t>AER analysis.</w:t>
      </w:r>
    </w:p>
    <w:p w:rsidR="002A2D38" w:rsidRPr="002A2D38" w:rsidRDefault="002A2D38" w:rsidP="002A2D38">
      <w:pPr>
        <w:pStyle w:val="Heading4"/>
      </w:pPr>
      <w:bookmarkStart w:id="100" w:name="_Ref449618720"/>
      <w:r w:rsidRPr="002A2D38">
        <w:t>Annual metering charges</w:t>
      </w:r>
      <w:bookmarkEnd w:id="100"/>
    </w:p>
    <w:p w:rsidR="002A2D38" w:rsidRPr="002A2D38" w:rsidRDefault="00AD5D70" w:rsidP="002A2D38">
      <w:r>
        <w:t>Our final</w:t>
      </w:r>
      <w:r w:rsidR="002A2D38" w:rsidRPr="002A2D38">
        <w:t xml:space="preserve"> decision accepts a</w:t>
      </w:r>
      <w:r w:rsidR="004E184C">
        <w:t xml:space="preserve"> tot</w:t>
      </w:r>
      <w:r w:rsidR="00A128D6">
        <w:t>al revenue requirement of $</w:t>
      </w:r>
      <w:r w:rsidR="00E02694">
        <w:t>343.8</w:t>
      </w:r>
      <w:r w:rsidR="002A2D38" w:rsidRPr="002A2D38">
        <w:t xml:space="preserve"> ($</w:t>
      </w:r>
      <w:r w:rsidR="00A128D6">
        <w:t> nominal</w:t>
      </w:r>
      <w:r w:rsidR="002A2D38" w:rsidRPr="002A2D38">
        <w:t>) over the 2016–20 regulatory control period for metering services. It includes the following building blocks:</w:t>
      </w:r>
    </w:p>
    <w:p w:rsidR="002A2D38" w:rsidRPr="002A2D38" w:rsidRDefault="00E02694" w:rsidP="002A2D38">
      <w:pPr>
        <w:pStyle w:val="AERbulletlistfirststyle"/>
      </w:pPr>
      <w:r>
        <w:t>forecast capex of $45.1</w:t>
      </w:r>
      <w:r w:rsidR="002A2D38" w:rsidRPr="002A2D38">
        <w:t xml:space="preserve"> million ($2015), amounting to </w:t>
      </w:r>
      <w:r>
        <w:t>86</w:t>
      </w:r>
      <w:r w:rsidR="00C11039">
        <w:t xml:space="preserve"> percent of Powerco</w:t>
      </w:r>
      <w:r w:rsidR="002A2D38" w:rsidRPr="002A2D38">
        <w:t xml:space="preserve">r’s proposal </w:t>
      </w:r>
    </w:p>
    <w:p w:rsidR="002A2D38" w:rsidRPr="002A2D38" w:rsidRDefault="002A2D38" w:rsidP="002A2D38">
      <w:pPr>
        <w:pStyle w:val="AERbulletlistfirststyle"/>
      </w:pPr>
      <w:r w:rsidRPr="002A2D38">
        <w:t>fore</w:t>
      </w:r>
      <w:r w:rsidR="004E184C">
        <w:t>cast opex of $82.2</w:t>
      </w:r>
      <w:r w:rsidRPr="002A2D38">
        <w:t xml:space="preserve"> million ($2015), </w:t>
      </w:r>
      <w:r w:rsidR="004E184C">
        <w:t>which due to a change in cost allocati</w:t>
      </w:r>
      <w:r w:rsidR="00ED2C5A">
        <w:t>on is higher than Powercor</w:t>
      </w:r>
      <w:r w:rsidR="004E184C">
        <w:t>'s revised proposal of $76.3 million ($2015)</w:t>
      </w:r>
    </w:p>
    <w:p w:rsidR="002A2D38" w:rsidRDefault="002A2D38" w:rsidP="002A2D38">
      <w:pPr>
        <w:pStyle w:val="AERbulletlistfirststyle"/>
      </w:pPr>
      <w:r w:rsidRPr="002A2D38">
        <w:t>an opening metering regulatory asset</w:t>
      </w:r>
      <w:r w:rsidR="00C66672">
        <w:t xml:space="preserve"> base as at 1 January 2016 of $332.1</w:t>
      </w:r>
      <w:r w:rsidRPr="002A2D38">
        <w:t xml:space="preserve"> mill</w:t>
      </w:r>
      <w:r w:rsidR="00C66672">
        <w:t>ion, rather than the proposed $333.4</w:t>
      </w:r>
      <w:r w:rsidRPr="002A2D38">
        <w:t xml:space="preserve"> million ($ nominal)</w:t>
      </w:r>
    </w:p>
    <w:p w:rsidR="002A2D38" w:rsidRPr="002A2D38" w:rsidRDefault="00A128D6" w:rsidP="002A2D38">
      <w:pPr>
        <w:pStyle w:val="AERbulletlistfirststyle"/>
      </w:pPr>
      <w:r>
        <w:t xml:space="preserve">with </w:t>
      </w:r>
      <w:r w:rsidR="002A2D38" w:rsidRPr="002A2D38">
        <w:t>respect to depreciation, standard asset lives of 15 years for metering assets</w:t>
      </w:r>
      <w:r w:rsidR="00C66672">
        <w:t xml:space="preserve"> and 7 years for communications, </w:t>
      </w:r>
      <w:r w:rsidR="002A2D38" w:rsidRPr="002A2D38">
        <w:t>IT</w:t>
      </w:r>
      <w:r w:rsidR="00C66672">
        <w:t xml:space="preserve"> and other</w:t>
      </w:r>
      <w:r w:rsidR="002A2D38" w:rsidRPr="002A2D38">
        <w:t xml:space="preserve"> assets</w:t>
      </w:r>
    </w:p>
    <w:p w:rsidR="002A2D38" w:rsidRPr="002A2D38" w:rsidRDefault="002A2D38" w:rsidP="002A2D38">
      <w:pPr>
        <w:pStyle w:val="AERbulletlistfirststyle"/>
      </w:pPr>
      <w:r w:rsidRPr="002A2D38">
        <w:lastRenderedPageBreak/>
        <w:t xml:space="preserve">the same </w:t>
      </w:r>
      <w:r w:rsidR="00C66672">
        <w:t>WACC and gamma values for standard control network services, subject to annual adjustments for the return on debt.</w:t>
      </w:r>
    </w:p>
    <w:p w:rsidR="00C66672" w:rsidRPr="00C66672" w:rsidRDefault="00C66672" w:rsidP="00774727">
      <w:pPr>
        <w:pStyle w:val="AERbulletlistfirststyle"/>
        <w:numPr>
          <w:ilvl w:val="0"/>
          <w:numId w:val="0"/>
        </w:numPr>
        <w:rPr>
          <w:rStyle w:val="Strong"/>
        </w:rPr>
      </w:pPr>
      <w:r w:rsidRPr="00C66672">
        <w:t>The above building blocks result in the following approved revenue requirement for metering shown in</w:t>
      </w:r>
      <w:r w:rsidR="00A128D6">
        <w:rPr>
          <w:rStyle w:val="Strong"/>
        </w:rPr>
        <w:t xml:space="preserve"> </w:t>
      </w:r>
      <w:r w:rsidR="00A128D6">
        <w:rPr>
          <w:rStyle w:val="Strong"/>
        </w:rPr>
        <w:fldChar w:fldCharType="begin"/>
      </w:r>
      <w:r w:rsidR="00A128D6">
        <w:rPr>
          <w:rStyle w:val="Strong"/>
        </w:rPr>
        <w:instrText xml:space="preserve"> REF _Ref450037321 \h </w:instrText>
      </w:r>
      <w:r w:rsidR="00A128D6">
        <w:rPr>
          <w:rStyle w:val="Strong"/>
        </w:rPr>
      </w:r>
      <w:r w:rsidR="00A128D6">
        <w:rPr>
          <w:rStyle w:val="Strong"/>
        </w:rPr>
        <w:fldChar w:fldCharType="separate"/>
      </w:r>
      <w:r w:rsidR="00B1103A">
        <w:t xml:space="preserve">Table </w:t>
      </w:r>
      <w:r w:rsidR="00B1103A">
        <w:rPr>
          <w:noProof/>
        </w:rPr>
        <w:t>16</w:t>
      </w:r>
      <w:r w:rsidR="00B1103A">
        <w:t>.</w:t>
      </w:r>
      <w:r w:rsidR="00B1103A">
        <w:rPr>
          <w:noProof/>
        </w:rPr>
        <w:t>5</w:t>
      </w:r>
      <w:r w:rsidR="00A128D6">
        <w:rPr>
          <w:rStyle w:val="Strong"/>
        </w:rPr>
        <w:fldChar w:fldCharType="end"/>
      </w:r>
      <w:r w:rsidR="00774727">
        <w:rPr>
          <w:rStyle w:val="Strong"/>
        </w:rPr>
        <w:t>.</w:t>
      </w:r>
    </w:p>
    <w:p w:rsidR="00C66672" w:rsidRPr="00C66672" w:rsidRDefault="00774727" w:rsidP="00774727">
      <w:pPr>
        <w:pStyle w:val="Caption"/>
      </w:pPr>
      <w:bookmarkStart w:id="101" w:name="_Ref450037321"/>
      <w:r>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5</w:t>
      </w:r>
      <w:r w:rsidR="008572AB">
        <w:rPr>
          <w:noProof/>
        </w:rPr>
        <w:fldChar w:fldCharType="end"/>
      </w:r>
      <w:bookmarkEnd w:id="101"/>
      <w:r w:rsidR="00C66672" w:rsidRPr="00C66672">
        <w:tab/>
        <w:t>Final decision – metering annual revenue requirement for the 2016–20 regulatory control period ($</w:t>
      </w:r>
      <w:r w:rsidR="00E85E2B">
        <w:t xml:space="preserve"> </w:t>
      </w:r>
      <w:r w:rsidR="00C66672" w:rsidRPr="00C66672">
        <w:t>nominal)</w:t>
      </w:r>
    </w:p>
    <w:tbl>
      <w:tblPr>
        <w:tblStyle w:val="AERtable-numbers"/>
        <w:tblW w:w="0" w:type="auto"/>
        <w:tblLook w:val="04A0" w:firstRow="1" w:lastRow="0" w:firstColumn="1" w:lastColumn="0" w:noHBand="0" w:noVBand="1"/>
      </w:tblPr>
      <w:tblGrid>
        <w:gridCol w:w="1362"/>
        <w:gridCol w:w="1242"/>
        <w:gridCol w:w="1212"/>
        <w:gridCol w:w="1219"/>
        <w:gridCol w:w="1219"/>
        <w:gridCol w:w="1219"/>
        <w:gridCol w:w="1219"/>
      </w:tblGrid>
      <w:tr w:rsidR="00C66672" w:rsidRPr="00890FE8" w:rsidTr="00E54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C66672" w:rsidRPr="00664236" w:rsidRDefault="00C66672" w:rsidP="00C66672"/>
        </w:tc>
        <w:tc>
          <w:tcPr>
            <w:tcW w:w="1242" w:type="dxa"/>
          </w:tcPr>
          <w:p w:rsidR="00C66672" w:rsidRPr="00C66672" w:rsidRDefault="00C66672" w:rsidP="00C66672">
            <w:pPr>
              <w:cnfStyle w:val="100000000000" w:firstRow="1" w:lastRow="0" w:firstColumn="0" w:lastColumn="0" w:oddVBand="0" w:evenVBand="0" w:oddHBand="0" w:evenHBand="0" w:firstRowFirstColumn="0" w:firstRowLastColumn="0" w:lastRowFirstColumn="0" w:lastRowLastColumn="0"/>
            </w:pPr>
            <w:r w:rsidRPr="00664236">
              <w:t>2015</w:t>
            </w:r>
          </w:p>
        </w:tc>
        <w:tc>
          <w:tcPr>
            <w:tcW w:w="1212" w:type="dxa"/>
          </w:tcPr>
          <w:p w:rsidR="00C66672" w:rsidRPr="00C66672" w:rsidRDefault="00C66672" w:rsidP="00C66672">
            <w:pPr>
              <w:cnfStyle w:val="100000000000" w:firstRow="1" w:lastRow="0" w:firstColumn="0" w:lastColumn="0" w:oddVBand="0" w:evenVBand="0" w:oddHBand="0" w:evenHBand="0" w:firstRowFirstColumn="0" w:firstRowLastColumn="0" w:lastRowFirstColumn="0" w:lastRowLastColumn="0"/>
            </w:pPr>
            <w:r w:rsidRPr="00664236">
              <w:t>2016</w:t>
            </w:r>
          </w:p>
        </w:tc>
        <w:tc>
          <w:tcPr>
            <w:tcW w:w="1219" w:type="dxa"/>
          </w:tcPr>
          <w:p w:rsidR="00C66672" w:rsidRPr="00C66672" w:rsidRDefault="00C66672" w:rsidP="00C66672">
            <w:pPr>
              <w:cnfStyle w:val="100000000000" w:firstRow="1" w:lastRow="0" w:firstColumn="0" w:lastColumn="0" w:oddVBand="0" w:evenVBand="0" w:oddHBand="0" w:evenHBand="0" w:firstRowFirstColumn="0" w:firstRowLastColumn="0" w:lastRowFirstColumn="0" w:lastRowLastColumn="0"/>
            </w:pPr>
            <w:r w:rsidRPr="00664236">
              <w:t>2017</w:t>
            </w:r>
          </w:p>
        </w:tc>
        <w:tc>
          <w:tcPr>
            <w:tcW w:w="1219" w:type="dxa"/>
          </w:tcPr>
          <w:p w:rsidR="00C66672" w:rsidRPr="00C66672" w:rsidRDefault="00C66672" w:rsidP="00C66672">
            <w:pPr>
              <w:cnfStyle w:val="100000000000" w:firstRow="1" w:lastRow="0" w:firstColumn="0" w:lastColumn="0" w:oddVBand="0" w:evenVBand="0" w:oddHBand="0" w:evenHBand="0" w:firstRowFirstColumn="0" w:firstRowLastColumn="0" w:lastRowFirstColumn="0" w:lastRowLastColumn="0"/>
            </w:pPr>
            <w:r w:rsidRPr="00664236">
              <w:t>2018</w:t>
            </w:r>
          </w:p>
        </w:tc>
        <w:tc>
          <w:tcPr>
            <w:tcW w:w="1219" w:type="dxa"/>
          </w:tcPr>
          <w:p w:rsidR="00C66672" w:rsidRPr="00C66672" w:rsidRDefault="00C66672" w:rsidP="00C66672">
            <w:pPr>
              <w:cnfStyle w:val="100000000000" w:firstRow="1" w:lastRow="0" w:firstColumn="0" w:lastColumn="0" w:oddVBand="0" w:evenVBand="0" w:oddHBand="0" w:evenHBand="0" w:firstRowFirstColumn="0" w:firstRowLastColumn="0" w:lastRowFirstColumn="0" w:lastRowLastColumn="0"/>
            </w:pPr>
            <w:r w:rsidRPr="00664236">
              <w:t>2019</w:t>
            </w:r>
          </w:p>
        </w:tc>
        <w:tc>
          <w:tcPr>
            <w:tcW w:w="1219" w:type="dxa"/>
          </w:tcPr>
          <w:p w:rsidR="00C66672" w:rsidRPr="00C66672" w:rsidRDefault="00C66672" w:rsidP="00C66672">
            <w:pPr>
              <w:cnfStyle w:val="100000000000" w:firstRow="1" w:lastRow="0" w:firstColumn="0" w:lastColumn="0" w:oddVBand="0" w:evenVBand="0" w:oddHBand="0" w:evenHBand="0" w:firstRowFirstColumn="0" w:firstRowLastColumn="0" w:lastRowFirstColumn="0" w:lastRowLastColumn="0"/>
            </w:pPr>
            <w:r w:rsidRPr="00664236">
              <w:t>2020</w:t>
            </w:r>
          </w:p>
        </w:tc>
      </w:tr>
      <w:tr w:rsidR="00C66672" w:rsidRPr="00890FE8" w:rsidTr="00E541FC">
        <w:tc>
          <w:tcPr>
            <w:cnfStyle w:val="001000000000" w:firstRow="0" w:lastRow="0" w:firstColumn="1" w:lastColumn="0" w:oddVBand="0" w:evenVBand="0" w:oddHBand="0" w:evenHBand="0" w:firstRowFirstColumn="0" w:firstRowLastColumn="0" w:lastRowFirstColumn="0" w:lastRowLastColumn="0"/>
            <w:tcW w:w="1362" w:type="dxa"/>
          </w:tcPr>
          <w:p w:rsidR="00C66672" w:rsidRPr="00C66672" w:rsidRDefault="00C66672" w:rsidP="00C66672">
            <w:r w:rsidRPr="00664236">
              <w:t>Depreciation</w:t>
            </w:r>
          </w:p>
        </w:tc>
        <w:tc>
          <w:tcPr>
            <w:tcW w:w="1242" w:type="dxa"/>
          </w:tcPr>
          <w:p w:rsidR="00C66672" w:rsidRPr="00664236" w:rsidRDefault="00C66672" w:rsidP="00C66672">
            <w:pPr>
              <w:cnfStyle w:val="000000000000" w:firstRow="0" w:lastRow="0" w:firstColumn="0" w:lastColumn="0" w:oddVBand="0" w:evenVBand="0" w:oddHBand="0" w:evenHBand="0" w:firstRowFirstColumn="0" w:firstRowLastColumn="0" w:lastRowFirstColumn="0" w:lastRowLastColumn="0"/>
            </w:pPr>
          </w:p>
        </w:tc>
        <w:tc>
          <w:tcPr>
            <w:tcW w:w="1212"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32.0</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35.1</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38.0</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36.</w:t>
            </w:r>
            <w:r w:rsidR="000637AA">
              <w:t>2</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27.0</w:t>
            </w:r>
          </w:p>
        </w:tc>
      </w:tr>
      <w:tr w:rsidR="00C66672" w:rsidRPr="00890FE8" w:rsidTr="00E54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C66672" w:rsidRPr="00C66672" w:rsidRDefault="00C66672" w:rsidP="00C66672">
            <w:r w:rsidRPr="00664236">
              <w:t>Return on capital</w:t>
            </w:r>
          </w:p>
        </w:tc>
        <w:tc>
          <w:tcPr>
            <w:tcW w:w="1242" w:type="dxa"/>
          </w:tcPr>
          <w:p w:rsidR="00C66672" w:rsidRPr="00664236" w:rsidRDefault="00C66672" w:rsidP="00C66672">
            <w:pPr>
              <w:cnfStyle w:val="000000010000" w:firstRow="0" w:lastRow="0" w:firstColumn="0" w:lastColumn="0" w:oddVBand="0" w:evenVBand="0" w:oddHBand="0" w:evenHBand="1" w:firstRowFirstColumn="0" w:firstRowLastColumn="0" w:lastRowFirstColumn="0" w:lastRowLastColumn="0"/>
            </w:pPr>
          </w:p>
        </w:tc>
        <w:tc>
          <w:tcPr>
            <w:tcW w:w="1212"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20.3</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19.4</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18.1</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16.1</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14.</w:t>
            </w:r>
            <w:r w:rsidR="000637AA">
              <w:t>2</w:t>
            </w:r>
          </w:p>
        </w:tc>
      </w:tr>
      <w:tr w:rsidR="00C66672" w:rsidRPr="00890FE8" w:rsidTr="00E541FC">
        <w:tc>
          <w:tcPr>
            <w:cnfStyle w:val="001000000000" w:firstRow="0" w:lastRow="0" w:firstColumn="1" w:lastColumn="0" w:oddVBand="0" w:evenVBand="0" w:oddHBand="0" w:evenHBand="0" w:firstRowFirstColumn="0" w:firstRowLastColumn="0" w:lastRowFirstColumn="0" w:lastRowLastColumn="0"/>
            <w:tcW w:w="1362" w:type="dxa"/>
          </w:tcPr>
          <w:p w:rsidR="00C66672" w:rsidRPr="00C66672" w:rsidRDefault="00C66672" w:rsidP="00C66672">
            <w:pPr>
              <w:rPr>
                <w:rStyle w:val="AERsuperscript"/>
              </w:rPr>
            </w:pPr>
            <w:r w:rsidRPr="00664236">
              <w:t>Opex</w:t>
            </w:r>
            <w:r w:rsidRPr="00C66672">
              <w:rPr>
                <w:rStyle w:val="AERsuperscript"/>
              </w:rPr>
              <w:t>a</w:t>
            </w:r>
          </w:p>
        </w:tc>
        <w:tc>
          <w:tcPr>
            <w:tcW w:w="1242" w:type="dxa"/>
          </w:tcPr>
          <w:p w:rsidR="00C66672" w:rsidRPr="00664236" w:rsidRDefault="00C66672" w:rsidP="00C66672">
            <w:pPr>
              <w:cnfStyle w:val="000000000000" w:firstRow="0" w:lastRow="0" w:firstColumn="0" w:lastColumn="0" w:oddVBand="0" w:evenVBand="0" w:oddHBand="0" w:evenHBand="0" w:firstRowFirstColumn="0" w:firstRowLastColumn="0" w:lastRowFirstColumn="0" w:lastRowLastColumn="0"/>
            </w:pPr>
          </w:p>
        </w:tc>
        <w:tc>
          <w:tcPr>
            <w:tcW w:w="1212"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17.3</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17.1</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17.6</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18.1</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18.7</w:t>
            </w:r>
          </w:p>
        </w:tc>
      </w:tr>
      <w:tr w:rsidR="00C66672" w:rsidRPr="00890FE8" w:rsidTr="00E54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C66672" w:rsidRPr="00C66672" w:rsidRDefault="00C66672" w:rsidP="00C66672">
            <w:r w:rsidRPr="00664236">
              <w:t>Tax</w:t>
            </w:r>
          </w:p>
        </w:tc>
        <w:tc>
          <w:tcPr>
            <w:tcW w:w="1242" w:type="dxa"/>
          </w:tcPr>
          <w:p w:rsidR="00C66672" w:rsidRPr="00664236" w:rsidRDefault="00C66672" w:rsidP="00C66672">
            <w:pPr>
              <w:cnfStyle w:val="000000010000" w:firstRow="0" w:lastRow="0" w:firstColumn="0" w:lastColumn="0" w:oddVBand="0" w:evenVBand="0" w:oddHBand="0" w:evenHBand="1" w:firstRowFirstColumn="0" w:firstRowLastColumn="0" w:lastRowFirstColumn="0" w:lastRowLastColumn="0"/>
            </w:pPr>
          </w:p>
        </w:tc>
        <w:tc>
          <w:tcPr>
            <w:tcW w:w="1212"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0.0</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0.0</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0.0</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0.0</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0.3</w:t>
            </w:r>
          </w:p>
        </w:tc>
      </w:tr>
      <w:tr w:rsidR="00C66672" w:rsidRPr="00890FE8" w:rsidTr="00E541FC">
        <w:tc>
          <w:tcPr>
            <w:cnfStyle w:val="001000000000" w:firstRow="0" w:lastRow="0" w:firstColumn="1" w:lastColumn="0" w:oddVBand="0" w:evenVBand="0" w:oddHBand="0" w:evenHBand="0" w:firstRowFirstColumn="0" w:firstRowLastColumn="0" w:lastRowFirstColumn="0" w:lastRowLastColumn="0"/>
            <w:tcW w:w="1362" w:type="dxa"/>
          </w:tcPr>
          <w:p w:rsidR="00C66672" w:rsidRPr="00C66672" w:rsidRDefault="00C66672" w:rsidP="00C66672">
            <w:r w:rsidRPr="00664236">
              <w:t>Unsmoothed revenue requirement</w:t>
            </w:r>
          </w:p>
        </w:tc>
        <w:tc>
          <w:tcPr>
            <w:tcW w:w="1242" w:type="dxa"/>
          </w:tcPr>
          <w:p w:rsidR="00C66672" w:rsidRPr="00664236" w:rsidRDefault="00C66672" w:rsidP="00C66672">
            <w:pPr>
              <w:cnfStyle w:val="000000000000" w:firstRow="0" w:lastRow="0" w:firstColumn="0" w:lastColumn="0" w:oddVBand="0" w:evenVBand="0" w:oddHBand="0" w:evenHBand="0" w:firstRowFirstColumn="0" w:firstRowLastColumn="0" w:lastRowFirstColumn="0" w:lastRowLastColumn="0"/>
            </w:pPr>
          </w:p>
        </w:tc>
        <w:tc>
          <w:tcPr>
            <w:tcW w:w="1212"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69.6</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71.6</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73.7</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70.</w:t>
            </w:r>
            <w:r w:rsidR="000637AA">
              <w:t>4</w:t>
            </w:r>
          </w:p>
        </w:tc>
        <w:tc>
          <w:tcPr>
            <w:tcW w:w="1219" w:type="dxa"/>
          </w:tcPr>
          <w:p w:rsidR="00C66672" w:rsidRPr="00664236" w:rsidRDefault="00E85E2B" w:rsidP="00C66672">
            <w:pPr>
              <w:cnfStyle w:val="000000000000" w:firstRow="0" w:lastRow="0" w:firstColumn="0" w:lastColumn="0" w:oddVBand="0" w:evenVBand="0" w:oddHBand="0" w:evenHBand="0" w:firstRowFirstColumn="0" w:firstRowLastColumn="0" w:lastRowFirstColumn="0" w:lastRowLastColumn="0"/>
            </w:pPr>
            <w:r>
              <w:t>60.</w:t>
            </w:r>
            <w:r w:rsidR="000637AA">
              <w:t>1</w:t>
            </w:r>
          </w:p>
        </w:tc>
      </w:tr>
      <w:tr w:rsidR="00C66672" w:rsidRPr="00890FE8" w:rsidTr="00E54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C66672" w:rsidRPr="00C66672" w:rsidRDefault="00C66672" w:rsidP="00C66672">
            <w:pPr>
              <w:rPr>
                <w:rStyle w:val="AERsuperscript"/>
              </w:rPr>
            </w:pPr>
            <w:r w:rsidRPr="00664236">
              <w:t>X factor (%)</w:t>
            </w:r>
            <w:r w:rsidRPr="00C66672">
              <w:rPr>
                <w:rStyle w:val="AERsuperscript"/>
              </w:rPr>
              <w:t>b</w:t>
            </w:r>
          </w:p>
        </w:tc>
        <w:tc>
          <w:tcPr>
            <w:tcW w:w="1242" w:type="dxa"/>
          </w:tcPr>
          <w:p w:rsidR="00C66672" w:rsidRPr="00664236" w:rsidRDefault="00C66672" w:rsidP="00C66672">
            <w:pPr>
              <w:cnfStyle w:val="000000010000" w:firstRow="0" w:lastRow="0" w:firstColumn="0" w:lastColumn="0" w:oddVBand="0" w:evenVBand="0" w:oddHBand="0" w:evenHBand="1" w:firstRowFirstColumn="0" w:firstRowLastColumn="0" w:lastRowFirstColumn="0" w:lastRowLastColumn="0"/>
            </w:pPr>
          </w:p>
        </w:tc>
        <w:tc>
          <w:tcPr>
            <w:tcW w:w="1212"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13.81</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10.</w:t>
            </w:r>
            <w:r w:rsidR="000637AA">
              <w:t>75</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8.00</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8.00</w:t>
            </w:r>
          </w:p>
        </w:tc>
        <w:tc>
          <w:tcPr>
            <w:tcW w:w="1219" w:type="dxa"/>
          </w:tcPr>
          <w:p w:rsidR="00C66672" w:rsidRPr="00C66672" w:rsidRDefault="00E85E2B" w:rsidP="00C66672">
            <w:pPr>
              <w:cnfStyle w:val="000000010000" w:firstRow="0" w:lastRow="0" w:firstColumn="0" w:lastColumn="0" w:oddVBand="0" w:evenVBand="0" w:oddHBand="0" w:evenHBand="1" w:firstRowFirstColumn="0" w:firstRowLastColumn="0" w:lastRowFirstColumn="0" w:lastRowLastColumn="0"/>
            </w:pPr>
            <w:r>
              <w:t>8.00</w:t>
            </w:r>
          </w:p>
        </w:tc>
      </w:tr>
      <w:tr w:rsidR="00C66672" w:rsidRPr="00890FE8" w:rsidTr="00E541FC">
        <w:tc>
          <w:tcPr>
            <w:cnfStyle w:val="001000000000" w:firstRow="0" w:lastRow="0" w:firstColumn="1" w:lastColumn="0" w:oddVBand="0" w:evenVBand="0" w:oddHBand="0" w:evenHBand="0" w:firstRowFirstColumn="0" w:firstRowLastColumn="0" w:lastRowFirstColumn="0" w:lastRowLastColumn="0"/>
            <w:tcW w:w="1362" w:type="dxa"/>
          </w:tcPr>
          <w:p w:rsidR="00C66672" w:rsidRPr="00C66672" w:rsidRDefault="00C66672" w:rsidP="00C66672">
            <w:r w:rsidRPr="00664236">
              <w:t xml:space="preserve">Smoothed </w:t>
            </w:r>
            <w:r w:rsidRPr="00C66672">
              <w:t>revenue requirement</w:t>
            </w:r>
          </w:p>
        </w:tc>
        <w:tc>
          <w:tcPr>
            <w:tcW w:w="1242" w:type="dxa"/>
          </w:tcPr>
          <w:p w:rsidR="00C66672" w:rsidRPr="00C66672" w:rsidRDefault="00774727" w:rsidP="00C66672">
            <w:pPr>
              <w:cnfStyle w:val="000000000000" w:firstRow="0" w:lastRow="0" w:firstColumn="0" w:lastColumn="0" w:oddVBand="0" w:evenVBand="0" w:oddHBand="0" w:evenHBand="0" w:firstRowFirstColumn="0" w:firstRowLastColumn="0" w:lastRowFirstColumn="0" w:lastRowLastColumn="0"/>
            </w:pPr>
            <w:r>
              <w:t>89.7</w:t>
            </w:r>
          </w:p>
        </w:tc>
        <w:tc>
          <w:tcPr>
            <w:tcW w:w="1212"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79.2</w:t>
            </w:r>
          </w:p>
        </w:tc>
        <w:tc>
          <w:tcPr>
            <w:tcW w:w="1219" w:type="dxa"/>
          </w:tcPr>
          <w:p w:rsidR="00C66672" w:rsidRPr="00C66672" w:rsidRDefault="000637AA" w:rsidP="00C66672">
            <w:pPr>
              <w:cnfStyle w:val="000000000000" w:firstRow="0" w:lastRow="0" w:firstColumn="0" w:lastColumn="0" w:oddVBand="0" w:evenVBand="0" w:oddHBand="0" w:evenHBand="0" w:firstRowFirstColumn="0" w:firstRowLastColumn="0" w:lastRowFirstColumn="0" w:lastRowLastColumn="0"/>
            </w:pPr>
            <w:r>
              <w:t>72.3</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68.</w:t>
            </w:r>
            <w:r w:rsidR="000637AA">
              <w:t>0</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64.1</w:t>
            </w:r>
          </w:p>
        </w:tc>
        <w:tc>
          <w:tcPr>
            <w:tcW w:w="1219" w:type="dxa"/>
          </w:tcPr>
          <w:p w:rsidR="00C66672" w:rsidRPr="00C66672" w:rsidRDefault="00E85E2B" w:rsidP="00C66672">
            <w:pPr>
              <w:cnfStyle w:val="000000000000" w:firstRow="0" w:lastRow="0" w:firstColumn="0" w:lastColumn="0" w:oddVBand="0" w:evenVBand="0" w:oddHBand="0" w:evenHBand="0" w:firstRowFirstColumn="0" w:firstRowLastColumn="0" w:lastRowFirstColumn="0" w:lastRowLastColumn="0"/>
            </w:pPr>
            <w:r>
              <w:t>60.</w:t>
            </w:r>
            <w:r w:rsidR="000637AA">
              <w:t>3</w:t>
            </w:r>
          </w:p>
        </w:tc>
      </w:tr>
    </w:tbl>
    <w:p w:rsidR="00C66672" w:rsidRPr="00C66672" w:rsidRDefault="00C66672" w:rsidP="00C66672">
      <w:pPr>
        <w:pStyle w:val="AERtablesource"/>
      </w:pPr>
      <w:r w:rsidRPr="00C66672">
        <w:t>Source:</w:t>
      </w:r>
      <w:r w:rsidRPr="00C66672">
        <w:tab/>
        <w:t>AER analysis.</w:t>
      </w:r>
    </w:p>
    <w:p w:rsidR="00C66672" w:rsidRPr="00C66672" w:rsidRDefault="00C66672" w:rsidP="00C66672">
      <w:pPr>
        <w:pStyle w:val="AERtablesource"/>
      </w:pPr>
      <w:r w:rsidRPr="00C66672">
        <w:t xml:space="preserve"> (a)</w:t>
      </w:r>
      <w:r w:rsidRPr="00C66672">
        <w:tab/>
        <w:t>Operating expenditure includes debt raising costs.</w:t>
      </w:r>
    </w:p>
    <w:p w:rsidR="00C66672" w:rsidRPr="00C66672" w:rsidRDefault="00C66672" w:rsidP="00C66672">
      <w:pPr>
        <w:pStyle w:val="AERtablesource"/>
      </w:pPr>
      <w:r w:rsidRPr="00C66672">
        <w:t xml:space="preserve"> (b)</w:t>
      </w:r>
      <w:r w:rsidRPr="00C66672">
        <w:tab/>
        <w:t>The X factor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C66672" w:rsidRPr="00C66672" w:rsidRDefault="00C66672" w:rsidP="00774727">
      <w:pPr>
        <w:pStyle w:val="AERbulletlistfirststyle"/>
        <w:numPr>
          <w:ilvl w:val="0"/>
          <w:numId w:val="0"/>
        </w:numPr>
      </w:pPr>
      <w:r w:rsidRPr="00C66672">
        <w:t xml:space="preserve">Our final decision on </w:t>
      </w:r>
      <w:r w:rsidR="00CB4C7D">
        <w:t xml:space="preserve">Powercor's </w:t>
      </w:r>
      <w:r w:rsidRPr="00C66672">
        <w:t xml:space="preserve">approved revenue requirement will lead to lower metering prices over the 2016–20 regulatory control period. As metering services is subject to a revenue cap, we have not set prices in this final decision. Actual metering prices will be approved during the annual pricing process. </w:t>
      </w:r>
    </w:p>
    <w:p w:rsidR="00C66672" w:rsidRPr="00C66672" w:rsidRDefault="00C66672" w:rsidP="00774727">
      <w:pPr>
        <w:pStyle w:val="AERbulletlistfirststyle"/>
        <w:numPr>
          <w:ilvl w:val="0"/>
          <w:numId w:val="0"/>
        </w:numPr>
      </w:pPr>
      <w:r w:rsidRPr="00C66672">
        <w:t xml:space="preserve">Broadly we expect the price path to follow the X factors included in </w:t>
      </w:r>
      <w:r w:rsidR="00A128D6">
        <w:fldChar w:fldCharType="begin"/>
      </w:r>
      <w:r w:rsidR="00A128D6">
        <w:instrText xml:space="preserve"> REF _Ref450037321 \h </w:instrText>
      </w:r>
      <w:r w:rsidR="00A128D6">
        <w:fldChar w:fldCharType="separate"/>
      </w:r>
      <w:r w:rsidR="00B1103A">
        <w:t xml:space="preserve">Table </w:t>
      </w:r>
      <w:r w:rsidR="00B1103A">
        <w:rPr>
          <w:noProof/>
        </w:rPr>
        <w:t>16</w:t>
      </w:r>
      <w:r w:rsidR="00B1103A">
        <w:t>.</w:t>
      </w:r>
      <w:r w:rsidR="00B1103A">
        <w:rPr>
          <w:noProof/>
        </w:rPr>
        <w:t>5</w:t>
      </w:r>
      <w:r w:rsidR="00A128D6">
        <w:fldChar w:fldCharType="end"/>
      </w:r>
      <w:r w:rsidR="00A128D6">
        <w:t xml:space="preserve"> </w:t>
      </w:r>
      <w:r w:rsidRPr="00C66672">
        <w:t xml:space="preserve">above. That is, a decrease in prices in 2016 as a consequence of the positive X factor we set in our preliminary decision. Under the CPI–X framework a positive X factor represents a real decrease in revenue. </w:t>
      </w:r>
      <w:r w:rsidR="00CB4C7D">
        <w:t xml:space="preserve">In accordance with our approach to </w:t>
      </w:r>
      <w:r w:rsidR="00A128D6">
        <w:t xml:space="preserve">revenue </w:t>
      </w:r>
      <w:r w:rsidR="00CB4C7D">
        <w:t>smoothing, this</w:t>
      </w:r>
      <w:r w:rsidRPr="00C66672">
        <w:t xml:space="preserve"> will then be </w:t>
      </w:r>
      <w:r w:rsidR="00CB4C7D">
        <w:t>followed by further</w:t>
      </w:r>
      <w:r w:rsidRPr="00C66672">
        <w:t xml:space="preserve"> decreases in prices in </w:t>
      </w:r>
      <w:r w:rsidR="00CB4C7D">
        <w:t>each remaining year of the</w:t>
      </w:r>
      <w:r w:rsidRPr="00C66672">
        <w:t xml:space="preserve"> 2016–20 regulatory control period.</w:t>
      </w:r>
    </w:p>
    <w:p w:rsidR="00C66672" w:rsidRPr="00C66672" w:rsidRDefault="00C66672" w:rsidP="00774727">
      <w:pPr>
        <w:pStyle w:val="AERbulletlistfirststyle"/>
        <w:numPr>
          <w:ilvl w:val="0"/>
          <w:numId w:val="0"/>
        </w:numPr>
      </w:pPr>
      <w:r w:rsidRPr="00C66672">
        <w:t xml:space="preserve">There are two key drivers effecting our final decision on </w:t>
      </w:r>
      <w:r w:rsidR="00CB4C7D">
        <w:t>Powercor's</w:t>
      </w:r>
      <w:r w:rsidRPr="00C66672">
        <w:t xml:space="preserve"> revenue requirement, and hence its price path for metering services. The first is </w:t>
      </w:r>
      <w:r w:rsidR="00CB4C7D">
        <w:t>Powercor</w:t>
      </w:r>
      <w:r w:rsidRPr="00C66672">
        <w:t xml:space="preserve"> has now entered into a business as usual (BAU) phase in the 2016–20 regulatory control period. This BAU phase has more modest cost requirements than in the previous period when </w:t>
      </w:r>
      <w:r w:rsidR="00CB4C7D">
        <w:t>Powercor</w:t>
      </w:r>
      <w:r w:rsidRPr="00C66672">
        <w:t xml:space="preserve"> was rolling out its advanced met</w:t>
      </w:r>
      <w:r w:rsidR="00A128D6">
        <w:t xml:space="preserve">ering infrastructure. The other </w:t>
      </w:r>
      <w:r w:rsidRPr="00C66672">
        <w:t xml:space="preserve">key driver is a reallocation of a proportion of </w:t>
      </w:r>
      <w:r w:rsidR="00CB4C7D">
        <w:t>Powercor's</w:t>
      </w:r>
      <w:r w:rsidRPr="00C66672">
        <w:t xml:space="preserve"> operating costs. In our </w:t>
      </w:r>
      <w:r w:rsidRPr="00C66672">
        <w:lastRenderedPageBreak/>
        <w:t xml:space="preserve">preliminary decision, we allocated all of </w:t>
      </w:r>
      <w:r w:rsidR="00CB4C7D">
        <w:t>Powercor's</w:t>
      </w:r>
      <w:r w:rsidRPr="00C66672">
        <w:t xml:space="preserve"> metering related opex to alternative control services. This final decisio</w:t>
      </w:r>
      <w:r w:rsidR="00031D11">
        <w:t>n looks at the allocation of these costs more carefully following submissions to the preliminary decision</w:t>
      </w:r>
      <w:r w:rsidRPr="00C66672">
        <w:t xml:space="preserve"> (see</w:t>
      </w:r>
      <w:r w:rsidR="00CB4C7D">
        <w:t xml:space="preserve"> </w:t>
      </w:r>
      <w:r w:rsidR="00CB4C7D">
        <w:fldChar w:fldCharType="begin"/>
      </w:r>
      <w:r w:rsidR="00CB4C7D">
        <w:instrText xml:space="preserve"> REF _Ref449974844 \n \h </w:instrText>
      </w:r>
      <w:r w:rsidR="00CB4C7D">
        <w:fldChar w:fldCharType="separate"/>
      </w:r>
      <w:r w:rsidR="00B1103A">
        <w:t>16.3.1.1</w:t>
      </w:r>
      <w:r w:rsidR="00CB4C7D">
        <w:fldChar w:fldCharType="end"/>
      </w:r>
      <w:r w:rsidRPr="00C66672">
        <w:t xml:space="preserve">). As a consequence, a proportion of opex allocated to alternative control services in our preliminary decision has been reallocated to standard control services in this final decision. This has a downward effect on </w:t>
      </w:r>
      <w:r w:rsidR="00CB4C7D">
        <w:t>Powercor's</w:t>
      </w:r>
      <w:r w:rsidRPr="00C66672">
        <w:t xml:space="preserve"> revenue for alternative control metering services from 2017 onwards</w:t>
      </w:r>
      <w:r w:rsidR="00031D11">
        <w:t>, but a corresponding upward effect on standard control services</w:t>
      </w:r>
      <w:r w:rsidRPr="00C66672">
        <w:t xml:space="preserve">. </w:t>
      </w:r>
    </w:p>
    <w:p w:rsidR="002A2D38" w:rsidRPr="002A2D38" w:rsidRDefault="002A2D38" w:rsidP="002A2D38">
      <w:pPr>
        <w:pStyle w:val="Heading4"/>
      </w:pPr>
      <w:r w:rsidRPr="002A2D38">
        <w:t>Form of control for annual metering charges</w:t>
      </w:r>
    </w:p>
    <w:p w:rsidR="002A2D38" w:rsidRPr="002A2D38" w:rsidRDefault="00227FC4" w:rsidP="002A2D38">
      <w:r>
        <w:t>As per our preliminary</w:t>
      </w:r>
      <w:r w:rsidR="001442F3">
        <w:t xml:space="preserve"> decision, o</w:t>
      </w:r>
      <w:r w:rsidR="002A2D38" w:rsidRPr="002A2D38">
        <w:t>ur final decision applies a revenue cap form of control to annual metering charges.</w:t>
      </w:r>
      <w:r w:rsidR="00C11039">
        <w:rPr>
          <w:rStyle w:val="FootnoteReference"/>
        </w:rPr>
        <w:footnoteReference w:id="35"/>
      </w:r>
      <w:r w:rsidR="002A2D38" w:rsidRPr="002A2D38">
        <w:t xml:space="preserve"> Under this form of control, annual metering charges revenues are capped for each year of the 2016–20 regulatory control period. </w:t>
      </w:r>
      <w:r w:rsidR="002A2D38" w:rsidRPr="002A2D38">
        <w:fldChar w:fldCharType="begin"/>
      </w:r>
      <w:r w:rsidR="002A2D38" w:rsidRPr="002A2D38">
        <w:instrText xml:space="preserve"> REF _Ref432575057 \h </w:instrText>
      </w:r>
      <w:r w:rsidR="002A2D38" w:rsidRPr="002A2D38">
        <w:fldChar w:fldCharType="separate"/>
      </w:r>
      <w:r w:rsidR="00E21125" w:rsidRPr="002A2D38">
        <w:t xml:space="preserve">Figure </w:t>
      </w:r>
      <w:r w:rsidR="00E21125">
        <w:rPr>
          <w:noProof/>
        </w:rPr>
        <w:t>16</w:t>
      </w:r>
      <w:r w:rsidR="00E21125" w:rsidRPr="002A2D38">
        <w:t>.</w:t>
      </w:r>
      <w:r w:rsidR="00E21125">
        <w:rPr>
          <w:noProof/>
        </w:rPr>
        <w:t>3</w:t>
      </w:r>
      <w:r w:rsidR="002A2D38" w:rsidRPr="002A2D38">
        <w:fldChar w:fldCharType="end"/>
      </w:r>
      <w:r w:rsidR="002A2D38" w:rsidRPr="002A2D38">
        <w:t xml:space="preserve"> contains the annual metering charges revenue cap formula.</w:t>
      </w:r>
    </w:p>
    <w:p w:rsidR="001442F3" w:rsidRDefault="00C11039" w:rsidP="002A2D38">
      <w:r>
        <w:t>Under a revenue cap, Powerco</w:t>
      </w:r>
      <w:r w:rsidR="002A2D38" w:rsidRPr="002A2D38">
        <w:t>r’s annual metering charges revenue will be adjusted annually to clear (or true</w:t>
      </w:r>
      <w:r w:rsidR="002A2D38" w:rsidRPr="002A2D38">
        <w:noBreakHyphen/>
        <w:t xml:space="preserve">up) any under or over recovery of actual revenue collected. </w:t>
      </w:r>
      <w:r w:rsidR="001442F3">
        <w:t>These true</w:t>
      </w:r>
      <w:r w:rsidR="001442F3">
        <w:noBreakHyphen/>
        <w:t xml:space="preserve">ups will be calculated through the annual metering charges unders and overs account in accordance with appendix </w:t>
      </w:r>
      <w:r w:rsidR="001442F3">
        <w:fldChar w:fldCharType="begin"/>
      </w:r>
      <w:r w:rsidR="001442F3">
        <w:instrText xml:space="preserve"> REF _Ref447892027 \r \h </w:instrText>
      </w:r>
      <w:r w:rsidR="001442F3">
        <w:fldChar w:fldCharType="separate"/>
      </w:r>
      <w:r w:rsidR="00B1103A">
        <w:t>B</w:t>
      </w:r>
      <w:r w:rsidR="001442F3">
        <w:fldChar w:fldCharType="end"/>
      </w:r>
      <w:r w:rsidR="001442F3">
        <w:t>.</w:t>
      </w:r>
    </w:p>
    <w:p w:rsidR="001442F3" w:rsidRPr="001442F3" w:rsidRDefault="001442F3" w:rsidP="001442F3">
      <w:r w:rsidRPr="001442F3">
        <w:t>Our final decision has changed the approach to true</w:t>
      </w:r>
      <w:r w:rsidRPr="001442F3">
        <w:noBreakHyphen/>
        <w:t>up under and over recovered revenues from our preliminary decision. Our final decision includes an additional true</w:t>
      </w:r>
      <w:r w:rsidRPr="001442F3">
        <w:noBreakHyphen/>
        <w:t>up for estimated under and over recovery of revenues for regulatory year t–1.</w:t>
      </w:r>
      <w:r w:rsidRPr="001442F3">
        <w:rPr>
          <w:rStyle w:val="FootnoteReference"/>
        </w:rPr>
        <w:footnoteReference w:id="36"/>
      </w:r>
      <w:r w:rsidRPr="001442F3">
        <w:rPr>
          <w:rStyle w:val="FootnoteReference"/>
        </w:rPr>
        <w:t xml:space="preserve"> </w:t>
      </w:r>
      <w:r w:rsidRPr="001442F3">
        <w:t>We have made this change to be consistent with the approach applied for the distribution use of system charges unders and overs account.</w:t>
      </w:r>
      <w:r w:rsidRPr="001442F3">
        <w:rPr>
          <w:rStyle w:val="FootnoteReference"/>
        </w:rPr>
        <w:footnoteReference w:id="37"/>
      </w:r>
    </w:p>
    <w:p w:rsidR="002A2D38" w:rsidRPr="002A2D38" w:rsidRDefault="002A2D38" w:rsidP="002A2D38">
      <w:r w:rsidRPr="002A2D38">
        <w:t>Our final F&amp;A stated the revenue cap for any given regulatory year is the maximum allowable revenue for annual metering charges. However, our preliminary decision considered the use of maximum allowable revenue might be confused with maximum allowed revenue which is a defined term in the NER relating to transmission services. To avoid confusion, we used 'total annual revenue for metering' (or TARM) for clarity. This has been retained for our final decision.</w:t>
      </w:r>
    </w:p>
    <w:p w:rsidR="002A2D38" w:rsidRPr="002A2D38" w:rsidRDefault="002A2D38" w:rsidP="002A2D38">
      <w:r w:rsidRPr="002A2D38">
        <w:t xml:space="preserve">For each year after the first year of a regulatory control period, side constraints will apply. Consistent with the application of side constraints for standard control services, the permissible percentage increase will be the greater of CPI–X plus 2 per cent or CPI plus 2 per cent.  The side constraint formula is set out in </w:t>
      </w:r>
      <w:r w:rsidRPr="002A2D38">
        <w:fldChar w:fldCharType="begin"/>
      </w:r>
      <w:r w:rsidRPr="002A2D38">
        <w:instrText xml:space="preserve"> REF  _Ref432594810 \* Lower \h </w:instrText>
      </w:r>
      <w:r w:rsidRPr="002A2D38">
        <w:fldChar w:fldCharType="separate"/>
      </w:r>
      <w:r w:rsidR="00E21125" w:rsidRPr="002A2D38">
        <w:t xml:space="preserve">figure </w:t>
      </w:r>
      <w:r w:rsidR="00E21125">
        <w:rPr>
          <w:noProof/>
        </w:rPr>
        <w:t>16</w:t>
      </w:r>
      <w:r w:rsidR="00E21125" w:rsidRPr="002A2D38">
        <w:t>.</w:t>
      </w:r>
      <w:r w:rsidR="00E21125">
        <w:rPr>
          <w:noProof/>
        </w:rPr>
        <w:t>4</w:t>
      </w:r>
      <w:r w:rsidRPr="002A2D38">
        <w:fldChar w:fldCharType="end"/>
      </w:r>
      <w:r w:rsidRPr="002A2D38">
        <w:t>.</w:t>
      </w:r>
    </w:p>
    <w:p w:rsidR="002A2D38" w:rsidRPr="002A2D38" w:rsidRDefault="002A2D38" w:rsidP="002A2D38">
      <w:pPr>
        <w:pStyle w:val="Caption"/>
      </w:pPr>
      <w:bookmarkStart w:id="102" w:name="_Ref432575057"/>
      <w:r w:rsidRPr="002A2D38">
        <w:lastRenderedPageBreak/>
        <w:t xml:space="preserve">Figure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Pr="002A2D38">
        <w:t>.</w:t>
      </w:r>
      <w:r w:rsidR="008572AB">
        <w:fldChar w:fldCharType="begin"/>
      </w:r>
      <w:r w:rsidR="008572AB">
        <w:instrText xml:space="preserve"> SEQ Figure \* ARABIC \s 1 </w:instrText>
      </w:r>
      <w:r w:rsidR="008572AB">
        <w:fldChar w:fldCharType="separate"/>
      </w:r>
      <w:r w:rsidR="00B1103A">
        <w:rPr>
          <w:noProof/>
        </w:rPr>
        <w:t>3</w:t>
      </w:r>
      <w:r w:rsidR="008572AB">
        <w:rPr>
          <w:noProof/>
        </w:rPr>
        <w:fldChar w:fldCharType="end"/>
      </w:r>
      <w:bookmarkEnd w:id="102"/>
      <w:r w:rsidRPr="002A2D38">
        <w:tab/>
        <w:t>Annual metering charges revenue cap formula</w:t>
      </w:r>
    </w:p>
    <w:p w:rsidR="002A2D38" w:rsidRPr="002A2D38" w:rsidRDefault="001442F3" w:rsidP="001442F3">
      <w:pPr>
        <w:pStyle w:val="ListBullet"/>
      </w:pPr>
      <w:r w:rsidRPr="001442F3">
        <w:rPr>
          <w:position w:val="-30"/>
        </w:rPr>
        <w:object w:dxaOrig="2200" w:dyaOrig="700">
          <v:shape id="_x0000_i1035" type="#_x0000_t75" style="width:111.75pt;height:36pt" o:ole="">
            <v:imagedata r:id="rId36" o:title=""/>
          </v:shape>
          <o:OLEObject Type="Embed" ProgID="Equation.3" ShapeID="_x0000_i1035" DrawAspect="Content" ObjectID="_1525279112" r:id="rId37"/>
        </w:object>
      </w:r>
      <w:r w:rsidR="002A2D38" w:rsidRPr="002A2D38">
        <w:tab/>
      </w:r>
      <w:r w:rsidR="002A2D38" w:rsidRPr="002A2D38">
        <w:tab/>
      </w:r>
      <w:r w:rsidR="002A2D38" w:rsidRPr="002A2D38">
        <w:tab/>
      </w:r>
      <w:r w:rsidR="002A2D38" w:rsidRPr="002A2D38">
        <w:tab/>
      </w:r>
      <w:r w:rsidR="002A2D38" w:rsidRPr="002A2D38">
        <w:tab/>
      </w:r>
      <w:r w:rsidR="002A2D38" w:rsidRPr="002A2D38">
        <w:tab/>
      </w:r>
      <w:r w:rsidR="002A2D38" w:rsidRPr="002A2D38">
        <w:tab/>
      </w:r>
      <w:r w:rsidR="002A2D38" w:rsidRPr="002A2D38">
        <w:tab/>
        <w:t>i=1,..,n and j=1,..,m and t=1,..,5</w:t>
      </w:r>
    </w:p>
    <w:p w:rsidR="002A2D38" w:rsidRPr="002A2D38" w:rsidRDefault="001442F3" w:rsidP="001442F3">
      <w:pPr>
        <w:pStyle w:val="ListBullet"/>
      </w:pPr>
      <w:r w:rsidRPr="001442F3">
        <w:rPr>
          <w:position w:val="-12"/>
        </w:rPr>
        <w:object w:dxaOrig="2220" w:dyaOrig="360">
          <v:shape id="_x0000_i1036" type="#_x0000_t75" style="width:111pt;height:21.75pt" o:ole="">
            <v:imagedata r:id="rId38" o:title=""/>
          </v:shape>
          <o:OLEObject Type="Embed" ProgID="Equation.3" ShapeID="_x0000_i1036" DrawAspect="Content" ObjectID="_1525279113" r:id="rId39"/>
        </w:object>
      </w:r>
      <w:r w:rsidR="002A2D38" w:rsidRPr="002A2D38">
        <w:tab/>
      </w:r>
      <w:r w:rsidR="002A2D38" w:rsidRPr="002A2D38">
        <w:tab/>
      </w:r>
      <w:r w:rsidR="002A2D38" w:rsidRPr="002A2D38">
        <w:tab/>
      </w:r>
      <w:r w:rsidR="002A2D38" w:rsidRPr="002A2D38">
        <w:tab/>
      </w:r>
      <w:r w:rsidR="002A2D38" w:rsidRPr="002A2D38">
        <w:tab/>
      </w:r>
      <w:r w:rsidR="002A2D38" w:rsidRPr="002A2D38">
        <w:tab/>
      </w:r>
      <w:r w:rsidR="002A2D38" w:rsidRPr="002A2D38">
        <w:tab/>
      </w:r>
      <w:r w:rsidR="002A2D38" w:rsidRPr="002A2D38">
        <w:tab/>
        <w:t>t = 1,2,…,5</w:t>
      </w:r>
    </w:p>
    <w:p w:rsidR="002A2D38" w:rsidRPr="002A2D38" w:rsidRDefault="001442F3" w:rsidP="001442F3">
      <w:pPr>
        <w:pStyle w:val="ListBullet"/>
      </w:pPr>
      <w:r w:rsidRPr="001442F3">
        <w:rPr>
          <w:position w:val="-12"/>
        </w:rPr>
        <w:object w:dxaOrig="3000" w:dyaOrig="360">
          <v:shape id="_x0000_i1037" type="#_x0000_t75" style="width:149.25pt;height:21.75pt" o:ole="">
            <v:imagedata r:id="rId40" o:title=""/>
          </v:shape>
          <o:OLEObject Type="Embed" ProgID="Equation.3" ShapeID="_x0000_i1037" DrawAspect="Content" ObjectID="_1525279114" r:id="rId41"/>
        </w:object>
      </w:r>
      <w:r w:rsidR="002A2D38" w:rsidRPr="002A2D38">
        <w:tab/>
      </w:r>
      <w:r w:rsidR="002A2D38" w:rsidRPr="002A2D38">
        <w:tab/>
      </w:r>
      <w:r w:rsidR="002A2D38" w:rsidRPr="002A2D38">
        <w:tab/>
      </w:r>
      <w:r w:rsidR="002A2D38" w:rsidRPr="002A2D38">
        <w:tab/>
      </w:r>
      <w:r w:rsidR="002A2D38" w:rsidRPr="002A2D38">
        <w:tab/>
      </w:r>
      <w:r w:rsidR="002A2D38" w:rsidRPr="002A2D38">
        <w:tab/>
        <w:t>t = 1,2,…,5</w:t>
      </w:r>
    </w:p>
    <w:p w:rsidR="002A2D38" w:rsidRPr="002A2D38" w:rsidRDefault="002A2D38" w:rsidP="002A2D38">
      <w:r w:rsidRPr="002A2D38">
        <w:t>where;</w:t>
      </w:r>
    </w:p>
    <w:p w:rsidR="002A2D38" w:rsidRPr="002A2D38" w:rsidRDefault="001442F3" w:rsidP="002A2D38">
      <w:r w:rsidRPr="001442F3">
        <w:rPr>
          <w:position w:val="-12"/>
        </w:rPr>
        <w:object w:dxaOrig="780" w:dyaOrig="360">
          <v:shape id="_x0000_i1038" type="#_x0000_t75" style="width:39.75pt;height:21.75pt" o:ole="">
            <v:imagedata r:id="rId42" o:title=""/>
          </v:shape>
          <o:OLEObject Type="Embed" ProgID="Equation.3" ShapeID="_x0000_i1038" DrawAspect="Content" ObjectID="_1525279115" r:id="rId43"/>
        </w:object>
      </w:r>
      <w:r w:rsidR="002A2D38" w:rsidRPr="002A2D38">
        <w:t xml:space="preserve"> </w:t>
      </w:r>
      <w:r w:rsidR="002A2D38" w:rsidRPr="002A2D38">
        <w:tab/>
        <w:t>is the total annual revenue for annual metering charges in year t.</w:t>
      </w:r>
    </w:p>
    <w:p w:rsidR="002A2D38" w:rsidRPr="002A2D38" w:rsidRDefault="001442F3" w:rsidP="002A2D38">
      <w:r w:rsidRPr="001442F3">
        <w:rPr>
          <w:position w:val="-12"/>
        </w:rPr>
        <w:object w:dxaOrig="340" w:dyaOrig="380">
          <v:shape id="_x0000_i1039" type="#_x0000_t75" style="width:16.5pt;height:20.25pt" o:ole="">
            <v:imagedata r:id="rId44" o:title=""/>
          </v:shape>
          <o:OLEObject Type="Embed" ProgID="Equation.3" ShapeID="_x0000_i1039" DrawAspect="Content" ObjectID="_1525279116" r:id="rId45"/>
        </w:object>
      </w:r>
      <w:r w:rsidR="002A2D38" w:rsidRPr="002A2D38">
        <w:tab/>
      </w:r>
      <w:r w:rsidR="002A2D38" w:rsidRPr="002A2D38">
        <w:tab/>
      </w:r>
      <w:r w:rsidR="002A2D38" w:rsidRPr="002A2D38">
        <w:tab/>
        <w:t>is the price of component 'j' of metering service 'i' in year t.</w:t>
      </w:r>
    </w:p>
    <w:p w:rsidR="002A2D38" w:rsidRPr="002A2D38" w:rsidRDefault="001442F3" w:rsidP="002A2D38">
      <w:r w:rsidRPr="001442F3">
        <w:rPr>
          <w:position w:val="-12"/>
        </w:rPr>
        <w:object w:dxaOrig="300" w:dyaOrig="380">
          <v:shape id="_x0000_i1040" type="#_x0000_t75" style="width:13.5pt;height:20.25pt" o:ole="">
            <v:imagedata r:id="rId46" o:title=""/>
          </v:shape>
          <o:OLEObject Type="Embed" ProgID="Equation.3" ShapeID="_x0000_i1040" DrawAspect="Content" ObjectID="_1525279117" r:id="rId47"/>
        </w:object>
      </w:r>
      <w:r w:rsidR="002A2D38" w:rsidRPr="002A2D38">
        <w:tab/>
      </w:r>
      <w:r w:rsidR="002A2D38" w:rsidRPr="002A2D38">
        <w:tab/>
      </w:r>
      <w:r w:rsidR="002A2D38" w:rsidRPr="002A2D38">
        <w:tab/>
        <w:t>is the forecast quantity of component 'j' of metering service 'i' in year t.</w:t>
      </w:r>
    </w:p>
    <w:p w:rsidR="002A2D38" w:rsidRPr="002A2D38" w:rsidRDefault="001442F3" w:rsidP="002A2D38">
      <w:r w:rsidRPr="001442F3">
        <w:rPr>
          <w:position w:val="-12"/>
        </w:rPr>
        <w:object w:dxaOrig="460" w:dyaOrig="380">
          <v:shape id="_x0000_i1041" type="#_x0000_t75" style="width:24pt;height:22.5pt" o:ole="">
            <v:imagedata r:id="rId48" o:title=""/>
          </v:shape>
          <o:OLEObject Type="Embed" ProgID="Equation.3" ShapeID="_x0000_i1041" DrawAspect="Content" ObjectID="_1525279118" r:id="rId49"/>
        </w:object>
      </w:r>
      <w:r w:rsidR="002A2D38" w:rsidRPr="002A2D38">
        <w:tab/>
      </w:r>
      <w:r w:rsidR="002A2D38" w:rsidRPr="002A2D38">
        <w:tab/>
        <w:t xml:space="preserve">is the annual revenue requirement for year t. When year t is the first year of the 2016–20 regulatory control period, </w:t>
      </w:r>
      <w:r w:rsidRPr="001442F3">
        <w:rPr>
          <w:position w:val="-12"/>
        </w:rPr>
        <w:object w:dxaOrig="460" w:dyaOrig="380">
          <v:shape id="_x0000_i1042" type="#_x0000_t75" style="width:24pt;height:22.5pt" o:ole="">
            <v:imagedata r:id="rId50" o:title=""/>
          </v:shape>
          <o:OLEObject Type="Embed" ProgID="Equation.3" ShapeID="_x0000_i1042" DrawAspect="Content" ObjectID="_1525279119" r:id="rId51"/>
        </w:object>
      </w:r>
      <w:r w:rsidR="002A2D38" w:rsidRPr="002A2D38">
        <w:t xml:space="preserve"> is the annual revenue requirement in the annual metering charges Post Tax Revenue Model (PTRM) for year t.</w:t>
      </w:r>
    </w:p>
    <w:p w:rsidR="002A2D38" w:rsidRPr="002A2D38" w:rsidRDefault="001442F3" w:rsidP="002A2D38">
      <w:r w:rsidRPr="001442F3">
        <w:rPr>
          <w:position w:val="-12"/>
        </w:rPr>
        <w:object w:dxaOrig="240" w:dyaOrig="360">
          <v:shape id="_x0000_i1043" type="#_x0000_t75" style="width:13.5pt;height:21.75pt" o:ole="">
            <v:imagedata r:id="rId52" o:title=""/>
          </v:shape>
          <o:OLEObject Type="Embed" ProgID="Equation.3" ShapeID="_x0000_i1043" DrawAspect="Content" ObjectID="_1525279120" r:id="rId53"/>
        </w:object>
      </w:r>
      <w:r w:rsidR="002A2D38" w:rsidRPr="002A2D38">
        <w:tab/>
      </w:r>
      <w:r w:rsidR="002A2D38" w:rsidRPr="002A2D38">
        <w:tab/>
      </w:r>
      <w:r w:rsidR="002A2D38" w:rsidRPr="002A2D38">
        <w:tab/>
        <w:t>is equal to zero for all years except 2017 and is a once off adjustment to 2017 charges for the unders and overs recoveries relating to Advanced Metering Infrastructure actual revenues and actual costs incurred in 2014 and 2015.</w:t>
      </w:r>
    </w:p>
    <w:p w:rsidR="002A2D38" w:rsidRPr="002A2D38" w:rsidRDefault="001442F3" w:rsidP="002A2D38">
      <w:r w:rsidRPr="001442F3">
        <w:rPr>
          <w:position w:val="-12"/>
        </w:rPr>
        <w:object w:dxaOrig="279" w:dyaOrig="360">
          <v:shape id="_x0000_i1044" type="#_x0000_t75" style="width:13.5pt;height:21.75pt" o:ole="">
            <v:imagedata r:id="rId54" o:title=""/>
          </v:shape>
          <o:OLEObject Type="Embed" ProgID="Equation.3" ShapeID="_x0000_i1044" DrawAspect="Content" ObjectID="_1525279121" r:id="rId55"/>
        </w:object>
      </w:r>
      <w:r w:rsidR="002A2D38" w:rsidRPr="002A2D38">
        <w:tab/>
      </w:r>
      <w:r w:rsidR="002A2D38" w:rsidRPr="002A2D38">
        <w:tab/>
      </w:r>
      <w:r w:rsidR="002A2D38" w:rsidRPr="002A2D38">
        <w:tab/>
        <w:t>is the sum of annual adjustment factors in year t as calculated in the unders and overs account in appendix</w:t>
      </w:r>
      <w:r>
        <w:t xml:space="preserve"> </w:t>
      </w:r>
      <w:r>
        <w:fldChar w:fldCharType="begin"/>
      </w:r>
      <w:r>
        <w:instrText xml:space="preserve"> REF _Ref447892027 \r \h </w:instrText>
      </w:r>
      <w:r>
        <w:fldChar w:fldCharType="separate"/>
      </w:r>
      <w:r w:rsidR="00B1103A">
        <w:t>B</w:t>
      </w:r>
      <w:r>
        <w:fldChar w:fldCharType="end"/>
      </w:r>
      <w:r w:rsidR="002A2D38" w:rsidRPr="002A2D38">
        <w:t>.</w:t>
      </w:r>
    </w:p>
    <w:p w:rsidR="002A2D38" w:rsidRPr="002A2D38" w:rsidRDefault="001442F3" w:rsidP="002A2D38">
      <w:r w:rsidRPr="001442F3">
        <w:rPr>
          <w:position w:val="-12"/>
        </w:rPr>
        <w:object w:dxaOrig="580" w:dyaOrig="380">
          <v:shape id="_x0000_i1045" type="#_x0000_t75" style="width:28.5pt;height:22.5pt" o:ole="">
            <v:imagedata r:id="rId56" o:title=""/>
          </v:shape>
          <o:OLEObject Type="Embed" ProgID="Equation.3" ShapeID="_x0000_i1045" DrawAspect="Content" ObjectID="_1525279122" r:id="rId57"/>
        </w:object>
      </w:r>
      <w:r w:rsidR="002A2D38" w:rsidRPr="002A2D38">
        <w:tab/>
      </w:r>
      <w:r w:rsidR="002A2D38" w:rsidRPr="002A2D38">
        <w:tab/>
        <w:t>is the annual revenue requirement for year t–1.</w:t>
      </w:r>
    </w:p>
    <w:p w:rsidR="002A2D38" w:rsidRPr="002A2D38" w:rsidRDefault="001442F3" w:rsidP="002A2D38">
      <w:r w:rsidRPr="001442F3">
        <w:rPr>
          <w:position w:val="-12"/>
        </w:rPr>
        <w:object w:dxaOrig="700" w:dyaOrig="380">
          <v:shape id="_x0000_i1046" type="#_x0000_t75" style="width:36pt;height:20.25pt" o:ole="">
            <v:imagedata r:id="rId58" o:title=""/>
          </v:shape>
          <o:OLEObject Type="Embed" ProgID="Equation.3" ShapeID="_x0000_i1046" DrawAspect="Content" ObjectID="_1525279123" r:id="rId59"/>
        </w:object>
      </w:r>
      <w:r w:rsidR="002A2D38" w:rsidRPr="002A2D38">
        <w:t xml:space="preserve"> </w:t>
      </w:r>
      <w:r w:rsidR="002A2D38" w:rsidRPr="002A2D38">
        <w:tab/>
        <w:t>is the annual percentage change in the ABS CPI All Groups, Weighted Average of Eight Capital Cities</w:t>
      </w:r>
      <w:r w:rsidR="00C11039">
        <w:rPr>
          <w:rStyle w:val="FootnoteReference"/>
        </w:rPr>
        <w:footnoteReference w:id="38"/>
      </w:r>
      <w:r w:rsidR="002A2D38" w:rsidRPr="002A2D38">
        <w:t xml:space="preserve"> from the June quarter in year t–2 to the June quarter in year t–1, calculated using the following method:</w:t>
      </w:r>
    </w:p>
    <w:p w:rsidR="002A2D38" w:rsidRPr="002A2D38" w:rsidRDefault="002A2D38" w:rsidP="001442F3">
      <w:pPr>
        <w:pStyle w:val="ListContinue"/>
      </w:pPr>
      <w:r w:rsidRPr="002A2D38">
        <w:t>The ABS CPI All Groups, Weighted Average of Eight Capital Cities for the June quarter in regulatory year t–1</w:t>
      </w:r>
    </w:p>
    <w:p w:rsidR="002A2D38" w:rsidRPr="002A2D38" w:rsidRDefault="002A2D38" w:rsidP="001442F3">
      <w:pPr>
        <w:pStyle w:val="ListContinue"/>
      </w:pPr>
      <w:r w:rsidRPr="002A2D38">
        <w:t>divided by</w:t>
      </w:r>
    </w:p>
    <w:p w:rsidR="002A2D38" w:rsidRPr="002A2D38" w:rsidRDefault="002A2D38" w:rsidP="001442F3">
      <w:pPr>
        <w:pStyle w:val="ListContinue"/>
      </w:pPr>
      <w:r w:rsidRPr="002A2D38">
        <w:t>The ABS CPI All Groups, Weighted Average of Eight Capital Cities for the June quarter in regulatory year t–2</w:t>
      </w:r>
    </w:p>
    <w:p w:rsidR="002A2D38" w:rsidRPr="002A2D38" w:rsidRDefault="002A2D38" w:rsidP="001442F3">
      <w:pPr>
        <w:pStyle w:val="ListContinue"/>
      </w:pPr>
      <w:r w:rsidRPr="002A2D38">
        <w:lastRenderedPageBreak/>
        <w:t>minus one.</w:t>
      </w:r>
    </w:p>
    <w:p w:rsidR="002A2D38" w:rsidRPr="002A2D38" w:rsidRDefault="002A2D38" w:rsidP="002A2D38">
      <w:r w:rsidRPr="002A2D38">
        <w:t>For example, for the 2017 regulatory year, t–2 is June quarter 2015 and t–1 is June quarter 2016 and for the 2018 regulatory year, t–2 is June quarter 2016 and t–1 is June quarter 2017 and so on.</w:t>
      </w:r>
    </w:p>
    <w:p w:rsidR="002A2D38" w:rsidRPr="002A2D38" w:rsidRDefault="001442F3" w:rsidP="002A2D38">
      <w:r w:rsidRPr="001442F3">
        <w:rPr>
          <w:position w:val="-12"/>
        </w:rPr>
        <w:object w:dxaOrig="360" w:dyaOrig="380">
          <v:shape id="_x0000_i1047" type="#_x0000_t75" style="width:21.75pt;height:20.25pt" o:ole="">
            <v:imagedata r:id="rId60" o:title=""/>
          </v:shape>
          <o:OLEObject Type="Embed" ProgID="Equation.3" ShapeID="_x0000_i1047" DrawAspect="Content" ObjectID="_1525279124" r:id="rId61"/>
        </w:object>
      </w:r>
      <w:r w:rsidR="002A2D38" w:rsidRPr="002A2D38">
        <w:t xml:space="preserve"> </w:t>
      </w:r>
      <w:r w:rsidR="002A2D38" w:rsidRPr="002A2D38">
        <w:tab/>
      </w:r>
      <w:r w:rsidR="002A2D38" w:rsidRPr="002A2D38">
        <w:tab/>
        <w:t>is the X factor for each year of the 2016–20 regulatory control period as determined in the annual metering charges PTRM.</w:t>
      </w:r>
    </w:p>
    <w:p w:rsidR="002A2D38" w:rsidRPr="002A2D38" w:rsidRDefault="002A2D38" w:rsidP="002A2D38">
      <w:pPr>
        <w:pStyle w:val="Caption"/>
      </w:pPr>
      <w:bookmarkStart w:id="103" w:name="_Ref432594810"/>
      <w:r w:rsidRPr="002A2D38">
        <w:t xml:space="preserve">Figure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Pr="002A2D38">
        <w:t>.</w:t>
      </w:r>
      <w:r w:rsidR="008572AB">
        <w:fldChar w:fldCharType="begin"/>
      </w:r>
      <w:r w:rsidR="008572AB">
        <w:instrText xml:space="preserve"> SEQ Figure \* ARABIC \s 1 </w:instrText>
      </w:r>
      <w:r w:rsidR="008572AB">
        <w:fldChar w:fldCharType="separate"/>
      </w:r>
      <w:r w:rsidR="00B1103A">
        <w:rPr>
          <w:noProof/>
        </w:rPr>
        <w:t>4</w:t>
      </w:r>
      <w:r w:rsidR="008572AB">
        <w:rPr>
          <w:noProof/>
        </w:rPr>
        <w:fldChar w:fldCharType="end"/>
      </w:r>
      <w:bookmarkEnd w:id="103"/>
      <w:r w:rsidRPr="002A2D38">
        <w:t xml:space="preserve"> Side constraints</w:t>
      </w:r>
    </w:p>
    <w:p w:rsidR="002A2D38" w:rsidRPr="002A2D38" w:rsidRDefault="001442F3" w:rsidP="002A2D38">
      <w:r w:rsidRPr="001442F3">
        <w:rPr>
          <w:position w:val="-12"/>
        </w:rPr>
        <w:object w:dxaOrig="4360" w:dyaOrig="380">
          <v:shape id="_x0000_i1048" type="#_x0000_t75" style="width:3in;height:19.5pt" o:ole="">
            <v:imagedata r:id="rId62" o:title=""/>
          </v:shape>
          <o:OLEObject Type="Embed" ProgID="Equation.3" ShapeID="_x0000_i1048" DrawAspect="Content" ObjectID="_1525279125" r:id="rId63"/>
        </w:object>
      </w:r>
    </w:p>
    <w:p w:rsidR="002A2D38" w:rsidRPr="002A2D38" w:rsidRDefault="002A2D38" w:rsidP="002A2D38">
      <w:r w:rsidRPr="002A2D38">
        <w:t>where:</w:t>
      </w:r>
    </w:p>
    <w:p w:rsidR="002A2D38" w:rsidRPr="002A2D38" w:rsidRDefault="001442F3" w:rsidP="002A2D38">
      <w:r w:rsidRPr="001442F3">
        <w:rPr>
          <w:position w:val="-12"/>
        </w:rPr>
        <w:object w:dxaOrig="300" w:dyaOrig="380">
          <v:shape id="_x0000_i1049" type="#_x0000_t75" style="width:14.25pt;height:19.5pt" o:ole="">
            <v:imagedata r:id="rId64" o:title=""/>
          </v:shape>
          <o:OLEObject Type="Embed" ProgID="Equation.3" ShapeID="_x0000_i1049" DrawAspect="Content" ObjectID="_1525279126" r:id="rId65"/>
        </w:object>
      </w:r>
      <w:r w:rsidR="002A2D38" w:rsidRPr="002A2D38">
        <w:tab/>
      </w:r>
      <w:r w:rsidR="002A2D38" w:rsidRPr="002A2D38">
        <w:tab/>
      </w:r>
      <w:r w:rsidR="002A2D38" w:rsidRPr="002A2D38">
        <w:tab/>
        <w:t>is the price of annual metering charges service 'i' in year t.</w:t>
      </w:r>
    </w:p>
    <w:p w:rsidR="002A2D38" w:rsidRPr="002A2D38" w:rsidRDefault="001442F3" w:rsidP="002A2D38">
      <w:r w:rsidRPr="001442F3">
        <w:rPr>
          <w:position w:val="-12"/>
        </w:rPr>
        <w:object w:dxaOrig="420" w:dyaOrig="380">
          <v:shape id="_x0000_i1050" type="#_x0000_t75" style="width:21.75pt;height:19.5pt" o:ole="">
            <v:imagedata r:id="rId66" o:title=""/>
          </v:shape>
          <o:OLEObject Type="Embed" ProgID="Equation.3" ShapeID="_x0000_i1050" DrawAspect="Content" ObjectID="_1525279127" r:id="rId67"/>
        </w:object>
      </w:r>
      <w:r w:rsidR="002A2D38" w:rsidRPr="002A2D38">
        <w:tab/>
      </w:r>
      <w:r w:rsidR="002A2D38" w:rsidRPr="002A2D38">
        <w:tab/>
        <w:t>is the price of annual metering charges service 'i' in year t–1.</w:t>
      </w:r>
    </w:p>
    <w:p w:rsidR="002A2D38" w:rsidRPr="002A2D38" w:rsidRDefault="001442F3" w:rsidP="002A2D38">
      <w:r w:rsidRPr="001442F3">
        <w:rPr>
          <w:position w:val="-12"/>
        </w:rPr>
        <w:object w:dxaOrig="700" w:dyaOrig="380">
          <v:shape id="_x0000_i1051" type="#_x0000_t75" style="width:36pt;height:20.25pt" o:ole="">
            <v:imagedata r:id="rId68" o:title=""/>
          </v:shape>
          <o:OLEObject Type="Embed" ProgID="Equation.3" ShapeID="_x0000_i1051" DrawAspect="Content" ObjectID="_1525279128" r:id="rId69"/>
        </w:object>
      </w:r>
      <w:r w:rsidR="002A2D38" w:rsidRPr="002A2D38">
        <w:t xml:space="preserve"> </w:t>
      </w:r>
      <w:r w:rsidR="002A2D38" w:rsidRPr="002A2D38">
        <w:tab/>
        <w:t>is the annual percentage change in the ABS CPI All Groups, Weighted Average of Eight Capital Cities</w:t>
      </w:r>
      <w:r w:rsidR="00C11039">
        <w:rPr>
          <w:rStyle w:val="FootnoteReference"/>
        </w:rPr>
        <w:footnoteReference w:id="39"/>
      </w:r>
      <w:r w:rsidR="002A2D38" w:rsidRPr="002A2D38">
        <w:t xml:space="preserve"> from the June quarter in year t–2 to the June quarter in year t–1, calculated using the following method:</w:t>
      </w:r>
    </w:p>
    <w:p w:rsidR="002A2D38" w:rsidRPr="002A2D38" w:rsidRDefault="002A2D38" w:rsidP="001442F3">
      <w:pPr>
        <w:pStyle w:val="ListContinue"/>
      </w:pPr>
      <w:r w:rsidRPr="002A2D38">
        <w:t>The ABS CPI All Groups, Weighted Average of Eight Capital Cities for the June quarter in regulatory year t–1</w:t>
      </w:r>
    </w:p>
    <w:p w:rsidR="002A2D38" w:rsidRPr="002A2D38" w:rsidRDefault="002A2D38" w:rsidP="001442F3">
      <w:pPr>
        <w:pStyle w:val="ListContinue"/>
      </w:pPr>
      <w:r w:rsidRPr="002A2D38">
        <w:t>divided by</w:t>
      </w:r>
    </w:p>
    <w:p w:rsidR="002A2D38" w:rsidRPr="002A2D38" w:rsidRDefault="002A2D38" w:rsidP="001442F3">
      <w:pPr>
        <w:pStyle w:val="ListContinue"/>
      </w:pPr>
      <w:r w:rsidRPr="002A2D38">
        <w:t>The ABS CPI All Groups, Weighted Average of Eight Capital Cities for the June quarter in regulatory year t–2</w:t>
      </w:r>
    </w:p>
    <w:p w:rsidR="002A2D38" w:rsidRPr="002A2D38" w:rsidRDefault="002A2D38" w:rsidP="001442F3">
      <w:pPr>
        <w:pStyle w:val="ListContinue"/>
      </w:pPr>
      <w:r w:rsidRPr="002A2D38">
        <w:t>minus one.</w:t>
      </w:r>
    </w:p>
    <w:p w:rsidR="002A2D38" w:rsidRPr="002A2D38" w:rsidRDefault="002A2D38" w:rsidP="002A2D38">
      <w:r w:rsidRPr="002A2D38">
        <w:t>For example, for the 2017 regulatory year, t–2 is June quarter 2015 and t–1 is June quarter 2016 and for the 2018 regulatory year, t–2 is June quarter 2016 and t–1 is June quarter 2017 and so on.</w:t>
      </w:r>
    </w:p>
    <w:p w:rsidR="002A2D38" w:rsidRPr="002A2D38" w:rsidRDefault="001442F3" w:rsidP="002A2D38">
      <w:r w:rsidRPr="001442F3">
        <w:rPr>
          <w:position w:val="-12"/>
        </w:rPr>
        <w:object w:dxaOrig="360" w:dyaOrig="380">
          <v:shape id="_x0000_i1052" type="#_x0000_t75" style="width:21.75pt;height:20.25pt" o:ole="">
            <v:imagedata r:id="rId70" o:title=""/>
          </v:shape>
          <o:OLEObject Type="Embed" ProgID="Equation.3" ShapeID="_x0000_i1052" DrawAspect="Content" ObjectID="_1525279129" r:id="rId71"/>
        </w:object>
      </w:r>
      <w:r w:rsidR="002A2D38" w:rsidRPr="002A2D38">
        <w:t xml:space="preserve"> </w:t>
      </w:r>
      <w:r w:rsidR="002A2D38" w:rsidRPr="002A2D38">
        <w:tab/>
      </w:r>
      <w:r w:rsidR="002A2D38" w:rsidRPr="002A2D38">
        <w:tab/>
        <w:t>is the X factor for each year of the 2016–20 regulatory control period as determined in the annual metering charges PTRM.</w:t>
      </w:r>
    </w:p>
    <w:p w:rsidR="002A2D38" w:rsidRPr="002A2D38" w:rsidRDefault="001442F3" w:rsidP="002A2D38">
      <w:r w:rsidRPr="001442F3">
        <w:rPr>
          <w:position w:val="-12"/>
        </w:rPr>
        <w:object w:dxaOrig="260" w:dyaOrig="380">
          <v:shape id="_x0000_i1053" type="#_x0000_t75" style="width:13.5pt;height:22.5pt" o:ole="">
            <v:imagedata r:id="rId72" o:title=""/>
          </v:shape>
          <o:OLEObject Type="Embed" ProgID="Equation.3" ShapeID="_x0000_i1053" DrawAspect="Content" ObjectID="_1525279130" r:id="rId73"/>
        </w:object>
      </w:r>
      <w:r w:rsidR="002A2D38" w:rsidRPr="002A2D38">
        <w:tab/>
      </w:r>
      <w:r w:rsidR="002A2D38" w:rsidRPr="002A2D38">
        <w:tab/>
      </w:r>
      <w:r w:rsidR="002A2D38" w:rsidRPr="002A2D38">
        <w:tab/>
        <w:t>is the annual percentage change for the unders and overs recoveries relating to Advanced Metering Infrastructure actual revenues and actual costs incurred in 2014 and 2015. It is equal to zero for all years except 2017 and is a once</w:t>
      </w:r>
      <w:r>
        <w:noBreakHyphen/>
      </w:r>
      <w:r w:rsidR="002A2D38" w:rsidRPr="002A2D38">
        <w:t>off adjustment to 2017 charges.</w:t>
      </w:r>
    </w:p>
    <w:p w:rsidR="002A2D38" w:rsidRPr="002A2D38" w:rsidRDefault="001442F3" w:rsidP="002A2D38">
      <w:r w:rsidRPr="001442F3">
        <w:rPr>
          <w:position w:val="-12"/>
        </w:rPr>
        <w:object w:dxaOrig="260" w:dyaOrig="380">
          <v:shape id="_x0000_i1054" type="#_x0000_t75" style="width:12pt;height:22.5pt" o:ole="">
            <v:imagedata r:id="rId74" o:title=""/>
          </v:shape>
          <o:OLEObject Type="Embed" ProgID="Equation.3" ShapeID="_x0000_i1054" DrawAspect="Content" ObjectID="_1525279131" r:id="rId75"/>
        </w:object>
      </w:r>
      <w:r w:rsidR="002A2D38" w:rsidRPr="002A2D38">
        <w:tab/>
      </w:r>
      <w:r w:rsidR="002A2D38" w:rsidRPr="002A2D38">
        <w:tab/>
      </w:r>
      <w:r w:rsidR="002A2D38" w:rsidRPr="002A2D38">
        <w:tab/>
        <w:t>is the annual percentage change from the sum of annual adjustment factors in year t as calculated in the unders and overs account in appendix</w:t>
      </w:r>
      <w:r>
        <w:t xml:space="preserve"> </w:t>
      </w:r>
      <w:r>
        <w:fldChar w:fldCharType="begin"/>
      </w:r>
      <w:r>
        <w:instrText xml:space="preserve"> REF _Ref447892027 \r \h </w:instrText>
      </w:r>
      <w:r>
        <w:fldChar w:fldCharType="separate"/>
      </w:r>
      <w:r w:rsidR="00B1103A">
        <w:t>B</w:t>
      </w:r>
      <w:r>
        <w:fldChar w:fldCharType="end"/>
      </w:r>
      <w:r w:rsidR="002A2D38" w:rsidRPr="002A2D38">
        <w:t>.</w:t>
      </w:r>
    </w:p>
    <w:p w:rsidR="002A2D38" w:rsidRPr="002A2D38" w:rsidRDefault="002A2D38" w:rsidP="002A2D38">
      <w:r w:rsidRPr="002A2D38">
        <w:t>With the exception of the CPI and the X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2A2D38" w:rsidRDefault="002A2D38" w:rsidP="002A2D38">
      <w:pPr>
        <w:pStyle w:val="Heading4"/>
      </w:pPr>
      <w:bookmarkStart w:id="104" w:name="_Ref449618746"/>
      <w:r w:rsidRPr="002A2D38">
        <w:t>Metering exit fees</w:t>
      </w:r>
      <w:bookmarkEnd w:id="104"/>
    </w:p>
    <w:p w:rsidR="00E10B88" w:rsidRPr="000416A1" w:rsidRDefault="00E10B88" w:rsidP="00E10B88">
      <w:r w:rsidRPr="00CF7572">
        <w:t>We are required to s</w:t>
      </w:r>
      <w:r>
        <w:t>pecify an exit fee for Powercor.</w:t>
      </w:r>
      <w:r>
        <w:rPr>
          <w:rStyle w:val="FootnoteReference"/>
        </w:rPr>
        <w:footnoteReference w:id="40"/>
      </w:r>
    </w:p>
    <w:p w:rsidR="00E10B88" w:rsidRDefault="00E10B88" w:rsidP="00E10B88">
      <w:r>
        <w:t xml:space="preserve">The </w:t>
      </w:r>
      <w:r w:rsidRPr="008A667C">
        <w:t>exit fees</w:t>
      </w:r>
      <w:r>
        <w:t xml:space="preserve"> we have accepted in this final</w:t>
      </w:r>
      <w:r w:rsidR="00A128D6">
        <w:t xml:space="preserve"> decision are set out in </w:t>
      </w:r>
      <w:r w:rsidR="00A128D6">
        <w:fldChar w:fldCharType="begin"/>
      </w:r>
      <w:r w:rsidR="00A128D6">
        <w:instrText xml:space="preserve"> REF _Ref450037891 \h </w:instrText>
      </w:r>
      <w:r w:rsidR="00A128D6">
        <w:fldChar w:fldCharType="separate"/>
      </w:r>
      <w:r w:rsidR="00B1103A">
        <w:t xml:space="preserve">Table </w:t>
      </w:r>
      <w:r w:rsidR="00B1103A">
        <w:rPr>
          <w:noProof/>
        </w:rPr>
        <w:t>16</w:t>
      </w:r>
      <w:r w:rsidR="00B1103A">
        <w:t>.</w:t>
      </w:r>
      <w:r w:rsidR="00B1103A">
        <w:rPr>
          <w:noProof/>
        </w:rPr>
        <w:t>6</w:t>
      </w:r>
      <w:r w:rsidR="00A128D6">
        <w:fldChar w:fldCharType="end"/>
      </w:r>
      <w:r>
        <w:t>.</w:t>
      </w:r>
    </w:p>
    <w:p w:rsidR="00E10B88" w:rsidRDefault="00CB4C7D" w:rsidP="00CB4C7D">
      <w:pPr>
        <w:pStyle w:val="Caption"/>
      </w:pPr>
      <w:bookmarkStart w:id="105" w:name="_Ref450037891"/>
      <w:r>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6</w:t>
      </w:r>
      <w:r w:rsidR="008572AB">
        <w:rPr>
          <w:noProof/>
        </w:rPr>
        <w:fldChar w:fldCharType="end"/>
      </w:r>
      <w:bookmarkEnd w:id="105"/>
      <w:r>
        <w:tab/>
      </w:r>
      <w:r w:rsidR="00E10B88">
        <w:t>Powercor fina</w:t>
      </w:r>
      <w:r w:rsidR="00E85E2B">
        <w:t>l decision – meter exit fees ($</w:t>
      </w:r>
      <w:r w:rsidR="00E10B88">
        <w:t xml:space="preserve"> nominal)</w:t>
      </w:r>
    </w:p>
    <w:tbl>
      <w:tblPr>
        <w:tblStyle w:val="AERtable-numbers"/>
        <w:tblW w:w="0" w:type="auto"/>
        <w:tblLook w:val="04A0" w:firstRow="1" w:lastRow="0" w:firstColumn="1" w:lastColumn="0" w:noHBand="0" w:noVBand="1"/>
      </w:tblPr>
      <w:tblGrid>
        <w:gridCol w:w="2439"/>
        <w:gridCol w:w="1538"/>
        <w:gridCol w:w="1538"/>
        <w:gridCol w:w="1538"/>
        <w:gridCol w:w="1538"/>
      </w:tblGrid>
      <w:tr w:rsidR="00A128D6" w:rsidTr="00A128D6">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439" w:type="dxa"/>
          </w:tcPr>
          <w:p w:rsidR="00A128D6" w:rsidRPr="00E10B88" w:rsidRDefault="00A128D6" w:rsidP="00E10B88">
            <w:r>
              <w:t>Meter type</w:t>
            </w:r>
          </w:p>
        </w:tc>
        <w:tc>
          <w:tcPr>
            <w:tcW w:w="1538" w:type="dxa"/>
          </w:tcPr>
          <w:p w:rsidR="00A128D6" w:rsidRPr="00E10B88" w:rsidRDefault="00A128D6" w:rsidP="00E10B88">
            <w:pPr>
              <w:cnfStyle w:val="100000000000" w:firstRow="1" w:lastRow="0" w:firstColumn="0" w:lastColumn="0" w:oddVBand="0" w:evenVBand="0" w:oddHBand="0" w:evenHBand="0" w:firstRowFirstColumn="0" w:firstRowLastColumn="0" w:lastRowFirstColumn="0" w:lastRowLastColumn="0"/>
            </w:pPr>
            <w:r>
              <w:t>2017</w:t>
            </w:r>
          </w:p>
        </w:tc>
        <w:tc>
          <w:tcPr>
            <w:tcW w:w="1538" w:type="dxa"/>
          </w:tcPr>
          <w:p w:rsidR="00A128D6" w:rsidRPr="00E10B88" w:rsidRDefault="00A128D6" w:rsidP="00E10B88">
            <w:pPr>
              <w:cnfStyle w:val="100000000000" w:firstRow="1" w:lastRow="0" w:firstColumn="0" w:lastColumn="0" w:oddVBand="0" w:evenVBand="0" w:oddHBand="0" w:evenHBand="0" w:firstRowFirstColumn="0" w:firstRowLastColumn="0" w:lastRowFirstColumn="0" w:lastRowLastColumn="0"/>
            </w:pPr>
            <w:r>
              <w:t>2018</w:t>
            </w:r>
          </w:p>
        </w:tc>
        <w:tc>
          <w:tcPr>
            <w:tcW w:w="1538" w:type="dxa"/>
          </w:tcPr>
          <w:p w:rsidR="00A128D6" w:rsidRPr="00E10B88" w:rsidRDefault="00A128D6" w:rsidP="00E10B88">
            <w:pPr>
              <w:cnfStyle w:val="100000000000" w:firstRow="1" w:lastRow="0" w:firstColumn="0" w:lastColumn="0" w:oddVBand="0" w:evenVBand="0" w:oddHBand="0" w:evenHBand="0" w:firstRowFirstColumn="0" w:firstRowLastColumn="0" w:lastRowFirstColumn="0" w:lastRowLastColumn="0"/>
            </w:pPr>
            <w:r>
              <w:t>2019</w:t>
            </w:r>
          </w:p>
        </w:tc>
        <w:tc>
          <w:tcPr>
            <w:tcW w:w="1538" w:type="dxa"/>
          </w:tcPr>
          <w:p w:rsidR="00A128D6" w:rsidRPr="00E10B88" w:rsidRDefault="00A128D6" w:rsidP="00E10B88">
            <w:pPr>
              <w:cnfStyle w:val="100000000000" w:firstRow="1" w:lastRow="0" w:firstColumn="0" w:lastColumn="0" w:oddVBand="0" w:evenVBand="0" w:oddHBand="0" w:evenHBand="0" w:firstRowFirstColumn="0" w:firstRowLastColumn="0" w:lastRowFirstColumn="0" w:lastRowLastColumn="0"/>
            </w:pPr>
            <w:r>
              <w:t>2020</w:t>
            </w:r>
          </w:p>
        </w:tc>
      </w:tr>
      <w:tr w:rsidR="00A128D6" w:rsidTr="00A128D6">
        <w:trPr>
          <w:trHeight w:val="424"/>
        </w:trPr>
        <w:tc>
          <w:tcPr>
            <w:cnfStyle w:val="001000000000" w:firstRow="0" w:lastRow="0" w:firstColumn="1" w:lastColumn="0" w:oddVBand="0" w:evenVBand="0" w:oddHBand="0" w:evenHBand="0" w:firstRowFirstColumn="0" w:firstRowLastColumn="0" w:lastRowFirstColumn="0" w:lastRowLastColumn="0"/>
            <w:tcW w:w="2439" w:type="dxa"/>
          </w:tcPr>
          <w:p w:rsidR="00A128D6" w:rsidRPr="00CB4C7D" w:rsidRDefault="00A128D6" w:rsidP="00CB4C7D">
            <w:r w:rsidRPr="00E575F8">
              <w:t>AMI single phase</w:t>
            </w:r>
          </w:p>
        </w:tc>
        <w:tc>
          <w:tcPr>
            <w:tcW w:w="1538" w:type="dxa"/>
            <w:vAlign w:val="bottom"/>
          </w:tcPr>
          <w:p w:rsidR="00A128D6" w:rsidRPr="00CB4C7D" w:rsidRDefault="000637AA" w:rsidP="00CB4C7D">
            <w:pPr>
              <w:cnfStyle w:val="000000000000" w:firstRow="0" w:lastRow="0" w:firstColumn="0" w:lastColumn="0" w:oddVBand="0" w:evenVBand="0" w:oddHBand="0" w:evenHBand="0" w:firstRowFirstColumn="0" w:firstRowLastColumn="0" w:lastRowFirstColumn="0" w:lastRowLastColumn="0"/>
            </w:pPr>
            <w:r>
              <w:t>498.48</w:t>
            </w:r>
          </w:p>
        </w:tc>
        <w:tc>
          <w:tcPr>
            <w:tcW w:w="1538" w:type="dxa"/>
            <w:vAlign w:val="bottom"/>
          </w:tcPr>
          <w:p w:rsidR="00A128D6" w:rsidRPr="00CB4C7D" w:rsidRDefault="000637AA" w:rsidP="00CB4C7D">
            <w:pPr>
              <w:cnfStyle w:val="000000000000" w:firstRow="0" w:lastRow="0" w:firstColumn="0" w:lastColumn="0" w:oddVBand="0" w:evenVBand="0" w:oddHBand="0" w:evenHBand="0" w:firstRowFirstColumn="0" w:firstRowLastColumn="0" w:lastRowFirstColumn="0" w:lastRowLastColumn="0"/>
            </w:pPr>
            <w:r>
              <w:t>464.64</w:t>
            </w:r>
          </w:p>
        </w:tc>
        <w:tc>
          <w:tcPr>
            <w:tcW w:w="1538" w:type="dxa"/>
            <w:vAlign w:val="bottom"/>
          </w:tcPr>
          <w:p w:rsidR="00A128D6" w:rsidRPr="00CB4C7D" w:rsidRDefault="000637AA" w:rsidP="00CB4C7D">
            <w:pPr>
              <w:cnfStyle w:val="000000000000" w:firstRow="0" w:lastRow="0" w:firstColumn="0" w:lastColumn="0" w:oddVBand="0" w:evenVBand="0" w:oddHBand="0" w:evenHBand="0" w:firstRowFirstColumn="0" w:firstRowLastColumn="0" w:lastRowFirstColumn="0" w:lastRowLastColumn="0"/>
            </w:pPr>
            <w:r>
              <w:t>424.22</w:t>
            </w:r>
          </w:p>
        </w:tc>
        <w:tc>
          <w:tcPr>
            <w:tcW w:w="1538" w:type="dxa"/>
            <w:vAlign w:val="bottom"/>
          </w:tcPr>
          <w:p w:rsidR="00A128D6" w:rsidRPr="00E575F8" w:rsidRDefault="000637AA" w:rsidP="00CB4C7D">
            <w:pPr>
              <w:cnfStyle w:val="000000000000" w:firstRow="0" w:lastRow="0" w:firstColumn="0" w:lastColumn="0" w:oddVBand="0" w:evenVBand="0" w:oddHBand="0" w:evenHBand="0" w:firstRowFirstColumn="0" w:firstRowLastColumn="0" w:lastRowFirstColumn="0" w:lastRowLastColumn="0"/>
            </w:pPr>
            <w:r>
              <w:t>390.13</w:t>
            </w:r>
          </w:p>
        </w:tc>
      </w:tr>
      <w:tr w:rsidR="00A128D6" w:rsidTr="00A128D6">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439" w:type="dxa"/>
          </w:tcPr>
          <w:p w:rsidR="00A128D6" w:rsidRPr="00CB4C7D" w:rsidRDefault="00A128D6" w:rsidP="00CB4C7D">
            <w:r w:rsidRPr="00E575F8">
              <w:t>AMI three phase</w:t>
            </w:r>
          </w:p>
        </w:tc>
        <w:tc>
          <w:tcPr>
            <w:tcW w:w="1538" w:type="dxa"/>
            <w:vAlign w:val="bottom"/>
          </w:tcPr>
          <w:p w:rsidR="00A128D6" w:rsidRPr="00E575F8" w:rsidRDefault="000637AA" w:rsidP="00CB4C7D">
            <w:pPr>
              <w:cnfStyle w:val="000000010000" w:firstRow="0" w:lastRow="0" w:firstColumn="0" w:lastColumn="0" w:oddVBand="0" w:evenVBand="0" w:oddHBand="0" w:evenHBand="1" w:firstRowFirstColumn="0" w:firstRowLastColumn="0" w:lastRowFirstColumn="0" w:lastRowLastColumn="0"/>
            </w:pPr>
            <w:r>
              <w:t>606.01</w:t>
            </w:r>
          </w:p>
        </w:tc>
        <w:tc>
          <w:tcPr>
            <w:tcW w:w="1538" w:type="dxa"/>
            <w:vAlign w:val="bottom"/>
          </w:tcPr>
          <w:p w:rsidR="00A128D6" w:rsidRPr="00E575F8" w:rsidRDefault="000637AA" w:rsidP="00CB4C7D">
            <w:pPr>
              <w:cnfStyle w:val="000000010000" w:firstRow="0" w:lastRow="0" w:firstColumn="0" w:lastColumn="0" w:oddVBand="0" w:evenVBand="0" w:oddHBand="0" w:evenHBand="1" w:firstRowFirstColumn="0" w:firstRowLastColumn="0" w:lastRowFirstColumn="0" w:lastRowLastColumn="0"/>
            </w:pPr>
            <w:r>
              <w:t>568.00</w:t>
            </w:r>
          </w:p>
        </w:tc>
        <w:tc>
          <w:tcPr>
            <w:tcW w:w="1538" w:type="dxa"/>
            <w:vAlign w:val="bottom"/>
          </w:tcPr>
          <w:p w:rsidR="00A128D6" w:rsidRPr="00E575F8" w:rsidRDefault="000637AA" w:rsidP="00CB4C7D">
            <w:pPr>
              <w:cnfStyle w:val="000000010000" w:firstRow="0" w:lastRow="0" w:firstColumn="0" w:lastColumn="0" w:oddVBand="0" w:evenVBand="0" w:oddHBand="0" w:evenHBand="1" w:firstRowFirstColumn="0" w:firstRowLastColumn="0" w:lastRowFirstColumn="0" w:lastRowLastColumn="0"/>
            </w:pPr>
            <w:r>
              <w:t>522.79</w:t>
            </w:r>
          </w:p>
        </w:tc>
        <w:tc>
          <w:tcPr>
            <w:tcW w:w="1538" w:type="dxa"/>
            <w:vAlign w:val="bottom"/>
          </w:tcPr>
          <w:p w:rsidR="00A128D6" w:rsidRPr="00E575F8" w:rsidRDefault="000637AA" w:rsidP="00CB4C7D">
            <w:pPr>
              <w:cnfStyle w:val="000000010000" w:firstRow="0" w:lastRow="0" w:firstColumn="0" w:lastColumn="0" w:oddVBand="0" w:evenVBand="0" w:oddHBand="0" w:evenHBand="1" w:firstRowFirstColumn="0" w:firstRowLastColumn="0" w:lastRowFirstColumn="0" w:lastRowLastColumn="0"/>
            </w:pPr>
            <w:r>
              <w:t>483.42</w:t>
            </w:r>
          </w:p>
        </w:tc>
      </w:tr>
      <w:tr w:rsidR="00A128D6" w:rsidTr="00A128D6">
        <w:trPr>
          <w:trHeight w:val="659"/>
        </w:trPr>
        <w:tc>
          <w:tcPr>
            <w:cnfStyle w:val="001000000000" w:firstRow="0" w:lastRow="0" w:firstColumn="1" w:lastColumn="0" w:oddVBand="0" w:evenVBand="0" w:oddHBand="0" w:evenHBand="0" w:firstRowFirstColumn="0" w:firstRowLastColumn="0" w:lastRowFirstColumn="0" w:lastRowLastColumn="0"/>
            <w:tcW w:w="2439" w:type="dxa"/>
          </w:tcPr>
          <w:p w:rsidR="00A128D6" w:rsidRPr="00CB4C7D" w:rsidRDefault="00A128D6" w:rsidP="00CB4C7D">
            <w:r w:rsidRPr="00E575F8">
              <w:t>AMI three phase current transformer</w:t>
            </w:r>
          </w:p>
        </w:tc>
        <w:tc>
          <w:tcPr>
            <w:tcW w:w="1538" w:type="dxa"/>
            <w:vAlign w:val="bottom"/>
          </w:tcPr>
          <w:p w:rsidR="00A128D6" w:rsidRPr="00E575F8" w:rsidRDefault="000637AA" w:rsidP="00CB4C7D">
            <w:pPr>
              <w:cnfStyle w:val="000000000000" w:firstRow="0" w:lastRow="0" w:firstColumn="0" w:lastColumn="0" w:oddVBand="0" w:evenVBand="0" w:oddHBand="0" w:evenHBand="0" w:firstRowFirstColumn="0" w:firstRowLastColumn="0" w:lastRowFirstColumn="0" w:lastRowLastColumn="0"/>
            </w:pPr>
            <w:r>
              <w:t>1 188.43</w:t>
            </w:r>
          </w:p>
        </w:tc>
        <w:tc>
          <w:tcPr>
            <w:tcW w:w="1538" w:type="dxa"/>
            <w:vAlign w:val="bottom"/>
          </w:tcPr>
          <w:p w:rsidR="00A128D6" w:rsidRPr="00E575F8" w:rsidRDefault="000637AA" w:rsidP="00CB4C7D">
            <w:pPr>
              <w:cnfStyle w:val="000000000000" w:firstRow="0" w:lastRow="0" w:firstColumn="0" w:lastColumn="0" w:oddVBand="0" w:evenVBand="0" w:oddHBand="0" w:evenHBand="0" w:firstRowFirstColumn="0" w:firstRowLastColumn="0" w:lastRowFirstColumn="0" w:lastRowLastColumn="0"/>
            </w:pPr>
            <w:r>
              <w:t>1 125.80</w:t>
            </w:r>
          </w:p>
        </w:tc>
        <w:tc>
          <w:tcPr>
            <w:tcW w:w="1538" w:type="dxa"/>
            <w:vAlign w:val="bottom"/>
          </w:tcPr>
          <w:p w:rsidR="00A128D6" w:rsidRPr="00E575F8" w:rsidRDefault="000637AA" w:rsidP="00CB4C7D">
            <w:pPr>
              <w:cnfStyle w:val="000000000000" w:firstRow="0" w:lastRow="0" w:firstColumn="0" w:lastColumn="0" w:oddVBand="0" w:evenVBand="0" w:oddHBand="0" w:evenHBand="0" w:firstRowFirstColumn="0" w:firstRowLastColumn="0" w:lastRowFirstColumn="0" w:lastRowLastColumn="0"/>
            </w:pPr>
            <w:r>
              <w:t>1 065.38</w:t>
            </w:r>
          </w:p>
        </w:tc>
        <w:tc>
          <w:tcPr>
            <w:tcW w:w="1538" w:type="dxa"/>
            <w:vAlign w:val="bottom"/>
          </w:tcPr>
          <w:p w:rsidR="00A128D6" w:rsidRPr="00E575F8" w:rsidRDefault="000637AA" w:rsidP="00CB4C7D">
            <w:pPr>
              <w:cnfStyle w:val="000000000000" w:firstRow="0" w:lastRow="0" w:firstColumn="0" w:lastColumn="0" w:oddVBand="0" w:evenVBand="0" w:oddHBand="0" w:evenHBand="0" w:firstRowFirstColumn="0" w:firstRowLastColumn="0" w:lastRowFirstColumn="0" w:lastRowLastColumn="0"/>
            </w:pPr>
            <w:r>
              <w:t>1 007.83</w:t>
            </w:r>
          </w:p>
        </w:tc>
      </w:tr>
      <w:tr w:rsidR="00A128D6" w:rsidTr="00A128D6">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439" w:type="dxa"/>
          </w:tcPr>
          <w:p w:rsidR="00A128D6" w:rsidRPr="00CB4C7D" w:rsidRDefault="00A128D6" w:rsidP="00CB4C7D">
            <w:r w:rsidRPr="00E575F8">
              <w:t>Non</w:t>
            </w:r>
            <w:r w:rsidRPr="00CB4C7D">
              <w:t xml:space="preserve"> AMI NMIs</w:t>
            </w:r>
          </w:p>
        </w:tc>
        <w:tc>
          <w:tcPr>
            <w:tcW w:w="1538" w:type="dxa"/>
            <w:vAlign w:val="bottom"/>
          </w:tcPr>
          <w:p w:rsidR="00A128D6" w:rsidRPr="00E575F8" w:rsidRDefault="000637AA" w:rsidP="00CB4C7D">
            <w:pPr>
              <w:cnfStyle w:val="000000010000" w:firstRow="0" w:lastRow="0" w:firstColumn="0" w:lastColumn="0" w:oddVBand="0" w:evenVBand="0" w:oddHBand="0" w:evenHBand="1" w:firstRowFirstColumn="0" w:firstRowLastColumn="0" w:lastRowFirstColumn="0" w:lastRowLastColumn="0"/>
            </w:pPr>
            <w:r>
              <w:t>41.80</w:t>
            </w:r>
          </w:p>
        </w:tc>
        <w:tc>
          <w:tcPr>
            <w:tcW w:w="1538" w:type="dxa"/>
            <w:vAlign w:val="bottom"/>
          </w:tcPr>
          <w:p w:rsidR="00A128D6" w:rsidRPr="00E575F8" w:rsidRDefault="000637AA" w:rsidP="00CB4C7D">
            <w:pPr>
              <w:cnfStyle w:val="000000010000" w:firstRow="0" w:lastRow="0" w:firstColumn="0" w:lastColumn="0" w:oddVBand="0" w:evenVBand="0" w:oddHBand="0" w:evenHBand="1" w:firstRowFirstColumn="0" w:firstRowLastColumn="0" w:lastRowFirstColumn="0" w:lastRowLastColumn="0"/>
            </w:pPr>
            <w:r>
              <w:t>43.10</w:t>
            </w:r>
          </w:p>
        </w:tc>
        <w:tc>
          <w:tcPr>
            <w:tcW w:w="1538" w:type="dxa"/>
            <w:vAlign w:val="bottom"/>
          </w:tcPr>
          <w:p w:rsidR="00A128D6" w:rsidRPr="00E575F8" w:rsidRDefault="000637AA" w:rsidP="00CB4C7D">
            <w:pPr>
              <w:cnfStyle w:val="000000010000" w:firstRow="0" w:lastRow="0" w:firstColumn="0" w:lastColumn="0" w:oddVBand="0" w:evenVBand="0" w:oddHBand="0" w:evenHBand="1" w:firstRowFirstColumn="0" w:firstRowLastColumn="0" w:lastRowFirstColumn="0" w:lastRowLastColumn="0"/>
            </w:pPr>
            <w:r>
              <w:t>44.51</w:t>
            </w:r>
          </w:p>
        </w:tc>
        <w:tc>
          <w:tcPr>
            <w:tcW w:w="1538" w:type="dxa"/>
            <w:vAlign w:val="bottom"/>
          </w:tcPr>
          <w:p w:rsidR="00A128D6" w:rsidRPr="00E575F8" w:rsidRDefault="000637AA" w:rsidP="00CB4C7D">
            <w:pPr>
              <w:cnfStyle w:val="000000010000" w:firstRow="0" w:lastRow="0" w:firstColumn="0" w:lastColumn="0" w:oddVBand="0" w:evenVBand="0" w:oddHBand="0" w:evenHBand="1" w:firstRowFirstColumn="0" w:firstRowLastColumn="0" w:lastRowFirstColumn="0" w:lastRowLastColumn="0"/>
            </w:pPr>
            <w:r>
              <w:t>46.00</w:t>
            </w:r>
          </w:p>
        </w:tc>
      </w:tr>
    </w:tbl>
    <w:p w:rsidR="00E10B88" w:rsidRPr="002A2D38" w:rsidRDefault="00E10B88" w:rsidP="00E162EC">
      <w:pPr>
        <w:pStyle w:val="Source"/>
      </w:pPr>
      <w:r>
        <w:t xml:space="preserve">Source: </w:t>
      </w:r>
      <w:r>
        <w:tab/>
        <w:t>AER analysis.</w:t>
      </w:r>
    </w:p>
    <w:p w:rsidR="002A2D38" w:rsidRPr="002A2D38" w:rsidRDefault="00E16E70" w:rsidP="00297833">
      <w:pPr>
        <w:pStyle w:val="Heading3"/>
        <w:ind w:left="720"/>
      </w:pPr>
      <w:bookmarkStart w:id="106" w:name="_Toc444841404"/>
      <w:bookmarkStart w:id="107" w:name="_Toc444841547"/>
      <w:bookmarkStart w:id="108" w:name="_Toc451441237"/>
      <w:r>
        <w:t>Powercor</w:t>
      </w:r>
      <w:r w:rsidR="002A2D38" w:rsidRPr="002A2D38">
        <w:t>'s revised proposal</w:t>
      </w:r>
      <w:bookmarkEnd w:id="106"/>
      <w:bookmarkEnd w:id="107"/>
      <w:bookmarkEnd w:id="108"/>
    </w:p>
    <w:p w:rsidR="002A2D38" w:rsidRPr="002A2D38" w:rsidRDefault="002A2D38" w:rsidP="002A2D38">
      <w:pPr>
        <w:pStyle w:val="Heading4"/>
      </w:pPr>
      <w:r w:rsidRPr="002A2D38">
        <w:t>Cost Allocation</w:t>
      </w:r>
    </w:p>
    <w:p w:rsidR="00C11039" w:rsidRDefault="002A2D38" w:rsidP="002A2D38">
      <w:r w:rsidRPr="002A2D38">
        <w:t xml:space="preserve">The Victorian businesses have all proposed different ways to allocate the costs that were previously regulated under the Order across standard and alternative control services. Our preliminary decision was that the metering costs should be recovered through alternative control </w:t>
      </w:r>
      <w:r w:rsidR="00C11039">
        <w:t xml:space="preserve">services and we reallocated </w:t>
      </w:r>
      <w:r w:rsidRPr="002A2D38">
        <w:t>Power</w:t>
      </w:r>
      <w:r w:rsidR="00C11039">
        <w:t>cor</w:t>
      </w:r>
      <w:r w:rsidRPr="002A2D38">
        <w:t>'s metering costs from standard control services to alternative control.</w:t>
      </w:r>
      <w:r w:rsidR="00C11039">
        <w:rPr>
          <w:rStyle w:val="FootnoteReference"/>
        </w:rPr>
        <w:footnoteReference w:id="41"/>
      </w:r>
    </w:p>
    <w:p w:rsidR="002A2D38" w:rsidRPr="00C11039" w:rsidRDefault="00C11039" w:rsidP="002A2D38">
      <w:pPr>
        <w:rPr>
          <w:rStyle w:val="AERtexthighlight"/>
          <w:shd w:val="clear" w:color="auto" w:fill="auto"/>
        </w:rPr>
      </w:pPr>
      <w:r>
        <w:t>Powercor</w:t>
      </w:r>
      <w:r w:rsidR="002A2D38" w:rsidRPr="002A2D38">
        <w:t xml:space="preserve"> has maintained its proposal that a portion of the metering costs should be allocated to standard control services.</w:t>
      </w:r>
      <w:r>
        <w:rPr>
          <w:rStyle w:val="FootnoteReference"/>
        </w:rPr>
        <w:footnoteReference w:id="42"/>
      </w:r>
      <w:r w:rsidRPr="002A2D38">
        <w:t xml:space="preserve"> </w:t>
      </w:r>
    </w:p>
    <w:p w:rsidR="002A2D38" w:rsidRPr="002A2D38" w:rsidRDefault="002A2D38" w:rsidP="00297833">
      <w:pPr>
        <w:pStyle w:val="Heading4"/>
        <w:keepNext/>
      </w:pPr>
      <w:r w:rsidRPr="002A2D38">
        <w:lastRenderedPageBreak/>
        <w:t>Annual metering charges</w:t>
      </w:r>
    </w:p>
    <w:p w:rsidR="002A2D38" w:rsidRPr="002A2D38" w:rsidRDefault="002A2D38" w:rsidP="00297833">
      <w:pPr>
        <w:keepNext/>
      </w:pPr>
      <w:r w:rsidRPr="002A2D38">
        <w:t xml:space="preserve">With regard to </w:t>
      </w:r>
      <w:r w:rsidR="00C11039">
        <w:t xml:space="preserve">the annual metering charge, </w:t>
      </w:r>
      <w:r w:rsidRPr="002A2D38">
        <w:t>Power</w:t>
      </w:r>
      <w:r w:rsidR="00C11039">
        <w:t>cor</w:t>
      </w:r>
      <w:r w:rsidRPr="002A2D38">
        <w:t>'s revised proposal:</w:t>
      </w:r>
    </w:p>
    <w:p w:rsidR="002A2D38" w:rsidRPr="002A2D38" w:rsidRDefault="002A2D38" w:rsidP="002A2D38">
      <w:pPr>
        <w:pStyle w:val="AERbulletlistfirststyle"/>
      </w:pPr>
      <w:r w:rsidRPr="002A2D38">
        <w:t>applied the general pricing structure set out in our preliminary decision</w:t>
      </w:r>
    </w:p>
    <w:p w:rsidR="002A2D38" w:rsidRPr="002A2D38" w:rsidRDefault="002A2D38" w:rsidP="002A2D38">
      <w:pPr>
        <w:pStyle w:val="AERbulletlistfirststyle"/>
      </w:pPr>
      <w:r w:rsidRPr="002A2D38">
        <w:t>submitted a rev</w:t>
      </w:r>
      <w:r w:rsidR="00C11039">
        <w:t>ised capex of $52.5</w:t>
      </w:r>
      <w:r w:rsidRPr="002A2D38">
        <w:t xml:space="preserve"> million for annual metering charges</w:t>
      </w:r>
      <w:r w:rsidR="00C11039">
        <w:rPr>
          <w:rStyle w:val="FootnoteReference"/>
        </w:rPr>
        <w:footnoteReference w:id="43"/>
      </w:r>
      <w:r w:rsidRPr="002A2D38">
        <w:t>, compared to the AER's preliminary de</w:t>
      </w:r>
      <w:r w:rsidR="006B75A7">
        <w:t>cision accepting $33.5</w:t>
      </w:r>
      <w:r w:rsidRPr="002A2D38">
        <w:t xml:space="preserve"> million ($2015)</w:t>
      </w:r>
      <w:r w:rsidR="006B75A7">
        <w:rPr>
          <w:rStyle w:val="FootnoteReference"/>
        </w:rPr>
        <w:footnoteReference w:id="44"/>
      </w:r>
    </w:p>
    <w:p w:rsidR="002A2D38" w:rsidRPr="002A2D38" w:rsidRDefault="002A2D38" w:rsidP="002A2D38">
      <w:pPr>
        <w:pStyle w:val="AERbulletlistfirststyle"/>
      </w:pPr>
      <w:r w:rsidRPr="002A2D38">
        <w:t>s</w:t>
      </w:r>
      <w:r w:rsidR="006B75A7">
        <w:t>ubmitted a revised opex of $76.3</w:t>
      </w:r>
      <w:r w:rsidRPr="002A2D38">
        <w:t xml:space="preserve"> million for annual metering charges</w:t>
      </w:r>
      <w:r w:rsidR="006B75A7">
        <w:rPr>
          <w:rStyle w:val="FootnoteReference"/>
        </w:rPr>
        <w:footnoteReference w:id="45"/>
      </w:r>
      <w:r w:rsidRPr="002A2D38">
        <w:t>, compared to the AER's pr</w:t>
      </w:r>
      <w:r w:rsidR="006B75A7">
        <w:t>eliminary decision accepting $91.7</w:t>
      </w:r>
      <w:r w:rsidRPr="002A2D38">
        <w:t xml:space="preserve"> million ($2015)</w:t>
      </w:r>
      <w:r w:rsidR="006B75A7">
        <w:rPr>
          <w:rStyle w:val="FootnoteReference"/>
        </w:rPr>
        <w:footnoteReference w:id="46"/>
      </w:r>
      <w:r w:rsidRPr="002A2D38">
        <w:t xml:space="preserve"> </w:t>
      </w:r>
    </w:p>
    <w:p w:rsidR="00E162EC" w:rsidRDefault="002A2D38" w:rsidP="002A2D38">
      <w:pPr>
        <w:pStyle w:val="AERbulletlistfirststyle"/>
      </w:pPr>
      <w:r w:rsidRPr="002A2D38">
        <w:t xml:space="preserve">accepts our preliminary decision </w:t>
      </w:r>
      <w:r w:rsidR="00E162EC">
        <w:t>of an opening metering asset base (MAB) value as of 1 January 2016 of $333.4 million ($nominal)</w:t>
      </w:r>
      <w:r w:rsidR="006B75A7">
        <w:rPr>
          <w:rStyle w:val="FootnoteReference"/>
        </w:rPr>
        <w:footnoteReference w:id="47"/>
      </w:r>
    </w:p>
    <w:p w:rsidR="00E162EC" w:rsidRDefault="00E162EC" w:rsidP="002A2D38">
      <w:pPr>
        <w:pStyle w:val="AERbulletlistfirststyle"/>
      </w:pPr>
      <w:r>
        <w:t>with respect to depreciation, standard asset lives of 15 years for metering assets and 7 years for communications, IT and other metering assets.</w:t>
      </w:r>
      <w:r>
        <w:rPr>
          <w:rStyle w:val="FootnoteReference"/>
        </w:rPr>
        <w:footnoteReference w:id="48"/>
      </w:r>
      <w:r w:rsidRPr="002A2D38">
        <w:t xml:space="preserve"> </w:t>
      </w:r>
    </w:p>
    <w:p w:rsidR="002A2D38" w:rsidRPr="002A2D38" w:rsidRDefault="002A2D38" w:rsidP="002A2D38">
      <w:r w:rsidRPr="002A2D38">
        <w:t>Power</w:t>
      </w:r>
      <w:r w:rsidR="006B75A7">
        <w:t>cor</w:t>
      </w:r>
      <w:r w:rsidRPr="002A2D38">
        <w:t>'s revised proposal annual revenue requirement for the 2016–20 regulatory control</w:t>
      </w:r>
      <w:r w:rsidR="00E162EC">
        <w:t xml:space="preserve"> period is set out in </w:t>
      </w:r>
      <w:r w:rsidR="00E162EC">
        <w:fldChar w:fldCharType="begin"/>
      </w:r>
      <w:r w:rsidR="00E162EC">
        <w:instrText xml:space="preserve"> REF _Ref449975334 \h </w:instrText>
      </w:r>
      <w:r w:rsidR="00E162EC">
        <w:fldChar w:fldCharType="separate"/>
      </w:r>
      <w:r w:rsidR="00B1103A">
        <w:t xml:space="preserve">Table </w:t>
      </w:r>
      <w:r w:rsidR="00B1103A">
        <w:rPr>
          <w:noProof/>
        </w:rPr>
        <w:t>16</w:t>
      </w:r>
      <w:r w:rsidR="00B1103A">
        <w:t>.</w:t>
      </w:r>
      <w:r w:rsidR="00B1103A">
        <w:rPr>
          <w:noProof/>
        </w:rPr>
        <w:t>7</w:t>
      </w:r>
      <w:r w:rsidR="00E162EC">
        <w:fldChar w:fldCharType="end"/>
      </w:r>
      <w:r w:rsidRPr="002A2D38">
        <w:t xml:space="preserve"> below.</w:t>
      </w:r>
    </w:p>
    <w:p w:rsidR="002A2D38" w:rsidRPr="002A2D38" w:rsidRDefault="00E162EC" w:rsidP="00E20B57">
      <w:pPr>
        <w:pStyle w:val="Caption"/>
      </w:pPr>
      <w:bookmarkStart w:id="109" w:name="_Ref449975334"/>
      <w:r>
        <w:lastRenderedPageBreak/>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7</w:t>
      </w:r>
      <w:r w:rsidR="008572AB">
        <w:rPr>
          <w:noProof/>
        </w:rPr>
        <w:fldChar w:fldCharType="end"/>
      </w:r>
      <w:bookmarkEnd w:id="109"/>
      <w:r>
        <w:tab/>
      </w:r>
      <w:r w:rsidR="002A2D38" w:rsidRPr="002A2D38">
        <w:t>Proposed metering annual revenue requirement ($</w:t>
      </w:r>
      <w:r w:rsidR="007E119A">
        <w:t xml:space="preserve"> nominal</w:t>
      </w:r>
      <w:r w:rsidR="002A2D38" w:rsidRPr="002A2D38">
        <w:t>)</w:t>
      </w:r>
    </w:p>
    <w:tbl>
      <w:tblPr>
        <w:tblStyle w:val="AERtable-numbers"/>
        <w:tblW w:w="0" w:type="auto"/>
        <w:tblLook w:val="04A0" w:firstRow="1" w:lastRow="0" w:firstColumn="1" w:lastColumn="0" w:noHBand="0" w:noVBand="1"/>
      </w:tblPr>
      <w:tblGrid>
        <w:gridCol w:w="1416"/>
        <w:gridCol w:w="1418"/>
        <w:gridCol w:w="1418"/>
        <w:gridCol w:w="1418"/>
        <w:gridCol w:w="1418"/>
        <w:gridCol w:w="1418"/>
      </w:tblGrid>
      <w:tr w:rsidR="002A2D38" w:rsidRPr="002A2D38" w:rsidTr="00E162E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16" w:type="dxa"/>
          </w:tcPr>
          <w:p w:rsidR="002A2D38" w:rsidRPr="002A2D38" w:rsidRDefault="002A2D38" w:rsidP="00297833">
            <w:pPr>
              <w:keepNext/>
            </w:pPr>
          </w:p>
        </w:tc>
        <w:tc>
          <w:tcPr>
            <w:tcW w:w="1418" w:type="dxa"/>
          </w:tcPr>
          <w:p w:rsidR="002A2D38" w:rsidRPr="002A2D38" w:rsidRDefault="002A2D38" w:rsidP="00297833">
            <w:pPr>
              <w:keepNext/>
              <w:cnfStyle w:val="100000000000" w:firstRow="1" w:lastRow="0" w:firstColumn="0" w:lastColumn="0" w:oddVBand="0" w:evenVBand="0" w:oddHBand="0" w:evenHBand="0" w:firstRowFirstColumn="0" w:firstRowLastColumn="0" w:lastRowFirstColumn="0" w:lastRowLastColumn="0"/>
            </w:pPr>
            <w:r w:rsidRPr="002A2D38">
              <w:t>2016</w:t>
            </w:r>
          </w:p>
        </w:tc>
        <w:tc>
          <w:tcPr>
            <w:tcW w:w="1418" w:type="dxa"/>
          </w:tcPr>
          <w:p w:rsidR="002A2D38" w:rsidRPr="002A2D38" w:rsidRDefault="002A2D38" w:rsidP="00297833">
            <w:pPr>
              <w:keepNext/>
              <w:cnfStyle w:val="100000000000" w:firstRow="1" w:lastRow="0" w:firstColumn="0" w:lastColumn="0" w:oddVBand="0" w:evenVBand="0" w:oddHBand="0" w:evenHBand="0" w:firstRowFirstColumn="0" w:firstRowLastColumn="0" w:lastRowFirstColumn="0" w:lastRowLastColumn="0"/>
            </w:pPr>
            <w:r w:rsidRPr="002A2D38">
              <w:t>2017</w:t>
            </w:r>
          </w:p>
        </w:tc>
        <w:tc>
          <w:tcPr>
            <w:tcW w:w="1418" w:type="dxa"/>
          </w:tcPr>
          <w:p w:rsidR="002A2D38" w:rsidRPr="002A2D38" w:rsidRDefault="002A2D38" w:rsidP="00297833">
            <w:pPr>
              <w:keepNext/>
              <w:cnfStyle w:val="100000000000" w:firstRow="1" w:lastRow="0" w:firstColumn="0" w:lastColumn="0" w:oddVBand="0" w:evenVBand="0" w:oddHBand="0" w:evenHBand="0" w:firstRowFirstColumn="0" w:firstRowLastColumn="0" w:lastRowFirstColumn="0" w:lastRowLastColumn="0"/>
            </w:pPr>
            <w:r w:rsidRPr="002A2D38">
              <w:t>2018</w:t>
            </w:r>
          </w:p>
        </w:tc>
        <w:tc>
          <w:tcPr>
            <w:tcW w:w="1418" w:type="dxa"/>
          </w:tcPr>
          <w:p w:rsidR="002A2D38" w:rsidRPr="002A2D38" w:rsidRDefault="002A2D38" w:rsidP="00297833">
            <w:pPr>
              <w:keepNext/>
              <w:cnfStyle w:val="100000000000" w:firstRow="1" w:lastRow="0" w:firstColumn="0" w:lastColumn="0" w:oddVBand="0" w:evenVBand="0" w:oddHBand="0" w:evenHBand="0" w:firstRowFirstColumn="0" w:firstRowLastColumn="0" w:lastRowFirstColumn="0" w:lastRowLastColumn="0"/>
            </w:pPr>
            <w:r w:rsidRPr="002A2D38">
              <w:t>2019</w:t>
            </w:r>
          </w:p>
        </w:tc>
        <w:tc>
          <w:tcPr>
            <w:tcW w:w="1418" w:type="dxa"/>
          </w:tcPr>
          <w:p w:rsidR="002A2D38" w:rsidRPr="002A2D38" w:rsidRDefault="002A2D38" w:rsidP="00297833">
            <w:pPr>
              <w:keepNext/>
              <w:cnfStyle w:val="100000000000" w:firstRow="1" w:lastRow="0" w:firstColumn="0" w:lastColumn="0" w:oddVBand="0" w:evenVBand="0" w:oddHBand="0" w:evenHBand="0" w:firstRowFirstColumn="0" w:firstRowLastColumn="0" w:lastRowFirstColumn="0" w:lastRowLastColumn="0"/>
            </w:pPr>
            <w:r w:rsidRPr="002A2D38">
              <w:t>2020</w:t>
            </w:r>
          </w:p>
        </w:tc>
      </w:tr>
      <w:tr w:rsidR="002A2D38" w:rsidRPr="002A2D38" w:rsidTr="00E162EC">
        <w:trPr>
          <w:trHeight w:val="407"/>
        </w:trPr>
        <w:tc>
          <w:tcPr>
            <w:cnfStyle w:val="001000000000" w:firstRow="0" w:lastRow="0" w:firstColumn="1" w:lastColumn="0" w:oddVBand="0" w:evenVBand="0" w:oddHBand="0" w:evenHBand="0" w:firstRowFirstColumn="0" w:firstRowLastColumn="0" w:lastRowFirstColumn="0" w:lastRowLastColumn="0"/>
            <w:tcW w:w="1416" w:type="dxa"/>
          </w:tcPr>
          <w:p w:rsidR="002A2D38" w:rsidRPr="002A2D38" w:rsidRDefault="002A2D38" w:rsidP="00297833">
            <w:pPr>
              <w:keepNext/>
            </w:pPr>
            <w:r w:rsidRPr="002A2D38">
              <w:t>Depreciation</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31.7</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34.9</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38.0</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36.4</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27.2</w:t>
            </w:r>
          </w:p>
        </w:tc>
      </w:tr>
      <w:tr w:rsidR="002A2D38" w:rsidRPr="002A2D38" w:rsidTr="00E162EC">
        <w:trPr>
          <w:cnfStyle w:val="000000010000" w:firstRow="0" w:lastRow="0" w:firstColumn="0" w:lastColumn="0" w:oddVBand="0" w:evenVBand="0" w:oddHBand="0" w:evenHBand="1"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416" w:type="dxa"/>
          </w:tcPr>
          <w:p w:rsidR="002A2D38" w:rsidRPr="002A2D38" w:rsidRDefault="002A2D38" w:rsidP="00297833">
            <w:pPr>
              <w:keepNext/>
            </w:pPr>
            <w:r w:rsidRPr="002A2D38">
              <w:t>Return on capital</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20.1</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19.3</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18.2</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16.3</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14.5</w:t>
            </w:r>
          </w:p>
        </w:tc>
      </w:tr>
      <w:tr w:rsidR="002A2D38" w:rsidRPr="002A2D38" w:rsidTr="00E162EC">
        <w:trPr>
          <w:trHeight w:val="407"/>
        </w:trPr>
        <w:tc>
          <w:tcPr>
            <w:cnfStyle w:val="001000000000" w:firstRow="0" w:lastRow="0" w:firstColumn="1" w:lastColumn="0" w:oddVBand="0" w:evenVBand="0" w:oddHBand="0" w:evenHBand="0" w:firstRowFirstColumn="0" w:firstRowLastColumn="0" w:lastRowFirstColumn="0" w:lastRowLastColumn="0"/>
            <w:tcW w:w="1416" w:type="dxa"/>
          </w:tcPr>
          <w:p w:rsidR="002A2D38" w:rsidRPr="002A2D38" w:rsidRDefault="002A2D38" w:rsidP="00297833">
            <w:pPr>
              <w:keepNext/>
            </w:pPr>
            <w:r w:rsidRPr="002A2D38">
              <w:t>Opex</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15.8</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15.8</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16.4</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17.1</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17.8</w:t>
            </w:r>
          </w:p>
        </w:tc>
      </w:tr>
      <w:tr w:rsidR="002A2D38" w:rsidRPr="002A2D38" w:rsidTr="00E162EC">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16" w:type="dxa"/>
          </w:tcPr>
          <w:p w:rsidR="002A2D38" w:rsidRPr="002A2D38" w:rsidRDefault="002A2D38" w:rsidP="00297833">
            <w:pPr>
              <w:keepNext/>
            </w:pPr>
            <w:r w:rsidRPr="002A2D38">
              <w:t>Tax</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0.0</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0.0</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0.0</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0.0</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0.7</w:t>
            </w:r>
          </w:p>
        </w:tc>
      </w:tr>
      <w:tr w:rsidR="002A2D38" w:rsidRPr="002A2D38" w:rsidTr="00E162EC">
        <w:trPr>
          <w:trHeight w:val="828"/>
        </w:trPr>
        <w:tc>
          <w:tcPr>
            <w:cnfStyle w:val="001000000000" w:firstRow="0" w:lastRow="0" w:firstColumn="1" w:lastColumn="0" w:oddVBand="0" w:evenVBand="0" w:oddHBand="0" w:evenHBand="0" w:firstRowFirstColumn="0" w:firstRowLastColumn="0" w:lastRowFirstColumn="0" w:lastRowLastColumn="0"/>
            <w:tcW w:w="1416" w:type="dxa"/>
          </w:tcPr>
          <w:p w:rsidR="002A2D38" w:rsidRPr="002A2D38" w:rsidRDefault="002A2D38" w:rsidP="00297833">
            <w:pPr>
              <w:keepNext/>
            </w:pPr>
            <w:r w:rsidRPr="002A2D38">
              <w:t>Unsmoothed revenue requirement</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67.5</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70.0</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72.6</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69.8</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60.2</w:t>
            </w:r>
          </w:p>
        </w:tc>
      </w:tr>
      <w:tr w:rsidR="002A2D38" w:rsidRPr="002A2D38" w:rsidTr="00E162EC">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16" w:type="dxa"/>
          </w:tcPr>
          <w:p w:rsidR="002A2D38" w:rsidRPr="002A2D38" w:rsidRDefault="002A2D38" w:rsidP="00297833">
            <w:pPr>
              <w:keepNext/>
            </w:pPr>
            <w:r w:rsidRPr="002A2D38">
              <w:t>X-factor (%)</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13.96</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14.00</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7.25</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7.25</w:t>
            </w:r>
          </w:p>
        </w:tc>
        <w:tc>
          <w:tcPr>
            <w:tcW w:w="1418" w:type="dxa"/>
          </w:tcPr>
          <w:p w:rsidR="002A2D38" w:rsidRPr="002A2D38" w:rsidRDefault="007E119A" w:rsidP="00297833">
            <w:pPr>
              <w:keepNext/>
              <w:cnfStyle w:val="000000010000" w:firstRow="0" w:lastRow="0" w:firstColumn="0" w:lastColumn="0" w:oddVBand="0" w:evenVBand="0" w:oddHBand="0" w:evenHBand="1" w:firstRowFirstColumn="0" w:firstRowLastColumn="0" w:lastRowFirstColumn="0" w:lastRowLastColumn="0"/>
            </w:pPr>
            <w:r>
              <w:t>7.25</w:t>
            </w:r>
          </w:p>
        </w:tc>
      </w:tr>
      <w:tr w:rsidR="002A2D38" w:rsidRPr="002A2D38" w:rsidTr="00E162EC">
        <w:trPr>
          <w:trHeight w:val="843"/>
        </w:trPr>
        <w:tc>
          <w:tcPr>
            <w:cnfStyle w:val="001000000000" w:firstRow="0" w:lastRow="0" w:firstColumn="1" w:lastColumn="0" w:oddVBand="0" w:evenVBand="0" w:oddHBand="0" w:evenHBand="0" w:firstRowFirstColumn="0" w:firstRowLastColumn="0" w:lastRowFirstColumn="0" w:lastRowLastColumn="0"/>
            <w:tcW w:w="1416" w:type="dxa"/>
          </w:tcPr>
          <w:p w:rsidR="002A2D38" w:rsidRPr="002A2D38" w:rsidRDefault="002A2D38" w:rsidP="00297833">
            <w:pPr>
              <w:keepNext/>
            </w:pPr>
            <w:r w:rsidRPr="002A2D38">
              <w:t>Smoothed revenue requirement</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79.2</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69.8</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66.3</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63.1</w:t>
            </w:r>
          </w:p>
        </w:tc>
        <w:tc>
          <w:tcPr>
            <w:tcW w:w="1418" w:type="dxa"/>
          </w:tcPr>
          <w:p w:rsidR="002A2D38" w:rsidRPr="002A2D38" w:rsidRDefault="007E119A" w:rsidP="00297833">
            <w:pPr>
              <w:keepNext/>
              <w:cnfStyle w:val="000000000000" w:firstRow="0" w:lastRow="0" w:firstColumn="0" w:lastColumn="0" w:oddVBand="0" w:evenVBand="0" w:oddHBand="0" w:evenHBand="0" w:firstRowFirstColumn="0" w:firstRowLastColumn="0" w:lastRowFirstColumn="0" w:lastRowLastColumn="0"/>
            </w:pPr>
            <w:r>
              <w:t>60.0</w:t>
            </w:r>
          </w:p>
        </w:tc>
      </w:tr>
    </w:tbl>
    <w:p w:rsidR="002A2D38" w:rsidRPr="002A2D38" w:rsidRDefault="006B75A7" w:rsidP="00297833">
      <w:pPr>
        <w:pStyle w:val="Source"/>
        <w:keepNext/>
      </w:pPr>
      <w:r>
        <w:t>Source:</w:t>
      </w:r>
      <w:r>
        <w:tab/>
      </w:r>
      <w:r w:rsidR="002A2D38" w:rsidRPr="002A2D38">
        <w:t>Power</w:t>
      </w:r>
      <w:r>
        <w:t>cor</w:t>
      </w:r>
      <w:r w:rsidR="002A2D38" w:rsidRPr="002A2D38">
        <w:t xml:space="preserve">, </w:t>
      </w:r>
      <w:r w:rsidR="002A2D38" w:rsidRPr="007E119A">
        <w:rPr>
          <w:rStyle w:val="AERtextitalic"/>
        </w:rPr>
        <w:t>Revised regulatory proposal</w:t>
      </w:r>
      <w:r>
        <w:t xml:space="preserve">, </w:t>
      </w:r>
      <w:r w:rsidR="007E119A">
        <w:t>January</w:t>
      </w:r>
      <w:r>
        <w:t xml:space="preserve"> 2016, p. 461</w:t>
      </w:r>
      <w:r w:rsidR="002A2D38" w:rsidRPr="002A2D38">
        <w:t>.</w:t>
      </w:r>
      <w:r w:rsidR="00AF5E71">
        <w:t xml:space="preserve"> (</w:t>
      </w:r>
      <w:r w:rsidR="00AF5E71" w:rsidRPr="00AF5E71">
        <w:t>Powercor, Revised regulatory proposal 2016–20, Metering PTRM an exit</w:t>
      </w:r>
      <w:r w:rsidR="00AF5E71">
        <w:t xml:space="preserve"> fees, January 2016, 'Revenue summary</w:t>
      </w:r>
      <w:r w:rsidR="00AF5E71" w:rsidRPr="00AF5E71">
        <w:t>' tab</w:t>
      </w:r>
      <w:r w:rsidR="00AF5E71">
        <w:t>)</w:t>
      </w:r>
      <w:r w:rsidR="00AF5E71" w:rsidRPr="00AF5E71">
        <w:t>.</w:t>
      </w:r>
    </w:p>
    <w:p w:rsidR="002A2D38" w:rsidRPr="002A2D38" w:rsidRDefault="002A2D38" w:rsidP="002A2D38">
      <w:r w:rsidRPr="002A2D38">
        <w:t>Power</w:t>
      </w:r>
      <w:r w:rsidR="006B75A7">
        <w:t>cor</w:t>
      </w:r>
      <w:r w:rsidRPr="002A2D38">
        <w:t xml:space="preserve"> state</w:t>
      </w:r>
      <w:r w:rsidR="00F523C9">
        <w:t>d</w:t>
      </w:r>
      <w:r w:rsidRPr="002A2D38">
        <w:t xml:space="preserve"> that the key change in the annual revenue requirement in the revised proposal is the timing of the introduction of metering contestability which is now scheduled for 1 December 2017.</w:t>
      </w:r>
      <w:r w:rsidR="006B75A7">
        <w:rPr>
          <w:rStyle w:val="FootnoteReference"/>
        </w:rPr>
        <w:footnoteReference w:id="49"/>
      </w:r>
    </w:p>
    <w:p w:rsidR="002A2D38" w:rsidRPr="002A2D38" w:rsidRDefault="002A2D38" w:rsidP="002A2D38">
      <w:pPr>
        <w:pStyle w:val="Heading4"/>
      </w:pPr>
      <w:r w:rsidRPr="002A2D38">
        <w:t>Metering exit fee</w:t>
      </w:r>
    </w:p>
    <w:p w:rsidR="00647558" w:rsidRDefault="00647558" w:rsidP="00647558">
      <w:r>
        <w:t xml:space="preserve">Powercor did not accept the AER’s preliminary determination of the value of the exit fee and has updated the calculation to reflect </w:t>
      </w:r>
      <w:r w:rsidR="00F523C9">
        <w:t xml:space="preserve">its </w:t>
      </w:r>
      <w:r>
        <w:t>revised operating and capital expenditure requirements.</w:t>
      </w:r>
      <w:r>
        <w:rPr>
          <w:rStyle w:val="FootnoteReference"/>
        </w:rPr>
        <w:footnoteReference w:id="50"/>
      </w:r>
    </w:p>
    <w:p w:rsidR="00647558" w:rsidRDefault="00647558" w:rsidP="00647558">
      <w:r>
        <w:t xml:space="preserve">The revised proposal meter exit fees are set out in </w:t>
      </w:r>
      <w:r w:rsidR="00E162EC">
        <w:fldChar w:fldCharType="begin"/>
      </w:r>
      <w:r w:rsidR="00E162EC">
        <w:instrText xml:space="preserve"> REF _Ref449975465 \h </w:instrText>
      </w:r>
      <w:r w:rsidR="00E162EC">
        <w:fldChar w:fldCharType="separate"/>
      </w:r>
      <w:r w:rsidR="00B1103A">
        <w:t xml:space="preserve">Table </w:t>
      </w:r>
      <w:r w:rsidR="00B1103A">
        <w:rPr>
          <w:noProof/>
        </w:rPr>
        <w:t>16</w:t>
      </w:r>
      <w:r w:rsidR="00B1103A">
        <w:t>.</w:t>
      </w:r>
      <w:r w:rsidR="00B1103A">
        <w:rPr>
          <w:noProof/>
        </w:rPr>
        <w:t>8</w:t>
      </w:r>
      <w:r w:rsidR="00E162EC">
        <w:fldChar w:fldCharType="end"/>
      </w:r>
      <w:r w:rsidR="00E162EC">
        <w:t>.</w:t>
      </w:r>
    </w:p>
    <w:p w:rsidR="00647558" w:rsidRDefault="00E162EC" w:rsidP="00E162EC">
      <w:pPr>
        <w:pStyle w:val="Caption"/>
      </w:pPr>
      <w:bookmarkStart w:id="110" w:name="_Ref449975465"/>
      <w:r>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8</w:t>
      </w:r>
      <w:r w:rsidR="008572AB">
        <w:rPr>
          <w:noProof/>
        </w:rPr>
        <w:fldChar w:fldCharType="end"/>
      </w:r>
      <w:bookmarkEnd w:id="110"/>
      <w:r>
        <w:tab/>
      </w:r>
      <w:r w:rsidR="00647558">
        <w:t>Powerco</w:t>
      </w:r>
      <w:r w:rsidR="00196638">
        <w:t>r revised proposal exit fees ($</w:t>
      </w:r>
      <w:r w:rsidR="00647558">
        <w:t xml:space="preserve"> nominal)</w:t>
      </w:r>
    </w:p>
    <w:tbl>
      <w:tblPr>
        <w:tblStyle w:val="AERtable-numbers"/>
        <w:tblW w:w="0" w:type="auto"/>
        <w:tblLook w:val="04A0" w:firstRow="1" w:lastRow="0" w:firstColumn="1" w:lastColumn="0" w:noHBand="0" w:noVBand="1"/>
      </w:tblPr>
      <w:tblGrid>
        <w:gridCol w:w="1738"/>
        <w:gridCol w:w="1738"/>
        <w:gridCol w:w="1739"/>
        <w:gridCol w:w="1739"/>
        <w:gridCol w:w="1739"/>
      </w:tblGrid>
      <w:tr w:rsidR="00647558" w:rsidTr="002C6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647558" w:rsidRDefault="00647558" w:rsidP="00647558"/>
        </w:tc>
        <w:tc>
          <w:tcPr>
            <w:tcW w:w="1738" w:type="dxa"/>
          </w:tcPr>
          <w:p w:rsidR="00647558" w:rsidRPr="00647558" w:rsidRDefault="00647558" w:rsidP="00647558">
            <w:pPr>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647558" w:rsidRPr="00647558" w:rsidRDefault="00647558" w:rsidP="00647558">
            <w:pPr>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647558" w:rsidRPr="00647558" w:rsidRDefault="00647558" w:rsidP="00647558">
            <w:pPr>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647558" w:rsidRPr="00647558" w:rsidRDefault="00647558" w:rsidP="00647558">
            <w:pPr>
              <w:cnfStyle w:val="100000000000" w:firstRow="1" w:lastRow="0" w:firstColumn="0" w:lastColumn="0" w:oddVBand="0" w:evenVBand="0" w:oddHBand="0" w:evenHBand="0" w:firstRowFirstColumn="0" w:firstRowLastColumn="0" w:lastRowFirstColumn="0" w:lastRowLastColumn="0"/>
            </w:pPr>
            <w:r>
              <w:t>2020</w:t>
            </w:r>
          </w:p>
        </w:tc>
      </w:tr>
      <w:tr w:rsidR="00647558" w:rsidTr="002C67CB">
        <w:tc>
          <w:tcPr>
            <w:cnfStyle w:val="001000000000" w:firstRow="0" w:lastRow="0" w:firstColumn="1" w:lastColumn="0" w:oddVBand="0" w:evenVBand="0" w:oddHBand="0" w:evenHBand="0" w:firstRowFirstColumn="0" w:firstRowLastColumn="0" w:lastRowFirstColumn="0" w:lastRowLastColumn="0"/>
            <w:tcW w:w="1738" w:type="dxa"/>
          </w:tcPr>
          <w:p w:rsidR="00647558" w:rsidRPr="00647558" w:rsidRDefault="00647558" w:rsidP="00647558">
            <w:r>
              <w:t>AMI single phase</w:t>
            </w:r>
          </w:p>
        </w:tc>
        <w:tc>
          <w:tcPr>
            <w:tcW w:w="1738" w:type="dxa"/>
          </w:tcPr>
          <w:p w:rsidR="00647558" w:rsidRPr="00647558" w:rsidRDefault="00647558" w:rsidP="00647558">
            <w:pPr>
              <w:cnfStyle w:val="000000000000" w:firstRow="0" w:lastRow="0" w:firstColumn="0" w:lastColumn="0" w:oddVBand="0" w:evenVBand="0" w:oddHBand="0" w:evenHBand="0" w:firstRowFirstColumn="0" w:firstRowLastColumn="0" w:lastRowFirstColumn="0" w:lastRowLastColumn="0"/>
            </w:pPr>
            <w:r>
              <w:t>504.13</w:t>
            </w:r>
          </w:p>
        </w:tc>
        <w:tc>
          <w:tcPr>
            <w:tcW w:w="1739" w:type="dxa"/>
          </w:tcPr>
          <w:p w:rsidR="00647558" w:rsidRPr="00647558" w:rsidRDefault="00647558" w:rsidP="00647558">
            <w:pPr>
              <w:cnfStyle w:val="000000000000" w:firstRow="0" w:lastRow="0" w:firstColumn="0" w:lastColumn="0" w:oddVBand="0" w:evenVBand="0" w:oddHBand="0" w:evenHBand="0" w:firstRowFirstColumn="0" w:firstRowLastColumn="0" w:lastRowFirstColumn="0" w:lastRowLastColumn="0"/>
            </w:pPr>
            <w:r>
              <w:t>473.37</w:t>
            </w:r>
          </w:p>
        </w:tc>
        <w:tc>
          <w:tcPr>
            <w:tcW w:w="1739" w:type="dxa"/>
          </w:tcPr>
          <w:p w:rsidR="00647558" w:rsidRPr="00647558" w:rsidRDefault="00647558" w:rsidP="00647558">
            <w:pPr>
              <w:cnfStyle w:val="000000000000" w:firstRow="0" w:lastRow="0" w:firstColumn="0" w:lastColumn="0" w:oddVBand="0" w:evenVBand="0" w:oddHBand="0" w:evenHBand="0" w:firstRowFirstColumn="0" w:firstRowLastColumn="0" w:lastRowFirstColumn="0" w:lastRowLastColumn="0"/>
            </w:pPr>
            <w:r>
              <w:t>435.70</w:t>
            </w:r>
          </w:p>
        </w:tc>
        <w:tc>
          <w:tcPr>
            <w:tcW w:w="1739" w:type="dxa"/>
          </w:tcPr>
          <w:p w:rsidR="00647558" w:rsidRPr="00647558" w:rsidRDefault="00647558" w:rsidP="00647558">
            <w:pPr>
              <w:cnfStyle w:val="000000000000" w:firstRow="0" w:lastRow="0" w:firstColumn="0" w:lastColumn="0" w:oddVBand="0" w:evenVBand="0" w:oddHBand="0" w:evenHBand="0" w:firstRowFirstColumn="0" w:firstRowLastColumn="0" w:lastRowFirstColumn="0" w:lastRowLastColumn="0"/>
            </w:pPr>
            <w:r>
              <w:t>404.36</w:t>
            </w:r>
          </w:p>
        </w:tc>
      </w:tr>
      <w:tr w:rsidR="00647558" w:rsidTr="002C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647558" w:rsidRPr="00647558" w:rsidRDefault="00647558" w:rsidP="00647558">
            <w:r>
              <w:t>AMI three phase</w:t>
            </w:r>
          </w:p>
        </w:tc>
        <w:tc>
          <w:tcPr>
            <w:tcW w:w="1738" w:type="dxa"/>
          </w:tcPr>
          <w:p w:rsidR="00647558" w:rsidRPr="00647558" w:rsidRDefault="00647558" w:rsidP="00647558">
            <w:pPr>
              <w:cnfStyle w:val="000000010000" w:firstRow="0" w:lastRow="0" w:firstColumn="0" w:lastColumn="0" w:oddVBand="0" w:evenVBand="0" w:oddHBand="0" w:evenHBand="1" w:firstRowFirstColumn="0" w:firstRowLastColumn="0" w:lastRowFirstColumn="0" w:lastRowLastColumn="0"/>
            </w:pPr>
            <w:r>
              <w:t>613.49</w:t>
            </w:r>
          </w:p>
        </w:tc>
        <w:tc>
          <w:tcPr>
            <w:tcW w:w="1739" w:type="dxa"/>
          </w:tcPr>
          <w:p w:rsidR="00647558" w:rsidRPr="00647558" w:rsidRDefault="00647558" w:rsidP="00647558">
            <w:pPr>
              <w:cnfStyle w:val="000000010000" w:firstRow="0" w:lastRow="0" w:firstColumn="0" w:lastColumn="0" w:oddVBand="0" w:evenVBand="0" w:oddHBand="0" w:evenHBand="1" w:firstRowFirstColumn="0" w:firstRowLastColumn="0" w:lastRowFirstColumn="0" w:lastRowLastColumn="0"/>
            </w:pPr>
            <w:r>
              <w:t>579.23</w:t>
            </w:r>
          </w:p>
        </w:tc>
        <w:tc>
          <w:tcPr>
            <w:tcW w:w="1739" w:type="dxa"/>
          </w:tcPr>
          <w:p w:rsidR="00647558" w:rsidRPr="00647558" w:rsidRDefault="00647558" w:rsidP="00647558">
            <w:pPr>
              <w:cnfStyle w:val="000000010000" w:firstRow="0" w:lastRow="0" w:firstColumn="0" w:lastColumn="0" w:oddVBand="0" w:evenVBand="0" w:oddHBand="0" w:evenHBand="1" w:firstRowFirstColumn="0" w:firstRowLastColumn="0" w:lastRowFirstColumn="0" w:lastRowLastColumn="0"/>
            </w:pPr>
            <w:r>
              <w:t>537.45</w:t>
            </w:r>
          </w:p>
        </w:tc>
        <w:tc>
          <w:tcPr>
            <w:tcW w:w="1739" w:type="dxa"/>
          </w:tcPr>
          <w:p w:rsidR="00647558" w:rsidRPr="00647558" w:rsidRDefault="00647558" w:rsidP="00647558">
            <w:pPr>
              <w:cnfStyle w:val="000000010000" w:firstRow="0" w:lastRow="0" w:firstColumn="0" w:lastColumn="0" w:oddVBand="0" w:evenVBand="0" w:oddHBand="0" w:evenHBand="1" w:firstRowFirstColumn="0" w:firstRowLastColumn="0" w:lastRowFirstColumn="0" w:lastRowLastColumn="0"/>
            </w:pPr>
            <w:r>
              <w:t>501.56</w:t>
            </w:r>
          </w:p>
        </w:tc>
      </w:tr>
      <w:tr w:rsidR="00647558" w:rsidTr="002C67CB">
        <w:tc>
          <w:tcPr>
            <w:cnfStyle w:val="001000000000" w:firstRow="0" w:lastRow="0" w:firstColumn="1" w:lastColumn="0" w:oddVBand="0" w:evenVBand="0" w:oddHBand="0" w:evenHBand="0" w:firstRowFirstColumn="0" w:firstRowLastColumn="0" w:lastRowFirstColumn="0" w:lastRowLastColumn="0"/>
            <w:tcW w:w="1738" w:type="dxa"/>
          </w:tcPr>
          <w:p w:rsidR="00647558" w:rsidRPr="00647558" w:rsidRDefault="00647558" w:rsidP="00647558">
            <w:r>
              <w:t xml:space="preserve">AMI three phase </w:t>
            </w:r>
            <w:r w:rsidRPr="00647558">
              <w:t>current transformer</w:t>
            </w:r>
          </w:p>
        </w:tc>
        <w:tc>
          <w:tcPr>
            <w:tcW w:w="1738" w:type="dxa"/>
          </w:tcPr>
          <w:p w:rsidR="00647558" w:rsidRPr="00647558" w:rsidRDefault="00647558" w:rsidP="00647558">
            <w:pPr>
              <w:cnfStyle w:val="000000000000" w:firstRow="0" w:lastRow="0" w:firstColumn="0" w:lastColumn="0" w:oddVBand="0" w:evenVBand="0" w:oddHBand="0" w:evenHBand="0" w:firstRowFirstColumn="0" w:firstRowLastColumn="0" w:lastRowFirstColumn="0" w:lastRowLastColumn="0"/>
            </w:pPr>
            <w:r>
              <w:t>1</w:t>
            </w:r>
            <w:r w:rsidR="00196638">
              <w:t xml:space="preserve"> </w:t>
            </w:r>
            <w:r>
              <w:t>205.84</w:t>
            </w:r>
          </w:p>
        </w:tc>
        <w:tc>
          <w:tcPr>
            <w:tcW w:w="1739" w:type="dxa"/>
          </w:tcPr>
          <w:p w:rsidR="00647558" w:rsidRPr="00647558" w:rsidRDefault="00647558" w:rsidP="00647558">
            <w:pPr>
              <w:cnfStyle w:val="000000000000" w:firstRow="0" w:lastRow="0" w:firstColumn="0" w:lastColumn="0" w:oddVBand="0" w:evenVBand="0" w:oddHBand="0" w:evenHBand="0" w:firstRowFirstColumn="0" w:firstRowLastColumn="0" w:lastRowFirstColumn="0" w:lastRowLastColumn="0"/>
            </w:pPr>
            <w:r>
              <w:t>1</w:t>
            </w:r>
            <w:r w:rsidR="00196638">
              <w:t xml:space="preserve"> </w:t>
            </w:r>
            <w:r>
              <w:t>150.56</w:t>
            </w:r>
          </w:p>
        </w:tc>
        <w:tc>
          <w:tcPr>
            <w:tcW w:w="1739" w:type="dxa"/>
          </w:tcPr>
          <w:p w:rsidR="00647558" w:rsidRPr="00647558" w:rsidRDefault="00647558" w:rsidP="00647558">
            <w:pPr>
              <w:cnfStyle w:val="000000000000" w:firstRow="0" w:lastRow="0" w:firstColumn="0" w:lastColumn="0" w:oddVBand="0" w:evenVBand="0" w:oddHBand="0" w:evenHBand="0" w:firstRowFirstColumn="0" w:firstRowLastColumn="0" w:lastRowFirstColumn="0" w:lastRowLastColumn="0"/>
            </w:pPr>
            <w:r>
              <w:t>1</w:t>
            </w:r>
            <w:r w:rsidR="00196638">
              <w:t xml:space="preserve"> </w:t>
            </w:r>
            <w:r>
              <w:t>097.61</w:t>
            </w:r>
          </w:p>
        </w:tc>
        <w:tc>
          <w:tcPr>
            <w:tcW w:w="1739" w:type="dxa"/>
          </w:tcPr>
          <w:p w:rsidR="00647558" w:rsidRPr="00647558" w:rsidRDefault="00647558" w:rsidP="00647558">
            <w:pPr>
              <w:cnfStyle w:val="000000000000" w:firstRow="0" w:lastRow="0" w:firstColumn="0" w:lastColumn="0" w:oddVBand="0" w:evenVBand="0" w:oddHBand="0" w:evenHBand="0" w:firstRowFirstColumn="0" w:firstRowLastColumn="0" w:lastRowFirstColumn="0" w:lastRowLastColumn="0"/>
            </w:pPr>
            <w:r>
              <w:t>1</w:t>
            </w:r>
            <w:r w:rsidR="00196638">
              <w:t xml:space="preserve"> </w:t>
            </w:r>
            <w:r>
              <w:t>047.95</w:t>
            </w:r>
          </w:p>
        </w:tc>
      </w:tr>
      <w:tr w:rsidR="00647558" w:rsidTr="002C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647558" w:rsidRPr="00647558" w:rsidRDefault="00647558" w:rsidP="00647558">
            <w:r>
              <w:t>Non AMI NMIs</w:t>
            </w:r>
          </w:p>
        </w:tc>
        <w:tc>
          <w:tcPr>
            <w:tcW w:w="1738" w:type="dxa"/>
          </w:tcPr>
          <w:p w:rsidR="00647558" w:rsidRPr="00647558" w:rsidRDefault="00647558" w:rsidP="00647558">
            <w:pPr>
              <w:cnfStyle w:val="000000010000" w:firstRow="0" w:lastRow="0" w:firstColumn="0" w:lastColumn="0" w:oddVBand="0" w:evenVBand="0" w:oddHBand="0" w:evenHBand="1" w:firstRowFirstColumn="0" w:firstRowLastColumn="0" w:lastRowFirstColumn="0" w:lastRowLastColumn="0"/>
            </w:pPr>
            <w:r>
              <w:t>43.18</w:t>
            </w:r>
          </w:p>
        </w:tc>
        <w:tc>
          <w:tcPr>
            <w:tcW w:w="1739" w:type="dxa"/>
          </w:tcPr>
          <w:p w:rsidR="00647558" w:rsidRPr="00647558" w:rsidRDefault="00647558" w:rsidP="00647558">
            <w:pPr>
              <w:cnfStyle w:val="000000010000" w:firstRow="0" w:lastRow="0" w:firstColumn="0" w:lastColumn="0" w:oddVBand="0" w:evenVBand="0" w:oddHBand="0" w:evenHBand="1" w:firstRowFirstColumn="0" w:firstRowLastColumn="0" w:lastRowFirstColumn="0" w:lastRowLastColumn="0"/>
            </w:pPr>
            <w:r>
              <w:t>45.04</w:t>
            </w:r>
          </w:p>
        </w:tc>
        <w:tc>
          <w:tcPr>
            <w:tcW w:w="1739" w:type="dxa"/>
          </w:tcPr>
          <w:p w:rsidR="00647558" w:rsidRPr="00647558" w:rsidRDefault="00647558" w:rsidP="00647558">
            <w:pPr>
              <w:cnfStyle w:val="000000010000" w:firstRow="0" w:lastRow="0" w:firstColumn="0" w:lastColumn="0" w:oddVBand="0" w:evenVBand="0" w:oddHBand="0" w:evenHBand="1" w:firstRowFirstColumn="0" w:firstRowLastColumn="0" w:lastRowFirstColumn="0" w:lastRowLastColumn="0"/>
            </w:pPr>
            <w:r>
              <w:t>46.97</w:t>
            </w:r>
          </w:p>
        </w:tc>
        <w:tc>
          <w:tcPr>
            <w:tcW w:w="1739" w:type="dxa"/>
          </w:tcPr>
          <w:p w:rsidR="00647558" w:rsidRPr="00647558" w:rsidRDefault="00647558" w:rsidP="00647558">
            <w:pPr>
              <w:cnfStyle w:val="000000010000" w:firstRow="0" w:lastRow="0" w:firstColumn="0" w:lastColumn="0" w:oddVBand="0" w:evenVBand="0" w:oddHBand="0" w:evenHBand="1" w:firstRowFirstColumn="0" w:firstRowLastColumn="0" w:lastRowFirstColumn="0" w:lastRowLastColumn="0"/>
            </w:pPr>
            <w:r>
              <w:t>48.99</w:t>
            </w:r>
          </w:p>
        </w:tc>
      </w:tr>
    </w:tbl>
    <w:p w:rsidR="00F523C9" w:rsidRPr="002A2D38" w:rsidRDefault="00F523C9" w:rsidP="00F523C9">
      <w:pPr>
        <w:pStyle w:val="AERtablesource"/>
      </w:pPr>
      <w:r>
        <w:t>Source:</w:t>
      </w:r>
      <w:r>
        <w:tab/>
        <w:t>Powercor</w:t>
      </w:r>
      <w:r w:rsidRPr="00647558">
        <w:t>, Revised</w:t>
      </w:r>
      <w:r>
        <w:t xml:space="preserve"> </w:t>
      </w:r>
      <w:r w:rsidRPr="00647558">
        <w:t>Regulatory Proposal 2016–2020</w:t>
      </w:r>
      <w:r>
        <w:t>, p.</w:t>
      </w:r>
      <w:r w:rsidR="008572AB">
        <w:t xml:space="preserve"> </w:t>
      </w:r>
      <w:r>
        <w:t>463, Table 14.8.</w:t>
      </w:r>
    </w:p>
    <w:p w:rsidR="00647558" w:rsidRDefault="00F523C9" w:rsidP="00647558">
      <w:pPr>
        <w:pStyle w:val="AERtablesource"/>
      </w:pPr>
      <w:r>
        <w:t>Note:</w:t>
      </w:r>
      <w:r>
        <w:tab/>
      </w:r>
      <w:r w:rsidR="00647558">
        <w:t>Exit fee is charged on a per National Meter Identifier basis.</w:t>
      </w:r>
    </w:p>
    <w:p w:rsidR="002A2D38" w:rsidRPr="002A2D38" w:rsidRDefault="002A2D38" w:rsidP="00297833">
      <w:pPr>
        <w:pStyle w:val="Heading3"/>
        <w:ind w:left="720"/>
      </w:pPr>
      <w:bookmarkStart w:id="111" w:name="_Toc444841405"/>
      <w:bookmarkStart w:id="112" w:name="_Toc444841548"/>
      <w:bookmarkStart w:id="113" w:name="_Toc451441238"/>
      <w:r w:rsidRPr="002A2D38">
        <w:lastRenderedPageBreak/>
        <w:t>Assessment Approach</w:t>
      </w:r>
      <w:bookmarkEnd w:id="111"/>
      <w:bookmarkEnd w:id="112"/>
      <w:bookmarkEnd w:id="113"/>
    </w:p>
    <w:p w:rsidR="002A2D38" w:rsidRPr="002A2D38" w:rsidRDefault="002A2D38" w:rsidP="002A2D38">
      <w:pPr>
        <w:pStyle w:val="Heading4"/>
      </w:pPr>
      <w:r w:rsidRPr="002A2D38">
        <w:t>Cost Allocation</w:t>
      </w:r>
    </w:p>
    <w:p w:rsidR="002A2D38" w:rsidRPr="002A2D38" w:rsidRDefault="002A2D38" w:rsidP="002A2D38">
      <w:r w:rsidRPr="002A2D38">
        <w:t>For the preliminary decision we had regard to the wider regulatory context in determining the allocation of metering service costs, including key framework issues for Victorian metering in the 2016–20 regulatory control period, such as:</w:t>
      </w:r>
    </w:p>
    <w:p w:rsidR="002A2D38" w:rsidRPr="002A2D38" w:rsidRDefault="002A2D38" w:rsidP="002A2D38">
      <w:pPr>
        <w:pStyle w:val="AERbulletlistfirststyle"/>
      </w:pPr>
      <w:r>
        <w:t>t</w:t>
      </w:r>
      <w:r w:rsidRPr="002A2D38">
        <w:t>he need to facilitate a smooth transition of governance under the Order to regulation under the modified NER</w:t>
      </w:r>
    </w:p>
    <w:p w:rsidR="002A2D38" w:rsidRPr="002A2D38" w:rsidRDefault="002A2D38" w:rsidP="002A2D38">
      <w:pPr>
        <w:pStyle w:val="AERbulletlistfirststyle"/>
      </w:pPr>
      <w:r w:rsidRPr="002A2D38">
        <w:t>the possibility of Victoria adopting the competitive metering framework sometime in the future.</w:t>
      </w:r>
      <w:r w:rsidR="006B75A7">
        <w:rPr>
          <w:rStyle w:val="FootnoteReference"/>
        </w:rPr>
        <w:footnoteReference w:id="51"/>
      </w:r>
    </w:p>
    <w:p w:rsidR="002A2D38" w:rsidRDefault="002A2D38" w:rsidP="002A2D38">
      <w:r w:rsidRPr="002A2D38">
        <w:t>We considered that any cost allocation issues relating to metering costs would be best dealt with in the development of the ring-fencing guideline in accordance with a nationally consistent approach. On this basis, our preliminary decision allocated all costs formerly regulated under the Order to alternative control services.</w:t>
      </w:r>
      <w:r w:rsidR="00343CB9">
        <w:rPr>
          <w:rStyle w:val="FootnoteReference"/>
        </w:rPr>
        <w:footnoteReference w:id="52"/>
      </w:r>
    </w:p>
    <w:p w:rsidR="002F6CE5" w:rsidRPr="002F6CE5" w:rsidRDefault="002F6CE5" w:rsidP="002F6CE5">
      <w:r w:rsidRPr="002F6CE5">
        <w:t>For the final decision we have reconsidered our preliminary decision approach to the allocation of metering costs between alternative control services and standard control services. We engaged Energy Market Consulting Associates to help develop a cost allocation approach that could be applied across the Victorian service providers.</w:t>
      </w:r>
    </w:p>
    <w:p w:rsidR="002F6CE5" w:rsidRPr="002A2D38" w:rsidRDefault="002F6CE5" w:rsidP="002F6CE5">
      <w:r w:rsidRPr="002F6CE5">
        <w:t xml:space="preserve">Our revised approach to the allocation of AMI costs is set out in the discussion on </w:t>
      </w:r>
      <w:r w:rsidR="00F523C9">
        <w:t>Powercor’s</w:t>
      </w:r>
      <w:r w:rsidR="00F523C9" w:rsidRPr="002F6CE5">
        <w:t xml:space="preserve"> </w:t>
      </w:r>
      <w:r w:rsidRPr="002F6CE5">
        <w:t>base opex</w:t>
      </w:r>
      <w:r w:rsidR="00196638">
        <w:t xml:space="preserve"> </w:t>
      </w:r>
      <w:r w:rsidRPr="002F6CE5">
        <w:t>– Appendix A of Attachment 7.</w:t>
      </w:r>
    </w:p>
    <w:p w:rsidR="002A2D38" w:rsidRPr="002A2D38" w:rsidRDefault="002A2D38" w:rsidP="002A2D38">
      <w:pPr>
        <w:pStyle w:val="Heading4"/>
      </w:pPr>
      <w:r w:rsidRPr="002A2D38">
        <w:t>Annual metering charges</w:t>
      </w:r>
    </w:p>
    <w:p w:rsidR="002A2D38" w:rsidRPr="002A2D38" w:rsidRDefault="00F523C9" w:rsidP="002A2D38">
      <w:r>
        <w:t>For</w:t>
      </w:r>
      <w:r w:rsidR="002A2D38" w:rsidRPr="002A2D38">
        <w:t xml:space="preserve"> alternative control service</w:t>
      </w:r>
      <w:r>
        <w:t>s</w:t>
      </w:r>
      <w:r w:rsidR="002A2D38" w:rsidRPr="002A2D38">
        <w:t xml:space="preserve"> the AER has a greater discretion under the NER in making our assessment compared to standard control services. We have chosen to apply a streamlined version of a building block approach.</w:t>
      </w:r>
    </w:p>
    <w:p w:rsidR="00011FDF" w:rsidRPr="00011FDF" w:rsidRDefault="00011FDF" w:rsidP="00011FDF">
      <w:pPr>
        <w:pStyle w:val="HeadingBoldBlue"/>
      </w:pPr>
      <w:r w:rsidRPr="00011FDF">
        <w:t>Forecast capex</w:t>
      </w:r>
    </w:p>
    <w:p w:rsidR="00011FDF" w:rsidRPr="00011FDF" w:rsidRDefault="00011FDF" w:rsidP="00011FDF">
      <w:r w:rsidRPr="00011FDF">
        <w:t xml:space="preserve">There are three categories of metering capex: remotely read interval meters, IT and communications. To assess remotely read interval meter capex, we reviewed unit rates and volumes.  </w:t>
      </w:r>
    </w:p>
    <w:p w:rsidR="00011FDF" w:rsidRPr="00011FDF" w:rsidRDefault="00011FDF" w:rsidP="00011FDF">
      <w:r w:rsidRPr="00011FDF">
        <w:t>In the preliminary decision we benchmarked the proposed meter hardware unit costs across the businesses. We considered this to be appropriate because the Victorian businesses all use the same six meter types and so the costs can be compared.</w:t>
      </w:r>
      <w:r w:rsidR="00343CB9">
        <w:rPr>
          <w:rStyle w:val="FootnoteReference"/>
        </w:rPr>
        <w:footnoteReference w:id="53"/>
      </w:r>
      <w:r w:rsidRPr="00011FDF">
        <w:t xml:space="preserve"> </w:t>
      </w:r>
    </w:p>
    <w:p w:rsidR="00011FDF" w:rsidRPr="00011FDF" w:rsidRDefault="00011FDF" w:rsidP="00011FDF">
      <w:r w:rsidRPr="00011FDF">
        <w:lastRenderedPageBreak/>
        <w:t>We substituted unit costs based on the lowest forecast unit costs for each meter type submitted by a Victorian business in its proposal for the 2016–20 regulatory control period.</w:t>
      </w:r>
      <w:r w:rsidR="00343CB9">
        <w:rPr>
          <w:rStyle w:val="FootnoteReference"/>
        </w:rPr>
        <w:footnoteReference w:id="54"/>
      </w:r>
      <w:r w:rsidRPr="00011FDF">
        <w:t xml:space="preserve"> </w:t>
      </w:r>
    </w:p>
    <w:p w:rsidR="00011FDF" w:rsidRDefault="00011FDF" w:rsidP="00011FDF">
      <w:r w:rsidRPr="00011FDF">
        <w:t>For the final decision we have reconsidered our preliminary decision approach</w:t>
      </w:r>
      <w:r w:rsidR="008C121C" w:rsidRPr="008C121C">
        <w:t>, taking account further submissi</w:t>
      </w:r>
      <w:r w:rsidR="008C121C">
        <w:t>ons from the network businesses</w:t>
      </w:r>
      <w:r w:rsidRPr="00011FDF">
        <w:t>.</w:t>
      </w:r>
    </w:p>
    <w:p w:rsidR="00FC6220" w:rsidRPr="00FC6220" w:rsidRDefault="008C121C" w:rsidP="00FC6220">
      <w:r w:rsidRPr="008C121C">
        <w:t>Submissions received suggested that any benchmarking should account for differences between the businesses reflecting their circumstan</w:t>
      </w:r>
      <w:r>
        <w:t>ces and the way each has</w:t>
      </w:r>
      <w:r w:rsidRPr="008C121C">
        <w:t xml:space="preserve"> con</w:t>
      </w:r>
      <w:r>
        <w:t>tracted with third parties for</w:t>
      </w:r>
      <w:r w:rsidRPr="008C121C">
        <w:t xml:space="preserve"> the supply of meters. This included differences in meter design, meter volumes and exchange rates that effect meter costs expressed in Australian dollars</w:t>
      </w:r>
      <w:r>
        <w:t>. W</w:t>
      </w:r>
      <w:r w:rsidR="00FC6220" w:rsidRPr="00FC6220">
        <w:t>e conducted an assessment of the tendering processes each business had followed when entering into contracts with suppliers. Where we were satisfied that the applied process is prudent, based on a competitive tender arrangement, we accepted the proposed metering hardware unit costs.</w:t>
      </w:r>
    </w:p>
    <w:p w:rsidR="00FC6220" w:rsidRPr="00FC6220" w:rsidRDefault="00FC6220" w:rsidP="00FC6220">
      <w:r w:rsidRPr="00FC6220">
        <w:t>We sought further information from Powercor on its meter tender and evaluation processes.</w:t>
      </w:r>
      <w:r w:rsidRPr="00FC6220">
        <w:rPr>
          <w:rStyle w:val="FootnoteReference"/>
        </w:rPr>
        <w:footnoteReference w:id="55"/>
      </w:r>
      <w:r w:rsidRPr="00FC6220">
        <w:t xml:space="preserve"> </w:t>
      </w:r>
    </w:p>
    <w:p w:rsidR="00FC6220" w:rsidRPr="00011FDF" w:rsidRDefault="00FC6220" w:rsidP="00011FDF">
      <w:r w:rsidRPr="00FC6220">
        <w:t>We also reviewed our 2012–15 AMI budget and charges determinations.</w:t>
      </w:r>
      <w:r w:rsidRPr="00FC6220">
        <w:rPr>
          <w:rStyle w:val="FootnoteReference"/>
        </w:rPr>
        <w:footnoteReference w:id="56"/>
      </w:r>
      <w:r w:rsidRPr="00FC6220">
        <w:t xml:space="preserve"> </w:t>
      </w:r>
    </w:p>
    <w:p w:rsidR="00011FDF" w:rsidRPr="00011FDF" w:rsidRDefault="00011FDF" w:rsidP="00011FDF">
      <w:pPr>
        <w:pStyle w:val="HeadingBoldBlue"/>
      </w:pPr>
      <w:r w:rsidRPr="00011FDF">
        <w:t>Forecast opex</w:t>
      </w:r>
    </w:p>
    <w:p w:rsidR="00011FDF" w:rsidRPr="00011FDF" w:rsidRDefault="00343CB9" w:rsidP="00011FDF">
      <w:pPr>
        <w:numPr>
          <w:ilvl w:val="0"/>
          <w:numId w:val="24"/>
        </w:numPr>
      </w:pPr>
      <w:r>
        <w:t xml:space="preserve">We considered </w:t>
      </w:r>
      <w:r w:rsidR="00011FDF" w:rsidRPr="00011FDF">
        <w:t>Power</w:t>
      </w:r>
      <w:r>
        <w:t>cor</w:t>
      </w:r>
      <w:r w:rsidR="00011FDF" w:rsidRPr="00011FDF">
        <w:t>’s proposed metering opex by developing our own alternative forecast. To do this we used a top-down ‘base–step–trend’ approach. This is our preferred approach to assessing most opex categories.</w:t>
      </w:r>
      <w:r>
        <w:rPr>
          <w:rStyle w:val="FootnoteReference"/>
        </w:rPr>
        <w:footnoteReference w:id="57"/>
      </w:r>
      <w:r w:rsidR="00011FDF" w:rsidRPr="00011FDF">
        <w:t xml:space="preserve">  In particular, we:</w:t>
      </w:r>
    </w:p>
    <w:p w:rsidR="00011FDF" w:rsidRPr="00011FDF" w:rsidRDefault="00011FDF" w:rsidP="00011FDF">
      <w:pPr>
        <w:pStyle w:val="AERbulletlistfirststyle"/>
      </w:pPr>
      <w:r w:rsidRPr="00011FDF">
        <w:t xml:space="preserve">used the "revealed costs" approach as the starting point and removed any non–recurrent expenditure </w:t>
      </w:r>
    </w:p>
    <w:p w:rsidR="00011FDF" w:rsidRPr="00011FDF" w:rsidRDefault="00011FDF" w:rsidP="00011FDF">
      <w:pPr>
        <w:pStyle w:val="AERbulletlistfirststyle"/>
      </w:pPr>
      <w:r w:rsidRPr="00011FDF">
        <w:t>in contrast to past metering decisions for non–Victorian distribution businesses, decided against the use of benchmarking</w:t>
      </w:r>
    </w:p>
    <w:p w:rsidR="00011FDF" w:rsidRPr="00011FDF" w:rsidRDefault="00011FDF" w:rsidP="00011FDF">
      <w:pPr>
        <w:pStyle w:val="AERbulletlistfirststyle"/>
      </w:pPr>
      <w:r w:rsidRPr="00011FDF">
        <w:t>adjusted for any step changes if we were satisfied that a prudent and efficient service provider would require them</w:t>
      </w:r>
    </w:p>
    <w:p w:rsidR="00011FDF" w:rsidRPr="00011FDF" w:rsidRDefault="00011FDF" w:rsidP="00011FDF">
      <w:pPr>
        <w:pStyle w:val="AERbulletlistfirststyle"/>
      </w:pPr>
      <w:r w:rsidRPr="00011FDF">
        <w:t>trended forward the base opex (plus any step changes) by considering the forecast changes in output, price and productivity.</w:t>
      </w:r>
      <w:r w:rsidR="00343CB9">
        <w:rPr>
          <w:rStyle w:val="FootnoteReference"/>
        </w:rPr>
        <w:footnoteReference w:id="58"/>
      </w:r>
    </w:p>
    <w:p w:rsidR="00011FDF" w:rsidRDefault="00011FDF" w:rsidP="00297833">
      <w:pPr>
        <w:pStyle w:val="Heading4"/>
        <w:keepNext/>
      </w:pPr>
      <w:r w:rsidRPr="00011FDF">
        <w:lastRenderedPageBreak/>
        <w:t>Exit fee</w:t>
      </w:r>
    </w:p>
    <w:p w:rsidR="00647558" w:rsidRDefault="00647558" w:rsidP="00297833">
      <w:pPr>
        <w:keepNext/>
      </w:pPr>
      <w:r>
        <w:t>When calculating the exit fee required under the Order, the inputs we used were:</w:t>
      </w:r>
    </w:p>
    <w:p w:rsidR="00647558" w:rsidRPr="002119ED" w:rsidRDefault="00647558" w:rsidP="00647558">
      <w:pPr>
        <w:pStyle w:val="AERbulletlistfirststyle"/>
      </w:pPr>
      <w:r>
        <w:t xml:space="preserve">our final decision on Powercor's opening </w:t>
      </w:r>
      <w:r w:rsidRPr="002119ED">
        <w:t>metering RAB</w:t>
      </w:r>
      <w:r>
        <w:t xml:space="preserve"> value as of 1 January 2016</w:t>
      </w:r>
    </w:p>
    <w:p w:rsidR="00647558" w:rsidRPr="002119ED" w:rsidRDefault="00647558" w:rsidP="00647558">
      <w:pPr>
        <w:pStyle w:val="AERbulletlistfirststyle"/>
      </w:pPr>
      <w:r w:rsidRPr="002119ED">
        <w:t>the forecast metering capex and opex which we ha</w:t>
      </w:r>
      <w:r>
        <w:t xml:space="preserve">ve accepted in this final </w:t>
      </w:r>
      <w:r w:rsidRPr="002119ED">
        <w:t xml:space="preserve">decision for </w:t>
      </w:r>
      <w:r>
        <w:t>Powercor’s</w:t>
      </w:r>
      <w:r w:rsidRPr="002119ED">
        <w:t xml:space="preserve"> 2016–20 regulatory control period</w:t>
      </w:r>
    </w:p>
    <w:p w:rsidR="00647558" w:rsidRPr="002119ED" w:rsidRDefault="00647558" w:rsidP="00647558">
      <w:pPr>
        <w:pStyle w:val="AERbulletlistfirststyle"/>
      </w:pPr>
      <w:r w:rsidRPr="002119ED">
        <w:t xml:space="preserve">in relation to an administration component </w:t>
      </w:r>
      <w:r>
        <w:t>of the exit fee, our final</w:t>
      </w:r>
      <w:r w:rsidRPr="002119ED">
        <w:t xml:space="preserve"> decision on the real labour cost escalators applicable in Victoria.</w:t>
      </w:r>
    </w:p>
    <w:p w:rsidR="00011FDF" w:rsidRPr="00011FDF" w:rsidRDefault="00647558" w:rsidP="00FB5831">
      <w:pPr>
        <w:pStyle w:val="AERbulletlistfirststyle"/>
        <w:numPr>
          <w:ilvl w:val="0"/>
          <w:numId w:val="0"/>
        </w:numPr>
      </w:pPr>
      <w:r w:rsidRPr="002119ED">
        <w:t>We also had regard to the revenue and pricing principles that the distributors should be afforded full cost recovery (see also clause 7.2 of the Order).</w:t>
      </w:r>
    </w:p>
    <w:p w:rsidR="00C97967" w:rsidRPr="00C97967" w:rsidRDefault="00C97967" w:rsidP="00297833">
      <w:pPr>
        <w:pStyle w:val="Heading3"/>
        <w:ind w:left="720"/>
      </w:pPr>
      <w:bookmarkStart w:id="114" w:name="_Toc444841406"/>
      <w:bookmarkStart w:id="115" w:name="_Toc444841549"/>
      <w:bookmarkStart w:id="116" w:name="_Toc451441239"/>
      <w:r w:rsidRPr="00C97967">
        <w:t>Reasons for final decision</w:t>
      </w:r>
      <w:bookmarkEnd w:id="114"/>
      <w:bookmarkEnd w:id="115"/>
      <w:bookmarkEnd w:id="116"/>
    </w:p>
    <w:p w:rsidR="00C97967" w:rsidRPr="00C97967" w:rsidRDefault="00C97967" w:rsidP="00677FE3">
      <w:pPr>
        <w:pStyle w:val="Heading4"/>
      </w:pPr>
      <w:r w:rsidRPr="00C97967">
        <w:t>Cost allocation</w:t>
      </w:r>
    </w:p>
    <w:p w:rsidR="002F6CE5" w:rsidRDefault="002F6CE5" w:rsidP="002F6CE5">
      <w:r>
        <w:t xml:space="preserve">Our final decision does not accept the AMI cost allocation proposed by Powercor. Our final decision on the allocation </w:t>
      </w:r>
      <w:r w:rsidRPr="004D7246">
        <w:t>between alternative control services and standard control services</w:t>
      </w:r>
      <w:r>
        <w:t xml:space="preserve"> is set out in </w:t>
      </w:r>
      <w:r>
        <w:fldChar w:fldCharType="begin"/>
      </w:r>
      <w:r>
        <w:instrText xml:space="preserve"> REF _Ref449603514 \h </w:instrText>
      </w:r>
      <w:r>
        <w:fldChar w:fldCharType="separate"/>
      </w:r>
      <w:r w:rsidR="00B1103A" w:rsidRPr="00614F31">
        <w:t xml:space="preserve">Table </w:t>
      </w:r>
      <w:r w:rsidR="00B1103A">
        <w:rPr>
          <w:noProof/>
        </w:rPr>
        <w:t>16</w:t>
      </w:r>
      <w:r w:rsidR="00B1103A">
        <w:t>.</w:t>
      </w:r>
      <w:r w:rsidR="00B1103A">
        <w:rPr>
          <w:noProof/>
        </w:rPr>
        <w:t>4</w:t>
      </w:r>
      <w:r>
        <w:fldChar w:fldCharType="end"/>
      </w:r>
      <w:r>
        <w:t xml:space="preserve"> above.</w:t>
      </w:r>
    </w:p>
    <w:p w:rsidR="00C97967" w:rsidRPr="00C97967" w:rsidRDefault="002F6CE5" w:rsidP="00C97967">
      <w:r>
        <w:t>Our revised approach and reasons for the final decision on the allocation of AMI costs is set out in the discussion on the base opex –</w:t>
      </w:r>
      <w:r w:rsidR="00196638">
        <w:t xml:space="preserve"> </w:t>
      </w:r>
      <w:r>
        <w:t>Appendix A of Attachment 7.</w:t>
      </w:r>
    </w:p>
    <w:p w:rsidR="00C97967" w:rsidRPr="00C97967" w:rsidRDefault="00C97967" w:rsidP="00C97967">
      <w:pPr>
        <w:pStyle w:val="Heading4"/>
      </w:pPr>
      <w:r w:rsidRPr="00C97967">
        <w:t>Annual metering charges</w:t>
      </w:r>
    </w:p>
    <w:p w:rsidR="00C97967" w:rsidRDefault="00C97967" w:rsidP="00677FE3">
      <w:pPr>
        <w:pStyle w:val="HeadingBoldBlue"/>
      </w:pPr>
      <w:r w:rsidRPr="00C97967">
        <w:t>Forecast capex</w:t>
      </w:r>
    </w:p>
    <w:p w:rsidR="00FB5831" w:rsidRPr="00A72EDE" w:rsidRDefault="00FB5831" w:rsidP="00FB5831">
      <w:r w:rsidRPr="00A72EDE">
        <w:t>O</w:t>
      </w:r>
      <w:r>
        <w:t>ur final decision approves $</w:t>
      </w:r>
      <w:r w:rsidR="00E02694">
        <w:t>45.1</w:t>
      </w:r>
      <w:r>
        <w:t xml:space="preserve"> </w:t>
      </w:r>
      <w:r w:rsidRPr="00A72EDE">
        <w:t xml:space="preserve">million ($2015) in capex for </w:t>
      </w:r>
      <w:r w:rsidR="00AD5D70">
        <w:t>Powercor</w:t>
      </w:r>
      <w:r>
        <w:t>'s</w:t>
      </w:r>
      <w:r w:rsidRPr="00A72EDE">
        <w:t xml:space="preserve"> alternative control meteri</w:t>
      </w:r>
      <w:r>
        <w:t>n</w:t>
      </w:r>
      <w:r w:rsidR="00080ECE">
        <w:t>g services. This is equal to 86</w:t>
      </w:r>
      <w:r w:rsidRPr="00A72EDE">
        <w:t xml:space="preserve"> per</w:t>
      </w:r>
      <w:r w:rsidR="00F523C9">
        <w:t xml:space="preserve"> </w:t>
      </w:r>
      <w:r w:rsidRPr="00A72EDE">
        <w:t xml:space="preserve">cent of </w:t>
      </w:r>
      <w:r w:rsidR="00AD5D70">
        <w:t>Powercor</w:t>
      </w:r>
      <w:r>
        <w:t xml:space="preserve">'s revised capex </w:t>
      </w:r>
      <w:r w:rsidRPr="00A72EDE">
        <w:t xml:space="preserve">forecast. </w:t>
      </w:r>
      <w:r>
        <w:fldChar w:fldCharType="begin"/>
      </w:r>
      <w:r>
        <w:instrText xml:space="preserve"> REF _Ref449975860 \h </w:instrText>
      </w:r>
      <w:r>
        <w:fldChar w:fldCharType="separate"/>
      </w:r>
      <w:r w:rsidR="00B1103A">
        <w:t xml:space="preserve">Table </w:t>
      </w:r>
      <w:r w:rsidR="00B1103A">
        <w:rPr>
          <w:noProof/>
        </w:rPr>
        <w:t>16</w:t>
      </w:r>
      <w:r w:rsidR="00B1103A">
        <w:t>.</w:t>
      </w:r>
      <w:r w:rsidR="00B1103A">
        <w:rPr>
          <w:noProof/>
        </w:rPr>
        <w:t>9</w:t>
      </w:r>
      <w:r>
        <w:fldChar w:fldCharType="end"/>
      </w:r>
      <w:r>
        <w:t xml:space="preserve"> </w:t>
      </w:r>
      <w:r w:rsidRPr="00A72EDE">
        <w:t>sets out our final decis</w:t>
      </w:r>
      <w:r w:rsidR="00ED2C5A">
        <w:t>ion on each component making up</w:t>
      </w:r>
      <w:r w:rsidR="00AD5D70">
        <w:t xml:space="preserve"> Powercor</w:t>
      </w:r>
      <w:r>
        <w:t>'s</w:t>
      </w:r>
      <w:r w:rsidRPr="00A72EDE">
        <w:t xml:space="preserve"> metering capex.</w:t>
      </w:r>
    </w:p>
    <w:p w:rsidR="00FB5831" w:rsidRPr="00A72EDE" w:rsidRDefault="00FB5831" w:rsidP="00FB5831">
      <w:pPr>
        <w:pStyle w:val="Caption"/>
      </w:pPr>
      <w:bookmarkStart w:id="117" w:name="_Ref449975860"/>
      <w:r>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9</w:t>
      </w:r>
      <w:r w:rsidR="008572AB">
        <w:rPr>
          <w:noProof/>
        </w:rPr>
        <w:fldChar w:fldCharType="end"/>
      </w:r>
      <w:bookmarkEnd w:id="117"/>
      <w:r>
        <w:tab/>
      </w:r>
      <w:r w:rsidR="00AD5D70">
        <w:t>Final decision on Powercor</w:t>
      </w:r>
      <w:r w:rsidRPr="00A72EDE">
        <w:t>'s metering capex ($2015)</w:t>
      </w:r>
    </w:p>
    <w:tbl>
      <w:tblPr>
        <w:tblStyle w:val="AERtable-numbers"/>
        <w:tblW w:w="0" w:type="auto"/>
        <w:tblLook w:val="04A0" w:firstRow="1" w:lastRow="0" w:firstColumn="1" w:lastColumn="0" w:noHBand="0" w:noVBand="1"/>
      </w:tblPr>
      <w:tblGrid>
        <w:gridCol w:w="2897"/>
        <w:gridCol w:w="2898"/>
        <w:gridCol w:w="2898"/>
      </w:tblGrid>
      <w:tr w:rsidR="00FB5831" w:rsidTr="00E54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FB5831" w:rsidRDefault="00FB5831" w:rsidP="00FB5831"/>
        </w:tc>
        <w:tc>
          <w:tcPr>
            <w:tcW w:w="2898" w:type="dxa"/>
          </w:tcPr>
          <w:p w:rsidR="00FB5831" w:rsidRPr="00FB5831" w:rsidRDefault="00FB5831" w:rsidP="00FB5831">
            <w:pPr>
              <w:cnfStyle w:val="100000000000" w:firstRow="1" w:lastRow="0" w:firstColumn="0" w:lastColumn="0" w:oddVBand="0" w:evenVBand="0" w:oddHBand="0" w:evenHBand="0" w:firstRowFirstColumn="0" w:firstRowLastColumn="0" w:lastRowFirstColumn="0" w:lastRowLastColumn="0"/>
            </w:pPr>
            <w:r>
              <w:t>Revised proposed</w:t>
            </w:r>
          </w:p>
        </w:tc>
        <w:tc>
          <w:tcPr>
            <w:tcW w:w="2898" w:type="dxa"/>
          </w:tcPr>
          <w:p w:rsidR="00FB5831" w:rsidRPr="00FB5831" w:rsidRDefault="00FB5831" w:rsidP="00FB5831">
            <w:pPr>
              <w:cnfStyle w:val="100000000000" w:firstRow="1" w:lastRow="0" w:firstColumn="0" w:lastColumn="0" w:oddVBand="0" w:evenVBand="0" w:oddHBand="0" w:evenHBand="0" w:firstRowFirstColumn="0" w:firstRowLastColumn="0" w:lastRowFirstColumn="0" w:lastRowLastColumn="0"/>
            </w:pPr>
            <w:r>
              <w:t>Approved</w:t>
            </w:r>
          </w:p>
        </w:tc>
      </w:tr>
      <w:tr w:rsidR="00FB5831" w:rsidTr="00E541FC">
        <w:tc>
          <w:tcPr>
            <w:cnfStyle w:val="001000000000" w:firstRow="0" w:lastRow="0" w:firstColumn="1" w:lastColumn="0" w:oddVBand="0" w:evenVBand="0" w:oddHBand="0" w:evenHBand="0" w:firstRowFirstColumn="0" w:firstRowLastColumn="0" w:lastRowFirstColumn="0" w:lastRowLastColumn="0"/>
            <w:tcW w:w="2897" w:type="dxa"/>
          </w:tcPr>
          <w:p w:rsidR="00FB5831" w:rsidRPr="00FB5831" w:rsidRDefault="00FB5831" w:rsidP="00FB5831">
            <w:r>
              <w:t xml:space="preserve">Remotely read interval meters </w:t>
            </w:r>
          </w:p>
        </w:tc>
        <w:tc>
          <w:tcPr>
            <w:tcW w:w="2898" w:type="dxa"/>
          </w:tcPr>
          <w:p w:rsidR="00FB5831" w:rsidRPr="00FB5831" w:rsidRDefault="00FB5831" w:rsidP="00FB5831">
            <w:pPr>
              <w:cnfStyle w:val="000000000000" w:firstRow="0" w:lastRow="0" w:firstColumn="0" w:lastColumn="0" w:oddVBand="0" w:evenVBand="0" w:oddHBand="0" w:evenHBand="0" w:firstRowFirstColumn="0" w:firstRowLastColumn="0" w:lastRowFirstColumn="0" w:lastRowLastColumn="0"/>
            </w:pPr>
            <w:r>
              <w:t>32.9</w:t>
            </w:r>
          </w:p>
        </w:tc>
        <w:tc>
          <w:tcPr>
            <w:tcW w:w="2898" w:type="dxa"/>
          </w:tcPr>
          <w:p w:rsidR="00FB5831" w:rsidRPr="00FB5831" w:rsidRDefault="00FB5831" w:rsidP="00FB5831">
            <w:pPr>
              <w:cnfStyle w:val="000000000000" w:firstRow="0" w:lastRow="0" w:firstColumn="0" w:lastColumn="0" w:oddVBand="0" w:evenVBand="0" w:oddHBand="0" w:evenHBand="0" w:firstRowFirstColumn="0" w:firstRowLastColumn="0" w:lastRowFirstColumn="0" w:lastRowLastColumn="0"/>
            </w:pPr>
            <w:r>
              <w:t>2</w:t>
            </w:r>
            <w:r w:rsidR="00E02694">
              <w:t>5.9</w:t>
            </w:r>
          </w:p>
        </w:tc>
      </w:tr>
      <w:tr w:rsidR="00FB5831" w:rsidTr="00E54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FB5831" w:rsidRPr="00FB5831" w:rsidRDefault="00FB5831" w:rsidP="00FB5831">
            <w:r>
              <w:t>IT</w:t>
            </w:r>
          </w:p>
        </w:tc>
        <w:tc>
          <w:tcPr>
            <w:tcW w:w="2898" w:type="dxa"/>
          </w:tcPr>
          <w:p w:rsidR="00FB5831" w:rsidRPr="00FB5831" w:rsidRDefault="00FB5831" w:rsidP="00FB5831">
            <w:pPr>
              <w:cnfStyle w:val="000000010000" w:firstRow="0" w:lastRow="0" w:firstColumn="0" w:lastColumn="0" w:oddVBand="0" w:evenVBand="0" w:oddHBand="0" w:evenHBand="1" w:firstRowFirstColumn="0" w:firstRowLastColumn="0" w:lastRowFirstColumn="0" w:lastRowLastColumn="0"/>
            </w:pPr>
            <w:r>
              <w:t>4.3</w:t>
            </w:r>
          </w:p>
        </w:tc>
        <w:tc>
          <w:tcPr>
            <w:tcW w:w="2898" w:type="dxa"/>
          </w:tcPr>
          <w:p w:rsidR="00FB5831" w:rsidRPr="00FB5831" w:rsidRDefault="00FB5831" w:rsidP="00FB5831">
            <w:pPr>
              <w:cnfStyle w:val="000000010000" w:firstRow="0" w:lastRow="0" w:firstColumn="0" w:lastColumn="0" w:oddVBand="0" w:evenVBand="0" w:oddHBand="0" w:evenHBand="1" w:firstRowFirstColumn="0" w:firstRowLastColumn="0" w:lastRowFirstColumn="0" w:lastRowLastColumn="0"/>
            </w:pPr>
            <w:r>
              <w:t>4.1</w:t>
            </w:r>
          </w:p>
        </w:tc>
      </w:tr>
      <w:tr w:rsidR="00FB5831" w:rsidTr="00E541FC">
        <w:tc>
          <w:tcPr>
            <w:cnfStyle w:val="001000000000" w:firstRow="0" w:lastRow="0" w:firstColumn="1" w:lastColumn="0" w:oddVBand="0" w:evenVBand="0" w:oddHBand="0" w:evenHBand="0" w:firstRowFirstColumn="0" w:firstRowLastColumn="0" w:lastRowFirstColumn="0" w:lastRowLastColumn="0"/>
            <w:tcW w:w="2897" w:type="dxa"/>
          </w:tcPr>
          <w:p w:rsidR="00FB5831" w:rsidRPr="00FB5831" w:rsidRDefault="00FB5831" w:rsidP="00FB5831">
            <w:r>
              <w:t>Communications</w:t>
            </w:r>
          </w:p>
        </w:tc>
        <w:tc>
          <w:tcPr>
            <w:tcW w:w="2898" w:type="dxa"/>
          </w:tcPr>
          <w:p w:rsidR="00FB5831" w:rsidRPr="00FB5831" w:rsidRDefault="00FB5831" w:rsidP="00FB5831">
            <w:pPr>
              <w:cnfStyle w:val="000000000000" w:firstRow="0" w:lastRow="0" w:firstColumn="0" w:lastColumn="0" w:oddVBand="0" w:evenVBand="0" w:oddHBand="0" w:evenHBand="0" w:firstRowFirstColumn="0" w:firstRowLastColumn="0" w:lastRowFirstColumn="0" w:lastRowLastColumn="0"/>
            </w:pPr>
            <w:r>
              <w:t>15.4</w:t>
            </w:r>
          </w:p>
        </w:tc>
        <w:tc>
          <w:tcPr>
            <w:tcW w:w="2898" w:type="dxa"/>
          </w:tcPr>
          <w:p w:rsidR="00FB5831" w:rsidRPr="00FB5831" w:rsidRDefault="00FB5831" w:rsidP="00FB5831">
            <w:pPr>
              <w:cnfStyle w:val="000000000000" w:firstRow="0" w:lastRow="0" w:firstColumn="0" w:lastColumn="0" w:oddVBand="0" w:evenVBand="0" w:oddHBand="0" w:evenHBand="0" w:firstRowFirstColumn="0" w:firstRowLastColumn="0" w:lastRowFirstColumn="0" w:lastRowLastColumn="0"/>
            </w:pPr>
            <w:r>
              <w:t>15.</w:t>
            </w:r>
            <w:r w:rsidR="00E02694">
              <w:t>1</w:t>
            </w:r>
          </w:p>
        </w:tc>
      </w:tr>
      <w:tr w:rsidR="00FB5831" w:rsidTr="00E54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FB5831" w:rsidRPr="00FB5831" w:rsidRDefault="00FB5831" w:rsidP="00FB5831">
            <w:r>
              <w:t>Total</w:t>
            </w:r>
          </w:p>
        </w:tc>
        <w:tc>
          <w:tcPr>
            <w:tcW w:w="2898" w:type="dxa"/>
          </w:tcPr>
          <w:p w:rsidR="00FB5831" w:rsidRPr="00FB5831" w:rsidRDefault="00FB5831" w:rsidP="00FB5831">
            <w:pPr>
              <w:cnfStyle w:val="000000010000" w:firstRow="0" w:lastRow="0" w:firstColumn="0" w:lastColumn="0" w:oddVBand="0" w:evenVBand="0" w:oddHBand="0" w:evenHBand="1" w:firstRowFirstColumn="0" w:firstRowLastColumn="0" w:lastRowFirstColumn="0" w:lastRowLastColumn="0"/>
            </w:pPr>
            <w:r>
              <w:t>52.5</w:t>
            </w:r>
          </w:p>
        </w:tc>
        <w:tc>
          <w:tcPr>
            <w:tcW w:w="2898" w:type="dxa"/>
          </w:tcPr>
          <w:p w:rsidR="00FB5831" w:rsidRPr="00FB5831" w:rsidRDefault="00FB5831" w:rsidP="00FB5831">
            <w:pPr>
              <w:cnfStyle w:val="000000010000" w:firstRow="0" w:lastRow="0" w:firstColumn="0" w:lastColumn="0" w:oddVBand="0" w:evenVBand="0" w:oddHBand="0" w:evenHBand="1" w:firstRowFirstColumn="0" w:firstRowLastColumn="0" w:lastRowFirstColumn="0" w:lastRowLastColumn="0"/>
            </w:pPr>
            <w:r>
              <w:t>4</w:t>
            </w:r>
            <w:r w:rsidR="00E02694">
              <w:t>5.1</w:t>
            </w:r>
          </w:p>
        </w:tc>
      </w:tr>
    </w:tbl>
    <w:p w:rsidR="00FB5831" w:rsidRPr="00FB5831" w:rsidRDefault="00AD5D70" w:rsidP="00FB5831">
      <w:pPr>
        <w:pStyle w:val="AERtablesource"/>
      </w:pPr>
      <w:r>
        <w:t>Source:</w:t>
      </w:r>
      <w:r>
        <w:tab/>
        <w:t>AER analysis; Powercor</w:t>
      </w:r>
      <w:r w:rsidR="00FB5831">
        <w:t>,</w:t>
      </w:r>
      <w:r w:rsidR="00FB5831" w:rsidRPr="00CD5951">
        <w:t xml:space="preserve"> </w:t>
      </w:r>
      <w:r w:rsidR="00FB5831" w:rsidRPr="00196638">
        <w:rPr>
          <w:rStyle w:val="AERtextitalic"/>
        </w:rPr>
        <w:t>Revised regulatory proposal 2016–20, Metering PTRM an exit fees</w:t>
      </w:r>
      <w:r w:rsidR="00FB5831">
        <w:t>, January 2016, 'PTRM input' tab</w:t>
      </w:r>
    </w:p>
    <w:p w:rsidR="00C97967" w:rsidRPr="00C97967" w:rsidRDefault="00C97967" w:rsidP="00297833">
      <w:pPr>
        <w:pStyle w:val="HeadingBoldItalic"/>
        <w:keepNext/>
      </w:pPr>
      <w:r w:rsidRPr="00C97967">
        <w:lastRenderedPageBreak/>
        <w:t>Remotely read interval meters</w:t>
      </w:r>
    </w:p>
    <w:p w:rsidR="00C97967" w:rsidRPr="00C97967" w:rsidRDefault="00C97967" w:rsidP="00297833">
      <w:pPr>
        <w:pStyle w:val="HeadingOrange"/>
        <w:keepNext/>
      </w:pPr>
      <w:r w:rsidRPr="00C97967">
        <w:t>Meter hardware unit costs</w:t>
      </w:r>
    </w:p>
    <w:p w:rsidR="00C97967" w:rsidRDefault="00343CB9" w:rsidP="00297833">
      <w:pPr>
        <w:keepNext/>
      </w:pPr>
      <w:r>
        <w:t xml:space="preserve">We accept </w:t>
      </w:r>
      <w:r w:rsidR="00C97967" w:rsidRPr="00C97967">
        <w:t>Power</w:t>
      </w:r>
      <w:r>
        <w:t>cor</w:t>
      </w:r>
      <w:r w:rsidR="00C97967" w:rsidRPr="00C97967">
        <w:t>'s proposed meter hardware costs.</w:t>
      </w:r>
    </w:p>
    <w:p w:rsidR="00693591" w:rsidRPr="00693591" w:rsidRDefault="00693591" w:rsidP="00693591">
      <w:r w:rsidRPr="00693591">
        <w:t>Powercor did not accept our preliminary decision on the meter hardware costs.</w:t>
      </w:r>
      <w:r w:rsidRPr="00693591">
        <w:rPr>
          <w:rStyle w:val="FootnoteReference"/>
        </w:rPr>
        <w:footnoteReference w:id="59"/>
      </w:r>
    </w:p>
    <w:p w:rsidR="00693591" w:rsidRDefault="00693591" w:rsidP="00693591">
      <w:r w:rsidRPr="00B506B9">
        <w:t>For the final decision we have reconsidered our preliminary decision approach.</w:t>
      </w:r>
    </w:p>
    <w:p w:rsidR="00693591" w:rsidRPr="00693591" w:rsidRDefault="00693591" w:rsidP="00693591">
      <w:r w:rsidRPr="00693591">
        <w:t xml:space="preserve">We accept that the approach adopted in the preliminary decision of applying the lowest forecast unit costs submitted by a Victorian distributor for each meter type was inappropriate. This approach did not take into account the businesses’ conditions in procuring meters, including differing communications technology and volume assumptions. </w:t>
      </w:r>
      <w:r w:rsidR="008C121C" w:rsidRPr="008C121C">
        <w:t xml:space="preserve">This lowest unit cost approach did not have sufficient regard to the differing network circumstances across the businesses and is not reflective of any inherent inefficiency. </w:t>
      </w:r>
      <w:r w:rsidRPr="00693591">
        <w:t>This led to the establishment of a comparison that was not based on a like–for–like benchmark.</w:t>
      </w:r>
    </w:p>
    <w:p w:rsidR="00693591" w:rsidRPr="00693591" w:rsidRDefault="008C121C" w:rsidP="00693591">
      <w:r>
        <w:t>Instead,</w:t>
      </w:r>
      <w:r w:rsidR="00693591" w:rsidRPr="00693591">
        <w:t xml:space="preserve"> we conducted an assessment of the tendering processes each business had followed when entering into contracts with suppliers. </w:t>
      </w:r>
      <w:r w:rsidRPr="008C121C">
        <w:t xml:space="preserve">A review of the governance and procurement practices and procedures is a reasonable approach to assessing efficient costs where services are being sourced through a competitive tender in an open market. This approach is also consistent with the approach adopted for the procurement of meters for the smart meter rollout in Victoria under the Order. </w:t>
      </w:r>
      <w:r w:rsidR="00693591" w:rsidRPr="00693591">
        <w:t>Where we were satisfied that the applied process is prudent, based on a competitive tender arrangement, we accepted the proposed metering hardware unit costs.</w:t>
      </w:r>
    </w:p>
    <w:p w:rsidR="00693591" w:rsidRPr="00693591" w:rsidRDefault="00693591" w:rsidP="00693591">
      <w:r w:rsidRPr="00693591">
        <w:t>Powercor and CitiPower undertook a joint procurement process for the engagement of metering hardware providers for the AMI roll out program.</w:t>
      </w:r>
      <w:r w:rsidRPr="00693591">
        <w:rPr>
          <w:rStyle w:val="FootnoteReference"/>
        </w:rPr>
        <w:footnoteReference w:id="60"/>
      </w:r>
      <w:r w:rsidRPr="00693591">
        <w:t xml:space="preserve"> As a result of this tender process, Powercor appointed two metering providers, Landis &amp; Gyr and Secure Meters, for its AMI roll out.</w:t>
      </w:r>
    </w:p>
    <w:p w:rsidR="00693591" w:rsidRPr="00693591" w:rsidRDefault="00693591" w:rsidP="00693591">
      <w:r w:rsidRPr="00693591">
        <w:t xml:space="preserve">Having examined Powercor’s tendering process for the procurement of metering hardware, we consider that the contracts have been determined on a competitively tendered basis and the meter unit costs represent competitively sourced market rates. </w:t>
      </w:r>
    </w:p>
    <w:p w:rsidR="00693591" w:rsidRPr="00693591" w:rsidRDefault="00693591" w:rsidP="00693591">
      <w:r w:rsidRPr="00693591">
        <w:t>Our 2012–15 AMI budget and charges determination supports this.</w:t>
      </w:r>
      <w:r w:rsidRPr="00693591">
        <w:rPr>
          <w:rStyle w:val="FootnoteReference"/>
        </w:rPr>
        <w:footnoteReference w:id="61"/>
      </w:r>
      <w:r w:rsidRPr="00693591">
        <w:t xml:space="preserve"> Our consultants, Impaq Consulting also maintained that Powercor’s vendor contracts had been let on a competitively tendered basis.</w:t>
      </w:r>
      <w:r w:rsidRPr="00693591">
        <w:rPr>
          <w:rStyle w:val="FootnoteReference"/>
        </w:rPr>
        <w:footnoteReference w:id="62"/>
      </w:r>
    </w:p>
    <w:p w:rsidR="00693591" w:rsidRPr="00693591" w:rsidRDefault="00693591" w:rsidP="00693591">
      <w:r w:rsidRPr="00693591">
        <w:lastRenderedPageBreak/>
        <w:t>Powercor will continue to procure meters from its existing suppliers. We consider this to be reasonable in the circumstances. Running a further tender process for the supply of meters for the 2016</w:t>
      </w:r>
      <w:r w:rsidR="00E21125">
        <w:t>–</w:t>
      </w:r>
      <w:r w:rsidRPr="00693591">
        <w:t>20 regulatory control period is unlikely to provide any additional value to customers given:</w:t>
      </w:r>
    </w:p>
    <w:p w:rsidR="00693591" w:rsidRPr="00693591" w:rsidRDefault="00693591" w:rsidP="00693591">
      <w:pPr>
        <w:pStyle w:val="AERbulletlistfirststyle"/>
      </w:pPr>
      <w:r w:rsidRPr="00693591">
        <w:t>the costs involved in undertaking a tender process are not insignificant</w:t>
      </w:r>
    </w:p>
    <w:p w:rsidR="00693591" w:rsidRPr="00693591" w:rsidRDefault="00693591" w:rsidP="00693591">
      <w:pPr>
        <w:pStyle w:val="AERbulletlistfirststyle"/>
      </w:pPr>
      <w:r w:rsidRPr="00693591">
        <w:t>the contract will be for a short term because metering contestability commences in Victoria on 1 December 2017</w:t>
      </w:r>
    </w:p>
    <w:p w:rsidR="00693591" w:rsidRPr="00693591" w:rsidRDefault="00693591" w:rsidP="00693591">
      <w:pPr>
        <w:pStyle w:val="AERbulletlistfirststyle"/>
      </w:pPr>
      <w:r w:rsidRPr="00693591">
        <w:t>the low volume of meters required.</w:t>
      </w:r>
    </w:p>
    <w:p w:rsidR="00693591" w:rsidRDefault="00693591" w:rsidP="00693591">
      <w:r>
        <w:t>We consider that the cost of engaging alternative vendors is likely to outweigh the benefits. In addition to the above limitations, even if Powercor is able to procure meters at a lower cost through an alternative vendor, it will incur other operating costs. In particular, end to end testing programs required for communication systems and data collection compliance in accordance with the mandated service levels.</w:t>
      </w:r>
    </w:p>
    <w:p w:rsidR="00C97967" w:rsidRPr="00C97967" w:rsidRDefault="00C97967" w:rsidP="00677FE3">
      <w:pPr>
        <w:pStyle w:val="HeadingOrange"/>
      </w:pPr>
      <w:r w:rsidRPr="00C97967">
        <w:t>Meter installation costs</w:t>
      </w:r>
    </w:p>
    <w:p w:rsidR="00110961" w:rsidRDefault="00110961" w:rsidP="00110961">
      <w:r>
        <w:t>We do not accept Powercor's proposed meter installation costs.</w:t>
      </w:r>
    </w:p>
    <w:p w:rsidR="00110961" w:rsidRPr="009F2F29" w:rsidRDefault="00110961" w:rsidP="00110961">
      <w:r>
        <w:t>We accept that meter faults do not necessarily occur during business hours and Powercor will incur back office costs associated with delivering its metering services. However, we do not accept Powercor's proposed time taken to install a replacement meter.</w:t>
      </w:r>
    </w:p>
    <w:p w:rsidR="00110961" w:rsidRDefault="00110961" w:rsidP="00110961">
      <w:r>
        <w:t>Powercor submitted that:</w:t>
      </w:r>
    </w:p>
    <w:p w:rsidR="00110961" w:rsidRDefault="00110961" w:rsidP="00110961">
      <w:pPr>
        <w:pStyle w:val="AERbulletlistfirststyle"/>
      </w:pPr>
      <w:r>
        <w:t xml:space="preserve">the labour time taken to replace a meter is longer than a new connection, which we applied in the preliminary decision </w:t>
      </w:r>
    </w:p>
    <w:p w:rsidR="00110961" w:rsidRDefault="00110961" w:rsidP="00110961">
      <w:pPr>
        <w:pStyle w:val="AERbulletlistfirststyle"/>
      </w:pPr>
      <w:r>
        <w:t>on-costs should be included in the labour rates</w:t>
      </w:r>
    </w:p>
    <w:p w:rsidR="00110961" w:rsidRDefault="00110961" w:rsidP="00110961">
      <w:pPr>
        <w:pStyle w:val="AERbulletlistfirststyle"/>
      </w:pPr>
      <w:r>
        <w:t>meter replacements must take into account the fact that meter faults do not necessarily occur during business hours.</w:t>
      </w:r>
      <w:r>
        <w:rPr>
          <w:rStyle w:val="FootnoteReference"/>
        </w:rPr>
        <w:footnoteReference w:id="63"/>
      </w:r>
    </w:p>
    <w:p w:rsidR="00110961" w:rsidRDefault="00110961" w:rsidP="00110961">
      <w:r>
        <w:t>Powercor submitted that the labour time taken to replace a meter is longer than a new connection because:</w:t>
      </w:r>
    </w:p>
    <w:p w:rsidR="00110961" w:rsidRPr="00110961" w:rsidRDefault="008572AB" w:rsidP="00110961">
      <w:pPr>
        <w:pStyle w:val="AERbulletlistfirststyle"/>
      </w:pPr>
      <w:r>
        <w:t>t</w:t>
      </w:r>
      <w:r w:rsidR="00110961">
        <w:t>ravel time to a fault cannot be coordinated to maximise efficiencies. Fault calls are responded to reactively while new connections can be planned to minimise travel times</w:t>
      </w:r>
    </w:p>
    <w:p w:rsidR="00110961" w:rsidRPr="00110961" w:rsidRDefault="008572AB" w:rsidP="00110961">
      <w:pPr>
        <w:pStyle w:val="AERbulletlistfirststyle"/>
      </w:pPr>
      <w:r>
        <w:t>t</w:t>
      </w:r>
      <w:r w:rsidR="00110961">
        <w:t>hey</w:t>
      </w:r>
      <w:r w:rsidR="00110961" w:rsidRPr="00110961">
        <w:t xml:space="preserve"> do not know the cause of the fault until arriving on the site, therefore they action a network fault response which involves sending a fault truck and crew to the site </w:t>
      </w:r>
    </w:p>
    <w:p w:rsidR="00110961" w:rsidRPr="00110961" w:rsidRDefault="008572AB" w:rsidP="00110961">
      <w:pPr>
        <w:pStyle w:val="AERbulletlistfirststyle"/>
      </w:pPr>
      <w:r>
        <w:t>u</w:t>
      </w:r>
      <w:r w:rsidR="00110961">
        <w:t>pon arriving on site, they</w:t>
      </w:r>
      <w:r w:rsidR="00110961" w:rsidRPr="00110961">
        <w:t xml:space="preserve"> need to ensure the site is safe, including isolating the supply point and replacing the service fuse </w:t>
      </w:r>
    </w:p>
    <w:p w:rsidR="00110961" w:rsidRPr="00110961" w:rsidRDefault="008572AB" w:rsidP="00110961">
      <w:pPr>
        <w:pStyle w:val="AERbulletlistfirststyle"/>
      </w:pPr>
      <w:r>
        <w:lastRenderedPageBreak/>
        <w:t>f</w:t>
      </w:r>
      <w:r w:rsidR="00110961">
        <w:t>ollowing the com</w:t>
      </w:r>
      <w:r w:rsidR="00110961" w:rsidRPr="00110961">
        <w:t xml:space="preserve">pletion of safety procedures, they need to identify the cause of the fault e.g. whether the fault is due to a faulty meter, faulty wiring or the meter board. </w:t>
      </w:r>
    </w:p>
    <w:p w:rsidR="00110961" w:rsidRPr="00110961" w:rsidRDefault="00110961" w:rsidP="00110961">
      <w:r>
        <w:t xml:space="preserve">We </w:t>
      </w:r>
      <w:r w:rsidRPr="00110961">
        <w:t xml:space="preserve">maintain that the time taken to replace a meter should not be vastly different to the time taken to provide a new connection. </w:t>
      </w:r>
    </w:p>
    <w:p w:rsidR="00110961" w:rsidRPr="00110961" w:rsidRDefault="00110961" w:rsidP="00110961">
      <w:r>
        <w:t xml:space="preserve">Whilst we accept that </w:t>
      </w:r>
      <w:r w:rsidRPr="00110961">
        <w:t xml:space="preserve">responses to fault calls are reactive and as a result travel would be inefficient compared to travel for planned works, the contributing factors submitted by Powercor are in respect of a network fault or emergency response, which is a broader task than just a meter replacement. Fault call outs deal with, amongst other things, the need to respond to installations with no power. In these situations there can be a number of reasons for no power at a premise. While a meter fault would be one of those reasons, it should not be a significant callout reason in itself. </w:t>
      </w:r>
    </w:p>
    <w:p w:rsidR="00110961" w:rsidRPr="00110961" w:rsidRDefault="00110961" w:rsidP="00110961">
      <w:r>
        <w:t xml:space="preserve">A meter replacement is a capital cost generally considered on a needs basis, proven through a reasonable estimate of the volume requiring replacement i.e. </w:t>
      </w:r>
      <w:r w:rsidRPr="00110961">
        <w:t xml:space="preserve">meters or meter types that do not meet specification or are failing. Whereas network faults or emergency responses are fully funded, generally as a recurring standard control opex cost. Powercor should not conflate the two tasks. </w:t>
      </w:r>
    </w:p>
    <w:p w:rsidR="00110961" w:rsidRPr="00110961" w:rsidRDefault="00110961" w:rsidP="00110961">
      <w:r>
        <w:t>The time taken to install a new connection would generally involve (and varying dependi</w:t>
      </w:r>
      <w:r w:rsidRPr="00110961">
        <w:t xml:space="preserve">ng on the type of installation, for example overhead, underground or multi storey dwelling)– running service mains, installing service fuses, installing a meter, energising the installation, testing, appropriate record keeping and time travelled. A meter replacement on the other hand would generally involve (and varying depending on, for example, ease of access to service fuses, meter board access and whether its overhead or underground)–isolating the installation (removing the fuse), removing the old meter, installing the new meter, re-energising (replacing the fuse), testing, record keeping, and time travelled. </w:t>
      </w:r>
    </w:p>
    <w:p w:rsidR="00110961" w:rsidRPr="00110961" w:rsidRDefault="00110961" w:rsidP="00110961">
      <w:r>
        <w:t xml:space="preserve">Given the tasks </w:t>
      </w:r>
      <w:r w:rsidRPr="00110961">
        <w:t>involved in meter replacement, we consider that the time taken to install a new connection is sufficient to cover a meter replacement.</w:t>
      </w:r>
    </w:p>
    <w:p w:rsidR="00110961" w:rsidRPr="00110961" w:rsidRDefault="00110961" w:rsidP="00110961">
      <w:r w:rsidRPr="005A0AFB">
        <w:t xml:space="preserve">Our </w:t>
      </w:r>
      <w:r w:rsidRPr="00110961">
        <w:t xml:space="preserve">final decision on the labour component of Powercor's metering replacement capex will follow our approach to ancillary network services for new metering connections. That is, we have used the same maximum labour rate for metering replacements which applies to ancillary network services new meter connections. The labour cost of replacing meters is recovered through the capex building block for alternative control metering; however, the cost of installing meters at new connections is recovered through separate ancillary service charges. </w:t>
      </w:r>
    </w:p>
    <w:p w:rsidR="00110961" w:rsidRDefault="00884CF6" w:rsidP="00110961">
      <w:r>
        <w:fldChar w:fldCharType="begin"/>
      </w:r>
      <w:r>
        <w:instrText xml:space="preserve"> REF _Ref449976607 \h </w:instrText>
      </w:r>
      <w:r>
        <w:fldChar w:fldCharType="separate"/>
      </w:r>
      <w:r w:rsidR="00B1103A">
        <w:t xml:space="preserve">Table </w:t>
      </w:r>
      <w:r w:rsidR="00B1103A">
        <w:rPr>
          <w:noProof/>
        </w:rPr>
        <w:t>16</w:t>
      </w:r>
      <w:r w:rsidR="00B1103A">
        <w:t>.</w:t>
      </w:r>
      <w:r w:rsidR="00B1103A">
        <w:rPr>
          <w:noProof/>
        </w:rPr>
        <w:t>10</w:t>
      </w:r>
      <w:r>
        <w:fldChar w:fldCharType="end"/>
      </w:r>
      <w:r>
        <w:t xml:space="preserve"> </w:t>
      </w:r>
      <w:r w:rsidR="00110961">
        <w:t xml:space="preserve">sets out the ancillary network services </w:t>
      </w:r>
      <w:r w:rsidR="00110961" w:rsidRPr="005A0AFB">
        <w:t>new connection ‘labour rates’ and ‘</w:t>
      </w:r>
      <w:r w:rsidR="00110961">
        <w:t xml:space="preserve">time taken’ inputs which we have applied </w:t>
      </w:r>
      <w:r w:rsidR="00110961" w:rsidRPr="005A0AFB">
        <w:t xml:space="preserve">to the cost build–up of the labour component to metering replacements. </w:t>
      </w:r>
    </w:p>
    <w:p w:rsidR="00110961" w:rsidRPr="005A0AFB" w:rsidRDefault="00884CF6" w:rsidP="00F523C9">
      <w:pPr>
        <w:pStyle w:val="Caption"/>
      </w:pPr>
      <w:bookmarkStart w:id="118" w:name="_Ref449976607"/>
      <w:r>
        <w:lastRenderedPageBreak/>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t>.</w:t>
      </w:r>
      <w:r w:rsidR="008572AB">
        <w:fldChar w:fldCharType="begin"/>
      </w:r>
      <w:r w:rsidR="008572AB">
        <w:instrText xml:space="preserve"> SEQ Table \* ARABIC \s 1 </w:instrText>
      </w:r>
      <w:r w:rsidR="008572AB">
        <w:fldChar w:fldCharType="separate"/>
      </w:r>
      <w:r w:rsidR="00B1103A">
        <w:rPr>
          <w:noProof/>
        </w:rPr>
        <w:t>10</w:t>
      </w:r>
      <w:r w:rsidR="008572AB">
        <w:rPr>
          <w:noProof/>
        </w:rPr>
        <w:fldChar w:fldCharType="end"/>
      </w:r>
      <w:bookmarkEnd w:id="118"/>
      <w:r w:rsidR="00110961" w:rsidRPr="005A0AFB">
        <w:tab/>
        <w:t>Meter replacement labour cost inputs per installation</w:t>
      </w:r>
      <w:r w:rsidR="00110961">
        <w:t xml:space="preserve"> ($2015)</w:t>
      </w:r>
    </w:p>
    <w:tbl>
      <w:tblPr>
        <w:tblStyle w:val="AERtable-text1"/>
        <w:tblW w:w="0" w:type="auto"/>
        <w:tblInd w:w="0" w:type="dxa"/>
        <w:tblLook w:val="04A0" w:firstRow="1" w:lastRow="0" w:firstColumn="1" w:lastColumn="0" w:noHBand="0" w:noVBand="1"/>
      </w:tblPr>
      <w:tblGrid>
        <w:gridCol w:w="2171"/>
        <w:gridCol w:w="2164"/>
        <w:gridCol w:w="2165"/>
        <w:gridCol w:w="2193"/>
      </w:tblGrid>
      <w:tr w:rsidR="00110961" w:rsidTr="002C67CB">
        <w:trPr>
          <w:cnfStyle w:val="100000000000" w:firstRow="1" w:lastRow="0" w:firstColumn="0" w:lastColumn="0" w:oddVBand="0" w:evenVBand="0" w:oddHBand="0" w:evenHBand="0" w:firstRowFirstColumn="0" w:firstRowLastColumn="0" w:lastRowFirstColumn="0" w:lastRowLastColumn="0"/>
        </w:trPr>
        <w:tc>
          <w:tcPr>
            <w:tcW w:w="2310" w:type="dxa"/>
          </w:tcPr>
          <w:p w:rsidR="00110961" w:rsidRPr="005A0AFB" w:rsidRDefault="00110961" w:rsidP="00297833">
            <w:pPr>
              <w:keepNext/>
            </w:pPr>
          </w:p>
        </w:tc>
        <w:tc>
          <w:tcPr>
            <w:tcW w:w="2310" w:type="dxa"/>
          </w:tcPr>
          <w:p w:rsidR="00110961" w:rsidRPr="00110961" w:rsidRDefault="00110961" w:rsidP="00297833">
            <w:pPr>
              <w:keepNext/>
            </w:pPr>
            <w:r w:rsidRPr="005A0AFB">
              <w:t>Unit rate</w:t>
            </w:r>
          </w:p>
          <w:p w:rsidR="00110961" w:rsidRPr="00110961" w:rsidRDefault="00110961" w:rsidP="00297833">
            <w:pPr>
              <w:keepNext/>
            </w:pPr>
            <w:r w:rsidRPr="005A0AFB">
              <w:t xml:space="preserve"> ($2015)</w:t>
            </w:r>
          </w:p>
        </w:tc>
        <w:tc>
          <w:tcPr>
            <w:tcW w:w="2311" w:type="dxa"/>
          </w:tcPr>
          <w:p w:rsidR="00110961" w:rsidRPr="00110961" w:rsidRDefault="00110961" w:rsidP="00297833">
            <w:pPr>
              <w:keepNext/>
            </w:pPr>
            <w:r w:rsidRPr="005A0AFB">
              <w:t xml:space="preserve">Time taken </w:t>
            </w:r>
          </w:p>
          <w:p w:rsidR="00110961" w:rsidRPr="00110961" w:rsidRDefault="00110961" w:rsidP="00297833">
            <w:pPr>
              <w:keepNext/>
            </w:pPr>
            <w:r w:rsidRPr="005A0AFB">
              <w:t>(hours)</w:t>
            </w:r>
          </w:p>
        </w:tc>
        <w:tc>
          <w:tcPr>
            <w:tcW w:w="2311" w:type="dxa"/>
          </w:tcPr>
          <w:p w:rsidR="00110961" w:rsidRPr="00110961" w:rsidRDefault="00110961" w:rsidP="00297833">
            <w:pPr>
              <w:keepNext/>
            </w:pPr>
            <w:r w:rsidRPr="005A0AFB">
              <w:t>Cost per installation ($2015)</w:t>
            </w:r>
          </w:p>
        </w:tc>
      </w:tr>
      <w:tr w:rsidR="00110961" w:rsidTr="002C67CB">
        <w:tc>
          <w:tcPr>
            <w:tcW w:w="2310" w:type="dxa"/>
          </w:tcPr>
          <w:p w:rsidR="00110961" w:rsidRPr="00110961" w:rsidRDefault="00110961" w:rsidP="00297833">
            <w:pPr>
              <w:keepNext/>
            </w:pPr>
            <w:r w:rsidRPr="005A0AFB">
              <w:t>Skilled electrical worker</w:t>
            </w:r>
          </w:p>
        </w:tc>
        <w:tc>
          <w:tcPr>
            <w:tcW w:w="2310" w:type="dxa"/>
          </w:tcPr>
          <w:p w:rsidR="00110961" w:rsidRPr="00110961" w:rsidRDefault="00110961" w:rsidP="00297833">
            <w:pPr>
              <w:keepNext/>
            </w:pPr>
            <w:r w:rsidRPr="005A0AFB">
              <w:t>124.5</w:t>
            </w:r>
            <w:r w:rsidR="00E02694">
              <w:t>1</w:t>
            </w:r>
          </w:p>
        </w:tc>
        <w:tc>
          <w:tcPr>
            <w:tcW w:w="2311" w:type="dxa"/>
          </w:tcPr>
          <w:p w:rsidR="00110961" w:rsidRPr="00110961" w:rsidRDefault="00110961" w:rsidP="00297833">
            <w:pPr>
              <w:keepNext/>
            </w:pPr>
            <w:r>
              <w:t>2</w:t>
            </w:r>
            <w:r w:rsidRPr="00110961">
              <w:t>.10</w:t>
            </w:r>
          </w:p>
        </w:tc>
        <w:tc>
          <w:tcPr>
            <w:tcW w:w="2311" w:type="dxa"/>
          </w:tcPr>
          <w:p w:rsidR="00110961" w:rsidRPr="00110961" w:rsidRDefault="00110961" w:rsidP="00297833">
            <w:pPr>
              <w:keepNext/>
            </w:pPr>
            <w:r w:rsidRPr="005A0AFB">
              <w:t>2</w:t>
            </w:r>
            <w:r w:rsidRPr="00110961">
              <w:t>61.</w:t>
            </w:r>
            <w:r w:rsidR="00080ECE">
              <w:t>47</w:t>
            </w:r>
          </w:p>
        </w:tc>
      </w:tr>
      <w:tr w:rsidR="00110961" w:rsidTr="002C67CB">
        <w:trPr>
          <w:cnfStyle w:val="000000010000" w:firstRow="0" w:lastRow="0" w:firstColumn="0" w:lastColumn="0" w:oddVBand="0" w:evenVBand="0" w:oddHBand="0" w:evenHBand="1" w:firstRowFirstColumn="0" w:firstRowLastColumn="0" w:lastRowFirstColumn="0" w:lastRowLastColumn="0"/>
        </w:trPr>
        <w:tc>
          <w:tcPr>
            <w:tcW w:w="2310" w:type="dxa"/>
          </w:tcPr>
          <w:p w:rsidR="00110961" w:rsidRPr="00110961" w:rsidRDefault="00110961" w:rsidP="00297833">
            <w:pPr>
              <w:keepNext/>
            </w:pPr>
            <w:r>
              <w:t>Support staff</w:t>
            </w:r>
          </w:p>
        </w:tc>
        <w:tc>
          <w:tcPr>
            <w:tcW w:w="2310" w:type="dxa"/>
          </w:tcPr>
          <w:p w:rsidR="00110961" w:rsidRPr="00110961" w:rsidRDefault="00110961" w:rsidP="00297833">
            <w:pPr>
              <w:keepNext/>
            </w:pPr>
            <w:r w:rsidRPr="005A0AFB">
              <w:t>68.08</w:t>
            </w:r>
          </w:p>
        </w:tc>
        <w:tc>
          <w:tcPr>
            <w:tcW w:w="2311" w:type="dxa"/>
          </w:tcPr>
          <w:p w:rsidR="00110961" w:rsidRPr="00110961" w:rsidRDefault="00110961" w:rsidP="00297833">
            <w:pPr>
              <w:keepNext/>
            </w:pPr>
            <w:r w:rsidRPr="005A0AFB">
              <w:t>0.6</w:t>
            </w:r>
          </w:p>
        </w:tc>
        <w:tc>
          <w:tcPr>
            <w:tcW w:w="2311" w:type="dxa"/>
          </w:tcPr>
          <w:p w:rsidR="00110961" w:rsidRPr="00110961" w:rsidRDefault="00110961" w:rsidP="00297833">
            <w:pPr>
              <w:keepNext/>
            </w:pPr>
            <w:r w:rsidRPr="005A0AFB">
              <w:t>40.85</w:t>
            </w:r>
          </w:p>
        </w:tc>
      </w:tr>
      <w:tr w:rsidR="00110961" w:rsidTr="002C67CB">
        <w:tc>
          <w:tcPr>
            <w:tcW w:w="2310" w:type="dxa"/>
          </w:tcPr>
          <w:p w:rsidR="00110961" w:rsidRPr="00110961" w:rsidRDefault="00110961" w:rsidP="00297833">
            <w:pPr>
              <w:keepNext/>
            </w:pPr>
            <w:r w:rsidRPr="005A0AFB">
              <w:t>Total</w:t>
            </w:r>
          </w:p>
        </w:tc>
        <w:tc>
          <w:tcPr>
            <w:tcW w:w="2310" w:type="dxa"/>
          </w:tcPr>
          <w:p w:rsidR="00110961" w:rsidRPr="005A0AFB" w:rsidRDefault="00110961" w:rsidP="00297833">
            <w:pPr>
              <w:keepNext/>
            </w:pPr>
          </w:p>
        </w:tc>
        <w:tc>
          <w:tcPr>
            <w:tcW w:w="2311" w:type="dxa"/>
          </w:tcPr>
          <w:p w:rsidR="00110961" w:rsidRPr="005A0AFB" w:rsidRDefault="00110961" w:rsidP="00297833">
            <w:pPr>
              <w:keepNext/>
            </w:pPr>
          </w:p>
        </w:tc>
        <w:tc>
          <w:tcPr>
            <w:tcW w:w="2311" w:type="dxa"/>
          </w:tcPr>
          <w:p w:rsidR="00110961" w:rsidRPr="00110961" w:rsidRDefault="00110961" w:rsidP="00297833">
            <w:pPr>
              <w:keepNext/>
            </w:pPr>
            <w:r>
              <w:t>302.</w:t>
            </w:r>
            <w:r w:rsidR="00E02694">
              <w:t>32</w:t>
            </w:r>
          </w:p>
        </w:tc>
      </w:tr>
    </w:tbl>
    <w:p w:rsidR="00196638" w:rsidRDefault="00196638" w:rsidP="00297833">
      <w:pPr>
        <w:pStyle w:val="AERtablesource"/>
        <w:keepNext/>
      </w:pPr>
      <w:r>
        <w:t>Source:</w:t>
      </w:r>
      <w:r>
        <w:tab/>
        <w:t>AER analysis.</w:t>
      </w:r>
    </w:p>
    <w:p w:rsidR="00110961" w:rsidRDefault="00110961" w:rsidP="00110961">
      <w:r>
        <w:t>We accept that not all meter repl</w:t>
      </w:r>
      <w:r w:rsidR="0060349C">
        <w:t>acements occur within business</w:t>
      </w:r>
      <w:r>
        <w:t xml:space="preserve"> hours. To give effect to this, we have weighted t</w:t>
      </w:r>
      <w:r w:rsidRPr="005A0AFB">
        <w:t xml:space="preserve">he </w:t>
      </w:r>
      <w:r>
        <w:t>business hours and after hours '</w:t>
      </w:r>
      <w:r w:rsidRPr="005A0AFB">
        <w:t xml:space="preserve">skilled electrical </w:t>
      </w:r>
      <w:r>
        <w:t>worker'</w:t>
      </w:r>
      <w:r>
        <w:rPr>
          <w:rStyle w:val="FootnoteReference"/>
        </w:rPr>
        <w:footnoteReference w:id="64"/>
      </w:r>
      <w:r>
        <w:t xml:space="preserve"> </w:t>
      </w:r>
      <w:r w:rsidRPr="005A0AFB">
        <w:t>unit rate to take into account 20 per</w:t>
      </w:r>
      <w:r w:rsidR="00A525AD">
        <w:t xml:space="preserve"> </w:t>
      </w:r>
      <w:r w:rsidRPr="005A0AFB">
        <w:t xml:space="preserve">cent of </w:t>
      </w:r>
      <w:r>
        <w:t xml:space="preserve">meter </w:t>
      </w:r>
      <w:r w:rsidRPr="005A0AFB">
        <w:t xml:space="preserve">replacements occurring after hours. </w:t>
      </w:r>
    </w:p>
    <w:p w:rsidR="00110961" w:rsidRDefault="00110961" w:rsidP="00110961">
      <w:r w:rsidRPr="005A0AFB">
        <w:t xml:space="preserve">We </w:t>
      </w:r>
      <w:r>
        <w:t>also accept that Powercor will incur back office costs associated with meter replacement and have</w:t>
      </w:r>
      <w:r w:rsidRPr="005A0AFB">
        <w:t xml:space="preserve"> included an administration component</w:t>
      </w:r>
      <w:r>
        <w:rPr>
          <w:rStyle w:val="FootnoteReference"/>
        </w:rPr>
        <w:footnoteReference w:id="65"/>
      </w:r>
      <w:r w:rsidRPr="005A0AFB">
        <w:t xml:space="preserve"> to cover the cost of an office wo</w:t>
      </w:r>
      <w:r>
        <w:t>rker coordinating meter replacements. The administrative component for meter replacement is consistent with our approach adopted for new connections.</w:t>
      </w:r>
    </w:p>
    <w:p w:rsidR="00110961" w:rsidRPr="005A0AFB" w:rsidRDefault="00110961" w:rsidP="00110961">
      <w:r>
        <w:t>We do not accept Powercor's proposed 3.29 hours taken to undertake the meter replacement for the reasons stated above. We have applied a rate of 2.10 hours instead. This is consistent with the time taken for ancillary network services new connections, which we consider is sufficient to cover a meter replacement. The new connection service proposed by Powercor does not assume different installation times for different meter types, such as a multi-phase meter.</w:t>
      </w:r>
    </w:p>
    <w:p w:rsidR="00110961" w:rsidRDefault="00884CF6" w:rsidP="00110961">
      <w:r>
        <w:fldChar w:fldCharType="begin"/>
      </w:r>
      <w:r>
        <w:instrText xml:space="preserve"> REF _Ref449976643 \h </w:instrText>
      </w:r>
      <w:r>
        <w:fldChar w:fldCharType="separate"/>
      </w:r>
      <w:r w:rsidR="00B1103A">
        <w:t xml:space="preserve">Table </w:t>
      </w:r>
      <w:r w:rsidR="00B1103A">
        <w:rPr>
          <w:noProof/>
        </w:rPr>
        <w:t>16</w:t>
      </w:r>
      <w:r w:rsidR="00B1103A">
        <w:t>.</w:t>
      </w:r>
      <w:r w:rsidR="00B1103A">
        <w:rPr>
          <w:noProof/>
        </w:rPr>
        <w:t>11</w:t>
      </w:r>
      <w:r>
        <w:fldChar w:fldCharType="end"/>
      </w:r>
      <w:r>
        <w:t xml:space="preserve"> </w:t>
      </w:r>
      <w:r w:rsidR="00110961">
        <w:t>sets out our final decision on Powercor's meter replacement installation costs.</w:t>
      </w:r>
    </w:p>
    <w:p w:rsidR="00110961" w:rsidRDefault="00884CF6" w:rsidP="00A525AD">
      <w:pPr>
        <w:pStyle w:val="Caption"/>
      </w:pPr>
      <w:bookmarkStart w:id="119" w:name="_Ref449976643"/>
      <w:r>
        <w:lastRenderedPageBreak/>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t>.</w:t>
      </w:r>
      <w:r w:rsidR="008572AB">
        <w:fldChar w:fldCharType="begin"/>
      </w:r>
      <w:r w:rsidR="008572AB">
        <w:instrText xml:space="preserve"> SEQ Table \* ARABIC \s 1 </w:instrText>
      </w:r>
      <w:r w:rsidR="008572AB">
        <w:fldChar w:fldCharType="separate"/>
      </w:r>
      <w:r w:rsidR="00B1103A">
        <w:rPr>
          <w:noProof/>
        </w:rPr>
        <w:t>11</w:t>
      </w:r>
      <w:r w:rsidR="008572AB">
        <w:rPr>
          <w:noProof/>
        </w:rPr>
        <w:fldChar w:fldCharType="end"/>
      </w:r>
      <w:bookmarkEnd w:id="119"/>
      <w:r>
        <w:tab/>
      </w:r>
      <w:r w:rsidR="00110961">
        <w:t>Meter replacement installation costs ($2015)</w:t>
      </w:r>
    </w:p>
    <w:tbl>
      <w:tblPr>
        <w:tblStyle w:val="AERtable-numbers"/>
        <w:tblW w:w="0" w:type="auto"/>
        <w:tblLook w:val="04A0" w:firstRow="1" w:lastRow="0" w:firstColumn="1" w:lastColumn="0" w:noHBand="0" w:noVBand="1"/>
      </w:tblPr>
      <w:tblGrid>
        <w:gridCol w:w="2173"/>
        <w:gridCol w:w="2173"/>
        <w:gridCol w:w="2173"/>
        <w:gridCol w:w="2174"/>
      </w:tblGrid>
      <w:tr w:rsidR="00110961" w:rsidTr="002C6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110961" w:rsidRDefault="00110961" w:rsidP="00297833">
            <w:pPr>
              <w:keepNext/>
            </w:pPr>
          </w:p>
        </w:tc>
        <w:tc>
          <w:tcPr>
            <w:tcW w:w="2173" w:type="dxa"/>
          </w:tcPr>
          <w:p w:rsidR="00110961" w:rsidRPr="00110961" w:rsidRDefault="00110961" w:rsidP="00297833">
            <w:pPr>
              <w:keepNext/>
              <w:cnfStyle w:val="100000000000" w:firstRow="1" w:lastRow="0" w:firstColumn="0" w:lastColumn="0" w:oddVBand="0" w:evenVBand="0" w:oddHBand="0" w:evenHBand="0" w:firstRowFirstColumn="0" w:firstRowLastColumn="0" w:lastRowFirstColumn="0" w:lastRowLastColumn="0"/>
            </w:pPr>
            <w:r>
              <w:t>AER preliminary decision</w:t>
            </w:r>
          </w:p>
        </w:tc>
        <w:tc>
          <w:tcPr>
            <w:tcW w:w="2173" w:type="dxa"/>
          </w:tcPr>
          <w:p w:rsidR="00110961" w:rsidRPr="00110961" w:rsidRDefault="00110961" w:rsidP="00297833">
            <w:pPr>
              <w:keepNext/>
              <w:cnfStyle w:val="100000000000" w:firstRow="1" w:lastRow="0" w:firstColumn="0" w:lastColumn="0" w:oddVBand="0" w:evenVBand="0" w:oddHBand="0" w:evenHBand="0" w:firstRowFirstColumn="0" w:firstRowLastColumn="0" w:lastRowFirstColumn="0" w:lastRowLastColumn="0"/>
            </w:pPr>
            <w:r>
              <w:t>Revised proposal</w:t>
            </w:r>
          </w:p>
        </w:tc>
        <w:tc>
          <w:tcPr>
            <w:tcW w:w="2174" w:type="dxa"/>
          </w:tcPr>
          <w:p w:rsidR="00110961" w:rsidRPr="00110961" w:rsidRDefault="00110961" w:rsidP="00297833">
            <w:pPr>
              <w:keepNext/>
              <w:cnfStyle w:val="100000000000" w:firstRow="1" w:lastRow="0" w:firstColumn="0" w:lastColumn="0" w:oddVBand="0" w:evenVBand="0" w:oddHBand="0" w:evenHBand="0" w:firstRowFirstColumn="0" w:firstRowLastColumn="0" w:lastRowFirstColumn="0" w:lastRowLastColumn="0"/>
            </w:pPr>
            <w:r>
              <w:t>AER final decision</w:t>
            </w:r>
          </w:p>
        </w:tc>
      </w:tr>
      <w:tr w:rsidR="00110961" w:rsidTr="002C67CB">
        <w:tc>
          <w:tcPr>
            <w:cnfStyle w:val="001000000000" w:firstRow="0" w:lastRow="0" w:firstColumn="1" w:lastColumn="0" w:oddVBand="0" w:evenVBand="0" w:oddHBand="0" w:evenHBand="0" w:firstRowFirstColumn="0" w:firstRowLastColumn="0" w:lastRowFirstColumn="0" w:lastRowLastColumn="0"/>
            <w:tcW w:w="2173" w:type="dxa"/>
          </w:tcPr>
          <w:p w:rsidR="00110961" w:rsidRPr="00110961" w:rsidRDefault="00110961" w:rsidP="00297833">
            <w:pPr>
              <w:keepNext/>
            </w:pPr>
            <w:r>
              <w:t xml:space="preserve">Meter replacement labour </w:t>
            </w:r>
            <w:r w:rsidRPr="00110961">
              <w:t>rate per hour ($2015)</w:t>
            </w:r>
          </w:p>
        </w:tc>
        <w:tc>
          <w:tcPr>
            <w:tcW w:w="2173"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121.49</w:t>
            </w:r>
          </w:p>
        </w:tc>
        <w:tc>
          <w:tcPr>
            <w:tcW w:w="2173"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166.51</w:t>
            </w:r>
          </w:p>
        </w:tc>
        <w:tc>
          <w:tcPr>
            <w:tcW w:w="2174"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124.5</w:t>
            </w:r>
            <w:r w:rsidR="00080ECE">
              <w:t>1</w:t>
            </w:r>
          </w:p>
        </w:tc>
      </w:tr>
      <w:tr w:rsidR="00110961" w:rsidTr="002C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110961" w:rsidRPr="00110961" w:rsidRDefault="00110961" w:rsidP="00297833">
            <w:pPr>
              <w:keepNext/>
            </w:pPr>
            <w:r>
              <w:t>Average labour time to replace meter (hours)</w:t>
            </w:r>
          </w:p>
        </w:tc>
        <w:tc>
          <w:tcPr>
            <w:tcW w:w="2173" w:type="dxa"/>
          </w:tcPr>
          <w:p w:rsidR="00110961" w:rsidRPr="00110961" w:rsidRDefault="00110961" w:rsidP="00297833">
            <w:pPr>
              <w:keepNext/>
              <w:cnfStyle w:val="000000010000" w:firstRow="0" w:lastRow="0" w:firstColumn="0" w:lastColumn="0" w:oddVBand="0" w:evenVBand="0" w:oddHBand="0" w:evenHBand="1" w:firstRowFirstColumn="0" w:firstRowLastColumn="0" w:lastRowFirstColumn="0" w:lastRowLastColumn="0"/>
            </w:pPr>
            <w:r>
              <w:t>2.10</w:t>
            </w:r>
          </w:p>
        </w:tc>
        <w:tc>
          <w:tcPr>
            <w:tcW w:w="2173" w:type="dxa"/>
          </w:tcPr>
          <w:p w:rsidR="00110961" w:rsidRPr="00110961" w:rsidRDefault="00110961" w:rsidP="00297833">
            <w:pPr>
              <w:keepNext/>
              <w:cnfStyle w:val="000000010000" w:firstRow="0" w:lastRow="0" w:firstColumn="0" w:lastColumn="0" w:oddVBand="0" w:evenVBand="0" w:oddHBand="0" w:evenHBand="1" w:firstRowFirstColumn="0" w:firstRowLastColumn="0" w:lastRowFirstColumn="0" w:lastRowLastColumn="0"/>
            </w:pPr>
            <w:r>
              <w:t>3.29</w:t>
            </w:r>
          </w:p>
        </w:tc>
        <w:tc>
          <w:tcPr>
            <w:tcW w:w="2174" w:type="dxa"/>
          </w:tcPr>
          <w:p w:rsidR="00110961" w:rsidRPr="00110961" w:rsidRDefault="00110961" w:rsidP="00297833">
            <w:pPr>
              <w:keepNext/>
              <w:cnfStyle w:val="000000010000" w:firstRow="0" w:lastRow="0" w:firstColumn="0" w:lastColumn="0" w:oddVBand="0" w:evenVBand="0" w:oddHBand="0" w:evenHBand="1" w:firstRowFirstColumn="0" w:firstRowLastColumn="0" w:lastRowFirstColumn="0" w:lastRowLastColumn="0"/>
            </w:pPr>
            <w:r>
              <w:t>2.10</w:t>
            </w:r>
          </w:p>
        </w:tc>
      </w:tr>
      <w:tr w:rsidR="00110961" w:rsidTr="002C67CB">
        <w:tc>
          <w:tcPr>
            <w:cnfStyle w:val="001000000000" w:firstRow="0" w:lastRow="0" w:firstColumn="1" w:lastColumn="0" w:oddVBand="0" w:evenVBand="0" w:oddHBand="0" w:evenHBand="0" w:firstRowFirstColumn="0" w:firstRowLastColumn="0" w:lastRowFirstColumn="0" w:lastRowLastColumn="0"/>
            <w:tcW w:w="2173" w:type="dxa"/>
          </w:tcPr>
          <w:p w:rsidR="00110961" w:rsidRPr="00110961" w:rsidRDefault="00110961" w:rsidP="00297833">
            <w:pPr>
              <w:keepNext/>
            </w:pPr>
            <w:r>
              <w:t>Average labour cost to replace a meter ($2015) (direct cost)</w:t>
            </w:r>
          </w:p>
        </w:tc>
        <w:tc>
          <w:tcPr>
            <w:tcW w:w="2173"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2</w:t>
            </w:r>
            <w:r w:rsidRPr="00110961">
              <w:t>55.13</w:t>
            </w:r>
          </w:p>
        </w:tc>
        <w:tc>
          <w:tcPr>
            <w:tcW w:w="2173"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548.41</w:t>
            </w:r>
          </w:p>
        </w:tc>
        <w:tc>
          <w:tcPr>
            <w:tcW w:w="2174"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261.</w:t>
            </w:r>
            <w:r w:rsidR="00080ECE">
              <w:t>47</w:t>
            </w:r>
          </w:p>
        </w:tc>
      </w:tr>
      <w:tr w:rsidR="00110961" w:rsidTr="002C6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110961" w:rsidRPr="00110961" w:rsidRDefault="00110961" w:rsidP="00297833">
            <w:pPr>
              <w:keepNext/>
            </w:pPr>
            <w:r>
              <w:t>Support staff</w:t>
            </w:r>
          </w:p>
        </w:tc>
        <w:tc>
          <w:tcPr>
            <w:tcW w:w="2173" w:type="dxa"/>
          </w:tcPr>
          <w:p w:rsidR="00110961" w:rsidRPr="00110961" w:rsidRDefault="00110961" w:rsidP="00297833">
            <w:pPr>
              <w:keepNext/>
              <w:cnfStyle w:val="000000010000" w:firstRow="0" w:lastRow="0" w:firstColumn="0" w:lastColumn="0" w:oddVBand="0" w:evenVBand="0" w:oddHBand="0" w:evenHBand="1" w:firstRowFirstColumn="0" w:firstRowLastColumn="0" w:lastRowFirstColumn="0" w:lastRowLastColumn="0"/>
            </w:pPr>
            <w:r>
              <w:t>-</w:t>
            </w:r>
          </w:p>
        </w:tc>
        <w:tc>
          <w:tcPr>
            <w:tcW w:w="2173" w:type="dxa"/>
          </w:tcPr>
          <w:p w:rsidR="00110961" w:rsidRPr="00110961" w:rsidRDefault="00110961" w:rsidP="00297833">
            <w:pPr>
              <w:keepNext/>
              <w:cnfStyle w:val="000000010000" w:firstRow="0" w:lastRow="0" w:firstColumn="0" w:lastColumn="0" w:oddVBand="0" w:evenVBand="0" w:oddHBand="0" w:evenHBand="1" w:firstRowFirstColumn="0" w:firstRowLastColumn="0" w:lastRowFirstColumn="0" w:lastRowLastColumn="0"/>
            </w:pPr>
            <w:r>
              <w:t>-</w:t>
            </w:r>
            <w:r w:rsidRPr="00110961">
              <w:t xml:space="preserve"> </w:t>
            </w:r>
            <w:r w:rsidRPr="00110961">
              <w:rPr>
                <w:rStyle w:val="AERsuperscript"/>
              </w:rPr>
              <w:t>(a)</w:t>
            </w:r>
          </w:p>
        </w:tc>
        <w:tc>
          <w:tcPr>
            <w:tcW w:w="2174" w:type="dxa"/>
          </w:tcPr>
          <w:p w:rsidR="00110961" w:rsidRPr="00110961" w:rsidRDefault="00110961" w:rsidP="00297833">
            <w:pPr>
              <w:keepNext/>
              <w:cnfStyle w:val="000000010000" w:firstRow="0" w:lastRow="0" w:firstColumn="0" w:lastColumn="0" w:oddVBand="0" w:evenVBand="0" w:oddHBand="0" w:evenHBand="1" w:firstRowFirstColumn="0" w:firstRowLastColumn="0" w:lastRowFirstColumn="0" w:lastRowLastColumn="0"/>
            </w:pPr>
            <w:r>
              <w:t>40.85</w:t>
            </w:r>
            <w:r w:rsidRPr="00110961">
              <w:t xml:space="preserve"> </w:t>
            </w:r>
          </w:p>
        </w:tc>
      </w:tr>
      <w:tr w:rsidR="00110961" w:rsidTr="002C67CB">
        <w:tc>
          <w:tcPr>
            <w:cnfStyle w:val="001000000000" w:firstRow="0" w:lastRow="0" w:firstColumn="1" w:lastColumn="0" w:oddVBand="0" w:evenVBand="0" w:oddHBand="0" w:evenHBand="0" w:firstRowFirstColumn="0" w:firstRowLastColumn="0" w:lastRowFirstColumn="0" w:lastRowLastColumn="0"/>
            <w:tcW w:w="2173" w:type="dxa"/>
          </w:tcPr>
          <w:p w:rsidR="00110961" w:rsidRPr="00110961" w:rsidRDefault="00110961" w:rsidP="00297833">
            <w:pPr>
              <w:keepNext/>
            </w:pPr>
            <w:r>
              <w:t>Total</w:t>
            </w:r>
          </w:p>
        </w:tc>
        <w:tc>
          <w:tcPr>
            <w:tcW w:w="2173"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2</w:t>
            </w:r>
            <w:r w:rsidRPr="00110961">
              <w:t>55.13</w:t>
            </w:r>
          </w:p>
        </w:tc>
        <w:tc>
          <w:tcPr>
            <w:tcW w:w="2173"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548.41</w:t>
            </w:r>
          </w:p>
        </w:tc>
        <w:tc>
          <w:tcPr>
            <w:tcW w:w="2174" w:type="dxa"/>
          </w:tcPr>
          <w:p w:rsidR="00110961" w:rsidRPr="00110961" w:rsidRDefault="00110961" w:rsidP="00297833">
            <w:pPr>
              <w:keepNext/>
              <w:cnfStyle w:val="000000000000" w:firstRow="0" w:lastRow="0" w:firstColumn="0" w:lastColumn="0" w:oddVBand="0" w:evenVBand="0" w:oddHBand="0" w:evenHBand="0" w:firstRowFirstColumn="0" w:firstRowLastColumn="0" w:lastRowFirstColumn="0" w:lastRowLastColumn="0"/>
            </w:pPr>
            <w:r>
              <w:t>302.</w:t>
            </w:r>
            <w:r w:rsidR="00080ECE">
              <w:t>32</w:t>
            </w:r>
          </w:p>
        </w:tc>
      </w:tr>
    </w:tbl>
    <w:p w:rsidR="00110961" w:rsidRDefault="00110961" w:rsidP="00297833">
      <w:pPr>
        <w:pStyle w:val="AERtablesource"/>
        <w:keepNext/>
      </w:pPr>
      <w:r>
        <w:t xml:space="preserve">Source: </w:t>
      </w:r>
      <w:r w:rsidR="00080ECE">
        <w:tab/>
      </w:r>
      <w:r w:rsidRPr="00C11A16">
        <w:t>Power</w:t>
      </w:r>
      <w:r>
        <w:t>cor</w:t>
      </w:r>
      <w:r w:rsidRPr="00C11A16">
        <w:t xml:space="preserve"> Revised regul</w:t>
      </w:r>
      <w:r>
        <w:t>atory proposal 2016–20, January 2016, p. 451 and AER analysis.</w:t>
      </w:r>
    </w:p>
    <w:p w:rsidR="00734A94" w:rsidRPr="0060349C" w:rsidRDefault="0060349C" w:rsidP="00297833">
      <w:pPr>
        <w:pStyle w:val="AERtablesource"/>
        <w:keepNext/>
      </w:pPr>
      <w:r>
        <w:t xml:space="preserve">(a) </w:t>
      </w:r>
      <w:r>
        <w:tab/>
      </w:r>
      <w:r w:rsidRPr="0060349C">
        <w:t>Powercor’s revised proposal disputed the exclusion of on-costs from its labour rates but did not propose a</w:t>
      </w:r>
      <w:r>
        <w:t>n</w:t>
      </w:r>
      <w:r w:rsidRPr="0060349C">
        <w:t xml:space="preserve"> alternative cost for this component in its metering model; CP Public MOD 1.2 – CP Metering Capex &amp; Opex – public version.</w:t>
      </w:r>
    </w:p>
    <w:p w:rsidR="00677FE3" w:rsidRPr="00677FE3" w:rsidRDefault="00677FE3" w:rsidP="00677FE3">
      <w:pPr>
        <w:pStyle w:val="HeadingOrange"/>
      </w:pPr>
      <w:r w:rsidRPr="00677FE3">
        <w:t>Meter volumes</w:t>
      </w:r>
    </w:p>
    <w:p w:rsidR="00677FE3" w:rsidRPr="00677FE3" w:rsidRDefault="00677FE3" w:rsidP="00677FE3">
      <w:r w:rsidRPr="00677FE3">
        <w:t xml:space="preserve">Our </w:t>
      </w:r>
      <w:r w:rsidR="00E614F6">
        <w:t xml:space="preserve">final decision is to accept </w:t>
      </w:r>
      <w:r w:rsidRPr="00677FE3">
        <w:t>Power</w:t>
      </w:r>
      <w:r w:rsidR="00E614F6">
        <w:t>cor</w:t>
      </w:r>
      <w:r w:rsidRPr="00677FE3">
        <w:t>'s meter volumes.</w:t>
      </w:r>
    </w:p>
    <w:p w:rsidR="00677FE3" w:rsidRPr="00677FE3" w:rsidRDefault="00E614F6" w:rsidP="00677FE3">
      <w:r>
        <w:t xml:space="preserve">We accepted </w:t>
      </w:r>
      <w:r w:rsidR="00677FE3" w:rsidRPr="00677FE3">
        <w:t>Power</w:t>
      </w:r>
      <w:r>
        <w:t>cor</w:t>
      </w:r>
      <w:r w:rsidR="00677FE3" w:rsidRPr="00677FE3">
        <w:t>'s metering volumes in our preliminary decision.</w:t>
      </w:r>
      <w:r w:rsidR="00414909">
        <w:rPr>
          <w:rStyle w:val="FootnoteReference"/>
        </w:rPr>
        <w:footnoteReference w:id="66"/>
      </w:r>
      <w:r w:rsidR="00414909" w:rsidRPr="00677FE3">
        <w:t xml:space="preserve"> </w:t>
      </w:r>
      <w:r w:rsidR="00677FE3" w:rsidRPr="00677FE3">
        <w:t>We also indicated that we may revisit forecast metering volumes in the final decision if more information becomes available. We did this because at the time of the release of our preliminary decision the AEMC's final rule determination on metering contestability had not been finalised. The implementation timeframe and whether this would apply to Victoria remained uncertain.</w:t>
      </w:r>
    </w:p>
    <w:p w:rsidR="00677FE3" w:rsidRPr="00677FE3" w:rsidRDefault="00677FE3" w:rsidP="00677FE3">
      <w:r w:rsidRPr="00677FE3">
        <w:t>Power</w:t>
      </w:r>
      <w:r w:rsidR="00AC1864">
        <w:t>cor</w:t>
      </w:r>
      <w:r w:rsidRPr="00677FE3">
        <w:t xml:space="preserve"> has revised its metering volumes</w:t>
      </w:r>
      <w:r w:rsidR="00414909">
        <w:rPr>
          <w:rStyle w:val="FootnoteReference"/>
        </w:rPr>
        <w:footnoteReference w:id="67"/>
      </w:r>
      <w:r w:rsidRPr="00677FE3">
        <w:t xml:space="preserve"> to take into account that metering contestability is now proposed to be introduced in Victoria on 1 December 2017, in accordance with the AEMC's final rule determination</w:t>
      </w:r>
      <w:r w:rsidR="00414909">
        <w:rPr>
          <w:rStyle w:val="FootnoteReference"/>
        </w:rPr>
        <w:footnoteReference w:id="68"/>
      </w:r>
      <w:r w:rsidRPr="00677FE3">
        <w:t>. This has resulted in a modest increase in the number of meter replacements to account for the delay in metering contestability to 1 December 2017.</w:t>
      </w:r>
    </w:p>
    <w:p w:rsidR="00677FE3" w:rsidRPr="00677FE3" w:rsidRDefault="00677FE3" w:rsidP="00677FE3">
      <w:pPr>
        <w:pStyle w:val="HeadingBoldItalic"/>
      </w:pPr>
      <w:r w:rsidRPr="00677FE3">
        <w:t>IT/Communications</w:t>
      </w:r>
    </w:p>
    <w:p w:rsidR="00677FE3" w:rsidRPr="00677FE3" w:rsidRDefault="00677FE3" w:rsidP="00677FE3">
      <w:r w:rsidRPr="00677FE3">
        <w:t xml:space="preserve">Our </w:t>
      </w:r>
      <w:r w:rsidR="00AC1864">
        <w:t xml:space="preserve">final decision is to accept </w:t>
      </w:r>
      <w:r w:rsidRPr="00677FE3">
        <w:t>Power</w:t>
      </w:r>
      <w:r w:rsidR="00AC1864">
        <w:t>cor</w:t>
      </w:r>
      <w:r w:rsidRPr="00677FE3">
        <w:t>'s IT and communications capex.</w:t>
      </w:r>
    </w:p>
    <w:p w:rsidR="00677FE3" w:rsidRPr="00677FE3" w:rsidRDefault="00677FE3" w:rsidP="00677FE3">
      <w:r w:rsidRPr="00677FE3">
        <w:lastRenderedPageBreak/>
        <w:t>We</w:t>
      </w:r>
      <w:r w:rsidR="00AC1864">
        <w:t xml:space="preserve"> accepted </w:t>
      </w:r>
      <w:r w:rsidRPr="00677FE3">
        <w:t>Power</w:t>
      </w:r>
      <w:r w:rsidR="00AC1864">
        <w:t>cor</w:t>
      </w:r>
      <w:r w:rsidRPr="00677FE3">
        <w:t>'s IT and communications capex in our preliminary decision.</w:t>
      </w:r>
      <w:r w:rsidR="00585880">
        <w:rPr>
          <w:rStyle w:val="FootnoteReference"/>
        </w:rPr>
        <w:footnoteReference w:id="69"/>
      </w:r>
    </w:p>
    <w:p w:rsidR="00677FE3" w:rsidRPr="00677FE3" w:rsidRDefault="00677FE3" w:rsidP="00677FE3">
      <w:r w:rsidRPr="00677FE3">
        <w:t>Power</w:t>
      </w:r>
      <w:r w:rsidR="00AC1864">
        <w:t>cor</w:t>
      </w:r>
      <w:r w:rsidRPr="00677FE3">
        <w:t xml:space="preserve"> has accepted our IT preliminary decision but updated its communications capex forecast to include:</w:t>
      </w:r>
    </w:p>
    <w:p w:rsidR="00677FE3" w:rsidRPr="00677FE3" w:rsidRDefault="00677FE3" w:rsidP="00AC1864">
      <w:pPr>
        <w:pStyle w:val="AERbulletlistfirststyle"/>
      </w:pPr>
      <w:r w:rsidRPr="00677FE3">
        <w:t>new metering connections, reflecting that the commencement date for metering contestability is now 1 December 2017</w:t>
      </w:r>
    </w:p>
    <w:p w:rsidR="00677FE3" w:rsidRPr="00677FE3" w:rsidRDefault="00677FE3" w:rsidP="00AC1864">
      <w:pPr>
        <w:pStyle w:val="AERbulletlistfirststyle"/>
      </w:pPr>
      <w:r w:rsidRPr="00677FE3">
        <w:t>updated foreign exchange rate forecasts.</w:t>
      </w:r>
      <w:r w:rsidR="00AC1864">
        <w:rPr>
          <w:rStyle w:val="FootnoteReference"/>
        </w:rPr>
        <w:footnoteReference w:id="70"/>
      </w:r>
    </w:p>
    <w:p w:rsidR="00677FE3" w:rsidRPr="00677FE3" w:rsidRDefault="00677FE3" w:rsidP="00677FE3">
      <w:r w:rsidRPr="00677FE3">
        <w:t>We consider that the revised forecasts are reasonable. The updated forecasts reflect the extension of time for the commencement of metering contestability and recent observed foreign exchange rate movements.</w:t>
      </w:r>
    </w:p>
    <w:p w:rsidR="00677FE3" w:rsidRPr="00677FE3" w:rsidRDefault="00677FE3" w:rsidP="00677FE3">
      <w:pPr>
        <w:pStyle w:val="HeadingBoldBlue"/>
      </w:pPr>
      <w:r w:rsidRPr="00677FE3">
        <w:t>Forecast opex</w:t>
      </w:r>
    </w:p>
    <w:p w:rsidR="00884CF6" w:rsidRPr="003B4507" w:rsidRDefault="00884CF6" w:rsidP="00884CF6">
      <w:r w:rsidRPr="003B4507">
        <w:t>O</w:t>
      </w:r>
      <w:r>
        <w:t>ur final decision approves $</w:t>
      </w:r>
      <w:r w:rsidR="00137099">
        <w:t xml:space="preserve">82.2 </w:t>
      </w:r>
      <w:r w:rsidRPr="003B4507">
        <w:t xml:space="preserve">million ($2015) in alternative control metering opex for </w:t>
      </w:r>
      <w:r w:rsidR="00137099">
        <w:t>Powercor's</w:t>
      </w:r>
      <w:r w:rsidRPr="003B4507">
        <w:t xml:space="preserve"> 2016–20 regulatory control period. This is more than </w:t>
      </w:r>
      <w:r w:rsidR="00137099">
        <w:t>Powercor's revised forecast of $76.3</w:t>
      </w:r>
      <w:r w:rsidRPr="003B4507">
        <w:t xml:space="preserve"> million ($2015). </w:t>
      </w:r>
    </w:p>
    <w:p w:rsidR="00884CF6" w:rsidRPr="009F2F29" w:rsidRDefault="00884CF6" w:rsidP="00884CF6">
      <w:r w:rsidRPr="003B4507">
        <w:t xml:space="preserve">Our final decision approves more opex than </w:t>
      </w:r>
      <w:r w:rsidR="00137099">
        <w:t>Powercor</w:t>
      </w:r>
      <w:r w:rsidRPr="003B4507">
        <w:t xml:space="preserve"> included in its alternative control metering proposal because of our approach to cost allocation (see section</w:t>
      </w:r>
      <w:r w:rsidR="00137099">
        <w:t xml:space="preserve"> </w:t>
      </w:r>
      <w:r w:rsidR="00137099">
        <w:fldChar w:fldCharType="begin"/>
      </w:r>
      <w:r w:rsidR="00137099">
        <w:instrText xml:space="preserve"> REF _Ref449974844 \n \h </w:instrText>
      </w:r>
      <w:r w:rsidR="00137099">
        <w:fldChar w:fldCharType="separate"/>
      </w:r>
      <w:r w:rsidR="000309D6">
        <w:t>16.3.1.1</w:t>
      </w:r>
      <w:r w:rsidR="00137099">
        <w:fldChar w:fldCharType="end"/>
      </w:r>
      <w:r w:rsidRPr="003B4507">
        <w:t xml:space="preserve">). Compared to </w:t>
      </w:r>
      <w:r w:rsidR="00137099">
        <w:t>Powercor's</w:t>
      </w:r>
      <w:r w:rsidRPr="003B4507">
        <w:t xml:space="preserve"> revised proposal, we have allocated a greater proportion of costs to alternative control metering services. This leads to a higher base, or 'starting point', from wh</w:t>
      </w:r>
      <w:r>
        <w:t xml:space="preserve">ich to consider </w:t>
      </w:r>
      <w:r w:rsidR="00137099">
        <w:t>Powercor's</w:t>
      </w:r>
      <w:r>
        <w:t xml:space="preserve"> </w:t>
      </w:r>
      <w:r w:rsidRPr="003B4507">
        <w:t xml:space="preserve">opex. The corollary of this is that we have allocated less opex to </w:t>
      </w:r>
      <w:r w:rsidR="00137099">
        <w:t>Powercor's</w:t>
      </w:r>
      <w:r w:rsidRPr="003B4507">
        <w:t xml:space="preserve"> standard control network services than proposed. This leads to</w:t>
      </w:r>
      <w:r>
        <w:t xml:space="preserve"> a lower base than </w:t>
      </w:r>
      <w:r w:rsidR="00137099">
        <w:t>Powercor</w:t>
      </w:r>
      <w:r w:rsidRPr="003B4507">
        <w:t xml:space="preserve"> proposed for standard control network services.</w:t>
      </w:r>
    </w:p>
    <w:p w:rsidR="00884CF6" w:rsidRPr="009F2F29" w:rsidRDefault="00884CF6" w:rsidP="00884CF6">
      <w:pPr>
        <w:pStyle w:val="HeadingBoldItalic"/>
      </w:pPr>
      <w:r w:rsidRPr="009F2F29">
        <w:t>Base</w:t>
      </w:r>
    </w:p>
    <w:p w:rsidR="00884CF6" w:rsidRPr="003B4507" w:rsidRDefault="00884CF6" w:rsidP="00884CF6">
      <w:r>
        <w:t>We determined Powercor's</w:t>
      </w:r>
      <w:r w:rsidRPr="003B4507">
        <w:t xml:space="preserve"> base annual opex to be $</w:t>
      </w:r>
      <w:r w:rsidR="00080ECE">
        <w:t>15.6</w:t>
      </w:r>
      <w:r w:rsidRPr="003B4507">
        <w:t xml:space="preserve"> million ($2015). </w:t>
      </w:r>
    </w:p>
    <w:p w:rsidR="00884CF6" w:rsidRPr="003B4507" w:rsidRDefault="00884CF6" w:rsidP="00884CF6">
      <w:r>
        <w:fldChar w:fldCharType="begin"/>
      </w:r>
      <w:r>
        <w:instrText xml:space="preserve"> REF _Ref448740155 \h </w:instrText>
      </w:r>
      <w:r>
        <w:fldChar w:fldCharType="separate"/>
      </w:r>
      <w:r w:rsidR="00B1103A">
        <w:t xml:space="preserve">Table </w:t>
      </w:r>
      <w:r w:rsidR="00B1103A">
        <w:rPr>
          <w:noProof/>
        </w:rPr>
        <w:t>16</w:t>
      </w:r>
      <w:r w:rsidR="00B1103A">
        <w:t>.</w:t>
      </w:r>
      <w:r w:rsidR="00B1103A">
        <w:rPr>
          <w:noProof/>
        </w:rPr>
        <w:t>12</w:t>
      </w:r>
      <w:r>
        <w:fldChar w:fldCharType="end"/>
      </w:r>
      <w:r>
        <w:t xml:space="preserve"> </w:t>
      </w:r>
      <w:r w:rsidRPr="003B4507">
        <w:t>sets out the components of our final d</w:t>
      </w:r>
      <w:r>
        <w:t xml:space="preserve">ecision regarding </w:t>
      </w:r>
      <w:r w:rsidR="00137099">
        <w:t>Powercor's</w:t>
      </w:r>
      <w:r w:rsidRPr="003B4507">
        <w:t xml:space="preserve"> base opex for the 2016–20 regulatory control period. It shows that the key difference from </w:t>
      </w:r>
      <w:r w:rsidR="00137099">
        <w:t>Powercor's</w:t>
      </w:r>
      <w:r w:rsidRPr="003B4507">
        <w:t xml:space="preserve"> revised proposal is that our final decision r</w:t>
      </w:r>
      <w:r>
        <w:t xml:space="preserve">eallocates less of </w:t>
      </w:r>
      <w:r w:rsidR="00137099">
        <w:t>Powercor's</w:t>
      </w:r>
      <w:r w:rsidRPr="003B4507">
        <w:t xml:space="preserve"> base opex to standard control network services. By doing this, we have approved </w:t>
      </w:r>
      <w:r>
        <w:t xml:space="preserve">a higher base than </w:t>
      </w:r>
      <w:r w:rsidR="00137099">
        <w:t>Powercor</w:t>
      </w:r>
      <w:r w:rsidRPr="003B4507">
        <w:t xml:space="preserve"> forecast in its revised proposal.  We explain our cost allocation approach between standard and alternative control metering services in section</w:t>
      </w:r>
      <w:r>
        <w:t xml:space="preserve"> </w:t>
      </w:r>
      <w:r w:rsidR="00137099">
        <w:fldChar w:fldCharType="begin"/>
      </w:r>
      <w:r w:rsidR="00137099">
        <w:instrText xml:space="preserve"> REF _Ref449974844 \n \h </w:instrText>
      </w:r>
      <w:r w:rsidR="00137099">
        <w:fldChar w:fldCharType="separate"/>
      </w:r>
      <w:r w:rsidR="00B1103A">
        <w:t>16.3.1.1</w:t>
      </w:r>
      <w:r w:rsidR="00137099">
        <w:fldChar w:fldCharType="end"/>
      </w:r>
      <w:r w:rsidR="00137099">
        <w:t>.</w:t>
      </w:r>
    </w:p>
    <w:p w:rsidR="00884CF6" w:rsidRPr="003B4507" w:rsidRDefault="00884CF6" w:rsidP="00A525AD">
      <w:pPr>
        <w:pStyle w:val="Caption"/>
      </w:pPr>
      <w:bookmarkStart w:id="120" w:name="_Ref448740155"/>
      <w:r>
        <w:lastRenderedPageBreak/>
        <w:t xml:space="preserve">Table </w:t>
      </w:r>
      <w:r w:rsidRPr="00884CF6">
        <w:fldChar w:fldCharType="begin"/>
      </w:r>
      <w:r>
        <w:instrText xml:space="preserve"> STYLEREF 1 \s </w:instrText>
      </w:r>
      <w:r w:rsidRPr="00884CF6">
        <w:fldChar w:fldCharType="separate"/>
      </w:r>
      <w:r w:rsidR="00B1103A">
        <w:rPr>
          <w:noProof/>
        </w:rPr>
        <w:t>16</w:t>
      </w:r>
      <w:r w:rsidRPr="00884CF6">
        <w:fldChar w:fldCharType="end"/>
      </w:r>
      <w:r>
        <w:t>.</w:t>
      </w:r>
      <w:r w:rsidR="008572AB">
        <w:fldChar w:fldCharType="begin"/>
      </w:r>
      <w:r w:rsidR="008572AB">
        <w:instrText xml:space="preserve"> SEQ Table \* ARABIC \s 1 </w:instrText>
      </w:r>
      <w:r w:rsidR="008572AB">
        <w:fldChar w:fldCharType="separate"/>
      </w:r>
      <w:r w:rsidR="00B1103A">
        <w:rPr>
          <w:noProof/>
        </w:rPr>
        <w:t>12</w:t>
      </w:r>
      <w:r w:rsidR="008572AB">
        <w:rPr>
          <w:noProof/>
        </w:rPr>
        <w:fldChar w:fldCharType="end"/>
      </w:r>
      <w:bookmarkEnd w:id="120"/>
      <w:r w:rsidRPr="003B4507">
        <w:tab/>
        <w:t xml:space="preserve">AER's assessment of </w:t>
      </w:r>
      <w:r w:rsidR="00B77902">
        <w:t>Powercor's</w:t>
      </w:r>
      <w:r w:rsidRPr="003B4507">
        <w:t xml:space="preserve"> base ($million, 2015) </w:t>
      </w:r>
    </w:p>
    <w:tbl>
      <w:tblPr>
        <w:tblStyle w:val="AERtable-numbers"/>
        <w:tblW w:w="0" w:type="auto"/>
        <w:tblLook w:val="04A0" w:firstRow="1" w:lastRow="0" w:firstColumn="1" w:lastColumn="0" w:noHBand="0" w:noVBand="1"/>
      </w:tblPr>
      <w:tblGrid>
        <w:gridCol w:w="3806"/>
        <w:gridCol w:w="2539"/>
        <w:gridCol w:w="2348"/>
      </w:tblGrid>
      <w:tr w:rsidR="00884CF6" w:rsidRPr="003B4507" w:rsidTr="00E541FC">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keepNext/>
            </w:pPr>
            <w:r w:rsidRPr="003B4507">
              <w:t>Cost category</w:t>
            </w:r>
          </w:p>
        </w:tc>
        <w:tc>
          <w:tcPr>
            <w:tcW w:w="2539" w:type="dxa"/>
          </w:tcPr>
          <w:p w:rsidR="00884CF6" w:rsidRPr="00884CF6" w:rsidRDefault="00884CF6" w:rsidP="00297833">
            <w:pPr>
              <w:keepNext/>
              <w:cnfStyle w:val="100000000000" w:firstRow="1" w:lastRow="0" w:firstColumn="0" w:lastColumn="0" w:oddVBand="0" w:evenVBand="0" w:oddHBand="0" w:evenHBand="0" w:firstRowFirstColumn="0" w:firstRowLastColumn="0" w:lastRowFirstColumn="0" w:lastRowLastColumn="0"/>
            </w:pPr>
            <w:r w:rsidRPr="003B4507">
              <w:t>Revised proposal</w:t>
            </w:r>
          </w:p>
        </w:tc>
        <w:tc>
          <w:tcPr>
            <w:tcW w:w="2348" w:type="dxa"/>
          </w:tcPr>
          <w:p w:rsidR="00884CF6" w:rsidRPr="00884CF6" w:rsidRDefault="00884CF6" w:rsidP="00297833">
            <w:pPr>
              <w:keepNext/>
              <w:cnfStyle w:val="100000000000" w:firstRow="1" w:lastRow="0" w:firstColumn="0" w:lastColumn="0" w:oddVBand="0" w:evenVBand="0" w:oddHBand="0" w:evenHBand="0" w:firstRowFirstColumn="0" w:firstRowLastColumn="0" w:lastRowFirstColumn="0" w:lastRowLastColumn="0"/>
            </w:pPr>
            <w:r w:rsidRPr="003B4507">
              <w:t>Final decision</w:t>
            </w:r>
          </w:p>
        </w:tc>
      </w:tr>
      <w:tr w:rsidR="00884CF6" w:rsidRPr="003B4507" w:rsidTr="00E541FC">
        <w:trPr>
          <w:trHeight w:val="380"/>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keepNext/>
              <w:rPr>
                <w:rStyle w:val="AERtextunderline"/>
                <w:b/>
                <w:color w:val="FFFFFF"/>
              </w:rPr>
            </w:pPr>
            <w:r w:rsidRPr="0097563B">
              <w:rPr>
                <w:rStyle w:val="AERtextunderline"/>
              </w:rPr>
              <w:t>Raw base</w:t>
            </w:r>
          </w:p>
        </w:tc>
        <w:tc>
          <w:tcPr>
            <w:tcW w:w="2539" w:type="dxa"/>
          </w:tcPr>
          <w:p w:rsidR="00884CF6" w:rsidRPr="003B4507" w:rsidRDefault="00884CF6" w:rsidP="00297833">
            <w:pPr>
              <w:keepNext/>
              <w:cnfStyle w:val="000000000000" w:firstRow="0" w:lastRow="0" w:firstColumn="0" w:lastColumn="0" w:oddVBand="0" w:evenVBand="0" w:oddHBand="0" w:evenHBand="0" w:firstRowFirstColumn="0" w:firstRowLastColumn="0" w:lastRowFirstColumn="0" w:lastRowLastColumn="0"/>
            </w:pPr>
          </w:p>
        </w:tc>
        <w:tc>
          <w:tcPr>
            <w:tcW w:w="2348" w:type="dxa"/>
          </w:tcPr>
          <w:p w:rsidR="00884CF6" w:rsidRPr="003B4507" w:rsidRDefault="00884CF6" w:rsidP="00297833">
            <w:pPr>
              <w:keepNext/>
              <w:cnfStyle w:val="000000000000" w:firstRow="0" w:lastRow="0" w:firstColumn="0" w:lastColumn="0" w:oddVBand="0" w:evenVBand="0" w:oddHBand="0" w:evenHBand="0" w:firstRowFirstColumn="0" w:firstRowLastColumn="0" w:lastRowFirstColumn="0" w:lastRowLastColumn="0"/>
            </w:pPr>
          </w:p>
        </w:tc>
      </w:tr>
      <w:tr w:rsidR="00884CF6" w:rsidRPr="003B4507" w:rsidTr="00E541FC">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pStyle w:val="ListContinue"/>
              <w:keepNext/>
            </w:pPr>
            <w:r w:rsidRPr="003B4507">
              <w:t>2014 reported opex</w:t>
            </w:r>
          </w:p>
        </w:tc>
        <w:tc>
          <w:tcPr>
            <w:tcW w:w="2539" w:type="dxa"/>
          </w:tcPr>
          <w:p w:rsidR="00884CF6" w:rsidRPr="00884CF6" w:rsidRDefault="00E541FC" w:rsidP="00297833">
            <w:pPr>
              <w:keepNext/>
              <w:cnfStyle w:val="000000010000" w:firstRow="0" w:lastRow="0" w:firstColumn="0" w:lastColumn="0" w:oddVBand="0" w:evenVBand="0" w:oddHBand="0" w:evenHBand="1" w:firstRowFirstColumn="0" w:firstRowLastColumn="0" w:lastRowFirstColumn="0" w:lastRowLastColumn="0"/>
            </w:pPr>
            <w:r>
              <w:t>18.9</w:t>
            </w:r>
          </w:p>
        </w:tc>
        <w:tc>
          <w:tcPr>
            <w:tcW w:w="2348" w:type="dxa"/>
          </w:tcPr>
          <w:p w:rsidR="00884CF6" w:rsidRPr="00884CF6" w:rsidRDefault="00E541FC" w:rsidP="00297833">
            <w:pPr>
              <w:keepNext/>
              <w:cnfStyle w:val="000000010000" w:firstRow="0" w:lastRow="0" w:firstColumn="0" w:lastColumn="0" w:oddVBand="0" w:evenVBand="0" w:oddHBand="0" w:evenHBand="1" w:firstRowFirstColumn="0" w:firstRowLastColumn="0" w:lastRowFirstColumn="0" w:lastRowLastColumn="0"/>
            </w:pPr>
            <w:r>
              <w:t>18.9</w:t>
            </w:r>
          </w:p>
        </w:tc>
      </w:tr>
      <w:tr w:rsidR="00884CF6" w:rsidRPr="003B4507" w:rsidTr="00E541FC">
        <w:trPr>
          <w:trHeight w:val="380"/>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keepNext/>
              <w:rPr>
                <w:rStyle w:val="AERtextunderline"/>
              </w:rPr>
            </w:pPr>
            <w:r w:rsidRPr="0097563B">
              <w:rPr>
                <w:rStyle w:val="AERtextunderline"/>
              </w:rPr>
              <w:t>Non–recurrent cost</w:t>
            </w:r>
          </w:p>
        </w:tc>
        <w:tc>
          <w:tcPr>
            <w:tcW w:w="2539" w:type="dxa"/>
          </w:tcPr>
          <w:p w:rsidR="00884CF6" w:rsidRPr="003B4507" w:rsidRDefault="00884CF6" w:rsidP="00297833">
            <w:pPr>
              <w:keepNext/>
              <w:cnfStyle w:val="000000000000" w:firstRow="0" w:lastRow="0" w:firstColumn="0" w:lastColumn="0" w:oddVBand="0" w:evenVBand="0" w:oddHBand="0" w:evenHBand="0" w:firstRowFirstColumn="0" w:firstRowLastColumn="0" w:lastRowFirstColumn="0" w:lastRowLastColumn="0"/>
            </w:pPr>
          </w:p>
        </w:tc>
        <w:tc>
          <w:tcPr>
            <w:tcW w:w="2348" w:type="dxa"/>
          </w:tcPr>
          <w:p w:rsidR="00884CF6" w:rsidRPr="003B4507" w:rsidRDefault="00884CF6" w:rsidP="00297833">
            <w:pPr>
              <w:keepNext/>
              <w:cnfStyle w:val="000000000000" w:firstRow="0" w:lastRow="0" w:firstColumn="0" w:lastColumn="0" w:oddVBand="0" w:evenVBand="0" w:oddHBand="0" w:evenHBand="0" w:firstRowFirstColumn="0" w:firstRowLastColumn="0" w:lastRowFirstColumn="0" w:lastRowLastColumn="0"/>
            </w:pPr>
          </w:p>
        </w:tc>
      </w:tr>
      <w:tr w:rsidR="00884CF6" w:rsidRPr="003B4507" w:rsidTr="00E541FC">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pStyle w:val="ListContinue"/>
              <w:keepNext/>
            </w:pPr>
            <w:r w:rsidRPr="003B4507">
              <w:t>Adjustment for one–off costs</w:t>
            </w:r>
          </w:p>
        </w:tc>
        <w:tc>
          <w:tcPr>
            <w:tcW w:w="2539" w:type="dxa"/>
          </w:tcPr>
          <w:p w:rsidR="00884CF6" w:rsidRPr="00884CF6" w:rsidRDefault="00C66A00" w:rsidP="00297833">
            <w:pPr>
              <w:keepNext/>
              <w:cnfStyle w:val="000000010000" w:firstRow="0" w:lastRow="0" w:firstColumn="0" w:lastColumn="0" w:oddVBand="0" w:evenVBand="0" w:oddHBand="0" w:evenHBand="1" w:firstRowFirstColumn="0" w:firstRowLastColumn="0" w:lastRowFirstColumn="0" w:lastRowLastColumn="0"/>
            </w:pPr>
            <w:r>
              <w:t>(0.9</w:t>
            </w:r>
            <w:r w:rsidR="00884CF6">
              <w:t>)</w:t>
            </w:r>
            <w:r w:rsidRPr="007F321D">
              <w:rPr>
                <w:rStyle w:val="AERsuperscript"/>
              </w:rPr>
              <w:t>(a)</w:t>
            </w:r>
          </w:p>
        </w:tc>
        <w:tc>
          <w:tcPr>
            <w:tcW w:w="2348" w:type="dxa"/>
          </w:tcPr>
          <w:p w:rsidR="00884CF6" w:rsidRPr="00884CF6" w:rsidRDefault="00C66A00" w:rsidP="00297833">
            <w:pPr>
              <w:keepNext/>
              <w:cnfStyle w:val="000000010000" w:firstRow="0" w:lastRow="0" w:firstColumn="0" w:lastColumn="0" w:oddVBand="0" w:evenVBand="0" w:oddHBand="0" w:evenHBand="1" w:firstRowFirstColumn="0" w:firstRowLastColumn="0" w:lastRowFirstColumn="0" w:lastRowLastColumn="0"/>
            </w:pPr>
            <w:r>
              <w:t>(0.9</w:t>
            </w:r>
            <w:r w:rsidR="00E541FC">
              <w:t>)</w:t>
            </w:r>
            <w:r w:rsidRPr="007F321D">
              <w:rPr>
                <w:rStyle w:val="AERsuperscript"/>
              </w:rPr>
              <w:t>(a)</w:t>
            </w:r>
          </w:p>
        </w:tc>
      </w:tr>
      <w:tr w:rsidR="00884CF6" w:rsidRPr="003B4507" w:rsidTr="00E541FC">
        <w:trPr>
          <w:trHeight w:val="394"/>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keepNext/>
              <w:rPr>
                <w:rStyle w:val="AERtextunderline"/>
              </w:rPr>
            </w:pPr>
            <w:r w:rsidRPr="0097563B">
              <w:rPr>
                <w:rStyle w:val="AERtextunderline"/>
              </w:rPr>
              <w:t>Reallocation of costs</w:t>
            </w:r>
          </w:p>
        </w:tc>
        <w:tc>
          <w:tcPr>
            <w:tcW w:w="2539" w:type="dxa"/>
          </w:tcPr>
          <w:p w:rsidR="00884CF6" w:rsidRPr="003B4507" w:rsidRDefault="00884CF6" w:rsidP="00297833">
            <w:pPr>
              <w:keepNext/>
              <w:cnfStyle w:val="000000000000" w:firstRow="0" w:lastRow="0" w:firstColumn="0" w:lastColumn="0" w:oddVBand="0" w:evenVBand="0" w:oddHBand="0" w:evenHBand="0" w:firstRowFirstColumn="0" w:firstRowLastColumn="0" w:lastRowFirstColumn="0" w:lastRowLastColumn="0"/>
            </w:pPr>
          </w:p>
        </w:tc>
        <w:tc>
          <w:tcPr>
            <w:tcW w:w="2348" w:type="dxa"/>
          </w:tcPr>
          <w:p w:rsidR="00884CF6" w:rsidRPr="003B4507" w:rsidRDefault="00884CF6" w:rsidP="00297833">
            <w:pPr>
              <w:keepNext/>
              <w:cnfStyle w:val="000000000000" w:firstRow="0" w:lastRow="0" w:firstColumn="0" w:lastColumn="0" w:oddVBand="0" w:evenVBand="0" w:oddHBand="0" w:evenHBand="0" w:firstRowFirstColumn="0" w:firstRowLastColumn="0" w:lastRowFirstColumn="0" w:lastRowLastColumn="0"/>
            </w:pPr>
          </w:p>
        </w:tc>
      </w:tr>
      <w:tr w:rsidR="00884CF6" w:rsidRPr="003B4507" w:rsidTr="00E541FC">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pStyle w:val="ListContinue"/>
              <w:keepNext/>
            </w:pPr>
            <w:r w:rsidRPr="003B4507">
              <w:t>Costs moved to standard control services</w:t>
            </w:r>
          </w:p>
        </w:tc>
        <w:tc>
          <w:tcPr>
            <w:tcW w:w="2539" w:type="dxa"/>
          </w:tcPr>
          <w:p w:rsidR="00884CF6" w:rsidRPr="00884CF6" w:rsidRDefault="00E541FC" w:rsidP="00297833">
            <w:pPr>
              <w:keepNext/>
              <w:cnfStyle w:val="000000010000" w:firstRow="0" w:lastRow="0" w:firstColumn="0" w:lastColumn="0" w:oddVBand="0" w:evenVBand="0" w:oddHBand="0" w:evenHBand="1" w:firstRowFirstColumn="0" w:firstRowLastColumn="0" w:lastRowFirstColumn="0" w:lastRowLastColumn="0"/>
            </w:pPr>
            <w:r>
              <w:t>(4.9</w:t>
            </w:r>
            <w:r w:rsidR="00884CF6">
              <w:t>)</w:t>
            </w:r>
          </w:p>
        </w:tc>
        <w:tc>
          <w:tcPr>
            <w:tcW w:w="2348" w:type="dxa"/>
          </w:tcPr>
          <w:p w:rsidR="00884CF6" w:rsidRPr="00884CF6" w:rsidRDefault="00E541FC" w:rsidP="00297833">
            <w:pPr>
              <w:keepNext/>
              <w:cnfStyle w:val="000000010000" w:firstRow="0" w:lastRow="0" w:firstColumn="0" w:lastColumn="0" w:oddVBand="0" w:evenVBand="0" w:oddHBand="0" w:evenHBand="1" w:firstRowFirstColumn="0" w:firstRowLastColumn="0" w:lastRowFirstColumn="0" w:lastRowLastColumn="0"/>
            </w:pPr>
            <w:r>
              <w:t>(3.2)</w:t>
            </w:r>
          </w:p>
        </w:tc>
      </w:tr>
      <w:tr w:rsidR="00884CF6" w:rsidRPr="003B4507" w:rsidTr="00E541FC">
        <w:trPr>
          <w:trHeight w:val="394"/>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keepNext/>
              <w:rPr>
                <w:rStyle w:val="AERtextunderline"/>
              </w:rPr>
            </w:pPr>
            <w:r w:rsidRPr="0097563B">
              <w:rPr>
                <w:rStyle w:val="AERtextunderline"/>
              </w:rPr>
              <w:t>Adjusted base</w:t>
            </w:r>
          </w:p>
        </w:tc>
        <w:tc>
          <w:tcPr>
            <w:tcW w:w="2539" w:type="dxa"/>
          </w:tcPr>
          <w:p w:rsidR="00884CF6" w:rsidRPr="003B4507" w:rsidRDefault="00884CF6" w:rsidP="00297833">
            <w:pPr>
              <w:keepNext/>
              <w:cnfStyle w:val="000000000000" w:firstRow="0" w:lastRow="0" w:firstColumn="0" w:lastColumn="0" w:oddVBand="0" w:evenVBand="0" w:oddHBand="0" w:evenHBand="0" w:firstRowFirstColumn="0" w:firstRowLastColumn="0" w:lastRowFirstColumn="0" w:lastRowLastColumn="0"/>
            </w:pPr>
          </w:p>
        </w:tc>
        <w:tc>
          <w:tcPr>
            <w:tcW w:w="2348" w:type="dxa"/>
          </w:tcPr>
          <w:p w:rsidR="00884CF6" w:rsidRPr="003B4507" w:rsidRDefault="00884CF6" w:rsidP="00297833">
            <w:pPr>
              <w:keepNext/>
              <w:cnfStyle w:val="000000000000" w:firstRow="0" w:lastRow="0" w:firstColumn="0" w:lastColumn="0" w:oddVBand="0" w:evenVBand="0" w:oddHBand="0" w:evenHBand="0" w:firstRowFirstColumn="0" w:firstRowLastColumn="0" w:lastRowFirstColumn="0" w:lastRowLastColumn="0"/>
            </w:pPr>
          </w:p>
        </w:tc>
      </w:tr>
      <w:tr w:rsidR="00884CF6" w:rsidRPr="003B4507" w:rsidTr="00E541FC">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806" w:type="dxa"/>
          </w:tcPr>
          <w:p w:rsidR="00884CF6" w:rsidRPr="00884CF6" w:rsidRDefault="00884CF6" w:rsidP="00297833">
            <w:pPr>
              <w:pStyle w:val="ListContinue"/>
              <w:keepNext/>
            </w:pPr>
            <w:r w:rsidRPr="003B4507">
              <w:t>Base opex</w:t>
            </w:r>
            <w:r w:rsidRPr="00884CF6">
              <w:t xml:space="preserve"> – including corporate overheads</w:t>
            </w:r>
          </w:p>
        </w:tc>
        <w:tc>
          <w:tcPr>
            <w:tcW w:w="2539" w:type="dxa"/>
          </w:tcPr>
          <w:p w:rsidR="00884CF6" w:rsidRPr="00884CF6" w:rsidRDefault="00E541FC" w:rsidP="00297833">
            <w:pPr>
              <w:keepNext/>
              <w:cnfStyle w:val="000000010000" w:firstRow="0" w:lastRow="0" w:firstColumn="0" w:lastColumn="0" w:oddVBand="0" w:evenVBand="0" w:oddHBand="0" w:evenHBand="1" w:firstRowFirstColumn="0" w:firstRowLastColumn="0" w:lastRowFirstColumn="0" w:lastRowLastColumn="0"/>
            </w:pPr>
            <w:r>
              <w:t>13.</w:t>
            </w:r>
            <w:r w:rsidR="00C66A00">
              <w:t>9</w:t>
            </w:r>
            <w:r w:rsidR="00C66A00">
              <w:rPr>
                <w:rStyle w:val="AERsuperscript"/>
              </w:rPr>
              <w:t>(b</w:t>
            </w:r>
            <w:r w:rsidR="00C66A00" w:rsidRPr="00C66A00">
              <w:rPr>
                <w:rStyle w:val="AERsuperscript"/>
              </w:rPr>
              <w:t>)</w:t>
            </w:r>
          </w:p>
        </w:tc>
        <w:tc>
          <w:tcPr>
            <w:tcW w:w="2348" w:type="dxa"/>
          </w:tcPr>
          <w:p w:rsidR="00884CF6" w:rsidRPr="00884CF6" w:rsidRDefault="00C66A00" w:rsidP="00297833">
            <w:pPr>
              <w:keepNext/>
              <w:cnfStyle w:val="000000010000" w:firstRow="0" w:lastRow="0" w:firstColumn="0" w:lastColumn="0" w:oddVBand="0" w:evenVBand="0" w:oddHBand="0" w:evenHBand="1" w:firstRowFirstColumn="0" w:firstRowLastColumn="0" w:lastRowFirstColumn="0" w:lastRowLastColumn="0"/>
            </w:pPr>
            <w:r>
              <w:t>15.6</w:t>
            </w:r>
            <w:r>
              <w:rPr>
                <w:rStyle w:val="AERsuperscript"/>
              </w:rPr>
              <w:t>(b</w:t>
            </w:r>
            <w:r w:rsidRPr="00C66A00">
              <w:rPr>
                <w:rStyle w:val="AERsuperscript"/>
              </w:rPr>
              <w:t>)</w:t>
            </w:r>
          </w:p>
        </w:tc>
      </w:tr>
    </w:tbl>
    <w:p w:rsidR="00884CF6" w:rsidRDefault="00884CF6" w:rsidP="00297833">
      <w:pPr>
        <w:pStyle w:val="AERtablesource"/>
        <w:keepNext/>
      </w:pPr>
      <w:r w:rsidRPr="003B4507">
        <w:t xml:space="preserve">Source: </w:t>
      </w:r>
      <w:r w:rsidRPr="003B4507">
        <w:tab/>
        <w:t xml:space="preserve">AER analysis; </w:t>
      </w:r>
      <w:r w:rsidR="00137099">
        <w:t>Powercor</w:t>
      </w:r>
      <w:r w:rsidRPr="003B4507">
        <w:t xml:space="preserve">, </w:t>
      </w:r>
      <w:r w:rsidRPr="00297833">
        <w:rPr>
          <w:rStyle w:val="AERtextitalic"/>
        </w:rPr>
        <w:t>Revised Regulatory Proposal 2016–2020, Metering capex and opex model (Public)</w:t>
      </w:r>
      <w:r>
        <w:t>,</w:t>
      </w:r>
      <w:r w:rsidRPr="003B4507">
        <w:t xml:space="preserve"> January 2016; </w:t>
      </w:r>
      <w:r w:rsidR="00137099">
        <w:t>Powercor, AER information request #050</w:t>
      </w:r>
      <w:r w:rsidRPr="003B4507">
        <w:t>, 24 March 2016.</w:t>
      </w:r>
    </w:p>
    <w:p w:rsidR="00C66A00" w:rsidRDefault="00C66A00" w:rsidP="00297833">
      <w:pPr>
        <w:pStyle w:val="AERtablesource"/>
        <w:keepNext/>
      </w:pPr>
      <w:r w:rsidRPr="00211EE5">
        <w:t>(a)</w:t>
      </w:r>
      <w:r w:rsidRPr="00211EE5">
        <w:tab/>
      </w:r>
      <w:r>
        <w:t>For presentation purposes, the adjustment shown is an average of five years of costs.</w:t>
      </w:r>
    </w:p>
    <w:p w:rsidR="00C66A00" w:rsidRPr="00211EE5" w:rsidRDefault="00C66A00" w:rsidP="00297833">
      <w:pPr>
        <w:pStyle w:val="AERtablesource"/>
        <w:keepNext/>
      </w:pPr>
      <w:r w:rsidRPr="00211EE5">
        <w:t>(</w:t>
      </w:r>
      <w:r>
        <w:t>b</w:t>
      </w:r>
      <w:r w:rsidRPr="00211EE5">
        <w:t>)</w:t>
      </w:r>
      <w:r w:rsidRPr="00211EE5">
        <w:tab/>
      </w:r>
      <w:r>
        <w:t>For presentation purposes, the adjusted base shown is an average of five years of expenditure.</w:t>
      </w:r>
    </w:p>
    <w:p w:rsidR="00884CF6" w:rsidRPr="00281F0A" w:rsidRDefault="00884CF6" w:rsidP="00884CF6">
      <w:r w:rsidRPr="00281F0A">
        <w:t xml:space="preserve">Our determination on </w:t>
      </w:r>
      <w:r w:rsidR="00E541FC">
        <w:t>Powercor's</w:t>
      </w:r>
      <w:r w:rsidRPr="00281F0A">
        <w:t xml:space="preserve"> base annual opex applied the revealed costs approach. We also had regard to our final decision on </w:t>
      </w:r>
      <w:r w:rsidR="00137099">
        <w:t>Powercor's</w:t>
      </w:r>
      <w:r w:rsidRPr="00281F0A">
        <w:t xml:space="preserve"> allocation of opex between standard and alternative control metering services. </w:t>
      </w:r>
    </w:p>
    <w:p w:rsidR="00884CF6" w:rsidRPr="00281F0A" w:rsidRDefault="00884CF6" w:rsidP="00884CF6">
      <w:r w:rsidRPr="00281F0A">
        <w:t xml:space="preserve">Using the revealed costs approach, we selected </w:t>
      </w:r>
      <w:r w:rsidR="00E541FC">
        <w:t>Powercor's</w:t>
      </w:r>
      <w:r w:rsidRPr="00281F0A">
        <w:t xml:space="preserve"> actual opex in 2014 as our starting point. In 2014, </w:t>
      </w:r>
      <w:r w:rsidR="00E541FC">
        <w:t>Powercor's</w:t>
      </w:r>
      <w:r w:rsidRPr="00281F0A">
        <w:t xml:space="preserve"> actual opex was $</w:t>
      </w:r>
      <w:r w:rsidR="00E541FC">
        <w:t>18.9</w:t>
      </w:r>
      <w:r w:rsidRPr="00281F0A">
        <w:t xml:space="preserve"> million ($2015). We selected </w:t>
      </w:r>
      <w:r w:rsidR="00E541FC">
        <w:t>Powercor</w:t>
      </w:r>
      <w:r>
        <w:t>'s</w:t>
      </w:r>
      <w:r w:rsidRPr="00281F0A">
        <w:t xml:space="preserve"> actual metering opex in 2014 for two reasons. First, it is the last completed year from which we have audited accounts on </w:t>
      </w:r>
      <w:r w:rsidR="00E541FC">
        <w:t>Powercor</w:t>
      </w:r>
      <w:r>
        <w:t>'s</w:t>
      </w:r>
      <w:r w:rsidRPr="00281F0A">
        <w:t xml:space="preserve"> metering opex. Second, the costs incurred in 2014 should resemble 'business as usual' opex for metering in the forthcoming 2016–20 regulatory control period. This is because </w:t>
      </w:r>
      <w:r w:rsidR="00E541FC">
        <w:t>Powercor</w:t>
      </w:r>
      <w:r w:rsidRPr="00281F0A">
        <w:t xml:space="preserve"> had been set a target to have completed its rollout of AMI before the commencement of the 2014 year.</w:t>
      </w:r>
      <w:r w:rsidRPr="00E84C4E">
        <w:rPr>
          <w:rStyle w:val="FootnoteReference"/>
        </w:rPr>
        <w:footnoteReference w:id="71"/>
      </w:r>
      <w:r w:rsidRPr="00281F0A">
        <w:t xml:space="preserve"> </w:t>
      </w:r>
    </w:p>
    <w:p w:rsidR="00884CF6" w:rsidRDefault="00884CF6" w:rsidP="00884CF6">
      <w:r w:rsidRPr="00C97D0B">
        <w:t xml:space="preserve">The next step in our assessment of </w:t>
      </w:r>
      <w:r w:rsidR="00E541FC">
        <w:t>Powercor's</w:t>
      </w:r>
      <w:r w:rsidRPr="00C97D0B">
        <w:t xml:space="preserve"> base involved considering whether we should make any adjustments for non–recurrent expenditure. </w:t>
      </w:r>
      <w:r>
        <w:t>In developing its proposal</w:t>
      </w:r>
      <w:r w:rsidRPr="00C97D0B">
        <w:t xml:space="preserve">, </w:t>
      </w:r>
      <w:r w:rsidR="00E541FC">
        <w:t>Powercor</w:t>
      </w:r>
      <w:r>
        <w:t xml:space="preserve"> removed certain </w:t>
      </w:r>
      <w:r w:rsidRPr="00C97D0B">
        <w:t>costs</w:t>
      </w:r>
      <w:r>
        <w:t xml:space="preserve"> from its base</w:t>
      </w:r>
      <w:r w:rsidRPr="00C97D0B">
        <w:t>.</w:t>
      </w:r>
      <w:r w:rsidRPr="00C97D0B">
        <w:rPr>
          <w:rStyle w:val="FootnoteReference"/>
        </w:rPr>
        <w:footnoteReference w:id="72"/>
      </w:r>
      <w:r>
        <w:rPr>
          <w:rStyle w:val="FootnoteReference"/>
        </w:rPr>
        <w:t xml:space="preserve"> </w:t>
      </w:r>
      <w:r>
        <w:t>We consider these adjustments to be sufficient to remove non–recurrent expenditure.</w:t>
      </w:r>
      <w:r w:rsidRPr="00C97D0B">
        <w:t xml:space="preserve"> </w:t>
      </w:r>
      <w:r>
        <w:fldChar w:fldCharType="begin"/>
      </w:r>
      <w:r>
        <w:instrText xml:space="preserve"> REF _Ref448740155 \h </w:instrText>
      </w:r>
      <w:r>
        <w:fldChar w:fldCharType="separate"/>
      </w:r>
      <w:r w:rsidR="00B1103A">
        <w:t xml:space="preserve">Table </w:t>
      </w:r>
      <w:r w:rsidR="00B1103A">
        <w:rPr>
          <w:noProof/>
        </w:rPr>
        <w:t>16</w:t>
      </w:r>
      <w:r w:rsidR="00B1103A">
        <w:t>.</w:t>
      </w:r>
      <w:r w:rsidR="00B1103A">
        <w:rPr>
          <w:noProof/>
        </w:rPr>
        <w:t>12</w:t>
      </w:r>
      <w:r>
        <w:fldChar w:fldCharType="end"/>
      </w:r>
      <w:r>
        <w:t xml:space="preserve"> </w:t>
      </w:r>
      <w:r w:rsidRPr="00C97D0B">
        <w:t xml:space="preserve">sets out </w:t>
      </w:r>
      <w:r>
        <w:t>the</w:t>
      </w:r>
      <w:r w:rsidRPr="00C97D0B">
        <w:t xml:space="preserve"> adjustments and their magnitude.</w:t>
      </w:r>
      <w:r>
        <w:t xml:space="preserve"> We have applied them to our assessment of </w:t>
      </w:r>
      <w:r w:rsidR="00E541FC">
        <w:t>Powercor's</w:t>
      </w:r>
      <w:r>
        <w:t xml:space="preserve"> base level of opex.</w:t>
      </w:r>
    </w:p>
    <w:p w:rsidR="00893A30" w:rsidRPr="00893A30" w:rsidRDefault="00893A30" w:rsidP="00893A30">
      <w:r w:rsidRPr="00893A30">
        <w:t xml:space="preserve">We consider that following the removal of non–recurrent expenditure, </w:t>
      </w:r>
      <w:r>
        <w:t>Powercor's</w:t>
      </w:r>
      <w:r w:rsidRPr="00893A30">
        <w:t xml:space="preserve"> actual opex in 2014 does not contain material inefficiencies. We reached this </w:t>
      </w:r>
      <w:r w:rsidRPr="00893A30">
        <w:lastRenderedPageBreak/>
        <w:t>conclusion on the basis that the Victorian distribution businesses are generally efficient. This is compared to their counterparts in other regions of the national electricity market.</w:t>
      </w:r>
      <w:r>
        <w:rPr>
          <w:rStyle w:val="FootnoteReference"/>
        </w:rPr>
        <w:footnoteReference w:id="73"/>
      </w:r>
      <w:r w:rsidRPr="00893A30">
        <w:t xml:space="preserve"> We have therefore decided not to make an efficiency adjustment to the base level of opex. </w:t>
      </w:r>
    </w:p>
    <w:p w:rsidR="00884CF6" w:rsidRPr="009F2F29" w:rsidRDefault="00884CF6" w:rsidP="00884CF6">
      <w:r w:rsidRPr="00281F0A">
        <w:t xml:space="preserve">The final step we took in determining </w:t>
      </w:r>
      <w:r w:rsidR="00E541FC">
        <w:t>Powercor's</w:t>
      </w:r>
      <w:r w:rsidRPr="00281F0A">
        <w:t xml:space="preserve"> base was a cost allocation process between standard and alternative control metering services. This process is outlined in section </w:t>
      </w:r>
      <w:r w:rsidR="00E541FC">
        <w:fldChar w:fldCharType="begin"/>
      </w:r>
      <w:r w:rsidR="00E541FC">
        <w:instrText xml:space="preserve"> REF _Ref449974844 \n \h </w:instrText>
      </w:r>
      <w:r w:rsidR="00E541FC">
        <w:fldChar w:fldCharType="separate"/>
      </w:r>
      <w:r w:rsidR="00B1103A">
        <w:t>16.3.1.1</w:t>
      </w:r>
      <w:r w:rsidR="00E541FC">
        <w:fldChar w:fldCharType="end"/>
      </w:r>
      <w:r w:rsidR="00E541FC">
        <w:t xml:space="preserve"> </w:t>
      </w:r>
      <w:r w:rsidRPr="00281F0A">
        <w:t xml:space="preserve">above. After applying our approach to cost allocation, we determined </w:t>
      </w:r>
      <w:r w:rsidR="00B77902">
        <w:t>Powercor's</w:t>
      </w:r>
      <w:r w:rsidRPr="00281F0A">
        <w:t xml:space="preserve"> base opex to be </w:t>
      </w:r>
      <w:r w:rsidR="00080ECE">
        <w:t>$15.6</w:t>
      </w:r>
      <w:r w:rsidRPr="00281F0A">
        <w:t xml:space="preserve"> million ($2015).</w:t>
      </w:r>
      <w:r w:rsidRPr="00F57B91">
        <w:rPr>
          <w:rStyle w:val="FootnoteReference"/>
        </w:rPr>
        <w:footnoteReference w:id="74"/>
      </w:r>
      <w:r w:rsidRPr="00281F0A">
        <w:t xml:space="preserve"> </w:t>
      </w:r>
    </w:p>
    <w:p w:rsidR="00884CF6" w:rsidRPr="009F2F29" w:rsidRDefault="00884CF6" w:rsidP="00884CF6">
      <w:pPr>
        <w:pStyle w:val="HeadingBoldItalic"/>
      </w:pPr>
      <w:r w:rsidRPr="009F2F29">
        <w:t>Step</w:t>
      </w:r>
    </w:p>
    <w:p w:rsidR="00884CF6" w:rsidRPr="004518E3" w:rsidRDefault="00884CF6" w:rsidP="00884CF6">
      <w:pPr>
        <w:rPr>
          <w:rStyle w:val="FootnoteReference"/>
        </w:rPr>
      </w:pPr>
      <w:r>
        <w:t>We affirm our preliminary decision</w:t>
      </w:r>
      <w:r w:rsidRPr="00F57B91">
        <w:t xml:space="preserve"> to accept </w:t>
      </w:r>
      <w:r w:rsidR="00E541FC">
        <w:t>Powercor's</w:t>
      </w:r>
      <w:r w:rsidRPr="00F57B91">
        <w:t xml:space="preserve"> proposed step change associated with the testing of current transformer (CT) meters.</w:t>
      </w:r>
      <w:r w:rsidRPr="004518E3">
        <w:rPr>
          <w:rStyle w:val="FootnoteReference"/>
        </w:rPr>
        <w:footnoteReference w:id="75"/>
      </w:r>
      <w:r w:rsidRPr="004518E3">
        <w:rPr>
          <w:rStyle w:val="FootnoteReference"/>
        </w:rPr>
        <w:t xml:space="preserve"> </w:t>
      </w:r>
      <w:r w:rsidRPr="00F57B91">
        <w:t>These are three phase meters which are generally installed for small commercial customers</w:t>
      </w:r>
      <w:r>
        <w:t>.</w:t>
      </w:r>
      <w:r w:rsidRPr="004518E3">
        <w:rPr>
          <w:rStyle w:val="FootnoteReference"/>
        </w:rPr>
        <w:footnoteReference w:id="76"/>
      </w:r>
    </w:p>
    <w:p w:rsidR="00884CF6" w:rsidRDefault="00884CF6" w:rsidP="00884CF6">
      <w:r w:rsidRPr="00F57B91">
        <w:t>We will only accept a proposed step change if it is associated with a new regulatory obligation or a capex/opex trade-off.</w:t>
      </w:r>
      <w:r w:rsidRPr="004518E3">
        <w:rPr>
          <w:rStyle w:val="FootnoteReference"/>
        </w:rPr>
        <w:footnoteReference w:id="77"/>
      </w:r>
      <w:r w:rsidRPr="00F57B91">
        <w:t xml:space="preserve"> This position is consistent with our Expenditure forecast assessment guideline.</w:t>
      </w:r>
      <w:r w:rsidRPr="004518E3">
        <w:rPr>
          <w:rStyle w:val="FootnoteReference"/>
        </w:rPr>
        <w:footnoteReference w:id="78"/>
      </w:r>
      <w:r>
        <w:t xml:space="preserve"> We have accepted </w:t>
      </w:r>
      <w:r w:rsidR="00E541FC">
        <w:t>Powercor's</w:t>
      </w:r>
      <w:r>
        <w:t xml:space="preserve"> proposed step change because it relates to a new regulatory obligation. Specifically clause </w:t>
      </w:r>
      <w:r w:rsidRPr="00F57B91">
        <w:t xml:space="preserve">7.6 and </w:t>
      </w:r>
      <w:r>
        <w:t xml:space="preserve">schedule 7.3 of the NER require </w:t>
      </w:r>
      <w:r w:rsidR="00B77902">
        <w:t xml:space="preserve">Powercor </w:t>
      </w:r>
      <w:r>
        <w:t xml:space="preserve">to test a set of newly installed CT meters in the 2016–20 regulatory control period. </w:t>
      </w:r>
    </w:p>
    <w:p w:rsidR="00884CF6" w:rsidRPr="009F2F29" w:rsidRDefault="00884CF6" w:rsidP="00884CF6">
      <w:pPr>
        <w:pStyle w:val="HeadingBoldItalic"/>
      </w:pPr>
      <w:r w:rsidRPr="009F2F29">
        <w:t xml:space="preserve">Trend </w:t>
      </w:r>
    </w:p>
    <w:p w:rsidR="00884CF6" w:rsidRDefault="00884CF6" w:rsidP="00884CF6">
      <w:r>
        <w:t>We trended forward the base over the 2016–20 regulatory control period. When trending forward the base we applied an opex rate of change. This comprised of a real price growth adjustment for labour but not an output growth adjustment.</w:t>
      </w:r>
    </w:p>
    <w:p w:rsidR="00884CF6" w:rsidRDefault="00884CF6" w:rsidP="00884CF6">
      <w:r w:rsidRPr="007A7D6A">
        <w:t>With respect to real price growth</w:t>
      </w:r>
      <w:r>
        <w:t>,</w:t>
      </w:r>
      <w:r w:rsidRPr="007A7D6A">
        <w:t xml:space="preserve"> our final decision</w:t>
      </w:r>
      <w:r>
        <w:t xml:space="preserve"> approves escalation for labour. We have not, however, accepted </w:t>
      </w:r>
      <w:r w:rsidR="00E541FC">
        <w:t>Powercor's</w:t>
      </w:r>
      <w:r>
        <w:t xml:space="preserve"> proposal for real price escalation to be applied to materials or contracts. </w:t>
      </w:r>
    </w:p>
    <w:p w:rsidR="00884CF6" w:rsidRDefault="00884CF6" w:rsidP="00884CF6">
      <w:r>
        <w:t xml:space="preserve">We accept </w:t>
      </w:r>
      <w:r w:rsidR="00E541FC">
        <w:t>Powercor's</w:t>
      </w:r>
      <w:r>
        <w:t xml:space="preserve"> proposal that wages are likely to grow at a rate that does not reflect the consumer price index (CPI). Our final decision accepts that a labour price escalator should be applied to </w:t>
      </w:r>
      <w:r w:rsidR="00E541FC">
        <w:t>Powercor's</w:t>
      </w:r>
      <w:r>
        <w:t xml:space="preserve"> opex. By contrast, we do not accept that materials and contract prices will move at a rate that does not reasonably reflect CPI and hence we have not applied escalators to them. </w:t>
      </w:r>
    </w:p>
    <w:p w:rsidR="00884CF6" w:rsidRDefault="00884CF6" w:rsidP="00884CF6">
      <w:r>
        <w:lastRenderedPageBreak/>
        <w:t xml:space="preserve">When escalating </w:t>
      </w:r>
      <w:r w:rsidR="00B77902">
        <w:t>Powercor's</w:t>
      </w:r>
      <w:r>
        <w:t xml:space="preserve"> opex for labour price growth, we have applied the same escalators which we have determined for standard control network services. We consider this to be reasonable because network and metering services belong to the same industry. Labour price growth in metering should therefore be the same as in network services.</w:t>
      </w:r>
    </w:p>
    <w:p w:rsidR="00677FE3" w:rsidRPr="00677FE3" w:rsidRDefault="00884CF6" w:rsidP="00677FE3">
      <w:r>
        <w:t xml:space="preserve">We did not apply an output growth adjustment in our preliminary decision. </w:t>
      </w:r>
      <w:r w:rsidR="00E541FC">
        <w:t>Powercor</w:t>
      </w:r>
      <w:r>
        <w:t xml:space="preserve"> accepted this aspect of our preliminary decision in its revised proposal.</w:t>
      </w:r>
      <w:r>
        <w:rPr>
          <w:rStyle w:val="FootnoteReference"/>
        </w:rPr>
        <w:footnoteReference w:id="79"/>
      </w:r>
      <w:r>
        <w:t xml:space="preserve"> We affirm our preliminary decision, and when trending forward </w:t>
      </w:r>
      <w:r w:rsidR="00E541FC">
        <w:t>Powercor</w:t>
      </w:r>
      <w:r>
        <w:t xml:space="preserve"> base have not applied an adjustment for output growth.</w:t>
      </w:r>
    </w:p>
    <w:p w:rsidR="00677FE3" w:rsidRPr="00677FE3" w:rsidRDefault="00677FE3" w:rsidP="00677FE3">
      <w:pPr>
        <w:pStyle w:val="Heading4"/>
      </w:pPr>
      <w:r w:rsidRPr="00677FE3">
        <w:t>Metering exit fee</w:t>
      </w:r>
    </w:p>
    <w:p w:rsidR="00E541FC" w:rsidRDefault="00E541FC" w:rsidP="00E541FC">
      <w:r>
        <w:t xml:space="preserve">Our final decision does not accept </w:t>
      </w:r>
      <w:r w:rsidR="001513DB">
        <w:t>Powercor's</w:t>
      </w:r>
      <w:r>
        <w:t xml:space="preserve"> proposed exit fee. </w:t>
      </w:r>
    </w:p>
    <w:p w:rsidR="00E541FC" w:rsidRDefault="001513DB" w:rsidP="00E541FC">
      <w:r>
        <w:t>Powercor's</w:t>
      </w:r>
      <w:r w:rsidR="00E541FC">
        <w:t xml:space="preserve"> proposed exit fee includes an administrative and capital cost component. The administrative component recovers clerical costs associated with a customer leaving </w:t>
      </w:r>
      <w:r>
        <w:t>Powercor's</w:t>
      </w:r>
      <w:r w:rsidR="00E541FC">
        <w:t xml:space="preserve"> metering service. This will be possible when metering contestability is introduced in 2017. The capital component recovers the remaining written down value of metering assets corresponding to the customer leaving </w:t>
      </w:r>
      <w:r>
        <w:t>Powercor's</w:t>
      </w:r>
      <w:r w:rsidR="00E541FC">
        <w:t xml:space="preserve"> service. This is derived from the opening metering asset base which we approve for </w:t>
      </w:r>
      <w:r>
        <w:t xml:space="preserve">Powercor </w:t>
      </w:r>
      <w:r w:rsidR="00E541FC">
        <w:t>in this final decision.</w:t>
      </w:r>
    </w:p>
    <w:p w:rsidR="00E541FC" w:rsidRPr="00890E25" w:rsidRDefault="00E541FC" w:rsidP="00E541FC">
      <w:r>
        <w:t xml:space="preserve">Our final decision accepts the administrative cost component of </w:t>
      </w:r>
      <w:r w:rsidR="001513DB">
        <w:t>Powercor's</w:t>
      </w:r>
      <w:r>
        <w:t xml:space="preserve"> proposed exit fees. But after adjusting for actual CPI, we have not accepted </w:t>
      </w:r>
      <w:r w:rsidR="001513DB">
        <w:t>Powercor's</w:t>
      </w:r>
      <w:r>
        <w:t xml:space="preserve"> proposed opening metering asset base. Our final decision accepts an opening metering asset base value as of 1 January 2016 of $</w:t>
      </w:r>
      <w:r w:rsidR="001513DB">
        <w:t xml:space="preserve">332.1 </w:t>
      </w:r>
      <w:r>
        <w:t xml:space="preserve">million ($ nominal) rather than </w:t>
      </w:r>
      <w:r w:rsidR="001513DB">
        <w:t>Powercor's proposed $333.4</w:t>
      </w:r>
      <w:r>
        <w:t xml:space="preserve"> million ($ nominal). </w:t>
      </w:r>
      <w:r w:rsidR="001513DB">
        <w:t>In terms of its exit fee charges, this leads to a lower capital component.</w:t>
      </w:r>
      <w:r>
        <w:t xml:space="preserve">  </w:t>
      </w:r>
    </w:p>
    <w:p w:rsidR="00E541FC" w:rsidRPr="00890E25" w:rsidRDefault="00E541FC" w:rsidP="00E541FC">
      <w:r>
        <w:t>Our a</w:t>
      </w:r>
      <w:r w:rsidRPr="00890E25">
        <w:t>dministrative</w:t>
      </w:r>
      <w:r w:rsidR="001513DB">
        <w:t xml:space="preserve"> cost component of the exit fee</w:t>
      </w:r>
      <w:r w:rsidRPr="00890E25">
        <w:t xml:space="preserve"> is potentially in contrast with the decisions we made during the New South Wales, Queensland, South Australia and </w:t>
      </w:r>
      <w:r>
        <w:t xml:space="preserve">the </w:t>
      </w:r>
      <w:r w:rsidRPr="00890E25">
        <w:t>Australian Capital Territory determinations in April 2015. Specifically, we rejected the administrative costs those distributors proposed in the case of removing a meter.</w:t>
      </w:r>
      <w:r w:rsidRPr="00890E25">
        <w:rPr>
          <w:rStyle w:val="FootnoteReference"/>
        </w:rPr>
        <w:footnoteReference w:id="80"/>
      </w:r>
      <w:r w:rsidRPr="00890E25">
        <w:t xml:space="preserve"> While we found that the costs were not sufficiently material in those jurisdictions,</w:t>
      </w:r>
      <w:r w:rsidRPr="00890E25">
        <w:rPr>
          <w:rStyle w:val="AERsuperscript"/>
        </w:rPr>
        <w:t xml:space="preserve"> </w:t>
      </w:r>
      <w:r w:rsidRPr="00890E25">
        <w:t>the Order</w:t>
      </w:r>
      <w:r w:rsidR="0007280B">
        <w:t xml:space="preserve"> applicable to the Victorian distribution businesses</w:t>
      </w:r>
      <w:r w:rsidRPr="00890E25">
        <w:t xml:space="preserve"> requires that we set an exit fee; and thus we have accepted the inclusion of an administrative cost component. We have nonetheless </w:t>
      </w:r>
      <w:r>
        <w:t xml:space="preserve">adjusted it for our final </w:t>
      </w:r>
      <w:r w:rsidRPr="00890E25">
        <w:t xml:space="preserve">decision on the labour cost escalators applicable in Victoria in the 2016–20 regulatory control period. </w:t>
      </w:r>
    </w:p>
    <w:p w:rsidR="00E541FC" w:rsidRDefault="00E541FC" w:rsidP="00E541FC">
      <w:r w:rsidRPr="00890E25">
        <w:t>Our substitute exit fees are set out in section</w:t>
      </w:r>
      <w:r>
        <w:t xml:space="preserve"> </w:t>
      </w:r>
      <w:r>
        <w:fldChar w:fldCharType="begin"/>
      </w:r>
      <w:r>
        <w:instrText xml:space="preserve"> REF _Ref449618746 \n \h </w:instrText>
      </w:r>
      <w:r>
        <w:fldChar w:fldCharType="separate"/>
      </w:r>
      <w:r w:rsidR="00B1103A">
        <w:t>16.3.1.4</w:t>
      </w:r>
      <w:r>
        <w:fldChar w:fldCharType="end"/>
      </w:r>
      <w:r w:rsidRPr="00890E25">
        <w:t>.</w:t>
      </w:r>
    </w:p>
    <w:p w:rsidR="00132D43" w:rsidRDefault="00132D43" w:rsidP="00647558"/>
    <w:p w:rsidR="00F1062B" w:rsidRDefault="00F1062B" w:rsidP="00F1062B">
      <w:pPr>
        <w:pStyle w:val="Heading7"/>
      </w:pPr>
      <w:bookmarkStart w:id="121" w:name="_Toc436812090"/>
      <w:bookmarkStart w:id="122" w:name="_Toc433704582"/>
      <w:bookmarkStart w:id="123" w:name="_Ref441680197"/>
      <w:bookmarkStart w:id="124" w:name="_Toc451441240"/>
      <w:r>
        <w:lastRenderedPageBreak/>
        <w:t>Ancillary network services</w:t>
      </w:r>
      <w:bookmarkEnd w:id="121"/>
      <w:bookmarkEnd w:id="122"/>
      <w:bookmarkEnd w:id="123"/>
      <w:r w:rsidR="003E7148">
        <w:t xml:space="preserve"> prices</w:t>
      </w:r>
      <w:bookmarkEnd w:id="124"/>
    </w:p>
    <w:p w:rsidR="00B21C48" w:rsidRDefault="00F1062B" w:rsidP="00B21C48">
      <w:pPr>
        <w:pStyle w:val="Heading8"/>
      </w:pPr>
      <w:bookmarkStart w:id="125" w:name="_Ref441662476"/>
      <w:r>
        <w:t>Ancillary network services</w:t>
      </w:r>
      <w:bookmarkEnd w:id="125"/>
    </w:p>
    <w:p w:rsidR="00B21C48" w:rsidRDefault="00B21C48" w:rsidP="00B21C48">
      <w:pPr>
        <w:pStyle w:val="Caption"/>
      </w:pPr>
      <w:bookmarkStart w:id="126" w:name="_Ref442295784"/>
      <w:r>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13</w:t>
      </w:r>
      <w:r w:rsidR="008572AB">
        <w:rPr>
          <w:noProof/>
        </w:rPr>
        <w:fldChar w:fldCharType="end"/>
      </w:r>
      <w:bookmarkEnd w:id="126"/>
      <w:r>
        <w:tab/>
        <w:t>Fee based ancillary network services prices for 2016, final decision ($2016)</w:t>
      </w:r>
    </w:p>
    <w:tbl>
      <w:tblPr>
        <w:tblStyle w:val="AERtable-numbers"/>
        <w:tblW w:w="5000" w:type="pct"/>
        <w:tblLook w:val="04A0" w:firstRow="1" w:lastRow="0" w:firstColumn="1" w:lastColumn="0" w:noHBand="0" w:noVBand="1"/>
      </w:tblPr>
      <w:tblGrid>
        <w:gridCol w:w="5070"/>
        <w:gridCol w:w="1872"/>
        <w:gridCol w:w="1751"/>
      </w:tblGrid>
      <w:tr w:rsidR="00B21C48" w:rsidTr="00B21C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Fee based service</w:t>
            </w:r>
          </w:p>
        </w:tc>
        <w:tc>
          <w:tcPr>
            <w:tcW w:w="1077" w:type="pct"/>
          </w:tcPr>
          <w:p w:rsidR="00B21C48" w:rsidRPr="00B21C48" w:rsidRDefault="00B21C48" w:rsidP="00B21C48">
            <w:pPr>
              <w:cnfStyle w:val="100000000000" w:firstRow="1" w:lastRow="0" w:firstColumn="0" w:lastColumn="0" w:oddVBand="0" w:evenVBand="0" w:oddHBand="0" w:evenHBand="0" w:firstRowFirstColumn="0" w:firstRowLastColumn="0" w:lastRowFirstColumn="0" w:lastRowLastColumn="0"/>
            </w:pPr>
            <w:r>
              <w:t>Hours</w:t>
            </w:r>
          </w:p>
        </w:tc>
        <w:tc>
          <w:tcPr>
            <w:tcW w:w="1007" w:type="pct"/>
          </w:tcPr>
          <w:p w:rsidR="00B21C48" w:rsidRPr="00B21C48" w:rsidRDefault="00B21C48" w:rsidP="00B21C48">
            <w:pPr>
              <w:cnfStyle w:val="100000000000" w:firstRow="1" w:lastRow="0" w:firstColumn="0" w:lastColumn="0" w:oddVBand="0" w:evenVBand="0" w:oddHBand="0" w:evenHBand="0" w:firstRowFirstColumn="0" w:firstRowLastColumn="0" w:lastRowFirstColumn="0" w:lastRowLastColumn="0"/>
            </w:pPr>
            <w:r>
              <w:t>Final</w:t>
            </w:r>
            <w:r w:rsidRPr="00B21C48">
              <w:t xml:space="preserve"> decision price</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Meter investigation</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385.61</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441.76</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Meter accuracy test—single phase</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425.74</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7D5EE1"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488.89</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Meter accuracy test—single phase additional meter</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178.66</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Meter accuracy test—</w:t>
            </w:r>
            <w:r w:rsidRPr="00B21C48">
              <w:t>multi phase</w:t>
            </w:r>
          </w:p>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512.94</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591.30</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Meter accuracy test—</w:t>
            </w:r>
            <w:r w:rsidRPr="00B21C48">
              <w:t>multi phase additional meter</w:t>
            </w:r>
          </w:p>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B21C48" w:rsidRPr="00B21C48" w:rsidRDefault="00116A1B" w:rsidP="00752572">
            <w:pPr>
              <w:cnfStyle w:val="000000010000" w:firstRow="0" w:lastRow="0" w:firstColumn="0" w:lastColumn="0" w:oddVBand="0" w:evenVBand="0" w:oddHBand="0" w:evenHBand="1" w:firstRowFirstColumn="0" w:firstRowLastColumn="0" w:lastRowFirstColumn="0" w:lastRowLastColumn="0"/>
            </w:pPr>
            <w:r>
              <w:t>325.7</w:t>
            </w:r>
            <w:r w:rsidR="00752572">
              <w:t>8</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Meter accuracy test—CT</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600.68</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694.34</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Reconnections (incl. customer transfer)</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50.87</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224.71</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Reconnections (same day)</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82.91</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D</w:t>
            </w:r>
            <w:r w:rsidRPr="00B21C48">
              <w:t>isconnection</w:t>
            </w:r>
          </w:p>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54.08</w:t>
            </w:r>
          </w:p>
        </w:tc>
      </w:tr>
      <w:tr w:rsidR="00B21C48" w:rsidRPr="003C6B7A"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pPr>
              <w:rPr>
                <w:rStyle w:val="Strong"/>
              </w:rPr>
            </w:pPr>
            <w:r>
              <w:t>Disconnection for non payment</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rPr>
                <w:rStyle w:val="Strong"/>
              </w:rPr>
            </w:pPr>
            <w:r>
              <w:t>54.08</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Special reading</w:t>
            </w:r>
          </w:p>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44.67</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Access to meter data</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45.38</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Service truck visit</w:t>
            </w:r>
          </w:p>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607.61</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7D5EE1" w:rsidRDefault="00B21C48" w:rsidP="00B21C48"/>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730.22</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Wasted truck visit</w:t>
            </w:r>
          </w:p>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334.22</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7D5EE1" w:rsidRDefault="00B21C48" w:rsidP="00B21C48"/>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386.17</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Remote meter reconfiguration</w:t>
            </w:r>
          </w:p>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52.95</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Remote re-energisation</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9.99</w:t>
            </w:r>
          </w:p>
        </w:tc>
      </w:tr>
      <w:tr w:rsidR="00B21C48" w:rsidRPr="003A045E"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pPr>
              <w:rPr>
                <w:rStyle w:val="Strong"/>
              </w:rPr>
            </w:pPr>
            <w:r>
              <w:t>Remote</w:t>
            </w:r>
            <w:r w:rsidRPr="00B21C48">
              <w:t xml:space="preserve"> de-energisation</w:t>
            </w:r>
          </w:p>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rPr>
                <w:rStyle w:val="Strong"/>
              </w:rPr>
            </w:pPr>
            <w:r>
              <w:t>9.99</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 xml:space="preserve"> </w:t>
            </w:r>
          </w:p>
        </w:tc>
        <w:tc>
          <w:tcPr>
            <w:tcW w:w="1077" w:type="pct"/>
          </w:tcPr>
          <w:p w:rsidR="00B21C48" w:rsidRPr="00F0634C" w:rsidRDefault="00B21C48" w:rsidP="00B21C48">
            <w:pPr>
              <w:cnfStyle w:val="000000000000" w:firstRow="0" w:lastRow="0" w:firstColumn="0" w:lastColumn="0" w:oddVBand="0" w:evenVBand="0" w:oddHBand="0" w:evenHBand="0" w:firstRowFirstColumn="0" w:firstRowLastColumn="0" w:lastRowFirstColumn="0" w:lastRowLastColumn="0"/>
            </w:pPr>
          </w:p>
        </w:tc>
        <w:tc>
          <w:tcPr>
            <w:tcW w:w="1007" w:type="pct"/>
          </w:tcPr>
          <w:p w:rsidR="00B21C48" w:rsidRPr="00F0634C" w:rsidRDefault="00B21C48" w:rsidP="00B21C48">
            <w:pPr>
              <w:cnfStyle w:val="000000000000" w:firstRow="0" w:lastRow="0" w:firstColumn="0" w:lastColumn="0" w:oddVBand="0" w:evenVBand="0" w:oddHBand="0" w:evenHBand="0" w:firstRowFirstColumn="0" w:firstRowLastColumn="0" w:lastRowFirstColumn="0" w:lastRowLastColumn="0"/>
            </w:pP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rPr>
                <w:rStyle w:val="Strong"/>
              </w:rPr>
              <w:t>N</w:t>
            </w:r>
            <w:r w:rsidRPr="00B21C48">
              <w:rPr>
                <w:rStyle w:val="Strong"/>
              </w:rPr>
              <w:t>ew connection responsible for metering</w:t>
            </w:r>
          </w:p>
        </w:tc>
        <w:tc>
          <w:tcPr>
            <w:tcW w:w="1077" w:type="pct"/>
          </w:tcPr>
          <w:p w:rsidR="00B21C48" w:rsidRPr="00F0634C" w:rsidRDefault="00B21C48" w:rsidP="00B21C48">
            <w:pPr>
              <w:cnfStyle w:val="000000010000" w:firstRow="0" w:lastRow="0" w:firstColumn="0" w:lastColumn="0" w:oddVBand="0" w:evenVBand="0" w:oddHBand="0" w:evenHBand="1" w:firstRowFirstColumn="0" w:firstRowLastColumn="0" w:lastRowFirstColumn="0" w:lastRowLastColumn="0"/>
            </w:pPr>
          </w:p>
        </w:tc>
        <w:tc>
          <w:tcPr>
            <w:tcW w:w="1007" w:type="pct"/>
          </w:tcPr>
          <w:p w:rsidR="00B21C48" w:rsidRPr="00F0634C" w:rsidRDefault="00B21C48" w:rsidP="00B21C48">
            <w:pPr>
              <w:cnfStyle w:val="000000010000" w:firstRow="0" w:lastRow="0" w:firstColumn="0" w:lastColumn="0" w:oddVBand="0" w:evenVBand="0" w:oddHBand="0" w:evenHBand="1" w:firstRowFirstColumn="0" w:firstRowLastColumn="0" w:lastRowFirstColumn="0" w:lastRowLastColumn="0"/>
            </w:pP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 xml:space="preserve">Single </w:t>
            </w:r>
            <w:r w:rsidRPr="00B21C48">
              <w:t>phase</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486.74</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545.22</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Multi phase DC</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602.81</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661.58</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Multi phase CT</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2,360.27</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2,927.31</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7D5EE1" w:rsidRDefault="00B21C48" w:rsidP="00B21C48">
            <w:pPr>
              <w:rPr>
                <w:rStyle w:val="Strong"/>
              </w:rPr>
            </w:pPr>
          </w:p>
        </w:tc>
        <w:tc>
          <w:tcPr>
            <w:tcW w:w="1077" w:type="pct"/>
          </w:tcPr>
          <w:p w:rsidR="00B21C48" w:rsidRPr="007D5EE1" w:rsidRDefault="00B21C48" w:rsidP="00B21C48">
            <w:pPr>
              <w:cnfStyle w:val="000000000000" w:firstRow="0" w:lastRow="0" w:firstColumn="0" w:lastColumn="0" w:oddVBand="0" w:evenVBand="0" w:oddHBand="0" w:evenHBand="0" w:firstRowFirstColumn="0" w:firstRowLastColumn="0" w:lastRowFirstColumn="0" w:lastRowLastColumn="0"/>
              <w:rPr>
                <w:rStyle w:val="Strong"/>
              </w:rPr>
            </w:pPr>
          </w:p>
        </w:tc>
        <w:tc>
          <w:tcPr>
            <w:tcW w:w="1007" w:type="pct"/>
          </w:tcPr>
          <w:p w:rsidR="00B21C48" w:rsidRPr="007D5EE1" w:rsidRDefault="00B21C48" w:rsidP="00B21C48">
            <w:pPr>
              <w:cnfStyle w:val="000000000000" w:firstRow="0" w:lastRow="0" w:firstColumn="0" w:lastColumn="0" w:oddVBand="0" w:evenVBand="0" w:oddHBand="0" w:evenHBand="0" w:firstRowFirstColumn="0" w:firstRowLastColumn="0" w:lastRowFirstColumn="0" w:lastRowLastColumn="0"/>
              <w:rPr>
                <w:rStyle w:val="Strong"/>
              </w:rPr>
            </w:pP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rPr>
                <w:rStyle w:val="Strong"/>
              </w:rPr>
              <w:t>N</w:t>
            </w:r>
            <w:r w:rsidRPr="00B21C48">
              <w:rPr>
                <w:rStyle w:val="Strong"/>
              </w:rPr>
              <w:t>ew connection not responsible for metering</w:t>
            </w:r>
          </w:p>
        </w:tc>
        <w:tc>
          <w:tcPr>
            <w:tcW w:w="1077" w:type="pct"/>
          </w:tcPr>
          <w:p w:rsidR="00B21C48" w:rsidRPr="007D5EE1" w:rsidRDefault="00B21C48" w:rsidP="00B21C48">
            <w:pPr>
              <w:cnfStyle w:val="000000010000" w:firstRow="0" w:lastRow="0" w:firstColumn="0" w:lastColumn="0" w:oddVBand="0" w:evenVBand="0" w:oddHBand="0" w:evenHBand="1" w:firstRowFirstColumn="0" w:firstRowLastColumn="0" w:lastRowFirstColumn="0" w:lastRowLastColumn="0"/>
            </w:pPr>
          </w:p>
        </w:tc>
        <w:tc>
          <w:tcPr>
            <w:tcW w:w="1007" w:type="pct"/>
          </w:tcPr>
          <w:p w:rsidR="00B21C48" w:rsidRPr="007D5EE1" w:rsidRDefault="00B21C48" w:rsidP="00B21C48">
            <w:pPr>
              <w:cnfStyle w:val="000000010000" w:firstRow="0" w:lastRow="0" w:firstColumn="0" w:lastColumn="0" w:oddVBand="0" w:evenVBand="0" w:oddHBand="0" w:evenHBand="1" w:firstRowFirstColumn="0" w:firstRowLastColumn="0" w:lastRowFirstColumn="0" w:lastRowLastColumn="0"/>
            </w:pP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 xml:space="preserve">Single </w:t>
            </w:r>
            <w:r w:rsidRPr="00B21C48">
              <w:t>phase</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455.26</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508.55</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Multi phase DC</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571.32</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624.61</w:t>
            </w:r>
          </w:p>
        </w:tc>
      </w:tr>
      <w:tr w:rsidR="00B21C48" w:rsidTr="00B21C48">
        <w:tc>
          <w:tcPr>
            <w:cnfStyle w:val="001000000000" w:firstRow="0" w:lastRow="0" w:firstColumn="1" w:lastColumn="0" w:oddVBand="0" w:evenVBand="0" w:oddHBand="0" w:evenHBand="0" w:firstRowFirstColumn="0" w:firstRowLastColumn="0" w:lastRowFirstColumn="0" w:lastRowLastColumn="0"/>
            <w:tcW w:w="2916" w:type="pct"/>
          </w:tcPr>
          <w:p w:rsidR="00B21C48" w:rsidRPr="00B21C48" w:rsidRDefault="00B21C48" w:rsidP="00B21C48">
            <w:r>
              <w:t>Multi phase CT</w:t>
            </w:r>
          </w:p>
        </w:tc>
        <w:tc>
          <w:tcPr>
            <w:tcW w:w="1077"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B21C48" w:rsidRPr="00B21C48" w:rsidRDefault="00116A1B" w:rsidP="00B21C48">
            <w:pPr>
              <w:cnfStyle w:val="000000000000" w:firstRow="0" w:lastRow="0" w:firstColumn="0" w:lastColumn="0" w:oddVBand="0" w:evenVBand="0" w:oddHBand="0" w:evenHBand="0" w:firstRowFirstColumn="0" w:firstRowLastColumn="0" w:lastRowFirstColumn="0" w:lastRowLastColumn="0"/>
            </w:pPr>
            <w:r>
              <w:t>2,018.65</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B21C48" w:rsidRDefault="00B21C48" w:rsidP="00B21C48"/>
        </w:tc>
        <w:tc>
          <w:tcPr>
            <w:tcW w:w="1077"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B21C48" w:rsidRPr="00B21C48" w:rsidRDefault="00116A1B" w:rsidP="00B21C48">
            <w:pPr>
              <w:cnfStyle w:val="000000010000" w:firstRow="0" w:lastRow="0" w:firstColumn="0" w:lastColumn="0" w:oddVBand="0" w:evenVBand="0" w:oddHBand="0" w:evenHBand="1" w:firstRowFirstColumn="0" w:firstRowLastColumn="0" w:lastRowFirstColumn="0" w:lastRowLastColumn="0"/>
            </w:pPr>
            <w:r>
              <w:t>2,290.12</w:t>
            </w:r>
          </w:p>
        </w:tc>
      </w:tr>
    </w:tbl>
    <w:p w:rsidR="00B21C48" w:rsidRPr="00514F94" w:rsidRDefault="00B21C48" w:rsidP="00B605CD">
      <w:pPr>
        <w:pStyle w:val="AERtablesource"/>
      </w:pPr>
      <w:r>
        <w:t>Source:</w:t>
      </w:r>
      <w:r>
        <w:tab/>
      </w:r>
      <w:r w:rsidR="00092A75">
        <w:t xml:space="preserve">Powercor, </w:t>
      </w:r>
      <w:r w:rsidR="00092A75">
        <w:rPr>
          <w:rStyle w:val="AERtextitalic"/>
        </w:rPr>
        <w:t>2016 pricing proposal</w:t>
      </w:r>
      <w:r w:rsidR="00092A75">
        <w:t>, 19 November 2015, p</w:t>
      </w:r>
      <w:r w:rsidR="00B605CD">
        <w:t>p</w:t>
      </w:r>
      <w:r w:rsidR="00092A75">
        <w:t>. </w:t>
      </w:r>
      <w:r w:rsidR="00B605CD">
        <w:t>82–83</w:t>
      </w:r>
      <w:r>
        <w:t>.</w:t>
      </w:r>
    </w:p>
    <w:p w:rsidR="00B21C48" w:rsidRPr="00272566" w:rsidRDefault="00B21C48" w:rsidP="00B21C48">
      <w:pPr>
        <w:pStyle w:val="Caption"/>
      </w:pPr>
      <w:bookmarkStart w:id="127" w:name="_Ref442295855"/>
      <w:r>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14</w:t>
      </w:r>
      <w:r w:rsidR="008572AB">
        <w:rPr>
          <w:noProof/>
        </w:rPr>
        <w:fldChar w:fldCharType="end"/>
      </w:r>
      <w:bookmarkEnd w:id="127"/>
      <w:r>
        <w:tab/>
        <w:t>Quoted service ancillary network services hourly labour rates for 2016, final decision ($2016)</w:t>
      </w:r>
    </w:p>
    <w:tbl>
      <w:tblPr>
        <w:tblStyle w:val="AERtable-numbers"/>
        <w:tblW w:w="5000" w:type="pct"/>
        <w:tblLook w:val="04A0" w:firstRow="1" w:lastRow="0" w:firstColumn="1" w:lastColumn="0" w:noHBand="0" w:noVBand="1"/>
      </w:tblPr>
      <w:tblGrid>
        <w:gridCol w:w="4614"/>
        <w:gridCol w:w="1791"/>
        <w:gridCol w:w="2288"/>
      </w:tblGrid>
      <w:tr w:rsidR="00B21C48" w:rsidTr="00B21C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4" w:type="pct"/>
          </w:tcPr>
          <w:p w:rsidR="00B21C48" w:rsidRPr="00B21C48" w:rsidRDefault="00B21C48" w:rsidP="00B21C48">
            <w:r>
              <w:t>Service description</w:t>
            </w:r>
          </w:p>
        </w:tc>
        <w:tc>
          <w:tcPr>
            <w:tcW w:w="1030" w:type="pct"/>
          </w:tcPr>
          <w:p w:rsidR="00B21C48" w:rsidRPr="00B21C48" w:rsidRDefault="00B21C48" w:rsidP="00B21C48">
            <w:pPr>
              <w:cnfStyle w:val="100000000000" w:firstRow="1" w:lastRow="0" w:firstColumn="0" w:lastColumn="0" w:oddVBand="0" w:evenVBand="0" w:oddHBand="0" w:evenHBand="0" w:firstRowFirstColumn="0" w:firstRowLastColumn="0" w:lastRowFirstColumn="0" w:lastRowLastColumn="0"/>
            </w:pPr>
            <w:r>
              <w:t>Hours</w:t>
            </w:r>
          </w:p>
        </w:tc>
        <w:tc>
          <w:tcPr>
            <w:tcW w:w="1316" w:type="pct"/>
          </w:tcPr>
          <w:p w:rsidR="00B21C48" w:rsidRPr="00B21C48" w:rsidRDefault="00B21C48" w:rsidP="00B21C48">
            <w:pPr>
              <w:cnfStyle w:val="100000000000" w:firstRow="1" w:lastRow="0" w:firstColumn="0" w:lastColumn="0" w:oddVBand="0" w:evenVBand="0" w:oddHBand="0" w:evenHBand="0" w:firstRowFirstColumn="0" w:firstRowLastColumn="0" w:lastRowFirstColumn="0" w:lastRowLastColumn="0"/>
            </w:pPr>
            <w:r>
              <w:t>Final</w:t>
            </w:r>
            <w:r w:rsidRPr="00B21C48">
              <w:t xml:space="preserve"> decision hourly labour rates</w:t>
            </w:r>
          </w:p>
        </w:tc>
      </w:tr>
      <w:tr w:rsidR="00B21C48" w:rsidTr="00B21C48">
        <w:tc>
          <w:tcPr>
            <w:cnfStyle w:val="001000000000" w:firstRow="0" w:lastRow="0" w:firstColumn="1" w:lastColumn="0" w:oddVBand="0" w:evenVBand="0" w:oddHBand="0" w:evenHBand="0" w:firstRowFirstColumn="0" w:firstRowLastColumn="0" w:lastRowFirstColumn="0" w:lastRowLastColumn="0"/>
            <w:tcW w:w="2654" w:type="pct"/>
          </w:tcPr>
          <w:p w:rsidR="00B21C48" w:rsidRPr="00B21C48" w:rsidRDefault="00B21C48" w:rsidP="00B21C48">
            <w:r>
              <w:t>Skilled electrical worker</w:t>
            </w:r>
          </w:p>
        </w:tc>
        <w:tc>
          <w:tcPr>
            <w:tcW w:w="1030"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B21C48" w:rsidRPr="00B21C48" w:rsidRDefault="00C40F63" w:rsidP="00B21C48">
            <w:pPr>
              <w:cnfStyle w:val="000000000000" w:firstRow="0" w:lastRow="0" w:firstColumn="0" w:lastColumn="0" w:oddVBand="0" w:evenVBand="0" w:oddHBand="0" w:evenHBand="0" w:firstRowFirstColumn="0" w:firstRowLastColumn="0" w:lastRowFirstColumn="0" w:lastRowLastColumn="0"/>
            </w:pPr>
            <w:r>
              <w:t>122.18</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B21C48" w:rsidRDefault="00B21C48" w:rsidP="00B21C48"/>
        </w:tc>
        <w:tc>
          <w:tcPr>
            <w:tcW w:w="1030"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B21C48" w:rsidRPr="00B21C48" w:rsidRDefault="00C40F63" w:rsidP="00B21C48">
            <w:pPr>
              <w:cnfStyle w:val="000000010000" w:firstRow="0" w:lastRow="0" w:firstColumn="0" w:lastColumn="0" w:oddVBand="0" w:evenVBand="0" w:oddHBand="0" w:evenHBand="1" w:firstRowFirstColumn="0" w:firstRowLastColumn="0" w:lastRowFirstColumn="0" w:lastRowLastColumn="0"/>
            </w:pPr>
            <w:r>
              <w:t>143.49</w:t>
            </w:r>
          </w:p>
        </w:tc>
      </w:tr>
      <w:tr w:rsidR="00B21C48" w:rsidTr="00B21C48">
        <w:tc>
          <w:tcPr>
            <w:cnfStyle w:val="001000000000" w:firstRow="0" w:lastRow="0" w:firstColumn="1" w:lastColumn="0" w:oddVBand="0" w:evenVBand="0" w:oddHBand="0" w:evenHBand="0" w:firstRowFirstColumn="0" w:firstRowLastColumn="0" w:lastRowFirstColumn="0" w:lastRowLastColumn="0"/>
            <w:tcW w:w="2654" w:type="pct"/>
          </w:tcPr>
          <w:p w:rsidR="00B21C48" w:rsidRPr="00B21C48" w:rsidRDefault="00B21C48" w:rsidP="00B21C48">
            <w:r>
              <w:t>Support staff</w:t>
            </w:r>
          </w:p>
        </w:tc>
        <w:tc>
          <w:tcPr>
            <w:tcW w:w="1030" w:type="pct"/>
          </w:tcPr>
          <w:p w:rsidR="00B21C48" w:rsidRPr="00B21C48" w:rsidRDefault="00B21C48" w:rsidP="00B21C48">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B21C48" w:rsidRPr="00B21C48" w:rsidRDefault="00C40F63" w:rsidP="00B21C48">
            <w:pPr>
              <w:cnfStyle w:val="000000000000" w:firstRow="0" w:lastRow="0" w:firstColumn="0" w:lastColumn="0" w:oddVBand="0" w:evenVBand="0" w:oddHBand="0" w:evenHBand="0" w:firstRowFirstColumn="0" w:firstRowLastColumn="0" w:lastRowFirstColumn="0" w:lastRowLastColumn="0"/>
            </w:pPr>
            <w:r>
              <w:t>69.10</w:t>
            </w:r>
          </w:p>
        </w:tc>
      </w:tr>
      <w:tr w:rsidR="00B21C48" w:rsidTr="00B21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B21C48" w:rsidRDefault="00B21C48" w:rsidP="00B21C48"/>
        </w:tc>
        <w:tc>
          <w:tcPr>
            <w:tcW w:w="1030"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B21C48" w:rsidRPr="00B21C48" w:rsidRDefault="00B21C48" w:rsidP="00B21C48">
            <w:pPr>
              <w:cnfStyle w:val="000000010000" w:firstRow="0" w:lastRow="0" w:firstColumn="0" w:lastColumn="0" w:oddVBand="0" w:evenVBand="0" w:oddHBand="0" w:evenHBand="1" w:firstRowFirstColumn="0" w:firstRowLastColumn="0" w:lastRowFirstColumn="0" w:lastRowLastColumn="0"/>
            </w:pPr>
            <w:r>
              <w:t>N</w:t>
            </w:r>
            <w:r w:rsidRPr="00B21C48">
              <w:t>/A</w:t>
            </w:r>
          </w:p>
        </w:tc>
      </w:tr>
    </w:tbl>
    <w:p w:rsidR="00B21C48" w:rsidRDefault="00B21C48" w:rsidP="00B21C48">
      <w:pPr>
        <w:pStyle w:val="AERtablesource"/>
      </w:pPr>
      <w:r>
        <w:t>Source:</w:t>
      </w:r>
      <w:r>
        <w:tab/>
      </w:r>
      <w:r w:rsidR="00C40F63">
        <w:t>Powercor</w:t>
      </w:r>
      <w:r>
        <w:t xml:space="preserve">, </w:t>
      </w:r>
      <w:r>
        <w:rPr>
          <w:rStyle w:val="AERtextitalic"/>
        </w:rPr>
        <w:t>2016</w:t>
      </w:r>
      <w:r w:rsidR="00C40F63">
        <w:rPr>
          <w:rStyle w:val="AERtextitalic"/>
        </w:rPr>
        <w:t xml:space="preserve"> pricing proposal</w:t>
      </w:r>
      <w:r>
        <w:t xml:space="preserve">, </w:t>
      </w:r>
      <w:r w:rsidR="00C40F63">
        <w:t>19 November</w:t>
      </w:r>
      <w:r>
        <w:t xml:space="preserve"> 2015, p. </w:t>
      </w:r>
      <w:r w:rsidR="00C40F63">
        <w:t>85</w:t>
      </w:r>
      <w:r>
        <w:t>.</w:t>
      </w:r>
    </w:p>
    <w:p w:rsidR="00132D43" w:rsidRDefault="008D1822" w:rsidP="00132D43">
      <w:pPr>
        <w:pStyle w:val="Heading7"/>
      </w:pPr>
      <w:bookmarkStart w:id="128" w:name="_Ref447892027"/>
      <w:bookmarkStart w:id="129" w:name="_Toc451441241"/>
      <w:r>
        <w:lastRenderedPageBreak/>
        <w:t>Annual metering charges unders and overs account</w:t>
      </w:r>
      <w:bookmarkEnd w:id="128"/>
      <w:bookmarkEnd w:id="129"/>
    </w:p>
    <w:p w:rsidR="008D1822" w:rsidRPr="008D1822" w:rsidRDefault="008D1822" w:rsidP="008D1822">
      <w:r w:rsidRPr="008D1822">
        <w:t xml:space="preserve">To demonstrate compliance with the distribution determination applicable to it during the 2016–20 regulatory control period, </w:t>
      </w:r>
      <w:r>
        <w:t>Powe</w:t>
      </w:r>
      <w:r w:rsidR="003E7148">
        <w:t>r</w:t>
      </w:r>
      <w:r>
        <w:t>cor</w:t>
      </w:r>
      <w:r w:rsidRPr="008D1822">
        <w:t xml:space="preserve"> must maintain an annual metering charges unders and overs account in its annual pricing proposal.</w:t>
      </w:r>
    </w:p>
    <w:p w:rsidR="008D1822" w:rsidRPr="008D1822" w:rsidRDefault="008D1822" w:rsidP="008D1822">
      <w:r>
        <w:t>Powe</w:t>
      </w:r>
      <w:r w:rsidR="003E7148">
        <w:t>r</w:t>
      </w:r>
      <w:r>
        <w:t>cor</w:t>
      </w:r>
      <w:r w:rsidRPr="008D1822">
        <w:t xml:space="preserve"> must provide the amounts for the following entries in their annual metering charges unders and overs account for the most recently completed regulatory year (t–2), the current regulatory year (t–1) and the next regulatory year (t):</w:t>
      </w:r>
    </w:p>
    <w:p w:rsidR="008D1822" w:rsidRPr="008D1822" w:rsidRDefault="008D1822" w:rsidP="008D1822">
      <w:pPr>
        <w:pStyle w:val="ListNumber"/>
      </w:pPr>
      <w:r w:rsidRPr="008D1822">
        <w:t>An opening balance for year t–2, year t–1 and year t;</w:t>
      </w:r>
    </w:p>
    <w:p w:rsidR="008D1822" w:rsidRPr="008D1822" w:rsidRDefault="008D1822" w:rsidP="008D1822">
      <w:pPr>
        <w:pStyle w:val="ListNumber"/>
      </w:pPr>
      <w:r w:rsidRPr="008D1822">
        <w:t xml:space="preserve">An interest charge for one year on the opening balance for each regulatory year </w:t>
      </w:r>
      <w:r w:rsidRPr="008D1822">
        <w:tab/>
        <w:t>(t–2, t–1 and t). These adjustments are to be calculated using the respective nominal weighted average cost of capital (WACC) for each intervening year between regulatory year t–2 and year t.</w:t>
      </w:r>
      <w:r w:rsidRPr="008D1822">
        <w:rPr>
          <w:rStyle w:val="FootnoteReference"/>
        </w:rPr>
        <w:footnoteReference w:id="81"/>
      </w:r>
      <w:r w:rsidRPr="008D1822">
        <w:rPr>
          <w:rStyle w:val="FootnoteReference"/>
        </w:rPr>
        <w:t xml:space="preserve"> </w:t>
      </w:r>
      <w:r w:rsidRPr="008D1822">
        <w:t>The WACC applied for each year will be that approved by the AER for the relevant year;</w:t>
      </w:r>
    </w:p>
    <w:p w:rsidR="008D1822" w:rsidRPr="008D1822" w:rsidRDefault="008D1822" w:rsidP="008D1822">
      <w:pPr>
        <w:pStyle w:val="ListNumber"/>
      </w:pPr>
      <w:r w:rsidRPr="008D1822">
        <w:t>The amount of revenue recovered from metering charges in respect of that year, less the total annual revenue for the year in question;</w:t>
      </w:r>
    </w:p>
    <w:p w:rsidR="008D1822" w:rsidRPr="008D1822" w:rsidRDefault="008D1822" w:rsidP="008D1822">
      <w:pPr>
        <w:pStyle w:val="ListNumber"/>
      </w:pPr>
      <w:r w:rsidRPr="008D1822">
        <w:t>An adjustment to the net amount in item 3 by six months of interest. These adjustments are to be calculated using the approved nominal WACC;</w:t>
      </w:r>
    </w:p>
    <w:p w:rsidR="008D1822" w:rsidRPr="008D1822" w:rsidRDefault="008D1822" w:rsidP="008D1822">
      <w:pPr>
        <w:pStyle w:val="ListNumber"/>
      </w:pPr>
      <w:r w:rsidRPr="008D1822">
        <w:t>The total sum of items 1–4 to derive the closing balance for each year.</w:t>
      </w:r>
    </w:p>
    <w:p w:rsidR="008D1822" w:rsidRPr="008D1822" w:rsidRDefault="008D1822" w:rsidP="008D1822">
      <w:r>
        <w:t>Powe</w:t>
      </w:r>
      <w:r w:rsidR="003E7148">
        <w:t>r</w:t>
      </w:r>
      <w:r>
        <w:t>cor</w:t>
      </w:r>
      <w:r w:rsidRPr="008D1822">
        <w:t xml:space="preserve"> must provide details of calculations in the format set out in</w:t>
      </w:r>
      <w:r w:rsidR="003E7148">
        <w:t xml:space="preserve"> </w:t>
      </w:r>
      <w:r w:rsidR="003E7148">
        <w:fldChar w:fldCharType="begin"/>
      </w:r>
      <w:r w:rsidR="003E7148">
        <w:instrText xml:space="preserve"> REF  _Ref450896879 \* Lower \h </w:instrText>
      </w:r>
      <w:r w:rsidR="003E7148">
        <w:fldChar w:fldCharType="separate"/>
      </w:r>
      <w:r w:rsidR="00B1103A">
        <w:t xml:space="preserve">table </w:t>
      </w:r>
      <w:r w:rsidR="00B1103A">
        <w:rPr>
          <w:noProof/>
        </w:rPr>
        <w:t>16</w:t>
      </w:r>
      <w:r w:rsidR="00B1103A">
        <w:t>.</w:t>
      </w:r>
      <w:r w:rsidR="00B1103A">
        <w:rPr>
          <w:noProof/>
        </w:rPr>
        <w:t>15</w:t>
      </w:r>
      <w:r w:rsidR="003E7148">
        <w:fldChar w:fldCharType="end"/>
      </w:r>
      <w:r w:rsidRPr="008D1822">
        <w:t>. Amounts provided for the most recently completed regulatory year (t–2) must be audited. Amounts provided for the current regulatory year (t–1) will be regarded as an estimate. Amounts for the next regulatory year (t) will be regarded as a forecast.</w:t>
      </w:r>
    </w:p>
    <w:p w:rsidR="008D1822" w:rsidRPr="008D1822" w:rsidRDefault="008D1822" w:rsidP="008D1822">
      <w:r w:rsidRPr="008D1822">
        <w:t xml:space="preserve">In proposing variations to the amount and structure of annual metering charges, </w:t>
      </w:r>
      <w:r>
        <w:t>Powe</w:t>
      </w:r>
      <w:r w:rsidR="003E7148">
        <w:t>r</w:t>
      </w:r>
      <w:r>
        <w:t>cor</w:t>
      </w:r>
      <w:r w:rsidRPr="008D1822">
        <w:t xml:space="preserve"> is expected to achieve a closing balance as close to zero as practicable in its annual metering charges unders and overs account in each forecast year in its annual pricing proposals during the 2016–20 regulatory control period.</w:t>
      </w:r>
    </w:p>
    <w:p w:rsidR="008D1822" w:rsidRDefault="008D1822" w:rsidP="00A525AD">
      <w:pPr>
        <w:pStyle w:val="Caption"/>
      </w:pPr>
      <w:bookmarkStart w:id="130" w:name="_Ref450896879"/>
      <w:r>
        <w:lastRenderedPageBreak/>
        <w:t xml:space="preserve">Table </w:t>
      </w:r>
      <w:r w:rsidR="00D74854">
        <w:fldChar w:fldCharType="begin"/>
      </w:r>
      <w:r w:rsidR="00D74854">
        <w:instrText xml:space="preserve"> STYLEREF 1 \s </w:instrText>
      </w:r>
      <w:r w:rsidR="00D74854">
        <w:fldChar w:fldCharType="separate"/>
      </w:r>
      <w:r w:rsidR="00B1103A">
        <w:rPr>
          <w:noProof/>
        </w:rPr>
        <w:t>16</w:t>
      </w:r>
      <w:r w:rsidR="00D74854">
        <w:rPr>
          <w:noProof/>
        </w:rPr>
        <w:fldChar w:fldCharType="end"/>
      </w:r>
      <w:r w:rsidR="00884CF6">
        <w:t>.</w:t>
      </w:r>
      <w:r w:rsidR="008572AB">
        <w:fldChar w:fldCharType="begin"/>
      </w:r>
      <w:r w:rsidR="008572AB">
        <w:instrText xml:space="preserve"> SEQ Table \* ARABIC \s 1 </w:instrText>
      </w:r>
      <w:r w:rsidR="008572AB">
        <w:fldChar w:fldCharType="separate"/>
      </w:r>
      <w:r w:rsidR="00B1103A">
        <w:rPr>
          <w:noProof/>
        </w:rPr>
        <w:t>15</w:t>
      </w:r>
      <w:r w:rsidR="008572AB">
        <w:rPr>
          <w:noProof/>
        </w:rPr>
        <w:fldChar w:fldCharType="end"/>
      </w:r>
      <w:bookmarkEnd w:id="130"/>
      <w:r>
        <w:tab/>
        <w:t>Example calculation of annual metering charges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8D1822" w:rsidRPr="00BB0F3C" w:rsidTr="00614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D1822" w:rsidRPr="006029A6" w:rsidRDefault="008D1822" w:rsidP="00297833">
            <w:pPr>
              <w:keepNext/>
            </w:pPr>
          </w:p>
        </w:tc>
        <w:tc>
          <w:tcPr>
            <w:tcW w:w="1113" w:type="dxa"/>
          </w:tcPr>
          <w:p w:rsidR="008D1822" w:rsidRPr="008D1822" w:rsidRDefault="008D1822" w:rsidP="00297833">
            <w:pPr>
              <w:keepNext/>
              <w:cnfStyle w:val="100000000000" w:firstRow="1" w:lastRow="0" w:firstColumn="0" w:lastColumn="0" w:oddVBand="0" w:evenVBand="0" w:oddHBand="0" w:evenHBand="0" w:firstRowFirstColumn="0" w:firstRowLastColumn="0" w:lastRowFirstColumn="0" w:lastRowLastColumn="0"/>
            </w:pPr>
            <w:r w:rsidRPr="006029A6">
              <w:t>Year t–2</w:t>
            </w:r>
          </w:p>
          <w:p w:rsidR="008D1822" w:rsidRPr="008D1822" w:rsidRDefault="008D1822" w:rsidP="00297833">
            <w:pPr>
              <w:keepNext/>
              <w:cnfStyle w:val="100000000000" w:firstRow="1" w:lastRow="0" w:firstColumn="0" w:lastColumn="0" w:oddVBand="0" w:evenVBand="0" w:oddHBand="0" w:evenHBand="0" w:firstRowFirstColumn="0" w:firstRowLastColumn="0" w:lastRowFirstColumn="0" w:lastRowLastColumn="0"/>
            </w:pPr>
            <w:r w:rsidRPr="006029A6">
              <w:t>(actual)</w:t>
            </w:r>
          </w:p>
        </w:tc>
        <w:tc>
          <w:tcPr>
            <w:tcW w:w="1113" w:type="dxa"/>
          </w:tcPr>
          <w:p w:rsidR="008D1822" w:rsidRPr="008D1822" w:rsidRDefault="008D1822" w:rsidP="00297833">
            <w:pPr>
              <w:keepNext/>
              <w:cnfStyle w:val="100000000000" w:firstRow="1" w:lastRow="0" w:firstColumn="0" w:lastColumn="0" w:oddVBand="0" w:evenVBand="0" w:oddHBand="0" w:evenHBand="0" w:firstRowFirstColumn="0" w:firstRowLastColumn="0" w:lastRowFirstColumn="0" w:lastRowLastColumn="0"/>
            </w:pPr>
            <w:r w:rsidRPr="006029A6">
              <w:t>Year t–1</w:t>
            </w:r>
          </w:p>
          <w:p w:rsidR="008D1822" w:rsidRPr="008D1822" w:rsidRDefault="008D1822" w:rsidP="00297833">
            <w:pPr>
              <w:keepNext/>
              <w:cnfStyle w:val="100000000000" w:firstRow="1" w:lastRow="0" w:firstColumn="0" w:lastColumn="0" w:oddVBand="0" w:evenVBand="0" w:oddHBand="0" w:evenHBand="0" w:firstRowFirstColumn="0" w:firstRowLastColumn="0" w:lastRowFirstColumn="0" w:lastRowLastColumn="0"/>
            </w:pPr>
            <w:r w:rsidRPr="006029A6">
              <w:t>(estimate)</w:t>
            </w:r>
          </w:p>
        </w:tc>
        <w:tc>
          <w:tcPr>
            <w:tcW w:w="1114" w:type="dxa"/>
          </w:tcPr>
          <w:p w:rsidR="008D1822" w:rsidRPr="008D1822" w:rsidRDefault="008D1822" w:rsidP="00297833">
            <w:pPr>
              <w:keepNext/>
              <w:cnfStyle w:val="100000000000" w:firstRow="1" w:lastRow="0" w:firstColumn="0" w:lastColumn="0" w:oddVBand="0" w:evenVBand="0" w:oddHBand="0" w:evenHBand="0" w:firstRowFirstColumn="0" w:firstRowLastColumn="0" w:lastRowFirstColumn="0" w:lastRowLastColumn="0"/>
            </w:pPr>
            <w:r w:rsidRPr="006029A6">
              <w:t>Year t</w:t>
            </w:r>
          </w:p>
          <w:p w:rsidR="008D1822" w:rsidRPr="008D1822" w:rsidRDefault="008D1822" w:rsidP="00297833">
            <w:pPr>
              <w:keepNext/>
              <w:cnfStyle w:val="100000000000" w:firstRow="1" w:lastRow="0" w:firstColumn="0" w:lastColumn="0" w:oddVBand="0" w:evenVBand="0" w:oddHBand="0" w:evenHBand="0" w:firstRowFirstColumn="0" w:firstRowLastColumn="0" w:lastRowFirstColumn="0" w:lastRowLastColumn="0"/>
            </w:pPr>
            <w:r w:rsidRPr="006029A6">
              <w:t>(forecast)</w:t>
            </w:r>
          </w:p>
        </w:tc>
      </w:tr>
      <w:tr w:rsidR="008D1822" w:rsidRPr="00BB0F3C" w:rsidTr="00614F31">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rPr>
                <w:rStyle w:val="Strong"/>
                <w:b w:val="0"/>
                <w:color w:val="FFFFFF"/>
              </w:rPr>
            </w:pPr>
            <w:r w:rsidRPr="006029A6">
              <w:rPr>
                <w:rStyle w:val="Strong"/>
              </w:rPr>
              <w:t>(A) Revenue from</w:t>
            </w:r>
            <w:r w:rsidRPr="008D1822">
              <w:rPr>
                <w:rStyle w:val="Strong"/>
              </w:rPr>
              <w:t xml:space="preserve"> annual metering charges</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8</w:t>
            </w:r>
            <w:r w:rsidRPr="008D1822">
              <w:rPr>
                <w:rStyle w:val="Strong"/>
              </w:rPr>
              <w:t xml:space="preserve"> 449</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7 389</w:t>
            </w:r>
          </w:p>
        </w:tc>
        <w:tc>
          <w:tcPr>
            <w:tcW w:w="1114" w:type="dxa"/>
          </w:tcPr>
          <w:p w:rsidR="008D1822" w:rsidRPr="008D1822" w:rsidRDefault="003E7148" w:rsidP="00297833">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6 460</w:t>
            </w:r>
          </w:p>
        </w:tc>
      </w:tr>
      <w:tr w:rsidR="008D1822" w:rsidRPr="00BB0F3C" w:rsidTr="00614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rPr>
                <w:rStyle w:val="Strong"/>
              </w:rPr>
            </w:pPr>
            <w:r w:rsidRPr="006029A6">
              <w:rPr>
                <w:rStyle w:val="Strong"/>
              </w:rPr>
              <w:t>(B) Less TAR</w:t>
            </w:r>
            <w:r w:rsidRPr="008D1822">
              <w:rPr>
                <w:rStyle w:val="Strong"/>
              </w:rPr>
              <w:t>M for regulatory year =</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7</w:t>
            </w:r>
            <w:r w:rsidRPr="008D1822">
              <w:rPr>
                <w:rStyle w:val="Strong"/>
              </w:rPr>
              <w:t xml:space="preserve"> 366</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7 422</w:t>
            </w:r>
          </w:p>
        </w:tc>
        <w:tc>
          <w:tcPr>
            <w:tcW w:w="1114"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7 573</w:t>
            </w:r>
          </w:p>
        </w:tc>
      </w:tr>
      <w:tr w:rsidR="008D1822" w:rsidRPr="00BB0F3C" w:rsidTr="00614F31">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pStyle w:val="ListContinue"/>
              <w:keepNext/>
            </w:pPr>
            <w:r w:rsidRPr="006029A6">
              <w:t xml:space="preserve">+ </w:t>
            </w:r>
            <w:r w:rsidRPr="008D1822">
              <w:t>Annual revenue requirement (AR</w:t>
            </w:r>
            <w:r w:rsidRPr="008D1822">
              <w:rPr>
                <w:rStyle w:val="AERsubscript"/>
              </w:rPr>
              <w:t>t</w:t>
            </w:r>
            <w:r w:rsidRPr="008D1822">
              <w:t>)</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t>7</w:t>
            </w:r>
            <w:r w:rsidRPr="008D1822">
              <w:t xml:space="preserve"> 349</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t>7 412</w:t>
            </w:r>
          </w:p>
        </w:tc>
        <w:tc>
          <w:tcPr>
            <w:tcW w:w="1114"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t>7 559</w:t>
            </w:r>
          </w:p>
        </w:tc>
      </w:tr>
      <w:tr w:rsidR="008D1822" w:rsidRPr="00BB0F3C" w:rsidTr="00614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pStyle w:val="ListContinue"/>
              <w:keepNext/>
            </w:pPr>
            <w:r w:rsidRPr="006029A6">
              <w:t xml:space="preserve">+ </w:t>
            </w:r>
            <w:r w:rsidRPr="008D1822">
              <w:t>T factor (T</w:t>
            </w:r>
            <w:r w:rsidRPr="008D1822">
              <w:rPr>
                <w:rStyle w:val="AERsubscript"/>
              </w:rPr>
              <w:t>t</w:t>
            </w:r>
            <w:r w:rsidRPr="008D1822">
              <w:t>) – true</w:t>
            </w:r>
            <w:r w:rsidRPr="008D1822">
              <w:noBreakHyphen/>
              <w:t xml:space="preserve">ups relating to the AMI–Order in Council  </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t>17</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rsidRPr="006029A6">
              <w:t>10</w:t>
            </w:r>
          </w:p>
        </w:tc>
        <w:tc>
          <w:tcPr>
            <w:tcW w:w="1114"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rsidRPr="006029A6">
              <w:t>14</w:t>
            </w:r>
          </w:p>
        </w:tc>
      </w:tr>
      <w:tr w:rsidR="008D1822" w:rsidRPr="00BB0F3C" w:rsidTr="00614F31">
        <w:tc>
          <w:tcPr>
            <w:cnfStyle w:val="001000000000" w:firstRow="0" w:lastRow="0" w:firstColumn="1" w:lastColumn="0" w:oddVBand="0" w:evenVBand="0" w:oddHBand="0" w:evenHBand="0" w:firstRowFirstColumn="0" w:firstRowLastColumn="0" w:lastRowFirstColumn="0" w:lastRowLastColumn="0"/>
            <w:tcW w:w="5353" w:type="dxa"/>
          </w:tcPr>
          <w:p w:rsidR="008D1822" w:rsidRPr="006029A6" w:rsidRDefault="008D1822" w:rsidP="00297833">
            <w:pPr>
              <w:keepNext/>
            </w:pPr>
          </w:p>
        </w:tc>
        <w:tc>
          <w:tcPr>
            <w:tcW w:w="1113" w:type="dxa"/>
          </w:tcPr>
          <w:p w:rsidR="008D1822" w:rsidRPr="006029A6" w:rsidRDefault="008D1822" w:rsidP="00297833">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8D1822" w:rsidRPr="006029A6" w:rsidRDefault="008D1822" w:rsidP="00297833">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8D1822" w:rsidRPr="006029A6" w:rsidRDefault="008D1822" w:rsidP="00297833">
            <w:pPr>
              <w:keepNext/>
              <w:cnfStyle w:val="000000000000" w:firstRow="0" w:lastRow="0" w:firstColumn="0" w:lastColumn="0" w:oddVBand="0" w:evenVBand="0" w:oddHBand="0" w:evenHBand="0" w:firstRowFirstColumn="0" w:firstRowLastColumn="0" w:lastRowFirstColumn="0" w:lastRowLastColumn="0"/>
            </w:pPr>
          </w:p>
        </w:tc>
      </w:tr>
      <w:tr w:rsidR="008D1822" w:rsidRPr="00BB0F3C" w:rsidTr="00614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rPr>
                <w:rStyle w:val="Strong"/>
              </w:rPr>
            </w:pPr>
            <w:r w:rsidRPr="006029A6">
              <w:rPr>
                <w:rStyle w:val="Strong"/>
              </w:rPr>
              <w:t xml:space="preserve">(A minus B) Under/over recovery of </w:t>
            </w:r>
            <w:r w:rsidRPr="008D1822">
              <w:rPr>
                <w:rStyle w:val="Strong"/>
              </w:rPr>
              <w:t>revenue for regulatory year</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1 083</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w:t>
            </w:r>
            <w:r w:rsidRPr="008D1822">
              <w:rPr>
                <w:rStyle w:val="Strong"/>
              </w:rPr>
              <w:t>33</w:t>
            </w:r>
          </w:p>
        </w:tc>
        <w:tc>
          <w:tcPr>
            <w:tcW w:w="1114"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w:t>
            </w:r>
            <w:r w:rsidRPr="008D1822">
              <w:rPr>
                <w:rStyle w:val="Strong"/>
              </w:rPr>
              <w:t>1 113</w:t>
            </w:r>
            <w:r w:rsidRPr="008D1822">
              <w:rPr>
                <w:rStyle w:val="AERsuperscript"/>
              </w:rPr>
              <w:t>a</w:t>
            </w:r>
          </w:p>
        </w:tc>
      </w:tr>
      <w:tr w:rsidR="008D1822" w:rsidRPr="00BB0F3C" w:rsidTr="00614F31">
        <w:tc>
          <w:tcPr>
            <w:cnfStyle w:val="001000000000" w:firstRow="0" w:lastRow="0" w:firstColumn="1" w:lastColumn="0" w:oddVBand="0" w:evenVBand="0" w:oddHBand="0" w:evenHBand="0" w:firstRowFirstColumn="0" w:firstRowLastColumn="0" w:lastRowFirstColumn="0" w:lastRowLastColumn="0"/>
            <w:tcW w:w="5353" w:type="dxa"/>
          </w:tcPr>
          <w:p w:rsidR="008D1822" w:rsidRPr="006029A6" w:rsidRDefault="008D1822" w:rsidP="00297833">
            <w:pPr>
              <w:keepNext/>
            </w:pPr>
          </w:p>
        </w:tc>
        <w:tc>
          <w:tcPr>
            <w:tcW w:w="1113" w:type="dxa"/>
          </w:tcPr>
          <w:p w:rsidR="008D1822" w:rsidRPr="006029A6" w:rsidRDefault="008D1822" w:rsidP="00297833">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8D1822" w:rsidRPr="006029A6" w:rsidRDefault="008D1822" w:rsidP="00297833">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8D1822" w:rsidRPr="006029A6" w:rsidRDefault="008D1822" w:rsidP="00297833">
            <w:pPr>
              <w:keepNext/>
              <w:cnfStyle w:val="000000000000" w:firstRow="0" w:lastRow="0" w:firstColumn="0" w:lastColumn="0" w:oddVBand="0" w:evenVBand="0" w:oddHBand="0" w:evenHBand="0" w:firstRowFirstColumn="0" w:firstRowLastColumn="0" w:lastRowFirstColumn="0" w:lastRowLastColumn="0"/>
            </w:pPr>
          </w:p>
        </w:tc>
      </w:tr>
      <w:tr w:rsidR="008D1822" w:rsidRPr="00BB0F3C" w:rsidTr="00614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rPr>
                <w:rStyle w:val="AERtextbolditalics"/>
              </w:rPr>
            </w:pPr>
            <w:r>
              <w:rPr>
                <w:rStyle w:val="AERtextbolditalics"/>
              </w:rPr>
              <w:t xml:space="preserve">Annual metering charges </w:t>
            </w:r>
            <w:r w:rsidRPr="008D1822">
              <w:rPr>
                <w:rStyle w:val="AERtextbolditalics"/>
              </w:rPr>
              <w:t>unders and overs account</w:t>
            </w:r>
          </w:p>
        </w:tc>
        <w:tc>
          <w:tcPr>
            <w:tcW w:w="1113" w:type="dxa"/>
          </w:tcPr>
          <w:p w:rsidR="008D1822" w:rsidRPr="006029A6" w:rsidRDefault="008D1822" w:rsidP="00297833">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8D1822" w:rsidRPr="006029A6" w:rsidRDefault="008D1822" w:rsidP="00297833">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8D1822" w:rsidRPr="006029A6" w:rsidRDefault="008D1822" w:rsidP="00297833">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8D1822" w:rsidRPr="00BB0F3C" w:rsidTr="00614F31">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pPr>
            <w:r w:rsidRPr="006029A6">
              <w:t>Nominal WACC (per cent)</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rsidRPr="006029A6">
              <w:t>5.00%</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rsidRPr="006029A6">
              <w:t>5.50%</w:t>
            </w:r>
          </w:p>
        </w:tc>
        <w:tc>
          <w:tcPr>
            <w:tcW w:w="1114"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rsidRPr="006029A6">
              <w:t>6.00%</w:t>
            </w:r>
          </w:p>
        </w:tc>
      </w:tr>
      <w:tr w:rsidR="008D1822" w:rsidRPr="00BB0F3C" w:rsidTr="00614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pPr>
            <w:r w:rsidRPr="006029A6">
              <w:t>Opening balance</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t>–50</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t>1 057</w:t>
            </w:r>
            <w:r w:rsidRPr="008D1822">
              <w:rPr>
                <w:rStyle w:val="AERsuperscript"/>
              </w:rPr>
              <w:t>b</w:t>
            </w:r>
          </w:p>
        </w:tc>
        <w:tc>
          <w:tcPr>
            <w:tcW w:w="1114"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t>1 081</w:t>
            </w:r>
          </w:p>
        </w:tc>
      </w:tr>
      <w:tr w:rsidR="008D1822" w:rsidRPr="00BB0F3C" w:rsidTr="00614F31">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pPr>
            <w:r w:rsidRPr="006029A6">
              <w:t>Interest on opening balance</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t>–3</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t>58</w:t>
            </w:r>
          </w:p>
        </w:tc>
        <w:tc>
          <w:tcPr>
            <w:tcW w:w="1114"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t>65</w:t>
            </w:r>
          </w:p>
        </w:tc>
      </w:tr>
      <w:tr w:rsidR="008D1822" w:rsidRPr="00BB0F3C" w:rsidTr="00614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pPr>
            <w:r w:rsidRPr="006029A6">
              <w:t>Under/over recovery of revenue for regulatory year</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t>1 083</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rsidRPr="006029A6">
              <w:t>–</w:t>
            </w:r>
            <w:r w:rsidRPr="008D1822">
              <w:t>33</w:t>
            </w:r>
          </w:p>
        </w:tc>
        <w:tc>
          <w:tcPr>
            <w:tcW w:w="1114"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pPr>
            <w:r w:rsidRPr="006029A6">
              <w:t>–</w:t>
            </w:r>
            <w:r w:rsidRPr="008D1822">
              <w:t>1 113</w:t>
            </w:r>
            <w:r w:rsidRPr="008D1822">
              <w:rPr>
                <w:rStyle w:val="AERsuperscript"/>
              </w:rPr>
              <w:t>b</w:t>
            </w:r>
          </w:p>
        </w:tc>
      </w:tr>
      <w:tr w:rsidR="008D1822" w:rsidRPr="00BB0F3C" w:rsidTr="00614F31">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pPr>
            <w:r w:rsidRPr="006029A6">
              <w:t>Interest on under/over recovery for regulatory year</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t>27</w:t>
            </w:r>
          </w:p>
        </w:tc>
        <w:tc>
          <w:tcPr>
            <w:tcW w:w="1113"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t>–</w:t>
            </w:r>
            <w:r w:rsidRPr="008D1822">
              <w:t>1</w:t>
            </w:r>
          </w:p>
        </w:tc>
        <w:tc>
          <w:tcPr>
            <w:tcW w:w="1114" w:type="dxa"/>
          </w:tcPr>
          <w:p w:rsidR="008D1822" w:rsidRPr="008D1822" w:rsidRDefault="008D1822" w:rsidP="00297833">
            <w:pPr>
              <w:keepNext/>
              <w:cnfStyle w:val="000000000000" w:firstRow="0" w:lastRow="0" w:firstColumn="0" w:lastColumn="0" w:oddVBand="0" w:evenVBand="0" w:oddHBand="0" w:evenHBand="0" w:firstRowFirstColumn="0" w:firstRowLastColumn="0" w:lastRowFirstColumn="0" w:lastRowLastColumn="0"/>
            </w:pPr>
            <w:r w:rsidRPr="006029A6">
              <w:t>–</w:t>
            </w:r>
            <w:r w:rsidRPr="008D1822">
              <w:t>33</w:t>
            </w:r>
          </w:p>
        </w:tc>
      </w:tr>
      <w:tr w:rsidR="008D1822" w:rsidRPr="008D01F6" w:rsidTr="00614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D1822" w:rsidRPr="008D1822" w:rsidRDefault="008D1822" w:rsidP="00297833">
            <w:pPr>
              <w:keepNext/>
              <w:rPr>
                <w:rStyle w:val="Strong"/>
              </w:rPr>
            </w:pPr>
            <w:r w:rsidRPr="006029A6">
              <w:rPr>
                <w:rStyle w:val="Strong"/>
              </w:rPr>
              <w:t>Closing balance</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1 057</w:t>
            </w:r>
          </w:p>
        </w:tc>
        <w:tc>
          <w:tcPr>
            <w:tcW w:w="1113"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1 081</w:t>
            </w:r>
          </w:p>
        </w:tc>
        <w:tc>
          <w:tcPr>
            <w:tcW w:w="1114" w:type="dxa"/>
          </w:tcPr>
          <w:p w:rsidR="008D1822" w:rsidRPr="008D1822" w:rsidRDefault="008D1822" w:rsidP="00297833">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0</w:t>
            </w:r>
            <w:r w:rsidRPr="008D1822">
              <w:rPr>
                <w:rStyle w:val="AERsuperscript"/>
              </w:rPr>
              <w:t>c</w:t>
            </w:r>
          </w:p>
        </w:tc>
      </w:tr>
    </w:tbl>
    <w:p w:rsidR="008D1822" w:rsidRDefault="003E7148" w:rsidP="00297833">
      <w:pPr>
        <w:pStyle w:val="AERtablesource"/>
        <w:keepNext/>
      </w:pPr>
      <w:r>
        <w:t>Notes:</w:t>
      </w:r>
      <w:r>
        <w:tab/>
        <w:t>(a) Approved annual metering charges</w:t>
      </w:r>
      <w:r w:rsidR="008D1822" w:rsidRPr="00E513D0">
        <w:t xml:space="preserve"> revenue under/over recovery for regulatory year t.</w:t>
      </w:r>
      <w:r w:rsidR="008D1822">
        <w:t xml:space="preserve"> This is the </w:t>
      </w:r>
      <w:r w:rsidR="008D1822" w:rsidRPr="009005B0">
        <w:t>B</w:t>
      </w:r>
      <w:r w:rsidR="008D1822" w:rsidRPr="009005B0">
        <w:rPr>
          <w:rStyle w:val="AERsubscript"/>
        </w:rPr>
        <w:t>t</w:t>
      </w:r>
      <w:r w:rsidR="008D1822" w:rsidRPr="009005B0">
        <w:t xml:space="preserve"> parameter </w:t>
      </w:r>
      <w:r w:rsidR="008D1822">
        <w:t>in the</w:t>
      </w:r>
      <w:r w:rsidR="008D1822" w:rsidRPr="006D5329">
        <w:t xml:space="preserve"> </w:t>
      </w:r>
      <w:r w:rsidR="008D1822">
        <w:t>a</w:t>
      </w:r>
      <w:r w:rsidR="008D1822" w:rsidRPr="006D5329">
        <w:t>nnual metering charges revenue cap formula</w:t>
      </w:r>
      <w:r w:rsidR="008D1822">
        <w:t>.</w:t>
      </w:r>
    </w:p>
    <w:p w:rsidR="008D1822" w:rsidRPr="00E513D0" w:rsidRDefault="008D1822" w:rsidP="00297833">
      <w:pPr>
        <w:pStyle w:val="AERtablesource"/>
        <w:keepNext/>
      </w:pPr>
      <w:r>
        <w:t xml:space="preserve"> </w:t>
      </w:r>
      <w:r>
        <w:tab/>
        <w:t>(b) Opening balance is the previous year's closing balance.</w:t>
      </w:r>
    </w:p>
    <w:p w:rsidR="008D1822" w:rsidRPr="00E513D0" w:rsidRDefault="008D1822" w:rsidP="00297833">
      <w:pPr>
        <w:pStyle w:val="AERtablesource"/>
        <w:keepNext/>
      </w:pPr>
      <w:r>
        <w:tab/>
        <w:t>(c</w:t>
      </w:r>
      <w:r w:rsidRPr="00E513D0">
        <w:t xml:space="preserve">) </w:t>
      </w:r>
      <w:r>
        <w:t>Powercor</w:t>
      </w:r>
      <w:r w:rsidRPr="00E513D0">
        <w:t xml:space="preserve"> is expected to achieve a closing balance as close to</w:t>
      </w:r>
      <w:r>
        <w:t xml:space="preserve"> zero as practicable in its annual metering charges</w:t>
      </w:r>
      <w:r w:rsidRPr="00E513D0">
        <w:t xml:space="preserve"> unders and overs account in each forecast year in its annual pricing proposals in the 2016–20 regulatory control period. </w:t>
      </w:r>
    </w:p>
    <w:p w:rsidR="008D1822" w:rsidRPr="008D1822" w:rsidRDefault="008D1822" w:rsidP="008D1822"/>
    <w:sectPr w:rsidR="008D1822" w:rsidRPr="008D1822" w:rsidSect="00CF42AA">
      <w:headerReference w:type="default" r:id="rId76"/>
      <w:footerReference w:type="even" r:id="rId77"/>
      <w:footerReference w:type="first" r:id="rId7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25" w:rsidRPr="00290C63" w:rsidRDefault="00E21125" w:rsidP="00290C63">
      <w:r>
        <w:separator/>
      </w:r>
    </w:p>
    <w:p w:rsidR="00E21125" w:rsidRDefault="00E21125"/>
  </w:endnote>
  <w:endnote w:type="continuationSeparator" w:id="0">
    <w:p w:rsidR="00E21125" w:rsidRPr="00290C63" w:rsidRDefault="00E21125" w:rsidP="00290C63">
      <w:r>
        <w:continuationSeparator/>
      </w:r>
    </w:p>
    <w:p w:rsidR="00E21125" w:rsidRDefault="00E2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25" w:rsidRPr="00290C63" w:rsidRDefault="00E2112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21125" w:rsidRDefault="00E21125"/>
  <w:p w:rsidR="00E21125" w:rsidRDefault="00E21125"/>
  <w:p w:rsidR="00E21125" w:rsidRDefault="00E21125"/>
  <w:p w:rsidR="00E21125" w:rsidRDefault="00E21125"/>
  <w:p w:rsidR="00E21125" w:rsidRDefault="00E21125"/>
  <w:p w:rsidR="00E21125" w:rsidRDefault="00E21125"/>
  <w:p w:rsidR="00E21125" w:rsidRDefault="00E211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21125" w:rsidRPr="009B6F84" w:rsidRDefault="00E21125">
        <w:pPr>
          <w:pStyle w:val="Footer"/>
          <w:rPr>
            <w:sz w:val="20"/>
          </w:rPr>
        </w:pPr>
        <w:r>
          <w:fldChar w:fldCharType="begin"/>
        </w:r>
        <w:r>
          <w:instrText xml:space="preserve"> PAGE   \* MERGEFORMAT </w:instrText>
        </w:r>
        <w:r>
          <w:fldChar w:fldCharType="separate"/>
        </w:r>
        <w:r w:rsidR="00D74854">
          <w:rPr>
            <w:noProof/>
          </w:rPr>
          <w:t>16-40</w:t>
        </w:r>
        <w:r>
          <w:rPr>
            <w:noProof/>
          </w:rPr>
          <w:fldChar w:fldCharType="end"/>
        </w:r>
        <w:r>
          <w:rPr>
            <w:noProof/>
          </w:rPr>
          <w:t xml:space="preserve">  </w:t>
        </w:r>
        <w:r>
          <w:t>Attachment 16 – Alternative control services</w:t>
        </w:r>
        <w:r w:rsidRPr="004523B2">
          <w:t xml:space="preserve">| </w:t>
        </w:r>
        <w:r>
          <w:t>Powercor distribution determination final decision</w:t>
        </w:r>
        <w:r w:rsidRPr="004523B2">
          <w:t xml:space="preserve"> 201</w:t>
        </w:r>
        <w:r>
          <w:t>6</w:t>
        </w:r>
        <w:r w:rsidRPr="004523B2">
          <w:t>–</w:t>
        </w:r>
        <w:r>
          <w:t>20</w:t>
        </w:r>
      </w:p>
    </w:sdtContent>
  </w:sdt>
  <w:p w:rsidR="00E21125" w:rsidRDefault="00E21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25" w:rsidRPr="00290C63" w:rsidRDefault="00E2112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21125" w:rsidRDefault="00E21125">
    <w:pPr>
      <w:pStyle w:val="Footer"/>
    </w:pPr>
  </w:p>
  <w:p w:rsidR="00E21125" w:rsidRDefault="00E21125"/>
  <w:p w:rsidR="00E21125" w:rsidRDefault="00E21125"/>
  <w:p w:rsidR="00E21125" w:rsidRDefault="00E21125"/>
  <w:p w:rsidR="00E21125" w:rsidRDefault="00E21125"/>
  <w:p w:rsidR="00E21125" w:rsidRDefault="00E21125"/>
  <w:p w:rsidR="00E21125" w:rsidRDefault="00E21125"/>
  <w:p w:rsidR="00E21125" w:rsidRDefault="00E211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25" w:rsidRPr="00290C63" w:rsidRDefault="00E2112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21125" w:rsidRDefault="00E21125"/>
  <w:p w:rsidR="00E21125" w:rsidRDefault="00E21125"/>
  <w:p w:rsidR="00E21125" w:rsidRDefault="00E21125"/>
  <w:p w:rsidR="00E21125" w:rsidRDefault="00E21125"/>
  <w:p w:rsidR="00E21125" w:rsidRDefault="00E21125"/>
  <w:p w:rsidR="00E21125" w:rsidRDefault="00E21125"/>
  <w:p w:rsidR="00E21125" w:rsidRDefault="00E211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25" w:rsidRPr="00290C63" w:rsidRDefault="00E2112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21125" w:rsidRDefault="00E21125">
    <w:pPr>
      <w:pStyle w:val="Footer"/>
    </w:pPr>
  </w:p>
  <w:p w:rsidR="00E21125" w:rsidRDefault="00E21125"/>
  <w:p w:rsidR="00E21125" w:rsidRDefault="00E21125"/>
  <w:p w:rsidR="00E21125" w:rsidRDefault="00E21125"/>
  <w:p w:rsidR="00E21125" w:rsidRDefault="00E21125"/>
  <w:p w:rsidR="00E21125" w:rsidRDefault="00E21125"/>
  <w:p w:rsidR="00E21125" w:rsidRDefault="00E21125"/>
  <w:p w:rsidR="00E21125" w:rsidRDefault="00E211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25" w:rsidRPr="00290C63" w:rsidRDefault="00E21125" w:rsidP="00290C63">
      <w:r>
        <w:separator/>
      </w:r>
    </w:p>
    <w:p w:rsidR="00E21125" w:rsidRDefault="00E21125"/>
  </w:footnote>
  <w:footnote w:type="continuationSeparator" w:id="0">
    <w:p w:rsidR="00E21125" w:rsidRPr="00290C63" w:rsidRDefault="00E21125" w:rsidP="00290C63">
      <w:r>
        <w:continuationSeparator/>
      </w:r>
    </w:p>
    <w:p w:rsidR="00E21125" w:rsidRDefault="00E21125"/>
  </w:footnote>
  <w:footnote w:id="1">
    <w:p w:rsidR="00E21125" w:rsidRDefault="00E21125" w:rsidP="0007340D">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2">
    <w:p w:rsidR="00E21125" w:rsidRDefault="00E21125" w:rsidP="0007340D">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3">
    <w:p w:rsidR="00E21125" w:rsidRDefault="00E21125" w:rsidP="0007340D">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4">
    <w:p w:rsidR="00E21125" w:rsidRDefault="00E21125">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Powercor</w:t>
      </w:r>
      <w:r w:rsidRPr="00B06293">
        <w:rPr>
          <w:rStyle w:val="AERtextitalic"/>
        </w:rPr>
        <w:t xml:space="preserve"> distribution determination 2016 to 20</w:t>
      </w:r>
      <w:r>
        <w:rPr>
          <w:rStyle w:val="AERtextitalic"/>
        </w:rPr>
        <w:t>20</w:t>
      </w:r>
      <w:r w:rsidRPr="00B06293">
        <w:rPr>
          <w:rStyle w:val="AERtextitalic"/>
        </w:rPr>
        <w:t>: Attachment 16: Alternative control services</w:t>
      </w:r>
      <w:r>
        <w:t>, October</w:t>
      </w:r>
      <w:r w:rsidRPr="00D62981">
        <w:t xml:space="preserve"> 201</w:t>
      </w:r>
      <w:r>
        <w:t>5, pp. 45–46.</w:t>
      </w:r>
    </w:p>
  </w:footnote>
  <w:footnote w:id="5">
    <w:p w:rsidR="00E21125" w:rsidRDefault="00E21125">
      <w:pPr>
        <w:pStyle w:val="FootnoteText"/>
      </w:pPr>
      <w:r>
        <w:rPr>
          <w:rStyle w:val="FootnoteReference"/>
        </w:rPr>
        <w:footnoteRef/>
      </w:r>
      <w:r>
        <w:t xml:space="preserve"> </w:t>
      </w:r>
      <w:r>
        <w:tab/>
        <w:t xml:space="preserve">Powercor, </w:t>
      </w:r>
      <w:r w:rsidRPr="002357C1">
        <w:rPr>
          <w:rStyle w:val="AERtextitalic"/>
        </w:rPr>
        <w:t>Powercor 2016 pricing proposal</w:t>
      </w:r>
      <w:r>
        <w:t>, December 2016.</w:t>
      </w:r>
    </w:p>
  </w:footnote>
  <w:footnote w:id="6">
    <w:p w:rsidR="00E21125" w:rsidRDefault="00E21125">
      <w:pPr>
        <w:pStyle w:val="FootnoteText"/>
      </w:pPr>
      <w:r>
        <w:rPr>
          <w:rStyle w:val="FootnoteReference"/>
        </w:rPr>
        <w:footnoteRef/>
      </w:r>
      <w:r>
        <w:t xml:space="preserve"> </w:t>
      </w:r>
      <w:r>
        <w:tab/>
        <w:t xml:space="preserve">Powercor, </w:t>
      </w:r>
      <w:r w:rsidRPr="002357C1">
        <w:rPr>
          <w:rStyle w:val="AERtextitalic"/>
        </w:rPr>
        <w:t>Powercor 2016 pricing proposal</w:t>
      </w:r>
      <w:r>
        <w:t>, December 2016, pp. 73–85.</w:t>
      </w:r>
    </w:p>
  </w:footnote>
  <w:footnote w:id="7">
    <w:p w:rsidR="00E21125" w:rsidRDefault="00E21125" w:rsidP="0064295F">
      <w:pPr>
        <w:pStyle w:val="FootnoteText"/>
      </w:pPr>
      <w:r>
        <w:rPr>
          <w:rStyle w:val="FootnoteReference"/>
        </w:rPr>
        <w:footnoteRef/>
      </w:r>
      <w:r>
        <w:t xml:space="preserve"> </w:t>
      </w:r>
      <w:r>
        <w:tab/>
        <w:t xml:space="preserve">Email to AER from CitiPower and Powercor titled: </w:t>
      </w:r>
      <w:r w:rsidRPr="00370301">
        <w:rPr>
          <w:rStyle w:val="AERtextitalic"/>
        </w:rPr>
        <w:t>Revised 2016 pricing proposals – CitiPower &amp; Powercor</w:t>
      </w:r>
      <w:r>
        <w:t>, 9 December 2015</w:t>
      </w:r>
    </w:p>
  </w:footnote>
  <w:footnote w:id="8">
    <w:p w:rsidR="00E21125" w:rsidRDefault="00E21125" w:rsidP="00091B2E">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92–93.</w:t>
      </w:r>
    </w:p>
  </w:footnote>
  <w:footnote w:id="9">
    <w:p w:rsidR="00E21125" w:rsidRDefault="00E21125" w:rsidP="00091B2E">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Powercor</w:t>
      </w:r>
      <w:r w:rsidRPr="00B06293">
        <w:rPr>
          <w:rStyle w:val="AERtextitalic"/>
        </w:rPr>
        <w:t xml:space="preserve"> distribution determination 2016 to 20</w:t>
      </w:r>
      <w:r>
        <w:rPr>
          <w:rStyle w:val="AERtextitalic"/>
        </w:rPr>
        <w:t>20</w:t>
      </w:r>
      <w:r w:rsidRPr="00B06293">
        <w:rPr>
          <w:rStyle w:val="AERtextitalic"/>
        </w:rPr>
        <w:t>: Attachment 16</w:t>
      </w:r>
      <w:r>
        <w:rPr>
          <w:rStyle w:val="AERtextitalic"/>
        </w:rPr>
        <w:t xml:space="preserve"> –</w:t>
      </w:r>
      <w:r w:rsidRPr="00B06293">
        <w:rPr>
          <w:rStyle w:val="AERtextitalic"/>
        </w:rPr>
        <w:t xml:space="preserve"> Alternative control services</w:t>
      </w:r>
      <w:r>
        <w:t>, October</w:t>
      </w:r>
      <w:r w:rsidRPr="00D62981">
        <w:t xml:space="preserve"> 201</w:t>
      </w:r>
      <w:r>
        <w:t>5, pp. 7–10.</w:t>
      </w:r>
    </w:p>
  </w:footnote>
  <w:footnote w:id="10">
    <w:p w:rsidR="00E21125" w:rsidRDefault="00E21125" w:rsidP="00091B2E">
      <w:pPr>
        <w:pStyle w:val="FootnoteText"/>
      </w:pPr>
      <w:r>
        <w:rPr>
          <w:rStyle w:val="FootnoteReference"/>
        </w:rPr>
        <w:footnoteRef/>
      </w:r>
      <w:r>
        <w:t xml:space="preserve"> </w:t>
      </w:r>
      <w:r>
        <w:tab/>
        <w:t xml:space="preserve">Powercor, </w:t>
      </w:r>
      <w:r w:rsidRPr="009353F2">
        <w:rPr>
          <w:rStyle w:val="AERtextitalic"/>
        </w:rPr>
        <w:t>R</w:t>
      </w:r>
      <w:r>
        <w:rPr>
          <w:rStyle w:val="AERtextitalic"/>
        </w:rPr>
        <w:t>evised r</w:t>
      </w:r>
      <w:r w:rsidRPr="009353F2">
        <w:rPr>
          <w:rStyle w:val="AERtextitalic"/>
        </w:rPr>
        <w:t>egulatory proposal</w:t>
      </w:r>
      <w:r>
        <w:rPr>
          <w:rStyle w:val="AERtextitalic"/>
        </w:rPr>
        <w:t xml:space="preserve"> 2016–20</w:t>
      </w:r>
      <w:r>
        <w:t xml:space="preserve">, 6 January 2016, pp. 425–426. (Powercor, </w:t>
      </w:r>
      <w:r w:rsidRPr="005B6161">
        <w:rPr>
          <w:rStyle w:val="AERtextitalic"/>
        </w:rPr>
        <w:t>Revised regulatory proposal</w:t>
      </w:r>
      <w:r>
        <w:t>, 6 January 2016)</w:t>
      </w:r>
    </w:p>
  </w:footnote>
  <w:footnote w:id="11">
    <w:p w:rsidR="00E21125" w:rsidRDefault="00E21125" w:rsidP="005143FD">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2">
    <w:p w:rsidR="00E21125" w:rsidRDefault="00E21125" w:rsidP="005143FD">
      <w:pPr>
        <w:pStyle w:val="FootnoteText"/>
      </w:pPr>
      <w:r>
        <w:rPr>
          <w:rStyle w:val="FootnoteReference"/>
        </w:rPr>
        <w:footnoteRef/>
      </w:r>
      <w:r>
        <w:t xml:space="preserve"> </w:t>
      </w:r>
      <w:r>
        <w:tab/>
      </w:r>
      <w:r w:rsidRPr="00653161">
        <w:t>Our final F&amp;A erroneously stated the X factor in this formula would incorporate annual adjustments for updates to the trailing cost of debt. However, we note these services do not incorporate a cost of capital and therefore the X</w:t>
      </w:r>
      <w:r>
        <w:t> </w:t>
      </w:r>
      <w:r w:rsidRPr="00653161">
        <w:t xml:space="preserve">factors will not be applied in this manner. Rather, consistent with the price caps applied to these services in other jurisdictions, the X factors will adjust for annual labour price growth as set out in </w:t>
      </w:r>
      <w:r>
        <w:fldChar w:fldCharType="begin"/>
      </w:r>
      <w:r>
        <w:instrText xml:space="preserve"> REF _Ref430936816 \h </w:instrText>
      </w:r>
      <w:r>
        <w:fldChar w:fldCharType="separate"/>
      </w:r>
      <w:r>
        <w:t xml:space="preserve">Table </w:t>
      </w:r>
      <w:r>
        <w:rPr>
          <w:noProof/>
        </w:rPr>
        <w:t>16</w:t>
      </w:r>
      <w:r>
        <w:t>.</w:t>
      </w:r>
      <w:r>
        <w:rPr>
          <w:noProof/>
        </w:rPr>
        <w:t>1</w:t>
      </w:r>
      <w:r>
        <w:fldChar w:fldCharType="end"/>
      </w:r>
      <w:r w:rsidRPr="00653161">
        <w:t>.</w:t>
      </w:r>
    </w:p>
  </w:footnote>
  <w:footnote w:id="13">
    <w:p w:rsidR="00E21125" w:rsidRDefault="00E21125" w:rsidP="005143FD">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89.</w:t>
      </w:r>
    </w:p>
  </w:footnote>
  <w:footnote w:id="14">
    <w:p w:rsidR="00E21125" w:rsidRDefault="00E21125" w:rsidP="005143FD">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5">
    <w:p w:rsidR="00E21125" w:rsidRDefault="00E21125" w:rsidP="005143FD">
      <w:pPr>
        <w:pStyle w:val="FootnoteText"/>
      </w:pPr>
      <w:r>
        <w:rPr>
          <w:rStyle w:val="FootnoteReference"/>
        </w:rPr>
        <w:footnoteRef/>
      </w:r>
      <w:r>
        <w:t xml:space="preserve"> </w:t>
      </w:r>
      <w:r>
        <w:tab/>
      </w:r>
      <w:r w:rsidRPr="00C52A8D">
        <w:t>The X factors applied in this formula adjust for annual labour price growth.</w:t>
      </w:r>
    </w:p>
  </w:footnote>
  <w:footnote w:id="16">
    <w:p w:rsidR="00E21125" w:rsidRDefault="00E21125" w:rsidP="00E87A52">
      <w:pPr>
        <w:pStyle w:val="FootnoteText"/>
      </w:pPr>
      <w:r>
        <w:rPr>
          <w:rStyle w:val="FootnoteReference"/>
        </w:rPr>
        <w:footnoteRef/>
      </w:r>
      <w:r>
        <w:t xml:space="preserve"> </w:t>
      </w:r>
      <w:r>
        <w:tab/>
        <w:t xml:space="preserve">Powercor, </w:t>
      </w:r>
      <w:r w:rsidRPr="009353F2">
        <w:rPr>
          <w:rStyle w:val="AERtextitalic"/>
        </w:rPr>
        <w:t>R</w:t>
      </w:r>
      <w:r>
        <w:rPr>
          <w:rStyle w:val="AERtextitalic"/>
        </w:rPr>
        <w:t>evised r</w:t>
      </w:r>
      <w:r w:rsidRPr="009353F2">
        <w:rPr>
          <w:rStyle w:val="AERtextitalic"/>
        </w:rPr>
        <w:t>egulatory proposal</w:t>
      </w:r>
      <w:r>
        <w:t>, 6 January 2016, p. 468.</w:t>
      </w:r>
    </w:p>
  </w:footnote>
  <w:footnote w:id="17">
    <w:p w:rsidR="00E21125" w:rsidRDefault="00E21125" w:rsidP="005143FD">
      <w:pPr>
        <w:pStyle w:val="FootnoteText"/>
      </w:pPr>
      <w:r>
        <w:rPr>
          <w:rStyle w:val="FootnoteReference"/>
        </w:rPr>
        <w:footnoteRef/>
      </w:r>
      <w:r>
        <w:t xml:space="preserve"> </w:t>
      </w:r>
      <w:r>
        <w:tab/>
        <w:t xml:space="preserve">Powercor, </w:t>
      </w:r>
      <w:r w:rsidRPr="009353F2">
        <w:rPr>
          <w:rStyle w:val="AERtextitalic"/>
        </w:rPr>
        <w:t>R</w:t>
      </w:r>
      <w:r>
        <w:rPr>
          <w:rStyle w:val="AERtextitalic"/>
        </w:rPr>
        <w:t>evised r</w:t>
      </w:r>
      <w:r w:rsidRPr="009353F2">
        <w:rPr>
          <w:rStyle w:val="AERtextitalic"/>
        </w:rPr>
        <w:t>egulatory proposal</w:t>
      </w:r>
      <w:r>
        <w:t>, 6 January 2016, pp. 467–472.</w:t>
      </w:r>
    </w:p>
  </w:footnote>
  <w:footnote w:id="18">
    <w:p w:rsidR="00E21125" w:rsidRDefault="00E21125" w:rsidP="005143FD">
      <w:pPr>
        <w:pStyle w:val="FootnoteText"/>
      </w:pPr>
      <w:r>
        <w:rPr>
          <w:rStyle w:val="FootnoteReference"/>
        </w:rPr>
        <w:footnoteRef/>
      </w:r>
      <w:r>
        <w:t xml:space="preserve"> </w:t>
      </w:r>
      <w:r>
        <w:tab/>
        <w:t xml:space="preserve">Powercor, </w:t>
      </w:r>
      <w:r w:rsidRPr="009353F2">
        <w:rPr>
          <w:rStyle w:val="AERtextitalic"/>
        </w:rPr>
        <w:t>R</w:t>
      </w:r>
      <w:r>
        <w:rPr>
          <w:rStyle w:val="AERtextitalic"/>
        </w:rPr>
        <w:t>evised r</w:t>
      </w:r>
      <w:r w:rsidRPr="009353F2">
        <w:rPr>
          <w:rStyle w:val="AERtextitalic"/>
        </w:rPr>
        <w:t>egulatory proposal</w:t>
      </w:r>
      <w:r>
        <w:t>, 6 January 2016, p. 468.</w:t>
      </w:r>
    </w:p>
  </w:footnote>
  <w:footnote w:id="19">
    <w:p w:rsidR="00E21125" w:rsidRDefault="00E21125" w:rsidP="00EB15C9">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20">
    <w:p w:rsidR="00E21125" w:rsidRDefault="00E21125" w:rsidP="00EB15C9">
      <w:pPr>
        <w:pStyle w:val="FootnoteText"/>
      </w:pPr>
      <w:r>
        <w:rPr>
          <w:rStyle w:val="FootnoteReference"/>
        </w:rPr>
        <w:footnoteRef/>
      </w:r>
      <w:r>
        <w:t xml:space="preserve"> </w:t>
      </w:r>
      <w:r>
        <w:tab/>
        <w:t>NEL, ss. 7A and 16.</w:t>
      </w:r>
    </w:p>
  </w:footnote>
  <w:footnote w:id="21">
    <w:p w:rsidR="00E21125" w:rsidRDefault="00E21125" w:rsidP="00D96553">
      <w:pPr>
        <w:pStyle w:val="FootnoteText"/>
      </w:pPr>
      <w:r>
        <w:rPr>
          <w:rStyle w:val="FootnoteReference"/>
        </w:rPr>
        <w:footnoteRef/>
      </w:r>
      <w:r>
        <w:t xml:space="preserve"> </w:t>
      </w:r>
      <w:r>
        <w:tab/>
        <w:t xml:space="preserve">Powercor, </w:t>
      </w:r>
      <w:r w:rsidRPr="009353F2">
        <w:rPr>
          <w:rStyle w:val="AERtextitalic"/>
        </w:rPr>
        <w:t>R</w:t>
      </w:r>
      <w:r>
        <w:rPr>
          <w:rStyle w:val="AERtextitalic"/>
        </w:rPr>
        <w:t>evised r</w:t>
      </w:r>
      <w:r w:rsidRPr="009353F2">
        <w:rPr>
          <w:rStyle w:val="AERtextitalic"/>
        </w:rPr>
        <w:t>egulatory proposal</w:t>
      </w:r>
      <w:r>
        <w:t>, 6 January 2016, p. 468.</w:t>
      </w:r>
    </w:p>
  </w:footnote>
  <w:footnote w:id="22">
    <w:p w:rsidR="00E21125" w:rsidRDefault="00E21125" w:rsidP="00D96553">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Powercor</w:t>
      </w:r>
      <w:r w:rsidRPr="00B06293">
        <w:rPr>
          <w:rStyle w:val="AERtextitalic"/>
        </w:rPr>
        <w:t xml:space="preserve"> distribution determination 2016 to 20</w:t>
      </w:r>
      <w:r>
        <w:rPr>
          <w:rStyle w:val="AERtextitalic"/>
        </w:rPr>
        <w:t>20</w:t>
      </w:r>
      <w:r w:rsidRPr="00B06293">
        <w:rPr>
          <w:rStyle w:val="AERtextitalic"/>
        </w:rPr>
        <w:t>: Attachment 16: Alternative control services</w:t>
      </w:r>
      <w:r>
        <w:t>, October</w:t>
      </w:r>
      <w:r w:rsidRPr="00D62981">
        <w:t xml:space="preserve"> 201</w:t>
      </w:r>
      <w:r>
        <w:t>5, p. 17</w:t>
      </w:r>
    </w:p>
  </w:footnote>
  <w:footnote w:id="23">
    <w:p w:rsidR="00E21125" w:rsidRDefault="00E21125" w:rsidP="00D96553">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Powercor</w:t>
      </w:r>
      <w:r w:rsidRPr="00B06293">
        <w:rPr>
          <w:rStyle w:val="AERtextitalic"/>
        </w:rPr>
        <w:t xml:space="preserve"> distribution determination 2016 to 20</w:t>
      </w:r>
      <w:r>
        <w:rPr>
          <w:rStyle w:val="AERtextitalic"/>
        </w:rPr>
        <w:t>20</w:t>
      </w:r>
      <w:r w:rsidRPr="00B06293">
        <w:rPr>
          <w:rStyle w:val="AERtextitalic"/>
        </w:rPr>
        <w:t>: Attachment 16: Alternative control services</w:t>
      </w:r>
      <w:r>
        <w:t>, October</w:t>
      </w:r>
      <w:r w:rsidRPr="00D62981">
        <w:t xml:space="preserve"> 201</w:t>
      </w:r>
      <w:r>
        <w:t>5, p. 17</w:t>
      </w:r>
    </w:p>
  </w:footnote>
  <w:footnote w:id="24">
    <w:p w:rsidR="00E21125" w:rsidRDefault="00E21125" w:rsidP="00D96553">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Powercor</w:t>
      </w:r>
      <w:r w:rsidRPr="00B06293">
        <w:rPr>
          <w:rStyle w:val="AERtextitalic"/>
        </w:rPr>
        <w:t xml:space="preserve"> distribution determination 2016 to 20</w:t>
      </w:r>
      <w:r>
        <w:rPr>
          <w:rStyle w:val="AERtextitalic"/>
        </w:rPr>
        <w:t>20</w:t>
      </w:r>
      <w:r w:rsidRPr="00B06293">
        <w:rPr>
          <w:rStyle w:val="AERtextitalic"/>
        </w:rPr>
        <w:t>: Attachment 16: Alternative control services</w:t>
      </w:r>
      <w:r>
        <w:t>, October</w:t>
      </w:r>
      <w:r w:rsidRPr="00D62981">
        <w:t xml:space="preserve"> 201</w:t>
      </w:r>
      <w:r>
        <w:t>5, pp. 18–19.</w:t>
      </w:r>
    </w:p>
  </w:footnote>
  <w:footnote w:id="25">
    <w:p w:rsidR="00E21125" w:rsidRDefault="00E21125" w:rsidP="00D96553">
      <w:pPr>
        <w:pStyle w:val="FootnoteText"/>
      </w:pPr>
      <w:r>
        <w:rPr>
          <w:rStyle w:val="FootnoteReference"/>
        </w:rPr>
        <w:footnoteRef/>
      </w:r>
      <w:r>
        <w:t xml:space="preserve"> </w:t>
      </w:r>
      <w:r>
        <w:tab/>
        <w:t xml:space="preserve">Powercor, </w:t>
      </w:r>
      <w:r w:rsidRPr="00E81946">
        <w:rPr>
          <w:rStyle w:val="AERtextitalic"/>
        </w:rPr>
        <w:t>Powercor 2016</w:t>
      </w:r>
      <w:r>
        <w:rPr>
          <w:rStyle w:val="AERtextitalic"/>
        </w:rPr>
        <w:t xml:space="preserve"> pricing proposal</w:t>
      </w:r>
      <w:r>
        <w:t>, 19 November 2015, pp. 1–95.</w:t>
      </w:r>
    </w:p>
  </w:footnote>
  <w:footnote w:id="26">
    <w:p w:rsidR="00E21125" w:rsidRDefault="00E21125">
      <w:pPr>
        <w:pStyle w:val="FootnoteText"/>
      </w:pPr>
      <w:r>
        <w:rPr>
          <w:rStyle w:val="FootnoteReference"/>
        </w:rPr>
        <w:footnoteRef/>
      </w:r>
      <w:r>
        <w:t xml:space="preserve"> </w:t>
      </w:r>
      <w:r>
        <w:tab/>
        <w:t xml:space="preserve">Powercor, </w:t>
      </w:r>
      <w:r w:rsidRPr="00E81946">
        <w:rPr>
          <w:rStyle w:val="AERtextitalic"/>
        </w:rPr>
        <w:t>PC 2016–20 Revised proposal – ACS model</w:t>
      </w:r>
      <w:r>
        <w:t>, January 2016.</w:t>
      </w:r>
    </w:p>
  </w:footnote>
  <w:footnote w:id="27">
    <w:p w:rsidR="00E21125" w:rsidRDefault="00E21125">
      <w:pPr>
        <w:pStyle w:val="FootnoteText"/>
      </w:pPr>
      <w:r>
        <w:rPr>
          <w:rStyle w:val="FootnoteReference"/>
        </w:rPr>
        <w:footnoteRef/>
      </w:r>
      <w:r>
        <w:t xml:space="preserve"> </w:t>
      </w:r>
      <w:r>
        <w:tab/>
        <w:t xml:space="preserve">Powercor, </w:t>
      </w:r>
      <w:r w:rsidRPr="009353F2">
        <w:rPr>
          <w:rStyle w:val="AERtextitalic"/>
        </w:rPr>
        <w:t>R</w:t>
      </w:r>
      <w:r>
        <w:rPr>
          <w:rStyle w:val="AERtextitalic"/>
        </w:rPr>
        <w:t>evised r</w:t>
      </w:r>
      <w:r w:rsidRPr="009353F2">
        <w:rPr>
          <w:rStyle w:val="AERtextitalic"/>
        </w:rPr>
        <w:t>egulatory proposal</w:t>
      </w:r>
      <w:r>
        <w:t>, 6 January 2016, pp. 472–473.</w:t>
      </w:r>
    </w:p>
  </w:footnote>
  <w:footnote w:id="28">
    <w:p w:rsidR="00E21125" w:rsidRDefault="00E21125">
      <w:pPr>
        <w:pStyle w:val="FootnoteText"/>
      </w:pPr>
      <w:r>
        <w:rPr>
          <w:rStyle w:val="FootnoteReference"/>
        </w:rPr>
        <w:footnoteRef/>
      </w:r>
      <w:r>
        <w:t xml:space="preserve"> </w:t>
      </w:r>
      <w:r>
        <w:tab/>
      </w:r>
      <w:r w:rsidRPr="001C3991">
        <w:t xml:space="preserve">Essential Services Commission of Victoria, </w:t>
      </w:r>
      <w:r w:rsidRPr="00297833">
        <w:rPr>
          <w:rStyle w:val="AERtextitalic"/>
        </w:rPr>
        <w:t>Review of Public Lighting Excluded Services</w:t>
      </w:r>
      <w:r w:rsidRPr="001C3991">
        <w:t>, August 2004 Final Decision, pp. 70</w:t>
      </w:r>
      <w:r>
        <w:t>–</w:t>
      </w:r>
      <w:r w:rsidRPr="001C3991">
        <w:t>73.</w:t>
      </w:r>
    </w:p>
  </w:footnote>
  <w:footnote w:id="29">
    <w:p w:rsidR="00E21125" w:rsidRDefault="00E21125">
      <w:pPr>
        <w:pStyle w:val="FootnoteText"/>
      </w:pPr>
      <w:r>
        <w:rPr>
          <w:rStyle w:val="FootnoteReference"/>
        </w:rPr>
        <w:footnoteRef/>
      </w:r>
      <w:r>
        <w:t xml:space="preserve"> </w:t>
      </w:r>
      <w:r>
        <w:tab/>
        <w:t xml:space="preserve">AER, </w:t>
      </w:r>
      <w:r w:rsidRPr="00ED75DA">
        <w:rPr>
          <w:rStyle w:val="AERtextitalic"/>
        </w:rPr>
        <w:t>2011</w:t>
      </w:r>
      <w:r>
        <w:rPr>
          <w:rStyle w:val="AERtextitalic"/>
        </w:rPr>
        <w:noBreakHyphen/>
      </w:r>
      <w:r w:rsidRPr="00ED75DA">
        <w:rPr>
          <w:rStyle w:val="AERtextitalic"/>
        </w:rPr>
        <w:t>15 Victorian Electricity Distribution, Final Decision</w:t>
      </w:r>
      <w:r>
        <w:t>, p. 836.</w:t>
      </w:r>
    </w:p>
  </w:footnote>
  <w:footnote w:id="30">
    <w:p w:rsidR="00E21125" w:rsidRDefault="00E21125">
      <w:pPr>
        <w:pStyle w:val="FootnoteText"/>
      </w:pPr>
      <w:r>
        <w:rPr>
          <w:rStyle w:val="FootnoteReference"/>
        </w:rPr>
        <w:footnoteRef/>
      </w:r>
      <w:r>
        <w:t xml:space="preserve"> </w:t>
      </w:r>
      <w:r>
        <w:tab/>
        <w:t xml:space="preserve">Greenhouse Alliance, </w:t>
      </w:r>
      <w:r w:rsidRPr="00297833">
        <w:rPr>
          <w:rStyle w:val="AERtextitalic"/>
        </w:rPr>
        <w:t>Submission to AER Preliminary Decision</w:t>
      </w:r>
      <w:r>
        <w:t>, 6 January 2016, p. 2.</w:t>
      </w:r>
    </w:p>
  </w:footnote>
  <w:footnote w:id="31">
    <w:p w:rsidR="00E21125" w:rsidRDefault="00E21125">
      <w:pPr>
        <w:pStyle w:val="FootnoteText"/>
      </w:pPr>
      <w:r>
        <w:rPr>
          <w:rStyle w:val="FootnoteReference"/>
        </w:rPr>
        <w:footnoteRef/>
      </w:r>
      <w:r>
        <w:t xml:space="preserve"> </w:t>
      </w:r>
      <w:r>
        <w:tab/>
      </w:r>
      <w:r w:rsidRPr="00C11039">
        <w:t xml:space="preserve">AER, </w:t>
      </w:r>
      <w:r w:rsidRPr="00297833">
        <w:rPr>
          <w:rStyle w:val="AERtextitalic"/>
        </w:rPr>
        <w:t>Final Framework and Approach for the Victorian Electricity Distributors</w:t>
      </w:r>
      <w:r w:rsidRPr="00C11039">
        <w:t>, October 2014, p. 48.</w:t>
      </w:r>
    </w:p>
  </w:footnote>
  <w:footnote w:id="32">
    <w:p w:rsidR="00E21125" w:rsidRDefault="00E21125">
      <w:pPr>
        <w:pStyle w:val="FootnoteText"/>
      </w:pPr>
      <w:r>
        <w:rPr>
          <w:rStyle w:val="FootnoteReference"/>
        </w:rPr>
        <w:footnoteRef/>
      </w:r>
      <w:r>
        <w:t xml:space="preserve"> </w:t>
      </w:r>
      <w:r>
        <w:tab/>
      </w:r>
      <w:r w:rsidRPr="00C11039">
        <w:t xml:space="preserve">Victorian Government, Department of Economic Development, Jobs, Transport and Resources </w:t>
      </w:r>
      <w:hyperlink r:id="rId1" w:history="1">
        <w:r w:rsidRPr="00B10779">
          <w:rPr>
            <w:rStyle w:val="Hyperlink"/>
            <w:sz w:val="16"/>
          </w:rPr>
          <w:t>http://www.smartmeters.vic.gov.au/about-smart-meters/end-of-rollout</w:t>
        </w:r>
      </w:hyperlink>
      <w:r>
        <w:t xml:space="preserve">, </w:t>
      </w:r>
      <w:r w:rsidRPr="00C11039">
        <w:t>accessed 11 October 2015.</w:t>
      </w:r>
    </w:p>
  </w:footnote>
  <w:footnote w:id="33">
    <w:p w:rsidR="00E21125" w:rsidRDefault="00E21125">
      <w:pPr>
        <w:pStyle w:val="FootnoteText"/>
      </w:pPr>
      <w:r>
        <w:rPr>
          <w:rStyle w:val="FootnoteReference"/>
        </w:rPr>
        <w:footnoteRef/>
      </w:r>
      <w:r>
        <w:t xml:space="preserve"> </w:t>
      </w:r>
      <w:r>
        <w:tab/>
      </w:r>
      <w:r w:rsidRPr="00C11039">
        <w:t xml:space="preserve">AEMC, </w:t>
      </w:r>
      <w:r w:rsidRPr="00297833">
        <w:rPr>
          <w:rStyle w:val="AERtextitalic"/>
        </w:rPr>
        <w:t>National Electricity Amendment (Expanding competition in metering and related services) Rule 2015</w:t>
      </w:r>
      <w:r w:rsidRPr="00C11039">
        <w:t>, 26 November 2015.</w:t>
      </w:r>
    </w:p>
  </w:footnote>
  <w:footnote w:id="34">
    <w:p w:rsidR="00E21125" w:rsidRDefault="00E21125">
      <w:pPr>
        <w:pStyle w:val="FootnoteText"/>
      </w:pPr>
      <w:r>
        <w:rPr>
          <w:rStyle w:val="FootnoteReference"/>
        </w:rPr>
        <w:footnoteRef/>
      </w:r>
      <w:r>
        <w:t xml:space="preserve"> </w:t>
      </w:r>
      <w:r>
        <w:tab/>
      </w:r>
      <w:r w:rsidRPr="00C11039">
        <w:t xml:space="preserve">AEMC, </w:t>
      </w:r>
      <w:r w:rsidRPr="00297833">
        <w:rPr>
          <w:rStyle w:val="AERtextitalic"/>
        </w:rPr>
        <w:t>National Electricity Amendment (Expanding competition in metering and related services) Rule 2015</w:t>
      </w:r>
      <w:r w:rsidRPr="00C11039">
        <w:t>, 26 November 2015.</w:t>
      </w:r>
    </w:p>
  </w:footnote>
  <w:footnote w:id="35">
    <w:p w:rsidR="00E21125" w:rsidRDefault="00E21125">
      <w:pPr>
        <w:pStyle w:val="FootnoteText"/>
      </w:pPr>
      <w:r>
        <w:rPr>
          <w:rStyle w:val="FootnoteReference"/>
        </w:rPr>
        <w:footnoteRef/>
      </w:r>
      <w:r>
        <w:t xml:space="preserve"> </w:t>
      </w:r>
      <w:r>
        <w:tab/>
      </w:r>
      <w:r w:rsidRPr="00C11039">
        <w:t xml:space="preserve">AER, </w:t>
      </w:r>
      <w:r w:rsidRPr="00297833">
        <w:rPr>
          <w:rStyle w:val="AERtextitalic"/>
        </w:rPr>
        <w:t>Final framework and approach for the Victorian electricity distributors: Regulatory control period commencing 1 July 2016</w:t>
      </w:r>
      <w:r w:rsidRPr="00C11039">
        <w:t>, 24 October 2014, pp. 89–93.</w:t>
      </w:r>
    </w:p>
  </w:footnote>
  <w:footnote w:id="36">
    <w:p w:rsidR="00E21125" w:rsidRDefault="00E21125" w:rsidP="001442F3">
      <w:pPr>
        <w:pStyle w:val="FootnoteText"/>
      </w:pPr>
      <w:r>
        <w:rPr>
          <w:rStyle w:val="FootnoteReference"/>
        </w:rPr>
        <w:footnoteRef/>
      </w:r>
      <w:r>
        <w:t xml:space="preserve"> </w:t>
      </w:r>
      <w:r>
        <w:tab/>
      </w:r>
      <w:r w:rsidRPr="00A626F1">
        <w:t>Year t represents the forthcoming regulatory year. Therefore, year t–2 and year t–1 are the two regulatory years prior to year t. By way of example, if year t is the year 2018 then year t–2 is 2016 and year t–1 is 2017.</w:t>
      </w:r>
    </w:p>
  </w:footnote>
  <w:footnote w:id="37">
    <w:p w:rsidR="00E21125" w:rsidRDefault="00E21125" w:rsidP="001442F3">
      <w:pPr>
        <w:pStyle w:val="FootnoteText"/>
      </w:pPr>
      <w:r>
        <w:rPr>
          <w:rStyle w:val="FootnoteReference"/>
        </w:rPr>
        <w:footnoteRef/>
      </w:r>
      <w:r>
        <w:t xml:space="preserve"> </w:t>
      </w:r>
      <w:r>
        <w:tab/>
        <w:t>Our final distribution use of system unders and overs account is discussed in attachment 14 – Control mechanisms.</w:t>
      </w:r>
    </w:p>
  </w:footnote>
  <w:footnote w:id="38">
    <w:p w:rsidR="00E21125" w:rsidRDefault="00E21125">
      <w:pPr>
        <w:pStyle w:val="FootnoteText"/>
      </w:pPr>
      <w:r>
        <w:rPr>
          <w:rStyle w:val="FootnoteReference"/>
        </w:rPr>
        <w:footnoteRef/>
      </w:r>
      <w:r>
        <w:t xml:space="preserve"> </w:t>
      </w:r>
      <w:r>
        <w:tab/>
      </w:r>
      <w:r w:rsidRPr="00C11039">
        <w:t>If the ABS does not or ceases to publish the index, then CPI will mean an index which the AER considers is the best available alternative index.</w:t>
      </w:r>
    </w:p>
  </w:footnote>
  <w:footnote w:id="39">
    <w:p w:rsidR="00E21125" w:rsidRDefault="00E21125">
      <w:pPr>
        <w:pStyle w:val="FootnoteText"/>
      </w:pPr>
      <w:r>
        <w:rPr>
          <w:rStyle w:val="FootnoteReference"/>
        </w:rPr>
        <w:footnoteRef/>
      </w:r>
      <w:r>
        <w:t xml:space="preserve"> </w:t>
      </w:r>
      <w:r>
        <w:tab/>
      </w:r>
      <w:r w:rsidRPr="00C11039">
        <w:t>If the ABS does not or ceases to publish the index, then CPI will mean an index which the AER considers is the best available alternative index.</w:t>
      </w:r>
    </w:p>
  </w:footnote>
  <w:footnote w:id="40">
    <w:p w:rsidR="00E21125" w:rsidRDefault="00E21125" w:rsidP="00E10B88">
      <w:pPr>
        <w:pStyle w:val="FootnoteText"/>
      </w:pPr>
      <w:r>
        <w:rPr>
          <w:rStyle w:val="FootnoteReference"/>
        </w:rPr>
        <w:footnoteRef/>
      </w:r>
      <w:r>
        <w:t xml:space="preserve"> </w:t>
      </w:r>
      <w:r>
        <w:tab/>
        <w:t>NER, cl. 11.17.6.</w:t>
      </w:r>
    </w:p>
  </w:footnote>
  <w:footnote w:id="41">
    <w:p w:rsidR="00E21125" w:rsidRDefault="00E21125">
      <w:pPr>
        <w:pStyle w:val="FootnoteText"/>
      </w:pPr>
      <w:r>
        <w:rPr>
          <w:rStyle w:val="FootnoteReference"/>
        </w:rPr>
        <w:footnoteRef/>
      </w:r>
      <w:r>
        <w:t xml:space="preserve"> </w:t>
      </w:r>
      <w:r>
        <w:tab/>
      </w:r>
      <w:r w:rsidRPr="00C11039">
        <w:t>AER,</w:t>
      </w:r>
      <w:r>
        <w:t xml:space="preserve"> </w:t>
      </w:r>
      <w:r w:rsidRPr="00297833">
        <w:rPr>
          <w:rStyle w:val="AERtextitalic"/>
        </w:rPr>
        <w:t>Preliminary Decision, Powercor distribution determination 2016 to 2020, Attachment 16 - Alternative control services</w:t>
      </w:r>
      <w:r w:rsidRPr="00C11039">
        <w:t>, October 2015, p</w:t>
      </w:r>
      <w:r>
        <w:t>. 16-28</w:t>
      </w:r>
      <w:r w:rsidRPr="00C11039">
        <w:t>.</w:t>
      </w:r>
    </w:p>
  </w:footnote>
  <w:footnote w:id="42">
    <w:p w:rsidR="00E21125" w:rsidRDefault="00E21125">
      <w:pPr>
        <w:pStyle w:val="FootnoteText"/>
      </w:pPr>
      <w:r>
        <w:rPr>
          <w:rStyle w:val="FootnoteReference"/>
        </w:rPr>
        <w:footnoteRef/>
      </w:r>
      <w:r>
        <w:t xml:space="preserve"> </w:t>
      </w:r>
      <w:r>
        <w:tab/>
      </w:r>
      <w:r w:rsidRPr="00A4693A">
        <w:t xml:space="preserve">Powercor, </w:t>
      </w:r>
      <w:r w:rsidRPr="00297833">
        <w:rPr>
          <w:rStyle w:val="AERtextitalic"/>
        </w:rPr>
        <w:t>Revised regulatory proposal</w:t>
      </w:r>
      <w:r>
        <w:t>, January 2016, p. 149</w:t>
      </w:r>
      <w:r w:rsidRPr="00A4693A">
        <w:t>.</w:t>
      </w:r>
    </w:p>
  </w:footnote>
  <w:footnote w:id="43">
    <w:p w:rsidR="00E21125" w:rsidRDefault="00E21125">
      <w:pPr>
        <w:pStyle w:val="FootnoteText"/>
      </w:pPr>
      <w:r>
        <w:rPr>
          <w:rStyle w:val="FootnoteReference"/>
        </w:rPr>
        <w:footnoteRef/>
      </w:r>
      <w:r>
        <w:t xml:space="preserve"> </w:t>
      </w:r>
      <w:r>
        <w:tab/>
      </w:r>
      <w:r w:rsidRPr="00C11039">
        <w:t>Power</w:t>
      </w:r>
      <w:r>
        <w:t>cor</w:t>
      </w:r>
      <w:r w:rsidRPr="00C11039">
        <w:t xml:space="preserve">, </w:t>
      </w:r>
      <w:r w:rsidRPr="00297833">
        <w:rPr>
          <w:rStyle w:val="AERtextitalic"/>
        </w:rPr>
        <w:t>Revised regulatory proposal</w:t>
      </w:r>
      <w:r>
        <w:t>, January 2016, p. 454</w:t>
      </w:r>
      <w:r w:rsidRPr="00C11039">
        <w:t>.</w:t>
      </w:r>
    </w:p>
  </w:footnote>
  <w:footnote w:id="44">
    <w:p w:rsidR="00E21125" w:rsidRDefault="00E21125" w:rsidP="00472583">
      <w:pPr>
        <w:pStyle w:val="FootnoteText"/>
      </w:pPr>
      <w:r>
        <w:rPr>
          <w:rStyle w:val="FootnoteReference"/>
        </w:rPr>
        <w:footnoteRef/>
      </w:r>
      <w:r>
        <w:t xml:space="preserve"> </w:t>
      </w:r>
      <w:r>
        <w:tab/>
        <w:t xml:space="preserve">AER, </w:t>
      </w:r>
      <w:r w:rsidRPr="00297833">
        <w:rPr>
          <w:rStyle w:val="AERtextitalic"/>
        </w:rPr>
        <w:t xml:space="preserve">Preliminary Decision, </w:t>
      </w:r>
      <w:r w:rsidRPr="00E20B57">
        <w:rPr>
          <w:rStyle w:val="AERtextitalic"/>
        </w:rPr>
        <w:t>Powercor distribution determination 2016 to 2020, Attachment 16 - Alternative control services</w:t>
      </w:r>
      <w:r>
        <w:t>, October 2015, p. 16-28</w:t>
      </w:r>
      <w:r w:rsidRPr="006B75A7">
        <w:t>.</w:t>
      </w:r>
    </w:p>
  </w:footnote>
  <w:footnote w:id="45">
    <w:p w:rsidR="00E21125" w:rsidRDefault="00E21125">
      <w:pPr>
        <w:pStyle w:val="FootnoteText"/>
      </w:pPr>
      <w:r>
        <w:rPr>
          <w:rStyle w:val="FootnoteReference"/>
        </w:rPr>
        <w:footnoteRef/>
      </w:r>
      <w:r>
        <w:t xml:space="preserve"> </w:t>
      </w:r>
      <w:r>
        <w:tab/>
      </w:r>
      <w:r w:rsidRPr="006B75A7">
        <w:t xml:space="preserve">Powercor, </w:t>
      </w:r>
      <w:r w:rsidRPr="00297833">
        <w:rPr>
          <w:rStyle w:val="AERtextitalic"/>
        </w:rPr>
        <w:t>Revised regulatory proposal</w:t>
      </w:r>
      <w:r>
        <w:t>, January 2016, p. 457</w:t>
      </w:r>
      <w:r w:rsidRPr="006B75A7">
        <w:t>.</w:t>
      </w:r>
    </w:p>
  </w:footnote>
  <w:footnote w:id="46">
    <w:p w:rsidR="00E21125" w:rsidRDefault="00E21125" w:rsidP="00044BF3">
      <w:pPr>
        <w:pStyle w:val="FootnoteText"/>
      </w:pPr>
      <w:r>
        <w:rPr>
          <w:rStyle w:val="FootnoteReference"/>
        </w:rPr>
        <w:footnoteRef/>
      </w:r>
      <w:r>
        <w:t xml:space="preserve"> </w:t>
      </w:r>
      <w:r>
        <w:tab/>
      </w:r>
      <w:r w:rsidRPr="006B75A7">
        <w:t xml:space="preserve">AER, </w:t>
      </w:r>
      <w:r w:rsidRPr="00297833">
        <w:rPr>
          <w:rStyle w:val="AERtextitalic"/>
        </w:rPr>
        <w:t xml:space="preserve">Preliminary Decision, </w:t>
      </w:r>
      <w:r w:rsidRPr="00E20B57">
        <w:rPr>
          <w:rStyle w:val="AERtextitalic"/>
        </w:rPr>
        <w:t>Powercor distribution determination 2016 to 2020, Attachment 16 - Alternative control services</w:t>
      </w:r>
      <w:r w:rsidRPr="006B75A7">
        <w:t>, October 2015, p 16-28</w:t>
      </w:r>
      <w:r w:rsidRPr="00044BF3">
        <w:rPr>
          <w:rStyle w:val="AERtexthighlight"/>
          <w:shd w:val="clear" w:color="auto" w:fill="auto"/>
        </w:rPr>
        <w:t>. This is lower than our preliminary decision on account that Powercor have maintained an allocation of metering cost to standard control services, rather than our preliminary decision to allocate all the costs to alternative control services.</w:t>
      </w:r>
    </w:p>
  </w:footnote>
  <w:footnote w:id="47">
    <w:p w:rsidR="00E21125" w:rsidRDefault="00E21125">
      <w:pPr>
        <w:pStyle w:val="FootnoteText"/>
      </w:pPr>
      <w:r>
        <w:rPr>
          <w:rStyle w:val="FootnoteReference"/>
        </w:rPr>
        <w:footnoteRef/>
      </w:r>
      <w:r>
        <w:t xml:space="preserve"> </w:t>
      </w:r>
      <w:r>
        <w:tab/>
        <w:t>Powercor</w:t>
      </w:r>
      <w:r w:rsidRPr="006B75A7">
        <w:t xml:space="preserve">, </w:t>
      </w:r>
      <w:r w:rsidRPr="00297833">
        <w:rPr>
          <w:rStyle w:val="AERtextitalic"/>
        </w:rPr>
        <w:t>Revised regulatory proposal</w:t>
      </w:r>
      <w:r>
        <w:t>, January 2016, p. 459</w:t>
      </w:r>
      <w:r w:rsidRPr="006B75A7">
        <w:t>.</w:t>
      </w:r>
    </w:p>
  </w:footnote>
  <w:footnote w:id="48">
    <w:p w:rsidR="00E21125" w:rsidRDefault="00E21125" w:rsidP="00AD5D70">
      <w:pPr>
        <w:pStyle w:val="FootnoteText"/>
      </w:pPr>
      <w:r>
        <w:rPr>
          <w:rStyle w:val="FootnoteReference"/>
        </w:rPr>
        <w:footnoteRef/>
      </w:r>
      <w:r>
        <w:t xml:space="preserve"> </w:t>
      </w:r>
      <w:r>
        <w:tab/>
        <w:t>Powercor</w:t>
      </w:r>
      <w:r w:rsidRPr="00297833">
        <w:rPr>
          <w:rStyle w:val="AERtextitalic"/>
        </w:rPr>
        <w:t>, Revised regulatory proposal 2016–20, Metering PTRM an exit fees</w:t>
      </w:r>
      <w:r w:rsidRPr="00E162EC">
        <w:t>, January 2016, 'PTRM input' tab.</w:t>
      </w:r>
    </w:p>
  </w:footnote>
  <w:footnote w:id="49">
    <w:p w:rsidR="00E21125" w:rsidRDefault="00E21125">
      <w:pPr>
        <w:pStyle w:val="FootnoteText"/>
      </w:pPr>
      <w:r>
        <w:rPr>
          <w:rStyle w:val="FootnoteReference"/>
        </w:rPr>
        <w:footnoteRef/>
      </w:r>
      <w:r>
        <w:t xml:space="preserve"> </w:t>
      </w:r>
      <w:r>
        <w:tab/>
      </w:r>
      <w:r w:rsidRPr="006B75A7">
        <w:t xml:space="preserve">Powercor, </w:t>
      </w:r>
      <w:r w:rsidRPr="00297833">
        <w:rPr>
          <w:rStyle w:val="AERtextitalic"/>
        </w:rPr>
        <w:t>Revised regulatory proposal</w:t>
      </w:r>
      <w:r w:rsidRPr="006B75A7">
        <w:t>, January 2016, p. 460.</w:t>
      </w:r>
    </w:p>
  </w:footnote>
  <w:footnote w:id="50">
    <w:p w:rsidR="00E21125" w:rsidRDefault="00E21125" w:rsidP="00647558">
      <w:pPr>
        <w:pStyle w:val="FootnoteText"/>
      </w:pPr>
      <w:r>
        <w:rPr>
          <w:rStyle w:val="FootnoteReference"/>
        </w:rPr>
        <w:footnoteRef/>
      </w:r>
      <w:r>
        <w:t xml:space="preserve"> </w:t>
      </w:r>
      <w:r>
        <w:tab/>
        <w:t xml:space="preserve">Powercor, </w:t>
      </w:r>
      <w:r>
        <w:rPr>
          <w:rStyle w:val="AERtextitalic"/>
        </w:rPr>
        <w:t>Revised regulatory Proposal</w:t>
      </w:r>
      <w:r w:rsidRPr="00416EDF">
        <w:rPr>
          <w:rStyle w:val="AERtextitalic"/>
        </w:rPr>
        <w:t>,</w:t>
      </w:r>
      <w:r>
        <w:rPr>
          <w:rStyle w:val="AERtextitalic"/>
        </w:rPr>
        <w:t xml:space="preserve"> </w:t>
      </w:r>
      <w:r>
        <w:t>January 2016, p. 462.</w:t>
      </w:r>
    </w:p>
  </w:footnote>
  <w:footnote w:id="51">
    <w:p w:rsidR="00E21125" w:rsidRDefault="00E21125">
      <w:pPr>
        <w:pStyle w:val="FootnoteText"/>
      </w:pPr>
      <w:r>
        <w:rPr>
          <w:rStyle w:val="FootnoteReference"/>
        </w:rPr>
        <w:footnoteRef/>
      </w:r>
      <w:r>
        <w:t xml:space="preserve"> </w:t>
      </w:r>
      <w:r>
        <w:tab/>
      </w:r>
      <w:r w:rsidRPr="006B75A7">
        <w:t xml:space="preserve">AER, </w:t>
      </w:r>
      <w:r w:rsidRPr="00196638">
        <w:rPr>
          <w:rStyle w:val="AERtextitalic"/>
        </w:rPr>
        <w:t>Preliminary Decision, Powercor distribution determination 2016 to 2020, Attachment 16 - Alternative control services</w:t>
      </w:r>
      <w:r w:rsidRPr="006B75A7">
        <w:t>, October 2015, pp. 16-38, 16-39.</w:t>
      </w:r>
    </w:p>
  </w:footnote>
  <w:footnote w:id="52">
    <w:p w:rsidR="00E21125" w:rsidRDefault="00E21125">
      <w:pPr>
        <w:pStyle w:val="FootnoteText"/>
      </w:pPr>
      <w:r>
        <w:rPr>
          <w:rStyle w:val="FootnoteReference"/>
        </w:rPr>
        <w:footnoteRef/>
      </w:r>
      <w:r>
        <w:t xml:space="preserve"> </w:t>
      </w:r>
      <w:r>
        <w:tab/>
      </w:r>
      <w:r w:rsidRPr="00343CB9">
        <w:t xml:space="preserve">AER, </w:t>
      </w:r>
      <w:r w:rsidRPr="00196638">
        <w:rPr>
          <w:rStyle w:val="AERtextitalic"/>
        </w:rPr>
        <w:t>Preliminary Decision, Powercor distribution determination 2016 to 2020, Attachment 16 - Alternative control services</w:t>
      </w:r>
      <w:r w:rsidRPr="00343CB9">
        <w:t>, October 2015, pp. 16-38,16-39.</w:t>
      </w:r>
    </w:p>
  </w:footnote>
  <w:footnote w:id="53">
    <w:p w:rsidR="00E21125" w:rsidRDefault="00E21125">
      <w:pPr>
        <w:pStyle w:val="FootnoteText"/>
      </w:pPr>
      <w:r>
        <w:rPr>
          <w:rStyle w:val="FootnoteReference"/>
        </w:rPr>
        <w:footnoteRef/>
      </w:r>
      <w:r>
        <w:t xml:space="preserve"> </w:t>
      </w:r>
      <w:r>
        <w:tab/>
      </w:r>
      <w:r w:rsidRPr="00343CB9">
        <w:t xml:space="preserve">AER, </w:t>
      </w:r>
      <w:r w:rsidRPr="00196638">
        <w:rPr>
          <w:rStyle w:val="AERtextitalic"/>
        </w:rPr>
        <w:t>Preliminary Decision, Powercor distribution determination 2016 to 2020, Attachment 16 - Alternative control services</w:t>
      </w:r>
      <w:r>
        <w:t>, October 2015, p. 16-35</w:t>
      </w:r>
      <w:r w:rsidRPr="00343CB9">
        <w:t>.</w:t>
      </w:r>
    </w:p>
  </w:footnote>
  <w:footnote w:id="54">
    <w:p w:rsidR="00E21125" w:rsidRDefault="00E21125">
      <w:pPr>
        <w:pStyle w:val="FootnoteText"/>
      </w:pPr>
      <w:r>
        <w:rPr>
          <w:rStyle w:val="FootnoteReference"/>
        </w:rPr>
        <w:footnoteRef/>
      </w:r>
      <w:r>
        <w:t xml:space="preserve"> </w:t>
      </w:r>
      <w:r>
        <w:tab/>
      </w:r>
      <w:r w:rsidRPr="00343CB9">
        <w:t xml:space="preserve">AER, </w:t>
      </w:r>
      <w:r w:rsidRPr="00196638">
        <w:rPr>
          <w:rStyle w:val="AERtextitalic"/>
        </w:rPr>
        <w:t>Preliminary Decision, Powercor distribution determination 2016 to 2020, Attachment 16 - Alternative control services</w:t>
      </w:r>
      <w:r w:rsidRPr="00343CB9">
        <w:t>, October 2015, p</w:t>
      </w:r>
      <w:r>
        <w:t>.</w:t>
      </w:r>
      <w:r w:rsidRPr="00343CB9">
        <w:t xml:space="preserve"> 16-39</w:t>
      </w:r>
      <w:r>
        <w:t>.</w:t>
      </w:r>
    </w:p>
  </w:footnote>
  <w:footnote w:id="55">
    <w:p w:rsidR="00E21125" w:rsidRDefault="00E21125" w:rsidP="00FC6220">
      <w:pPr>
        <w:pStyle w:val="FootnoteText"/>
      </w:pPr>
      <w:r>
        <w:rPr>
          <w:rStyle w:val="FootnoteReference"/>
        </w:rPr>
        <w:footnoteRef/>
      </w:r>
      <w:r>
        <w:t xml:space="preserve"> </w:t>
      </w:r>
      <w:r>
        <w:tab/>
        <w:t>AER Information Request #042, response from Powercor, dated 23 February 2016.</w:t>
      </w:r>
    </w:p>
  </w:footnote>
  <w:footnote w:id="56">
    <w:p w:rsidR="00E21125" w:rsidRDefault="00E21125" w:rsidP="00FC6220">
      <w:pPr>
        <w:pStyle w:val="FootnoteText"/>
      </w:pPr>
      <w:r>
        <w:rPr>
          <w:rStyle w:val="FootnoteReference"/>
        </w:rPr>
        <w:footnoteRef/>
      </w:r>
      <w:r>
        <w:t xml:space="preserve"> </w:t>
      </w:r>
      <w:r>
        <w:tab/>
        <w:t xml:space="preserve">The AER’s AMI budget and charges determination 2012–15 can be found at </w:t>
      </w:r>
      <w:hyperlink r:id="rId2" w:history="1">
        <w:r w:rsidRPr="0050356E">
          <w:rPr>
            <w:rStyle w:val="Hyperlink"/>
            <w:sz w:val="16"/>
          </w:rPr>
          <w:t>https://www.aer.gov.au/networks-pipelines/determinations-access-arrangements/pricing-proposals-tariffs?f[0]=type%3Aaccc_aer_ami_charges&amp;f[1]=field_accc_aer_effective_date%3A2012</w:t>
        </w:r>
      </w:hyperlink>
      <w:r>
        <w:t xml:space="preserve"> </w:t>
      </w:r>
    </w:p>
  </w:footnote>
  <w:footnote w:id="57">
    <w:p w:rsidR="00E21125" w:rsidRDefault="00E21125">
      <w:pPr>
        <w:pStyle w:val="FootnoteText"/>
      </w:pPr>
      <w:r>
        <w:rPr>
          <w:rStyle w:val="FootnoteReference"/>
        </w:rPr>
        <w:footnoteRef/>
      </w:r>
      <w:r>
        <w:t xml:space="preserve"> </w:t>
      </w:r>
      <w:r>
        <w:tab/>
      </w:r>
      <w:r w:rsidRPr="00343CB9">
        <w:t xml:space="preserve">AER, </w:t>
      </w:r>
      <w:r w:rsidRPr="00297833">
        <w:rPr>
          <w:rStyle w:val="AERtextitalic"/>
        </w:rPr>
        <w:t>Better regulation: Expenditure forecast assessment guideline for distribution</w:t>
      </w:r>
      <w:r w:rsidRPr="00343CB9">
        <w:t>, November 2013, p. 32.</w:t>
      </w:r>
    </w:p>
  </w:footnote>
  <w:footnote w:id="58">
    <w:p w:rsidR="00E21125" w:rsidRDefault="00E21125">
      <w:pPr>
        <w:pStyle w:val="FootnoteText"/>
      </w:pPr>
      <w:r>
        <w:rPr>
          <w:rStyle w:val="FootnoteReference"/>
        </w:rPr>
        <w:footnoteRef/>
      </w:r>
      <w:r>
        <w:t xml:space="preserve"> </w:t>
      </w:r>
      <w:r>
        <w:tab/>
      </w:r>
      <w:r w:rsidRPr="00343CB9">
        <w:t>For a further discussion on the opex assessment approach, see;</w:t>
      </w:r>
      <w:r>
        <w:t xml:space="preserve"> AER, </w:t>
      </w:r>
      <w:r w:rsidRPr="00297833">
        <w:rPr>
          <w:rStyle w:val="AERtextitalic"/>
        </w:rPr>
        <w:t>Preliminary Decision, Powercor distribution determination 2016 to 2020, Attachment 16 - Alternative control services</w:t>
      </w:r>
      <w:r>
        <w:t>, October 2015, pp. 16-35 to 16-37</w:t>
      </w:r>
      <w:r w:rsidRPr="00343CB9">
        <w:t>.</w:t>
      </w:r>
    </w:p>
  </w:footnote>
  <w:footnote w:id="59">
    <w:p w:rsidR="00E21125" w:rsidRDefault="00E21125" w:rsidP="00693591">
      <w:pPr>
        <w:pStyle w:val="FootnoteText"/>
      </w:pPr>
      <w:r>
        <w:rPr>
          <w:rStyle w:val="FootnoteReference"/>
        </w:rPr>
        <w:footnoteRef/>
      </w:r>
      <w:r>
        <w:t xml:space="preserve"> </w:t>
      </w:r>
      <w:r>
        <w:tab/>
        <w:t xml:space="preserve">Powercor, </w:t>
      </w:r>
      <w:r w:rsidRPr="00297833">
        <w:rPr>
          <w:rStyle w:val="AERtextitalic"/>
        </w:rPr>
        <w:t>Revised Regulatory Proposal</w:t>
      </w:r>
      <w:r>
        <w:t>, January 2016, pp. 449–450.</w:t>
      </w:r>
    </w:p>
  </w:footnote>
  <w:footnote w:id="60">
    <w:p w:rsidR="00E21125" w:rsidRDefault="00E21125" w:rsidP="00693591">
      <w:pPr>
        <w:pStyle w:val="FootnoteText"/>
      </w:pPr>
      <w:r>
        <w:rPr>
          <w:rStyle w:val="FootnoteReference"/>
        </w:rPr>
        <w:footnoteRef/>
      </w:r>
      <w:r>
        <w:t xml:space="preserve"> </w:t>
      </w:r>
      <w:r>
        <w:tab/>
        <w:t>AER Information Request #042, response from Powercor, dated 23 February 2016, p. 1.</w:t>
      </w:r>
    </w:p>
  </w:footnote>
  <w:footnote w:id="61">
    <w:p w:rsidR="00E21125" w:rsidRDefault="00E21125" w:rsidP="00E26A0A">
      <w:pPr>
        <w:pStyle w:val="FootnoteText"/>
      </w:pPr>
      <w:r>
        <w:rPr>
          <w:rStyle w:val="FootnoteReference"/>
        </w:rPr>
        <w:footnoteRef/>
      </w:r>
      <w:r>
        <w:t xml:space="preserve"> </w:t>
      </w:r>
      <w:r>
        <w:tab/>
        <w:t xml:space="preserve">AER </w:t>
      </w:r>
      <w:r w:rsidRPr="00297833">
        <w:rPr>
          <w:rStyle w:val="AERtextitalic"/>
        </w:rPr>
        <w:t>Final Determination–AMI budget and charges applications 2012–15</w:t>
      </w:r>
      <w:r>
        <w:t xml:space="preserve">, 31 October 2011, p. 211;     </w:t>
      </w:r>
      <w:hyperlink r:id="rId3" w:history="1">
        <w:r w:rsidRPr="00DB1440">
          <w:rPr>
            <w:rStyle w:val="Hyperlink"/>
            <w:sz w:val="16"/>
          </w:rPr>
          <w:t>http://www.aer.gov.au/networks-pipelines/determinations-access-arrangements/pricing-proposals-tariffs/powercor-ami-budget-and-charges-determination-2012-15</w:t>
        </w:r>
      </w:hyperlink>
    </w:p>
  </w:footnote>
  <w:footnote w:id="62">
    <w:p w:rsidR="00E21125" w:rsidRDefault="00E21125" w:rsidP="00693591">
      <w:pPr>
        <w:pStyle w:val="FootnoteText"/>
      </w:pPr>
      <w:r>
        <w:rPr>
          <w:rStyle w:val="FootnoteReference"/>
        </w:rPr>
        <w:footnoteRef/>
      </w:r>
      <w:r>
        <w:t xml:space="preserve"> </w:t>
      </w:r>
      <w:r>
        <w:tab/>
        <w:t xml:space="preserve">Impaq Consulting, </w:t>
      </w:r>
      <w:r w:rsidRPr="00297833">
        <w:rPr>
          <w:rStyle w:val="AERtextitalic"/>
        </w:rPr>
        <w:t>Review of DNSP’s AMI Budget Submissions for 2012 to 2015</w:t>
      </w:r>
      <w:r>
        <w:t>, 20 July 2011, p. 80.</w:t>
      </w:r>
    </w:p>
  </w:footnote>
  <w:footnote w:id="63">
    <w:p w:rsidR="00E21125" w:rsidRDefault="00E21125" w:rsidP="00110961">
      <w:pPr>
        <w:pStyle w:val="FootnoteText"/>
      </w:pPr>
      <w:r>
        <w:rPr>
          <w:rStyle w:val="FootnoteReference"/>
        </w:rPr>
        <w:footnoteRef/>
      </w:r>
      <w:r>
        <w:t xml:space="preserve"> </w:t>
      </w:r>
      <w:r>
        <w:tab/>
      </w:r>
      <w:r w:rsidRPr="00F5254C">
        <w:t>Power</w:t>
      </w:r>
      <w:r>
        <w:t>cor</w:t>
      </w:r>
      <w:r w:rsidRPr="00F5254C">
        <w:t xml:space="preserve">, </w:t>
      </w:r>
      <w:r w:rsidRPr="00297833">
        <w:rPr>
          <w:rStyle w:val="AERtextitalic"/>
        </w:rPr>
        <w:t>Revised regulatory proposal</w:t>
      </w:r>
      <w:r w:rsidRPr="00F5254C">
        <w:t>, January 2016, p</w:t>
      </w:r>
      <w:r>
        <w:t>p. 450–451.</w:t>
      </w:r>
    </w:p>
  </w:footnote>
  <w:footnote w:id="64">
    <w:p w:rsidR="00E21125" w:rsidRDefault="00E21125" w:rsidP="00110961">
      <w:pPr>
        <w:pStyle w:val="FootnoteText"/>
      </w:pPr>
      <w:r>
        <w:rPr>
          <w:rStyle w:val="FootnoteReference"/>
        </w:rPr>
        <w:footnoteRef/>
      </w:r>
      <w:r>
        <w:t xml:space="preserve"> </w:t>
      </w:r>
      <w:r>
        <w:tab/>
        <w:t xml:space="preserve">We have applied our approved quoted service ancillary network services hourly labour rate for a skilled electrical worker set out in Appendix A.1, </w:t>
      </w:r>
      <w:r>
        <w:fldChar w:fldCharType="begin"/>
      </w:r>
      <w:r>
        <w:instrText xml:space="preserve"> REF _Ref442295855 \h </w:instrText>
      </w:r>
      <w:r>
        <w:fldChar w:fldCharType="separate"/>
      </w:r>
      <w:r>
        <w:t xml:space="preserve">Table </w:t>
      </w:r>
      <w:r>
        <w:rPr>
          <w:noProof/>
        </w:rPr>
        <w:t>16</w:t>
      </w:r>
      <w:r>
        <w:t>.</w:t>
      </w:r>
      <w:r>
        <w:rPr>
          <w:noProof/>
        </w:rPr>
        <w:t>14</w:t>
      </w:r>
      <w:r>
        <w:fldChar w:fldCharType="end"/>
      </w:r>
      <w:r>
        <w:t xml:space="preserve">. </w:t>
      </w:r>
    </w:p>
  </w:footnote>
  <w:footnote w:id="65">
    <w:p w:rsidR="00E21125" w:rsidRDefault="00E21125" w:rsidP="00110961">
      <w:pPr>
        <w:pStyle w:val="FootnoteText"/>
      </w:pPr>
      <w:r>
        <w:rPr>
          <w:rStyle w:val="FootnoteReference"/>
        </w:rPr>
        <w:footnoteRef/>
      </w:r>
      <w:r>
        <w:t xml:space="preserve"> </w:t>
      </w:r>
      <w:r>
        <w:tab/>
      </w:r>
      <w:r w:rsidRPr="00580BDD">
        <w:t xml:space="preserve">We have applied our approved quoted service ancillary network services hourly labour rate for a </w:t>
      </w:r>
      <w:r>
        <w:t xml:space="preserve">support staff </w:t>
      </w:r>
      <w:r w:rsidRPr="00580BDD">
        <w:t>set out in</w:t>
      </w:r>
      <w:r>
        <w:t xml:space="preserve"> Appendix A.1, </w:t>
      </w:r>
      <w:r>
        <w:fldChar w:fldCharType="begin"/>
      </w:r>
      <w:r>
        <w:instrText xml:space="preserve"> REF _Ref442295855 \h </w:instrText>
      </w:r>
      <w:r>
        <w:fldChar w:fldCharType="separate"/>
      </w:r>
      <w:r>
        <w:t xml:space="preserve">Table </w:t>
      </w:r>
      <w:r>
        <w:rPr>
          <w:noProof/>
        </w:rPr>
        <w:t>16</w:t>
      </w:r>
      <w:r>
        <w:t>.</w:t>
      </w:r>
      <w:r>
        <w:rPr>
          <w:noProof/>
        </w:rPr>
        <w:t>14</w:t>
      </w:r>
      <w:r>
        <w:fldChar w:fldCharType="end"/>
      </w:r>
      <w:r>
        <w:t xml:space="preserve">. </w:t>
      </w:r>
    </w:p>
  </w:footnote>
  <w:footnote w:id="66">
    <w:p w:rsidR="00E21125" w:rsidRDefault="00E21125">
      <w:pPr>
        <w:pStyle w:val="FootnoteText"/>
      </w:pPr>
      <w:r>
        <w:rPr>
          <w:rStyle w:val="FootnoteReference"/>
        </w:rPr>
        <w:footnoteRef/>
      </w:r>
      <w:r>
        <w:t xml:space="preserve"> </w:t>
      </w:r>
      <w:r>
        <w:tab/>
        <w:t xml:space="preserve">AER, </w:t>
      </w:r>
      <w:r w:rsidRPr="00297833">
        <w:rPr>
          <w:rStyle w:val="AERtextitalic"/>
        </w:rPr>
        <w:t>Preliminary Decision, Powercor distribution determination 2016 to 2020, Attachment 16 - Alternative control services</w:t>
      </w:r>
      <w:r w:rsidRPr="00414909">
        <w:t>, October 2015, p</w:t>
      </w:r>
      <w:r>
        <w:t>.</w:t>
      </w:r>
      <w:r w:rsidRPr="00414909">
        <w:t xml:space="preserve"> 16-40.</w:t>
      </w:r>
    </w:p>
  </w:footnote>
  <w:footnote w:id="67">
    <w:p w:rsidR="00E21125" w:rsidRDefault="00E21125">
      <w:pPr>
        <w:pStyle w:val="FootnoteText"/>
      </w:pPr>
      <w:r>
        <w:rPr>
          <w:rStyle w:val="FootnoteReference"/>
        </w:rPr>
        <w:footnoteRef/>
      </w:r>
      <w:r>
        <w:t xml:space="preserve"> </w:t>
      </w:r>
      <w:r>
        <w:tab/>
      </w:r>
      <w:r w:rsidRPr="00414909">
        <w:t>Power</w:t>
      </w:r>
      <w:r>
        <w:t>cor</w:t>
      </w:r>
      <w:r w:rsidRPr="00414909">
        <w:t xml:space="preserve">, </w:t>
      </w:r>
      <w:r w:rsidRPr="00297833">
        <w:rPr>
          <w:rStyle w:val="AERtextitalic"/>
        </w:rPr>
        <w:t>Revised regulatory proposal</w:t>
      </w:r>
      <w:r>
        <w:t>, January 2016, p. 449</w:t>
      </w:r>
      <w:r w:rsidRPr="00414909">
        <w:t>.</w:t>
      </w:r>
    </w:p>
  </w:footnote>
  <w:footnote w:id="68">
    <w:p w:rsidR="00E21125" w:rsidRDefault="00E21125">
      <w:pPr>
        <w:pStyle w:val="FootnoteText"/>
      </w:pPr>
      <w:r>
        <w:rPr>
          <w:rStyle w:val="FootnoteReference"/>
        </w:rPr>
        <w:footnoteRef/>
      </w:r>
      <w:r>
        <w:t xml:space="preserve"> </w:t>
      </w:r>
      <w:r>
        <w:tab/>
      </w:r>
      <w:r w:rsidRPr="00585880">
        <w:t xml:space="preserve">AEMC, </w:t>
      </w:r>
      <w:r w:rsidRPr="00297833">
        <w:rPr>
          <w:rStyle w:val="AERtextitalic"/>
        </w:rPr>
        <w:t>National Electricity Amendment (Expanding competition in metering and related services) Rule 2015</w:t>
      </w:r>
      <w:r w:rsidRPr="00585880">
        <w:t>, 26 November 2015.</w:t>
      </w:r>
    </w:p>
  </w:footnote>
  <w:footnote w:id="69">
    <w:p w:rsidR="00E21125" w:rsidRDefault="00E21125">
      <w:pPr>
        <w:pStyle w:val="FootnoteText"/>
      </w:pPr>
      <w:r>
        <w:rPr>
          <w:rStyle w:val="FootnoteReference"/>
        </w:rPr>
        <w:footnoteRef/>
      </w:r>
      <w:r>
        <w:t xml:space="preserve"> </w:t>
      </w:r>
      <w:r>
        <w:tab/>
        <w:t xml:space="preserve">AER, </w:t>
      </w:r>
      <w:r w:rsidRPr="00297833">
        <w:rPr>
          <w:rStyle w:val="AERtextitalic"/>
        </w:rPr>
        <w:t>Preliminary Decision, Powercor distribution determination 2016 to 2020, Attachment 16 - Alternative control services</w:t>
      </w:r>
      <w:r>
        <w:t>, October 2015, p. 16-40</w:t>
      </w:r>
      <w:r w:rsidRPr="00585880">
        <w:t>.</w:t>
      </w:r>
    </w:p>
  </w:footnote>
  <w:footnote w:id="70">
    <w:p w:rsidR="00E21125" w:rsidRDefault="00E21125">
      <w:pPr>
        <w:pStyle w:val="FootnoteText"/>
      </w:pPr>
      <w:r>
        <w:rPr>
          <w:rStyle w:val="FootnoteReference"/>
        </w:rPr>
        <w:footnoteRef/>
      </w:r>
      <w:r>
        <w:t xml:space="preserve"> </w:t>
      </w:r>
      <w:r>
        <w:tab/>
      </w:r>
      <w:r w:rsidRPr="00AC1864">
        <w:t xml:space="preserve">Powercor, </w:t>
      </w:r>
      <w:r w:rsidRPr="00297833">
        <w:rPr>
          <w:rStyle w:val="AERtextitalic"/>
        </w:rPr>
        <w:t>Revised regulatory proposal</w:t>
      </w:r>
      <w:r>
        <w:t>, January 2016, pp. 453</w:t>
      </w:r>
      <w:r w:rsidR="000309D6">
        <w:t>–</w:t>
      </w:r>
      <w:r>
        <w:t>454</w:t>
      </w:r>
      <w:r w:rsidRPr="00AC1864">
        <w:t>.</w:t>
      </w:r>
    </w:p>
  </w:footnote>
  <w:footnote w:id="71">
    <w:p w:rsidR="00E21125" w:rsidRDefault="00E21125" w:rsidP="00884CF6">
      <w:pPr>
        <w:pStyle w:val="FootnoteText"/>
      </w:pPr>
      <w:r>
        <w:rPr>
          <w:rStyle w:val="FootnoteReference"/>
        </w:rPr>
        <w:footnoteRef/>
      </w:r>
      <w:r>
        <w:t xml:space="preserve"> </w:t>
      </w:r>
      <w:r>
        <w:tab/>
        <w:t xml:space="preserve">AMI Cost Recovery Order, cl. 14.1.  </w:t>
      </w:r>
    </w:p>
  </w:footnote>
  <w:footnote w:id="72">
    <w:p w:rsidR="00E21125" w:rsidRDefault="00E21125" w:rsidP="00884CF6">
      <w:pPr>
        <w:pStyle w:val="FootnoteText"/>
      </w:pPr>
      <w:r>
        <w:rPr>
          <w:rStyle w:val="FootnoteReference"/>
        </w:rPr>
        <w:footnoteRef/>
      </w:r>
      <w:r>
        <w:t xml:space="preserve"> </w:t>
      </w:r>
      <w:r>
        <w:tab/>
        <w:t>Powercor</w:t>
      </w:r>
      <w:r w:rsidRPr="003B4507">
        <w:t xml:space="preserve">, </w:t>
      </w:r>
      <w:r w:rsidRPr="00297833">
        <w:rPr>
          <w:rStyle w:val="AERtextitalic"/>
        </w:rPr>
        <w:t>Revised Regulatory Proposal 2016–2020, Metering capex and opex model (Public)</w:t>
      </w:r>
      <w:r>
        <w:t>,</w:t>
      </w:r>
      <w:r w:rsidRPr="003B4507">
        <w:t xml:space="preserve"> January 2016</w:t>
      </w:r>
      <w:r>
        <w:t>, 'Opex' tab.</w:t>
      </w:r>
    </w:p>
  </w:footnote>
  <w:footnote w:id="73">
    <w:p w:rsidR="00E21125" w:rsidRDefault="00E21125">
      <w:pPr>
        <w:pStyle w:val="FootnoteText"/>
      </w:pPr>
      <w:r>
        <w:rPr>
          <w:rStyle w:val="FootnoteReference"/>
        </w:rPr>
        <w:footnoteRef/>
      </w:r>
      <w:r>
        <w:t xml:space="preserve"> </w:t>
      </w:r>
      <w:r>
        <w:tab/>
        <w:t>See attachment 7 to this final decision.</w:t>
      </w:r>
    </w:p>
  </w:footnote>
  <w:footnote w:id="74">
    <w:p w:rsidR="00E21125" w:rsidRDefault="00E21125" w:rsidP="00884CF6">
      <w:pPr>
        <w:pStyle w:val="FootnoteText"/>
      </w:pPr>
      <w:r>
        <w:rPr>
          <w:rStyle w:val="FootnoteReference"/>
        </w:rPr>
        <w:footnoteRef/>
      </w:r>
      <w:r>
        <w:t xml:space="preserve"> </w:t>
      </w:r>
      <w:r>
        <w:tab/>
        <w:t xml:space="preserve">See </w:t>
      </w:r>
      <w:r>
        <w:fldChar w:fldCharType="begin"/>
      </w:r>
      <w:r>
        <w:instrText xml:space="preserve"> REF _Ref448740155 \h </w:instrText>
      </w:r>
      <w:r>
        <w:fldChar w:fldCharType="separate"/>
      </w:r>
      <w:r>
        <w:t xml:space="preserve">Table </w:t>
      </w:r>
      <w:r>
        <w:rPr>
          <w:noProof/>
        </w:rPr>
        <w:t>16</w:t>
      </w:r>
      <w:r>
        <w:t>.</w:t>
      </w:r>
      <w:r>
        <w:rPr>
          <w:noProof/>
        </w:rPr>
        <w:t>12</w:t>
      </w:r>
      <w:r>
        <w:fldChar w:fldCharType="end"/>
      </w:r>
      <w:r>
        <w:t xml:space="preserve"> above.</w:t>
      </w:r>
    </w:p>
  </w:footnote>
  <w:footnote w:id="75">
    <w:p w:rsidR="00E21125" w:rsidRDefault="00E21125" w:rsidP="00884CF6">
      <w:pPr>
        <w:pStyle w:val="FootnoteText"/>
      </w:pPr>
      <w:r>
        <w:rPr>
          <w:rStyle w:val="FootnoteReference"/>
        </w:rPr>
        <w:footnoteRef/>
      </w:r>
      <w:r>
        <w:t xml:space="preserve"> </w:t>
      </w:r>
      <w:r>
        <w:tab/>
      </w:r>
      <w:r w:rsidRPr="00FA5C09">
        <w:t xml:space="preserve">AER, </w:t>
      </w:r>
      <w:r w:rsidRPr="00297833">
        <w:rPr>
          <w:rStyle w:val="AERtextitalic"/>
        </w:rPr>
        <w:t>Preliminary Decision, Powercor distribution determination 2016 to 2020, Attachment 16 - Alternative control services</w:t>
      </w:r>
      <w:r>
        <w:t>, October 2015, p. 16-43</w:t>
      </w:r>
      <w:r w:rsidRPr="0019096B">
        <w:t>.</w:t>
      </w:r>
    </w:p>
  </w:footnote>
  <w:footnote w:id="76">
    <w:p w:rsidR="00E21125" w:rsidRDefault="00E21125" w:rsidP="00884CF6">
      <w:pPr>
        <w:pStyle w:val="FootnoteText"/>
      </w:pPr>
      <w:r>
        <w:rPr>
          <w:rStyle w:val="FootnoteReference"/>
        </w:rPr>
        <w:footnoteRef/>
      </w:r>
      <w:r>
        <w:t xml:space="preserve"> </w:t>
      </w:r>
      <w:r>
        <w:tab/>
        <w:t>Powercor</w:t>
      </w:r>
      <w:r w:rsidRPr="0019096B">
        <w:t xml:space="preserve">, </w:t>
      </w:r>
      <w:r w:rsidRPr="0000048D">
        <w:rPr>
          <w:rStyle w:val="AERtextitalic"/>
        </w:rPr>
        <w:t>Regulatory Proposal 2016–2020</w:t>
      </w:r>
      <w:r>
        <w:t>, April 2015, p. 455</w:t>
      </w:r>
      <w:r w:rsidRPr="0019096B">
        <w:t>.</w:t>
      </w:r>
    </w:p>
  </w:footnote>
  <w:footnote w:id="77">
    <w:p w:rsidR="00E21125" w:rsidRDefault="00E21125" w:rsidP="00884CF6">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8">
    <w:p w:rsidR="00E21125" w:rsidRDefault="00E21125" w:rsidP="00884CF6">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9">
    <w:p w:rsidR="00E21125" w:rsidRDefault="00E21125" w:rsidP="00884CF6">
      <w:pPr>
        <w:pStyle w:val="FootnoteText"/>
      </w:pPr>
      <w:r>
        <w:rPr>
          <w:rStyle w:val="FootnoteReference"/>
        </w:rPr>
        <w:footnoteRef/>
      </w:r>
      <w:r>
        <w:t xml:space="preserve"> </w:t>
      </w:r>
      <w:r>
        <w:tab/>
        <w:t>Powercor</w:t>
      </w:r>
      <w:r w:rsidRPr="00CA5298">
        <w:t xml:space="preserve">, </w:t>
      </w:r>
      <w:r w:rsidRPr="00297833">
        <w:rPr>
          <w:rStyle w:val="AERtextitalic"/>
        </w:rPr>
        <w:t>Revised regulatory proposal</w:t>
      </w:r>
      <w:r w:rsidRPr="00CA5298">
        <w:t>, January 2016, p</w:t>
      </w:r>
      <w:r>
        <w:t>. 456</w:t>
      </w:r>
      <w:r w:rsidRPr="00CA5298">
        <w:t>.</w:t>
      </w:r>
    </w:p>
  </w:footnote>
  <w:footnote w:id="80">
    <w:p w:rsidR="00E21125" w:rsidRDefault="00E21125" w:rsidP="00E541FC">
      <w:pPr>
        <w:pStyle w:val="FootnoteText"/>
      </w:pPr>
      <w:r>
        <w:rPr>
          <w:rStyle w:val="FootnoteReference"/>
        </w:rPr>
        <w:footnoteRef/>
      </w:r>
      <w:r>
        <w:t xml:space="preserve"> </w:t>
      </w:r>
      <w:r>
        <w:tab/>
        <w:t xml:space="preserve">The reasons for this decision are set out in, for example; AER, </w:t>
      </w:r>
      <w:r w:rsidRPr="00297833">
        <w:rPr>
          <w:rStyle w:val="AERtextitalic"/>
        </w:rPr>
        <w:t>Preliminary Decision,</w:t>
      </w:r>
      <w:r>
        <w:t xml:space="preserve"> </w:t>
      </w:r>
      <w:r>
        <w:rPr>
          <w:i/>
        </w:rPr>
        <w:t xml:space="preserve">Energex </w:t>
      </w:r>
      <w:r w:rsidRPr="002F2FF6">
        <w:rPr>
          <w:i/>
        </w:rPr>
        <w:t>distributi</w:t>
      </w:r>
      <w:r>
        <w:rPr>
          <w:i/>
        </w:rPr>
        <w:t>on determination 2015–16 to 2019–20</w:t>
      </w:r>
      <w:r w:rsidRPr="002F2FF6">
        <w:rPr>
          <w:i/>
        </w:rPr>
        <w:t>, At</w:t>
      </w:r>
      <w:r>
        <w:rPr>
          <w:i/>
        </w:rPr>
        <w:t>t</w:t>
      </w:r>
      <w:r w:rsidRPr="002F2FF6">
        <w:rPr>
          <w:i/>
        </w:rPr>
        <w:t>achment 16 – Alternative control services</w:t>
      </w:r>
      <w:r>
        <w:t>, November  2014, p. 16</w:t>
      </w:r>
      <w:r w:rsidR="000309D6">
        <w:t>-</w:t>
      </w:r>
      <w:r>
        <w:t>52.</w:t>
      </w:r>
    </w:p>
  </w:footnote>
  <w:footnote w:id="81">
    <w:p w:rsidR="00E21125" w:rsidRDefault="00E21125" w:rsidP="008D1822">
      <w:pPr>
        <w:pStyle w:val="FootnoteText"/>
      </w:pPr>
      <w:r>
        <w:rPr>
          <w:rStyle w:val="FootnoteReference"/>
        </w:rPr>
        <w:footnoteRef/>
      </w:r>
      <w:r>
        <w:t xml:space="preserve"> </w:t>
      </w:r>
      <w:r>
        <w:tab/>
      </w:r>
      <w:r w:rsidRPr="006029A6">
        <w:t xml:space="preserve">The WACC for each year will be that approved by the AER for the respective year and as calculated as set out in </w:t>
      </w:r>
      <w:r>
        <w:t xml:space="preserve">figure 14.1 of Attachment 14 to this final decision. </w:t>
      </w:r>
      <w:r>
        <w:fldChar w:fldCharType="begin"/>
      </w:r>
      <w:r>
        <w:instrText xml:space="preserve"> REF _Ref444264395 \h </w:instrText>
      </w:r>
      <w:r>
        <w:fldChar w:fldCharType="separate"/>
      </w:r>
      <w:r>
        <w:rPr>
          <w:b/>
          <w:bCs/>
          <w:lang w:val="en-US"/>
        </w:rPr>
        <w:t>.</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25" w:rsidRDefault="00E21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193A09"/>
    <w:multiLevelType w:val="hybridMultilevel"/>
    <w:tmpl w:val="62B0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3D46597A"/>
    <w:multiLevelType w:val="hybridMultilevel"/>
    <w:tmpl w:val="BD9EFD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58D6DB0"/>
    <w:multiLevelType w:val="hybridMultilevel"/>
    <w:tmpl w:val="91C6DF74"/>
    <w:lvl w:ilvl="0" w:tplc="E6C0DE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CCEAC0DA"/>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5">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1"/>
  </w:num>
  <w:num w:numId="14">
    <w:abstractNumId w:val="12"/>
  </w:num>
  <w:num w:numId="15">
    <w:abstractNumId w:val="15"/>
  </w:num>
  <w:num w:numId="16">
    <w:abstractNumId w:val="26"/>
  </w:num>
  <w:num w:numId="17">
    <w:abstractNumId w:val="11"/>
  </w:num>
  <w:num w:numId="18">
    <w:abstractNumId w:val="17"/>
  </w:num>
  <w:num w:numId="19">
    <w:abstractNumId w:val="27"/>
  </w:num>
  <w:num w:numId="20">
    <w:abstractNumId w:val="33"/>
  </w:num>
  <w:num w:numId="21">
    <w:abstractNumId w:val="30"/>
  </w:num>
  <w:num w:numId="22">
    <w:abstractNumId w:val="28"/>
  </w:num>
  <w:num w:numId="23">
    <w:abstractNumId w:val="18"/>
  </w:num>
  <w:num w:numId="24">
    <w:abstractNumId w:val="29"/>
  </w:num>
  <w:num w:numId="25">
    <w:abstractNumId w:val="31"/>
  </w:num>
  <w:num w:numId="26">
    <w:abstractNumId w:val="19"/>
  </w:num>
  <w:num w:numId="27">
    <w:abstractNumId w:val="16"/>
  </w:num>
  <w:num w:numId="28">
    <w:abstractNumId w:val="35"/>
  </w:num>
  <w:num w:numId="29">
    <w:abstractNumId w:val="22"/>
  </w:num>
  <w:num w:numId="30">
    <w:abstractNumId w:val="9"/>
  </w:num>
  <w:num w:numId="31">
    <w:abstractNumId w:val="3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5"/>
  </w:num>
  <w:num w:numId="40">
    <w:abstractNumId w:val="20"/>
  </w:num>
  <w:num w:numId="41">
    <w:abstractNumId w:val="23"/>
  </w:num>
  <w:num w:numId="4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Hw9rpcfIxTbFKReFwxN1/oesY7PT3JSQ1jyQ53zSDw=" w:saltValue="zNiddyq1Lh6FlGts1QR6aw==" w:algorithmName="SHA-256"/>
  <w:defaultTabStop w:val="340"/>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140\AER15 4367  AER - Final decision AusNet distribution determination - Attachment 16 - Alternative control services - April 2016.DOCX"/>
  </w:docVars>
  <w:rsids>
    <w:rsidRoot w:val="00961A4A"/>
    <w:rsid w:val="000051DC"/>
    <w:rsid w:val="0000658F"/>
    <w:rsid w:val="000112E8"/>
    <w:rsid w:val="00011FDF"/>
    <w:rsid w:val="0001507B"/>
    <w:rsid w:val="00020016"/>
    <w:rsid w:val="00021202"/>
    <w:rsid w:val="00021C2B"/>
    <w:rsid w:val="0002498B"/>
    <w:rsid w:val="0002517F"/>
    <w:rsid w:val="00026187"/>
    <w:rsid w:val="000266FC"/>
    <w:rsid w:val="000273B3"/>
    <w:rsid w:val="00027E2D"/>
    <w:rsid w:val="000309D6"/>
    <w:rsid w:val="00031D11"/>
    <w:rsid w:val="0003578C"/>
    <w:rsid w:val="00044BF3"/>
    <w:rsid w:val="00044DA3"/>
    <w:rsid w:val="000474DF"/>
    <w:rsid w:val="00051FC3"/>
    <w:rsid w:val="00053407"/>
    <w:rsid w:val="00055A67"/>
    <w:rsid w:val="00063247"/>
    <w:rsid w:val="000637AA"/>
    <w:rsid w:val="0006624E"/>
    <w:rsid w:val="00070F9F"/>
    <w:rsid w:val="0007137B"/>
    <w:rsid w:val="0007280B"/>
    <w:rsid w:val="0007340D"/>
    <w:rsid w:val="00073B74"/>
    <w:rsid w:val="00076416"/>
    <w:rsid w:val="000805A8"/>
    <w:rsid w:val="00080ECE"/>
    <w:rsid w:val="0008190B"/>
    <w:rsid w:val="000836D9"/>
    <w:rsid w:val="0008430B"/>
    <w:rsid w:val="00085663"/>
    <w:rsid w:val="00085EBF"/>
    <w:rsid w:val="00091B15"/>
    <w:rsid w:val="00091B2E"/>
    <w:rsid w:val="0009214C"/>
    <w:rsid w:val="00092A7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0D79"/>
    <w:rsid w:val="000C2B40"/>
    <w:rsid w:val="000C5255"/>
    <w:rsid w:val="000D07A7"/>
    <w:rsid w:val="000D122C"/>
    <w:rsid w:val="000D75B0"/>
    <w:rsid w:val="000E17FE"/>
    <w:rsid w:val="000E1819"/>
    <w:rsid w:val="000E4821"/>
    <w:rsid w:val="000E4AA9"/>
    <w:rsid w:val="000E6C72"/>
    <w:rsid w:val="000E7F39"/>
    <w:rsid w:val="000F0091"/>
    <w:rsid w:val="000F0F0A"/>
    <w:rsid w:val="00100EA2"/>
    <w:rsid w:val="00101AA1"/>
    <w:rsid w:val="00102338"/>
    <w:rsid w:val="00104566"/>
    <w:rsid w:val="00104FF6"/>
    <w:rsid w:val="00110961"/>
    <w:rsid w:val="001114AA"/>
    <w:rsid w:val="00112B9F"/>
    <w:rsid w:val="00115743"/>
    <w:rsid w:val="00116A1B"/>
    <w:rsid w:val="00116EB2"/>
    <w:rsid w:val="0012132C"/>
    <w:rsid w:val="00124609"/>
    <w:rsid w:val="00126A4C"/>
    <w:rsid w:val="001270E3"/>
    <w:rsid w:val="00132D43"/>
    <w:rsid w:val="00133366"/>
    <w:rsid w:val="00133F47"/>
    <w:rsid w:val="00134029"/>
    <w:rsid w:val="00137099"/>
    <w:rsid w:val="00142C2D"/>
    <w:rsid w:val="001442F3"/>
    <w:rsid w:val="00144C96"/>
    <w:rsid w:val="0014573B"/>
    <w:rsid w:val="001463A3"/>
    <w:rsid w:val="0015073A"/>
    <w:rsid w:val="00151102"/>
    <w:rsid w:val="001513DB"/>
    <w:rsid w:val="001573E4"/>
    <w:rsid w:val="00160756"/>
    <w:rsid w:val="00160CC1"/>
    <w:rsid w:val="00161DC8"/>
    <w:rsid w:val="00166760"/>
    <w:rsid w:val="0017232E"/>
    <w:rsid w:val="00174102"/>
    <w:rsid w:val="001754EE"/>
    <w:rsid w:val="00180157"/>
    <w:rsid w:val="001804C3"/>
    <w:rsid w:val="001809BC"/>
    <w:rsid w:val="00180E97"/>
    <w:rsid w:val="001820B4"/>
    <w:rsid w:val="0018431C"/>
    <w:rsid w:val="00184351"/>
    <w:rsid w:val="00184AC8"/>
    <w:rsid w:val="00185BA5"/>
    <w:rsid w:val="00185CB9"/>
    <w:rsid w:val="00185DBE"/>
    <w:rsid w:val="00186ADC"/>
    <w:rsid w:val="00186F77"/>
    <w:rsid w:val="001877A4"/>
    <w:rsid w:val="001926A4"/>
    <w:rsid w:val="00192AD5"/>
    <w:rsid w:val="00194597"/>
    <w:rsid w:val="00194E00"/>
    <w:rsid w:val="00196638"/>
    <w:rsid w:val="0019745E"/>
    <w:rsid w:val="00197B16"/>
    <w:rsid w:val="001A530D"/>
    <w:rsid w:val="001A5FB3"/>
    <w:rsid w:val="001A7155"/>
    <w:rsid w:val="001B45A0"/>
    <w:rsid w:val="001B680E"/>
    <w:rsid w:val="001C3991"/>
    <w:rsid w:val="001D055E"/>
    <w:rsid w:val="001E1B3F"/>
    <w:rsid w:val="001E7161"/>
    <w:rsid w:val="001F05A4"/>
    <w:rsid w:val="001F3D4A"/>
    <w:rsid w:val="001F492E"/>
    <w:rsid w:val="001F5C1A"/>
    <w:rsid w:val="001F64EF"/>
    <w:rsid w:val="001F6DA3"/>
    <w:rsid w:val="002010BC"/>
    <w:rsid w:val="002016E7"/>
    <w:rsid w:val="00202E03"/>
    <w:rsid w:val="002033B9"/>
    <w:rsid w:val="002043D0"/>
    <w:rsid w:val="0020492C"/>
    <w:rsid w:val="00204EC9"/>
    <w:rsid w:val="00206505"/>
    <w:rsid w:val="0020743F"/>
    <w:rsid w:val="00213754"/>
    <w:rsid w:val="00216C93"/>
    <w:rsid w:val="00223051"/>
    <w:rsid w:val="00224DB9"/>
    <w:rsid w:val="0022569A"/>
    <w:rsid w:val="00227FC4"/>
    <w:rsid w:val="0023005C"/>
    <w:rsid w:val="00231012"/>
    <w:rsid w:val="00233775"/>
    <w:rsid w:val="0023414B"/>
    <w:rsid w:val="00235252"/>
    <w:rsid w:val="002357C1"/>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97833"/>
    <w:rsid w:val="002A2D38"/>
    <w:rsid w:val="002A7DEF"/>
    <w:rsid w:val="002B0696"/>
    <w:rsid w:val="002B6FAF"/>
    <w:rsid w:val="002C0192"/>
    <w:rsid w:val="002C0222"/>
    <w:rsid w:val="002C1499"/>
    <w:rsid w:val="002C233C"/>
    <w:rsid w:val="002C517B"/>
    <w:rsid w:val="002C67CB"/>
    <w:rsid w:val="002D3509"/>
    <w:rsid w:val="002D5457"/>
    <w:rsid w:val="002D72E8"/>
    <w:rsid w:val="002D79AD"/>
    <w:rsid w:val="002E268F"/>
    <w:rsid w:val="002E78DD"/>
    <w:rsid w:val="002E7B22"/>
    <w:rsid w:val="002F12EC"/>
    <w:rsid w:val="002F6CE5"/>
    <w:rsid w:val="002F7986"/>
    <w:rsid w:val="00301B40"/>
    <w:rsid w:val="00301C82"/>
    <w:rsid w:val="003029EE"/>
    <w:rsid w:val="00304D38"/>
    <w:rsid w:val="00305CC8"/>
    <w:rsid w:val="00307F6D"/>
    <w:rsid w:val="00314D83"/>
    <w:rsid w:val="0031571F"/>
    <w:rsid w:val="003177A2"/>
    <w:rsid w:val="00317D0C"/>
    <w:rsid w:val="00317E02"/>
    <w:rsid w:val="00325A11"/>
    <w:rsid w:val="003271B5"/>
    <w:rsid w:val="00327A1E"/>
    <w:rsid w:val="00327E28"/>
    <w:rsid w:val="00331264"/>
    <w:rsid w:val="00334C8D"/>
    <w:rsid w:val="00334DA3"/>
    <w:rsid w:val="003378BD"/>
    <w:rsid w:val="00341D9E"/>
    <w:rsid w:val="003424EA"/>
    <w:rsid w:val="00342C2F"/>
    <w:rsid w:val="003436EB"/>
    <w:rsid w:val="00343A18"/>
    <w:rsid w:val="00343CB9"/>
    <w:rsid w:val="00345744"/>
    <w:rsid w:val="003518B3"/>
    <w:rsid w:val="00353E79"/>
    <w:rsid w:val="00364EA0"/>
    <w:rsid w:val="00366981"/>
    <w:rsid w:val="00370678"/>
    <w:rsid w:val="0037214E"/>
    <w:rsid w:val="00372BEC"/>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3559"/>
    <w:rsid w:val="003D41F1"/>
    <w:rsid w:val="003D42AB"/>
    <w:rsid w:val="003D5B94"/>
    <w:rsid w:val="003E0D3A"/>
    <w:rsid w:val="003E3AAB"/>
    <w:rsid w:val="003E41E3"/>
    <w:rsid w:val="003E7148"/>
    <w:rsid w:val="003E7FE9"/>
    <w:rsid w:val="003F07D4"/>
    <w:rsid w:val="003F174D"/>
    <w:rsid w:val="003F2329"/>
    <w:rsid w:val="00400FD2"/>
    <w:rsid w:val="00402773"/>
    <w:rsid w:val="00403711"/>
    <w:rsid w:val="00404C52"/>
    <w:rsid w:val="00414909"/>
    <w:rsid w:val="004156D5"/>
    <w:rsid w:val="00415BA9"/>
    <w:rsid w:val="00415F31"/>
    <w:rsid w:val="0041691D"/>
    <w:rsid w:val="0042000C"/>
    <w:rsid w:val="0042090E"/>
    <w:rsid w:val="00421F27"/>
    <w:rsid w:val="00422605"/>
    <w:rsid w:val="004238D8"/>
    <w:rsid w:val="00423A77"/>
    <w:rsid w:val="00430D78"/>
    <w:rsid w:val="004324F4"/>
    <w:rsid w:val="00434544"/>
    <w:rsid w:val="00441F4E"/>
    <w:rsid w:val="00445D43"/>
    <w:rsid w:val="00446CD2"/>
    <w:rsid w:val="004523B2"/>
    <w:rsid w:val="004532BE"/>
    <w:rsid w:val="0045777E"/>
    <w:rsid w:val="00464FED"/>
    <w:rsid w:val="00465258"/>
    <w:rsid w:val="00471BC6"/>
    <w:rsid w:val="004723EB"/>
    <w:rsid w:val="00472583"/>
    <w:rsid w:val="00476221"/>
    <w:rsid w:val="004766F5"/>
    <w:rsid w:val="00480B4B"/>
    <w:rsid w:val="004838D8"/>
    <w:rsid w:val="00485DC4"/>
    <w:rsid w:val="0049226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184C"/>
    <w:rsid w:val="004E22EC"/>
    <w:rsid w:val="004F0BFA"/>
    <w:rsid w:val="004F13DA"/>
    <w:rsid w:val="004F4D69"/>
    <w:rsid w:val="004F6883"/>
    <w:rsid w:val="004F6A0E"/>
    <w:rsid w:val="004F6BB3"/>
    <w:rsid w:val="005009CD"/>
    <w:rsid w:val="00504E5F"/>
    <w:rsid w:val="0051337E"/>
    <w:rsid w:val="00513FA7"/>
    <w:rsid w:val="005143FD"/>
    <w:rsid w:val="0051768F"/>
    <w:rsid w:val="00522DC2"/>
    <w:rsid w:val="00530128"/>
    <w:rsid w:val="00532467"/>
    <w:rsid w:val="005332A9"/>
    <w:rsid w:val="0053603C"/>
    <w:rsid w:val="00537871"/>
    <w:rsid w:val="00540A6B"/>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9FB"/>
    <w:rsid w:val="00577A09"/>
    <w:rsid w:val="005829C2"/>
    <w:rsid w:val="00584D8F"/>
    <w:rsid w:val="00585880"/>
    <w:rsid w:val="00587A18"/>
    <w:rsid w:val="00587ADE"/>
    <w:rsid w:val="005A0BEC"/>
    <w:rsid w:val="005A404D"/>
    <w:rsid w:val="005B1E3C"/>
    <w:rsid w:val="005B6161"/>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3FB7"/>
    <w:rsid w:val="005E4AF4"/>
    <w:rsid w:val="005F387E"/>
    <w:rsid w:val="00601E0B"/>
    <w:rsid w:val="0060258B"/>
    <w:rsid w:val="0060349C"/>
    <w:rsid w:val="00610EF9"/>
    <w:rsid w:val="006111C5"/>
    <w:rsid w:val="00612F4F"/>
    <w:rsid w:val="00614EA0"/>
    <w:rsid w:val="00614F31"/>
    <w:rsid w:val="00615C6B"/>
    <w:rsid w:val="00617D4C"/>
    <w:rsid w:val="00621DCE"/>
    <w:rsid w:val="00621FC5"/>
    <w:rsid w:val="00624F2C"/>
    <w:rsid w:val="00632D6D"/>
    <w:rsid w:val="00636569"/>
    <w:rsid w:val="00636EF9"/>
    <w:rsid w:val="0064295F"/>
    <w:rsid w:val="00642C3E"/>
    <w:rsid w:val="00642FB7"/>
    <w:rsid w:val="0064347A"/>
    <w:rsid w:val="00644A01"/>
    <w:rsid w:val="00647558"/>
    <w:rsid w:val="00651E2D"/>
    <w:rsid w:val="00652324"/>
    <w:rsid w:val="006577FB"/>
    <w:rsid w:val="0066104A"/>
    <w:rsid w:val="00663066"/>
    <w:rsid w:val="00663DAD"/>
    <w:rsid w:val="00664206"/>
    <w:rsid w:val="006649E7"/>
    <w:rsid w:val="00666634"/>
    <w:rsid w:val="00671692"/>
    <w:rsid w:val="00673614"/>
    <w:rsid w:val="00675E20"/>
    <w:rsid w:val="00676679"/>
    <w:rsid w:val="00677FE3"/>
    <w:rsid w:val="00683C89"/>
    <w:rsid w:val="00691B53"/>
    <w:rsid w:val="00693591"/>
    <w:rsid w:val="00697D0B"/>
    <w:rsid w:val="006A0ACB"/>
    <w:rsid w:val="006A12BA"/>
    <w:rsid w:val="006A4739"/>
    <w:rsid w:val="006A66A1"/>
    <w:rsid w:val="006B032D"/>
    <w:rsid w:val="006B2395"/>
    <w:rsid w:val="006B40AC"/>
    <w:rsid w:val="006B4CF9"/>
    <w:rsid w:val="006B75A7"/>
    <w:rsid w:val="006B797C"/>
    <w:rsid w:val="006B7AC8"/>
    <w:rsid w:val="006B7E36"/>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11D3"/>
    <w:rsid w:val="00722132"/>
    <w:rsid w:val="007228F7"/>
    <w:rsid w:val="0072348C"/>
    <w:rsid w:val="00724A37"/>
    <w:rsid w:val="007303C3"/>
    <w:rsid w:val="00731188"/>
    <w:rsid w:val="00734A94"/>
    <w:rsid w:val="007356CC"/>
    <w:rsid w:val="007366CA"/>
    <w:rsid w:val="007368E6"/>
    <w:rsid w:val="007375DF"/>
    <w:rsid w:val="007429BE"/>
    <w:rsid w:val="00742C7A"/>
    <w:rsid w:val="00743223"/>
    <w:rsid w:val="00743349"/>
    <w:rsid w:val="0074403A"/>
    <w:rsid w:val="00746E01"/>
    <w:rsid w:val="00751DCD"/>
    <w:rsid w:val="00752572"/>
    <w:rsid w:val="0075393C"/>
    <w:rsid w:val="00755084"/>
    <w:rsid w:val="00757364"/>
    <w:rsid w:val="00757A77"/>
    <w:rsid w:val="00757BDF"/>
    <w:rsid w:val="007609D0"/>
    <w:rsid w:val="00761454"/>
    <w:rsid w:val="0076193D"/>
    <w:rsid w:val="00763E5D"/>
    <w:rsid w:val="00767740"/>
    <w:rsid w:val="00767B5E"/>
    <w:rsid w:val="00770064"/>
    <w:rsid w:val="00774727"/>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3B5"/>
    <w:rsid w:val="007B25DC"/>
    <w:rsid w:val="007B2C72"/>
    <w:rsid w:val="007B3789"/>
    <w:rsid w:val="007B651F"/>
    <w:rsid w:val="007B6C2A"/>
    <w:rsid w:val="007B7BB5"/>
    <w:rsid w:val="007C0209"/>
    <w:rsid w:val="007C06C5"/>
    <w:rsid w:val="007C1C53"/>
    <w:rsid w:val="007C284C"/>
    <w:rsid w:val="007C4B82"/>
    <w:rsid w:val="007C74BB"/>
    <w:rsid w:val="007C767F"/>
    <w:rsid w:val="007C7F64"/>
    <w:rsid w:val="007D0A95"/>
    <w:rsid w:val="007D0EB5"/>
    <w:rsid w:val="007D456E"/>
    <w:rsid w:val="007D5837"/>
    <w:rsid w:val="007E119A"/>
    <w:rsid w:val="007E4904"/>
    <w:rsid w:val="007E4CB5"/>
    <w:rsid w:val="007E4DAE"/>
    <w:rsid w:val="007F066B"/>
    <w:rsid w:val="007F4EAB"/>
    <w:rsid w:val="007F5B16"/>
    <w:rsid w:val="007F7C9D"/>
    <w:rsid w:val="008033C4"/>
    <w:rsid w:val="00806731"/>
    <w:rsid w:val="00806C88"/>
    <w:rsid w:val="0081034E"/>
    <w:rsid w:val="00810806"/>
    <w:rsid w:val="0081348E"/>
    <w:rsid w:val="00815882"/>
    <w:rsid w:val="00820454"/>
    <w:rsid w:val="008227D1"/>
    <w:rsid w:val="00822AC7"/>
    <w:rsid w:val="00822E86"/>
    <w:rsid w:val="008344F6"/>
    <w:rsid w:val="0083510F"/>
    <w:rsid w:val="00837BF3"/>
    <w:rsid w:val="008415DE"/>
    <w:rsid w:val="008420DE"/>
    <w:rsid w:val="00845865"/>
    <w:rsid w:val="0084799B"/>
    <w:rsid w:val="00850C90"/>
    <w:rsid w:val="00851209"/>
    <w:rsid w:val="0085171F"/>
    <w:rsid w:val="008572AB"/>
    <w:rsid w:val="008658A1"/>
    <w:rsid w:val="0086716A"/>
    <w:rsid w:val="00870613"/>
    <w:rsid w:val="0087380F"/>
    <w:rsid w:val="0087648F"/>
    <w:rsid w:val="00876612"/>
    <w:rsid w:val="0087718C"/>
    <w:rsid w:val="00882BB1"/>
    <w:rsid w:val="008837AC"/>
    <w:rsid w:val="00884CF6"/>
    <w:rsid w:val="008909DC"/>
    <w:rsid w:val="00893A30"/>
    <w:rsid w:val="00893BDE"/>
    <w:rsid w:val="00893FD4"/>
    <w:rsid w:val="00894255"/>
    <w:rsid w:val="008945AD"/>
    <w:rsid w:val="008A0645"/>
    <w:rsid w:val="008A1C02"/>
    <w:rsid w:val="008A370D"/>
    <w:rsid w:val="008A587D"/>
    <w:rsid w:val="008A6606"/>
    <w:rsid w:val="008B16B0"/>
    <w:rsid w:val="008B1BD5"/>
    <w:rsid w:val="008B35CD"/>
    <w:rsid w:val="008B4093"/>
    <w:rsid w:val="008B5FCC"/>
    <w:rsid w:val="008B7F36"/>
    <w:rsid w:val="008C121C"/>
    <w:rsid w:val="008C357F"/>
    <w:rsid w:val="008C5486"/>
    <w:rsid w:val="008D1661"/>
    <w:rsid w:val="008D1822"/>
    <w:rsid w:val="008D27E0"/>
    <w:rsid w:val="008D5F90"/>
    <w:rsid w:val="008D6800"/>
    <w:rsid w:val="008D6B4A"/>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52F"/>
    <w:rsid w:val="00930B1A"/>
    <w:rsid w:val="00932612"/>
    <w:rsid w:val="009327DC"/>
    <w:rsid w:val="009338D9"/>
    <w:rsid w:val="009339BD"/>
    <w:rsid w:val="009356CF"/>
    <w:rsid w:val="00945E53"/>
    <w:rsid w:val="009460AA"/>
    <w:rsid w:val="00951978"/>
    <w:rsid w:val="00952C8B"/>
    <w:rsid w:val="00957148"/>
    <w:rsid w:val="00961A4A"/>
    <w:rsid w:val="009661DE"/>
    <w:rsid w:val="00972C7C"/>
    <w:rsid w:val="009776F4"/>
    <w:rsid w:val="00982DA2"/>
    <w:rsid w:val="00983C25"/>
    <w:rsid w:val="0098466D"/>
    <w:rsid w:val="009856B7"/>
    <w:rsid w:val="009859D6"/>
    <w:rsid w:val="00985C86"/>
    <w:rsid w:val="00995036"/>
    <w:rsid w:val="00996586"/>
    <w:rsid w:val="009A5FC3"/>
    <w:rsid w:val="009B6F84"/>
    <w:rsid w:val="009B74B0"/>
    <w:rsid w:val="009C0152"/>
    <w:rsid w:val="009C1A74"/>
    <w:rsid w:val="009C3D42"/>
    <w:rsid w:val="009C491E"/>
    <w:rsid w:val="009C49EB"/>
    <w:rsid w:val="009D0DF1"/>
    <w:rsid w:val="009D22D6"/>
    <w:rsid w:val="009D2C84"/>
    <w:rsid w:val="009D3906"/>
    <w:rsid w:val="009D5E35"/>
    <w:rsid w:val="009D6B46"/>
    <w:rsid w:val="009E35B6"/>
    <w:rsid w:val="009E5ABC"/>
    <w:rsid w:val="009E6589"/>
    <w:rsid w:val="009F3BBA"/>
    <w:rsid w:val="009F43B4"/>
    <w:rsid w:val="009F4940"/>
    <w:rsid w:val="009F5BA1"/>
    <w:rsid w:val="00A02A88"/>
    <w:rsid w:val="00A04012"/>
    <w:rsid w:val="00A046FA"/>
    <w:rsid w:val="00A0562E"/>
    <w:rsid w:val="00A0726D"/>
    <w:rsid w:val="00A073AE"/>
    <w:rsid w:val="00A12181"/>
    <w:rsid w:val="00A12204"/>
    <w:rsid w:val="00A12750"/>
    <w:rsid w:val="00A128D6"/>
    <w:rsid w:val="00A13CB0"/>
    <w:rsid w:val="00A1561F"/>
    <w:rsid w:val="00A16544"/>
    <w:rsid w:val="00A30BF5"/>
    <w:rsid w:val="00A31BE6"/>
    <w:rsid w:val="00A32FBB"/>
    <w:rsid w:val="00A40068"/>
    <w:rsid w:val="00A40BE9"/>
    <w:rsid w:val="00A428EE"/>
    <w:rsid w:val="00A443C2"/>
    <w:rsid w:val="00A4478A"/>
    <w:rsid w:val="00A44852"/>
    <w:rsid w:val="00A4693A"/>
    <w:rsid w:val="00A46A51"/>
    <w:rsid w:val="00A50502"/>
    <w:rsid w:val="00A5087B"/>
    <w:rsid w:val="00A525AD"/>
    <w:rsid w:val="00A53409"/>
    <w:rsid w:val="00A53796"/>
    <w:rsid w:val="00A53848"/>
    <w:rsid w:val="00A56945"/>
    <w:rsid w:val="00A56A6E"/>
    <w:rsid w:val="00A57D04"/>
    <w:rsid w:val="00A60A26"/>
    <w:rsid w:val="00A61598"/>
    <w:rsid w:val="00A61777"/>
    <w:rsid w:val="00A63646"/>
    <w:rsid w:val="00A63914"/>
    <w:rsid w:val="00A743A9"/>
    <w:rsid w:val="00A84A99"/>
    <w:rsid w:val="00A84F46"/>
    <w:rsid w:val="00A85E87"/>
    <w:rsid w:val="00A86AEA"/>
    <w:rsid w:val="00A871F4"/>
    <w:rsid w:val="00A9431A"/>
    <w:rsid w:val="00A95988"/>
    <w:rsid w:val="00A959DF"/>
    <w:rsid w:val="00A97A1B"/>
    <w:rsid w:val="00AA2927"/>
    <w:rsid w:val="00AB2CB8"/>
    <w:rsid w:val="00AB4617"/>
    <w:rsid w:val="00AC1864"/>
    <w:rsid w:val="00AC1B2C"/>
    <w:rsid w:val="00AC3264"/>
    <w:rsid w:val="00AC46AD"/>
    <w:rsid w:val="00AC4D2D"/>
    <w:rsid w:val="00AC58EC"/>
    <w:rsid w:val="00AC7282"/>
    <w:rsid w:val="00AC7961"/>
    <w:rsid w:val="00AD314E"/>
    <w:rsid w:val="00AD5D70"/>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5E71"/>
    <w:rsid w:val="00B00B0E"/>
    <w:rsid w:val="00B00B26"/>
    <w:rsid w:val="00B02385"/>
    <w:rsid w:val="00B02F9D"/>
    <w:rsid w:val="00B05766"/>
    <w:rsid w:val="00B104A7"/>
    <w:rsid w:val="00B1103A"/>
    <w:rsid w:val="00B13048"/>
    <w:rsid w:val="00B13883"/>
    <w:rsid w:val="00B1716D"/>
    <w:rsid w:val="00B17A1D"/>
    <w:rsid w:val="00B207A0"/>
    <w:rsid w:val="00B21C21"/>
    <w:rsid w:val="00B21C48"/>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05CD"/>
    <w:rsid w:val="00B62765"/>
    <w:rsid w:val="00B65DF5"/>
    <w:rsid w:val="00B7679F"/>
    <w:rsid w:val="00B77159"/>
    <w:rsid w:val="00B77902"/>
    <w:rsid w:val="00B8080B"/>
    <w:rsid w:val="00B82223"/>
    <w:rsid w:val="00B87BA5"/>
    <w:rsid w:val="00B87C39"/>
    <w:rsid w:val="00B93891"/>
    <w:rsid w:val="00B9562D"/>
    <w:rsid w:val="00B976D8"/>
    <w:rsid w:val="00BA21DA"/>
    <w:rsid w:val="00BA2B60"/>
    <w:rsid w:val="00BA3C93"/>
    <w:rsid w:val="00BA4665"/>
    <w:rsid w:val="00BA7FD7"/>
    <w:rsid w:val="00BB1681"/>
    <w:rsid w:val="00BB1F6D"/>
    <w:rsid w:val="00BB2FB2"/>
    <w:rsid w:val="00BB3304"/>
    <w:rsid w:val="00BB6551"/>
    <w:rsid w:val="00BC2453"/>
    <w:rsid w:val="00BC4A10"/>
    <w:rsid w:val="00BD30F4"/>
    <w:rsid w:val="00BD3446"/>
    <w:rsid w:val="00BD59CF"/>
    <w:rsid w:val="00BE1312"/>
    <w:rsid w:val="00BE1F1B"/>
    <w:rsid w:val="00BE3F89"/>
    <w:rsid w:val="00BE47B5"/>
    <w:rsid w:val="00BE5FCE"/>
    <w:rsid w:val="00C0079E"/>
    <w:rsid w:val="00C01C10"/>
    <w:rsid w:val="00C03404"/>
    <w:rsid w:val="00C0572A"/>
    <w:rsid w:val="00C11039"/>
    <w:rsid w:val="00C13EBD"/>
    <w:rsid w:val="00C1631B"/>
    <w:rsid w:val="00C163AB"/>
    <w:rsid w:val="00C170F0"/>
    <w:rsid w:val="00C25962"/>
    <w:rsid w:val="00C25FA6"/>
    <w:rsid w:val="00C3099D"/>
    <w:rsid w:val="00C33011"/>
    <w:rsid w:val="00C362C1"/>
    <w:rsid w:val="00C40F63"/>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72"/>
    <w:rsid w:val="00C66A00"/>
    <w:rsid w:val="00C67A92"/>
    <w:rsid w:val="00C71280"/>
    <w:rsid w:val="00C717BF"/>
    <w:rsid w:val="00C75E3E"/>
    <w:rsid w:val="00C76178"/>
    <w:rsid w:val="00C838F1"/>
    <w:rsid w:val="00C84560"/>
    <w:rsid w:val="00C86679"/>
    <w:rsid w:val="00C8792F"/>
    <w:rsid w:val="00C90472"/>
    <w:rsid w:val="00C91D6E"/>
    <w:rsid w:val="00C97967"/>
    <w:rsid w:val="00CA489E"/>
    <w:rsid w:val="00CB0279"/>
    <w:rsid w:val="00CB4C7D"/>
    <w:rsid w:val="00CB666B"/>
    <w:rsid w:val="00CB734B"/>
    <w:rsid w:val="00CC058C"/>
    <w:rsid w:val="00CC41B6"/>
    <w:rsid w:val="00CC7869"/>
    <w:rsid w:val="00CC7ADA"/>
    <w:rsid w:val="00CC7F1D"/>
    <w:rsid w:val="00CD0A88"/>
    <w:rsid w:val="00CD125D"/>
    <w:rsid w:val="00CD1E6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CF786F"/>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4854"/>
    <w:rsid w:val="00D7786B"/>
    <w:rsid w:val="00D80893"/>
    <w:rsid w:val="00D82519"/>
    <w:rsid w:val="00D84854"/>
    <w:rsid w:val="00D924AE"/>
    <w:rsid w:val="00D92CF1"/>
    <w:rsid w:val="00D92D38"/>
    <w:rsid w:val="00D950F5"/>
    <w:rsid w:val="00D96553"/>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2694"/>
    <w:rsid w:val="00E04818"/>
    <w:rsid w:val="00E06442"/>
    <w:rsid w:val="00E06952"/>
    <w:rsid w:val="00E10B88"/>
    <w:rsid w:val="00E11E61"/>
    <w:rsid w:val="00E157B2"/>
    <w:rsid w:val="00E16055"/>
    <w:rsid w:val="00E162EC"/>
    <w:rsid w:val="00E16E70"/>
    <w:rsid w:val="00E20B57"/>
    <w:rsid w:val="00E21125"/>
    <w:rsid w:val="00E2332D"/>
    <w:rsid w:val="00E23993"/>
    <w:rsid w:val="00E2574F"/>
    <w:rsid w:val="00E25951"/>
    <w:rsid w:val="00E25B8C"/>
    <w:rsid w:val="00E26A0A"/>
    <w:rsid w:val="00E30BB4"/>
    <w:rsid w:val="00E31CF6"/>
    <w:rsid w:val="00E34A4A"/>
    <w:rsid w:val="00E35AFC"/>
    <w:rsid w:val="00E41D39"/>
    <w:rsid w:val="00E44852"/>
    <w:rsid w:val="00E50A02"/>
    <w:rsid w:val="00E54106"/>
    <w:rsid w:val="00E541FC"/>
    <w:rsid w:val="00E54697"/>
    <w:rsid w:val="00E57A08"/>
    <w:rsid w:val="00E614F6"/>
    <w:rsid w:val="00E63631"/>
    <w:rsid w:val="00E64C2A"/>
    <w:rsid w:val="00E65C85"/>
    <w:rsid w:val="00E66199"/>
    <w:rsid w:val="00E70526"/>
    <w:rsid w:val="00E754B4"/>
    <w:rsid w:val="00E755EC"/>
    <w:rsid w:val="00E7624D"/>
    <w:rsid w:val="00E81724"/>
    <w:rsid w:val="00E81946"/>
    <w:rsid w:val="00E819A4"/>
    <w:rsid w:val="00E81B21"/>
    <w:rsid w:val="00E833FA"/>
    <w:rsid w:val="00E84B74"/>
    <w:rsid w:val="00E85E2B"/>
    <w:rsid w:val="00E87066"/>
    <w:rsid w:val="00E87A52"/>
    <w:rsid w:val="00E966BF"/>
    <w:rsid w:val="00EA0C04"/>
    <w:rsid w:val="00EA3D42"/>
    <w:rsid w:val="00EA6B1B"/>
    <w:rsid w:val="00EB15C9"/>
    <w:rsid w:val="00EB1CBD"/>
    <w:rsid w:val="00EB3A34"/>
    <w:rsid w:val="00EB3C3F"/>
    <w:rsid w:val="00EC04F1"/>
    <w:rsid w:val="00EC237F"/>
    <w:rsid w:val="00EC573A"/>
    <w:rsid w:val="00ED2C5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62B"/>
    <w:rsid w:val="00F10A9A"/>
    <w:rsid w:val="00F11B2D"/>
    <w:rsid w:val="00F121C2"/>
    <w:rsid w:val="00F13965"/>
    <w:rsid w:val="00F1485B"/>
    <w:rsid w:val="00F15882"/>
    <w:rsid w:val="00F170C7"/>
    <w:rsid w:val="00F171E0"/>
    <w:rsid w:val="00F20BD3"/>
    <w:rsid w:val="00F23ED5"/>
    <w:rsid w:val="00F2722C"/>
    <w:rsid w:val="00F302D5"/>
    <w:rsid w:val="00F322E9"/>
    <w:rsid w:val="00F3231B"/>
    <w:rsid w:val="00F33808"/>
    <w:rsid w:val="00F373A5"/>
    <w:rsid w:val="00F37864"/>
    <w:rsid w:val="00F404F9"/>
    <w:rsid w:val="00F44B0A"/>
    <w:rsid w:val="00F47559"/>
    <w:rsid w:val="00F50B30"/>
    <w:rsid w:val="00F51F5F"/>
    <w:rsid w:val="00F523C9"/>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41E5"/>
    <w:rsid w:val="00F952A0"/>
    <w:rsid w:val="00FA31B1"/>
    <w:rsid w:val="00FA3320"/>
    <w:rsid w:val="00FA3C7F"/>
    <w:rsid w:val="00FA5C09"/>
    <w:rsid w:val="00FA6246"/>
    <w:rsid w:val="00FB24ED"/>
    <w:rsid w:val="00FB3304"/>
    <w:rsid w:val="00FB5005"/>
    <w:rsid w:val="00FB5831"/>
    <w:rsid w:val="00FB60FE"/>
    <w:rsid w:val="00FB74E2"/>
    <w:rsid w:val="00FB778B"/>
    <w:rsid w:val="00FC6220"/>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Bullet" w:uiPriority="0"/>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22605"/>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Bullet" w:uiPriority="0"/>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22605"/>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13980463">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29.wmf"/><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oleObject" Target="embeddings/oleObject28.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oleObject" Target="embeddings/oleObject23.bin"/><Relationship Id="rId10" Type="http://schemas.openxmlformats.org/officeDocument/2006/relationships/image" Target="media/image1.jp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7.bin"/><Relationship Id="rId77"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oleObject" Target="embeddings/oleObject18.bin"/><Relationship Id="rId72" Type="http://schemas.openxmlformats.org/officeDocument/2006/relationships/image" Target="media/image31.wmf"/><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etworks-pipelines/determinations-access-arrangements/pricing-proposals-tariffs/powercor-ami-budget-and-charges-determination-2012-15" TargetMode="External"/><Relationship Id="rId2" Type="http://schemas.openxmlformats.org/officeDocument/2006/relationships/hyperlink" Target="https://www.aer.gov.au/networks-pipelines/determinations-access-arrangements/pricing-proposals-tariffs?f%5b0%5d=type%3Aaccc_aer_ami_charges&amp;f%5b1%5d=field_accc_aer_effective_date%3A2012" TargetMode="External"/><Relationship Id="rId1" Type="http://schemas.openxmlformats.org/officeDocument/2006/relationships/hyperlink" Target="http://www.smartmeters.vic.gov.au/about-smart-meters/end-of-rollout"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25D2E9-EEE1-4803-8550-C4F423DD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97FCE273</Template>
  <TotalTime>0</TotalTime>
  <Pages>41</Pages>
  <Words>10871</Words>
  <Characters>61968</Characters>
  <Application>Microsoft Office Word</Application>
  <DocSecurity>0</DocSecurity>
  <Lines>516</Lines>
  <Paragraphs>145</Paragraphs>
  <ScaleCrop>false</ScaleCrop>
  <LinksUpToDate>false</LinksUpToDate>
  <CharactersWithSpaces>72694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2016-05-20T09:51:00Z</dcterms:created>
  <dcterms:modified xsi:type="dcterms:W3CDTF">2016-05-20T09:51:00Z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8591183</vt:lpwstr>
  </property>
</Properties>
</file>