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10E6F43" wp14:editId="71CF0B0B">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EE79D8F" wp14:editId="0694347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7A3CC3"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5F73CF">
            <w:t>8</w:t>
          </w:r>
          <w:r w:rsidR="000474DF">
            <w:t xml:space="preserve"> </w:t>
          </w:r>
          <w:r w:rsidR="00185BA5">
            <w:t>–</w:t>
          </w:r>
          <w:r w:rsidR="000474DF">
            <w:t xml:space="preserve"> </w:t>
          </w:r>
          <w:r w:rsidR="005F73CF">
            <w:t>Corporate income tax</w:t>
          </w:r>
        </w:p>
        <w:p w:rsidR="000A6C7B" w:rsidRPr="00327A1E" w:rsidRDefault="005A204E"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5853"/>
      <w:r>
        <w:lastRenderedPageBreak/>
        <w:t>Note</w:t>
      </w:r>
      <w:bookmarkEnd w:id="2"/>
      <w:bookmarkEnd w:id="3"/>
      <w:bookmarkEnd w:id="4"/>
    </w:p>
    <w:p w:rsidR="00761454" w:rsidRDefault="00761454" w:rsidP="00761454">
      <w:pPr>
        <w:numPr>
          <w:ilvl w:val="0"/>
          <w:numId w:val="24"/>
        </w:numPr>
      </w:pPr>
      <w:r>
        <w:t xml:space="preserve">This </w:t>
      </w:r>
      <w:r w:rsidR="00A347C1">
        <w:t xml:space="preserve">attachment </w:t>
      </w:r>
      <w:r>
        <w:t xml:space="preserve">forms part of the AER's </w:t>
      </w:r>
      <w:r w:rsidR="00DB4E34">
        <w:t>final</w:t>
      </w:r>
      <w:r w:rsidR="000474DF">
        <w:t xml:space="preserve"> </w:t>
      </w:r>
      <w:r>
        <w:t xml:space="preserve">decision on </w:t>
      </w:r>
      <w:r w:rsidR="007A3CC3">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5854"/>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2B2070"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5853" w:history="1">
            <w:r w:rsidR="002B2070" w:rsidRPr="003F441D">
              <w:rPr>
                <w:rStyle w:val="Hyperlink"/>
              </w:rPr>
              <w:t>Note</w:t>
            </w:r>
            <w:r w:rsidR="002B2070">
              <w:rPr>
                <w:webHidden/>
              </w:rPr>
              <w:tab/>
            </w:r>
            <w:r w:rsidR="002B2070">
              <w:rPr>
                <w:webHidden/>
              </w:rPr>
              <w:fldChar w:fldCharType="begin"/>
            </w:r>
            <w:r w:rsidR="002B2070">
              <w:rPr>
                <w:webHidden/>
              </w:rPr>
              <w:instrText xml:space="preserve"> PAGEREF _Toc451285853 \h </w:instrText>
            </w:r>
            <w:r w:rsidR="002B2070">
              <w:rPr>
                <w:webHidden/>
              </w:rPr>
            </w:r>
            <w:r w:rsidR="002B2070">
              <w:rPr>
                <w:webHidden/>
              </w:rPr>
              <w:fldChar w:fldCharType="separate"/>
            </w:r>
            <w:r w:rsidR="002B2070">
              <w:rPr>
                <w:webHidden/>
              </w:rPr>
              <w:t>8-2</w:t>
            </w:r>
            <w:r w:rsidR="002B2070">
              <w:rPr>
                <w:webHidden/>
              </w:rPr>
              <w:fldChar w:fldCharType="end"/>
            </w:r>
          </w:hyperlink>
        </w:p>
        <w:p w:rsidR="002B2070" w:rsidRDefault="004B5E0D">
          <w:pPr>
            <w:pStyle w:val="TOC1"/>
            <w:rPr>
              <w:rFonts w:asciiTheme="minorHAnsi" w:eastAsiaTheme="minorEastAsia" w:hAnsiTheme="minorHAnsi"/>
              <w:b w:val="0"/>
              <w:color w:val="auto"/>
              <w:sz w:val="22"/>
              <w:lang w:val="en-AU" w:eastAsia="en-AU"/>
            </w:rPr>
          </w:pPr>
          <w:hyperlink w:anchor="_Toc451285854" w:history="1">
            <w:r w:rsidR="002B2070" w:rsidRPr="003F441D">
              <w:rPr>
                <w:rStyle w:val="Hyperlink"/>
              </w:rPr>
              <w:t>Contents</w:t>
            </w:r>
            <w:r w:rsidR="002B2070">
              <w:rPr>
                <w:webHidden/>
              </w:rPr>
              <w:tab/>
            </w:r>
            <w:r w:rsidR="002B2070">
              <w:rPr>
                <w:webHidden/>
              </w:rPr>
              <w:fldChar w:fldCharType="begin"/>
            </w:r>
            <w:r w:rsidR="002B2070">
              <w:rPr>
                <w:webHidden/>
              </w:rPr>
              <w:instrText xml:space="preserve"> PAGEREF _Toc451285854 \h </w:instrText>
            </w:r>
            <w:r w:rsidR="002B2070">
              <w:rPr>
                <w:webHidden/>
              </w:rPr>
            </w:r>
            <w:r w:rsidR="002B2070">
              <w:rPr>
                <w:webHidden/>
              </w:rPr>
              <w:fldChar w:fldCharType="separate"/>
            </w:r>
            <w:r w:rsidR="002B2070">
              <w:rPr>
                <w:webHidden/>
              </w:rPr>
              <w:t>8-3</w:t>
            </w:r>
            <w:r w:rsidR="002B2070">
              <w:rPr>
                <w:webHidden/>
              </w:rPr>
              <w:fldChar w:fldCharType="end"/>
            </w:r>
          </w:hyperlink>
        </w:p>
        <w:p w:rsidR="002B2070" w:rsidRDefault="004B5E0D">
          <w:pPr>
            <w:pStyle w:val="TOC1"/>
            <w:rPr>
              <w:rFonts w:asciiTheme="minorHAnsi" w:eastAsiaTheme="minorEastAsia" w:hAnsiTheme="minorHAnsi"/>
              <w:b w:val="0"/>
              <w:color w:val="auto"/>
              <w:sz w:val="22"/>
              <w:lang w:val="en-AU" w:eastAsia="en-AU"/>
            </w:rPr>
          </w:pPr>
          <w:hyperlink w:anchor="_Toc451285855" w:history="1">
            <w:r w:rsidR="002B2070" w:rsidRPr="003F441D">
              <w:rPr>
                <w:rStyle w:val="Hyperlink"/>
              </w:rPr>
              <w:t>Shortened forms</w:t>
            </w:r>
            <w:r w:rsidR="002B2070">
              <w:rPr>
                <w:webHidden/>
              </w:rPr>
              <w:tab/>
            </w:r>
            <w:r w:rsidR="002B2070">
              <w:rPr>
                <w:webHidden/>
              </w:rPr>
              <w:fldChar w:fldCharType="begin"/>
            </w:r>
            <w:r w:rsidR="002B2070">
              <w:rPr>
                <w:webHidden/>
              </w:rPr>
              <w:instrText xml:space="preserve"> PAGEREF _Toc451285855 \h </w:instrText>
            </w:r>
            <w:r w:rsidR="002B2070">
              <w:rPr>
                <w:webHidden/>
              </w:rPr>
            </w:r>
            <w:r w:rsidR="002B2070">
              <w:rPr>
                <w:webHidden/>
              </w:rPr>
              <w:fldChar w:fldCharType="separate"/>
            </w:r>
            <w:r w:rsidR="002B2070">
              <w:rPr>
                <w:webHidden/>
              </w:rPr>
              <w:t>8-4</w:t>
            </w:r>
            <w:r w:rsidR="002B2070">
              <w:rPr>
                <w:webHidden/>
              </w:rPr>
              <w:fldChar w:fldCharType="end"/>
            </w:r>
          </w:hyperlink>
        </w:p>
        <w:p w:rsidR="002B2070" w:rsidRDefault="004B5E0D">
          <w:pPr>
            <w:pStyle w:val="TOC1"/>
            <w:rPr>
              <w:rFonts w:asciiTheme="minorHAnsi" w:eastAsiaTheme="minorEastAsia" w:hAnsiTheme="minorHAnsi"/>
              <w:b w:val="0"/>
              <w:color w:val="auto"/>
              <w:sz w:val="22"/>
              <w:lang w:val="en-AU" w:eastAsia="en-AU"/>
            </w:rPr>
          </w:pPr>
          <w:hyperlink w:anchor="_Toc451285856" w:history="1">
            <w:r w:rsidR="002B2070" w:rsidRPr="003F441D">
              <w:rPr>
                <w:rStyle w:val="Hyperlink"/>
              </w:rPr>
              <w:t>8</w:t>
            </w:r>
            <w:r w:rsidR="002B2070">
              <w:rPr>
                <w:rFonts w:asciiTheme="minorHAnsi" w:eastAsiaTheme="minorEastAsia" w:hAnsiTheme="minorHAnsi"/>
                <w:b w:val="0"/>
                <w:color w:val="auto"/>
                <w:sz w:val="22"/>
                <w:lang w:val="en-AU" w:eastAsia="en-AU"/>
              </w:rPr>
              <w:tab/>
            </w:r>
            <w:r w:rsidR="002B2070" w:rsidRPr="003F441D">
              <w:rPr>
                <w:rStyle w:val="Hyperlink"/>
              </w:rPr>
              <w:t>Corporate income tax</w:t>
            </w:r>
            <w:r w:rsidR="002B2070">
              <w:rPr>
                <w:webHidden/>
              </w:rPr>
              <w:tab/>
            </w:r>
            <w:r w:rsidR="002B2070">
              <w:rPr>
                <w:webHidden/>
              </w:rPr>
              <w:fldChar w:fldCharType="begin"/>
            </w:r>
            <w:r w:rsidR="002B2070">
              <w:rPr>
                <w:webHidden/>
              </w:rPr>
              <w:instrText xml:space="preserve"> PAGEREF _Toc451285856 \h </w:instrText>
            </w:r>
            <w:r w:rsidR="002B2070">
              <w:rPr>
                <w:webHidden/>
              </w:rPr>
            </w:r>
            <w:r w:rsidR="002B2070">
              <w:rPr>
                <w:webHidden/>
              </w:rPr>
              <w:fldChar w:fldCharType="separate"/>
            </w:r>
            <w:r w:rsidR="002B2070">
              <w:rPr>
                <w:webHidden/>
              </w:rPr>
              <w:t>8-6</w:t>
            </w:r>
            <w:r w:rsidR="002B2070">
              <w:rPr>
                <w:webHidden/>
              </w:rPr>
              <w:fldChar w:fldCharType="end"/>
            </w:r>
          </w:hyperlink>
        </w:p>
        <w:p w:rsidR="002B2070" w:rsidRDefault="004B5E0D">
          <w:pPr>
            <w:pStyle w:val="TOC2"/>
            <w:rPr>
              <w:rFonts w:asciiTheme="minorHAnsi" w:eastAsiaTheme="minorEastAsia" w:hAnsiTheme="minorHAnsi"/>
              <w:b w:val="0"/>
              <w:color w:val="auto"/>
              <w:sz w:val="22"/>
              <w:lang w:eastAsia="en-AU"/>
            </w:rPr>
          </w:pPr>
          <w:hyperlink w:anchor="_Toc451285857" w:history="1">
            <w:r w:rsidR="002B2070" w:rsidRPr="003F441D">
              <w:rPr>
                <w:rStyle w:val="Hyperlink"/>
              </w:rPr>
              <w:t>8.1</w:t>
            </w:r>
            <w:r w:rsidR="002B2070">
              <w:rPr>
                <w:rFonts w:asciiTheme="minorHAnsi" w:eastAsiaTheme="minorEastAsia" w:hAnsiTheme="minorHAnsi"/>
                <w:b w:val="0"/>
                <w:color w:val="auto"/>
                <w:sz w:val="22"/>
                <w:lang w:eastAsia="en-AU"/>
              </w:rPr>
              <w:tab/>
            </w:r>
            <w:r w:rsidR="002B2070" w:rsidRPr="003F441D">
              <w:rPr>
                <w:rStyle w:val="Hyperlink"/>
              </w:rPr>
              <w:t>Final decision</w:t>
            </w:r>
            <w:r w:rsidR="002B2070">
              <w:rPr>
                <w:webHidden/>
              </w:rPr>
              <w:tab/>
            </w:r>
            <w:r w:rsidR="002B2070">
              <w:rPr>
                <w:webHidden/>
              </w:rPr>
              <w:fldChar w:fldCharType="begin"/>
            </w:r>
            <w:r w:rsidR="002B2070">
              <w:rPr>
                <w:webHidden/>
              </w:rPr>
              <w:instrText xml:space="preserve"> PAGEREF _Toc451285857 \h </w:instrText>
            </w:r>
            <w:r w:rsidR="002B2070">
              <w:rPr>
                <w:webHidden/>
              </w:rPr>
            </w:r>
            <w:r w:rsidR="002B2070">
              <w:rPr>
                <w:webHidden/>
              </w:rPr>
              <w:fldChar w:fldCharType="separate"/>
            </w:r>
            <w:r w:rsidR="002B2070">
              <w:rPr>
                <w:webHidden/>
              </w:rPr>
              <w:t>8-6</w:t>
            </w:r>
            <w:r w:rsidR="002B2070">
              <w:rPr>
                <w:webHidden/>
              </w:rPr>
              <w:fldChar w:fldCharType="end"/>
            </w:r>
          </w:hyperlink>
        </w:p>
        <w:p w:rsidR="002B2070" w:rsidRDefault="004B5E0D">
          <w:pPr>
            <w:pStyle w:val="TOC2"/>
            <w:rPr>
              <w:rFonts w:asciiTheme="minorHAnsi" w:eastAsiaTheme="minorEastAsia" w:hAnsiTheme="minorHAnsi"/>
              <w:b w:val="0"/>
              <w:color w:val="auto"/>
              <w:sz w:val="22"/>
              <w:lang w:eastAsia="en-AU"/>
            </w:rPr>
          </w:pPr>
          <w:hyperlink w:anchor="_Toc451285858" w:history="1">
            <w:r w:rsidR="002B2070" w:rsidRPr="003F441D">
              <w:rPr>
                <w:rStyle w:val="Hyperlink"/>
              </w:rPr>
              <w:t>8.2</w:t>
            </w:r>
            <w:r w:rsidR="002B2070">
              <w:rPr>
                <w:rFonts w:asciiTheme="minorHAnsi" w:eastAsiaTheme="minorEastAsia" w:hAnsiTheme="minorHAnsi"/>
                <w:b w:val="0"/>
                <w:color w:val="auto"/>
                <w:sz w:val="22"/>
                <w:lang w:eastAsia="en-AU"/>
              </w:rPr>
              <w:tab/>
            </w:r>
            <w:r w:rsidR="002B2070" w:rsidRPr="003F441D">
              <w:rPr>
                <w:rStyle w:val="Hyperlink"/>
              </w:rPr>
              <w:t>Jemena's revised proposal</w:t>
            </w:r>
            <w:r w:rsidR="002B2070">
              <w:rPr>
                <w:webHidden/>
              </w:rPr>
              <w:tab/>
            </w:r>
            <w:r w:rsidR="002B2070">
              <w:rPr>
                <w:webHidden/>
              </w:rPr>
              <w:fldChar w:fldCharType="begin"/>
            </w:r>
            <w:r w:rsidR="002B2070">
              <w:rPr>
                <w:webHidden/>
              </w:rPr>
              <w:instrText xml:space="preserve"> PAGEREF _Toc451285858 \h </w:instrText>
            </w:r>
            <w:r w:rsidR="002B2070">
              <w:rPr>
                <w:webHidden/>
              </w:rPr>
            </w:r>
            <w:r w:rsidR="002B2070">
              <w:rPr>
                <w:webHidden/>
              </w:rPr>
              <w:fldChar w:fldCharType="separate"/>
            </w:r>
            <w:r w:rsidR="002B2070">
              <w:rPr>
                <w:webHidden/>
              </w:rPr>
              <w:t>8-7</w:t>
            </w:r>
            <w:r w:rsidR="002B2070">
              <w:rPr>
                <w:webHidden/>
              </w:rPr>
              <w:fldChar w:fldCharType="end"/>
            </w:r>
          </w:hyperlink>
        </w:p>
        <w:p w:rsidR="002B2070" w:rsidRDefault="004B5E0D">
          <w:pPr>
            <w:pStyle w:val="TOC2"/>
            <w:rPr>
              <w:rFonts w:asciiTheme="minorHAnsi" w:eastAsiaTheme="minorEastAsia" w:hAnsiTheme="minorHAnsi"/>
              <w:b w:val="0"/>
              <w:color w:val="auto"/>
              <w:sz w:val="22"/>
              <w:lang w:eastAsia="en-AU"/>
            </w:rPr>
          </w:pPr>
          <w:hyperlink w:anchor="_Toc451285859" w:history="1">
            <w:r w:rsidR="002B2070" w:rsidRPr="003F441D">
              <w:rPr>
                <w:rStyle w:val="Hyperlink"/>
              </w:rPr>
              <w:t>8.3</w:t>
            </w:r>
            <w:r w:rsidR="002B2070">
              <w:rPr>
                <w:rFonts w:asciiTheme="minorHAnsi" w:eastAsiaTheme="minorEastAsia" w:hAnsiTheme="minorHAnsi"/>
                <w:b w:val="0"/>
                <w:color w:val="auto"/>
                <w:sz w:val="22"/>
                <w:lang w:eastAsia="en-AU"/>
              </w:rPr>
              <w:tab/>
            </w:r>
            <w:r w:rsidR="002B2070" w:rsidRPr="003F441D">
              <w:rPr>
                <w:rStyle w:val="Hyperlink"/>
              </w:rPr>
              <w:t>Assessment approach</w:t>
            </w:r>
            <w:r w:rsidR="002B2070">
              <w:rPr>
                <w:webHidden/>
              </w:rPr>
              <w:tab/>
            </w:r>
            <w:r w:rsidR="002B2070">
              <w:rPr>
                <w:webHidden/>
              </w:rPr>
              <w:fldChar w:fldCharType="begin"/>
            </w:r>
            <w:r w:rsidR="002B2070">
              <w:rPr>
                <w:webHidden/>
              </w:rPr>
              <w:instrText xml:space="preserve"> PAGEREF _Toc451285859 \h </w:instrText>
            </w:r>
            <w:r w:rsidR="002B2070">
              <w:rPr>
                <w:webHidden/>
              </w:rPr>
            </w:r>
            <w:r w:rsidR="002B2070">
              <w:rPr>
                <w:webHidden/>
              </w:rPr>
              <w:fldChar w:fldCharType="separate"/>
            </w:r>
            <w:r w:rsidR="002B2070">
              <w:rPr>
                <w:webHidden/>
              </w:rPr>
              <w:t>8-7</w:t>
            </w:r>
            <w:r w:rsidR="002B2070">
              <w:rPr>
                <w:webHidden/>
              </w:rPr>
              <w:fldChar w:fldCharType="end"/>
            </w:r>
          </w:hyperlink>
        </w:p>
        <w:p w:rsidR="002B2070" w:rsidRDefault="004B5E0D">
          <w:pPr>
            <w:pStyle w:val="TOC2"/>
            <w:rPr>
              <w:rFonts w:asciiTheme="minorHAnsi" w:eastAsiaTheme="minorEastAsia" w:hAnsiTheme="minorHAnsi"/>
              <w:b w:val="0"/>
              <w:color w:val="auto"/>
              <w:sz w:val="22"/>
              <w:lang w:eastAsia="en-AU"/>
            </w:rPr>
          </w:pPr>
          <w:hyperlink w:anchor="_Toc451285860" w:history="1">
            <w:r w:rsidR="002B2070" w:rsidRPr="003F441D">
              <w:rPr>
                <w:rStyle w:val="Hyperlink"/>
              </w:rPr>
              <w:t>8.4</w:t>
            </w:r>
            <w:r w:rsidR="002B2070">
              <w:rPr>
                <w:rFonts w:asciiTheme="minorHAnsi" w:eastAsiaTheme="minorEastAsia" w:hAnsiTheme="minorHAnsi"/>
                <w:b w:val="0"/>
                <w:color w:val="auto"/>
                <w:sz w:val="22"/>
                <w:lang w:eastAsia="en-AU"/>
              </w:rPr>
              <w:tab/>
            </w:r>
            <w:r w:rsidR="002B2070" w:rsidRPr="003F441D">
              <w:rPr>
                <w:rStyle w:val="Hyperlink"/>
              </w:rPr>
              <w:t>Reasons for final decision</w:t>
            </w:r>
            <w:r w:rsidR="002B2070">
              <w:rPr>
                <w:webHidden/>
              </w:rPr>
              <w:tab/>
            </w:r>
            <w:r w:rsidR="002B2070">
              <w:rPr>
                <w:webHidden/>
              </w:rPr>
              <w:fldChar w:fldCharType="begin"/>
            </w:r>
            <w:r w:rsidR="002B2070">
              <w:rPr>
                <w:webHidden/>
              </w:rPr>
              <w:instrText xml:space="preserve"> PAGEREF _Toc451285860 \h </w:instrText>
            </w:r>
            <w:r w:rsidR="002B2070">
              <w:rPr>
                <w:webHidden/>
              </w:rPr>
            </w:r>
            <w:r w:rsidR="002B2070">
              <w:rPr>
                <w:webHidden/>
              </w:rPr>
              <w:fldChar w:fldCharType="separate"/>
            </w:r>
            <w:r w:rsidR="002B2070">
              <w:rPr>
                <w:webHidden/>
              </w:rPr>
              <w:t>8-8</w:t>
            </w:r>
            <w:r w:rsidR="002B2070">
              <w:rPr>
                <w:webHidden/>
              </w:rPr>
              <w:fldChar w:fldCharType="end"/>
            </w:r>
          </w:hyperlink>
        </w:p>
        <w:p w:rsidR="002B2070" w:rsidRDefault="004B5E0D">
          <w:pPr>
            <w:pStyle w:val="TOC3"/>
            <w:rPr>
              <w:rFonts w:asciiTheme="minorHAnsi" w:eastAsiaTheme="minorEastAsia" w:hAnsiTheme="minorHAnsi"/>
              <w:lang w:eastAsia="en-AU"/>
            </w:rPr>
          </w:pPr>
          <w:hyperlink w:anchor="_Toc451285861" w:history="1">
            <w:r w:rsidR="002B2070" w:rsidRPr="003F441D">
              <w:rPr>
                <w:rStyle w:val="Hyperlink"/>
              </w:rPr>
              <w:t>8.4.1</w:t>
            </w:r>
            <w:r w:rsidR="002B2070">
              <w:rPr>
                <w:rFonts w:asciiTheme="minorHAnsi" w:eastAsiaTheme="minorEastAsia" w:hAnsiTheme="minorHAnsi"/>
                <w:lang w:eastAsia="en-AU"/>
              </w:rPr>
              <w:tab/>
            </w:r>
            <w:r w:rsidR="002B2070" w:rsidRPr="003F441D">
              <w:rPr>
                <w:rStyle w:val="Hyperlink"/>
              </w:rPr>
              <w:t>Opening tax asset base</w:t>
            </w:r>
            <w:r w:rsidR="002B2070">
              <w:rPr>
                <w:webHidden/>
              </w:rPr>
              <w:tab/>
            </w:r>
            <w:r w:rsidR="002B2070">
              <w:rPr>
                <w:webHidden/>
              </w:rPr>
              <w:fldChar w:fldCharType="begin"/>
            </w:r>
            <w:r w:rsidR="002B2070">
              <w:rPr>
                <w:webHidden/>
              </w:rPr>
              <w:instrText xml:space="preserve"> PAGEREF _Toc451285861 \h </w:instrText>
            </w:r>
            <w:r w:rsidR="002B2070">
              <w:rPr>
                <w:webHidden/>
              </w:rPr>
            </w:r>
            <w:r w:rsidR="002B2070">
              <w:rPr>
                <w:webHidden/>
              </w:rPr>
              <w:fldChar w:fldCharType="separate"/>
            </w:r>
            <w:r w:rsidR="002B2070">
              <w:rPr>
                <w:webHidden/>
              </w:rPr>
              <w:t>8-8</w:t>
            </w:r>
            <w:r w:rsidR="002B2070">
              <w:rPr>
                <w:webHidden/>
              </w:rPr>
              <w:fldChar w:fldCharType="end"/>
            </w:r>
          </w:hyperlink>
        </w:p>
        <w:p w:rsidR="002B2070" w:rsidRDefault="004B5E0D">
          <w:pPr>
            <w:pStyle w:val="TOC3"/>
            <w:rPr>
              <w:rFonts w:asciiTheme="minorHAnsi" w:eastAsiaTheme="minorEastAsia" w:hAnsiTheme="minorHAnsi"/>
              <w:lang w:eastAsia="en-AU"/>
            </w:rPr>
          </w:pPr>
          <w:hyperlink w:anchor="_Toc451285862" w:history="1">
            <w:r w:rsidR="002B2070" w:rsidRPr="003F441D">
              <w:rPr>
                <w:rStyle w:val="Hyperlink"/>
              </w:rPr>
              <w:t>8.4.2</w:t>
            </w:r>
            <w:r w:rsidR="002B2070">
              <w:rPr>
                <w:rFonts w:asciiTheme="minorHAnsi" w:eastAsiaTheme="minorEastAsia" w:hAnsiTheme="minorHAnsi"/>
                <w:lang w:eastAsia="en-AU"/>
              </w:rPr>
              <w:tab/>
            </w:r>
            <w:r w:rsidR="002B2070" w:rsidRPr="003F441D">
              <w:rPr>
                <w:rStyle w:val="Hyperlink"/>
              </w:rPr>
              <w:t>Remaining tax asset lives</w:t>
            </w:r>
            <w:r w:rsidR="002B2070">
              <w:rPr>
                <w:webHidden/>
              </w:rPr>
              <w:tab/>
            </w:r>
            <w:r w:rsidR="002B2070">
              <w:rPr>
                <w:webHidden/>
              </w:rPr>
              <w:fldChar w:fldCharType="begin"/>
            </w:r>
            <w:r w:rsidR="002B2070">
              <w:rPr>
                <w:webHidden/>
              </w:rPr>
              <w:instrText xml:space="preserve"> PAGEREF _Toc451285862 \h </w:instrText>
            </w:r>
            <w:r w:rsidR="002B2070">
              <w:rPr>
                <w:webHidden/>
              </w:rPr>
            </w:r>
            <w:r w:rsidR="002B2070">
              <w:rPr>
                <w:webHidden/>
              </w:rPr>
              <w:fldChar w:fldCharType="separate"/>
            </w:r>
            <w:r w:rsidR="002B2070">
              <w:rPr>
                <w:webHidden/>
              </w:rPr>
              <w:t>8-9</w:t>
            </w:r>
            <w:r w:rsidR="002B2070">
              <w:rPr>
                <w:webHidden/>
              </w:rPr>
              <w:fldChar w:fldCharType="end"/>
            </w:r>
          </w:hyperlink>
        </w:p>
        <w:p w:rsidR="002B2070" w:rsidRDefault="004B5E0D">
          <w:pPr>
            <w:pStyle w:val="TOC3"/>
            <w:rPr>
              <w:rFonts w:asciiTheme="minorHAnsi" w:eastAsiaTheme="minorEastAsia" w:hAnsiTheme="minorHAnsi"/>
              <w:lang w:eastAsia="en-AU"/>
            </w:rPr>
          </w:pPr>
          <w:hyperlink w:anchor="_Toc451285863" w:history="1">
            <w:r w:rsidR="002B2070" w:rsidRPr="003F441D">
              <w:rPr>
                <w:rStyle w:val="Hyperlink"/>
              </w:rPr>
              <w:t>8.4.3</w:t>
            </w:r>
            <w:r w:rsidR="002B2070">
              <w:rPr>
                <w:rFonts w:asciiTheme="minorHAnsi" w:eastAsiaTheme="minorEastAsia" w:hAnsiTheme="minorHAnsi"/>
                <w:lang w:eastAsia="en-AU"/>
              </w:rPr>
              <w:tab/>
            </w:r>
            <w:r w:rsidR="002B2070" w:rsidRPr="003F441D">
              <w:rPr>
                <w:rStyle w:val="Hyperlink"/>
              </w:rPr>
              <w:t>Standard tax asset lives</w:t>
            </w:r>
            <w:r w:rsidR="002B2070">
              <w:rPr>
                <w:webHidden/>
              </w:rPr>
              <w:tab/>
            </w:r>
            <w:r w:rsidR="002B2070">
              <w:rPr>
                <w:webHidden/>
              </w:rPr>
              <w:fldChar w:fldCharType="begin"/>
            </w:r>
            <w:r w:rsidR="002B2070">
              <w:rPr>
                <w:webHidden/>
              </w:rPr>
              <w:instrText xml:space="preserve"> PAGEREF _Toc451285863 \h </w:instrText>
            </w:r>
            <w:r w:rsidR="002B2070">
              <w:rPr>
                <w:webHidden/>
              </w:rPr>
            </w:r>
            <w:r w:rsidR="002B2070">
              <w:rPr>
                <w:webHidden/>
              </w:rPr>
              <w:fldChar w:fldCharType="separate"/>
            </w:r>
            <w:r w:rsidR="002B2070">
              <w:rPr>
                <w:webHidden/>
              </w:rPr>
              <w:t>8-10</w:t>
            </w:r>
            <w:r w:rsidR="002B2070">
              <w:rPr>
                <w:webHidden/>
              </w:rPr>
              <w:fldChar w:fldCharType="end"/>
            </w:r>
          </w:hyperlink>
        </w:p>
        <w:p w:rsidR="002B2070" w:rsidRDefault="004B5E0D">
          <w:pPr>
            <w:pStyle w:val="TOC3"/>
            <w:rPr>
              <w:rFonts w:asciiTheme="minorHAnsi" w:eastAsiaTheme="minorEastAsia" w:hAnsiTheme="minorHAnsi"/>
              <w:lang w:eastAsia="en-AU"/>
            </w:rPr>
          </w:pPr>
          <w:hyperlink w:anchor="_Toc451285864" w:history="1">
            <w:r w:rsidR="002B2070" w:rsidRPr="003F441D">
              <w:rPr>
                <w:rStyle w:val="Hyperlink"/>
              </w:rPr>
              <w:t>8.4.4</w:t>
            </w:r>
            <w:r w:rsidR="002B2070">
              <w:rPr>
                <w:rFonts w:asciiTheme="minorHAnsi" w:eastAsiaTheme="minorEastAsia" w:hAnsiTheme="minorHAnsi"/>
                <w:lang w:eastAsia="en-AU"/>
              </w:rPr>
              <w:tab/>
            </w:r>
            <w:r w:rsidR="002B2070" w:rsidRPr="003F441D">
              <w:rPr>
                <w:rStyle w:val="Hyperlink"/>
              </w:rPr>
              <w:t>Tax treatment of other revenue adjustments</w:t>
            </w:r>
            <w:r w:rsidR="002B2070">
              <w:rPr>
                <w:webHidden/>
              </w:rPr>
              <w:tab/>
            </w:r>
            <w:r w:rsidR="002B2070">
              <w:rPr>
                <w:webHidden/>
              </w:rPr>
              <w:fldChar w:fldCharType="begin"/>
            </w:r>
            <w:r w:rsidR="002B2070">
              <w:rPr>
                <w:webHidden/>
              </w:rPr>
              <w:instrText xml:space="preserve"> PAGEREF _Toc451285864 \h </w:instrText>
            </w:r>
            <w:r w:rsidR="002B2070">
              <w:rPr>
                <w:webHidden/>
              </w:rPr>
            </w:r>
            <w:r w:rsidR="002B2070">
              <w:rPr>
                <w:webHidden/>
              </w:rPr>
              <w:fldChar w:fldCharType="separate"/>
            </w:r>
            <w:r w:rsidR="002B2070">
              <w:rPr>
                <w:webHidden/>
              </w:rPr>
              <w:t>8-11</w:t>
            </w:r>
            <w:r w:rsidR="002B2070">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5855"/>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5F73CF" w:rsidP="005F73C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585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0E2C2D" w:rsidRPr="00521143" w:rsidRDefault="000E2C2D" w:rsidP="000E2C2D">
      <w:pPr>
        <w:rPr>
          <w:rStyle w:val="AERbody"/>
        </w:rPr>
      </w:pPr>
      <w:r w:rsidRPr="00521143">
        <w:rPr>
          <w:rStyle w:val="AERbody"/>
        </w:rPr>
        <w:t xml:space="preserve">We are required to make a decision on the estimated cost of corporate income tax for </w:t>
      </w:r>
      <w:r>
        <w:rPr>
          <w:rStyle w:val="AERbody"/>
        </w:rPr>
        <w:t>Jemena's 2016</w:t>
      </w:r>
      <w:r w:rsidRPr="00521143">
        <w:rPr>
          <w:rStyle w:val="AERbody"/>
        </w:rPr>
        <w:t>–20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Jemena </w:t>
      </w:r>
      <w:r w:rsidRPr="00521143">
        <w:rPr>
          <w:rStyle w:val="AERbody"/>
        </w:rPr>
        <w:t>to recover the costs associated with the estimated corporate i</w:t>
      </w:r>
      <w:r>
        <w:rPr>
          <w:rStyle w:val="AERbody"/>
        </w:rPr>
        <w:t>ncome tax payable during the 2016</w:t>
      </w:r>
      <w:r w:rsidRPr="00521143">
        <w:rPr>
          <w:rStyle w:val="AERbody"/>
        </w:rPr>
        <w:t xml:space="preserve">–20 regulatory control period. </w:t>
      </w:r>
    </w:p>
    <w:p w:rsidR="00132D43" w:rsidRPr="00132D43" w:rsidRDefault="000E2C2D" w:rsidP="00132D43">
      <w:r w:rsidRPr="00521143">
        <w:rPr>
          <w:rStyle w:val="AERbody"/>
        </w:rPr>
        <w:t xml:space="preserve">This attachment presents our </w:t>
      </w:r>
      <w:r>
        <w:rPr>
          <w:rStyle w:val="AERbody"/>
        </w:rPr>
        <w:t>final decision on</w:t>
      </w:r>
      <w:r w:rsidRPr="00521143">
        <w:rPr>
          <w:rStyle w:val="AERbody"/>
        </w:rPr>
        <w:t xml:space="preserve"> </w:t>
      </w:r>
      <w:r>
        <w:rPr>
          <w:rStyle w:val="AERbody"/>
        </w:rPr>
        <w:t>Jemena's revised</w:t>
      </w:r>
      <w:r w:rsidRPr="00521143">
        <w:rPr>
          <w:rStyle w:val="AERbody"/>
        </w:rPr>
        <w:t xml:space="preserve"> proposed corporate income tax allowance for the 201</w:t>
      </w:r>
      <w:r>
        <w:rPr>
          <w:rStyle w:val="AERbody"/>
        </w:rPr>
        <w:t>6</w:t>
      </w:r>
      <w:r w:rsidRPr="00521143">
        <w:rPr>
          <w:rStyle w:val="AERbody"/>
        </w:rPr>
        <w:t xml:space="preserve">–20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proposed opening tax asset base (TAB), and the standard and remaining tax asset lives used to estimate tax depreciation for the purpose of calculating tax expenses.</w:t>
      </w:r>
    </w:p>
    <w:p w:rsidR="00132D43" w:rsidRDefault="00DB4E34" w:rsidP="00132D43">
      <w:pPr>
        <w:pStyle w:val="Heading2"/>
      </w:pPr>
      <w:bookmarkStart w:id="72" w:name="_Toc451285857"/>
      <w:r>
        <w:t>Final</w:t>
      </w:r>
      <w:r w:rsidR="00132D43">
        <w:t xml:space="preserve"> decision</w:t>
      </w:r>
      <w:bookmarkEnd w:id="72"/>
    </w:p>
    <w:p w:rsidR="000E2C2D" w:rsidRDefault="000E2C2D" w:rsidP="000E2C2D">
      <w:r>
        <w:t>We do not accept Jemena's revised proposed cost of corporate income tax allowance of $128.8 million ($ nominal). Our final decision on the estimated cost of corporate income tax is $</w:t>
      </w:r>
      <w:r w:rsidR="00B74612">
        <w:t>7</w:t>
      </w:r>
      <w:r w:rsidR="00784992">
        <w:t>6.8 </w:t>
      </w:r>
      <w:r>
        <w:t>million ($ nominal) for Jemena over the 2016–20 regulatory control period. This represents a reduction of $</w:t>
      </w:r>
      <w:r w:rsidR="00784992">
        <w:t>52.0 </w:t>
      </w:r>
      <w:r>
        <w:t xml:space="preserve">million (or </w:t>
      </w:r>
      <w:r w:rsidR="00784992">
        <w:t>40.4</w:t>
      </w:r>
      <w:r w:rsidR="00B74612">
        <w:t> </w:t>
      </w:r>
      <w:r>
        <w:t>per cent) from its revised proposal.</w:t>
      </w:r>
    </w:p>
    <w:p w:rsidR="000E2C2D" w:rsidRDefault="000E2C2D" w:rsidP="000E2C2D">
      <w:r w:rsidRPr="00E123FB">
        <w:t xml:space="preserve">The reduction reflects our amendments to some of </w:t>
      </w:r>
      <w:r>
        <w:t>Jemena's</w:t>
      </w:r>
      <w:r w:rsidRPr="00E123FB">
        <w:t xml:space="preserve"> </w:t>
      </w:r>
      <w:r>
        <w:t xml:space="preserve">revised </w:t>
      </w:r>
      <w:r w:rsidRPr="00E123FB">
        <w:t>proposed inputs for forecasting the cost of corporate income tax such as the opening TAB (section</w:t>
      </w:r>
      <w:r>
        <w:t xml:space="preserve"> </w:t>
      </w:r>
      <w:r>
        <w:fldChar w:fldCharType="begin"/>
      </w:r>
      <w:r>
        <w:instrText xml:space="preserve"> REF _Ref442779263 \r \h </w:instrText>
      </w:r>
      <w:r>
        <w:fldChar w:fldCharType="separate"/>
      </w:r>
      <w:r w:rsidR="002B2070">
        <w:t>8.4.1</w:t>
      </w:r>
      <w:r>
        <w:fldChar w:fldCharType="end"/>
      </w:r>
      <w:r w:rsidRPr="00E123FB">
        <w:t>) and the remaining tax asset lives (sectio</w:t>
      </w:r>
      <w:r>
        <w:t xml:space="preserve">n </w:t>
      </w:r>
      <w:r>
        <w:fldChar w:fldCharType="begin"/>
      </w:r>
      <w:r>
        <w:instrText xml:space="preserve"> REF _Ref442779270 \r \h </w:instrText>
      </w:r>
      <w:r>
        <w:fldChar w:fldCharType="separate"/>
      </w:r>
      <w:r w:rsidR="002B2070">
        <w:t>8.4.2</w:t>
      </w:r>
      <w:r>
        <w:fldChar w:fldCharType="end"/>
      </w:r>
      <w:r>
        <w:t>). It also reflects our final decision on the value of imputation credits—gamma (attachment 4). Changes to the building block costs also affect revenues, which in turn impact the tax calculation. The changes affecting revenues are discussed in attachment 1.</w:t>
      </w:r>
    </w:p>
    <w:p w:rsidR="000E2C2D" w:rsidRDefault="000E2C2D" w:rsidP="000E2C2D">
      <w:r>
        <w:fldChar w:fldCharType="begin"/>
      </w:r>
      <w:r>
        <w:instrText xml:space="preserve"> REF _Ref442779042 \h </w:instrText>
      </w:r>
      <w:r>
        <w:fldChar w:fldCharType="separate"/>
      </w:r>
      <w:r w:rsidR="002B2070">
        <w:t xml:space="preserve">Table </w:t>
      </w:r>
      <w:r w:rsidR="002B2070">
        <w:rPr>
          <w:noProof/>
        </w:rPr>
        <w:t>8</w:t>
      </w:r>
      <w:r w:rsidR="002B2070">
        <w:t>.</w:t>
      </w:r>
      <w:r w:rsidR="002B2070">
        <w:rPr>
          <w:noProof/>
        </w:rPr>
        <w:t>1</w:t>
      </w:r>
      <w:r>
        <w:fldChar w:fldCharType="end"/>
      </w:r>
      <w:r>
        <w:t xml:space="preserve"> </w:t>
      </w:r>
      <w:r w:rsidRPr="00521143">
        <w:t>set</w:t>
      </w:r>
      <w:r>
        <w:t>s</w:t>
      </w:r>
      <w:r w:rsidRPr="00521143">
        <w:t xml:space="preserve"> out our </w:t>
      </w:r>
      <w:r>
        <w:t>final</w:t>
      </w:r>
      <w:r w:rsidRPr="00521143">
        <w:t xml:space="preserve"> decision on the estimated cost of corporate income tax allowance for </w:t>
      </w:r>
      <w:r>
        <w:t>Jemena over the 2016–20 regulatory control period</w:t>
      </w:r>
      <w:r w:rsidRPr="00521143">
        <w:t>.</w:t>
      </w:r>
    </w:p>
    <w:p w:rsidR="000E2C2D" w:rsidRDefault="000E2C2D" w:rsidP="000E2C2D">
      <w:pPr>
        <w:pStyle w:val="Caption"/>
      </w:pPr>
      <w:bookmarkStart w:id="73" w:name="_Ref442779042"/>
      <w:r>
        <w:t xml:space="preserve">Table </w:t>
      </w:r>
      <w:fldSimple w:instr=" STYLEREF 1 \s ">
        <w:r w:rsidR="002B2070">
          <w:rPr>
            <w:noProof/>
          </w:rPr>
          <w:t>8</w:t>
        </w:r>
      </w:fldSimple>
      <w:r w:rsidR="00D5560A">
        <w:t>.</w:t>
      </w:r>
      <w:fldSimple w:instr=" SEQ Table \* ARABIC \s 1 ">
        <w:r w:rsidR="002B2070">
          <w:rPr>
            <w:noProof/>
          </w:rPr>
          <w:t>1</w:t>
        </w:r>
      </w:fldSimple>
      <w:bookmarkEnd w:id="73"/>
      <w:r>
        <w:tab/>
      </w:r>
      <w:r w:rsidRPr="000E2C2D">
        <w:t xml:space="preserve">AER's final decision on </w:t>
      </w:r>
      <w:r>
        <w:t>Jemena</w:t>
      </w:r>
      <w:r w:rsidRPr="000E2C2D">
        <w:t>'s cost of corporate income tax allowance for the 2016–20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0E2C2D" w:rsidRPr="00521143" w:rsidTr="00D457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0E2C2D" w:rsidRPr="000E2C2D" w:rsidRDefault="000E2C2D" w:rsidP="000E2C2D">
            <w:r w:rsidRPr="00521143">
              <w:t> </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t>20</w:t>
            </w:r>
            <w:r w:rsidRPr="000E2C2D">
              <w:t>16</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521143">
              <w:t>201</w:t>
            </w:r>
            <w:r w:rsidRPr="000E2C2D">
              <w:t>7</w:t>
            </w:r>
          </w:p>
        </w:tc>
        <w:tc>
          <w:tcPr>
            <w:tcW w:w="919"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521143">
              <w:t>20</w:t>
            </w:r>
            <w:r w:rsidRPr="000E2C2D">
              <w:t>18</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521143">
              <w:t>20</w:t>
            </w:r>
            <w:r w:rsidRPr="000E2C2D">
              <w:t>19</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521143">
              <w:t>Total</w:t>
            </w:r>
          </w:p>
        </w:tc>
      </w:tr>
      <w:tr w:rsidR="00784992" w:rsidRPr="00521143" w:rsidTr="00D457A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84992" w:rsidRPr="00784992" w:rsidRDefault="00784992" w:rsidP="00784992">
            <w:r w:rsidRPr="00784992">
              <w:t>Tax payable</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pPr>
            <w:r w:rsidRPr="00784992">
              <w:t>29.4</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pPr>
            <w:r w:rsidRPr="00784992">
              <w:t>23.9</w:t>
            </w:r>
          </w:p>
        </w:tc>
        <w:tc>
          <w:tcPr>
            <w:tcW w:w="919"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pPr>
            <w:r w:rsidRPr="00784992">
              <w:t>23.6</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pPr>
            <w:r w:rsidRPr="00784992">
              <w:t>25.2</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pPr>
            <w:r w:rsidRPr="00784992">
              <w:t>25.9</w:t>
            </w:r>
          </w:p>
        </w:tc>
        <w:tc>
          <w:tcPr>
            <w:tcW w:w="919"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pPr>
            <w:r w:rsidRPr="00784992">
              <w:t>127.9</w:t>
            </w:r>
          </w:p>
        </w:tc>
      </w:tr>
      <w:tr w:rsidR="00784992" w:rsidRPr="00521143" w:rsidTr="00D457A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84992" w:rsidRPr="00784992" w:rsidRDefault="00784992" w:rsidP="00784992">
            <w:r w:rsidRPr="00784992">
              <w:rPr>
                <w:rStyle w:val="AERtextitalic"/>
              </w:rPr>
              <w:t xml:space="preserve">Less: </w:t>
            </w:r>
            <w:r w:rsidRPr="00784992">
              <w:t>value of imputation credits</w:t>
            </w:r>
          </w:p>
        </w:tc>
        <w:tc>
          <w:tcPr>
            <w:tcW w:w="918" w:type="dxa"/>
            <w:noWrap/>
            <w:vAlign w:val="bottom"/>
          </w:tcPr>
          <w:p w:rsidR="00784992" w:rsidRPr="00784992" w:rsidRDefault="00784992" w:rsidP="00784992">
            <w:pPr>
              <w:cnfStyle w:val="000000010000" w:firstRow="0" w:lastRow="0" w:firstColumn="0" w:lastColumn="0" w:oddVBand="0" w:evenVBand="0" w:oddHBand="0" w:evenHBand="1" w:firstRowFirstColumn="0" w:firstRowLastColumn="0" w:lastRowFirstColumn="0" w:lastRowLastColumn="0"/>
            </w:pPr>
            <w:r w:rsidRPr="00784992">
              <w:t>11.7</w:t>
            </w:r>
          </w:p>
        </w:tc>
        <w:tc>
          <w:tcPr>
            <w:tcW w:w="918" w:type="dxa"/>
            <w:noWrap/>
            <w:vAlign w:val="bottom"/>
          </w:tcPr>
          <w:p w:rsidR="00784992" w:rsidRPr="00784992" w:rsidRDefault="00784992" w:rsidP="00784992">
            <w:pPr>
              <w:cnfStyle w:val="000000010000" w:firstRow="0" w:lastRow="0" w:firstColumn="0" w:lastColumn="0" w:oddVBand="0" w:evenVBand="0" w:oddHBand="0" w:evenHBand="1" w:firstRowFirstColumn="0" w:firstRowLastColumn="0" w:lastRowFirstColumn="0" w:lastRowLastColumn="0"/>
            </w:pPr>
            <w:r w:rsidRPr="00784992">
              <w:t>9.5</w:t>
            </w:r>
          </w:p>
        </w:tc>
        <w:tc>
          <w:tcPr>
            <w:tcW w:w="919" w:type="dxa"/>
            <w:noWrap/>
            <w:vAlign w:val="bottom"/>
          </w:tcPr>
          <w:p w:rsidR="00784992" w:rsidRPr="00784992" w:rsidRDefault="00784992" w:rsidP="00784992">
            <w:pPr>
              <w:cnfStyle w:val="000000010000" w:firstRow="0" w:lastRow="0" w:firstColumn="0" w:lastColumn="0" w:oddVBand="0" w:evenVBand="0" w:oddHBand="0" w:evenHBand="1" w:firstRowFirstColumn="0" w:firstRowLastColumn="0" w:lastRowFirstColumn="0" w:lastRowLastColumn="0"/>
            </w:pPr>
            <w:r w:rsidRPr="00784992">
              <w:t>9.5</w:t>
            </w:r>
          </w:p>
        </w:tc>
        <w:tc>
          <w:tcPr>
            <w:tcW w:w="918" w:type="dxa"/>
            <w:noWrap/>
            <w:vAlign w:val="bottom"/>
          </w:tcPr>
          <w:p w:rsidR="00784992" w:rsidRPr="00784992" w:rsidRDefault="00784992" w:rsidP="00784992">
            <w:pPr>
              <w:cnfStyle w:val="000000010000" w:firstRow="0" w:lastRow="0" w:firstColumn="0" w:lastColumn="0" w:oddVBand="0" w:evenVBand="0" w:oddHBand="0" w:evenHBand="1" w:firstRowFirstColumn="0" w:firstRowLastColumn="0" w:lastRowFirstColumn="0" w:lastRowLastColumn="0"/>
            </w:pPr>
            <w:r w:rsidRPr="00784992">
              <w:t>10.1</w:t>
            </w:r>
          </w:p>
        </w:tc>
        <w:tc>
          <w:tcPr>
            <w:tcW w:w="918" w:type="dxa"/>
            <w:noWrap/>
            <w:vAlign w:val="bottom"/>
          </w:tcPr>
          <w:p w:rsidR="00784992" w:rsidRPr="00784992" w:rsidRDefault="00784992" w:rsidP="00784992">
            <w:pPr>
              <w:cnfStyle w:val="000000010000" w:firstRow="0" w:lastRow="0" w:firstColumn="0" w:lastColumn="0" w:oddVBand="0" w:evenVBand="0" w:oddHBand="0" w:evenHBand="1" w:firstRowFirstColumn="0" w:firstRowLastColumn="0" w:lastRowFirstColumn="0" w:lastRowLastColumn="0"/>
            </w:pPr>
            <w:r w:rsidRPr="00784992">
              <w:t>10.4</w:t>
            </w:r>
          </w:p>
        </w:tc>
        <w:tc>
          <w:tcPr>
            <w:tcW w:w="919" w:type="dxa"/>
            <w:noWrap/>
            <w:vAlign w:val="bottom"/>
          </w:tcPr>
          <w:p w:rsidR="00784992" w:rsidRPr="00784992" w:rsidRDefault="00784992" w:rsidP="00784992">
            <w:pPr>
              <w:cnfStyle w:val="000000010000" w:firstRow="0" w:lastRow="0" w:firstColumn="0" w:lastColumn="0" w:oddVBand="0" w:evenVBand="0" w:oddHBand="0" w:evenHBand="1" w:firstRowFirstColumn="0" w:firstRowLastColumn="0" w:lastRowFirstColumn="0" w:lastRowLastColumn="0"/>
            </w:pPr>
            <w:r w:rsidRPr="00784992">
              <w:t>51.2</w:t>
            </w:r>
          </w:p>
        </w:tc>
      </w:tr>
      <w:tr w:rsidR="00784992" w:rsidRPr="00784992" w:rsidTr="00D457A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84992" w:rsidRPr="00784992" w:rsidRDefault="00784992" w:rsidP="00784992">
            <w:pPr>
              <w:rPr>
                <w:rStyle w:val="Strong"/>
              </w:rPr>
            </w:pPr>
            <w:r w:rsidRPr="00784992">
              <w:rPr>
                <w:rStyle w:val="Strong"/>
              </w:rPr>
              <w:t>Net corporate income tax allowance</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rPr>
                <w:rStyle w:val="Strong"/>
              </w:rPr>
            </w:pPr>
            <w:r w:rsidRPr="00784992">
              <w:rPr>
                <w:rStyle w:val="Strong"/>
              </w:rPr>
              <w:t>17.6</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rPr>
                <w:rStyle w:val="Strong"/>
              </w:rPr>
            </w:pPr>
            <w:r w:rsidRPr="00784992">
              <w:rPr>
                <w:rStyle w:val="Strong"/>
              </w:rPr>
              <w:t>14.3</w:t>
            </w:r>
          </w:p>
        </w:tc>
        <w:tc>
          <w:tcPr>
            <w:tcW w:w="919"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rPr>
                <w:rStyle w:val="Strong"/>
              </w:rPr>
            </w:pPr>
            <w:r w:rsidRPr="00784992">
              <w:rPr>
                <w:rStyle w:val="Strong"/>
              </w:rPr>
              <w:t>14.2</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rPr>
                <w:rStyle w:val="Strong"/>
              </w:rPr>
            </w:pPr>
            <w:r w:rsidRPr="00784992">
              <w:rPr>
                <w:rStyle w:val="Strong"/>
              </w:rPr>
              <w:t>15.1</w:t>
            </w:r>
          </w:p>
        </w:tc>
        <w:tc>
          <w:tcPr>
            <w:tcW w:w="918"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rPr>
                <w:rStyle w:val="Strong"/>
              </w:rPr>
            </w:pPr>
            <w:r w:rsidRPr="00784992">
              <w:rPr>
                <w:rStyle w:val="Strong"/>
              </w:rPr>
              <w:t>15.5</w:t>
            </w:r>
          </w:p>
        </w:tc>
        <w:tc>
          <w:tcPr>
            <w:tcW w:w="919" w:type="dxa"/>
            <w:noWrap/>
            <w:vAlign w:val="bottom"/>
          </w:tcPr>
          <w:p w:rsidR="00784992" w:rsidRPr="00784992" w:rsidRDefault="00784992" w:rsidP="00784992">
            <w:pPr>
              <w:cnfStyle w:val="000000000000" w:firstRow="0" w:lastRow="0" w:firstColumn="0" w:lastColumn="0" w:oddVBand="0" w:evenVBand="0" w:oddHBand="0" w:evenHBand="0" w:firstRowFirstColumn="0" w:firstRowLastColumn="0" w:lastRowFirstColumn="0" w:lastRowLastColumn="0"/>
              <w:rPr>
                <w:rStyle w:val="Strong"/>
              </w:rPr>
            </w:pPr>
            <w:r w:rsidRPr="00784992">
              <w:rPr>
                <w:rStyle w:val="Strong"/>
              </w:rPr>
              <w:t>76.8</w:t>
            </w:r>
          </w:p>
        </w:tc>
      </w:tr>
    </w:tbl>
    <w:p w:rsidR="00132D43" w:rsidRDefault="000E2C2D" w:rsidP="000E2C2D">
      <w:pPr>
        <w:pStyle w:val="AERtablesource"/>
      </w:pPr>
      <w:r>
        <w:t>Source:</w:t>
      </w:r>
      <w:r>
        <w:tab/>
        <w:t>AER analysis.</w:t>
      </w:r>
    </w:p>
    <w:p w:rsidR="00132D43" w:rsidRDefault="007A3CC3" w:rsidP="00132D43">
      <w:pPr>
        <w:pStyle w:val="Heading2"/>
      </w:pPr>
      <w:bookmarkStart w:id="74" w:name="_Toc451285858"/>
      <w:r>
        <w:lastRenderedPageBreak/>
        <w:t>Jemena's</w:t>
      </w:r>
      <w:r w:rsidR="00132D43">
        <w:t xml:space="preserve"> </w:t>
      </w:r>
      <w:r w:rsidR="000F0F0A">
        <w:t xml:space="preserve">revised </w:t>
      </w:r>
      <w:r w:rsidR="00132D43">
        <w:t>proposal</w:t>
      </w:r>
      <w:bookmarkEnd w:id="74"/>
    </w:p>
    <w:p w:rsidR="00F45C16" w:rsidRDefault="000E2C2D" w:rsidP="000E2C2D">
      <w:r>
        <w:t>Jemena</w:t>
      </w:r>
      <w:r w:rsidRPr="00C9621C">
        <w:t>'s revised proposal forecasts a cost of corporate income tax allowance of $</w:t>
      </w:r>
      <w:r>
        <w:t>128.8 million ($ nominal) for the 2016</w:t>
      </w:r>
      <w:r w:rsidRPr="00C9621C">
        <w:t xml:space="preserve">–20 regulatory control period. </w:t>
      </w:r>
      <w:r>
        <w:t>Jemena</w:t>
      </w:r>
      <w:r w:rsidRPr="00C9621C">
        <w:t xml:space="preserve">'s </w:t>
      </w:r>
      <w:r w:rsidR="00CE3390">
        <w:t xml:space="preserve">revised proposal adopted the </w:t>
      </w:r>
      <w:r w:rsidR="00CE3390" w:rsidRPr="00EE3835">
        <w:t xml:space="preserve">methodology </w:t>
      </w:r>
      <w:r w:rsidR="00CE3390">
        <w:t xml:space="preserve">approved in the preliminary decision </w:t>
      </w:r>
      <w:r w:rsidR="00CE3390" w:rsidRPr="00EE3835">
        <w:t>for determining its corporate income tax.</w:t>
      </w:r>
      <w:r w:rsidRPr="00C9621C">
        <w:t xml:space="preserve"> </w:t>
      </w:r>
    </w:p>
    <w:p w:rsidR="000E2C2D" w:rsidRPr="00C9621C" w:rsidRDefault="000E2C2D" w:rsidP="000E2C2D">
      <w:r>
        <w:t>Jemena</w:t>
      </w:r>
      <w:r w:rsidRPr="00C9621C">
        <w:t xml:space="preserve"> has revised its corporate income tax allowance using the AER's PTRM and included the following inputs:</w:t>
      </w:r>
      <w:r w:rsidR="00FF6A11">
        <w:rPr>
          <w:rStyle w:val="FootnoteReference"/>
        </w:rPr>
        <w:footnoteReference w:id="2"/>
      </w:r>
    </w:p>
    <w:p w:rsidR="00F45C16" w:rsidRDefault="00F45C16" w:rsidP="000E2C2D">
      <w:pPr>
        <w:pStyle w:val="AERbulletlistfirststyle"/>
      </w:pPr>
      <w:r>
        <w:t>revised opening TAB value at 1 January 2016</w:t>
      </w:r>
      <w:r>
        <w:rPr>
          <w:rStyle w:val="FootnoteReference"/>
        </w:rPr>
        <w:footnoteReference w:id="3"/>
      </w:r>
    </w:p>
    <w:p w:rsidR="000E2C2D" w:rsidRPr="00C9621C" w:rsidRDefault="000E2C2D" w:rsidP="000E2C2D">
      <w:pPr>
        <w:pStyle w:val="AERbulletlistfirststyle"/>
      </w:pPr>
      <w:r w:rsidRPr="00C9621C">
        <w:t>revised forecast capex</w:t>
      </w:r>
    </w:p>
    <w:p w:rsidR="000E2C2D" w:rsidRDefault="00EC2640" w:rsidP="000E2C2D">
      <w:pPr>
        <w:pStyle w:val="AERbulletlistfirststyle"/>
      </w:pPr>
      <w:r>
        <w:t>revised forecast opex</w:t>
      </w:r>
    </w:p>
    <w:p w:rsidR="00EC2640" w:rsidRPr="00C9621C" w:rsidRDefault="00EC2640" w:rsidP="000E2C2D">
      <w:pPr>
        <w:pStyle w:val="AERbulletlistfirststyle"/>
      </w:pPr>
      <w:r>
        <w:t>tax remaining and standard</w:t>
      </w:r>
      <w:r w:rsidR="00CE3390">
        <w:t xml:space="preserve"> asset</w:t>
      </w:r>
      <w:r>
        <w:t xml:space="preserve"> lives updated for revised </w:t>
      </w:r>
      <w:r w:rsidR="00CE3390">
        <w:t xml:space="preserve">forecast </w:t>
      </w:r>
      <w:r>
        <w:t>capex</w:t>
      </w:r>
      <w:r w:rsidR="00F02E6D">
        <w:t>.</w:t>
      </w:r>
      <w:r w:rsidR="00FF6A11">
        <w:rPr>
          <w:rStyle w:val="FootnoteReference"/>
        </w:rPr>
        <w:footnoteReference w:id="4"/>
      </w:r>
    </w:p>
    <w:p w:rsidR="00CE3390" w:rsidRDefault="00CE3390" w:rsidP="000E2C2D">
      <w:r>
        <w:t>Jemena</w:t>
      </w:r>
      <w:r w:rsidRPr="00C9621C">
        <w:t xml:space="preserve">'s revised proposal adopted our preliminary decision </w:t>
      </w:r>
      <w:r>
        <w:t xml:space="preserve">to allocate the tax value of its land assets to a separate non-depreciating asset class, and our </w:t>
      </w:r>
      <w:r w:rsidRPr="00C9621C">
        <w:t xml:space="preserve">amendments to the </w:t>
      </w:r>
      <w:r>
        <w:t xml:space="preserve">tax </w:t>
      </w:r>
      <w:r w:rsidRPr="00EC2640">
        <w:t xml:space="preserve">standard </w:t>
      </w:r>
      <w:r w:rsidRPr="00C9621C">
        <w:t xml:space="preserve">asset life </w:t>
      </w:r>
      <w:r>
        <w:t xml:space="preserve">for </w:t>
      </w:r>
      <w:r w:rsidR="00F02E6D">
        <w:t xml:space="preserve">the </w:t>
      </w:r>
      <w:r>
        <w:t>'SCADA/Network control' and 'Equity raising costs'</w:t>
      </w:r>
      <w:r w:rsidR="00F02E6D">
        <w:t xml:space="preserve"> asset classes</w:t>
      </w:r>
      <w:r w:rsidRPr="00C9621C">
        <w:t>.</w:t>
      </w:r>
      <w:r w:rsidR="00F02E6D">
        <w:t xml:space="preserve"> However, </w:t>
      </w:r>
      <w:r w:rsidR="00A347C1">
        <w:t xml:space="preserve">Jemena </w:t>
      </w:r>
      <w:r w:rsidR="00F02E6D">
        <w:t xml:space="preserve">used </w:t>
      </w:r>
      <w:r w:rsidR="00F02E6D" w:rsidRPr="00B30271">
        <w:t>a value for gamma of 0.25 consistent with its initial proposal</w:t>
      </w:r>
      <w:r w:rsidR="00A347C1">
        <w:t>.</w:t>
      </w:r>
    </w:p>
    <w:p w:rsidR="00132D43" w:rsidRDefault="00F45C16" w:rsidP="000E2C2D">
      <w:r>
        <w:fldChar w:fldCharType="begin"/>
      </w:r>
      <w:r>
        <w:instrText xml:space="preserve"> REF _Ref442780539 \h </w:instrText>
      </w:r>
      <w:r>
        <w:fldChar w:fldCharType="separate"/>
      </w:r>
      <w:r w:rsidR="002B2070">
        <w:t xml:space="preserve">Table </w:t>
      </w:r>
      <w:r w:rsidR="002B2070">
        <w:rPr>
          <w:noProof/>
        </w:rPr>
        <w:t>8</w:t>
      </w:r>
      <w:r w:rsidR="002B2070">
        <w:t>.</w:t>
      </w:r>
      <w:r w:rsidR="002B2070">
        <w:rPr>
          <w:noProof/>
        </w:rPr>
        <w:t>2</w:t>
      </w:r>
      <w:r>
        <w:fldChar w:fldCharType="end"/>
      </w:r>
      <w:r>
        <w:t xml:space="preserve"> </w:t>
      </w:r>
      <w:r w:rsidR="000E2C2D" w:rsidRPr="00C9621C">
        <w:t xml:space="preserve">sets out </w:t>
      </w:r>
      <w:r w:rsidR="000E2C2D">
        <w:t>Jemena</w:t>
      </w:r>
      <w:r w:rsidR="000E2C2D" w:rsidRPr="00C9621C">
        <w:t>'s revised proposed corporate in</w:t>
      </w:r>
      <w:r w:rsidR="000E2C2D">
        <w:t>come tax allowance for the 2016</w:t>
      </w:r>
      <w:r w:rsidR="000E2C2D" w:rsidRPr="00C9621C">
        <w:t>–20 regulatory control period.</w:t>
      </w:r>
    </w:p>
    <w:p w:rsidR="000E2C2D" w:rsidRDefault="000E2C2D" w:rsidP="000E2C2D">
      <w:pPr>
        <w:pStyle w:val="Caption"/>
      </w:pPr>
      <w:bookmarkStart w:id="75" w:name="_Ref442780539"/>
      <w:r>
        <w:t xml:space="preserve">Table </w:t>
      </w:r>
      <w:fldSimple w:instr=" STYLEREF 1 \s ">
        <w:r w:rsidR="002B2070">
          <w:rPr>
            <w:noProof/>
          </w:rPr>
          <w:t>8</w:t>
        </w:r>
      </w:fldSimple>
      <w:r w:rsidR="00D5560A">
        <w:t>.</w:t>
      </w:r>
      <w:fldSimple w:instr=" SEQ Table \* ARABIC \s 1 ">
        <w:r w:rsidR="002B2070">
          <w:rPr>
            <w:noProof/>
          </w:rPr>
          <w:t>2</w:t>
        </w:r>
      </w:fldSimple>
      <w:bookmarkEnd w:id="75"/>
      <w:r>
        <w:tab/>
        <w:t>Jemena</w:t>
      </w:r>
      <w:r w:rsidRPr="000E2C2D">
        <w:t xml:space="preserve">'s </w:t>
      </w:r>
      <w:r w:rsidR="00F45C16">
        <w:t xml:space="preserve">revised </w:t>
      </w:r>
      <w:r w:rsidRPr="000E2C2D">
        <w:t>proposed cost of corporate income tax allowance for the 2016–20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0E2C2D" w:rsidRPr="00521143" w:rsidTr="00D457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0E2C2D" w:rsidRPr="000E2C2D" w:rsidRDefault="000E2C2D" w:rsidP="000E2C2D">
            <w:r w:rsidRPr="00654D07">
              <w:t> </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654D07">
              <w:t>2016</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654D07">
              <w:t>2017</w:t>
            </w:r>
          </w:p>
        </w:tc>
        <w:tc>
          <w:tcPr>
            <w:tcW w:w="919"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654D07">
              <w:t>2018</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654D07">
              <w:t>2019</w:t>
            </w:r>
          </w:p>
        </w:tc>
        <w:tc>
          <w:tcPr>
            <w:tcW w:w="918"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654D07">
              <w:t>2020</w:t>
            </w:r>
          </w:p>
        </w:tc>
        <w:tc>
          <w:tcPr>
            <w:tcW w:w="919" w:type="dxa"/>
            <w:noWrap/>
            <w:hideMark/>
          </w:tcPr>
          <w:p w:rsidR="000E2C2D" w:rsidRPr="000E2C2D" w:rsidRDefault="000E2C2D" w:rsidP="000E2C2D">
            <w:pPr>
              <w:cnfStyle w:val="100000000000" w:firstRow="1" w:lastRow="0" w:firstColumn="0" w:lastColumn="0" w:oddVBand="0" w:evenVBand="0" w:oddHBand="0" w:evenHBand="0" w:firstRowFirstColumn="0" w:firstRowLastColumn="0" w:lastRowFirstColumn="0" w:lastRowLastColumn="0"/>
            </w:pPr>
            <w:r w:rsidRPr="00654D07">
              <w:t>Total</w:t>
            </w:r>
          </w:p>
        </w:tc>
      </w:tr>
      <w:tr w:rsidR="00F45C16" w:rsidRPr="00521143" w:rsidTr="00D457A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F45C16" w:rsidRPr="00F45C16" w:rsidRDefault="00F45C16" w:rsidP="00F45C16">
            <w:r w:rsidRPr="00F45C16">
              <w:t>Tax payable</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pPr>
            <w:r w:rsidRPr="00F45C16">
              <w:t>37.4</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pPr>
            <w:r w:rsidRPr="00F45C16">
              <w:t>31.5</w:t>
            </w:r>
          </w:p>
        </w:tc>
        <w:tc>
          <w:tcPr>
            <w:tcW w:w="919"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pPr>
            <w:r w:rsidRPr="00F45C16">
              <w:t>33.4</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pPr>
            <w:r w:rsidRPr="00F45C16">
              <w:t>34.1</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pPr>
            <w:r w:rsidRPr="00F45C16">
              <w:t>35.3</w:t>
            </w:r>
          </w:p>
        </w:tc>
        <w:tc>
          <w:tcPr>
            <w:tcW w:w="919"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pPr>
            <w:r w:rsidRPr="00F45C16">
              <w:t>171.7</w:t>
            </w:r>
          </w:p>
        </w:tc>
      </w:tr>
      <w:tr w:rsidR="00F45C16" w:rsidRPr="00521143" w:rsidTr="00D457A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F45C16" w:rsidRPr="00F45C16" w:rsidRDefault="00F45C16" w:rsidP="00F45C16">
            <w:r w:rsidRPr="00F45C16">
              <w:rPr>
                <w:rStyle w:val="AERtextitalic"/>
              </w:rPr>
              <w:t xml:space="preserve">Less: </w:t>
            </w:r>
            <w:r w:rsidRPr="00F45C16">
              <w:t>value of imputation credits</w:t>
            </w:r>
          </w:p>
        </w:tc>
        <w:tc>
          <w:tcPr>
            <w:tcW w:w="918" w:type="dxa"/>
            <w:noWrap/>
            <w:vAlign w:val="bottom"/>
          </w:tcPr>
          <w:p w:rsidR="00F45C16" w:rsidRPr="00F45C16" w:rsidRDefault="00F45C16" w:rsidP="00F45C16">
            <w:pPr>
              <w:cnfStyle w:val="000000010000" w:firstRow="0" w:lastRow="0" w:firstColumn="0" w:lastColumn="0" w:oddVBand="0" w:evenVBand="0" w:oddHBand="0" w:evenHBand="1" w:firstRowFirstColumn="0" w:firstRowLastColumn="0" w:lastRowFirstColumn="0" w:lastRowLastColumn="0"/>
            </w:pPr>
            <w:r w:rsidRPr="00F45C16">
              <w:t>9.3</w:t>
            </w:r>
          </w:p>
        </w:tc>
        <w:tc>
          <w:tcPr>
            <w:tcW w:w="918" w:type="dxa"/>
            <w:noWrap/>
            <w:vAlign w:val="bottom"/>
          </w:tcPr>
          <w:p w:rsidR="00F45C16" w:rsidRPr="00F45C16" w:rsidRDefault="00F45C16" w:rsidP="00F45C16">
            <w:pPr>
              <w:cnfStyle w:val="000000010000" w:firstRow="0" w:lastRow="0" w:firstColumn="0" w:lastColumn="0" w:oddVBand="0" w:evenVBand="0" w:oddHBand="0" w:evenHBand="1" w:firstRowFirstColumn="0" w:firstRowLastColumn="0" w:lastRowFirstColumn="0" w:lastRowLastColumn="0"/>
            </w:pPr>
            <w:r w:rsidRPr="00F45C16">
              <w:t>7.9</w:t>
            </w:r>
          </w:p>
        </w:tc>
        <w:tc>
          <w:tcPr>
            <w:tcW w:w="919" w:type="dxa"/>
            <w:noWrap/>
            <w:vAlign w:val="bottom"/>
          </w:tcPr>
          <w:p w:rsidR="00F45C16" w:rsidRPr="00F45C16" w:rsidRDefault="00F45C16" w:rsidP="00F45C16">
            <w:pPr>
              <w:cnfStyle w:val="000000010000" w:firstRow="0" w:lastRow="0" w:firstColumn="0" w:lastColumn="0" w:oddVBand="0" w:evenVBand="0" w:oddHBand="0" w:evenHBand="1" w:firstRowFirstColumn="0" w:firstRowLastColumn="0" w:lastRowFirstColumn="0" w:lastRowLastColumn="0"/>
            </w:pPr>
            <w:r w:rsidRPr="00F45C16">
              <w:t>8.4</w:t>
            </w:r>
          </w:p>
        </w:tc>
        <w:tc>
          <w:tcPr>
            <w:tcW w:w="918" w:type="dxa"/>
            <w:noWrap/>
            <w:vAlign w:val="bottom"/>
          </w:tcPr>
          <w:p w:rsidR="00F45C16" w:rsidRPr="00F45C16" w:rsidRDefault="00F45C16" w:rsidP="00F45C16">
            <w:pPr>
              <w:cnfStyle w:val="000000010000" w:firstRow="0" w:lastRow="0" w:firstColumn="0" w:lastColumn="0" w:oddVBand="0" w:evenVBand="0" w:oddHBand="0" w:evenHBand="1" w:firstRowFirstColumn="0" w:firstRowLastColumn="0" w:lastRowFirstColumn="0" w:lastRowLastColumn="0"/>
            </w:pPr>
            <w:r w:rsidRPr="00F45C16">
              <w:t>8.5</w:t>
            </w:r>
          </w:p>
        </w:tc>
        <w:tc>
          <w:tcPr>
            <w:tcW w:w="918" w:type="dxa"/>
            <w:noWrap/>
            <w:vAlign w:val="bottom"/>
          </w:tcPr>
          <w:p w:rsidR="00F45C16" w:rsidRPr="00F45C16" w:rsidRDefault="00F45C16" w:rsidP="00F45C16">
            <w:pPr>
              <w:cnfStyle w:val="000000010000" w:firstRow="0" w:lastRow="0" w:firstColumn="0" w:lastColumn="0" w:oddVBand="0" w:evenVBand="0" w:oddHBand="0" w:evenHBand="1" w:firstRowFirstColumn="0" w:firstRowLastColumn="0" w:lastRowFirstColumn="0" w:lastRowLastColumn="0"/>
            </w:pPr>
            <w:r w:rsidRPr="00F45C16">
              <w:t>8.8</w:t>
            </w:r>
          </w:p>
        </w:tc>
        <w:tc>
          <w:tcPr>
            <w:tcW w:w="919" w:type="dxa"/>
            <w:noWrap/>
            <w:vAlign w:val="bottom"/>
          </w:tcPr>
          <w:p w:rsidR="00F45C16" w:rsidRPr="00F45C16" w:rsidRDefault="00F45C16" w:rsidP="00F45C16">
            <w:pPr>
              <w:cnfStyle w:val="000000010000" w:firstRow="0" w:lastRow="0" w:firstColumn="0" w:lastColumn="0" w:oddVBand="0" w:evenVBand="0" w:oddHBand="0" w:evenHBand="1" w:firstRowFirstColumn="0" w:firstRowLastColumn="0" w:lastRowFirstColumn="0" w:lastRowLastColumn="0"/>
            </w:pPr>
            <w:r w:rsidRPr="00F45C16">
              <w:t>42.9</w:t>
            </w:r>
          </w:p>
        </w:tc>
      </w:tr>
      <w:tr w:rsidR="00F45C16" w:rsidRPr="00F45C16" w:rsidTr="00D457A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F45C16" w:rsidRPr="00F45C16" w:rsidRDefault="00F45C16" w:rsidP="00F45C16">
            <w:pPr>
              <w:rPr>
                <w:rStyle w:val="Strong"/>
              </w:rPr>
            </w:pPr>
            <w:r w:rsidRPr="00F45C16">
              <w:rPr>
                <w:rStyle w:val="Strong"/>
              </w:rPr>
              <w:t>Net corporate income tax allowance</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rPr>
                <w:rStyle w:val="Strong"/>
              </w:rPr>
            </w:pPr>
            <w:r w:rsidRPr="00F45C16">
              <w:rPr>
                <w:rStyle w:val="Strong"/>
              </w:rPr>
              <w:t>28.0</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rPr>
                <w:rStyle w:val="Strong"/>
              </w:rPr>
            </w:pPr>
            <w:r w:rsidRPr="00F45C16">
              <w:rPr>
                <w:rStyle w:val="Strong"/>
              </w:rPr>
              <w:t>23.6</w:t>
            </w:r>
          </w:p>
        </w:tc>
        <w:tc>
          <w:tcPr>
            <w:tcW w:w="919"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rPr>
                <w:rStyle w:val="Strong"/>
              </w:rPr>
            </w:pPr>
            <w:r w:rsidRPr="00F45C16">
              <w:rPr>
                <w:rStyle w:val="Strong"/>
              </w:rPr>
              <w:t>25.1</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rPr>
                <w:rStyle w:val="Strong"/>
              </w:rPr>
            </w:pPr>
            <w:r w:rsidRPr="00F45C16">
              <w:rPr>
                <w:rStyle w:val="Strong"/>
              </w:rPr>
              <w:t>25.6</w:t>
            </w:r>
          </w:p>
        </w:tc>
        <w:tc>
          <w:tcPr>
            <w:tcW w:w="918"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rPr>
                <w:rStyle w:val="Strong"/>
              </w:rPr>
            </w:pPr>
            <w:r w:rsidRPr="00F45C16">
              <w:rPr>
                <w:rStyle w:val="Strong"/>
              </w:rPr>
              <w:t>26.5</w:t>
            </w:r>
          </w:p>
        </w:tc>
        <w:tc>
          <w:tcPr>
            <w:tcW w:w="919" w:type="dxa"/>
            <w:noWrap/>
            <w:vAlign w:val="bottom"/>
          </w:tcPr>
          <w:p w:rsidR="00F45C16" w:rsidRPr="00F45C16" w:rsidRDefault="00F45C16" w:rsidP="00F45C16">
            <w:pPr>
              <w:cnfStyle w:val="000000000000" w:firstRow="0" w:lastRow="0" w:firstColumn="0" w:lastColumn="0" w:oddVBand="0" w:evenVBand="0" w:oddHBand="0" w:evenHBand="0" w:firstRowFirstColumn="0" w:firstRowLastColumn="0" w:lastRowFirstColumn="0" w:lastRowLastColumn="0"/>
              <w:rPr>
                <w:rStyle w:val="Strong"/>
              </w:rPr>
            </w:pPr>
            <w:r w:rsidRPr="00F45C16">
              <w:rPr>
                <w:rStyle w:val="Strong"/>
              </w:rPr>
              <w:t>128.8</w:t>
            </w:r>
          </w:p>
        </w:tc>
      </w:tr>
    </w:tbl>
    <w:p w:rsidR="000E2C2D" w:rsidRDefault="000E2C2D" w:rsidP="000E2C2D">
      <w:pPr>
        <w:pStyle w:val="AERtablesource"/>
      </w:pPr>
      <w:r w:rsidRPr="00654D07">
        <w:t>Source:</w:t>
      </w:r>
      <w:r w:rsidRPr="00654D07">
        <w:tab/>
      </w:r>
      <w:r>
        <w:t>Jemena</w:t>
      </w:r>
      <w:r w:rsidRPr="00DB3122">
        <w:t xml:space="preserve">, </w:t>
      </w:r>
      <w:r w:rsidRPr="00DB3122">
        <w:rPr>
          <w:rStyle w:val="AERtextitalic"/>
        </w:rPr>
        <w:t>Revised regulatory proposal</w:t>
      </w:r>
      <w:r>
        <w:t xml:space="preserve">, </w:t>
      </w:r>
      <w:r w:rsidR="00D1761B" w:rsidRPr="0037363D">
        <w:rPr>
          <w:rStyle w:val="Emphasis"/>
        </w:rPr>
        <w:t>Attachment 5–2 PTRM,</w:t>
      </w:r>
      <w:r w:rsidR="00D1761B" w:rsidRPr="00D1761B">
        <w:t xml:space="preserve"> </w:t>
      </w:r>
      <w:r>
        <w:t>January 2016</w:t>
      </w:r>
      <w:r w:rsidR="00D1761B">
        <w:t>.</w:t>
      </w:r>
      <w:r w:rsidRPr="00DB3122">
        <w:t>.</w:t>
      </w:r>
    </w:p>
    <w:p w:rsidR="00132D43" w:rsidRDefault="00132D43" w:rsidP="00132D43">
      <w:pPr>
        <w:pStyle w:val="Heading2"/>
      </w:pPr>
      <w:bookmarkStart w:id="76" w:name="_Toc451285859"/>
      <w:r>
        <w:t>Assessment approach</w:t>
      </w:r>
      <w:bookmarkEnd w:id="76"/>
    </w:p>
    <w:p w:rsidR="00132D43" w:rsidRDefault="00F45C16" w:rsidP="00132D43">
      <w:r w:rsidRPr="00DB3122">
        <w:t>We have not changed our assessment approach for the cost of corporate income tax from our preliminary decision. Section 8.3 of our preliminary decision details that approach.</w:t>
      </w:r>
      <w:r w:rsidRPr="00DB3122">
        <w:rPr>
          <w:rStyle w:val="FootnoteReference"/>
        </w:rPr>
        <w:footnoteReference w:id="5"/>
      </w:r>
    </w:p>
    <w:p w:rsidR="00132D43" w:rsidRDefault="00132D43" w:rsidP="00132D43">
      <w:pPr>
        <w:pStyle w:val="Heading2"/>
      </w:pPr>
      <w:bookmarkStart w:id="77" w:name="_Toc451285860"/>
      <w:r>
        <w:lastRenderedPageBreak/>
        <w:t xml:space="preserve">Reasons for </w:t>
      </w:r>
      <w:r w:rsidR="00DB4E34">
        <w:t>final</w:t>
      </w:r>
      <w:r>
        <w:t xml:space="preserve"> decision</w:t>
      </w:r>
      <w:bookmarkEnd w:id="77"/>
    </w:p>
    <w:p w:rsidR="00EC2640" w:rsidRPr="00EC2640" w:rsidRDefault="00EC2640" w:rsidP="00EC2640">
      <w:r w:rsidRPr="00EC2640">
        <w:t xml:space="preserve">We do not accept </w:t>
      </w:r>
      <w:r>
        <w:t>Jemena</w:t>
      </w:r>
      <w:r w:rsidRPr="00EC2640">
        <w:t>'s revised proposed cost of corporate income tax allowance of $</w:t>
      </w:r>
      <w:r>
        <w:t>128.8 </w:t>
      </w:r>
      <w:r w:rsidRPr="00EC2640">
        <w:t>million ($ nominal). We instead determine a cost of corporate income tax allowance of $</w:t>
      </w:r>
      <w:r w:rsidR="00B74612">
        <w:t>7</w:t>
      </w:r>
      <w:r w:rsidR="00784992">
        <w:t>6.8 </w:t>
      </w:r>
      <w:r w:rsidRPr="00EC2640">
        <w:t>million for the 2016–20 regulatory control period. This represents a reduction of $</w:t>
      </w:r>
      <w:r w:rsidR="00784992">
        <w:t>52.0 </w:t>
      </w:r>
      <w:r w:rsidRPr="00EC2640">
        <w:t xml:space="preserve">million (or </w:t>
      </w:r>
      <w:r w:rsidR="00B74612">
        <w:t>4</w:t>
      </w:r>
      <w:r w:rsidR="00784992">
        <w:t>0.4</w:t>
      </w:r>
      <w:r w:rsidR="00B74612">
        <w:t> </w:t>
      </w:r>
      <w:r w:rsidRPr="00EC2640">
        <w:t xml:space="preserve">per cent) from </w:t>
      </w:r>
      <w:r>
        <w:t>Jemena</w:t>
      </w:r>
      <w:r w:rsidRPr="00EC2640">
        <w:t>'s revised proposal.</w:t>
      </w:r>
    </w:p>
    <w:p w:rsidR="00EC2640" w:rsidRPr="00EC2640" w:rsidRDefault="00EC2640" w:rsidP="00EC2640">
      <w:r w:rsidRPr="00EC2640">
        <w:t>This is because we adjusted the following proposed inputs to the PTRM for tax purposes:</w:t>
      </w:r>
    </w:p>
    <w:p w:rsidR="00EC2640" w:rsidRPr="00EC2640" w:rsidRDefault="00EC2640" w:rsidP="00EC2640">
      <w:pPr>
        <w:pStyle w:val="AERbulletlistfirststyle"/>
      </w:pPr>
      <w:r w:rsidRPr="00EC2640">
        <w:t xml:space="preserve">the opening TAB value as at 1 January 2016 (section </w:t>
      </w:r>
      <w:r>
        <w:fldChar w:fldCharType="begin"/>
      </w:r>
      <w:r>
        <w:instrText xml:space="preserve"> REF _Ref442779263 \r \h </w:instrText>
      </w:r>
      <w:r>
        <w:fldChar w:fldCharType="separate"/>
      </w:r>
      <w:r w:rsidR="002B2070">
        <w:t>8.4.1</w:t>
      </w:r>
      <w:r>
        <w:fldChar w:fldCharType="end"/>
      </w:r>
      <w:r w:rsidRPr="00EC2640">
        <w:t>)</w:t>
      </w:r>
    </w:p>
    <w:p w:rsidR="00EC2640" w:rsidRPr="00EC2640" w:rsidRDefault="00EC2640" w:rsidP="00EC2640">
      <w:pPr>
        <w:pStyle w:val="AERbulletlistfirststyle"/>
      </w:pPr>
      <w:r w:rsidRPr="00EC2640">
        <w:t xml:space="preserve">the remaining tax asset lives at 1 January 2016 (section </w:t>
      </w:r>
      <w:r>
        <w:fldChar w:fldCharType="begin"/>
      </w:r>
      <w:r>
        <w:instrText xml:space="preserve"> REF _Ref442779270 \r \h </w:instrText>
      </w:r>
      <w:r>
        <w:fldChar w:fldCharType="separate"/>
      </w:r>
      <w:r w:rsidR="002B2070">
        <w:t>8.4.2</w:t>
      </w:r>
      <w:r>
        <w:fldChar w:fldCharType="end"/>
      </w:r>
      <w:r w:rsidRPr="00EC2640">
        <w:t>)</w:t>
      </w:r>
    </w:p>
    <w:p w:rsidR="00EC2640" w:rsidRPr="00EC2640" w:rsidRDefault="00EC2640" w:rsidP="00EC2640">
      <w:pPr>
        <w:pStyle w:val="AERbulletlistfirststyle"/>
      </w:pPr>
      <w:r w:rsidRPr="00EC2640">
        <w:tab/>
        <w:t>the value of gamma (attachment 4)</w:t>
      </w:r>
    </w:p>
    <w:p w:rsidR="00EC2640" w:rsidRPr="00EC2640" w:rsidRDefault="00EC2640" w:rsidP="00EC2640">
      <w:pPr>
        <w:pStyle w:val="AERbulletlistfirststyle"/>
      </w:pPr>
      <w:r w:rsidRPr="00EC2640">
        <w:t xml:space="preserve">other building block components including forecast opex (attachment 7) and </w:t>
      </w:r>
      <w:r w:rsidR="00B74612">
        <w:t>rate of return</w:t>
      </w:r>
      <w:r w:rsidRPr="00EC2640">
        <w:t xml:space="preserve"> (attachment </w:t>
      </w:r>
      <w:r w:rsidR="00B74612">
        <w:t>3</w:t>
      </w:r>
      <w:r w:rsidRPr="00EC2640">
        <w:t>) that affect revenues, and therefore also impact the forecast corporate income tax allowance.</w:t>
      </w:r>
    </w:p>
    <w:p w:rsidR="00132D43" w:rsidRDefault="00EC2640" w:rsidP="00EC2640">
      <w:r w:rsidRPr="00EC2640">
        <w:t xml:space="preserve">We accept the </w:t>
      </w:r>
      <w:r w:rsidR="00CE3390">
        <w:t xml:space="preserve">revised proposed </w:t>
      </w:r>
      <w:r w:rsidRPr="00EC2640">
        <w:t>standard tax asset lives consistent with those approved in the preliminary decision (section</w:t>
      </w:r>
      <w:r w:rsidR="000A3F87">
        <w:t xml:space="preserve"> </w:t>
      </w:r>
      <w:r w:rsidR="000A3F87">
        <w:fldChar w:fldCharType="begin"/>
      </w:r>
      <w:r w:rsidR="000A3F87">
        <w:instrText xml:space="preserve"> REF _Ref445389527 \r \h </w:instrText>
      </w:r>
      <w:r w:rsidR="000A3F87">
        <w:fldChar w:fldCharType="separate"/>
      </w:r>
      <w:r w:rsidR="002B2070">
        <w:t>8.4.3</w:t>
      </w:r>
      <w:r w:rsidR="000A3F87">
        <w:fldChar w:fldCharType="end"/>
      </w:r>
      <w:r w:rsidRPr="00EC2640">
        <w:t>).</w:t>
      </w:r>
    </w:p>
    <w:p w:rsidR="000E2C2D" w:rsidRDefault="000E2C2D" w:rsidP="0037363D">
      <w:pPr>
        <w:pStyle w:val="Heading3"/>
        <w:ind w:left="578" w:hanging="578"/>
      </w:pPr>
      <w:bookmarkStart w:id="78" w:name="_Ref442779263"/>
      <w:bookmarkStart w:id="79" w:name="_Toc451285861"/>
      <w:r>
        <w:t>Opening tax asset base</w:t>
      </w:r>
      <w:bookmarkEnd w:id="78"/>
      <w:bookmarkEnd w:id="79"/>
    </w:p>
    <w:p w:rsidR="00D457A0" w:rsidRDefault="00D457A0" w:rsidP="00D457A0">
      <w:r w:rsidRPr="00053054">
        <w:t xml:space="preserve">We determine </w:t>
      </w:r>
      <w:r>
        <w:t>Jemena</w:t>
      </w:r>
      <w:r w:rsidRPr="00053054">
        <w:t xml:space="preserve">'s opening TAB value as at 1 </w:t>
      </w:r>
      <w:r>
        <w:t>January 2011</w:t>
      </w:r>
      <w:r w:rsidRPr="00053054">
        <w:t xml:space="preserve"> to be $</w:t>
      </w:r>
      <w:r>
        <w:t>746.8 </w:t>
      </w:r>
      <w:r w:rsidRPr="00053054">
        <w:t>million ($ nominal). This amount is $</w:t>
      </w:r>
      <w:r>
        <w:t>7.7 </w:t>
      </w:r>
      <w:r w:rsidRPr="00053054">
        <w:t xml:space="preserve">million (or </w:t>
      </w:r>
      <w:r>
        <w:t>1</w:t>
      </w:r>
      <w:r w:rsidR="00B74612">
        <w:t>.0 </w:t>
      </w:r>
      <w:r w:rsidRPr="00053054">
        <w:t xml:space="preserve">per cent) </w:t>
      </w:r>
      <w:r>
        <w:t>lower</w:t>
      </w:r>
      <w:r w:rsidRPr="00053054">
        <w:t xml:space="preserve"> than </w:t>
      </w:r>
      <w:r>
        <w:t>Jemena</w:t>
      </w:r>
      <w:r w:rsidRPr="00053054">
        <w:t>'s value of $</w:t>
      </w:r>
      <w:r>
        <w:t>754.6 </w:t>
      </w:r>
      <w:r w:rsidRPr="00053054">
        <w:t xml:space="preserve">million </w:t>
      </w:r>
      <w:r>
        <w:t xml:space="preserve">($ nominal) </w:t>
      </w:r>
      <w:r w:rsidRPr="00053054">
        <w:t>in its revised proposal. This is because we updated the capex inputs for 201</w:t>
      </w:r>
      <w:r>
        <w:t>5</w:t>
      </w:r>
      <w:r w:rsidRPr="00053054">
        <w:t xml:space="preserve"> using revised estimates from </w:t>
      </w:r>
      <w:r>
        <w:t>Jemena</w:t>
      </w:r>
      <w:r w:rsidRPr="00053054">
        <w:t>.</w:t>
      </w:r>
      <w:r w:rsidR="00D17408">
        <w:rPr>
          <w:rStyle w:val="FootnoteReference"/>
        </w:rPr>
        <w:footnoteReference w:id="6"/>
      </w:r>
    </w:p>
    <w:p w:rsidR="000E2C2D" w:rsidRDefault="00D457A0" w:rsidP="00D457A0">
      <w:r w:rsidRPr="001B16E4">
        <w:t>In the</w:t>
      </w:r>
      <w:r>
        <w:t xml:space="preserve"> preliminary</w:t>
      </w:r>
      <w:r w:rsidRPr="001B16E4">
        <w:t xml:space="preserve"> decision</w:t>
      </w:r>
      <w:r w:rsidR="000A3F87">
        <w:t>,</w:t>
      </w:r>
      <w:r w:rsidRPr="001B16E4">
        <w:t xml:space="preserve"> we </w:t>
      </w:r>
      <w:r>
        <w:t xml:space="preserve">accepted </w:t>
      </w:r>
      <w:r w:rsidR="000A3F87">
        <w:t>Jemena</w:t>
      </w:r>
      <w:r>
        <w:t xml:space="preserve">'s proposed method to establish the opening TAB at 1 January 2016 as it was </w:t>
      </w:r>
      <w:r w:rsidRPr="00CF1C99">
        <w:t>based on the approach approved at the 2010 determination</w:t>
      </w:r>
      <w:r>
        <w:t xml:space="preserve">. However, we amended Jemena's proposed opening TAB for </w:t>
      </w:r>
      <w:r w:rsidRPr="00F93A94">
        <w:t>adjustments made to the capex</w:t>
      </w:r>
      <w:r>
        <w:t xml:space="preserve"> values in the RFM. </w:t>
      </w:r>
      <w:r w:rsidR="00CE3390">
        <w:t>Jemena's revised proposal adopted our draft decision amendments.</w:t>
      </w:r>
    </w:p>
    <w:p w:rsidR="00CE3390" w:rsidRDefault="00CE3390" w:rsidP="00D457A0">
      <w:r>
        <w:t>We noted the roll forward of Jemena's TAB included</w:t>
      </w:r>
      <w:r w:rsidR="000A3F87">
        <w:t xml:space="preserve"> an</w:t>
      </w:r>
      <w:r>
        <w:t xml:space="preserve"> estimated capex value for 2015.</w:t>
      </w:r>
      <w:r w:rsidRPr="00D10C8E">
        <w:t xml:space="preserve"> </w:t>
      </w:r>
      <w:r w:rsidRPr="009477A6">
        <w:t xml:space="preserve">We </w:t>
      </w:r>
      <w:r>
        <w:t xml:space="preserve">stated we </w:t>
      </w:r>
      <w:r w:rsidRPr="009477A6">
        <w:t>would update</w:t>
      </w:r>
      <w:r>
        <w:t xml:space="preserve"> the 2015 estimated capex value for the final decision</w:t>
      </w:r>
      <w:r w:rsidRPr="009477A6">
        <w:t>.</w:t>
      </w:r>
      <w:r>
        <w:t xml:space="preserve"> </w:t>
      </w:r>
      <w:r>
        <w:rPr>
          <w:rStyle w:val="AERbody"/>
        </w:rPr>
        <w:t>Jemena's revised proposal did not include an update for 2015 estimated capex</w:t>
      </w:r>
      <w:r w:rsidR="00143ABB">
        <w:rPr>
          <w:rStyle w:val="AERbody"/>
        </w:rPr>
        <w:t xml:space="preserve">; </w:t>
      </w:r>
      <w:r>
        <w:rPr>
          <w:rStyle w:val="AERbody"/>
        </w:rPr>
        <w:t xml:space="preserve">however, a revised estimate was provided following an information </w:t>
      </w:r>
      <w:r w:rsidRPr="00CF0900">
        <w:rPr>
          <w:rStyle w:val="AERbody"/>
        </w:rPr>
        <w:t>request.</w:t>
      </w:r>
      <w:r>
        <w:rPr>
          <w:rStyle w:val="FootnoteReference"/>
        </w:rPr>
        <w:footnoteReference w:id="7"/>
      </w:r>
      <w:r>
        <w:rPr>
          <w:rStyle w:val="AERbody"/>
        </w:rPr>
        <w:t xml:space="preserve"> </w:t>
      </w:r>
      <w:r w:rsidR="00EA2294">
        <w:t xml:space="preserve">As discussed in attachment 2, we have accepted Jemena's revision to the capex estimate for 2015. This revised estimate is </w:t>
      </w:r>
      <w:r w:rsidR="000A3F87">
        <w:t xml:space="preserve">lower </w:t>
      </w:r>
      <w:r w:rsidR="00EA2294">
        <w:t>than in the initial proposal reflect</w:t>
      </w:r>
      <w:r w:rsidR="000A3F87">
        <w:t>ing</w:t>
      </w:r>
      <w:r w:rsidR="00EA2294">
        <w:t xml:space="preserve"> more up-</w:t>
      </w:r>
      <w:r w:rsidR="00EA2294">
        <w:lastRenderedPageBreak/>
        <w:t xml:space="preserve">to-date data, and therefore is the best forecast available. </w:t>
      </w:r>
      <w:r w:rsidRPr="00CF0900">
        <w:rPr>
          <w:rStyle w:val="AERbody"/>
        </w:rPr>
        <w:t xml:space="preserve">We </w:t>
      </w:r>
      <w:r>
        <w:rPr>
          <w:rStyle w:val="AERbody"/>
        </w:rPr>
        <w:t xml:space="preserve">will update the TAB for </w:t>
      </w:r>
      <w:r w:rsidR="000A3F87">
        <w:rPr>
          <w:rStyle w:val="AERbody"/>
        </w:rPr>
        <w:t xml:space="preserve">2015 </w:t>
      </w:r>
      <w:r w:rsidRPr="00CF0900">
        <w:rPr>
          <w:rStyle w:val="AERbody"/>
        </w:rPr>
        <w:t>actual cap</w:t>
      </w:r>
      <w:r>
        <w:rPr>
          <w:rStyle w:val="AERbody"/>
        </w:rPr>
        <w:t xml:space="preserve">ex </w:t>
      </w:r>
      <w:r w:rsidRPr="00CF0900">
        <w:rPr>
          <w:rStyle w:val="AERbody"/>
        </w:rPr>
        <w:t>at the next reset.</w:t>
      </w:r>
    </w:p>
    <w:p w:rsidR="00D457A0" w:rsidRDefault="00D457A0" w:rsidP="00D457A0">
      <w:r>
        <w:fldChar w:fldCharType="begin"/>
      </w:r>
      <w:r>
        <w:instrText xml:space="preserve"> REF _Ref444758615 \h </w:instrText>
      </w:r>
      <w:r>
        <w:fldChar w:fldCharType="separate"/>
      </w:r>
      <w:r w:rsidR="002B2070">
        <w:t xml:space="preserve">Table </w:t>
      </w:r>
      <w:r w:rsidR="002B2070">
        <w:rPr>
          <w:noProof/>
        </w:rPr>
        <w:t>8</w:t>
      </w:r>
      <w:r w:rsidR="002B2070">
        <w:t>.</w:t>
      </w:r>
      <w:r w:rsidR="002B2070">
        <w:rPr>
          <w:noProof/>
        </w:rPr>
        <w:t>3</w:t>
      </w:r>
      <w:r>
        <w:fldChar w:fldCharType="end"/>
      </w:r>
      <w:r>
        <w:t xml:space="preserve"> </w:t>
      </w:r>
      <w:r w:rsidRPr="008F4FB1">
        <w:t xml:space="preserve">sets out our </w:t>
      </w:r>
      <w:r>
        <w:t xml:space="preserve">final </w:t>
      </w:r>
      <w:r w:rsidRPr="008F4FB1">
        <w:t xml:space="preserve">decision on the roll forward of </w:t>
      </w:r>
      <w:r>
        <w:t>Jemena</w:t>
      </w:r>
      <w:r w:rsidRPr="008F4FB1">
        <w:t>'s TAB values over the 20</w:t>
      </w:r>
      <w:r>
        <w:t>11</w:t>
      </w:r>
      <w:r w:rsidRPr="008F4FB1">
        <w:t>–1</w:t>
      </w:r>
      <w:r>
        <w:t>5</w:t>
      </w:r>
      <w:r w:rsidRPr="008F4FB1">
        <w:t xml:space="preserve"> regulatory control period.</w:t>
      </w:r>
    </w:p>
    <w:p w:rsidR="00D457A0" w:rsidRDefault="00D457A0" w:rsidP="00D457A0">
      <w:pPr>
        <w:pStyle w:val="Caption"/>
      </w:pPr>
      <w:bookmarkStart w:id="80" w:name="_Ref444758615"/>
      <w:r>
        <w:t xml:space="preserve">Table </w:t>
      </w:r>
      <w:fldSimple w:instr=" STYLEREF 1 \s ">
        <w:r w:rsidR="002B2070">
          <w:rPr>
            <w:noProof/>
          </w:rPr>
          <w:t>8</w:t>
        </w:r>
      </w:fldSimple>
      <w:r w:rsidR="00D5560A">
        <w:t>.</w:t>
      </w:r>
      <w:fldSimple w:instr=" SEQ Table \* ARABIC \s 1 ">
        <w:r w:rsidR="002B2070">
          <w:rPr>
            <w:noProof/>
          </w:rPr>
          <w:t>3</w:t>
        </w:r>
      </w:fldSimple>
      <w:bookmarkEnd w:id="80"/>
      <w:r>
        <w:tab/>
      </w:r>
      <w:r w:rsidRPr="00D457A0">
        <w:t xml:space="preserve">AER's final decision on </w:t>
      </w:r>
      <w:r>
        <w:t>Jemena</w:t>
      </w:r>
      <w:r w:rsidRPr="00D457A0">
        <w:t>'s TAB roll forward ($ 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D457A0" w:rsidRPr="008F4FB1" w:rsidTr="00D457A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457A0" w:rsidRPr="00D457A0" w:rsidRDefault="00D457A0" w:rsidP="00D457A0">
            <w:r w:rsidRPr="008F4FB1">
              <w:t> </w:t>
            </w:r>
          </w:p>
        </w:tc>
        <w:tc>
          <w:tcPr>
            <w:tcW w:w="940" w:type="dxa"/>
            <w:noWrap/>
            <w:hideMark/>
          </w:tcPr>
          <w:p w:rsidR="00D457A0" w:rsidRPr="00D457A0" w:rsidRDefault="00D457A0" w:rsidP="00D457A0">
            <w:pPr>
              <w:cnfStyle w:val="100000000000" w:firstRow="1" w:lastRow="0" w:firstColumn="0" w:lastColumn="0" w:oddVBand="0" w:evenVBand="0" w:oddHBand="0" w:evenHBand="0" w:firstRowFirstColumn="0" w:firstRowLastColumn="0" w:lastRowFirstColumn="0" w:lastRowLastColumn="0"/>
            </w:pPr>
            <w:r>
              <w:t>201</w:t>
            </w:r>
            <w:r w:rsidRPr="00D457A0">
              <w:t>1</w:t>
            </w:r>
          </w:p>
        </w:tc>
        <w:tc>
          <w:tcPr>
            <w:tcW w:w="1147" w:type="dxa"/>
            <w:noWrap/>
            <w:hideMark/>
          </w:tcPr>
          <w:p w:rsidR="00D457A0" w:rsidRPr="00D457A0" w:rsidRDefault="00D457A0" w:rsidP="00D457A0">
            <w:pPr>
              <w:cnfStyle w:val="100000000000" w:firstRow="1" w:lastRow="0" w:firstColumn="0" w:lastColumn="0" w:oddVBand="0" w:evenVBand="0" w:oddHBand="0" w:evenHBand="0" w:firstRowFirstColumn="0" w:firstRowLastColumn="0" w:lastRowFirstColumn="0" w:lastRowLastColumn="0"/>
            </w:pPr>
            <w:r>
              <w:t>2012</w:t>
            </w:r>
          </w:p>
        </w:tc>
        <w:tc>
          <w:tcPr>
            <w:tcW w:w="1147" w:type="dxa"/>
            <w:noWrap/>
            <w:hideMark/>
          </w:tcPr>
          <w:p w:rsidR="00D457A0" w:rsidRPr="00D457A0" w:rsidRDefault="00D457A0" w:rsidP="00D457A0">
            <w:pPr>
              <w:cnfStyle w:val="100000000000" w:firstRow="1" w:lastRow="0" w:firstColumn="0" w:lastColumn="0" w:oddVBand="0" w:evenVBand="0" w:oddHBand="0" w:evenHBand="0" w:firstRowFirstColumn="0" w:firstRowLastColumn="0" w:lastRowFirstColumn="0" w:lastRowLastColumn="0"/>
            </w:pPr>
            <w:r>
              <w:t>2013</w:t>
            </w:r>
          </w:p>
        </w:tc>
        <w:tc>
          <w:tcPr>
            <w:tcW w:w="1147" w:type="dxa"/>
            <w:noWrap/>
            <w:hideMark/>
          </w:tcPr>
          <w:p w:rsidR="00D457A0" w:rsidRPr="00D457A0" w:rsidRDefault="00D457A0" w:rsidP="00D457A0">
            <w:pPr>
              <w:cnfStyle w:val="100000000000" w:firstRow="1" w:lastRow="0" w:firstColumn="0" w:lastColumn="0" w:oddVBand="0" w:evenVBand="0" w:oddHBand="0" w:evenHBand="0" w:firstRowFirstColumn="0" w:firstRowLastColumn="0" w:lastRowFirstColumn="0" w:lastRowLastColumn="0"/>
            </w:pPr>
            <w:r>
              <w:t>2014</w:t>
            </w:r>
          </w:p>
        </w:tc>
        <w:tc>
          <w:tcPr>
            <w:tcW w:w="1147" w:type="dxa"/>
            <w:noWrap/>
            <w:hideMark/>
          </w:tcPr>
          <w:p w:rsidR="00D457A0" w:rsidRPr="00D457A0" w:rsidRDefault="00D457A0" w:rsidP="00D457A0">
            <w:pPr>
              <w:cnfStyle w:val="100000000000" w:firstRow="1" w:lastRow="0" w:firstColumn="0" w:lastColumn="0" w:oddVBand="0" w:evenVBand="0" w:oddHBand="0" w:evenHBand="0" w:firstRowFirstColumn="0" w:firstRowLastColumn="0" w:lastRowFirstColumn="0" w:lastRowLastColumn="0"/>
              <w:rPr>
                <w:rStyle w:val="AERsuperscript"/>
              </w:rPr>
            </w:pPr>
            <w:r>
              <w:t>2015</w:t>
            </w:r>
            <w:r w:rsidRPr="00D457A0">
              <w:rPr>
                <w:rStyle w:val="AERsuperscript"/>
              </w:rPr>
              <w:t>a</w:t>
            </w:r>
          </w:p>
        </w:tc>
      </w:tr>
      <w:tr w:rsidR="00D457A0" w:rsidRPr="008F4FB1" w:rsidTr="00D457A0">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457A0" w:rsidRPr="00D457A0" w:rsidRDefault="00D457A0" w:rsidP="00D457A0">
            <w:r w:rsidRPr="00D457A0">
              <w:t>Opening TAB</w:t>
            </w:r>
          </w:p>
        </w:tc>
        <w:tc>
          <w:tcPr>
            <w:tcW w:w="940"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445.4</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514.3</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572.1</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614.9</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678.1</w:t>
            </w:r>
          </w:p>
        </w:tc>
      </w:tr>
      <w:tr w:rsidR="00D457A0" w:rsidRPr="008F4FB1" w:rsidTr="00D457A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457A0" w:rsidRPr="00D457A0" w:rsidRDefault="00D457A0" w:rsidP="00D457A0">
            <w:pPr>
              <w:rPr>
                <w:rStyle w:val="AERsuperscript"/>
              </w:rPr>
            </w:pPr>
            <w:r w:rsidRPr="00D457A0">
              <w:t>Capital expenditure</w:t>
            </w:r>
          </w:p>
        </w:tc>
        <w:tc>
          <w:tcPr>
            <w:tcW w:w="940"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pPr>
            <w:r w:rsidRPr="00D457A0">
              <w:t>129.8</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pPr>
            <w:r w:rsidRPr="00D457A0">
              <w:t>122.6</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pPr>
            <w:r w:rsidRPr="00D457A0">
              <w:t>122.7</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pPr>
            <w:r w:rsidRPr="00D457A0">
              <w:t>132.4</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pPr>
            <w:r w:rsidRPr="00D457A0">
              <w:t>134.8</w:t>
            </w:r>
          </w:p>
        </w:tc>
      </w:tr>
      <w:tr w:rsidR="00D457A0" w:rsidRPr="008F4FB1" w:rsidTr="00D457A0">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457A0" w:rsidRPr="00D457A0" w:rsidRDefault="00D457A0" w:rsidP="00D457A0">
            <w:r w:rsidRPr="00D457A0">
              <w:rPr>
                <w:rStyle w:val="AERtextitalic"/>
              </w:rPr>
              <w:t>Less:</w:t>
            </w:r>
            <w:r w:rsidRPr="00D457A0">
              <w:t xml:space="preserve"> Tax depreciation</w:t>
            </w:r>
          </w:p>
        </w:tc>
        <w:tc>
          <w:tcPr>
            <w:tcW w:w="940"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60.9</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64.8</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79.9</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69.1</w:t>
            </w:r>
          </w:p>
        </w:tc>
        <w:tc>
          <w:tcPr>
            <w:tcW w:w="1147" w:type="dxa"/>
            <w:noWrap/>
            <w:vAlign w:val="bottom"/>
          </w:tcPr>
          <w:p w:rsidR="00D457A0" w:rsidRPr="00D457A0" w:rsidRDefault="00D457A0" w:rsidP="00D457A0">
            <w:pPr>
              <w:cnfStyle w:val="000000000000" w:firstRow="0" w:lastRow="0" w:firstColumn="0" w:lastColumn="0" w:oddVBand="0" w:evenVBand="0" w:oddHBand="0" w:evenHBand="0" w:firstRowFirstColumn="0" w:firstRowLastColumn="0" w:lastRowFirstColumn="0" w:lastRowLastColumn="0"/>
            </w:pPr>
            <w:r w:rsidRPr="00D457A0">
              <w:t>66.1</w:t>
            </w:r>
          </w:p>
        </w:tc>
      </w:tr>
      <w:tr w:rsidR="00D457A0" w:rsidRPr="00D457A0" w:rsidTr="00D457A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457A0" w:rsidRPr="00D457A0" w:rsidRDefault="00D457A0" w:rsidP="00D457A0">
            <w:pPr>
              <w:rPr>
                <w:rStyle w:val="Strong"/>
              </w:rPr>
            </w:pPr>
            <w:r w:rsidRPr="00D457A0">
              <w:rPr>
                <w:rStyle w:val="Strong"/>
              </w:rPr>
              <w:t>Closing TAB</w:t>
            </w:r>
          </w:p>
        </w:tc>
        <w:tc>
          <w:tcPr>
            <w:tcW w:w="940"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rPr>
                <w:rStyle w:val="Strong"/>
              </w:rPr>
            </w:pPr>
            <w:r w:rsidRPr="00D457A0">
              <w:rPr>
                <w:rStyle w:val="Strong"/>
              </w:rPr>
              <w:t>514.3</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rPr>
                <w:rStyle w:val="Strong"/>
              </w:rPr>
            </w:pPr>
            <w:r w:rsidRPr="00D457A0">
              <w:rPr>
                <w:rStyle w:val="Strong"/>
              </w:rPr>
              <w:t>572.1</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rPr>
                <w:rStyle w:val="Strong"/>
              </w:rPr>
            </w:pPr>
            <w:r w:rsidRPr="00D457A0">
              <w:rPr>
                <w:rStyle w:val="Strong"/>
              </w:rPr>
              <w:t>614.9</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rPr>
                <w:rStyle w:val="Strong"/>
              </w:rPr>
            </w:pPr>
            <w:r w:rsidRPr="00D457A0">
              <w:rPr>
                <w:rStyle w:val="Strong"/>
              </w:rPr>
              <w:t>678.1</w:t>
            </w:r>
          </w:p>
        </w:tc>
        <w:tc>
          <w:tcPr>
            <w:tcW w:w="1147" w:type="dxa"/>
            <w:noWrap/>
            <w:vAlign w:val="bottom"/>
          </w:tcPr>
          <w:p w:rsidR="00D457A0" w:rsidRPr="00D457A0" w:rsidRDefault="00D457A0" w:rsidP="00D457A0">
            <w:pPr>
              <w:cnfStyle w:val="000000010000" w:firstRow="0" w:lastRow="0" w:firstColumn="0" w:lastColumn="0" w:oddVBand="0" w:evenVBand="0" w:oddHBand="0" w:evenHBand="1" w:firstRowFirstColumn="0" w:firstRowLastColumn="0" w:lastRowFirstColumn="0" w:lastRowLastColumn="0"/>
              <w:rPr>
                <w:rStyle w:val="Strong"/>
              </w:rPr>
            </w:pPr>
            <w:r w:rsidRPr="00D457A0">
              <w:rPr>
                <w:rStyle w:val="Strong"/>
              </w:rPr>
              <w:t>746.8</w:t>
            </w:r>
          </w:p>
        </w:tc>
      </w:tr>
    </w:tbl>
    <w:p w:rsidR="00D457A0" w:rsidRDefault="00D457A0" w:rsidP="00D457A0">
      <w:pPr>
        <w:pStyle w:val="AERtablesource"/>
      </w:pPr>
      <w:r>
        <w:t>Source:</w:t>
      </w:r>
      <w:r>
        <w:tab/>
        <w:t>AER analysis.</w:t>
      </w:r>
    </w:p>
    <w:p w:rsidR="000A3F87" w:rsidRPr="000A3F87" w:rsidRDefault="000A3F87" w:rsidP="000A3F87">
      <w:pPr>
        <w:pStyle w:val="AERtablesource"/>
      </w:pPr>
      <w:r>
        <w:t>(a)</w:t>
      </w:r>
      <w:r>
        <w:tab/>
        <w:t>Based on updated estimated capex.</w:t>
      </w:r>
    </w:p>
    <w:p w:rsidR="000E2C2D" w:rsidRDefault="000E2C2D" w:rsidP="0037363D">
      <w:pPr>
        <w:pStyle w:val="Heading3"/>
        <w:ind w:left="578" w:hanging="578"/>
      </w:pPr>
      <w:bookmarkStart w:id="81" w:name="_Ref442779270"/>
      <w:bookmarkStart w:id="82" w:name="_Toc451285862"/>
      <w:r>
        <w:t>Remaining tax asset lives</w:t>
      </w:r>
      <w:bookmarkEnd w:id="81"/>
      <w:bookmarkEnd w:id="82"/>
    </w:p>
    <w:p w:rsidR="00AB2790" w:rsidRPr="004C33EC" w:rsidRDefault="000A3F87" w:rsidP="00AB2790">
      <w:r>
        <w:t>Consistent with our preliminary decision, w</w:t>
      </w:r>
      <w:r w:rsidR="00AB2790" w:rsidRPr="004C33EC">
        <w:t xml:space="preserve">e accept </w:t>
      </w:r>
      <w:r w:rsidR="00AB2790">
        <w:t>Jemena's</w:t>
      </w:r>
      <w:r w:rsidR="00AB2790" w:rsidRPr="004C33EC">
        <w:t xml:space="preserve"> proposed </w:t>
      </w:r>
      <w:r w:rsidR="00AB2790">
        <w:t xml:space="preserve">approach </w:t>
      </w:r>
      <w:r>
        <w:t xml:space="preserve">to calculate </w:t>
      </w:r>
      <w:r w:rsidRPr="004C33EC">
        <w:t>remaining tax asset lives</w:t>
      </w:r>
      <w:r>
        <w:t xml:space="preserve"> at 1 January 2016</w:t>
      </w:r>
      <w:r w:rsidR="00AB2790" w:rsidRPr="004C33EC">
        <w:t>. The approach calculates the remaining tax asset life for each asset class at 1 January 2016 using the standard tax</w:t>
      </w:r>
      <w:r w:rsidR="00AB2790">
        <w:t xml:space="preserve"> asset life for that</w:t>
      </w:r>
      <w:r w:rsidR="00AB2790" w:rsidRPr="004C33EC">
        <w:t xml:space="preserve"> asset class multiplied by the ratio of the RAB remaining asset life to the RAB standard asset life. </w:t>
      </w:r>
    </w:p>
    <w:p w:rsidR="00AB2790" w:rsidRPr="004C33EC" w:rsidRDefault="00AB2790" w:rsidP="00AB2790">
      <w:r w:rsidRPr="004C33EC">
        <w:t xml:space="preserve">In the preliminary decision, we accepted </w:t>
      </w:r>
      <w:r>
        <w:t>Jemena's</w:t>
      </w:r>
      <w:r w:rsidRPr="004C33EC">
        <w:t xml:space="preserve"> proposal to transition to our preferred straight-line tax depreciation approach to calculate the corporate income tax allowance for the 2016–20 regulatory control period. This required us to determine remaining tax asset lives for depreciating the opening TAB at 1 January 2016. We considered </w:t>
      </w:r>
      <w:r>
        <w:t xml:space="preserve">Jemena's </w:t>
      </w:r>
      <w:r w:rsidRPr="004C33EC">
        <w:t>proposed approach to determine remaining tax asset lives provides reasonable estimates for its asset classes.</w:t>
      </w:r>
    </w:p>
    <w:p w:rsidR="00AB2790" w:rsidRDefault="00AB2790" w:rsidP="00AB2790">
      <w:r w:rsidRPr="004C33EC">
        <w:t xml:space="preserve">We noted the remaining tax asset lives at 1 January 2016 may be updated using the approved approach for any revision to the RAB remaining asset lives, which in turn depends on any changes in 2015 capex. </w:t>
      </w:r>
      <w:r>
        <w:t xml:space="preserve">As </w:t>
      </w:r>
      <w:r w:rsidRPr="004C33EC">
        <w:t xml:space="preserve">discussed in attachment 2, we have </w:t>
      </w:r>
      <w:r>
        <w:t>updated</w:t>
      </w:r>
      <w:r w:rsidRPr="004C33EC">
        <w:t xml:space="preserve"> the 2015 capex estimate for this final decision. </w:t>
      </w:r>
      <w:r w:rsidR="007F388F">
        <w:t xml:space="preserve">We also </w:t>
      </w:r>
      <w:r w:rsidR="007F388F" w:rsidRPr="007F388F">
        <w:t xml:space="preserve">amended two of </w:t>
      </w:r>
      <w:r w:rsidR="007F388F">
        <w:t>Jemena's</w:t>
      </w:r>
      <w:r w:rsidR="007F388F" w:rsidRPr="007F388F">
        <w:t xml:space="preserve"> revised proposal standard asset lives to correct a number of input errors</w:t>
      </w:r>
      <w:r w:rsidR="007F388F">
        <w:t xml:space="preserve"> (attachment 5).</w:t>
      </w:r>
      <w:r w:rsidR="007F388F" w:rsidRPr="007F388F">
        <w:t xml:space="preserve"> </w:t>
      </w:r>
      <w:r w:rsidR="007F388F">
        <w:t>W</w:t>
      </w:r>
      <w:r>
        <w:t>e have</w:t>
      </w:r>
      <w:r w:rsidR="007F388F">
        <w:t xml:space="preserve"> therefore</w:t>
      </w:r>
      <w:r>
        <w:t xml:space="preserve"> updated </w:t>
      </w:r>
      <w:r w:rsidRPr="004C33EC">
        <w:t xml:space="preserve">the remaining tax asset lives for </w:t>
      </w:r>
      <w:r>
        <w:t xml:space="preserve">Jemena </w:t>
      </w:r>
      <w:r w:rsidR="000A3F87">
        <w:t>due to</w:t>
      </w:r>
      <w:r>
        <w:t xml:space="preserve"> the resulting change in RAB </w:t>
      </w:r>
      <w:r w:rsidR="007F388F">
        <w:t xml:space="preserve">standard </w:t>
      </w:r>
      <w:r w:rsidR="00963F3D">
        <w:t xml:space="preserve">asset lives </w:t>
      </w:r>
      <w:r w:rsidR="007F388F">
        <w:t xml:space="preserve">and </w:t>
      </w:r>
      <w:r>
        <w:t xml:space="preserve">remaining asset lives. </w:t>
      </w:r>
      <w:r w:rsidR="000A3F87">
        <w:t>We have used revised RAB remaining asset lives calculated from the weighted average approach in the RFM, consistent with the preliminary decision.</w:t>
      </w:r>
    </w:p>
    <w:p w:rsidR="008A3048" w:rsidRDefault="00D5560A" w:rsidP="00AB2790">
      <w:r>
        <w:lastRenderedPageBreak/>
        <w:fldChar w:fldCharType="begin"/>
      </w:r>
      <w:r>
        <w:instrText xml:space="preserve"> REF _Ref444764909 \h </w:instrText>
      </w:r>
      <w:r>
        <w:fldChar w:fldCharType="separate"/>
      </w:r>
      <w:r w:rsidR="002B2070">
        <w:t xml:space="preserve">Table </w:t>
      </w:r>
      <w:r w:rsidR="002B2070">
        <w:rPr>
          <w:noProof/>
        </w:rPr>
        <w:t>8</w:t>
      </w:r>
      <w:r w:rsidR="002B2070">
        <w:t>.</w:t>
      </w:r>
      <w:r w:rsidR="002B2070">
        <w:rPr>
          <w:noProof/>
        </w:rPr>
        <w:t>4</w:t>
      </w:r>
      <w:r>
        <w:fldChar w:fldCharType="end"/>
      </w:r>
      <w:r>
        <w:t xml:space="preserve"> </w:t>
      </w:r>
      <w:r w:rsidR="00D457A0" w:rsidRPr="00D457A0">
        <w:t xml:space="preserve">sets out our </w:t>
      </w:r>
      <w:r w:rsidR="004417B7">
        <w:t>final</w:t>
      </w:r>
      <w:r w:rsidR="00D457A0" w:rsidRPr="00D457A0">
        <w:t xml:space="preserve"> decision on the remaining tax asset lives at 1 January 2016 for </w:t>
      </w:r>
      <w:r>
        <w:t>Jemena</w:t>
      </w:r>
      <w:r w:rsidR="00D457A0" w:rsidRPr="00D457A0">
        <w:t>. We are satisfied the remaining tax asset lives provide an appropriate estimate of the tax depreciation amount for a benchmark efficient service provider as required by the NER.</w:t>
      </w:r>
      <w:r w:rsidR="00D457A0" w:rsidRPr="00D457A0">
        <w:rPr>
          <w:rStyle w:val="FootnoteReference"/>
        </w:rPr>
        <w:footnoteReference w:id="8"/>
      </w:r>
    </w:p>
    <w:p w:rsidR="000E2C2D" w:rsidRDefault="000E2C2D" w:rsidP="0037363D">
      <w:pPr>
        <w:pStyle w:val="Heading3"/>
        <w:ind w:left="578" w:hanging="578"/>
      </w:pPr>
      <w:bookmarkStart w:id="83" w:name="_Ref445389527"/>
      <w:bookmarkStart w:id="84" w:name="_Toc451285863"/>
      <w:r>
        <w:t>Standard tax asset lives</w:t>
      </w:r>
      <w:bookmarkEnd w:id="83"/>
      <w:bookmarkEnd w:id="84"/>
    </w:p>
    <w:p w:rsidR="00D5560A" w:rsidRPr="00D5560A" w:rsidRDefault="00D5560A" w:rsidP="008A3048">
      <w:r w:rsidRPr="00D5560A">
        <w:t xml:space="preserve">Consistent with our preliminary decision, we accept </w:t>
      </w:r>
      <w:r>
        <w:t>Jemena</w:t>
      </w:r>
      <w:r w:rsidRPr="00D5560A">
        <w:t xml:space="preserve">'s proposed </w:t>
      </w:r>
      <w:r w:rsidR="009679D1">
        <w:t xml:space="preserve">approach to determining </w:t>
      </w:r>
      <w:r w:rsidRPr="00D5560A">
        <w:t xml:space="preserve">standard tax asset lives because </w:t>
      </w:r>
      <w:r w:rsidR="009679D1">
        <w:t>it re</w:t>
      </w:r>
      <w:r w:rsidR="007F4C0C">
        <w:t xml:space="preserve">flects the mix of capex forecast for the 2016–20 regulatory control period. This approach breaks the value of forecast capex down </w:t>
      </w:r>
      <w:r w:rsidR="007F4C0C" w:rsidRPr="008969CF">
        <w:t xml:space="preserve">by </w:t>
      </w:r>
      <w:r w:rsidR="007F4C0C">
        <w:t>the required component assets. Each group of component assets is assigned a standard tax asset life consistent with the relevant tax categories from the ATO tax rulings. We consider this approach will generally result in standard tax asset lives</w:t>
      </w:r>
      <w:r w:rsidRPr="00D5560A">
        <w:t xml:space="preserve"> consistent with the values prescribed by the Commissioner for taxation in tax ruling 2015/2</w:t>
      </w:r>
      <w:r w:rsidR="007F4C0C">
        <w:t>.</w:t>
      </w:r>
      <w:r w:rsidRPr="00D5560A">
        <w:rPr>
          <w:rStyle w:val="FootnoteReference"/>
        </w:rPr>
        <w:footnoteReference w:id="9"/>
      </w:r>
      <w:r w:rsidRPr="00D5560A">
        <w:t xml:space="preserve"> </w:t>
      </w:r>
      <w:r w:rsidR="008C05E1">
        <w:t>We therefore accept Jemena's revised proposed standard tax asset lives.</w:t>
      </w:r>
    </w:p>
    <w:p w:rsidR="00AB2790" w:rsidRDefault="00D5560A" w:rsidP="00AB2790">
      <w:r w:rsidRPr="00D5560A">
        <w:t>In the preliminary decision, we made a number of amendments to the proposed standard tax asset li</w:t>
      </w:r>
      <w:r w:rsidR="001B0D72">
        <w:t>ves proposed by Jemena</w:t>
      </w:r>
      <w:r w:rsidRPr="00D5560A">
        <w:t>. We changed the standard tax asset lives for the ‘SCADA</w:t>
      </w:r>
      <w:r w:rsidR="007F4C0C">
        <w:t>/network control</w:t>
      </w:r>
      <w:r w:rsidRPr="00D5560A">
        <w:t xml:space="preserve">' </w:t>
      </w:r>
      <w:r w:rsidR="007F4C0C">
        <w:t xml:space="preserve">asset class </w:t>
      </w:r>
      <w:r w:rsidRPr="00D5560A">
        <w:t>to 10 years (from proposed 5 years)</w:t>
      </w:r>
      <w:r w:rsidR="001B0D72">
        <w:t xml:space="preserve">. This was </w:t>
      </w:r>
      <w:r w:rsidR="001B0D72" w:rsidRPr="001B0D72">
        <w:t>consistent with the approach for RAB standard asset lives</w:t>
      </w:r>
      <w:r w:rsidR="001B0D72">
        <w:t xml:space="preserve"> and tax standard asset lives </w:t>
      </w:r>
      <w:r w:rsidR="001B0D72" w:rsidRPr="001B0D72">
        <w:t>determined for distributors in other jurisdictions</w:t>
      </w:r>
      <w:r w:rsidR="001B0D72">
        <w:t xml:space="preserve"> for </w:t>
      </w:r>
      <w:r w:rsidR="001B0D72" w:rsidRPr="001B0D72">
        <w:t>SCADA related asset classes</w:t>
      </w:r>
      <w:r w:rsidRPr="00D5560A">
        <w:t xml:space="preserve">. We also </w:t>
      </w:r>
      <w:r w:rsidR="001B0D72">
        <w:t xml:space="preserve">changed the </w:t>
      </w:r>
      <w:r w:rsidR="001B0D72" w:rsidRPr="001B0D72">
        <w:t>standard tax asset life for the 'Equity raisin</w:t>
      </w:r>
      <w:r w:rsidR="001B0D72">
        <w:t xml:space="preserve">g costs' asset class to 5 years, consistent with </w:t>
      </w:r>
      <w:r w:rsidR="001B0D72" w:rsidRPr="001B0D72">
        <w:t>ATO require</w:t>
      </w:r>
      <w:r w:rsidR="001B0D72">
        <w:t>ments and</w:t>
      </w:r>
      <w:r w:rsidR="001B0D72" w:rsidRPr="001B0D72">
        <w:t xml:space="preserve"> </w:t>
      </w:r>
      <w:r w:rsidR="00AB2790" w:rsidRPr="00AB2790">
        <w:t>created a new non-depreciating 'Land' asset class</w:t>
      </w:r>
      <w:r w:rsidRPr="00D5560A">
        <w:t>.</w:t>
      </w:r>
      <w:r w:rsidRPr="00D5560A">
        <w:rPr>
          <w:rStyle w:val="FootnoteReference"/>
        </w:rPr>
        <w:footnoteReference w:id="10"/>
      </w:r>
      <w:r w:rsidR="00AB2790">
        <w:t xml:space="preserve"> </w:t>
      </w:r>
      <w:r w:rsidR="001B0D72">
        <w:t>Jemena</w:t>
      </w:r>
      <w:r w:rsidRPr="00D5560A">
        <w:t>'s revised proposal adopted the preliminary decision amendments.</w:t>
      </w:r>
      <w:r w:rsidR="002C68F7">
        <w:rPr>
          <w:rStyle w:val="FootnoteReference"/>
        </w:rPr>
        <w:footnoteReference w:id="11"/>
      </w:r>
      <w:r w:rsidRPr="00D5560A">
        <w:t xml:space="preserve"> </w:t>
      </w:r>
    </w:p>
    <w:p w:rsidR="00D5560A" w:rsidRPr="00D5560A" w:rsidRDefault="00D5560A" w:rsidP="00AB2790">
      <w:r w:rsidRPr="00D5560A">
        <w:t xml:space="preserve">We are satisfied the standard tax asset lives in </w:t>
      </w:r>
      <w:r w:rsidR="001B0D72">
        <w:t>Jemena</w:t>
      </w:r>
      <w:r w:rsidRPr="00D5560A">
        <w:t>'s revised proposal are likely to provide an appropriate estimate of the tax depreciation amount for a benchmark efficient service provider as required by the NER.</w:t>
      </w:r>
      <w:r w:rsidRPr="00D5560A">
        <w:rPr>
          <w:rStyle w:val="FootnoteReference"/>
        </w:rPr>
        <w:footnoteReference w:id="12"/>
      </w:r>
      <w:r w:rsidRPr="00D5560A">
        <w:t xml:space="preserve"> </w:t>
      </w:r>
    </w:p>
    <w:p w:rsidR="000E2C2D" w:rsidRDefault="001B0D72" w:rsidP="00132D43">
      <w:r>
        <w:fldChar w:fldCharType="begin"/>
      </w:r>
      <w:r>
        <w:instrText xml:space="preserve"> REF _Ref444764909 \h </w:instrText>
      </w:r>
      <w:r>
        <w:fldChar w:fldCharType="separate"/>
      </w:r>
      <w:r w:rsidR="002B2070">
        <w:t xml:space="preserve">Table </w:t>
      </w:r>
      <w:r w:rsidR="002B2070">
        <w:rPr>
          <w:noProof/>
        </w:rPr>
        <w:t>8</w:t>
      </w:r>
      <w:r w:rsidR="002B2070">
        <w:t>.</w:t>
      </w:r>
      <w:r w:rsidR="002B2070">
        <w:rPr>
          <w:noProof/>
        </w:rPr>
        <w:t>4</w:t>
      </w:r>
      <w:r>
        <w:fldChar w:fldCharType="end"/>
      </w:r>
      <w:r>
        <w:t xml:space="preserve"> </w:t>
      </w:r>
      <w:r w:rsidRPr="001B0D72">
        <w:t xml:space="preserve">sets out our final decision on the standard tax asset lives for </w:t>
      </w:r>
      <w:r>
        <w:t>Jemena</w:t>
      </w:r>
      <w:r w:rsidRPr="001B0D72">
        <w:t>.</w:t>
      </w:r>
    </w:p>
    <w:p w:rsidR="007F7ACC" w:rsidRDefault="007F7ACC" w:rsidP="00132D43"/>
    <w:p w:rsidR="007F7ACC" w:rsidRDefault="007F7ACC" w:rsidP="00132D43"/>
    <w:p w:rsidR="007F7ACC" w:rsidRDefault="007F7ACC" w:rsidP="00132D43"/>
    <w:p w:rsidR="007F7ACC" w:rsidRDefault="007F7ACC" w:rsidP="00132D43"/>
    <w:p w:rsidR="00D5560A" w:rsidRDefault="00D5560A" w:rsidP="00D5560A">
      <w:pPr>
        <w:pStyle w:val="Caption"/>
      </w:pPr>
      <w:bookmarkStart w:id="85" w:name="_Ref444764909"/>
      <w:r>
        <w:lastRenderedPageBreak/>
        <w:t xml:space="preserve">Table </w:t>
      </w:r>
      <w:fldSimple w:instr=" STYLEREF 1 \s ">
        <w:r w:rsidR="002B2070">
          <w:rPr>
            <w:noProof/>
          </w:rPr>
          <w:t>8</w:t>
        </w:r>
      </w:fldSimple>
      <w:r>
        <w:t>.</w:t>
      </w:r>
      <w:fldSimple w:instr=" SEQ Table \* ARABIC \s 1 ">
        <w:r w:rsidR="002B2070">
          <w:rPr>
            <w:noProof/>
          </w:rPr>
          <w:t>4</w:t>
        </w:r>
      </w:fldSimple>
      <w:bookmarkEnd w:id="85"/>
      <w:r>
        <w:tab/>
      </w:r>
      <w:r w:rsidRPr="00D5560A">
        <w:t xml:space="preserve">AER's final decision on </w:t>
      </w:r>
      <w:r>
        <w:t>Jemena</w:t>
      </w:r>
      <w:r w:rsidRPr="00D5560A">
        <w:t>'s standard and remaining tax asset lives (years)</w:t>
      </w:r>
    </w:p>
    <w:tbl>
      <w:tblPr>
        <w:tblStyle w:val="AERtable-numbers"/>
        <w:tblW w:w="8755" w:type="dxa"/>
        <w:tblLook w:val="04A0" w:firstRow="1" w:lastRow="0" w:firstColumn="1" w:lastColumn="0" w:noHBand="0" w:noVBand="1"/>
      </w:tblPr>
      <w:tblGrid>
        <w:gridCol w:w="3085"/>
        <w:gridCol w:w="1985"/>
        <w:gridCol w:w="3685"/>
      </w:tblGrid>
      <w:tr w:rsidR="00D5560A" w:rsidRPr="003E12F4" w:rsidTr="008A3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D5560A" w:rsidRPr="00D5560A" w:rsidRDefault="00D5560A" w:rsidP="00D5560A">
            <w:r w:rsidRPr="00D5560A">
              <w:t xml:space="preserve">Asset class </w:t>
            </w:r>
          </w:p>
        </w:tc>
        <w:tc>
          <w:tcPr>
            <w:tcW w:w="1985" w:type="dxa"/>
            <w:noWrap/>
            <w:hideMark/>
          </w:tcPr>
          <w:p w:rsidR="00D5560A" w:rsidRPr="00D5560A" w:rsidRDefault="00D5560A" w:rsidP="00D5560A">
            <w:pPr>
              <w:cnfStyle w:val="100000000000" w:firstRow="1" w:lastRow="0" w:firstColumn="0" w:lastColumn="0" w:oddVBand="0" w:evenVBand="0" w:oddHBand="0" w:evenHBand="0" w:firstRowFirstColumn="0" w:firstRowLastColumn="0" w:lastRowFirstColumn="0" w:lastRowLastColumn="0"/>
            </w:pPr>
            <w:r w:rsidRPr="00D5560A">
              <w:t>Standard tax asset life</w:t>
            </w:r>
          </w:p>
        </w:tc>
        <w:tc>
          <w:tcPr>
            <w:tcW w:w="3685" w:type="dxa"/>
          </w:tcPr>
          <w:p w:rsidR="00D17408" w:rsidRDefault="00D17408" w:rsidP="00D5560A">
            <w:pPr>
              <w:cnfStyle w:val="100000000000" w:firstRow="1" w:lastRow="0" w:firstColumn="0" w:lastColumn="0" w:oddVBand="0" w:evenVBand="0" w:oddHBand="0" w:evenHBand="0" w:firstRowFirstColumn="0" w:firstRowLastColumn="0" w:lastRowFirstColumn="0" w:lastRowLastColumn="0"/>
            </w:pPr>
            <w:r>
              <w:t>Remaining tax asset life</w:t>
            </w:r>
          </w:p>
          <w:p w:rsidR="00D5560A" w:rsidRPr="00D5560A" w:rsidRDefault="00D5560A" w:rsidP="00D5560A">
            <w:pPr>
              <w:cnfStyle w:val="100000000000" w:firstRow="1" w:lastRow="0" w:firstColumn="0" w:lastColumn="0" w:oddVBand="0" w:evenVBand="0" w:oddHBand="0" w:evenHBand="0" w:firstRowFirstColumn="0" w:firstRowLastColumn="0" w:lastRowFirstColumn="0" w:lastRowLastColumn="0"/>
            </w:pPr>
            <w:r w:rsidRPr="00D5560A">
              <w:t>as at 1 January 2016</w:t>
            </w:r>
          </w:p>
        </w:tc>
      </w:tr>
      <w:tr w:rsidR="009679D1" w:rsidRPr="003E12F4" w:rsidTr="008A3048">
        <w:trPr>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Subtransmission</w:t>
            </w:r>
          </w:p>
        </w:tc>
        <w:tc>
          <w:tcPr>
            <w:tcW w:w="1985" w:type="dxa"/>
            <w:noWrap/>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86" w:name="RANGE!P7"/>
            <w:r w:rsidRPr="009679D1">
              <w:t>43.0</w:t>
            </w:r>
            <w:bookmarkEnd w:id="86"/>
          </w:p>
        </w:tc>
        <w:tc>
          <w:tcPr>
            <w:tcW w:w="3685" w:type="dxa"/>
            <w:vAlign w:val="bottom"/>
          </w:tcPr>
          <w:p w:rsidR="009679D1" w:rsidRPr="009679D1" w:rsidRDefault="007F388F" w:rsidP="009679D1">
            <w:pPr>
              <w:cnfStyle w:val="000000000000" w:firstRow="0" w:lastRow="0" w:firstColumn="0" w:lastColumn="0" w:oddVBand="0" w:evenVBand="0" w:oddHBand="0" w:evenHBand="0" w:firstRowFirstColumn="0" w:firstRowLastColumn="0" w:lastRowFirstColumn="0" w:lastRowLastColumn="0"/>
            </w:pPr>
            <w:r>
              <w:t>26.6</w:t>
            </w:r>
          </w:p>
        </w:tc>
      </w:tr>
      <w:tr w:rsidR="009679D1" w:rsidRPr="003E12F4" w:rsidTr="008A304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Distribution system assets</w:t>
            </w:r>
          </w:p>
        </w:tc>
        <w:tc>
          <w:tcPr>
            <w:tcW w:w="1985" w:type="dxa"/>
            <w:noWrap/>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87" w:name="RANGE!P8"/>
            <w:r w:rsidRPr="009679D1">
              <w:t>45.2</w:t>
            </w:r>
            <w:bookmarkEnd w:id="87"/>
          </w:p>
        </w:tc>
        <w:tc>
          <w:tcPr>
            <w:tcW w:w="3685" w:type="dxa"/>
            <w:vAlign w:val="bottom"/>
          </w:tcPr>
          <w:p w:rsidR="009679D1" w:rsidRPr="009679D1" w:rsidRDefault="007F388F" w:rsidP="009679D1">
            <w:pPr>
              <w:cnfStyle w:val="000000010000" w:firstRow="0" w:lastRow="0" w:firstColumn="0" w:lastColumn="0" w:oddVBand="0" w:evenVBand="0" w:oddHBand="0" w:evenHBand="1" w:firstRowFirstColumn="0" w:firstRowLastColumn="0" w:lastRowFirstColumn="0" w:lastRowLastColumn="0"/>
            </w:pPr>
            <w:r>
              <w:t>28.2</w:t>
            </w:r>
          </w:p>
        </w:tc>
      </w:tr>
      <w:tr w:rsidR="009679D1" w:rsidRPr="003E12F4" w:rsidTr="008A3048">
        <w:trPr>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Metering</w:t>
            </w:r>
          </w:p>
        </w:tc>
        <w:tc>
          <w:tcPr>
            <w:tcW w:w="1985" w:type="dxa"/>
            <w:noWrap/>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88" w:name="RANGE!P9"/>
            <w:r w:rsidRPr="009679D1">
              <w:t>n/a</w:t>
            </w:r>
            <w:bookmarkEnd w:id="88"/>
          </w:p>
        </w:tc>
        <w:tc>
          <w:tcPr>
            <w:tcW w:w="3685" w:type="dxa"/>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89" w:name="RANGE!O9"/>
            <w:r w:rsidRPr="009679D1">
              <w:t>1.0</w:t>
            </w:r>
            <w:bookmarkEnd w:id="89"/>
            <w:r w:rsidR="00862C06" w:rsidRPr="0037363D">
              <w:rPr>
                <w:rStyle w:val="AERsuperscript"/>
                <w:sz w:val="22"/>
              </w:rPr>
              <w:t>a</w:t>
            </w:r>
          </w:p>
        </w:tc>
      </w:tr>
      <w:tr w:rsidR="009679D1" w:rsidRPr="003E12F4" w:rsidTr="008A304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Public Lighting</w:t>
            </w:r>
          </w:p>
        </w:tc>
        <w:tc>
          <w:tcPr>
            <w:tcW w:w="1985" w:type="dxa"/>
            <w:noWrap/>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90" w:name="RANGE!P10"/>
            <w:r w:rsidRPr="009679D1">
              <w:t>n/a</w:t>
            </w:r>
            <w:bookmarkEnd w:id="90"/>
          </w:p>
        </w:tc>
        <w:tc>
          <w:tcPr>
            <w:tcW w:w="3685" w:type="dxa"/>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91" w:name="RANGE!O10"/>
            <w:r w:rsidRPr="009679D1">
              <w:t>1.3</w:t>
            </w:r>
            <w:bookmarkEnd w:id="91"/>
          </w:p>
        </w:tc>
      </w:tr>
      <w:tr w:rsidR="009679D1" w:rsidRPr="003E12F4" w:rsidTr="008A3048">
        <w:trPr>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SCADA</w:t>
            </w:r>
          </w:p>
        </w:tc>
        <w:tc>
          <w:tcPr>
            <w:tcW w:w="1985" w:type="dxa"/>
            <w:noWrap/>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92" w:name="RANGE!P11"/>
            <w:r w:rsidRPr="009679D1">
              <w:t>10.0</w:t>
            </w:r>
            <w:bookmarkEnd w:id="92"/>
          </w:p>
        </w:tc>
        <w:tc>
          <w:tcPr>
            <w:tcW w:w="3685" w:type="dxa"/>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93" w:name="RANGE!O11"/>
            <w:r w:rsidRPr="009679D1">
              <w:t>7.8</w:t>
            </w:r>
            <w:bookmarkEnd w:id="93"/>
          </w:p>
        </w:tc>
      </w:tr>
      <w:tr w:rsidR="009679D1" w:rsidRPr="003E12F4" w:rsidTr="008A304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Non network - IT</w:t>
            </w:r>
          </w:p>
        </w:tc>
        <w:tc>
          <w:tcPr>
            <w:tcW w:w="1985" w:type="dxa"/>
            <w:noWrap/>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94" w:name="RANGE!P12"/>
            <w:r w:rsidRPr="009679D1">
              <w:t>4.4</w:t>
            </w:r>
            <w:bookmarkEnd w:id="94"/>
          </w:p>
        </w:tc>
        <w:tc>
          <w:tcPr>
            <w:tcW w:w="3685" w:type="dxa"/>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95" w:name="RANGE!O12"/>
            <w:r w:rsidRPr="009679D1">
              <w:t>2.4</w:t>
            </w:r>
            <w:bookmarkEnd w:id="95"/>
          </w:p>
        </w:tc>
      </w:tr>
      <w:tr w:rsidR="009679D1" w:rsidRPr="003E12F4" w:rsidTr="008A3048">
        <w:trPr>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Non network - other</w:t>
            </w:r>
          </w:p>
        </w:tc>
        <w:tc>
          <w:tcPr>
            <w:tcW w:w="1985" w:type="dxa"/>
            <w:noWrap/>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96" w:name="RANGE!P13"/>
            <w:r w:rsidRPr="009679D1">
              <w:t>17.4</w:t>
            </w:r>
            <w:bookmarkEnd w:id="96"/>
          </w:p>
        </w:tc>
        <w:tc>
          <w:tcPr>
            <w:tcW w:w="3685" w:type="dxa"/>
            <w:vAlign w:val="bottom"/>
          </w:tcPr>
          <w:p w:rsidR="009679D1" w:rsidRPr="009679D1" w:rsidRDefault="009679D1" w:rsidP="009679D1">
            <w:pPr>
              <w:cnfStyle w:val="000000000000" w:firstRow="0" w:lastRow="0" w:firstColumn="0" w:lastColumn="0" w:oddVBand="0" w:evenVBand="0" w:oddHBand="0" w:evenHBand="0" w:firstRowFirstColumn="0" w:firstRowLastColumn="0" w:lastRowFirstColumn="0" w:lastRowLastColumn="0"/>
            </w:pPr>
            <w:bookmarkStart w:id="97" w:name="RANGE!O13"/>
            <w:r w:rsidRPr="009679D1">
              <w:t>11.2</w:t>
            </w:r>
            <w:bookmarkEnd w:id="97"/>
          </w:p>
        </w:tc>
      </w:tr>
      <w:tr w:rsidR="009679D1" w:rsidRPr="003E12F4" w:rsidTr="008A304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noWrap/>
            <w:hideMark/>
          </w:tcPr>
          <w:p w:rsidR="009679D1" w:rsidRPr="009679D1" w:rsidRDefault="009679D1" w:rsidP="009679D1">
            <w:r w:rsidRPr="009679D1">
              <w:t>Land</w:t>
            </w:r>
          </w:p>
        </w:tc>
        <w:tc>
          <w:tcPr>
            <w:tcW w:w="1985" w:type="dxa"/>
            <w:noWrap/>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98" w:name="RANGE!P14"/>
            <w:r w:rsidRPr="009679D1">
              <w:t>n/a</w:t>
            </w:r>
            <w:bookmarkEnd w:id="98"/>
          </w:p>
        </w:tc>
        <w:tc>
          <w:tcPr>
            <w:tcW w:w="3685" w:type="dxa"/>
            <w:vAlign w:val="bottom"/>
          </w:tcPr>
          <w:p w:rsidR="009679D1" w:rsidRPr="009679D1" w:rsidRDefault="009679D1" w:rsidP="009679D1">
            <w:pPr>
              <w:cnfStyle w:val="000000010000" w:firstRow="0" w:lastRow="0" w:firstColumn="0" w:lastColumn="0" w:oddVBand="0" w:evenVBand="0" w:oddHBand="0" w:evenHBand="1" w:firstRowFirstColumn="0" w:firstRowLastColumn="0" w:lastRowFirstColumn="0" w:lastRowLastColumn="0"/>
            </w:pPr>
            <w:bookmarkStart w:id="99" w:name="RANGE!O14"/>
            <w:r w:rsidRPr="009679D1">
              <w:t>n/a</w:t>
            </w:r>
            <w:bookmarkEnd w:id="99"/>
          </w:p>
        </w:tc>
      </w:tr>
      <w:tr w:rsidR="00D5560A" w:rsidRPr="003E12F4" w:rsidTr="008A3048">
        <w:trPr>
          <w:trHeight w:val="288"/>
        </w:trPr>
        <w:tc>
          <w:tcPr>
            <w:cnfStyle w:val="001000000000" w:firstRow="0" w:lastRow="0" w:firstColumn="1" w:lastColumn="0" w:oddVBand="0" w:evenVBand="0" w:oddHBand="0" w:evenHBand="0" w:firstRowFirstColumn="0" w:firstRowLastColumn="0" w:lastRowFirstColumn="0" w:lastRowLastColumn="0"/>
            <w:tcW w:w="3085" w:type="dxa"/>
            <w:noWrap/>
          </w:tcPr>
          <w:p w:rsidR="00D5560A" w:rsidRPr="00D5560A" w:rsidRDefault="00D5560A" w:rsidP="00D5560A">
            <w:r>
              <w:t>Equity raising costs</w:t>
            </w:r>
          </w:p>
        </w:tc>
        <w:tc>
          <w:tcPr>
            <w:tcW w:w="1985" w:type="dxa"/>
            <w:noWrap/>
            <w:vAlign w:val="bottom"/>
          </w:tcPr>
          <w:p w:rsidR="00D5560A" w:rsidRPr="00D5560A" w:rsidRDefault="009679D1" w:rsidP="00D5560A">
            <w:pPr>
              <w:cnfStyle w:val="000000000000" w:firstRow="0" w:lastRow="0" w:firstColumn="0" w:lastColumn="0" w:oddVBand="0" w:evenVBand="0" w:oddHBand="0" w:evenHBand="0" w:firstRowFirstColumn="0" w:firstRowLastColumn="0" w:lastRowFirstColumn="0" w:lastRowLastColumn="0"/>
            </w:pPr>
            <w:r>
              <w:t>5.0</w:t>
            </w:r>
          </w:p>
        </w:tc>
        <w:tc>
          <w:tcPr>
            <w:tcW w:w="3685" w:type="dxa"/>
            <w:vAlign w:val="bottom"/>
          </w:tcPr>
          <w:p w:rsidR="00D5560A" w:rsidRPr="00D5560A" w:rsidRDefault="009679D1" w:rsidP="00D5560A">
            <w:pPr>
              <w:cnfStyle w:val="000000000000" w:firstRow="0" w:lastRow="0" w:firstColumn="0" w:lastColumn="0" w:oddVBand="0" w:evenVBand="0" w:oddHBand="0" w:evenHBand="0" w:firstRowFirstColumn="0" w:firstRowLastColumn="0" w:lastRowFirstColumn="0" w:lastRowLastColumn="0"/>
            </w:pPr>
            <w:r>
              <w:t>n/a</w:t>
            </w:r>
          </w:p>
        </w:tc>
      </w:tr>
    </w:tbl>
    <w:p w:rsidR="001B0D72" w:rsidRPr="001B0D72" w:rsidRDefault="001B0D72" w:rsidP="001B0D72">
      <w:pPr>
        <w:pStyle w:val="AERtablesource"/>
      </w:pPr>
      <w:r w:rsidRPr="001B0D72">
        <w:t>Source:</w:t>
      </w:r>
      <w:r w:rsidRPr="001B0D72">
        <w:tab/>
        <w:t>AER analysis.</w:t>
      </w:r>
    </w:p>
    <w:p w:rsidR="00D5560A" w:rsidRDefault="001B0D72" w:rsidP="001B0D72">
      <w:pPr>
        <w:pStyle w:val="AERtablesource"/>
      </w:pPr>
      <w:r w:rsidRPr="001B0D72">
        <w:t>n/a:</w:t>
      </w:r>
      <w:r w:rsidRPr="001B0D72">
        <w:tab/>
        <w:t>not applicable.</w:t>
      </w:r>
    </w:p>
    <w:p w:rsidR="00862C06" w:rsidRPr="00862C06" w:rsidRDefault="00CC2CF1" w:rsidP="00862C06">
      <w:pPr>
        <w:pStyle w:val="AERtablesource"/>
      </w:pPr>
      <w:r>
        <w:t>(a)</w:t>
      </w:r>
      <w:r w:rsidR="00862C06">
        <w:tab/>
      </w:r>
      <w:r w:rsidR="00862C06" w:rsidRPr="00862C06">
        <w:t xml:space="preserve">The remaining </w:t>
      </w:r>
      <w:r w:rsidR="00267B66">
        <w:t xml:space="preserve">tax </w:t>
      </w:r>
      <w:r w:rsidR="00862C06" w:rsidRPr="00862C06">
        <w:t xml:space="preserve">asset life as at 1 January 2016 for the ‘Metering’ asset class is set to 1 year in order to fully depreciate the small residual TAB value for this asset class within the </w:t>
      </w:r>
      <w:r w:rsidR="00267B66">
        <w:t>2016</w:t>
      </w:r>
      <w:r w:rsidR="00862C06" w:rsidRPr="00862C06">
        <w:t>–20 regulatory control period.</w:t>
      </w:r>
    </w:p>
    <w:p w:rsidR="00313A59" w:rsidRPr="00313A59" w:rsidRDefault="00313A59" w:rsidP="0037363D">
      <w:pPr>
        <w:pStyle w:val="Heading3"/>
        <w:ind w:left="578" w:hanging="578"/>
      </w:pPr>
      <w:bookmarkStart w:id="100" w:name="_Toc444757778"/>
      <w:bookmarkStart w:id="101" w:name="_Toc451285864"/>
      <w:r w:rsidRPr="00313A59">
        <w:t>Tax treatment of other revenue adjustments</w:t>
      </w:r>
      <w:bookmarkEnd w:id="100"/>
      <w:bookmarkEnd w:id="101"/>
    </w:p>
    <w:p w:rsidR="0012097D" w:rsidRPr="0075210A" w:rsidRDefault="0012097D" w:rsidP="0012097D">
      <w:r>
        <w:t>We note Jemena's revised</w:t>
      </w:r>
      <w:r w:rsidRPr="0075210A">
        <w:t xml:space="preserve"> propos</w:t>
      </w:r>
      <w:r>
        <w:t>al adopted our preliminary decision on the tax treatment of the revenue adjustments arising from shared assets and the close out of the ESCV's previous S</w:t>
      </w:r>
      <w:r>
        <w:noBreakHyphen/>
        <w:t>factor scheme. Consistent with the preliminary decision, our final decision is that the shared assets and S</w:t>
      </w:r>
      <w:r w:rsidR="008C05E1">
        <w:t>-</w:t>
      </w:r>
      <w:r>
        <w:t>factor revenue adjustments should be given identical income and expense tax status in the PTRM.</w:t>
      </w:r>
      <w:r>
        <w:rPr>
          <w:rStyle w:val="FootnoteReference"/>
        </w:rPr>
        <w:footnoteReference w:id="13"/>
      </w:r>
    </w:p>
    <w:p w:rsidR="00313A59" w:rsidRPr="00313A59" w:rsidRDefault="00313A59" w:rsidP="00313A59"/>
    <w:sectPr w:rsidR="00313A59" w:rsidRPr="00313A59"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46" w:rsidRPr="00290C63" w:rsidRDefault="00131F46" w:rsidP="00290C63">
      <w:r>
        <w:separator/>
      </w:r>
    </w:p>
    <w:p w:rsidR="00131F46" w:rsidRDefault="00131F46"/>
  </w:endnote>
  <w:endnote w:type="continuationSeparator" w:id="0">
    <w:p w:rsidR="00131F46" w:rsidRPr="00290C63" w:rsidRDefault="00131F46" w:rsidP="00290C63">
      <w:r>
        <w:continuationSeparator/>
      </w:r>
    </w:p>
    <w:p w:rsidR="00131F46" w:rsidRDefault="00131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6" w:rsidRPr="00290C63" w:rsidRDefault="00131F4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31F46" w:rsidRDefault="00131F46"/>
  <w:p w:rsidR="00131F46" w:rsidRDefault="00131F46"/>
  <w:p w:rsidR="00131F46" w:rsidRDefault="00131F46"/>
  <w:p w:rsidR="00131F46" w:rsidRDefault="00131F46"/>
  <w:p w:rsidR="00131F46" w:rsidRDefault="00131F46"/>
  <w:p w:rsidR="00131F46" w:rsidRDefault="00131F46"/>
  <w:p w:rsidR="00131F46" w:rsidRDefault="00131F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131F46" w:rsidRPr="009B6F84" w:rsidRDefault="00131F46">
        <w:pPr>
          <w:pStyle w:val="Footer"/>
          <w:rPr>
            <w:sz w:val="20"/>
          </w:rPr>
        </w:pPr>
        <w:r>
          <w:fldChar w:fldCharType="begin"/>
        </w:r>
        <w:r>
          <w:instrText xml:space="preserve"> PAGE   \* MERGEFORMAT </w:instrText>
        </w:r>
        <w:r>
          <w:fldChar w:fldCharType="separate"/>
        </w:r>
        <w:r w:rsidR="004B5E0D">
          <w:rPr>
            <w:noProof/>
          </w:rPr>
          <w:t>8-11</w:t>
        </w:r>
        <w:r>
          <w:rPr>
            <w:noProof/>
          </w:rPr>
          <w:fldChar w:fldCharType="end"/>
        </w:r>
        <w:r>
          <w:rPr>
            <w:noProof/>
          </w:rPr>
          <w:t xml:space="preserve">  </w:t>
        </w:r>
        <w:r>
          <w:t>Attachment 8 – Corporate income tax</w:t>
        </w:r>
        <w:r w:rsidRPr="004523B2">
          <w:t xml:space="preserve"> | </w:t>
        </w:r>
        <w:r>
          <w:t>Jemena distribution determination final decision</w:t>
        </w:r>
        <w:r w:rsidRPr="004523B2">
          <w:t xml:space="preserve"> 201</w:t>
        </w:r>
        <w:r>
          <w:t>6</w:t>
        </w:r>
        <w:r w:rsidRPr="004523B2">
          <w:t>–</w:t>
        </w:r>
        <w:r>
          <w:t>20</w:t>
        </w:r>
      </w:p>
    </w:sdtContent>
  </w:sdt>
  <w:p w:rsidR="00131F46" w:rsidRDefault="00131F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6" w:rsidRPr="00290C63" w:rsidRDefault="00131F4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31F46" w:rsidRDefault="00131F46">
    <w:pPr>
      <w:pStyle w:val="Footer"/>
    </w:pPr>
  </w:p>
  <w:p w:rsidR="00131F46" w:rsidRDefault="00131F46"/>
  <w:p w:rsidR="00131F46" w:rsidRDefault="00131F46"/>
  <w:p w:rsidR="00131F46" w:rsidRDefault="00131F46"/>
  <w:p w:rsidR="00131F46" w:rsidRDefault="00131F46"/>
  <w:p w:rsidR="00131F46" w:rsidRDefault="00131F46"/>
  <w:p w:rsidR="00131F46" w:rsidRDefault="00131F46"/>
  <w:p w:rsidR="00131F46" w:rsidRDefault="00131F4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6" w:rsidRPr="00290C63" w:rsidRDefault="00131F4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31F46" w:rsidRDefault="00131F46"/>
  <w:p w:rsidR="00131F46" w:rsidRDefault="00131F46"/>
  <w:p w:rsidR="00131F46" w:rsidRDefault="00131F46"/>
  <w:p w:rsidR="00131F46" w:rsidRDefault="00131F46"/>
  <w:p w:rsidR="00131F46" w:rsidRDefault="00131F46"/>
  <w:p w:rsidR="00131F46" w:rsidRDefault="00131F46"/>
  <w:p w:rsidR="00131F46" w:rsidRDefault="00131F4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6" w:rsidRPr="00290C63" w:rsidRDefault="00131F4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31F46" w:rsidRDefault="00131F46">
    <w:pPr>
      <w:pStyle w:val="Footer"/>
    </w:pPr>
  </w:p>
  <w:p w:rsidR="00131F46" w:rsidRDefault="00131F46"/>
  <w:p w:rsidR="00131F46" w:rsidRDefault="00131F46"/>
  <w:p w:rsidR="00131F46" w:rsidRDefault="00131F46"/>
  <w:p w:rsidR="00131F46" w:rsidRDefault="00131F46"/>
  <w:p w:rsidR="00131F46" w:rsidRDefault="00131F46"/>
  <w:p w:rsidR="00131F46" w:rsidRDefault="00131F46"/>
  <w:p w:rsidR="00131F46" w:rsidRDefault="00131F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46" w:rsidRPr="00290C63" w:rsidRDefault="00131F46" w:rsidP="00290C63">
      <w:r>
        <w:separator/>
      </w:r>
    </w:p>
    <w:p w:rsidR="00131F46" w:rsidRDefault="00131F46"/>
  </w:footnote>
  <w:footnote w:type="continuationSeparator" w:id="0">
    <w:p w:rsidR="00131F46" w:rsidRPr="00290C63" w:rsidRDefault="00131F46" w:rsidP="00290C63">
      <w:r>
        <w:continuationSeparator/>
      </w:r>
    </w:p>
    <w:p w:rsidR="00131F46" w:rsidRDefault="00131F46"/>
  </w:footnote>
  <w:footnote w:id="1">
    <w:p w:rsidR="00131F46" w:rsidRDefault="00131F46" w:rsidP="000E2C2D">
      <w:pPr>
        <w:pStyle w:val="FootnoteText"/>
      </w:pPr>
      <w:r>
        <w:rPr>
          <w:rStyle w:val="FootnoteReference"/>
        </w:rPr>
        <w:footnoteRef/>
      </w:r>
      <w:r>
        <w:t xml:space="preserve"> </w:t>
      </w:r>
      <w:r>
        <w:tab/>
      </w:r>
      <w:r w:rsidRPr="0046015E">
        <w:t>NER, cl</w:t>
      </w:r>
      <w:r>
        <w:t>.</w:t>
      </w:r>
      <w:r w:rsidRPr="0046015E">
        <w:t xml:space="preserve"> 6.4.3(a)(4).</w:t>
      </w:r>
    </w:p>
  </w:footnote>
  <w:footnote w:id="2">
    <w:p w:rsidR="00131F46" w:rsidRDefault="00131F46">
      <w:pPr>
        <w:pStyle w:val="FootnoteText"/>
      </w:pPr>
      <w:r>
        <w:rPr>
          <w:rStyle w:val="FootnoteReference"/>
        </w:rPr>
        <w:footnoteRef/>
      </w:r>
      <w:r>
        <w:t xml:space="preserve"> </w:t>
      </w:r>
      <w:r>
        <w:tab/>
      </w:r>
      <w:r w:rsidRPr="00FF6A11">
        <w:t xml:space="preserve">Jemena, </w:t>
      </w:r>
      <w:r w:rsidRPr="00FF6A11">
        <w:rPr>
          <w:rStyle w:val="AERtextitalic"/>
        </w:rPr>
        <w:t>Revised regulatory proposal</w:t>
      </w:r>
      <w:r w:rsidRPr="00FF6A11">
        <w:t xml:space="preserve">, </w:t>
      </w:r>
      <w:r w:rsidR="00D1761B" w:rsidRPr="0037363D">
        <w:rPr>
          <w:rStyle w:val="Emphasis"/>
        </w:rPr>
        <w:t>Attachment 5–2 PTRM</w:t>
      </w:r>
      <w:r w:rsidR="00D1761B">
        <w:t xml:space="preserve">, </w:t>
      </w:r>
      <w:r w:rsidRPr="00FF6A11">
        <w:t>January 2016</w:t>
      </w:r>
      <w:r w:rsidR="00D1761B">
        <w:t>.</w:t>
      </w:r>
      <w:r w:rsidR="00D1761B" w:rsidRPr="00FF6A11">
        <w:t xml:space="preserve"> </w:t>
      </w:r>
    </w:p>
  </w:footnote>
  <w:footnote w:id="3">
    <w:p w:rsidR="00131F46" w:rsidRDefault="00131F46">
      <w:pPr>
        <w:pStyle w:val="FootnoteText"/>
      </w:pPr>
      <w:r>
        <w:rPr>
          <w:rStyle w:val="FootnoteReference"/>
        </w:rPr>
        <w:footnoteRef/>
      </w:r>
      <w:r>
        <w:t xml:space="preserve"> </w:t>
      </w:r>
      <w:r>
        <w:tab/>
        <w:t>Jemena's revised proposal reallocated some of its 2015 estimated tax capex across asset classes from the preliminary decision. In a subsequent submission Jemena provided a further update to tax capex.</w:t>
      </w:r>
    </w:p>
  </w:footnote>
  <w:footnote w:id="4">
    <w:p w:rsidR="00131F46" w:rsidRDefault="00131F46">
      <w:pPr>
        <w:pStyle w:val="FootnoteText"/>
      </w:pPr>
      <w:r>
        <w:rPr>
          <w:rStyle w:val="FootnoteReference"/>
        </w:rPr>
        <w:footnoteRef/>
      </w:r>
      <w:r>
        <w:t xml:space="preserve"> </w:t>
      </w:r>
      <w:r>
        <w:tab/>
      </w:r>
      <w:r w:rsidRPr="00FF6A11">
        <w:t xml:space="preserve">Jemena, </w:t>
      </w:r>
      <w:r w:rsidRPr="00FF6A11">
        <w:rPr>
          <w:rStyle w:val="AERtextitalic"/>
        </w:rPr>
        <w:t>Revised regulatory proposal</w:t>
      </w:r>
      <w:r w:rsidRPr="00FF6A11">
        <w:t xml:space="preserve">, </w:t>
      </w:r>
      <w:r w:rsidR="00D1761B" w:rsidRPr="0037363D">
        <w:rPr>
          <w:rStyle w:val="Emphasis"/>
        </w:rPr>
        <w:t>Attachment 5–4 Asset base roll forward</w:t>
      </w:r>
      <w:r w:rsidR="00D1761B">
        <w:t>,</w:t>
      </w:r>
      <w:r w:rsidR="00D1761B" w:rsidRPr="00D1761B">
        <w:t xml:space="preserve"> </w:t>
      </w:r>
      <w:r w:rsidRPr="00FF6A11">
        <w:t>January 2016,  pp. 14–16.</w:t>
      </w:r>
    </w:p>
  </w:footnote>
  <w:footnote w:id="5">
    <w:p w:rsidR="00131F46" w:rsidRDefault="00131F46" w:rsidP="00F45C16">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Jemena </w:t>
      </w:r>
      <w:r w:rsidRPr="005C78F1">
        <w:rPr>
          <w:rStyle w:val="AERtextitalic"/>
        </w:rPr>
        <w:t xml:space="preserve">determination </w:t>
      </w:r>
      <w:r>
        <w:rPr>
          <w:rStyle w:val="AERtextitalic"/>
        </w:rPr>
        <w:t>2016 to 2020: A</w:t>
      </w:r>
      <w:r w:rsidRPr="005C78F1">
        <w:rPr>
          <w:rStyle w:val="AERtextitalic"/>
        </w:rPr>
        <w:t xml:space="preserve">ttachment </w:t>
      </w:r>
      <w:r>
        <w:rPr>
          <w:rStyle w:val="AERtextitalic"/>
        </w:rPr>
        <w:t>8</w:t>
      </w:r>
      <w:r w:rsidRPr="005C78F1">
        <w:rPr>
          <w:rStyle w:val="AERtextitalic"/>
        </w:rPr>
        <w:t xml:space="preserve"> </w:t>
      </w:r>
      <w:r>
        <w:rPr>
          <w:rStyle w:val="AERtextitalic"/>
        </w:rPr>
        <w:t>–</w:t>
      </w:r>
      <w:r w:rsidRPr="005C78F1">
        <w:rPr>
          <w:rStyle w:val="AERtextitalic"/>
        </w:rPr>
        <w:t xml:space="preserve"> </w:t>
      </w:r>
      <w:r>
        <w:rPr>
          <w:rStyle w:val="AERtextitalic"/>
        </w:rPr>
        <w:t>Corporate income tax</w:t>
      </w:r>
      <w:r>
        <w:t>, October 2015, pp. 7–10.</w:t>
      </w:r>
    </w:p>
  </w:footnote>
  <w:footnote w:id="6">
    <w:p w:rsidR="00D17408" w:rsidRDefault="00D17408">
      <w:pPr>
        <w:pStyle w:val="FootnoteText"/>
      </w:pPr>
      <w:r>
        <w:rPr>
          <w:rStyle w:val="FootnoteReference"/>
        </w:rPr>
        <w:footnoteRef/>
      </w:r>
      <w:r>
        <w:t xml:space="preserve"> </w:t>
      </w:r>
      <w:r>
        <w:tab/>
        <w:t xml:space="preserve">Jemena, </w:t>
      </w:r>
      <w:r>
        <w:rPr>
          <w:rStyle w:val="AERtextitalic"/>
        </w:rPr>
        <w:t xml:space="preserve">RE: </w:t>
      </w:r>
      <w:r w:rsidRPr="00B10347">
        <w:rPr>
          <w:rStyle w:val="AERtextitalic"/>
        </w:rPr>
        <w:t>AER information request – Jemena - #028 – 2015 estimated capex update</w:t>
      </w:r>
      <w:r w:rsidR="00D1761B">
        <w:rPr>
          <w:rStyle w:val="AERtextitalic"/>
        </w:rPr>
        <w:t xml:space="preserve"> </w:t>
      </w:r>
      <w:r w:rsidR="00D1761B" w:rsidRPr="0037363D">
        <w:rPr>
          <w:rStyle w:val="AERtextsize8"/>
        </w:rPr>
        <w:t>[email to AER]</w:t>
      </w:r>
      <w:r>
        <w:t>, 1 February 2016.</w:t>
      </w:r>
    </w:p>
  </w:footnote>
  <w:footnote w:id="7">
    <w:p w:rsidR="00131F46" w:rsidRDefault="00131F46" w:rsidP="00CE3390">
      <w:pPr>
        <w:pStyle w:val="FootnoteText"/>
      </w:pPr>
      <w:r>
        <w:rPr>
          <w:rStyle w:val="FootnoteReference"/>
        </w:rPr>
        <w:footnoteRef/>
      </w:r>
      <w:r>
        <w:t xml:space="preserve"> </w:t>
      </w:r>
      <w:r>
        <w:tab/>
        <w:t xml:space="preserve">Jemena, </w:t>
      </w:r>
      <w:r>
        <w:rPr>
          <w:rStyle w:val="AERtextitalic"/>
        </w:rPr>
        <w:t xml:space="preserve">RE: </w:t>
      </w:r>
      <w:r w:rsidRPr="00B10347">
        <w:rPr>
          <w:rStyle w:val="AERtextitalic"/>
        </w:rPr>
        <w:t>AER information request – Jemena - #028 – 2015 estimated capex update</w:t>
      </w:r>
      <w:r w:rsidR="00D1761B">
        <w:rPr>
          <w:rStyle w:val="AERtextitalic"/>
        </w:rPr>
        <w:t xml:space="preserve"> </w:t>
      </w:r>
      <w:r w:rsidR="00D1761B" w:rsidRPr="0037363D">
        <w:rPr>
          <w:rStyle w:val="AERtextsize8"/>
        </w:rPr>
        <w:t>[email to AER]</w:t>
      </w:r>
      <w:r>
        <w:t>, 1 February 2016.</w:t>
      </w:r>
    </w:p>
  </w:footnote>
  <w:footnote w:id="8">
    <w:p w:rsidR="00131F46" w:rsidRDefault="00131F46" w:rsidP="00D457A0">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9">
    <w:p w:rsidR="00131F46" w:rsidRPr="007211B2" w:rsidRDefault="00131F46" w:rsidP="00D5560A">
      <w:pPr>
        <w:pStyle w:val="FootnoteText"/>
        <w:rPr>
          <w:color w:val="0000FF"/>
          <w:sz w:val="22"/>
          <w:u w:val="single"/>
        </w:rPr>
      </w:pPr>
      <w:r>
        <w:rPr>
          <w:rStyle w:val="FootnoteReference"/>
        </w:rPr>
        <w:footnoteRef/>
      </w:r>
      <w:r>
        <w:t xml:space="preserve"> </w:t>
      </w:r>
      <w:r>
        <w:tab/>
      </w:r>
      <w:r w:rsidRPr="00A847C3">
        <w:t>ATO, Taxation Ruling Income tax: effective life of depreciating assets (applicable from 1 July 2015), July 2015, http://law.ato.gov.au/atolaw/view.htm?docid=%22TXR%2FTR20152%2FNAT%2FATO%2F00001%22, accessed on 29 July 2015.</w:t>
      </w:r>
    </w:p>
  </w:footnote>
  <w:footnote w:id="10">
    <w:p w:rsidR="00131F46" w:rsidRDefault="00131F46" w:rsidP="00D5560A">
      <w:pPr>
        <w:pStyle w:val="FootnoteText"/>
      </w:pPr>
      <w:r>
        <w:rPr>
          <w:rStyle w:val="FootnoteReference"/>
        </w:rPr>
        <w:footnoteRef/>
      </w:r>
      <w:r>
        <w:t xml:space="preserve"> </w:t>
      </w:r>
      <w:r>
        <w:tab/>
      </w:r>
      <w:r w:rsidRPr="001B0D72">
        <w:t xml:space="preserve">AER, </w:t>
      </w:r>
      <w:r w:rsidRPr="001B0D72">
        <w:rPr>
          <w:rStyle w:val="AERtextitalic"/>
        </w:rPr>
        <w:t>Preliminary decision, Jemena determination 2016 to 2020: Attachment 8 – Corporate income tax</w:t>
      </w:r>
      <w:r w:rsidRPr="001B0D72">
        <w:t>, October 2015, pp. 1</w:t>
      </w:r>
      <w:r>
        <w:t>2–13</w:t>
      </w:r>
      <w:r w:rsidRPr="001B0D72">
        <w:t>.</w:t>
      </w:r>
    </w:p>
  </w:footnote>
  <w:footnote w:id="11">
    <w:p w:rsidR="00131F46" w:rsidRDefault="00131F46">
      <w:pPr>
        <w:pStyle w:val="FootnoteText"/>
      </w:pPr>
      <w:r>
        <w:rPr>
          <w:rStyle w:val="FootnoteReference"/>
        </w:rPr>
        <w:footnoteRef/>
      </w:r>
      <w:r>
        <w:t xml:space="preserve"> </w:t>
      </w:r>
      <w:r>
        <w:tab/>
        <w:t xml:space="preserve">Jemena, </w:t>
      </w:r>
      <w:r w:rsidRPr="002C68F7">
        <w:rPr>
          <w:rStyle w:val="AERtextitalic"/>
        </w:rPr>
        <w:t>Revised regulatory proposal</w:t>
      </w:r>
      <w:r>
        <w:t xml:space="preserve">, </w:t>
      </w:r>
      <w:r w:rsidR="00D1761B" w:rsidRPr="0037363D">
        <w:rPr>
          <w:rStyle w:val="Emphasis"/>
        </w:rPr>
        <w:t>Attachment 5–4 Asset base roll forward</w:t>
      </w:r>
      <w:r w:rsidR="00D1761B">
        <w:t>,</w:t>
      </w:r>
      <w:r w:rsidR="00D1761B" w:rsidRPr="00D1761B">
        <w:t xml:space="preserve"> </w:t>
      </w:r>
      <w:r>
        <w:t>January 2016,  pp. 14–16.</w:t>
      </w:r>
    </w:p>
  </w:footnote>
  <w:footnote w:id="12">
    <w:p w:rsidR="00131F46" w:rsidRDefault="00131F46" w:rsidP="00D5560A">
      <w:pPr>
        <w:pStyle w:val="FootnoteText"/>
      </w:pPr>
      <w:r>
        <w:rPr>
          <w:rStyle w:val="FootnoteReference"/>
        </w:rPr>
        <w:footnoteRef/>
      </w:r>
      <w:r>
        <w:t xml:space="preserve"> </w:t>
      </w:r>
      <w:r>
        <w:tab/>
        <w:t>NER, cl. 6.5.3.</w:t>
      </w:r>
    </w:p>
  </w:footnote>
  <w:footnote w:id="13">
    <w:p w:rsidR="00131F46" w:rsidRDefault="00131F46" w:rsidP="0012097D">
      <w:pPr>
        <w:pStyle w:val="FootnoteText"/>
      </w:pPr>
      <w:r>
        <w:rPr>
          <w:rStyle w:val="FootnoteReference"/>
        </w:rPr>
        <w:footnoteRef/>
      </w:r>
      <w:r>
        <w:t xml:space="preserve"> </w:t>
      </w:r>
      <w:r>
        <w:tab/>
        <w:t>That is, the revenue adjustments are either both tax income and tax expense (EBSS, shared assets</w:t>
      </w:r>
      <w:r w:rsidR="00D1761B">
        <w:t xml:space="preserve">), </w:t>
      </w:r>
      <w:r>
        <w:t>or neither tax income nor tax expense (S</w:t>
      </w:r>
      <w:r w:rsidR="00282B53">
        <w:t>-</w:t>
      </w:r>
      <w:r>
        <w:t>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6" w:rsidRDefault="00131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3861FB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d+TmPlHaxdz4m8hroV0WOgEqROWTEesvpqsV3bnP9A=" w:saltValue="QgueFDz587vLGw/LMpKAKg==" w:algorithmName="SHA-256"/>
  <w:defaultTabStop w:val="34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72\AER15 4374  AER - Final decision AusNet distribution determination - Attachment 8 - Corporate income tax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3F87"/>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2C2D"/>
    <w:rsid w:val="000E4821"/>
    <w:rsid w:val="000E4AA9"/>
    <w:rsid w:val="000E6C72"/>
    <w:rsid w:val="000E7F39"/>
    <w:rsid w:val="000F0F0A"/>
    <w:rsid w:val="00100EA2"/>
    <w:rsid w:val="00101AA1"/>
    <w:rsid w:val="00102338"/>
    <w:rsid w:val="00104566"/>
    <w:rsid w:val="00104FF6"/>
    <w:rsid w:val="001114AA"/>
    <w:rsid w:val="00115743"/>
    <w:rsid w:val="00116EB2"/>
    <w:rsid w:val="0012097D"/>
    <w:rsid w:val="0012132C"/>
    <w:rsid w:val="00124609"/>
    <w:rsid w:val="00126A4C"/>
    <w:rsid w:val="001270E3"/>
    <w:rsid w:val="00131F46"/>
    <w:rsid w:val="00132D43"/>
    <w:rsid w:val="00133366"/>
    <w:rsid w:val="00133F47"/>
    <w:rsid w:val="00134029"/>
    <w:rsid w:val="00142C2D"/>
    <w:rsid w:val="00143ABB"/>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0D72"/>
    <w:rsid w:val="001B45A0"/>
    <w:rsid w:val="001B680E"/>
    <w:rsid w:val="001D055E"/>
    <w:rsid w:val="001E1B3F"/>
    <w:rsid w:val="001E7161"/>
    <w:rsid w:val="001F05A4"/>
    <w:rsid w:val="001F3D4A"/>
    <w:rsid w:val="001F492E"/>
    <w:rsid w:val="001F64EF"/>
    <w:rsid w:val="001F6DA3"/>
    <w:rsid w:val="002010BC"/>
    <w:rsid w:val="002016E7"/>
    <w:rsid w:val="00202B54"/>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67B66"/>
    <w:rsid w:val="002730B2"/>
    <w:rsid w:val="00274C7E"/>
    <w:rsid w:val="002777CF"/>
    <w:rsid w:val="002810F2"/>
    <w:rsid w:val="00282B53"/>
    <w:rsid w:val="00286874"/>
    <w:rsid w:val="00290C63"/>
    <w:rsid w:val="00290F66"/>
    <w:rsid w:val="00291A99"/>
    <w:rsid w:val="00293B6D"/>
    <w:rsid w:val="00294B08"/>
    <w:rsid w:val="0029518C"/>
    <w:rsid w:val="002963DD"/>
    <w:rsid w:val="00296B65"/>
    <w:rsid w:val="002A7DEF"/>
    <w:rsid w:val="002B0696"/>
    <w:rsid w:val="002B2070"/>
    <w:rsid w:val="002C0222"/>
    <w:rsid w:val="002C1499"/>
    <w:rsid w:val="002C233C"/>
    <w:rsid w:val="002C517B"/>
    <w:rsid w:val="002C68F7"/>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3A59"/>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63D"/>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7B7"/>
    <w:rsid w:val="00441F4E"/>
    <w:rsid w:val="00445D43"/>
    <w:rsid w:val="00446CD2"/>
    <w:rsid w:val="004523B2"/>
    <w:rsid w:val="0045777E"/>
    <w:rsid w:val="00465258"/>
    <w:rsid w:val="00471BC6"/>
    <w:rsid w:val="0047420F"/>
    <w:rsid w:val="00476221"/>
    <w:rsid w:val="004766F5"/>
    <w:rsid w:val="00476C00"/>
    <w:rsid w:val="00480B4B"/>
    <w:rsid w:val="004838D8"/>
    <w:rsid w:val="00485DC4"/>
    <w:rsid w:val="00494D04"/>
    <w:rsid w:val="004A40BA"/>
    <w:rsid w:val="004A43D1"/>
    <w:rsid w:val="004A492B"/>
    <w:rsid w:val="004B4412"/>
    <w:rsid w:val="004B5E0D"/>
    <w:rsid w:val="004B6269"/>
    <w:rsid w:val="004C348C"/>
    <w:rsid w:val="004C462E"/>
    <w:rsid w:val="004C6CA3"/>
    <w:rsid w:val="004C7F5E"/>
    <w:rsid w:val="004D343C"/>
    <w:rsid w:val="004D372A"/>
    <w:rsid w:val="004D5264"/>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204E"/>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4992"/>
    <w:rsid w:val="00786CA4"/>
    <w:rsid w:val="007909B4"/>
    <w:rsid w:val="00790E86"/>
    <w:rsid w:val="007949D7"/>
    <w:rsid w:val="0079769A"/>
    <w:rsid w:val="007A0143"/>
    <w:rsid w:val="007A34C2"/>
    <w:rsid w:val="007A396C"/>
    <w:rsid w:val="007A3CC3"/>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388F"/>
    <w:rsid w:val="007F4C0C"/>
    <w:rsid w:val="007F4EAB"/>
    <w:rsid w:val="007F5B16"/>
    <w:rsid w:val="007F7ACC"/>
    <w:rsid w:val="007F7C9D"/>
    <w:rsid w:val="008033C4"/>
    <w:rsid w:val="008051DA"/>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2C06"/>
    <w:rsid w:val="008658A1"/>
    <w:rsid w:val="0086716A"/>
    <w:rsid w:val="00870613"/>
    <w:rsid w:val="0087380F"/>
    <w:rsid w:val="00874830"/>
    <w:rsid w:val="0087648F"/>
    <w:rsid w:val="00876612"/>
    <w:rsid w:val="0087718C"/>
    <w:rsid w:val="00882BB1"/>
    <w:rsid w:val="008837AC"/>
    <w:rsid w:val="008909DC"/>
    <w:rsid w:val="00894255"/>
    <w:rsid w:val="008945AD"/>
    <w:rsid w:val="00896D92"/>
    <w:rsid w:val="008A0645"/>
    <w:rsid w:val="008A1C02"/>
    <w:rsid w:val="008A3048"/>
    <w:rsid w:val="008A370D"/>
    <w:rsid w:val="008A587D"/>
    <w:rsid w:val="008B1646"/>
    <w:rsid w:val="008B16B0"/>
    <w:rsid w:val="008B1BD5"/>
    <w:rsid w:val="008B35CD"/>
    <w:rsid w:val="008B4093"/>
    <w:rsid w:val="008B5FCC"/>
    <w:rsid w:val="008B7F36"/>
    <w:rsid w:val="008C05E1"/>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21CA"/>
    <w:rsid w:val="009233EE"/>
    <w:rsid w:val="00923E41"/>
    <w:rsid w:val="00930B1A"/>
    <w:rsid w:val="00932612"/>
    <w:rsid w:val="009327DC"/>
    <w:rsid w:val="009338D9"/>
    <w:rsid w:val="009339BD"/>
    <w:rsid w:val="009356CF"/>
    <w:rsid w:val="00945E53"/>
    <w:rsid w:val="009460AA"/>
    <w:rsid w:val="00951978"/>
    <w:rsid w:val="00952C8B"/>
    <w:rsid w:val="00961A4A"/>
    <w:rsid w:val="00963F3D"/>
    <w:rsid w:val="009661DE"/>
    <w:rsid w:val="009679D1"/>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47C1"/>
    <w:rsid w:val="00A40068"/>
    <w:rsid w:val="00A40BE9"/>
    <w:rsid w:val="00A41DE1"/>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790"/>
    <w:rsid w:val="00AB2CB8"/>
    <w:rsid w:val="00AB4617"/>
    <w:rsid w:val="00AC1B2C"/>
    <w:rsid w:val="00AC3264"/>
    <w:rsid w:val="00AC46AD"/>
    <w:rsid w:val="00AC4D2D"/>
    <w:rsid w:val="00AC58EC"/>
    <w:rsid w:val="00AC7282"/>
    <w:rsid w:val="00AC7961"/>
    <w:rsid w:val="00AD314E"/>
    <w:rsid w:val="00AD5FCD"/>
    <w:rsid w:val="00AD6B48"/>
    <w:rsid w:val="00AD77F5"/>
    <w:rsid w:val="00AD7A3A"/>
    <w:rsid w:val="00AE1BF1"/>
    <w:rsid w:val="00AE23AB"/>
    <w:rsid w:val="00AE58FB"/>
    <w:rsid w:val="00AE5AF0"/>
    <w:rsid w:val="00AE663D"/>
    <w:rsid w:val="00AE73B3"/>
    <w:rsid w:val="00AF07E7"/>
    <w:rsid w:val="00AF0DD2"/>
    <w:rsid w:val="00AF31E1"/>
    <w:rsid w:val="00AF3BBA"/>
    <w:rsid w:val="00AF4231"/>
    <w:rsid w:val="00AF74BB"/>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2DBF"/>
    <w:rsid w:val="00B53D5F"/>
    <w:rsid w:val="00B54051"/>
    <w:rsid w:val="00B561BD"/>
    <w:rsid w:val="00B56E03"/>
    <w:rsid w:val="00B62765"/>
    <w:rsid w:val="00B65DF5"/>
    <w:rsid w:val="00B74612"/>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445"/>
    <w:rsid w:val="00C84560"/>
    <w:rsid w:val="00C86679"/>
    <w:rsid w:val="00C8792F"/>
    <w:rsid w:val="00C90472"/>
    <w:rsid w:val="00C91D6E"/>
    <w:rsid w:val="00C93715"/>
    <w:rsid w:val="00CA489E"/>
    <w:rsid w:val="00CB0279"/>
    <w:rsid w:val="00CB666B"/>
    <w:rsid w:val="00CB734B"/>
    <w:rsid w:val="00CC058C"/>
    <w:rsid w:val="00CC2CF1"/>
    <w:rsid w:val="00CC41B6"/>
    <w:rsid w:val="00CC7ADA"/>
    <w:rsid w:val="00CC7F1D"/>
    <w:rsid w:val="00CD0A88"/>
    <w:rsid w:val="00CD125D"/>
    <w:rsid w:val="00CD283C"/>
    <w:rsid w:val="00CD3641"/>
    <w:rsid w:val="00CD66EA"/>
    <w:rsid w:val="00CD7432"/>
    <w:rsid w:val="00CE0FA5"/>
    <w:rsid w:val="00CE2A23"/>
    <w:rsid w:val="00CE31C8"/>
    <w:rsid w:val="00CE3390"/>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17408"/>
    <w:rsid w:val="00D1761B"/>
    <w:rsid w:val="00D25A39"/>
    <w:rsid w:val="00D27CFA"/>
    <w:rsid w:val="00D310FA"/>
    <w:rsid w:val="00D325C6"/>
    <w:rsid w:val="00D37213"/>
    <w:rsid w:val="00D4360D"/>
    <w:rsid w:val="00D457A0"/>
    <w:rsid w:val="00D5560A"/>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14FD"/>
    <w:rsid w:val="00DD4C07"/>
    <w:rsid w:val="00DD577D"/>
    <w:rsid w:val="00DD5ADC"/>
    <w:rsid w:val="00DE1093"/>
    <w:rsid w:val="00DE31B6"/>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2294"/>
    <w:rsid w:val="00EA3D42"/>
    <w:rsid w:val="00EA6B1B"/>
    <w:rsid w:val="00EB1CBD"/>
    <w:rsid w:val="00EB3A34"/>
    <w:rsid w:val="00EB3C3F"/>
    <w:rsid w:val="00EC04F1"/>
    <w:rsid w:val="00EC237F"/>
    <w:rsid w:val="00EC2640"/>
    <w:rsid w:val="00EC573A"/>
    <w:rsid w:val="00ED35C8"/>
    <w:rsid w:val="00ED3968"/>
    <w:rsid w:val="00ED7323"/>
    <w:rsid w:val="00EE28F3"/>
    <w:rsid w:val="00EE4302"/>
    <w:rsid w:val="00EE50D1"/>
    <w:rsid w:val="00EE7614"/>
    <w:rsid w:val="00EF5110"/>
    <w:rsid w:val="00EF5890"/>
    <w:rsid w:val="00EF76BA"/>
    <w:rsid w:val="00F0231A"/>
    <w:rsid w:val="00F02E6D"/>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5C16"/>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4EED"/>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F6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5A9BE-00B3-48C4-8F16-B1CE1362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EB757E7E</Template>
  <TotalTime>0</TotalTime>
  <Pages>12</Pages>
  <Words>2478</Words>
  <Characters>14130</Characters>
  <Application>Microsoft Office Word</Application>
  <DocSecurity>0</DocSecurity>
  <Lines>117</Lines>
  <Paragraphs>33</Paragraphs>
  <ScaleCrop>false</ScaleCrop>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2016-05-20T10:08:00Z</dcterms:created>
  <dcterms:modified xsi:type="dcterms:W3CDTF">2016-05-20T10:08:00Z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8588487</vt:lpwstr>
  </property>
</Properties>
</file>