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176A" w:rsidRDefault="003B6A3E" w:rsidP="00814799">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0480F3E4" wp14:editId="621926E0">
                <wp:simplePos x="0" y="0"/>
                <wp:positionH relativeFrom="column">
                  <wp:posOffset>-457200</wp:posOffset>
                </wp:positionH>
                <wp:positionV relativeFrom="paragraph">
                  <wp:posOffset>57150</wp:posOffset>
                </wp:positionV>
                <wp:extent cx="7562850" cy="152971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562850" cy="1529715"/>
                          <a:chOff x="0" y="0"/>
                          <a:chExt cx="7563425" cy="1476511"/>
                        </a:xfrm>
                      </wpg:grpSpPr>
                      <wps:wsp>
                        <wps:cNvPr id="2" name="Text Box 2"/>
                        <wps:cNvSpPr txBox="1">
                          <a:spLocks noChangeArrowheads="1"/>
                        </wps:cNvSpPr>
                        <wps:spPr bwMode="auto">
                          <a:xfrm>
                            <a:off x="0" y="787180"/>
                            <a:ext cx="7563425" cy="6893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225391" w:rsidRDefault="009B0AC4" w:rsidP="003B6A3E">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r w:rsidR="00CB083F">
                                <w:rPr>
                                  <w:rFonts w:ascii="MS Reference Sans Serif" w:hAnsi="MS Reference Sans Serif" w:cs="Tunga"/>
                                  <w:color w:val="FFFFFF"/>
                                  <w:spacing w:val="10"/>
                                  <w:w w:val="99"/>
                                  <w:kern w:val="44"/>
                                  <w:sz w:val="48"/>
                                </w:rPr>
                                <w:t xml:space="preserve"> fact sheet – </w:t>
                              </w:r>
                              <w:r w:rsidR="00F06B02">
                                <w:rPr>
                                  <w:rFonts w:ascii="MS Reference Sans Serif" w:hAnsi="MS Reference Sans Serif" w:cs="Tunga"/>
                                  <w:color w:val="FFFFFF"/>
                                  <w:spacing w:val="10"/>
                                  <w:w w:val="99"/>
                                  <w:kern w:val="44"/>
                                  <w:sz w:val="48"/>
                                </w:rPr>
                                <w:t xml:space="preserve">JGN, </w:t>
                              </w:r>
                              <w:r w:rsidR="003616CE">
                                <w:rPr>
                                  <w:rFonts w:ascii="MS Reference Sans Serif" w:hAnsi="MS Reference Sans Serif" w:cs="Tunga"/>
                                  <w:color w:val="FFFFFF"/>
                                  <w:spacing w:val="10"/>
                                  <w:w w:val="99"/>
                                  <w:kern w:val="44"/>
                                  <w:sz w:val="48"/>
                                </w:rPr>
                                <w:t>June</w:t>
                              </w:r>
                              <w:r w:rsidR="00CB083F">
                                <w:rPr>
                                  <w:rFonts w:ascii="MS Reference Sans Serif" w:hAnsi="MS Reference Sans Serif" w:cs="Tunga"/>
                                  <w:color w:val="FFFFFF"/>
                                  <w:spacing w:val="10"/>
                                  <w:w w:val="99"/>
                                  <w:kern w:val="44"/>
                                  <w:sz w:val="48"/>
                                </w:rPr>
                                <w:t xml:space="preserve">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4.5pt;width:595.5pt;height:120.45pt;z-index:251657216;mso-width-relative:margin;mso-height-relative:margin" coordsize="75634,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">
                <v:shapetype id="_x0000_t202" coordsize="21600,21600" o:spt="202" path="m,l,21600r21600,l21600,xe">
                  <v:stroke joinstyle="miter"/>
                  <v:path gradientshapeok="t" o:connecttype="rect"/>
                </v:shapetype>
                <v:shape id="Text Box 2" o:spid="_x0000_s1027" type="#_x0000_t202" style="position:absolute;top:7871;width:75634;height:689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C949E3" w:rsidRPr="00225391" w:rsidRDefault="009B0AC4" w:rsidP="003B6A3E">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r w:rsidR="00CB083F">
                          <w:rPr>
                            <w:rFonts w:ascii="MS Reference Sans Serif" w:hAnsi="MS Reference Sans Serif" w:cs="Tunga"/>
                            <w:color w:val="FFFFFF"/>
                            <w:spacing w:val="10"/>
                            <w:w w:val="99"/>
                            <w:kern w:val="44"/>
                            <w:sz w:val="48"/>
                          </w:rPr>
                          <w:t xml:space="preserve"> fact sheet – </w:t>
                        </w:r>
                        <w:r w:rsidR="00F06B02">
                          <w:rPr>
                            <w:rFonts w:ascii="MS Reference Sans Serif" w:hAnsi="MS Reference Sans Serif" w:cs="Tunga"/>
                            <w:color w:val="FFFFFF"/>
                            <w:spacing w:val="10"/>
                            <w:w w:val="99"/>
                            <w:kern w:val="44"/>
                            <w:sz w:val="48"/>
                          </w:rPr>
                          <w:t xml:space="preserve">JGN, </w:t>
                        </w:r>
                        <w:r w:rsidR="003616CE">
                          <w:rPr>
                            <w:rFonts w:ascii="MS Reference Sans Serif" w:hAnsi="MS Reference Sans Serif" w:cs="Tunga"/>
                            <w:color w:val="FFFFFF"/>
                            <w:spacing w:val="10"/>
                            <w:w w:val="99"/>
                            <w:kern w:val="44"/>
                            <w:sz w:val="48"/>
                          </w:rPr>
                          <w:t>June</w:t>
                        </w:r>
                        <w:r w:rsidR="00CB083F">
                          <w:rPr>
                            <w:rFonts w:ascii="MS Reference Sans Serif" w:hAnsi="MS Reference Sans Serif" w:cs="Tunga"/>
                            <w:color w:val="FFFFFF"/>
                            <w:spacing w:val="10"/>
                            <w:w w:val="99"/>
                            <w:kern w:val="44"/>
                            <w:sz w:val="48"/>
                          </w:rPr>
                          <w:t xml:space="preserve">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A24D5C">
        <w:t>O</w:t>
      </w:r>
      <w:r w:rsidR="00697FF1" w:rsidRPr="00753DF7">
        <w:t xml:space="preserve">ur </w:t>
      </w:r>
      <w:r w:rsidR="009B0AC4" w:rsidRPr="009B0AC4">
        <w:t xml:space="preserve">allowed rate of return is commensurate with the efficient financing cost of a benchmark efficient entity providing </w:t>
      </w:r>
      <w:r w:rsidR="009B0AC4">
        <w:t>regulated network</w:t>
      </w:r>
      <w:r w:rsidR="009B0AC4" w:rsidRPr="009B0AC4">
        <w:t xml:space="preserve"> services</w:t>
      </w:r>
      <w:r w:rsidR="009B0AC4">
        <w:t>.</w:t>
      </w:r>
      <w:r w:rsidR="00FA71F1">
        <w:t xml:space="preserve"> </w:t>
      </w:r>
      <w:r w:rsidR="005F2D40" w:rsidRPr="005F2D40">
        <w:t xml:space="preserve">This is estimated as a weighted average of the return on debt and equity. </w:t>
      </w:r>
      <w:r w:rsidR="004E233B">
        <w:t xml:space="preserve">Our allowed rate of return </w:t>
      </w:r>
      <w:r w:rsidR="005F2D40" w:rsidRPr="005F2D40">
        <w:t>compensate</w:t>
      </w:r>
      <w:r w:rsidR="004E233B">
        <w:t>s</w:t>
      </w:r>
      <w:r w:rsidR="005F2D40" w:rsidRPr="005F2D40">
        <w:t xml:space="preserve"> </w:t>
      </w:r>
      <w:r w:rsidR="004E233B">
        <w:t xml:space="preserve">investors </w:t>
      </w:r>
      <w:r w:rsidR="005F2D40" w:rsidRPr="005F2D40">
        <w:t>for the risks of providing capit</w:t>
      </w:r>
      <w:r w:rsidR="005F2D40">
        <w:t>al to regulated network service providers</w:t>
      </w:r>
      <w:r w:rsidR="005F2D40" w:rsidRPr="005F2D40">
        <w:t>.</w:t>
      </w:r>
      <w:r w:rsidR="00FA71F1" w:rsidRPr="00FA71F1">
        <w:t xml:space="preserve"> </w:t>
      </w:r>
    </w:p>
    <w:p w:rsidR="00754FD0" w:rsidRPr="004D1DC0" w:rsidRDefault="00754FD0" w:rsidP="00EF1802">
      <w:pPr>
        <w:pStyle w:val="AERfactsheetsubtitle"/>
        <w:widowControl w:val="0"/>
        <w:sectPr w:rsidR="00754FD0" w:rsidRPr="004D1DC0" w:rsidSect="00BE5A7F">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an electricity or gas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1F16A8CD" wp14:editId="43568867">
                <wp:extent cx="3214370" cy="885140"/>
                <wp:effectExtent l="0" t="0" r="24130"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85140"/>
                        </a:xfrm>
                        <a:prstGeom prst="rect">
                          <a:avLst/>
                        </a:prstGeom>
                        <a:solidFill>
                          <a:srgbClr val="DBE5F1"/>
                        </a:solidFill>
                        <a:ln w="9525">
                          <a:solidFill>
                            <a:srgbClr val="006A99"/>
                          </a:solidFill>
                          <a:miter lim="800000"/>
                          <a:headEnd/>
                          <a:tailEnd/>
                        </a:ln>
                      </wps:spPr>
                      <wps:txbx>
                        <w:txbxContent>
                          <w:p w:rsidR="00F335AB" w:rsidRDefault="006A29C5" w:rsidP="00F335AB">
                            <w:pPr>
                              <w:pStyle w:val="AERfactsheetbodytext"/>
                            </w:pPr>
                            <w:r>
                              <w:t>The r</w:t>
                            </w:r>
                            <w:r w:rsidR="00F335AB">
                              <w:t xml:space="preserve">ate of return for </w:t>
                            </w:r>
                            <w:r w:rsidR="00E660F0">
                              <w:t xml:space="preserve">the </w:t>
                            </w:r>
                            <w:r w:rsidR="00F64E23" w:rsidRPr="00F64E23">
                              <w:t xml:space="preserve">first year </w:t>
                            </w:r>
                            <w:r>
                              <w:t xml:space="preserve">(2015–16) </w:t>
                            </w:r>
                            <w:r w:rsidR="00F64E23" w:rsidRPr="00F64E23">
                              <w:t xml:space="preserve">of </w:t>
                            </w:r>
                            <w:r>
                              <w:t xml:space="preserve">JGN’s </w:t>
                            </w:r>
                            <w:r w:rsidR="00F64E23" w:rsidRPr="00F64E23">
                              <w:t>regulatory period</w:t>
                            </w:r>
                            <w:r>
                              <w:t xml:space="preserve"> </w:t>
                            </w:r>
                            <w:r w:rsidR="00F64E23" w:rsidRPr="00F64E23">
                              <w:t xml:space="preserve">in </w:t>
                            </w:r>
                            <w:r>
                              <w:t>this</w:t>
                            </w:r>
                            <w:r w:rsidR="00F64E23" w:rsidRPr="00F64E23">
                              <w:t xml:space="preserve"> final decision </w:t>
                            </w:r>
                            <w:r>
                              <w:t xml:space="preserve">is 5.41 per cent. </w:t>
                            </w:r>
                            <w:r>
                              <w:br/>
                            </w:r>
                            <w:r>
                              <w:br/>
                              <w:t>This rate will be updated annually during the regulatory period.</w:t>
                            </w:r>
                          </w:p>
                          <w:p w:rsidR="00F335AB" w:rsidRDefault="00F335AB" w:rsidP="006A29C5">
                            <w:pPr>
                              <w:pStyle w:val="AERfactsheetbodytext"/>
                            </w:pPr>
                            <w:r>
                              <w:t xml:space="preserve"> </w:t>
                            </w:r>
                          </w:p>
                        </w:txbxContent>
                      </wps:txbx>
                      <wps:bodyPr rot="0" vert="horz" wrap="square" lIns="91440" tIns="45720" rIns="91440" bIns="45720" anchor="t" anchorCtr="0" upright="1">
                        <a:noAutofit/>
                      </wps:bodyPr>
                    </wps:wsp>
                  </a:graphicData>
                </a:graphic>
              </wp:inline>
            </w:drawing>
          </mc:Choice>
          <mc:Fallback>
            <w:pict>
              <v:shape id="Text Box 3" o:spid="_x0000_s1029" type="#_x0000_t202" style="width:253.1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" fillcolor="#dbe5f1" strokecolor="#006a99">
                <v:textbox>
                  <w:txbxContent>
                    <w:p w:rsidR="00F335AB" w:rsidRDefault="006A29C5" w:rsidP="00F335AB">
                      <w:pPr>
                        <w:pStyle w:val="AERfactsheetbodytext"/>
                      </w:pPr>
                      <w:r>
                        <w:t>The r</w:t>
                      </w:r>
                      <w:r w:rsidR="00F335AB">
                        <w:t xml:space="preserve">ate of return for </w:t>
                      </w:r>
                      <w:r w:rsidR="00E660F0">
                        <w:t xml:space="preserve">the </w:t>
                      </w:r>
                      <w:r w:rsidR="00F64E23" w:rsidRPr="00F64E23">
                        <w:t xml:space="preserve">first year </w:t>
                      </w:r>
                      <w:r>
                        <w:t xml:space="preserve">(2015–16) </w:t>
                      </w:r>
                      <w:r w:rsidR="00F64E23" w:rsidRPr="00F64E23">
                        <w:t xml:space="preserve">of </w:t>
                      </w:r>
                      <w:r>
                        <w:t xml:space="preserve">JGN’s </w:t>
                      </w:r>
                      <w:r w:rsidR="00F64E23" w:rsidRPr="00F64E23">
                        <w:t>regulatory period</w:t>
                      </w:r>
                      <w:r>
                        <w:t xml:space="preserve"> </w:t>
                      </w:r>
                      <w:r w:rsidR="00F64E23" w:rsidRPr="00F64E23">
                        <w:t xml:space="preserve">in </w:t>
                      </w:r>
                      <w:r>
                        <w:t>this</w:t>
                      </w:r>
                      <w:r w:rsidR="00F64E23" w:rsidRPr="00F64E23">
                        <w:t xml:space="preserve"> final decision </w:t>
                      </w:r>
                      <w:r>
                        <w:t xml:space="preserve">is 5.41 per cent. </w:t>
                      </w:r>
                      <w:r>
                        <w:br/>
                      </w:r>
                      <w:r>
                        <w:br/>
                        <w:t>This rate will be updated annually during the regulatory period.</w:t>
                      </w:r>
                    </w:p>
                    <w:p w:rsidR="00F335AB" w:rsidRDefault="00F335AB" w:rsidP="006A29C5">
                      <w:pPr>
                        <w:pStyle w:val="AERfactsheetbodytext"/>
                      </w:pPr>
                      <w:r>
                        <w:t xml:space="preserve">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7CED9A02" wp14:editId="423A4346">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260768">
        <w:t xml:space="preserve">On the flip side,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11CA50C0" wp14:editId="19888063">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lastRenderedPageBreak/>
        <w:t xml:space="preserve">Our approach </w:t>
      </w:r>
    </w:p>
    <w:p w:rsidR="009B176A" w:rsidRDefault="001D4048" w:rsidP="00814799">
      <w:pPr>
        <w:pStyle w:val="AERfactsheetbodytext"/>
        <w:widowControl w:val="0"/>
        <w:jc w:val="both"/>
      </w:pPr>
      <w:r>
        <w:t>Our approach includes a process that captures a broad range of material from all stakeholders. We set out this approach in our rate of return guideline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0B3CD5">
        <w:t>is final</w:t>
      </w:r>
      <w:r w:rsidR="00B55180">
        <w:t xml:space="preserve"> </w:t>
      </w:r>
      <w:r>
        <w:t>decision we have reviewed a vast amount of material put before us</w:t>
      </w:r>
      <w:r w:rsidR="00D9277B">
        <w:t>. This includes</w:t>
      </w:r>
      <w:r>
        <w:t xml:space="preserve"> </w:t>
      </w:r>
      <w:r w:rsidR="00D9277B">
        <w:t>reports from e</w:t>
      </w:r>
      <w:r>
        <w:t>xpert</w:t>
      </w:r>
      <w:r w:rsidR="00D9277B">
        <w:t xml:space="preserve">s engaged by </w:t>
      </w:r>
      <w:r w:rsidR="00903654">
        <w:t>network service provider</w:t>
      </w:r>
      <w:r w:rsidR="00D9277B">
        <w:t xml:space="preserve">s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1"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18862F62" wp14:editId="6ED488CF">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We use some of the other models to inform the input parameter point estimates of the SLCAPM.</w:t>
      </w:r>
      <w:r w:rsidR="00B325BB">
        <w:t xml:space="preserve"> </w:t>
      </w:r>
    </w:p>
    <w:p w:rsidR="00616F0E" w:rsidRDefault="00B325BB" w:rsidP="00814799">
      <w:pPr>
        <w:pStyle w:val="AERfactsheetbodytext"/>
        <w:widowControl w:val="0"/>
        <w:jc w:val="both"/>
      </w:pPr>
      <w:r>
        <w:t xml:space="preserve">Our point estimates for the </w:t>
      </w:r>
      <w:r w:rsidR="00855A4E">
        <w:t>market risk premium (MRP)</w:t>
      </w:r>
      <w:r>
        <w:t xml:space="preserve"> and equity beta are derived after considering a range of evidence. We adopted</w:t>
      </w:r>
      <w:r w:rsidR="009C6DC3">
        <w:t xml:space="preserve"> a MRP of 6.5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 xml:space="preserve">The risk free rate we use is based on the 10 year government </w:t>
      </w:r>
      <w:r>
        <w:lastRenderedPageBreak/>
        <w:t xml:space="preserve">bond rate (an average of the observed rate over a 20 day period) close to the next regulatory period. For </w:t>
      </w:r>
      <w:r w:rsidR="006A29C5">
        <w:t xml:space="preserve">this </w:t>
      </w:r>
      <w:r>
        <w:t xml:space="preserve">final decision </w:t>
      </w:r>
      <w:r w:rsidR="0042323C">
        <w:t xml:space="preserve">we adopted a risk free rate of 2.53 per cent. </w:t>
      </w:r>
      <w:r>
        <w:t>Our SLCAPM point estima</w:t>
      </w:r>
      <w:r w:rsidR="00855A4E">
        <w:t>te for th</w:t>
      </w:r>
      <w:r w:rsidR="00955A49">
        <w:t>is</w:t>
      </w:r>
      <w:r>
        <w:t xml:space="preserve"> final</w:t>
      </w:r>
      <w:r w:rsidR="00955A49">
        <w:t xml:space="preserve"> </w:t>
      </w:r>
      <w:r>
        <w:t>decision</w:t>
      </w:r>
      <w:r w:rsidR="00855A4E">
        <w:t xml:space="preserve"> is</w:t>
      </w:r>
      <w:r>
        <w:t xml:space="preserve"> 7.1 per cent.</w:t>
      </w:r>
    </w:p>
    <w:p w:rsidR="000B3CD5" w:rsidRDefault="00FA71F1" w:rsidP="00814799">
      <w:pPr>
        <w:pStyle w:val="AERfactsheetbodytext"/>
        <w:widowControl w:val="0"/>
        <w:jc w:val="both"/>
      </w:pPr>
      <w:r>
        <w:t xml:space="preserve">Having evaluated our </w:t>
      </w:r>
      <w:r w:rsidR="00B325BB">
        <w:t xml:space="preserve">SLCAPM point estimate against a range of other information, </w:t>
      </w:r>
      <w:r>
        <w:t xml:space="preserve">we are satisfied that a </w:t>
      </w:r>
      <w:r w:rsidR="006F45DD">
        <w:t>7</w:t>
      </w:r>
      <w:r>
        <w:t xml:space="preserve">.1 per cent return </w:t>
      </w:r>
      <w:r w:rsidR="007C2122">
        <w:t xml:space="preserve">on </w:t>
      </w:r>
      <w:r>
        <w:t xml:space="preserve">equity estimate </w:t>
      </w:r>
      <w:r w:rsidR="00422429">
        <w:t>is a reasonable estimate of efficient equity financing costs</w:t>
      </w:r>
      <w:r w:rsidR="005F2D40">
        <w:t>.</w:t>
      </w:r>
      <w:r w:rsidR="00D70D78">
        <w:t xml:space="preserve"> </w:t>
      </w:r>
    </w:p>
    <w:p w:rsidR="008B297F" w:rsidRDefault="00D70D78" w:rsidP="00814799">
      <w:pPr>
        <w:pStyle w:val="AERfactsheetbodytext"/>
        <w:widowControl w:val="0"/>
        <w:jc w:val="both"/>
      </w:pPr>
      <w:r>
        <w:t>Our approach for this decision is consistent with the approach taken in the final and preliminary decisions released by the AER in April 2015</w:t>
      </w:r>
      <w:r w:rsidR="00F63DB9">
        <w:t xml:space="preserve"> for other service providers</w:t>
      </w:r>
      <w:r>
        <w:t xml:space="preserve">. In </w:t>
      </w:r>
      <w:proofErr w:type="gramStart"/>
      <w:r>
        <w:t>these decision</w:t>
      </w:r>
      <w:proofErr w:type="gramEnd"/>
      <w:r>
        <w:t xml:space="preserve"> we also used a return on equity of 7.1% (</w:t>
      </w:r>
      <w:r w:rsidR="000B3CD5">
        <w:t>the product of</w:t>
      </w:r>
      <w:r w:rsidR="00A61DC6">
        <w:t xml:space="preserve"> a risk free rate of 2.55 per cent and an equity risk premium of 4.55 per cent</w:t>
      </w:r>
      <w:r w:rsidR="000B3CD5">
        <w:t xml:space="preserve"> rounded to one decimal place</w:t>
      </w:r>
      <w:r w:rsidR="00A61DC6">
        <w:t>)</w:t>
      </w:r>
      <w:r>
        <w:t xml:space="preserve">. </w:t>
      </w:r>
    </w:p>
    <w:p w:rsidR="00E674FC" w:rsidRDefault="00E674FC" w:rsidP="00814799">
      <w:pPr>
        <w:pStyle w:val="AERfactsheetbodytext"/>
        <w:widowControl w:val="0"/>
        <w:jc w:val="both"/>
      </w:pPr>
    </w:p>
    <w:p w:rsidR="00E674FC" w:rsidRDefault="00F27ABE" w:rsidP="00F27ABE">
      <w:pPr>
        <w:pStyle w:val="AERfactsheetbodytext"/>
        <w:widowControl w:val="0"/>
      </w:pPr>
      <w:r>
        <w:rPr>
          <w:noProof/>
          <w:lang w:eastAsia="en-AU"/>
        </w:rPr>
        <mc:AlternateContent>
          <mc:Choice Requires="wps">
            <w:drawing>
              <wp:inline distT="0" distB="0" distL="0" distR="0" wp14:anchorId="504D0C38" wp14:editId="36DA97B6">
                <wp:extent cx="3214370" cy="388189"/>
                <wp:effectExtent l="0" t="0" r="2413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949E3" w:rsidRDefault="00C949E3" w:rsidP="00F27ABE">
                            <w:pPr>
                              <w:pStyle w:val="AERfactsheetbodytext"/>
                            </w:pPr>
                            <w:r>
                              <w:t xml:space="preserve">Our return on equity </w:t>
                            </w:r>
                            <w:r w:rsidR="00FA71F1">
                              <w:t xml:space="preserve">estimate </w:t>
                            </w:r>
                            <w:r w:rsidR="006A5A15">
                              <w:t>for th</w:t>
                            </w:r>
                            <w:r w:rsidR="00955A49">
                              <w:t>is</w:t>
                            </w:r>
                            <w:r w:rsidR="006A5A15">
                              <w:t xml:space="preserve"> </w:t>
                            </w:r>
                            <w:r w:rsidR="006F45DD">
                              <w:t>final</w:t>
                            </w:r>
                            <w:r w:rsidR="006A5A15">
                              <w:t xml:space="preserve"> decision </w:t>
                            </w:r>
                            <w:r w:rsidR="00FA71F1">
                              <w:t xml:space="preserve">is </w:t>
                            </w:r>
                            <w:r w:rsidR="006F45DD">
                              <w:t>7</w:t>
                            </w:r>
                            <w:r w:rsidR="00FA71F1">
                              <w:t xml:space="preserve">.1 per cent. </w:t>
                            </w:r>
                          </w:p>
                          <w:p w:rsidR="00C949E3" w:rsidRDefault="00C949E3" w:rsidP="00F27ABE"/>
                        </w:txbxContent>
                      </wps:txbx>
                      <wps:bodyPr rot="0" vert="horz" wrap="square" lIns="91440" tIns="45720" rIns="91440" bIns="45720" anchor="t" anchorCtr="0" upright="1">
                        <a:noAutofit/>
                      </wps:bodyPr>
                    </wps:wsp>
                  </a:graphicData>
                </a:graphic>
              </wp:inline>
            </w:drawing>
          </mc:Choice>
          <mc:Fallback>
            <w:pict>
              <v:shape id="Text Box 8" o:spid="_x0000_s1032"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AGT7kUNAIAAFcEAAAOAAAAAAAAAAAAAAAAAC4CAABk&#10;cnMvZTJvRG9jLnhtbFBLAQItABQABgAIAAAAIQDpCINK2AAAAAQBAAAPAAAAAAAAAAAAAAAAAI4E&#10;AABkcnMvZG93bnJldi54bWxQSwUGAAAAAAQABADzAAAAkwUAAAAA&#10;" fillcolor="#dbe5f1" strokecolor="#006a99">
                <v:textbox>
                  <w:txbxContent>
                    <w:p w:rsidR="00C949E3" w:rsidRDefault="00C949E3" w:rsidP="00F27ABE">
                      <w:pPr>
                        <w:pStyle w:val="AERfactsheetbodytext"/>
                      </w:pPr>
                      <w:r>
                        <w:t xml:space="preserve">Our return on equity </w:t>
                      </w:r>
                      <w:r w:rsidR="00FA71F1">
                        <w:t xml:space="preserve">estimate </w:t>
                      </w:r>
                      <w:r w:rsidR="006A5A15">
                        <w:t>for th</w:t>
                      </w:r>
                      <w:r w:rsidR="00955A49">
                        <w:t>is</w:t>
                      </w:r>
                      <w:r w:rsidR="006A5A15">
                        <w:t xml:space="preserve"> </w:t>
                      </w:r>
                      <w:r w:rsidR="006F45DD">
                        <w:t>final</w:t>
                      </w:r>
                      <w:r w:rsidR="006A5A15">
                        <w:t xml:space="preserve"> decision </w:t>
                      </w:r>
                      <w:r w:rsidR="00FA71F1">
                        <w:t xml:space="preserve">is </w:t>
                      </w:r>
                      <w:r w:rsidR="006F45DD">
                        <w:t>7</w:t>
                      </w:r>
                      <w:r w:rsidR="00FA71F1">
                        <w:t xml:space="preserve">.1 per cent. </w:t>
                      </w:r>
                    </w:p>
                    <w:p w:rsidR="00C949E3" w:rsidRDefault="00C949E3"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73F0ABE9" wp14:editId="72FFEDAC">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w:t>
      </w:r>
      <w:r w:rsidR="00E660F0">
        <w:t xml:space="preserve">each year </w:t>
      </w:r>
      <w:r w:rsidR="00F415A3">
        <w:t xml:space="preserve">over the regulatory period. In practice, this means that for new debt that is issued (10 per cent each year) we apply the trailing average 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days and 12 months </w:t>
      </w:r>
      <w:r w:rsidR="003B4E7E">
        <w:t>for</w:t>
      </w:r>
      <w:r w:rsidR="00117472">
        <w:t xml:space="preserve"> each regulatory year, over which the observed rates </w:t>
      </w:r>
      <w:r w:rsidR="00787B39">
        <w:t>are</w:t>
      </w:r>
      <w:r w:rsidR="00117472">
        <w:t xml:space="preserve"> averaged to estimate the return on debt. </w:t>
      </w:r>
      <w:r w:rsidR="00E90E01">
        <w:t>This result</w:t>
      </w:r>
      <w:r w:rsidR="00055816">
        <w:t>s</w:t>
      </w:r>
      <w:r w:rsidR="00117472">
        <w:t xml:space="preserve"> in each </w:t>
      </w:r>
      <w:r w:rsidR="006A5A15">
        <w:t xml:space="preserve">service provider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r w:rsidR="003616CE">
        <w:t xml:space="preserve">Jemena Gas Networks </w:t>
      </w:r>
      <w:r w:rsidR="00062C55">
        <w:t xml:space="preserve">initially agreed with our Guideline approach, but </w:t>
      </w:r>
      <w:r w:rsidR="00855A4E">
        <w:t>subsequently</w:t>
      </w:r>
      <w:r w:rsidR="00062C55">
        <w:t xml:space="preserve"> proposed a hybrid transition approach.</w:t>
      </w:r>
    </w:p>
    <w:p w:rsidR="000B3CD5" w:rsidRDefault="00D70D78" w:rsidP="00814799">
      <w:pPr>
        <w:pStyle w:val="AERfactsheetbodytext"/>
        <w:jc w:val="both"/>
      </w:pPr>
      <w:r>
        <w:t xml:space="preserve">Having evaluated the evidence before us, we are satisfied that a 4.28 per cent return on debt </w:t>
      </w:r>
      <w:r w:rsidR="000B3CD5">
        <w:t xml:space="preserve">for the first year (2015-16) of </w:t>
      </w:r>
      <w:r w:rsidR="000B3CD5">
        <w:lastRenderedPageBreak/>
        <w:t xml:space="preserve">the regulatory control period (to be updated annually) </w:t>
      </w:r>
      <w:r>
        <w:t xml:space="preserve">will lead to a rate of return that meets the rate of return objective. </w:t>
      </w:r>
    </w:p>
    <w:p w:rsidR="00D70D78" w:rsidRDefault="00D70D78" w:rsidP="00814799">
      <w:pPr>
        <w:pStyle w:val="AERfactsheetbodytext"/>
        <w:jc w:val="both"/>
      </w:pPr>
      <w:r>
        <w:t>Our approach for this decision is consistent with the approach taken</w:t>
      </w:r>
      <w:r w:rsidR="00A61DC6">
        <w:t xml:space="preserve"> in the final and</w:t>
      </w:r>
      <w:r>
        <w:t xml:space="preserve"> preliminary decision</w:t>
      </w:r>
      <w:r w:rsidR="00F06B02">
        <w:t>s</w:t>
      </w:r>
      <w:r>
        <w:t xml:space="preserve"> rel</w:t>
      </w:r>
      <w:r w:rsidR="00A61DC6">
        <w:t>e</w:t>
      </w:r>
      <w:r>
        <w:t>ased by the AER in April 2015</w:t>
      </w:r>
      <w:r w:rsidR="00F06B02">
        <w:t xml:space="preserve"> for other service providers</w:t>
      </w:r>
      <w:r>
        <w:t xml:space="preserve">. </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040B2240" wp14:editId="3A2DAF37">
                <wp:extent cx="3214370" cy="921715"/>
                <wp:effectExtent l="0" t="0" r="2413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921715"/>
                        </a:xfrm>
                        <a:prstGeom prst="rect">
                          <a:avLst/>
                        </a:prstGeom>
                        <a:solidFill>
                          <a:srgbClr val="DBE5F1"/>
                        </a:solidFill>
                        <a:ln w="9525">
                          <a:solidFill>
                            <a:srgbClr val="006A99"/>
                          </a:solidFill>
                          <a:miter lim="800000"/>
                          <a:headEnd/>
                          <a:tailEnd/>
                        </a:ln>
                      </wps:spPr>
                      <wps:txbx>
                        <w:txbxContent>
                          <w:p w:rsidR="00C949E3" w:rsidRDefault="006A29C5" w:rsidP="00E0500A">
                            <w:pPr>
                              <w:pStyle w:val="AERfactsheetbodytext"/>
                            </w:pPr>
                            <w:r>
                              <w:t>The r</w:t>
                            </w:r>
                            <w:r w:rsidR="00055816">
                              <w:t xml:space="preserve">eturn on debt for </w:t>
                            </w:r>
                            <w:r w:rsidR="004F4392">
                              <w:t xml:space="preserve">the first year </w:t>
                            </w:r>
                            <w:r>
                              <w:t xml:space="preserve">(2015–16) </w:t>
                            </w:r>
                            <w:r w:rsidR="004F4392">
                              <w:t xml:space="preserve">of </w:t>
                            </w:r>
                            <w:r>
                              <w:t>JGN’s</w:t>
                            </w:r>
                            <w:r w:rsidR="004F4392">
                              <w:t xml:space="preserve"> regulatory period</w:t>
                            </w:r>
                            <w:r w:rsidR="00855A4E">
                              <w:t xml:space="preserve"> </w:t>
                            </w:r>
                            <w:r>
                              <w:t xml:space="preserve">is 4.28 per cent. </w:t>
                            </w:r>
                          </w:p>
                          <w:p w:rsidR="006A29C5" w:rsidRDefault="00F06B02" w:rsidP="00E0500A">
                            <w:pPr>
                              <w:pStyle w:val="AERfactsheetbodytext"/>
                            </w:pPr>
                            <w:r>
                              <w:t>T</w:t>
                            </w:r>
                            <w:r w:rsidR="006A29C5">
                              <w:t>his return</w:t>
                            </w:r>
                            <w:r w:rsidR="006A29C5" w:rsidRPr="006A29C5">
                              <w:t xml:space="preserve"> on debt number will be </w:t>
                            </w:r>
                            <w:r>
                              <w:t xml:space="preserve">partially </w:t>
                            </w:r>
                            <w:r w:rsidR="006A29C5" w:rsidRPr="006A29C5">
                              <w:t xml:space="preserve">updated annually during the regulatory period to reflect prevailing interest rates in each </w:t>
                            </w:r>
                            <w:proofErr w:type="gramStart"/>
                            <w:r w:rsidR="006A29C5" w:rsidRPr="006A29C5">
                              <w:t>new year</w:t>
                            </w:r>
                            <w:proofErr w:type="gramEnd"/>
                            <w:r w:rsidR="006A29C5" w:rsidRPr="006A29C5">
                              <w:t>.</w:t>
                            </w:r>
                          </w:p>
                          <w:p w:rsidR="00C949E3" w:rsidRDefault="00C949E3" w:rsidP="00814799">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 o:spid="_x0000_s1033" type="#_x0000_t202" style="width:253.1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" fillcolor="#dbe5f1" strokecolor="#006a99">
                <v:textbox>
                  <w:txbxContent>
                    <w:p w:rsidR="00C949E3" w:rsidRDefault="006A29C5" w:rsidP="00E0500A">
                      <w:pPr>
                        <w:pStyle w:val="AERfactsheetbodytext"/>
                      </w:pPr>
                      <w:r>
                        <w:t>The r</w:t>
                      </w:r>
                      <w:r w:rsidR="00055816">
                        <w:t xml:space="preserve">eturn on debt for </w:t>
                      </w:r>
                      <w:r w:rsidR="004F4392">
                        <w:t xml:space="preserve">the first year </w:t>
                      </w:r>
                      <w:r>
                        <w:t xml:space="preserve">(2015–16) </w:t>
                      </w:r>
                      <w:r w:rsidR="004F4392">
                        <w:t xml:space="preserve">of </w:t>
                      </w:r>
                      <w:r>
                        <w:t>JGN’s</w:t>
                      </w:r>
                      <w:r w:rsidR="004F4392">
                        <w:t xml:space="preserve"> regulatory period</w:t>
                      </w:r>
                      <w:r w:rsidR="00855A4E">
                        <w:t xml:space="preserve"> </w:t>
                      </w:r>
                      <w:r>
                        <w:t xml:space="preserve">is 4.28 per cent. </w:t>
                      </w:r>
                    </w:p>
                    <w:p w:rsidR="006A29C5" w:rsidRDefault="00F06B02" w:rsidP="00E0500A">
                      <w:pPr>
                        <w:pStyle w:val="AERfactsheetbodytext"/>
                      </w:pPr>
                      <w:r>
                        <w:t>T</w:t>
                      </w:r>
                      <w:r w:rsidR="006A29C5">
                        <w:t>his return</w:t>
                      </w:r>
                      <w:r w:rsidR="006A29C5" w:rsidRPr="006A29C5">
                        <w:t xml:space="preserve"> on debt number will be </w:t>
                      </w:r>
                      <w:r>
                        <w:t xml:space="preserve">partially </w:t>
                      </w:r>
                      <w:r w:rsidR="006A29C5" w:rsidRPr="006A29C5">
                        <w:t xml:space="preserve">updated annually during the regulatory period to reflect prevailing interest rates in each </w:t>
                      </w:r>
                      <w:proofErr w:type="gramStart"/>
                      <w:r w:rsidR="006A29C5" w:rsidRPr="006A29C5">
                        <w:t>new year</w:t>
                      </w:r>
                      <w:proofErr w:type="gramEnd"/>
                      <w:r w:rsidR="006A29C5" w:rsidRPr="006A29C5">
                        <w:t>.</w:t>
                      </w:r>
                    </w:p>
                    <w:p w:rsidR="00C949E3" w:rsidRDefault="00C949E3" w:rsidP="00814799">
                      <w:pPr>
                        <w:pStyle w:val="AERfactsheetbodytext"/>
                      </w:pP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0B3CD5" w:rsidRDefault="00CA53B1" w:rsidP="00A14E17">
      <w:pPr>
        <w:pStyle w:val="AERfactsheetbodytext"/>
      </w:pPr>
      <w:r w:rsidRPr="00A14E17">
        <w:t xml:space="preserve">In </w:t>
      </w:r>
      <w:r w:rsidR="00903654">
        <w:t>th</w:t>
      </w:r>
      <w:r w:rsidR="00D70D78">
        <w:t>is</w:t>
      </w:r>
      <w:r w:rsidRPr="00A14E17">
        <w:t xml:space="preserve"> decision,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 xml:space="preserve">uideline, </w:t>
      </w:r>
      <w:r w:rsidR="00D70D78">
        <w:t xml:space="preserve">has </w:t>
      </w:r>
      <w:r w:rsidRPr="00A14E17">
        <w:t>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r w:rsidR="00D70D78">
        <w:t xml:space="preserve"> </w:t>
      </w:r>
    </w:p>
    <w:p w:rsidR="00CA53B1" w:rsidRPr="00A14E17" w:rsidRDefault="00D70D78" w:rsidP="00A14E17">
      <w:pPr>
        <w:pStyle w:val="AERfactsheetbodytext"/>
      </w:pPr>
      <w:r>
        <w:t xml:space="preserve">Our </w:t>
      </w:r>
      <w:proofErr w:type="gramStart"/>
      <w:r>
        <w:t xml:space="preserve">approach  </w:t>
      </w:r>
      <w:r w:rsidR="000B3CD5">
        <w:t>for</w:t>
      </w:r>
      <w:proofErr w:type="gramEnd"/>
      <w:r w:rsidR="000B3CD5">
        <w:t xml:space="preserve"> this decision </w:t>
      </w:r>
      <w:r>
        <w:t>is consistent with the approach taken for the final and preliminary decisions released by the AER in April 2015</w:t>
      </w:r>
      <w:r w:rsidR="00F63DB9">
        <w:t xml:space="preserve"> for other service providers</w:t>
      </w:r>
      <w:r>
        <w:t>.</w:t>
      </w:r>
      <w:r w:rsidR="00A61DC6">
        <w:t xml:space="preserve"> In these decisions we also used a value for imputation credits of 0.4.</w:t>
      </w:r>
    </w:p>
    <w:p w:rsidR="004F4392" w:rsidRPr="009C0978" w:rsidRDefault="00CA53B1" w:rsidP="00392D55">
      <w:pPr>
        <w:pStyle w:val="AERfactsheetbodytext"/>
        <w:widowControl w:val="0"/>
      </w:pPr>
      <w:r>
        <w:rPr>
          <w:noProof/>
          <w:lang w:eastAsia="en-AU"/>
        </w:rPr>
        <mc:AlternateContent>
          <mc:Choice Requires="wps">
            <w:drawing>
              <wp:inline distT="0" distB="0" distL="0" distR="0" wp14:anchorId="6DE23B68" wp14:editId="1B0DEEB2">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A53B1" w:rsidRDefault="00CA53B1" w:rsidP="00CA53B1">
                            <w:pPr>
                              <w:pStyle w:val="AERfactsheetbodytext"/>
                            </w:pPr>
                            <w:r>
                              <w:t>Our val</w:t>
                            </w:r>
                            <w:r w:rsidR="00903654">
                              <w:t>ue of imputation credits for the</w:t>
                            </w:r>
                            <w:r>
                              <w:t>s</w:t>
                            </w:r>
                            <w:r w:rsidR="00903654">
                              <w:t>e</w:t>
                            </w:r>
                            <w:r>
                              <w:t xml:space="preserve"> decision</w:t>
                            </w:r>
                            <w:r w:rsidR="00903654">
                              <w:t>s</w:t>
                            </w:r>
                            <w:r>
                              <w:t xml:space="preserve"> is 0.4 (40 per cent).</w:t>
                            </w:r>
                          </w:p>
                          <w:p w:rsidR="00CA53B1" w:rsidRDefault="00CA53B1"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CA53B1" w:rsidRDefault="00CA53B1" w:rsidP="00CA53B1">
                      <w:pPr>
                        <w:pStyle w:val="AERfactsheetbodytext"/>
                      </w:pPr>
                      <w:r>
                        <w:t>Our val</w:t>
                      </w:r>
                      <w:r w:rsidR="00903654">
                        <w:t>ue of imputation credits for the</w:t>
                      </w:r>
                      <w:r>
                        <w:t>s</w:t>
                      </w:r>
                      <w:r w:rsidR="00903654">
                        <w:t>e</w:t>
                      </w:r>
                      <w:r>
                        <w:t xml:space="preserve"> decision</w:t>
                      </w:r>
                      <w:r w:rsidR="00903654">
                        <w:t>s</w:t>
                      </w:r>
                      <w:r>
                        <w:t xml:space="preserve"> is 0.4 (40 per cent).</w:t>
                      </w:r>
                    </w:p>
                    <w:p w:rsidR="00CA53B1" w:rsidRDefault="00CA53B1" w:rsidP="00CA53B1"/>
                  </w:txbxContent>
                </v:textbox>
                <w10:anchorlock/>
              </v:shape>
            </w:pict>
          </mc:Fallback>
        </mc:AlternateContent>
      </w:r>
    </w:p>
    <w:sectPr w:rsidR="004F4392"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D2" w:rsidRDefault="00CA73D2" w:rsidP="00A24D2E">
      <w:r>
        <w:separator/>
      </w:r>
    </w:p>
  </w:endnote>
  <w:endnote w:type="continuationSeparator" w:id="0">
    <w:p w:rsidR="00CA73D2" w:rsidRDefault="00CA73D2"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D2" w:rsidRDefault="00CA73D2" w:rsidP="00A24D2E">
      <w:r>
        <w:separator/>
      </w:r>
    </w:p>
  </w:footnote>
  <w:footnote w:type="continuationSeparator" w:id="0">
    <w:p w:rsidR="00CA73D2" w:rsidRDefault="00CA73D2"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CA5CD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1"/>
  </w:num>
  <w:num w:numId="5">
    <w:abstractNumId w:val="6"/>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948\AER15 2791  Jemena Gas Networks NSW Rate of Return Fact Sheet.DOCX"/>
  </w:docVars>
  <w:rsids>
    <w:rsidRoot w:val="00021F03"/>
    <w:rsid w:val="00006230"/>
    <w:rsid w:val="00012AC9"/>
    <w:rsid w:val="000173D5"/>
    <w:rsid w:val="000175A4"/>
    <w:rsid w:val="00021F03"/>
    <w:rsid w:val="00022077"/>
    <w:rsid w:val="00027076"/>
    <w:rsid w:val="00032BA0"/>
    <w:rsid w:val="00035993"/>
    <w:rsid w:val="000437AC"/>
    <w:rsid w:val="000454A0"/>
    <w:rsid w:val="00055816"/>
    <w:rsid w:val="00062C55"/>
    <w:rsid w:val="000742B2"/>
    <w:rsid w:val="0007657B"/>
    <w:rsid w:val="00084C36"/>
    <w:rsid w:val="000864DB"/>
    <w:rsid w:val="00096CFF"/>
    <w:rsid w:val="00097937"/>
    <w:rsid w:val="000B05F7"/>
    <w:rsid w:val="000B3CD5"/>
    <w:rsid w:val="000B3EAD"/>
    <w:rsid w:val="000C025A"/>
    <w:rsid w:val="000C07AD"/>
    <w:rsid w:val="000C712D"/>
    <w:rsid w:val="000D4877"/>
    <w:rsid w:val="000E2D55"/>
    <w:rsid w:val="0010059A"/>
    <w:rsid w:val="00113361"/>
    <w:rsid w:val="001152E2"/>
    <w:rsid w:val="00117167"/>
    <w:rsid w:val="00117472"/>
    <w:rsid w:val="00131C78"/>
    <w:rsid w:val="00134644"/>
    <w:rsid w:val="001364E9"/>
    <w:rsid w:val="00140E1A"/>
    <w:rsid w:val="00152151"/>
    <w:rsid w:val="0016071A"/>
    <w:rsid w:val="00161050"/>
    <w:rsid w:val="00161423"/>
    <w:rsid w:val="00163E50"/>
    <w:rsid w:val="001851E8"/>
    <w:rsid w:val="00193867"/>
    <w:rsid w:val="00194A45"/>
    <w:rsid w:val="001A231A"/>
    <w:rsid w:val="001A23C5"/>
    <w:rsid w:val="001A3711"/>
    <w:rsid w:val="001A3931"/>
    <w:rsid w:val="001A5BC1"/>
    <w:rsid w:val="001B10C7"/>
    <w:rsid w:val="001D3D87"/>
    <w:rsid w:val="001D4048"/>
    <w:rsid w:val="001D49FD"/>
    <w:rsid w:val="001E42DA"/>
    <w:rsid w:val="001F15F8"/>
    <w:rsid w:val="001F2550"/>
    <w:rsid w:val="002106B5"/>
    <w:rsid w:val="00211FD6"/>
    <w:rsid w:val="00216967"/>
    <w:rsid w:val="00223084"/>
    <w:rsid w:val="00225391"/>
    <w:rsid w:val="00225620"/>
    <w:rsid w:val="0022594B"/>
    <w:rsid w:val="00235775"/>
    <w:rsid w:val="00235852"/>
    <w:rsid w:val="00236E3C"/>
    <w:rsid w:val="002425E7"/>
    <w:rsid w:val="00244D7A"/>
    <w:rsid w:val="00257B6D"/>
    <w:rsid w:val="00260768"/>
    <w:rsid w:val="00263811"/>
    <w:rsid w:val="00266275"/>
    <w:rsid w:val="00276AAA"/>
    <w:rsid w:val="002856A4"/>
    <w:rsid w:val="00285C21"/>
    <w:rsid w:val="00290C21"/>
    <w:rsid w:val="002952EB"/>
    <w:rsid w:val="002A4196"/>
    <w:rsid w:val="002A473F"/>
    <w:rsid w:val="002B7BBC"/>
    <w:rsid w:val="002D56B2"/>
    <w:rsid w:val="002E3F5B"/>
    <w:rsid w:val="002E57B4"/>
    <w:rsid w:val="002E7F4D"/>
    <w:rsid w:val="002F5CD2"/>
    <w:rsid w:val="00305687"/>
    <w:rsid w:val="003118DF"/>
    <w:rsid w:val="0031269F"/>
    <w:rsid w:val="003224AC"/>
    <w:rsid w:val="00327E8A"/>
    <w:rsid w:val="00342DB1"/>
    <w:rsid w:val="00346F63"/>
    <w:rsid w:val="00354991"/>
    <w:rsid w:val="00356833"/>
    <w:rsid w:val="00360C93"/>
    <w:rsid w:val="003616CE"/>
    <w:rsid w:val="00363D63"/>
    <w:rsid w:val="003851C0"/>
    <w:rsid w:val="00385BB9"/>
    <w:rsid w:val="003870D8"/>
    <w:rsid w:val="003876E1"/>
    <w:rsid w:val="003906E2"/>
    <w:rsid w:val="00391B7D"/>
    <w:rsid w:val="00392D55"/>
    <w:rsid w:val="003A4BA4"/>
    <w:rsid w:val="003A683A"/>
    <w:rsid w:val="003B46EA"/>
    <w:rsid w:val="003B4E7E"/>
    <w:rsid w:val="003B6A3E"/>
    <w:rsid w:val="003C5583"/>
    <w:rsid w:val="003F527A"/>
    <w:rsid w:val="003F6819"/>
    <w:rsid w:val="00404570"/>
    <w:rsid w:val="0040796A"/>
    <w:rsid w:val="00422429"/>
    <w:rsid w:val="0042323C"/>
    <w:rsid w:val="0042329B"/>
    <w:rsid w:val="004310E5"/>
    <w:rsid w:val="0044550C"/>
    <w:rsid w:val="00446186"/>
    <w:rsid w:val="0045172C"/>
    <w:rsid w:val="004548EF"/>
    <w:rsid w:val="004579EB"/>
    <w:rsid w:val="00457E3A"/>
    <w:rsid w:val="00474754"/>
    <w:rsid w:val="004842F6"/>
    <w:rsid w:val="004971B8"/>
    <w:rsid w:val="004B0368"/>
    <w:rsid w:val="004B40E2"/>
    <w:rsid w:val="004C1027"/>
    <w:rsid w:val="004C19B8"/>
    <w:rsid w:val="004C5F9A"/>
    <w:rsid w:val="004D0301"/>
    <w:rsid w:val="004D1DC0"/>
    <w:rsid w:val="004D52BB"/>
    <w:rsid w:val="004E0FF6"/>
    <w:rsid w:val="004E1208"/>
    <w:rsid w:val="004E233B"/>
    <w:rsid w:val="004E4F29"/>
    <w:rsid w:val="004F4392"/>
    <w:rsid w:val="0050430D"/>
    <w:rsid w:val="005064D7"/>
    <w:rsid w:val="00511B82"/>
    <w:rsid w:val="00513FFD"/>
    <w:rsid w:val="00526C37"/>
    <w:rsid w:val="005324C6"/>
    <w:rsid w:val="005432E0"/>
    <w:rsid w:val="00544345"/>
    <w:rsid w:val="00547E18"/>
    <w:rsid w:val="005524C5"/>
    <w:rsid w:val="00554E14"/>
    <w:rsid w:val="0055584F"/>
    <w:rsid w:val="00560C48"/>
    <w:rsid w:val="005746F0"/>
    <w:rsid w:val="00575036"/>
    <w:rsid w:val="005A1CBA"/>
    <w:rsid w:val="005A468C"/>
    <w:rsid w:val="005B4ADC"/>
    <w:rsid w:val="005B5BDE"/>
    <w:rsid w:val="005C144C"/>
    <w:rsid w:val="005D2EBB"/>
    <w:rsid w:val="005E0762"/>
    <w:rsid w:val="005E1E92"/>
    <w:rsid w:val="005E4018"/>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97FF1"/>
    <w:rsid w:val="006A07F6"/>
    <w:rsid w:val="006A29C5"/>
    <w:rsid w:val="006A5A15"/>
    <w:rsid w:val="006B1A2B"/>
    <w:rsid w:val="006B322A"/>
    <w:rsid w:val="006B39DB"/>
    <w:rsid w:val="006B6050"/>
    <w:rsid w:val="006B73DD"/>
    <w:rsid w:val="006C4CC5"/>
    <w:rsid w:val="006D0E7F"/>
    <w:rsid w:val="006D137A"/>
    <w:rsid w:val="006D5C4C"/>
    <w:rsid w:val="006F2E4F"/>
    <w:rsid w:val="006F45DD"/>
    <w:rsid w:val="006F47BA"/>
    <w:rsid w:val="00701628"/>
    <w:rsid w:val="00702500"/>
    <w:rsid w:val="00704EDA"/>
    <w:rsid w:val="007101C1"/>
    <w:rsid w:val="00726CCA"/>
    <w:rsid w:val="00732564"/>
    <w:rsid w:val="007325CC"/>
    <w:rsid w:val="00742DF1"/>
    <w:rsid w:val="00753DF7"/>
    <w:rsid w:val="00754FD0"/>
    <w:rsid w:val="00755D16"/>
    <w:rsid w:val="0075714F"/>
    <w:rsid w:val="00776ACC"/>
    <w:rsid w:val="007853FF"/>
    <w:rsid w:val="00785986"/>
    <w:rsid w:val="00787B39"/>
    <w:rsid w:val="00792075"/>
    <w:rsid w:val="007952B3"/>
    <w:rsid w:val="007A0EEB"/>
    <w:rsid w:val="007B591B"/>
    <w:rsid w:val="007B6947"/>
    <w:rsid w:val="007C2122"/>
    <w:rsid w:val="007C2B2C"/>
    <w:rsid w:val="007C3C57"/>
    <w:rsid w:val="007C5329"/>
    <w:rsid w:val="007C54FB"/>
    <w:rsid w:val="007E692E"/>
    <w:rsid w:val="007F437A"/>
    <w:rsid w:val="00807259"/>
    <w:rsid w:val="00814799"/>
    <w:rsid w:val="008472A8"/>
    <w:rsid w:val="008535C7"/>
    <w:rsid w:val="00855A4E"/>
    <w:rsid w:val="00856D44"/>
    <w:rsid w:val="00860B4E"/>
    <w:rsid w:val="008665CD"/>
    <w:rsid w:val="00871903"/>
    <w:rsid w:val="00877259"/>
    <w:rsid w:val="00877A69"/>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2057B"/>
    <w:rsid w:val="009206D8"/>
    <w:rsid w:val="00930D72"/>
    <w:rsid w:val="00935936"/>
    <w:rsid w:val="00935CAA"/>
    <w:rsid w:val="009462FA"/>
    <w:rsid w:val="00947D6F"/>
    <w:rsid w:val="00955A49"/>
    <w:rsid w:val="00960E54"/>
    <w:rsid w:val="009612A1"/>
    <w:rsid w:val="00961DED"/>
    <w:rsid w:val="00963F5A"/>
    <w:rsid w:val="00974FE1"/>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4D2E"/>
    <w:rsid w:val="00A24D5C"/>
    <w:rsid w:val="00A2725A"/>
    <w:rsid w:val="00A30414"/>
    <w:rsid w:val="00A32825"/>
    <w:rsid w:val="00A427A5"/>
    <w:rsid w:val="00A43B3F"/>
    <w:rsid w:val="00A43FE2"/>
    <w:rsid w:val="00A45346"/>
    <w:rsid w:val="00A5063D"/>
    <w:rsid w:val="00A50ACB"/>
    <w:rsid w:val="00A61DC6"/>
    <w:rsid w:val="00A70454"/>
    <w:rsid w:val="00A95A1E"/>
    <w:rsid w:val="00A95AD6"/>
    <w:rsid w:val="00A964D1"/>
    <w:rsid w:val="00AA408F"/>
    <w:rsid w:val="00AA44D4"/>
    <w:rsid w:val="00AA4694"/>
    <w:rsid w:val="00AA7208"/>
    <w:rsid w:val="00AB2954"/>
    <w:rsid w:val="00AB7321"/>
    <w:rsid w:val="00AC0236"/>
    <w:rsid w:val="00AC5FBF"/>
    <w:rsid w:val="00AD2E4C"/>
    <w:rsid w:val="00AD2EBC"/>
    <w:rsid w:val="00AD53EF"/>
    <w:rsid w:val="00B0183D"/>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5A5D"/>
    <w:rsid w:val="00BB6ACB"/>
    <w:rsid w:val="00BB7E86"/>
    <w:rsid w:val="00BB7E90"/>
    <w:rsid w:val="00BC5637"/>
    <w:rsid w:val="00BE5A7F"/>
    <w:rsid w:val="00BF230C"/>
    <w:rsid w:val="00BF24CD"/>
    <w:rsid w:val="00BF2CFF"/>
    <w:rsid w:val="00BF5D39"/>
    <w:rsid w:val="00C034EE"/>
    <w:rsid w:val="00C039EB"/>
    <w:rsid w:val="00C10B94"/>
    <w:rsid w:val="00C11E06"/>
    <w:rsid w:val="00C12C1F"/>
    <w:rsid w:val="00C13A11"/>
    <w:rsid w:val="00C162C3"/>
    <w:rsid w:val="00C258B0"/>
    <w:rsid w:val="00C410E6"/>
    <w:rsid w:val="00C47B15"/>
    <w:rsid w:val="00C5335F"/>
    <w:rsid w:val="00C70125"/>
    <w:rsid w:val="00C71947"/>
    <w:rsid w:val="00C73523"/>
    <w:rsid w:val="00C76528"/>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A73D2"/>
    <w:rsid w:val="00CB083F"/>
    <w:rsid w:val="00CB3718"/>
    <w:rsid w:val="00CD4560"/>
    <w:rsid w:val="00CE16B5"/>
    <w:rsid w:val="00CF228C"/>
    <w:rsid w:val="00CF35B3"/>
    <w:rsid w:val="00D015A2"/>
    <w:rsid w:val="00D0622D"/>
    <w:rsid w:val="00D0705E"/>
    <w:rsid w:val="00D113E9"/>
    <w:rsid w:val="00D202AC"/>
    <w:rsid w:val="00D23092"/>
    <w:rsid w:val="00D30B52"/>
    <w:rsid w:val="00D403E1"/>
    <w:rsid w:val="00D53ED7"/>
    <w:rsid w:val="00D5558F"/>
    <w:rsid w:val="00D61CE8"/>
    <w:rsid w:val="00D6217D"/>
    <w:rsid w:val="00D67257"/>
    <w:rsid w:val="00D70D78"/>
    <w:rsid w:val="00D7429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3302"/>
    <w:rsid w:val="00E54B7A"/>
    <w:rsid w:val="00E55E88"/>
    <w:rsid w:val="00E56580"/>
    <w:rsid w:val="00E61AE2"/>
    <w:rsid w:val="00E660F0"/>
    <w:rsid w:val="00E67143"/>
    <w:rsid w:val="00E674FC"/>
    <w:rsid w:val="00E86ED3"/>
    <w:rsid w:val="00E8783E"/>
    <w:rsid w:val="00E90E01"/>
    <w:rsid w:val="00E91EBB"/>
    <w:rsid w:val="00E951DF"/>
    <w:rsid w:val="00EA61F6"/>
    <w:rsid w:val="00ED0443"/>
    <w:rsid w:val="00ED6886"/>
    <w:rsid w:val="00EF1802"/>
    <w:rsid w:val="00EF2D77"/>
    <w:rsid w:val="00F02DAD"/>
    <w:rsid w:val="00F06A11"/>
    <w:rsid w:val="00F06B02"/>
    <w:rsid w:val="00F0776A"/>
    <w:rsid w:val="00F12886"/>
    <w:rsid w:val="00F12DB4"/>
    <w:rsid w:val="00F13827"/>
    <w:rsid w:val="00F209E0"/>
    <w:rsid w:val="00F2534B"/>
    <w:rsid w:val="00F27ABE"/>
    <w:rsid w:val="00F335AB"/>
    <w:rsid w:val="00F415A3"/>
    <w:rsid w:val="00F44A65"/>
    <w:rsid w:val="00F4505F"/>
    <w:rsid w:val="00F52FF0"/>
    <w:rsid w:val="00F56BC0"/>
    <w:rsid w:val="00F62290"/>
    <w:rsid w:val="00F63DB9"/>
    <w:rsid w:val="00F64E23"/>
    <w:rsid w:val="00F67377"/>
    <w:rsid w:val="00F675D7"/>
    <w:rsid w:val="00F7252E"/>
    <w:rsid w:val="00F85337"/>
    <w:rsid w:val="00F91200"/>
    <w:rsid w:val="00F96A16"/>
    <w:rsid w:val="00FA406F"/>
    <w:rsid w:val="00FA71F1"/>
    <w:rsid w:val="00FB1910"/>
    <w:rsid w:val="00FB7D9A"/>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885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DA1D69</Template>
  <TotalTime>0</TotalTime>
  <Pages>2</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2015-05-28T04:01:00Z</dcterms:created>
  <dcterms:modified xsi:type="dcterms:W3CDTF">2015-06-02T02:21:00Z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